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3141C" w:rsidR="00272CF4" w:rsidP="004503EF" w:rsidRDefault="00272CF4" w14:paraId="28E2DF89" w14:textId="290B6228">
      <w:pPr>
        <w:pStyle w:val="NoSpacing"/>
      </w:pPr>
    </w:p>
    <w:p w:rsidRPr="00355C65" w:rsidR="006E573A" w:rsidP="00C57656" w:rsidRDefault="006E573A" w14:paraId="5B8553B7" w14:textId="3A67EEA7">
      <w:pPr>
        <w:tabs>
          <w:tab w:val="left" w:pos="720"/>
          <w:tab w:val="left" w:pos="3240"/>
        </w:tabs>
        <w:overflowPunct w:val="0"/>
        <w:autoSpaceDE w:val="0"/>
        <w:autoSpaceDN w:val="0"/>
        <w:adjustRightInd w:val="0"/>
        <w:ind w:left="4320"/>
        <w:jc w:val="right"/>
        <w:textAlignment w:val="baseline"/>
        <w:rPr>
          <w:rFonts w:ascii="Helvetica" w:hAnsi="Helvetica" w:eastAsia="Times New Roman" w:cs="Times New Roman"/>
          <w:b/>
          <w:bCs/>
          <w:sz w:val="36"/>
          <w:szCs w:val="36"/>
        </w:rPr>
      </w:pPr>
      <w:r w:rsidRPr="00355C65">
        <w:rPr>
          <w:rFonts w:ascii="Helvetica" w:hAnsi="Helvetica" w:eastAsia="Times New Roman" w:cs="Times New Roman"/>
          <w:b/>
          <w:bCs/>
          <w:sz w:val="36"/>
          <w:szCs w:val="36"/>
        </w:rPr>
        <w:t>Chapter 3</w:t>
      </w:r>
      <w:r w:rsidRPr="00355C65">
        <w:rPr>
          <w:rFonts w:ascii="Helvetica" w:hAnsi="Helvetica" w:eastAsia="Times New Roman" w:cs="Times New Roman"/>
          <w:b/>
          <w:bCs/>
          <w:sz w:val="36"/>
          <w:szCs w:val="36"/>
        </w:rPr>
        <w:br/>
        <w:t>Programs</w:t>
      </w:r>
    </w:p>
    <w:p w:rsidRPr="00355C65" w:rsidR="00002938" w:rsidP="006E573A" w:rsidRDefault="00002938" w14:paraId="60B49B3E" w14:textId="64A6F819">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355C65" w:rsidR="006E573A" w:rsidP="006E573A" w:rsidRDefault="006E573A" w14:paraId="5B8553B9" w14:textId="77777777">
      <w:pPr>
        <w:overflowPunct w:val="0"/>
        <w:autoSpaceDE w:val="0"/>
        <w:autoSpaceDN w:val="0"/>
        <w:adjustRightInd w:val="0"/>
        <w:spacing w:before="80" w:after="80"/>
        <w:ind w:firstLine="162"/>
        <w:jc w:val="both"/>
        <w:textAlignment w:val="baseline"/>
        <w:rPr>
          <w:rFonts w:ascii="Arial" w:hAnsi="Arial" w:eastAsia="Times New Roman" w:cs="Arial"/>
          <w:b/>
          <w:sz w:val="28"/>
          <w:szCs w:val="20"/>
        </w:rPr>
      </w:pPr>
    </w:p>
    <w:p w:rsidRPr="00355C65" w:rsidR="006E573A" w:rsidP="006E573A" w:rsidRDefault="006E573A" w14:paraId="5B8553BA" w14:textId="77777777">
      <w:pPr>
        <w:overflowPunct w:val="0"/>
        <w:autoSpaceDE w:val="0"/>
        <w:autoSpaceDN w:val="0"/>
        <w:adjustRightInd w:val="0"/>
        <w:spacing w:before="80" w:after="80"/>
        <w:ind w:firstLine="162"/>
        <w:jc w:val="both"/>
        <w:textAlignment w:val="baseline"/>
        <w:rPr>
          <w:rFonts w:ascii="Arial" w:hAnsi="Arial" w:eastAsia="Times New Roman" w:cs="Arial"/>
          <w:b/>
          <w:sz w:val="28"/>
          <w:szCs w:val="20"/>
        </w:rPr>
      </w:pPr>
      <w:r w:rsidRPr="00355C65">
        <w:rPr>
          <w:rFonts w:ascii="Arial" w:hAnsi="Arial" w:eastAsia="Times New Roman" w:cs="Arial"/>
          <w:b/>
          <w:sz w:val="28"/>
          <w:szCs w:val="20"/>
        </w:rPr>
        <w:t>3.1</w:t>
      </w:r>
      <w:r w:rsidRPr="00355C65">
        <w:rPr>
          <w:rFonts w:ascii="Arial" w:hAnsi="Arial" w:eastAsia="Times New Roman" w:cs="Arial"/>
          <w:b/>
          <w:sz w:val="28"/>
          <w:szCs w:val="20"/>
        </w:rPr>
        <w:tab/>
      </w:r>
      <w:r w:rsidRPr="00355C65">
        <w:rPr>
          <w:rFonts w:ascii="Arial" w:hAnsi="Arial" w:eastAsia="Times New Roman" w:cs="Arial"/>
          <w:b/>
          <w:sz w:val="28"/>
          <w:szCs w:val="20"/>
        </w:rPr>
        <w:tab/>
        <w:t>General Program Requirements</w:t>
      </w:r>
    </w:p>
    <w:p w:rsidRPr="00355C65" w:rsidR="006E573A" w:rsidP="006E573A" w:rsidRDefault="006E573A" w14:paraId="5B8553BB" w14:textId="77777777">
      <w:pPr>
        <w:spacing w:line="276" w:lineRule="auto"/>
        <w:jc w:val="both"/>
        <w:rPr>
          <w:rFonts w:ascii="Times New Roman" w:hAnsi="Times New Roman" w:cs="Times New Roman"/>
          <w:b/>
          <w:sz w:val="24"/>
          <w:szCs w:val="24"/>
        </w:rPr>
      </w:pPr>
    </w:p>
    <w:p w:rsidRPr="00FA0F71" w:rsidR="006E573A" w:rsidP="006E573A" w:rsidRDefault="006E573A" w14:paraId="5B8553BC" w14:textId="5663492C">
      <w:pPr>
        <w:spacing w:line="276" w:lineRule="auto"/>
        <w:jc w:val="both"/>
        <w:rPr>
          <w:rFonts w:ascii="Times New Roman" w:hAnsi="Times New Roman" w:cs="Times New Roman"/>
          <w:sz w:val="24"/>
          <w:szCs w:val="24"/>
        </w:rPr>
      </w:pPr>
      <w:r w:rsidRPr="00FA0F71">
        <w:rPr>
          <w:rFonts w:ascii="Times New Roman" w:hAnsi="Times New Roman" w:cs="Times New Roman"/>
          <w:sz w:val="24"/>
          <w:szCs w:val="24"/>
        </w:rPr>
        <w:t>This chapter contains the basic requirements for FHA multifamily mortgage insurance programs for which lenders can submit Pre-</w:t>
      </w:r>
      <w:r w:rsidR="00E16E6D">
        <w:rPr>
          <w:rFonts w:ascii="Times New Roman" w:hAnsi="Times New Roman" w:cs="Times New Roman"/>
          <w:sz w:val="24"/>
          <w:szCs w:val="24"/>
        </w:rPr>
        <w:t>A</w:t>
      </w:r>
      <w:r w:rsidRPr="00FA0F71">
        <w:rPr>
          <w:rFonts w:ascii="Times New Roman" w:hAnsi="Times New Roman" w:cs="Times New Roman"/>
          <w:sz w:val="24"/>
          <w:szCs w:val="24"/>
        </w:rPr>
        <w:t xml:space="preserve">pplications and </w:t>
      </w:r>
      <w:r w:rsidR="00E16E6D">
        <w:rPr>
          <w:rFonts w:ascii="Times New Roman" w:hAnsi="Times New Roman" w:cs="Times New Roman"/>
          <w:sz w:val="24"/>
          <w:szCs w:val="24"/>
        </w:rPr>
        <w:t>A</w:t>
      </w:r>
      <w:r w:rsidRPr="00FA0F71">
        <w:rPr>
          <w:rFonts w:ascii="Times New Roman" w:hAnsi="Times New Roman" w:cs="Times New Roman"/>
          <w:sz w:val="24"/>
          <w:szCs w:val="24"/>
        </w:rPr>
        <w:t xml:space="preserve">pplications for Firm Commitment under MAP.  </w:t>
      </w:r>
    </w:p>
    <w:p w:rsidRPr="00FA0F71" w:rsidR="006E573A" w:rsidP="006E573A" w:rsidRDefault="006E573A" w14:paraId="5B8553BD" w14:textId="77777777">
      <w:pPr>
        <w:spacing w:line="276" w:lineRule="auto"/>
        <w:jc w:val="both"/>
        <w:rPr>
          <w:rFonts w:ascii="Times New Roman" w:hAnsi="Times New Roman" w:cs="Times New Roman"/>
          <w:sz w:val="24"/>
          <w:szCs w:val="24"/>
        </w:rPr>
      </w:pPr>
    </w:p>
    <w:p w:rsidRPr="00FA0F71" w:rsidR="006E573A" w:rsidP="006E573A" w:rsidRDefault="006E573A" w14:paraId="5B8553BE" w14:textId="39FB08BB">
      <w:pPr>
        <w:spacing w:line="276" w:lineRule="auto"/>
        <w:jc w:val="both"/>
        <w:rPr>
          <w:rFonts w:ascii="Times New Roman" w:hAnsi="Times New Roman" w:cs="Times New Roman"/>
          <w:sz w:val="24"/>
          <w:szCs w:val="24"/>
        </w:rPr>
      </w:pPr>
      <w:r w:rsidRPr="00FA0F71">
        <w:rPr>
          <w:rFonts w:ascii="Times New Roman" w:hAnsi="Times New Roman" w:cs="Times New Roman"/>
          <w:sz w:val="24"/>
          <w:szCs w:val="24"/>
        </w:rPr>
        <w:t xml:space="preserve">The following requirements apply to </w:t>
      </w:r>
      <w:r w:rsidRPr="00FA0F71">
        <w:rPr>
          <w:rFonts w:ascii="Times New Roman" w:hAnsi="Times New Roman" w:cs="Times New Roman"/>
          <w:iCs/>
          <w:sz w:val="24"/>
          <w:szCs w:val="24"/>
        </w:rPr>
        <w:t>FHA multifamily</w:t>
      </w:r>
      <w:r w:rsidRPr="00FA0F71">
        <w:rPr>
          <w:rFonts w:ascii="Times New Roman" w:hAnsi="Times New Roman" w:cs="Times New Roman"/>
          <w:sz w:val="24"/>
          <w:szCs w:val="24"/>
        </w:rPr>
        <w:t xml:space="preserve"> mortgage insurance programs</w:t>
      </w:r>
      <w:r w:rsidR="00637274">
        <w:rPr>
          <w:rFonts w:ascii="Times New Roman" w:hAnsi="Times New Roman" w:cs="Times New Roman"/>
          <w:sz w:val="24"/>
          <w:szCs w:val="24"/>
        </w:rPr>
        <w:t xml:space="preserve"> governed by this Guide</w:t>
      </w:r>
      <w:r w:rsidRPr="00FA0F71">
        <w:rPr>
          <w:rFonts w:ascii="Times New Roman" w:hAnsi="Times New Roman" w:cs="Times New Roman"/>
          <w:sz w:val="24"/>
          <w:szCs w:val="24"/>
        </w:rPr>
        <w:t>:</w:t>
      </w:r>
    </w:p>
    <w:p w:rsidRPr="00FA0F71" w:rsidR="006E573A" w:rsidP="006E573A" w:rsidRDefault="006E573A" w14:paraId="5B8553BF" w14:textId="77777777">
      <w:pPr>
        <w:spacing w:line="276" w:lineRule="auto"/>
        <w:jc w:val="both"/>
        <w:rPr>
          <w:rFonts w:ascii="Times New Roman" w:hAnsi="Times New Roman" w:cs="Times New Roman"/>
          <w:sz w:val="24"/>
          <w:szCs w:val="24"/>
        </w:rPr>
      </w:pPr>
    </w:p>
    <w:p w:rsidR="006E573A" w:rsidP="006E573A" w:rsidRDefault="006E573A" w14:paraId="5B8553C0" w14:textId="74B308CD">
      <w:pPr>
        <w:spacing w:line="276" w:lineRule="auto"/>
        <w:ind w:left="360" w:hanging="360"/>
        <w:jc w:val="both"/>
        <w:rPr>
          <w:rFonts w:ascii="Times New Roman" w:hAnsi="Times New Roman" w:cs="Times New Roman"/>
          <w:spacing w:val="-4"/>
          <w:sz w:val="24"/>
          <w:szCs w:val="24"/>
        </w:rPr>
      </w:pPr>
      <w:r w:rsidRPr="00FA0F71">
        <w:rPr>
          <w:rFonts w:ascii="Times New Roman" w:hAnsi="Times New Roman" w:cs="Times New Roman"/>
          <w:spacing w:val="-4"/>
          <w:sz w:val="24"/>
          <w:szCs w:val="24"/>
        </w:rPr>
        <w:t>A.</w:t>
      </w:r>
      <w:r w:rsidRPr="00FA0F71">
        <w:rPr>
          <w:rFonts w:ascii="Times New Roman" w:hAnsi="Times New Roman" w:cs="Times New Roman"/>
          <w:b/>
          <w:spacing w:val="-4"/>
          <w:sz w:val="24"/>
          <w:szCs w:val="24"/>
        </w:rPr>
        <w:t xml:space="preserve"> </w:t>
      </w:r>
      <w:r w:rsidR="00C22551">
        <w:rPr>
          <w:rFonts w:ascii="Times New Roman" w:hAnsi="Times New Roman" w:cs="Times New Roman"/>
          <w:b/>
          <w:spacing w:val="-4"/>
          <w:sz w:val="24"/>
          <w:szCs w:val="24"/>
        </w:rPr>
        <w:tab/>
      </w:r>
      <w:r w:rsidRPr="00FA0F71">
        <w:rPr>
          <w:rFonts w:ascii="Times New Roman" w:hAnsi="Times New Roman" w:cs="Times New Roman"/>
          <w:b/>
          <w:spacing w:val="-4"/>
          <w:sz w:val="24"/>
          <w:szCs w:val="24"/>
        </w:rPr>
        <w:t>Regulatory Agreement</w:t>
      </w:r>
      <w:r w:rsidRPr="00FA0F71">
        <w:rPr>
          <w:rFonts w:ascii="Times New Roman" w:hAnsi="Times New Roman" w:cs="Times New Roman"/>
          <w:spacing w:val="-4"/>
          <w:sz w:val="24"/>
          <w:szCs w:val="24"/>
        </w:rPr>
        <w:t xml:space="preserve">.  All borrowers must execute a HUD Regulatory Agreement governing the operation of the project. The Regulatory Agreement is recorded at Initial Endorsement.  </w:t>
      </w:r>
    </w:p>
    <w:p w:rsidRPr="00FA0F71" w:rsidR="006E573A" w:rsidP="0023547C" w:rsidRDefault="006E573A" w14:paraId="5B8553C1" w14:textId="77777777">
      <w:pPr>
        <w:spacing w:line="276" w:lineRule="auto"/>
        <w:rPr>
          <w:rFonts w:ascii="Times New Roman" w:hAnsi="Times New Roman" w:cs="Times New Roman"/>
          <w:sz w:val="24"/>
          <w:szCs w:val="24"/>
          <w:shd w:val="clear" w:color="auto" w:fill="FFFFFF"/>
        </w:rPr>
      </w:pPr>
    </w:p>
    <w:p w:rsidRPr="00FA0F71" w:rsidR="006E573A" w:rsidP="0023547C" w:rsidRDefault="006E573A" w14:paraId="5B8553C2" w14:textId="656298D8">
      <w:pPr>
        <w:spacing w:line="276" w:lineRule="auto"/>
        <w:ind w:left="360" w:hanging="360"/>
        <w:rPr>
          <w:rFonts w:ascii="Times New Roman" w:hAnsi="Times New Roman" w:cs="Times New Roman"/>
          <w:sz w:val="24"/>
          <w:szCs w:val="24"/>
          <w:shd w:val="clear" w:color="auto" w:fill="FFFFFF"/>
        </w:rPr>
      </w:pPr>
      <w:r w:rsidRPr="00FA0F71">
        <w:rPr>
          <w:rFonts w:ascii="Times New Roman" w:hAnsi="Times New Roman" w:cs="Times New Roman"/>
          <w:sz w:val="24"/>
          <w:szCs w:val="24"/>
          <w:shd w:val="clear" w:color="auto" w:fill="FFFFFF"/>
        </w:rPr>
        <w:t>B.</w:t>
      </w:r>
      <w:r w:rsidRPr="00FA0F71">
        <w:rPr>
          <w:rFonts w:ascii="Times New Roman" w:hAnsi="Times New Roman" w:cs="Times New Roman"/>
          <w:b/>
          <w:sz w:val="24"/>
          <w:szCs w:val="24"/>
          <w:shd w:val="clear" w:color="auto" w:fill="FFFFFF"/>
        </w:rPr>
        <w:t xml:space="preserve">  Single Asset Mortgagor Entity</w:t>
      </w:r>
      <w:r w:rsidRPr="00FA0F71">
        <w:rPr>
          <w:rFonts w:ascii="Times New Roman" w:hAnsi="Times New Roman" w:cs="Times New Roman"/>
          <w:sz w:val="24"/>
          <w:szCs w:val="24"/>
          <w:shd w:val="clear" w:color="auto" w:fill="FFFFFF"/>
        </w:rPr>
        <w:t>.</w:t>
      </w:r>
      <w:r w:rsidRPr="00FA0F71">
        <w:rPr>
          <w:rFonts w:ascii="Times New Roman" w:hAnsi="Times New Roman" w:cs="Times New Roman"/>
          <w:sz w:val="24"/>
          <w:szCs w:val="24"/>
        </w:rPr>
        <w:t xml:space="preserve">  The mortgaged property must be the only asset of the borrower entity</w:t>
      </w:r>
      <w:r w:rsidR="001C7DF2">
        <w:rPr>
          <w:rFonts w:ascii="Times New Roman" w:hAnsi="Times New Roman" w:cs="Times New Roman"/>
          <w:sz w:val="24"/>
          <w:szCs w:val="24"/>
        </w:rPr>
        <w:t>,</w:t>
      </w:r>
      <w:r w:rsidRPr="00FA0F71">
        <w:rPr>
          <w:rFonts w:ascii="Times New Roman" w:hAnsi="Times New Roman" w:cs="Times New Roman"/>
          <w:sz w:val="24"/>
          <w:szCs w:val="24"/>
        </w:rPr>
        <w:t xml:space="preserve"> and there may not be more than one borrower entity.  Natural persons</w:t>
      </w:r>
      <w:r w:rsidR="00AE7D4D">
        <w:rPr>
          <w:rFonts w:ascii="Times New Roman" w:hAnsi="Times New Roman" w:cs="Times New Roman"/>
          <w:sz w:val="24"/>
          <w:szCs w:val="24"/>
        </w:rPr>
        <w:t>, foreign entities</w:t>
      </w:r>
      <w:r w:rsidRPr="00FA0F71">
        <w:rPr>
          <w:rFonts w:ascii="Times New Roman" w:hAnsi="Times New Roman" w:cs="Times New Roman"/>
          <w:sz w:val="24"/>
          <w:szCs w:val="24"/>
        </w:rPr>
        <w:t xml:space="preserve"> or Tenants-in-Common ownership structures (including entities such as </w:t>
      </w:r>
      <w:r w:rsidR="004B18E9">
        <w:rPr>
          <w:rFonts w:ascii="Times New Roman" w:hAnsi="Times New Roman" w:cs="Times New Roman"/>
          <w:sz w:val="24"/>
          <w:szCs w:val="24"/>
        </w:rPr>
        <w:t xml:space="preserve">Maryland Statutory Trusts and </w:t>
      </w:r>
      <w:r w:rsidRPr="00FA0F71">
        <w:rPr>
          <w:rFonts w:ascii="Times New Roman" w:hAnsi="Times New Roman" w:cs="Times New Roman"/>
          <w:sz w:val="24"/>
          <w:szCs w:val="24"/>
        </w:rPr>
        <w:t xml:space="preserve">Delaware Statutory Trusts) are not permitted as mortgagor entities, though they may hold “upper-tier” interests (i.e., they may have an ownership stake, such as a partnership interest, in the Single Asset Mortgagor Entity).  </w:t>
      </w:r>
      <w:r w:rsidR="005A064D">
        <w:rPr>
          <w:rFonts w:ascii="Times New Roman" w:hAnsi="Times New Roman" w:cs="Times New Roman"/>
          <w:sz w:val="24"/>
          <w:szCs w:val="24"/>
        </w:rPr>
        <w:t xml:space="preserve">Additional information on eligible foreign </w:t>
      </w:r>
      <w:r w:rsidR="000B18E9">
        <w:rPr>
          <w:rFonts w:ascii="Times New Roman" w:hAnsi="Times New Roman" w:cs="Times New Roman"/>
          <w:sz w:val="24"/>
          <w:szCs w:val="24"/>
        </w:rPr>
        <w:t>nationals</w:t>
      </w:r>
      <w:r w:rsidR="005A064D">
        <w:rPr>
          <w:rFonts w:ascii="Times New Roman" w:hAnsi="Times New Roman" w:cs="Times New Roman"/>
          <w:sz w:val="24"/>
          <w:szCs w:val="24"/>
        </w:rPr>
        <w:t xml:space="preserve"> and entities may be found in Chapter 8.  </w:t>
      </w:r>
      <w:r w:rsidRPr="00FA0F71">
        <w:rPr>
          <w:rFonts w:ascii="Times New Roman" w:hAnsi="Times New Roman" w:cs="Times New Roman"/>
          <w:sz w:val="24"/>
          <w:szCs w:val="24"/>
        </w:rPr>
        <w:t xml:space="preserve">Waiver authority is reserved for </w:t>
      </w:r>
      <w:r w:rsidRPr="00FA0F71">
        <w:rPr>
          <w:rFonts w:ascii="Times New Roman" w:hAnsi="Times New Roman" w:cs="Times New Roman"/>
          <w:sz w:val="24"/>
          <w:szCs w:val="24"/>
          <w:shd w:val="clear" w:color="auto" w:fill="FFFFFF"/>
        </w:rPr>
        <w:t xml:space="preserve">the Director, Office of Multifamily Production HQ </w:t>
      </w:r>
      <w:r w:rsidR="00A37F15">
        <w:rPr>
          <w:rFonts w:ascii="Times New Roman" w:hAnsi="Times New Roman" w:cs="Times New Roman"/>
          <w:sz w:val="24"/>
          <w:szCs w:val="24"/>
          <w:shd w:val="clear" w:color="auto" w:fill="FFFFFF"/>
        </w:rPr>
        <w:t>but</w:t>
      </w:r>
      <w:r w:rsidRPr="00A37F15" w:rsidR="00A37F15">
        <w:rPr>
          <w:rFonts w:ascii="Times New Roman" w:hAnsi="Times New Roman" w:cs="Times New Roman"/>
          <w:sz w:val="24"/>
          <w:szCs w:val="24"/>
          <w:shd w:val="clear" w:color="auto" w:fill="FFFFFF"/>
        </w:rPr>
        <w:t xml:space="preserve"> </w:t>
      </w:r>
      <w:r w:rsidR="00A03E92">
        <w:rPr>
          <w:rFonts w:ascii="Times New Roman" w:hAnsi="Times New Roman" w:cs="Times New Roman"/>
          <w:sz w:val="24"/>
          <w:szCs w:val="24"/>
          <w:shd w:val="clear" w:color="auto" w:fill="FFFFFF"/>
        </w:rPr>
        <w:t xml:space="preserve">requests for </w:t>
      </w:r>
      <w:r w:rsidR="000A6C15">
        <w:rPr>
          <w:rFonts w:ascii="Times New Roman" w:hAnsi="Times New Roman" w:cs="Times New Roman"/>
          <w:sz w:val="24"/>
          <w:szCs w:val="24"/>
          <w:shd w:val="clear" w:color="auto" w:fill="FFFFFF"/>
        </w:rPr>
        <w:t xml:space="preserve">waivers are discouraged as they are </w:t>
      </w:r>
      <w:r w:rsidR="00A702A8">
        <w:rPr>
          <w:rFonts w:ascii="Times New Roman" w:hAnsi="Times New Roman" w:cs="Times New Roman"/>
          <w:sz w:val="24"/>
          <w:szCs w:val="24"/>
          <w:shd w:val="clear" w:color="auto" w:fill="FFFFFF"/>
        </w:rPr>
        <w:t>unlikely to</w:t>
      </w:r>
      <w:r w:rsidRPr="00A37F15" w:rsidR="00A37F15">
        <w:rPr>
          <w:rFonts w:ascii="Times New Roman" w:hAnsi="Times New Roman" w:cs="Times New Roman"/>
          <w:sz w:val="24"/>
          <w:szCs w:val="24"/>
          <w:shd w:val="clear" w:color="auto" w:fill="FFFFFF"/>
        </w:rPr>
        <w:t xml:space="preserve"> be </w:t>
      </w:r>
      <w:r w:rsidR="00825165">
        <w:rPr>
          <w:rFonts w:ascii="Times New Roman" w:hAnsi="Times New Roman" w:cs="Times New Roman"/>
          <w:sz w:val="24"/>
          <w:szCs w:val="24"/>
          <w:shd w:val="clear" w:color="auto" w:fill="FFFFFF"/>
        </w:rPr>
        <w:t>approved</w:t>
      </w:r>
      <w:r w:rsidRPr="00A37F15" w:rsidR="00A37F15">
        <w:rPr>
          <w:rFonts w:ascii="Times New Roman" w:hAnsi="Times New Roman" w:cs="Times New Roman"/>
          <w:sz w:val="24"/>
          <w:szCs w:val="24"/>
          <w:shd w:val="clear" w:color="auto" w:fill="FFFFFF"/>
        </w:rPr>
        <w:t xml:space="preserve">. </w:t>
      </w:r>
      <w:r w:rsidR="00AA4897">
        <w:rPr>
          <w:rFonts w:ascii="Times New Roman" w:hAnsi="Times New Roman" w:cs="Times New Roman"/>
          <w:sz w:val="24"/>
          <w:szCs w:val="24"/>
          <w:shd w:val="clear" w:color="auto" w:fill="FFFFFF"/>
        </w:rPr>
        <w:t xml:space="preserve">In the unusual circumstance that a </w:t>
      </w:r>
      <w:r w:rsidR="004C4C77">
        <w:rPr>
          <w:rFonts w:ascii="Times New Roman" w:hAnsi="Times New Roman" w:cs="Times New Roman"/>
          <w:sz w:val="24"/>
          <w:szCs w:val="24"/>
          <w:shd w:val="clear" w:color="auto" w:fill="FFFFFF"/>
        </w:rPr>
        <w:t xml:space="preserve">waiver request is submitted for review, </w:t>
      </w:r>
      <w:r w:rsidR="00B23912">
        <w:rPr>
          <w:rFonts w:ascii="Times New Roman" w:hAnsi="Times New Roman" w:cs="Times New Roman"/>
          <w:sz w:val="24"/>
          <w:szCs w:val="24"/>
          <w:shd w:val="clear" w:color="auto" w:fill="FFFFFF"/>
        </w:rPr>
        <w:t xml:space="preserve">approval </w:t>
      </w:r>
      <w:r w:rsidRPr="00FA0F71">
        <w:rPr>
          <w:rFonts w:ascii="Times New Roman" w:hAnsi="Times New Roman" w:cs="Times New Roman"/>
          <w:sz w:val="24"/>
          <w:szCs w:val="24"/>
          <w:shd w:val="clear" w:color="auto" w:fill="FFFFFF"/>
        </w:rPr>
        <w:t xml:space="preserve">must be obtained prior to a Multifamily Regional Center or Satellite Office accepting an application for mortgage insurance </w:t>
      </w:r>
      <w:r w:rsidR="00273A07">
        <w:rPr>
          <w:rFonts w:ascii="Times New Roman" w:hAnsi="Times New Roman" w:cs="Times New Roman"/>
          <w:sz w:val="24"/>
          <w:szCs w:val="24"/>
          <w:shd w:val="clear" w:color="auto" w:fill="FFFFFF"/>
        </w:rPr>
        <w:t xml:space="preserve">that </w:t>
      </w:r>
      <w:r w:rsidRPr="00FA0F71">
        <w:rPr>
          <w:rFonts w:ascii="Times New Roman" w:hAnsi="Times New Roman" w:cs="Times New Roman"/>
          <w:sz w:val="24"/>
          <w:szCs w:val="24"/>
          <w:shd w:val="clear" w:color="auto" w:fill="FFFFFF"/>
        </w:rPr>
        <w:t>does not conform to these prohibitions.</w:t>
      </w:r>
    </w:p>
    <w:p w:rsidRPr="00FA0F71" w:rsidR="006E573A" w:rsidP="006E573A" w:rsidRDefault="006E573A" w14:paraId="5B8553C3" w14:textId="77777777">
      <w:pPr>
        <w:spacing w:line="276" w:lineRule="auto"/>
        <w:jc w:val="both"/>
        <w:rPr>
          <w:rFonts w:ascii="Times New Roman" w:hAnsi="Times New Roman" w:cs="Times New Roman"/>
          <w:sz w:val="24"/>
          <w:szCs w:val="24"/>
        </w:rPr>
      </w:pPr>
    </w:p>
    <w:p w:rsidRPr="00FA0F71" w:rsidR="006E573A" w:rsidP="006E573A" w:rsidRDefault="006E573A" w14:paraId="5B8553C4" w14:textId="74BC3E68">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C.</w:t>
      </w:r>
      <w:r w:rsidR="00C22551">
        <w:rPr>
          <w:rFonts w:ascii="Times New Roman" w:hAnsi="Times New Roman" w:cs="Times New Roman"/>
          <w:sz w:val="24"/>
          <w:szCs w:val="24"/>
        </w:rPr>
        <w:tab/>
      </w:r>
      <w:r w:rsidRPr="00FA0F71">
        <w:rPr>
          <w:rFonts w:ascii="Times New Roman" w:hAnsi="Times New Roman" w:cs="Times New Roman"/>
          <w:b/>
          <w:sz w:val="24"/>
          <w:szCs w:val="24"/>
        </w:rPr>
        <w:t>Non-recourse</w:t>
      </w:r>
      <w:r w:rsidRPr="00FA0F71">
        <w:rPr>
          <w:rFonts w:ascii="Times New Roman" w:hAnsi="Times New Roman" w:cs="Times New Roman"/>
          <w:sz w:val="24"/>
          <w:szCs w:val="24"/>
        </w:rPr>
        <w:t>.  The HUD mortgage note will contain a non-recourse provision as to the mortgagor entity. Notwithstanding this provision, certain parties may be held personally liable to the extent of losses arising from certain “bad acts” and malfeasance, as set forth in the Regulatory Agreement.  Such parties will be identified in the Firm Commitment</w:t>
      </w:r>
      <w:r w:rsidRPr="00FA0F71">
        <w:rPr>
          <w:rFonts w:ascii="Times New Roman" w:hAnsi="Times New Roman" w:cs="Times New Roman"/>
          <w:spacing w:val="-4"/>
          <w:sz w:val="24"/>
          <w:szCs w:val="24"/>
        </w:rPr>
        <w:t xml:space="preserve">. </w:t>
      </w:r>
    </w:p>
    <w:p w:rsidRPr="00FA0F71" w:rsidR="006E573A" w:rsidP="006E573A" w:rsidRDefault="006E573A" w14:paraId="5B8553C5" w14:textId="77777777">
      <w:pPr>
        <w:spacing w:line="276" w:lineRule="auto"/>
        <w:jc w:val="both"/>
        <w:rPr>
          <w:rFonts w:ascii="Times New Roman" w:hAnsi="Times New Roman" w:cs="Times New Roman"/>
          <w:sz w:val="24"/>
          <w:szCs w:val="24"/>
        </w:rPr>
      </w:pPr>
    </w:p>
    <w:p w:rsidRPr="00FA0F71" w:rsidR="006E573A" w:rsidP="006E573A" w:rsidRDefault="006E573A" w14:paraId="5B8553C6" w14:textId="5FD7F49D">
      <w:pPr>
        <w:spacing w:line="276" w:lineRule="auto"/>
        <w:ind w:left="360" w:hanging="360"/>
        <w:jc w:val="both"/>
        <w:rPr>
          <w:rFonts w:ascii="Times New Roman" w:hAnsi="Times New Roman" w:cs="Times New Roman"/>
          <w:strike/>
          <w:sz w:val="24"/>
          <w:szCs w:val="24"/>
          <w:shd w:val="clear" w:color="auto" w:fill="D9D9D9"/>
        </w:rPr>
      </w:pPr>
      <w:r w:rsidRPr="00FA0F71">
        <w:rPr>
          <w:rFonts w:ascii="Times New Roman" w:hAnsi="Times New Roman" w:cs="Times New Roman"/>
          <w:sz w:val="24"/>
          <w:szCs w:val="24"/>
        </w:rPr>
        <w:t>D.</w:t>
      </w:r>
      <w:r w:rsidRPr="00FA0F71">
        <w:rPr>
          <w:rFonts w:ascii="Times New Roman" w:hAnsi="Times New Roman" w:cs="Times New Roman"/>
          <w:b/>
          <w:sz w:val="24"/>
          <w:szCs w:val="24"/>
        </w:rPr>
        <w:t xml:space="preserve">  </w:t>
      </w:r>
      <w:r w:rsidR="00C22551">
        <w:rPr>
          <w:rFonts w:ascii="Times New Roman" w:hAnsi="Times New Roman" w:cs="Times New Roman"/>
          <w:b/>
          <w:sz w:val="24"/>
          <w:szCs w:val="24"/>
        </w:rPr>
        <w:tab/>
      </w:r>
      <w:r w:rsidRPr="00FA0F71">
        <w:rPr>
          <w:rFonts w:ascii="Times New Roman" w:hAnsi="Times New Roman" w:cs="Times New Roman"/>
          <w:b/>
          <w:sz w:val="24"/>
          <w:szCs w:val="24"/>
        </w:rPr>
        <w:t>Interest rate.</w:t>
      </w:r>
      <w:r w:rsidRPr="00FA0F71">
        <w:rPr>
          <w:rFonts w:ascii="Times New Roman" w:hAnsi="Times New Roman" w:cs="Times New Roman"/>
          <w:sz w:val="24"/>
          <w:szCs w:val="24"/>
        </w:rPr>
        <w:t xml:space="preserve">  The interest rate on a HUD insured loan is negotiated between the borrower and the mortgagee (and if applicable, the Ginnie Mae investor) and must be locked in by the time of Initial</w:t>
      </w:r>
      <w:r w:rsidR="00697103">
        <w:rPr>
          <w:rFonts w:ascii="Times New Roman" w:hAnsi="Times New Roman" w:cs="Times New Roman"/>
          <w:sz w:val="24"/>
          <w:szCs w:val="24"/>
        </w:rPr>
        <w:t xml:space="preserve"> </w:t>
      </w:r>
      <w:r w:rsidR="004B7173">
        <w:rPr>
          <w:rFonts w:ascii="Times New Roman" w:hAnsi="Times New Roman" w:cs="Times New Roman"/>
          <w:sz w:val="24"/>
          <w:szCs w:val="24"/>
        </w:rPr>
        <w:t>Endorsement</w:t>
      </w:r>
      <w:r w:rsidRPr="00FA0F71">
        <w:rPr>
          <w:rFonts w:ascii="Times New Roman" w:hAnsi="Times New Roman" w:cs="Times New Roman"/>
          <w:sz w:val="24"/>
          <w:szCs w:val="24"/>
        </w:rPr>
        <w:t xml:space="preserve">.  Payment of discounts by the mortgagor to buy down an interest rate is acceptable during negotiations prior to Initial Endorsement. Any change in the mortgage </w:t>
      </w:r>
      <w:r w:rsidRPr="00FA0F71">
        <w:rPr>
          <w:rFonts w:ascii="Times New Roman" w:hAnsi="Times New Roman" w:cs="Times New Roman"/>
          <w:sz w:val="24"/>
          <w:szCs w:val="24"/>
        </w:rPr>
        <w:lastRenderedPageBreak/>
        <w:t>amount due to a change in interest rate must be reflected in an amendment to the Firm Commitment before Initial Endorsement</w:t>
      </w:r>
      <w:r w:rsidR="00E256AA">
        <w:rPr>
          <w:rFonts w:ascii="Times New Roman" w:hAnsi="Times New Roman" w:cs="Times New Roman"/>
          <w:sz w:val="24"/>
          <w:szCs w:val="24"/>
        </w:rPr>
        <w:t>.</w:t>
      </w:r>
      <w:r w:rsidR="00977D02">
        <w:rPr>
          <w:rFonts w:ascii="Times New Roman" w:hAnsi="Times New Roman" w:cs="Times New Roman"/>
          <w:sz w:val="24"/>
          <w:szCs w:val="24"/>
        </w:rPr>
        <w:t xml:space="preserve"> </w:t>
      </w:r>
      <w:r w:rsidR="00AB5236">
        <w:rPr>
          <w:rFonts w:ascii="Times New Roman" w:hAnsi="Times New Roman" w:cs="Times New Roman"/>
          <w:sz w:val="24"/>
          <w:szCs w:val="24"/>
        </w:rPr>
        <w:t xml:space="preserve">This action </w:t>
      </w:r>
      <w:r w:rsidRPr="00FA0F71">
        <w:rPr>
          <w:rFonts w:ascii="Times New Roman" w:hAnsi="Times New Roman" w:cs="Times New Roman"/>
          <w:sz w:val="24"/>
          <w:szCs w:val="24"/>
        </w:rPr>
        <w:t xml:space="preserve">may require </w:t>
      </w:r>
      <w:r w:rsidR="005A064D">
        <w:rPr>
          <w:rFonts w:ascii="Times New Roman" w:hAnsi="Times New Roman" w:cs="Times New Roman"/>
          <w:sz w:val="24"/>
          <w:szCs w:val="24"/>
        </w:rPr>
        <w:t xml:space="preserve">re-underwriting with the issuance of an amended Firm Commitment.  </w:t>
      </w:r>
      <w:r w:rsidRPr="00FA0F71">
        <w:rPr>
          <w:rFonts w:ascii="Times New Roman" w:hAnsi="Times New Roman" w:cs="Times New Roman"/>
          <w:sz w:val="24"/>
          <w:szCs w:val="24"/>
        </w:rPr>
        <w:t>The Mortgage Note, HUD-94001M, provides for the same or different interest rates for the construction and permanent financing periods.</w:t>
      </w:r>
    </w:p>
    <w:p w:rsidRPr="00FA0F71" w:rsidR="006E573A" w:rsidP="006E573A" w:rsidRDefault="006E573A" w14:paraId="5B8553C7" w14:textId="77777777">
      <w:pPr>
        <w:spacing w:line="276" w:lineRule="auto"/>
        <w:jc w:val="both"/>
        <w:rPr>
          <w:rFonts w:ascii="Times New Roman" w:hAnsi="Times New Roman" w:cs="Times New Roman"/>
          <w:sz w:val="24"/>
          <w:szCs w:val="24"/>
          <w:shd w:val="clear" w:color="auto" w:fill="D9D9D9"/>
        </w:rPr>
      </w:pPr>
    </w:p>
    <w:p w:rsidRPr="00FA0F71" w:rsidR="006E573A" w:rsidP="006E573A" w:rsidRDefault="006E573A" w14:paraId="5B8553C8" w14:textId="128E73AF">
      <w:pPr>
        <w:spacing w:line="276" w:lineRule="auto"/>
        <w:ind w:left="450" w:hanging="360"/>
        <w:jc w:val="both"/>
        <w:rPr>
          <w:rFonts w:ascii="Times New Roman" w:hAnsi="Times New Roman" w:cs="Times New Roman"/>
          <w:sz w:val="24"/>
          <w:szCs w:val="24"/>
        </w:rPr>
      </w:pPr>
      <w:r w:rsidRPr="00FA0F71">
        <w:rPr>
          <w:rFonts w:ascii="Times New Roman" w:hAnsi="Times New Roman" w:cs="Times New Roman"/>
          <w:sz w:val="24"/>
          <w:szCs w:val="24"/>
        </w:rPr>
        <w:t>E.</w:t>
      </w:r>
      <w:r w:rsidRPr="00FA0F71">
        <w:rPr>
          <w:rFonts w:ascii="Times New Roman" w:hAnsi="Times New Roman" w:cs="Times New Roman"/>
          <w:b/>
          <w:sz w:val="24"/>
          <w:szCs w:val="24"/>
        </w:rPr>
        <w:t xml:space="preserve"> </w:t>
      </w:r>
      <w:r w:rsidR="00C22551">
        <w:rPr>
          <w:rFonts w:ascii="Times New Roman" w:hAnsi="Times New Roman" w:cs="Times New Roman"/>
          <w:b/>
          <w:sz w:val="24"/>
          <w:szCs w:val="24"/>
        </w:rPr>
        <w:tab/>
      </w:r>
      <w:r w:rsidRPr="00FA0F71">
        <w:rPr>
          <w:rFonts w:ascii="Times New Roman" w:hAnsi="Times New Roman" w:cs="Times New Roman"/>
          <w:b/>
          <w:sz w:val="24"/>
          <w:szCs w:val="24"/>
        </w:rPr>
        <w:t>Amortization plan</w:t>
      </w:r>
      <w:r w:rsidRPr="00FA0F71">
        <w:rPr>
          <w:rFonts w:ascii="Times New Roman" w:hAnsi="Times New Roman" w:cs="Times New Roman"/>
          <w:sz w:val="24"/>
          <w:szCs w:val="24"/>
        </w:rPr>
        <w:t xml:space="preserve">.  All HUD insured mortgages must amortize through a level annuity monthly payment plan (LAMP), with equal monthly payments of principal and interest.  </w:t>
      </w:r>
      <w:r w:rsidR="0030608F">
        <w:rPr>
          <w:rFonts w:ascii="Times New Roman" w:hAnsi="Times New Roman" w:cs="Times New Roman"/>
          <w:sz w:val="24"/>
          <w:szCs w:val="24"/>
        </w:rPr>
        <w:t>V</w:t>
      </w:r>
      <w:r w:rsidRPr="00FA0F71" w:rsidR="0030608F">
        <w:rPr>
          <w:rFonts w:ascii="Times New Roman" w:hAnsi="Times New Roman" w:cs="Times New Roman"/>
          <w:sz w:val="24"/>
          <w:szCs w:val="24"/>
        </w:rPr>
        <w:t xml:space="preserve">ariations </w:t>
      </w:r>
      <w:r w:rsidRPr="00FA0F71">
        <w:rPr>
          <w:rFonts w:ascii="Times New Roman" w:hAnsi="Times New Roman" w:cs="Times New Roman"/>
          <w:sz w:val="24"/>
          <w:szCs w:val="24"/>
        </w:rPr>
        <w:t xml:space="preserve">are not permissible.  This restriction does not prevent </w:t>
      </w:r>
      <w:r w:rsidR="00BE66B8">
        <w:rPr>
          <w:rFonts w:ascii="Times New Roman" w:hAnsi="Times New Roman" w:cs="Times New Roman"/>
          <w:sz w:val="24"/>
          <w:szCs w:val="24"/>
        </w:rPr>
        <w:t xml:space="preserve">separate </w:t>
      </w:r>
      <w:r w:rsidRPr="00FA0F71">
        <w:rPr>
          <w:rFonts w:ascii="Times New Roman" w:hAnsi="Times New Roman" w:cs="Times New Roman"/>
          <w:sz w:val="24"/>
          <w:szCs w:val="24"/>
        </w:rPr>
        <w:t xml:space="preserve">tranches within </w:t>
      </w:r>
      <w:r w:rsidR="00BE66B8">
        <w:rPr>
          <w:rFonts w:ascii="Times New Roman" w:hAnsi="Times New Roman" w:cs="Times New Roman"/>
          <w:sz w:val="24"/>
          <w:szCs w:val="24"/>
        </w:rPr>
        <w:t xml:space="preserve">one </w:t>
      </w:r>
      <w:r w:rsidRPr="00FA0F71">
        <w:rPr>
          <w:rFonts w:ascii="Times New Roman" w:hAnsi="Times New Roman" w:cs="Times New Roman"/>
          <w:sz w:val="24"/>
          <w:szCs w:val="24"/>
        </w:rPr>
        <w:t xml:space="preserve">promissory note (e.g. </w:t>
      </w:r>
      <w:r w:rsidR="00BE66B8">
        <w:rPr>
          <w:rFonts w:ascii="Times New Roman" w:hAnsi="Times New Roman" w:cs="Times New Roman"/>
          <w:sz w:val="24"/>
          <w:szCs w:val="24"/>
        </w:rPr>
        <w:t xml:space="preserve">An </w:t>
      </w:r>
      <w:r w:rsidRPr="00FA0F71">
        <w:rPr>
          <w:rFonts w:ascii="Times New Roman" w:hAnsi="Times New Roman" w:cs="Times New Roman"/>
          <w:sz w:val="24"/>
          <w:szCs w:val="24"/>
        </w:rPr>
        <w:t>A and B pieces).</w:t>
      </w:r>
    </w:p>
    <w:p w:rsidRPr="00FA0F71" w:rsidR="006E573A" w:rsidP="006E573A" w:rsidRDefault="006E573A" w14:paraId="5B8553C9" w14:textId="77777777">
      <w:pPr>
        <w:spacing w:line="276" w:lineRule="auto"/>
        <w:jc w:val="both"/>
        <w:rPr>
          <w:rFonts w:ascii="Times New Roman" w:hAnsi="Times New Roman" w:cs="Times New Roman"/>
          <w:sz w:val="24"/>
          <w:szCs w:val="24"/>
        </w:rPr>
      </w:pPr>
    </w:p>
    <w:p w:rsidRPr="00FA0F71" w:rsidR="006E573A" w:rsidP="006E573A" w:rsidRDefault="006E573A" w14:paraId="5B8553CA" w14:textId="6F7E5D7D">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F.</w:t>
      </w:r>
      <w:r w:rsidRPr="00FA0F71">
        <w:rPr>
          <w:rFonts w:ascii="Times New Roman" w:hAnsi="Times New Roman" w:cs="Times New Roman"/>
          <w:b/>
          <w:sz w:val="24"/>
          <w:szCs w:val="24"/>
        </w:rPr>
        <w:t xml:space="preserve"> </w:t>
      </w:r>
      <w:r w:rsidR="00C22551">
        <w:rPr>
          <w:rFonts w:ascii="Times New Roman" w:hAnsi="Times New Roman" w:cs="Times New Roman"/>
          <w:b/>
          <w:sz w:val="24"/>
          <w:szCs w:val="24"/>
        </w:rPr>
        <w:tab/>
      </w:r>
      <w:r w:rsidRPr="00FA0F71">
        <w:rPr>
          <w:rFonts w:ascii="Times New Roman" w:hAnsi="Times New Roman" w:cs="Times New Roman"/>
          <w:b/>
          <w:sz w:val="24"/>
          <w:szCs w:val="24"/>
        </w:rPr>
        <w:t>Loan Terms</w:t>
      </w:r>
      <w:r w:rsidRPr="00FA0F71">
        <w:rPr>
          <w:rFonts w:ascii="Times New Roman" w:hAnsi="Times New Roman" w:cs="Times New Roman"/>
          <w:sz w:val="24"/>
          <w:szCs w:val="24"/>
        </w:rPr>
        <w:t xml:space="preserve">.  The maximum loan term is the lesser of any limits included under the applicable Section of the Act, 40 years for new construction/substantial rehabilitation, 35 years for Section 223(f) purchase/refinancing, or </w:t>
      </w:r>
      <w:r w:rsidRPr="00FA0F71">
        <w:rPr>
          <w:rFonts w:ascii="Times New Roman" w:hAnsi="Times New Roman" w:cs="Times New Roman"/>
          <w:sz w:val="24"/>
          <w:szCs w:val="24"/>
          <w:shd w:val="clear" w:color="auto" w:fill="FFFFFF"/>
        </w:rPr>
        <w:t>75%</w:t>
      </w:r>
      <w:r w:rsidRPr="00FA0F71">
        <w:rPr>
          <w:rFonts w:ascii="Times New Roman" w:hAnsi="Times New Roman" w:cs="Times New Roman"/>
          <w:sz w:val="24"/>
          <w:szCs w:val="24"/>
        </w:rPr>
        <w:t xml:space="preserve"> of the remaining economic life of the property. </w:t>
      </w:r>
    </w:p>
    <w:p w:rsidRPr="00FA0F71" w:rsidR="006E573A" w:rsidP="006E573A" w:rsidRDefault="006E573A" w14:paraId="5B8553CB" w14:textId="77777777">
      <w:pPr>
        <w:spacing w:line="276" w:lineRule="auto"/>
        <w:jc w:val="both"/>
        <w:rPr>
          <w:rFonts w:ascii="Times New Roman" w:hAnsi="Times New Roman" w:cs="Times New Roman"/>
          <w:sz w:val="24"/>
          <w:szCs w:val="24"/>
        </w:rPr>
      </w:pPr>
    </w:p>
    <w:p w:rsidRPr="00FA0F71" w:rsidR="006E573A" w:rsidP="006E573A" w:rsidRDefault="006E573A" w14:paraId="5B8553CC" w14:textId="543A3E6B">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G.</w:t>
      </w:r>
      <w:r w:rsidRPr="00FA0F71">
        <w:rPr>
          <w:rFonts w:ascii="Times New Roman" w:hAnsi="Times New Roman" w:cs="Times New Roman"/>
          <w:b/>
          <w:sz w:val="24"/>
          <w:szCs w:val="24"/>
        </w:rPr>
        <w:t xml:space="preserve"> </w:t>
      </w:r>
      <w:r w:rsidR="00C22551">
        <w:rPr>
          <w:rFonts w:ascii="Times New Roman" w:hAnsi="Times New Roman" w:cs="Times New Roman"/>
          <w:b/>
          <w:sz w:val="24"/>
          <w:szCs w:val="24"/>
        </w:rPr>
        <w:tab/>
      </w:r>
      <w:r w:rsidRPr="00FA0F71">
        <w:rPr>
          <w:rFonts w:ascii="Times New Roman" w:hAnsi="Times New Roman" w:cs="Times New Roman"/>
          <w:b/>
          <w:sz w:val="24"/>
          <w:szCs w:val="24"/>
        </w:rPr>
        <w:t>Prepayment Restrictions</w:t>
      </w:r>
      <w:r w:rsidRPr="00FA0F71">
        <w:rPr>
          <w:rFonts w:ascii="Times New Roman" w:hAnsi="Times New Roman" w:cs="Times New Roman"/>
          <w:sz w:val="24"/>
          <w:szCs w:val="24"/>
        </w:rPr>
        <w:t>.  The Section 223(f) program limits prepayment during the first five years of the loan.</w:t>
      </w:r>
      <w:r w:rsidRPr="00E74C0C" w:rsidR="00E74C0C">
        <w:t xml:space="preserve"> </w:t>
      </w:r>
      <w:r w:rsidRPr="00E74C0C" w:rsidR="00E74C0C">
        <w:rPr>
          <w:rFonts w:ascii="Times New Roman" w:hAnsi="Times New Roman" w:cs="Times New Roman"/>
          <w:sz w:val="24"/>
          <w:szCs w:val="24"/>
        </w:rPr>
        <w:t xml:space="preserve">(Refer to Section 3.7.I. for detailed requirements for prepayment restrictions concerning Section 223(f) loans.) </w:t>
      </w:r>
      <w:r w:rsidRPr="00FA0F71">
        <w:rPr>
          <w:rFonts w:ascii="Times New Roman" w:hAnsi="Times New Roman" w:cs="Times New Roman"/>
          <w:sz w:val="24"/>
          <w:szCs w:val="24"/>
        </w:rPr>
        <w:t xml:space="preserve">  For other Sections of the Act, HUD permits but does not impose prepayment restrictions on insured loans.  Prepayment restriction provisions </w:t>
      </w:r>
      <w:r w:rsidR="00467770">
        <w:rPr>
          <w:rFonts w:ascii="Times New Roman" w:hAnsi="Times New Roman" w:cs="Times New Roman"/>
          <w:sz w:val="24"/>
          <w:szCs w:val="24"/>
        </w:rPr>
        <w:t>may not</w:t>
      </w:r>
      <w:r w:rsidRPr="00FA0F71" w:rsidR="00467770">
        <w:rPr>
          <w:rFonts w:ascii="Times New Roman" w:hAnsi="Times New Roman" w:cs="Times New Roman"/>
          <w:sz w:val="24"/>
          <w:szCs w:val="24"/>
        </w:rPr>
        <w:t xml:space="preserve"> </w:t>
      </w:r>
      <w:r w:rsidRPr="00FA0F71">
        <w:rPr>
          <w:rFonts w:ascii="Times New Roman" w:hAnsi="Times New Roman" w:cs="Times New Roman"/>
          <w:sz w:val="24"/>
          <w:szCs w:val="24"/>
        </w:rPr>
        <w:t>include HUD consent as a condition to prepayment of the loan by the borrower.</w:t>
      </w:r>
    </w:p>
    <w:p w:rsidRPr="00FA0F71" w:rsidR="006E573A" w:rsidP="006E573A" w:rsidRDefault="006E573A" w14:paraId="5B8553CD" w14:textId="77777777">
      <w:pPr>
        <w:spacing w:line="276" w:lineRule="auto"/>
        <w:jc w:val="both"/>
        <w:rPr>
          <w:rFonts w:ascii="Times New Roman" w:hAnsi="Times New Roman" w:cs="Times New Roman"/>
          <w:sz w:val="24"/>
          <w:szCs w:val="24"/>
        </w:rPr>
      </w:pPr>
    </w:p>
    <w:p w:rsidR="0041531A" w:rsidP="006E573A" w:rsidRDefault="006E573A" w14:paraId="72AE635B" w14:textId="1C21B704">
      <w:pPr>
        <w:spacing w:line="276" w:lineRule="auto"/>
        <w:ind w:left="360" w:hanging="360"/>
        <w:jc w:val="both"/>
        <w:rPr>
          <w:rFonts w:ascii="Times New Roman" w:hAnsi="Times New Roman" w:cs="Times New Roman"/>
          <w:spacing w:val="-4"/>
          <w:sz w:val="24"/>
          <w:szCs w:val="24"/>
        </w:rPr>
      </w:pPr>
      <w:r w:rsidRPr="00FA0F71">
        <w:rPr>
          <w:rFonts w:ascii="Times New Roman" w:hAnsi="Times New Roman" w:cs="Times New Roman"/>
          <w:sz w:val="24"/>
          <w:szCs w:val="24"/>
        </w:rPr>
        <w:t>H.</w:t>
      </w:r>
      <w:r w:rsidRPr="00FA0F71">
        <w:rPr>
          <w:rFonts w:ascii="Times New Roman" w:hAnsi="Times New Roman" w:cs="Times New Roman"/>
          <w:b/>
          <w:sz w:val="24"/>
          <w:szCs w:val="24"/>
        </w:rPr>
        <w:t xml:space="preserve"> </w:t>
      </w:r>
      <w:r w:rsidR="00C22551">
        <w:rPr>
          <w:rFonts w:ascii="Times New Roman" w:hAnsi="Times New Roman" w:cs="Times New Roman"/>
          <w:b/>
          <w:sz w:val="24"/>
          <w:szCs w:val="24"/>
        </w:rPr>
        <w:tab/>
      </w:r>
      <w:r w:rsidRPr="00FA0F71">
        <w:rPr>
          <w:rFonts w:ascii="Times New Roman" w:hAnsi="Times New Roman" w:cs="Times New Roman"/>
          <w:b/>
          <w:sz w:val="24"/>
          <w:szCs w:val="24"/>
        </w:rPr>
        <w:t>HUD application fee</w:t>
      </w:r>
      <w:r w:rsidRPr="00FA0F71">
        <w:rPr>
          <w:rFonts w:ascii="Times New Roman" w:hAnsi="Times New Roman" w:cs="Times New Roman"/>
          <w:sz w:val="24"/>
          <w:szCs w:val="24"/>
        </w:rPr>
        <w:t xml:space="preserve">.  Under MAP (and the Section 213 program), </w:t>
      </w:r>
      <w:r w:rsidRPr="00FA0F71">
        <w:rPr>
          <w:rFonts w:ascii="Times New Roman" w:hAnsi="Times New Roman" w:cs="Times New Roman"/>
          <w:spacing w:val="-4"/>
          <w:sz w:val="24"/>
          <w:szCs w:val="24"/>
        </w:rPr>
        <w:t>HUD requires a fee of $3 per thousand dollars of the requested mortgage amount for review of the Firm Commitment application.  The application fee (also known as “exam fee”) is considered earned at HUD acceptance of the application for processing and is nonrefundable.    For market rate new construction or substantial rehabilitation transactions, one half of the application fee is due with the submission of the pre-application</w:t>
      </w:r>
      <w:r w:rsidR="00D30468">
        <w:rPr>
          <w:rFonts w:ascii="Times New Roman" w:hAnsi="Times New Roman" w:cs="Times New Roman"/>
          <w:spacing w:val="-4"/>
          <w:sz w:val="24"/>
          <w:szCs w:val="24"/>
        </w:rPr>
        <w:t>,</w:t>
      </w:r>
      <w:r w:rsidR="00F80555">
        <w:rPr>
          <w:rFonts w:ascii="Times New Roman" w:hAnsi="Times New Roman" w:cs="Times New Roman"/>
          <w:spacing w:val="-4"/>
          <w:sz w:val="24"/>
          <w:szCs w:val="24"/>
        </w:rPr>
        <w:t xml:space="preserve"> </w:t>
      </w:r>
      <w:r w:rsidRPr="00FA0F71">
        <w:rPr>
          <w:rFonts w:ascii="Times New Roman" w:hAnsi="Times New Roman" w:cs="Times New Roman"/>
          <w:spacing w:val="-4"/>
          <w:sz w:val="24"/>
          <w:szCs w:val="24"/>
        </w:rPr>
        <w:t>and the other half is due with the application for Firm Commitment.  For affordable new construction or substantial rehabilitation proposals and for any refinancing or acquisition transactions, the entire amount is paid at the Firm Commitment stage</w:t>
      </w:r>
      <w:r w:rsidR="00AF4BE1">
        <w:rPr>
          <w:rFonts w:ascii="Times New Roman" w:hAnsi="Times New Roman" w:cs="Times New Roman"/>
          <w:spacing w:val="-4"/>
          <w:sz w:val="24"/>
          <w:szCs w:val="24"/>
        </w:rPr>
        <w:t>, regardless of whether or not a Pre-Application is filed with HUD</w:t>
      </w:r>
      <w:r w:rsidR="00A56547">
        <w:rPr>
          <w:rFonts w:ascii="Times New Roman" w:hAnsi="Times New Roman" w:cs="Times New Roman"/>
          <w:spacing w:val="-4"/>
          <w:sz w:val="24"/>
          <w:szCs w:val="24"/>
        </w:rPr>
        <w:t xml:space="preserve"> (see Chapter 3.1.L for definition of affordable.)</w:t>
      </w:r>
    </w:p>
    <w:p w:rsidR="0041531A" w:rsidP="006E573A" w:rsidRDefault="0041531A" w14:paraId="0D0D4421" w14:textId="77777777">
      <w:pPr>
        <w:spacing w:line="276" w:lineRule="auto"/>
        <w:ind w:left="360" w:hanging="360"/>
        <w:jc w:val="both"/>
        <w:rPr>
          <w:rFonts w:ascii="Times New Roman" w:hAnsi="Times New Roman" w:cs="Times New Roman"/>
          <w:spacing w:val="-4"/>
          <w:sz w:val="24"/>
          <w:szCs w:val="24"/>
        </w:rPr>
      </w:pPr>
    </w:p>
    <w:p w:rsidRPr="00FA0F71" w:rsidR="006E573A" w:rsidP="005666EA" w:rsidRDefault="003249BA" w14:paraId="5B8553CE" w14:textId="13FE949F">
      <w:pPr>
        <w:spacing w:line="276" w:lineRule="auto"/>
        <w:ind w:left="360"/>
        <w:jc w:val="both"/>
        <w:rPr>
          <w:rFonts w:ascii="Times New Roman" w:hAnsi="Times New Roman" w:cs="Times New Roman"/>
          <w:sz w:val="24"/>
          <w:szCs w:val="24"/>
        </w:rPr>
      </w:pPr>
      <w:r>
        <w:rPr>
          <w:rFonts w:ascii="Times New Roman" w:hAnsi="Times New Roman" w:cs="Times New Roman"/>
          <w:spacing w:val="-4"/>
          <w:sz w:val="24"/>
          <w:szCs w:val="24"/>
        </w:rPr>
        <w:t xml:space="preserve">See </w:t>
      </w:r>
      <w:r w:rsidR="005903F1">
        <w:rPr>
          <w:rFonts w:ascii="Times New Roman" w:hAnsi="Times New Roman" w:cs="Times New Roman"/>
          <w:spacing w:val="-4"/>
          <w:sz w:val="24"/>
          <w:szCs w:val="24"/>
        </w:rPr>
        <w:t>Section 3.1.</w:t>
      </w:r>
      <w:r w:rsidR="008157DF">
        <w:rPr>
          <w:rFonts w:ascii="Times New Roman" w:hAnsi="Times New Roman" w:cs="Times New Roman"/>
          <w:spacing w:val="-4"/>
          <w:sz w:val="24"/>
          <w:szCs w:val="24"/>
        </w:rPr>
        <w:t>JJ</w:t>
      </w:r>
      <w:r w:rsidR="005903F1">
        <w:rPr>
          <w:rFonts w:ascii="Times New Roman" w:hAnsi="Times New Roman" w:cs="Times New Roman"/>
          <w:spacing w:val="-4"/>
          <w:sz w:val="24"/>
          <w:szCs w:val="24"/>
        </w:rPr>
        <w:t xml:space="preserve"> </w:t>
      </w:r>
      <w:r w:rsidR="00870606">
        <w:rPr>
          <w:rFonts w:ascii="Times New Roman" w:hAnsi="Times New Roman" w:cs="Times New Roman"/>
          <w:spacing w:val="-4"/>
          <w:sz w:val="24"/>
          <w:szCs w:val="24"/>
        </w:rPr>
        <w:t xml:space="preserve">for application fees </w:t>
      </w:r>
      <w:r w:rsidR="000E505C">
        <w:rPr>
          <w:rFonts w:ascii="Times New Roman" w:hAnsi="Times New Roman" w:cs="Times New Roman"/>
          <w:spacing w:val="-4"/>
          <w:sz w:val="24"/>
          <w:szCs w:val="24"/>
        </w:rPr>
        <w:t>for projects located in Opportunity Zones.</w:t>
      </w:r>
    </w:p>
    <w:p w:rsidRPr="00FA0F71" w:rsidR="006E573A" w:rsidP="006E573A" w:rsidRDefault="006E573A" w14:paraId="5B8553CF" w14:textId="77777777">
      <w:pPr>
        <w:spacing w:line="276" w:lineRule="auto"/>
        <w:jc w:val="both"/>
        <w:rPr>
          <w:rFonts w:ascii="Times New Roman" w:hAnsi="Times New Roman" w:cs="Times New Roman"/>
          <w:sz w:val="24"/>
          <w:szCs w:val="24"/>
        </w:rPr>
      </w:pPr>
    </w:p>
    <w:p w:rsidRPr="00FA0F71" w:rsidR="006E573A" w:rsidP="006E573A" w:rsidRDefault="006E573A" w14:paraId="5B8553D0" w14:textId="12B67765">
      <w:pPr>
        <w:spacing w:line="276" w:lineRule="auto"/>
        <w:ind w:left="360"/>
        <w:jc w:val="both"/>
        <w:rPr>
          <w:rFonts w:ascii="Times New Roman" w:hAnsi="Times New Roman" w:cs="Times New Roman"/>
          <w:spacing w:val="-4"/>
          <w:sz w:val="24"/>
          <w:szCs w:val="24"/>
        </w:rPr>
      </w:pPr>
      <w:r w:rsidRPr="00FA0F71">
        <w:rPr>
          <w:rFonts w:ascii="Times New Roman" w:hAnsi="Times New Roman" w:cs="Times New Roman"/>
          <w:spacing w:val="-4"/>
          <w:sz w:val="24"/>
          <w:szCs w:val="24"/>
        </w:rPr>
        <w:t xml:space="preserve">For Section 223(a)(7) transactions processed under </w:t>
      </w:r>
      <w:r w:rsidRPr="00FA0F71" w:rsidR="006801F6">
        <w:rPr>
          <w:rFonts w:ascii="Times New Roman" w:hAnsi="Times New Roman" w:cs="Times New Roman"/>
          <w:spacing w:val="-4"/>
          <w:sz w:val="24"/>
          <w:szCs w:val="24"/>
        </w:rPr>
        <w:t>MAP,</w:t>
      </w:r>
      <w:r w:rsidRPr="00FA0F71">
        <w:rPr>
          <w:rFonts w:ascii="Times New Roman" w:hAnsi="Times New Roman" w:cs="Times New Roman"/>
          <w:spacing w:val="-4"/>
          <w:sz w:val="24"/>
          <w:szCs w:val="24"/>
        </w:rPr>
        <w:t xml:space="preserve"> the application fee is $1.50 per thousand dollars of the requested mortgage amount.  </w:t>
      </w:r>
    </w:p>
    <w:p w:rsidRPr="00FA0F71" w:rsidR="006E573A" w:rsidP="006E573A" w:rsidRDefault="006E573A" w14:paraId="5B8553D1" w14:textId="77777777">
      <w:pPr>
        <w:spacing w:line="276" w:lineRule="auto"/>
        <w:jc w:val="both"/>
        <w:rPr>
          <w:rFonts w:ascii="Times New Roman" w:hAnsi="Times New Roman" w:cs="Times New Roman"/>
          <w:spacing w:val="-4"/>
          <w:sz w:val="24"/>
          <w:szCs w:val="24"/>
        </w:rPr>
      </w:pPr>
    </w:p>
    <w:p w:rsidRPr="00FA0F71" w:rsidR="006E573A" w:rsidP="006E573A" w:rsidRDefault="006E573A" w14:paraId="5B8553D2" w14:textId="32CFE619">
      <w:pPr>
        <w:spacing w:line="276" w:lineRule="auto"/>
        <w:ind w:left="360"/>
        <w:jc w:val="both"/>
        <w:rPr>
          <w:rFonts w:ascii="Times New Roman" w:hAnsi="Times New Roman" w:cs="Times New Roman"/>
          <w:spacing w:val="-4"/>
          <w:sz w:val="24"/>
          <w:szCs w:val="24"/>
        </w:rPr>
      </w:pPr>
      <w:r w:rsidRPr="00FA0F71">
        <w:rPr>
          <w:rFonts w:ascii="Times New Roman" w:hAnsi="Times New Roman" w:cs="Times New Roman"/>
          <w:spacing w:val="-4"/>
          <w:sz w:val="24"/>
          <w:szCs w:val="24"/>
        </w:rPr>
        <w:t xml:space="preserve">For Traditional Application Processing (TAP) loans, the application fee is $5 per thousand dollars of the requested mortgage amount for market rate transactions and $3 per thousand dollars of requested mortgage amount if the transaction meets HUD’s definition as Affordable housing or is a Section </w:t>
      </w:r>
      <w:r w:rsidR="00D62733">
        <w:rPr>
          <w:rFonts w:ascii="Times New Roman" w:hAnsi="Times New Roman" w:cs="Times New Roman"/>
          <w:spacing w:val="-4"/>
          <w:sz w:val="24"/>
          <w:szCs w:val="24"/>
        </w:rPr>
        <w:t xml:space="preserve">213 </w:t>
      </w:r>
      <w:r w:rsidRPr="00FA0F71">
        <w:rPr>
          <w:rFonts w:ascii="Times New Roman" w:hAnsi="Times New Roman" w:cs="Times New Roman"/>
          <w:spacing w:val="-4"/>
          <w:sz w:val="24"/>
          <w:szCs w:val="24"/>
        </w:rPr>
        <w:t xml:space="preserve"> loan processed </w:t>
      </w:r>
      <w:r w:rsidR="00C228B2">
        <w:rPr>
          <w:rFonts w:ascii="Times New Roman" w:hAnsi="Times New Roman" w:cs="Times New Roman"/>
          <w:spacing w:val="-4"/>
          <w:sz w:val="24"/>
          <w:szCs w:val="24"/>
        </w:rPr>
        <w:t xml:space="preserve">under </w:t>
      </w:r>
      <w:r w:rsidRPr="00FA0F71">
        <w:rPr>
          <w:rFonts w:ascii="Times New Roman" w:hAnsi="Times New Roman" w:cs="Times New Roman"/>
          <w:spacing w:val="-4"/>
          <w:sz w:val="24"/>
          <w:szCs w:val="24"/>
        </w:rPr>
        <w:t>TAP rather than under MAP.</w:t>
      </w:r>
    </w:p>
    <w:p w:rsidRPr="00FA0F71" w:rsidR="006E573A" w:rsidP="0023547C" w:rsidRDefault="006E573A" w14:paraId="5B8553D3" w14:textId="77777777">
      <w:pPr>
        <w:spacing w:line="276" w:lineRule="auto"/>
        <w:ind w:left="360"/>
        <w:jc w:val="both"/>
        <w:rPr>
          <w:rFonts w:ascii="Times New Roman" w:hAnsi="Times New Roman" w:cs="Times New Roman"/>
          <w:sz w:val="24"/>
          <w:szCs w:val="24"/>
        </w:rPr>
      </w:pPr>
    </w:p>
    <w:p w:rsidRPr="00FA0F71" w:rsidR="006E573A" w:rsidP="006E573A" w:rsidRDefault="006E573A" w14:paraId="5B8553D4" w14:textId="672F4973">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I.</w:t>
      </w:r>
      <w:r w:rsidRPr="00FA0F71">
        <w:rPr>
          <w:rFonts w:ascii="Times New Roman" w:hAnsi="Times New Roman" w:cs="Times New Roman"/>
          <w:b/>
          <w:sz w:val="24"/>
          <w:szCs w:val="24"/>
        </w:rPr>
        <w:t xml:space="preserve">  </w:t>
      </w:r>
      <w:r w:rsidR="00C22551">
        <w:rPr>
          <w:rFonts w:ascii="Times New Roman" w:hAnsi="Times New Roman" w:cs="Times New Roman"/>
          <w:b/>
          <w:sz w:val="24"/>
          <w:szCs w:val="24"/>
        </w:rPr>
        <w:tab/>
      </w:r>
      <w:r w:rsidRPr="00FA0F71">
        <w:rPr>
          <w:rFonts w:ascii="Times New Roman" w:hAnsi="Times New Roman" w:cs="Times New Roman"/>
          <w:b/>
          <w:sz w:val="24"/>
          <w:szCs w:val="24"/>
        </w:rPr>
        <w:t>HUD inspection fee.</w:t>
      </w:r>
      <w:r w:rsidRPr="00FA0F71">
        <w:rPr>
          <w:rFonts w:ascii="Times New Roman" w:hAnsi="Times New Roman" w:cs="Times New Roman"/>
          <w:sz w:val="24"/>
          <w:szCs w:val="24"/>
        </w:rPr>
        <w:t xml:space="preserve">  The HUD inspection fee is $5 per thousand of the mortgage </w:t>
      </w:r>
      <w:r w:rsidRPr="00FA0F71" w:rsidR="00C61B3A">
        <w:rPr>
          <w:rFonts w:ascii="Times New Roman" w:hAnsi="Times New Roman" w:cs="Times New Roman"/>
          <w:sz w:val="24"/>
          <w:szCs w:val="24"/>
        </w:rPr>
        <w:t>amounts</w:t>
      </w:r>
      <w:r w:rsidRPr="00FA0F71">
        <w:rPr>
          <w:rFonts w:ascii="Times New Roman" w:hAnsi="Times New Roman" w:cs="Times New Roman"/>
          <w:sz w:val="24"/>
          <w:szCs w:val="24"/>
        </w:rPr>
        <w:t xml:space="preserve"> for new construction and $5 per thousand of</w:t>
      </w:r>
      <w:r w:rsidR="000A615F">
        <w:rPr>
          <w:rFonts w:ascii="Times New Roman" w:hAnsi="Times New Roman" w:cs="Times New Roman"/>
          <w:sz w:val="24"/>
          <w:szCs w:val="24"/>
        </w:rPr>
        <w:t xml:space="preserve"> the</w:t>
      </w:r>
      <w:r w:rsidRPr="00FA0F71">
        <w:rPr>
          <w:rFonts w:ascii="Times New Roman" w:hAnsi="Times New Roman" w:cs="Times New Roman"/>
          <w:sz w:val="24"/>
          <w:szCs w:val="24"/>
        </w:rPr>
        <w:t xml:space="preserve"> </w:t>
      </w:r>
      <w:r w:rsidR="00336F6A">
        <w:rPr>
          <w:rFonts w:ascii="Times New Roman" w:hAnsi="Times New Roman" w:cs="Times New Roman"/>
          <w:sz w:val="24"/>
          <w:szCs w:val="24"/>
        </w:rPr>
        <w:t xml:space="preserve">total of all </w:t>
      </w:r>
      <w:r w:rsidRPr="00FA0F71">
        <w:rPr>
          <w:rFonts w:ascii="Times New Roman" w:hAnsi="Times New Roman" w:cs="Times New Roman"/>
          <w:sz w:val="24"/>
          <w:szCs w:val="24"/>
        </w:rPr>
        <w:t xml:space="preserve">improvement costs </w:t>
      </w:r>
      <w:r w:rsidR="00CC415D">
        <w:rPr>
          <w:rFonts w:ascii="Times New Roman" w:hAnsi="Times New Roman" w:cs="Times New Roman"/>
          <w:sz w:val="24"/>
          <w:szCs w:val="24"/>
        </w:rPr>
        <w:t>(</w:t>
      </w:r>
      <w:r w:rsidR="0073495A">
        <w:rPr>
          <w:rFonts w:ascii="Times New Roman" w:hAnsi="Times New Roman" w:cs="Times New Roman"/>
          <w:sz w:val="24"/>
          <w:szCs w:val="24"/>
        </w:rPr>
        <w:t xml:space="preserve">line </w:t>
      </w:r>
      <w:r w:rsidR="006579DC">
        <w:rPr>
          <w:rFonts w:ascii="Times New Roman" w:hAnsi="Times New Roman" w:cs="Times New Roman"/>
          <w:sz w:val="24"/>
          <w:szCs w:val="24"/>
        </w:rPr>
        <w:t>G50</w:t>
      </w:r>
      <w:r w:rsidR="0073495A">
        <w:rPr>
          <w:rFonts w:ascii="Times New Roman" w:hAnsi="Times New Roman" w:cs="Times New Roman"/>
          <w:sz w:val="24"/>
          <w:szCs w:val="24"/>
        </w:rPr>
        <w:t xml:space="preserve"> on Form HUD 92264</w:t>
      </w:r>
      <w:r w:rsidR="006579DC">
        <w:rPr>
          <w:rFonts w:ascii="Times New Roman" w:hAnsi="Times New Roman" w:cs="Times New Roman"/>
          <w:sz w:val="24"/>
          <w:szCs w:val="24"/>
        </w:rPr>
        <w:t>)</w:t>
      </w:r>
      <w:r w:rsidR="003873BD">
        <w:rPr>
          <w:rFonts w:ascii="Times New Roman" w:hAnsi="Times New Roman" w:cs="Times New Roman"/>
          <w:sz w:val="24"/>
          <w:szCs w:val="24"/>
        </w:rPr>
        <w:t xml:space="preserve"> </w:t>
      </w:r>
      <w:r w:rsidRPr="00FA0F71">
        <w:rPr>
          <w:rFonts w:ascii="Times New Roman" w:hAnsi="Times New Roman" w:cs="Times New Roman"/>
          <w:sz w:val="24"/>
          <w:szCs w:val="24"/>
        </w:rPr>
        <w:t>for substantial rehabilitation</w:t>
      </w:r>
      <w:r w:rsidR="000A615F">
        <w:rPr>
          <w:rFonts w:ascii="Times New Roman" w:hAnsi="Times New Roman" w:cs="Times New Roman"/>
          <w:sz w:val="24"/>
          <w:szCs w:val="24"/>
        </w:rPr>
        <w:t xml:space="preserve">. The inspection fee is no longer calculated </w:t>
      </w:r>
      <w:r w:rsidR="00520ED9">
        <w:rPr>
          <w:rFonts w:ascii="Times New Roman" w:hAnsi="Times New Roman" w:cs="Times New Roman"/>
          <w:sz w:val="24"/>
          <w:szCs w:val="24"/>
        </w:rPr>
        <w:t xml:space="preserve">on </w:t>
      </w:r>
      <w:r w:rsidR="004B07CC">
        <w:rPr>
          <w:rFonts w:ascii="Times New Roman" w:hAnsi="Times New Roman" w:cs="Times New Roman"/>
          <w:sz w:val="24"/>
          <w:szCs w:val="24"/>
        </w:rPr>
        <w:t>B</w:t>
      </w:r>
      <w:r w:rsidR="002A0B74">
        <w:rPr>
          <w:rFonts w:ascii="Times New Roman" w:hAnsi="Times New Roman" w:cs="Times New Roman"/>
          <w:sz w:val="24"/>
          <w:szCs w:val="24"/>
        </w:rPr>
        <w:t>uilder Sponsor Profit</w:t>
      </w:r>
      <w:r w:rsidR="00A331E0">
        <w:rPr>
          <w:rFonts w:ascii="Times New Roman" w:hAnsi="Times New Roman" w:cs="Times New Roman"/>
          <w:sz w:val="24"/>
          <w:szCs w:val="24"/>
        </w:rPr>
        <w:t xml:space="preserve"> </w:t>
      </w:r>
      <w:r w:rsidR="00CC2E66">
        <w:rPr>
          <w:rFonts w:ascii="Times New Roman" w:hAnsi="Times New Roman" w:cs="Times New Roman"/>
          <w:sz w:val="24"/>
          <w:szCs w:val="24"/>
        </w:rPr>
        <w:t xml:space="preserve">Risk Allowance </w:t>
      </w:r>
      <w:r w:rsidR="00E844AD">
        <w:rPr>
          <w:rFonts w:ascii="Times New Roman" w:hAnsi="Times New Roman" w:cs="Times New Roman"/>
          <w:sz w:val="24"/>
          <w:szCs w:val="24"/>
        </w:rPr>
        <w:t>(</w:t>
      </w:r>
      <w:r w:rsidR="00CC2E66">
        <w:rPr>
          <w:rFonts w:ascii="Times New Roman" w:hAnsi="Times New Roman" w:cs="Times New Roman"/>
          <w:sz w:val="24"/>
          <w:szCs w:val="24"/>
        </w:rPr>
        <w:t>B</w:t>
      </w:r>
      <w:r w:rsidR="004B07CC">
        <w:rPr>
          <w:rFonts w:ascii="Times New Roman" w:hAnsi="Times New Roman" w:cs="Times New Roman"/>
          <w:sz w:val="24"/>
          <w:szCs w:val="24"/>
        </w:rPr>
        <w:t>SPRA</w:t>
      </w:r>
      <w:r w:rsidR="00E844AD">
        <w:rPr>
          <w:rFonts w:ascii="Times New Roman" w:hAnsi="Times New Roman" w:cs="Times New Roman"/>
          <w:sz w:val="24"/>
          <w:szCs w:val="24"/>
        </w:rPr>
        <w:t>)</w:t>
      </w:r>
      <w:r w:rsidR="004B07CC">
        <w:rPr>
          <w:rFonts w:ascii="Times New Roman" w:hAnsi="Times New Roman" w:cs="Times New Roman"/>
          <w:sz w:val="24"/>
          <w:szCs w:val="24"/>
        </w:rPr>
        <w:t xml:space="preserve"> and S</w:t>
      </w:r>
      <w:r w:rsidR="00E844AD">
        <w:rPr>
          <w:rFonts w:ascii="Times New Roman" w:hAnsi="Times New Roman" w:cs="Times New Roman"/>
          <w:sz w:val="24"/>
          <w:szCs w:val="24"/>
        </w:rPr>
        <w:t xml:space="preserve">ponsor’s Profit Risk Allowance </w:t>
      </w:r>
      <w:r w:rsidR="00565DB3">
        <w:rPr>
          <w:rFonts w:ascii="Times New Roman" w:hAnsi="Times New Roman" w:cs="Times New Roman"/>
          <w:sz w:val="24"/>
          <w:szCs w:val="24"/>
        </w:rPr>
        <w:t>(S</w:t>
      </w:r>
      <w:r w:rsidR="004B07CC">
        <w:rPr>
          <w:rFonts w:ascii="Times New Roman" w:hAnsi="Times New Roman" w:cs="Times New Roman"/>
          <w:sz w:val="24"/>
          <w:szCs w:val="24"/>
        </w:rPr>
        <w:t>PRA</w:t>
      </w:r>
      <w:r w:rsidR="00565DB3">
        <w:rPr>
          <w:rFonts w:ascii="Times New Roman" w:hAnsi="Times New Roman" w:cs="Times New Roman"/>
          <w:sz w:val="24"/>
          <w:szCs w:val="24"/>
        </w:rPr>
        <w:t>)</w:t>
      </w:r>
      <w:r w:rsidRPr="00FA0F71">
        <w:rPr>
          <w:rFonts w:ascii="Times New Roman" w:hAnsi="Times New Roman" w:cs="Times New Roman"/>
          <w:sz w:val="24"/>
          <w:szCs w:val="24"/>
        </w:rPr>
        <w:t>. There is no inspection fee for Section 223(a)(7) projects (even if there are repairs).  For loans insured pursuant to Section 207/223(f), the inspection fee is the following:</w:t>
      </w:r>
    </w:p>
    <w:p w:rsidRPr="00FA0F71" w:rsidR="006E573A" w:rsidP="006E573A" w:rsidRDefault="006E573A" w14:paraId="5B8553D5" w14:textId="77777777">
      <w:pPr>
        <w:spacing w:line="276" w:lineRule="auto"/>
        <w:ind w:left="720" w:hanging="360"/>
        <w:jc w:val="both"/>
        <w:rPr>
          <w:rFonts w:ascii="Times New Roman" w:hAnsi="Times New Roman" w:cs="Times New Roman"/>
          <w:bCs/>
          <w:sz w:val="24"/>
          <w:szCs w:val="24"/>
        </w:rPr>
      </w:pPr>
    </w:p>
    <w:p w:rsidRPr="00FA0F71" w:rsidR="006E573A" w:rsidP="006E573A" w:rsidRDefault="006E573A" w14:paraId="5B8553D6" w14:textId="77777777">
      <w:pPr>
        <w:spacing w:line="276" w:lineRule="auto"/>
        <w:ind w:left="1080" w:hanging="360"/>
        <w:jc w:val="both"/>
        <w:rPr>
          <w:rFonts w:ascii="Times New Roman" w:hAnsi="Times New Roman" w:cs="Times New Roman"/>
          <w:sz w:val="24"/>
          <w:szCs w:val="24"/>
          <w:shd w:val="clear" w:color="auto" w:fill="FFFFFF"/>
        </w:rPr>
      </w:pPr>
      <w:r w:rsidRPr="00FA0F71">
        <w:rPr>
          <w:rFonts w:ascii="Times New Roman" w:hAnsi="Times New Roman" w:cs="Times New Roman"/>
          <w:sz w:val="24"/>
          <w:szCs w:val="24"/>
        </w:rPr>
        <w:t xml:space="preserve">1.  </w:t>
      </w:r>
      <w:r w:rsidRPr="00FA0F71">
        <w:rPr>
          <w:rFonts w:ascii="Times New Roman" w:hAnsi="Times New Roman" w:cs="Times New Roman"/>
          <w:sz w:val="24"/>
          <w:szCs w:val="24"/>
          <w:shd w:val="clear" w:color="auto" w:fill="FFFFFF"/>
        </w:rPr>
        <w:t>$30 per unit where the repairs/improvements are greater than $100,000 in total but $3,000 or less per unit.</w:t>
      </w:r>
    </w:p>
    <w:p w:rsidRPr="00FA0F71" w:rsidR="006E573A" w:rsidP="006E573A" w:rsidRDefault="006E573A" w14:paraId="5B8553D7" w14:textId="77777777">
      <w:pPr>
        <w:spacing w:line="276" w:lineRule="auto"/>
        <w:ind w:left="1080" w:hanging="360"/>
        <w:jc w:val="both"/>
        <w:rPr>
          <w:rFonts w:ascii="Times New Roman" w:hAnsi="Times New Roman" w:cs="Times New Roman"/>
          <w:sz w:val="24"/>
          <w:szCs w:val="24"/>
          <w:shd w:val="clear" w:color="auto" w:fill="FFFFFF"/>
        </w:rPr>
      </w:pPr>
      <w:r w:rsidRPr="00FA0F71">
        <w:rPr>
          <w:rFonts w:ascii="Times New Roman" w:hAnsi="Times New Roman" w:cs="Times New Roman"/>
          <w:sz w:val="24"/>
          <w:szCs w:val="24"/>
          <w:shd w:val="clear" w:color="auto" w:fill="FFFFFF"/>
        </w:rPr>
        <w:t>2. The greater of $30 per unit or 1% of the cost of repairs or $1,500, where the repairs/improvements are more than $3,000 per unit.</w:t>
      </w:r>
    </w:p>
    <w:p w:rsidRPr="00FA0F71" w:rsidR="006E573A" w:rsidP="006E573A" w:rsidRDefault="006E573A" w14:paraId="5B8553D8" w14:textId="77777777">
      <w:pPr>
        <w:spacing w:line="276" w:lineRule="auto"/>
        <w:ind w:left="1080" w:hanging="360"/>
        <w:jc w:val="both"/>
        <w:rPr>
          <w:rFonts w:ascii="Times New Roman" w:hAnsi="Times New Roman" w:cs="Times New Roman"/>
          <w:sz w:val="24"/>
          <w:szCs w:val="24"/>
          <w:shd w:val="clear" w:color="auto" w:fill="FFFFFF"/>
        </w:rPr>
      </w:pPr>
      <w:r w:rsidRPr="00FA0F71">
        <w:rPr>
          <w:rFonts w:ascii="Times New Roman" w:hAnsi="Times New Roman" w:cs="Times New Roman"/>
          <w:sz w:val="24"/>
          <w:szCs w:val="24"/>
          <w:shd w:val="clear" w:color="auto" w:fill="FFFFFF"/>
        </w:rPr>
        <w:t xml:space="preserve">3. $1,500 where the total repairs/improvements are less than $100,000, which may be decreased by the Regional Center or Satellite Office, if the lender elects to take responsibility for the inspection. </w:t>
      </w:r>
    </w:p>
    <w:p w:rsidRPr="00FA0F71" w:rsidR="006E573A" w:rsidP="006E573A" w:rsidRDefault="006E573A" w14:paraId="5B8553D9" w14:textId="77777777">
      <w:pPr>
        <w:spacing w:line="276" w:lineRule="auto"/>
        <w:ind w:left="720"/>
        <w:jc w:val="both"/>
        <w:rPr>
          <w:rFonts w:ascii="Times New Roman" w:hAnsi="Times New Roman" w:cs="Times New Roman"/>
          <w:sz w:val="24"/>
          <w:szCs w:val="24"/>
        </w:rPr>
      </w:pPr>
    </w:p>
    <w:p w:rsidR="00AD0DDC" w:rsidP="007C59B7" w:rsidRDefault="006E573A" w14:paraId="4B1CD10C" w14:textId="3F335DA8">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J.</w:t>
      </w:r>
      <w:r w:rsidRPr="00FA0F71">
        <w:rPr>
          <w:rFonts w:ascii="Times New Roman" w:hAnsi="Times New Roman" w:cs="Times New Roman"/>
          <w:b/>
          <w:sz w:val="24"/>
          <w:szCs w:val="24"/>
        </w:rPr>
        <w:t xml:space="preserve"> </w:t>
      </w:r>
      <w:r w:rsidR="00C22551">
        <w:rPr>
          <w:rFonts w:ascii="Times New Roman" w:hAnsi="Times New Roman" w:cs="Times New Roman"/>
          <w:b/>
          <w:sz w:val="24"/>
          <w:szCs w:val="24"/>
        </w:rPr>
        <w:tab/>
      </w:r>
      <w:r w:rsidRPr="00FA0F71">
        <w:rPr>
          <w:rFonts w:ascii="Times New Roman" w:hAnsi="Times New Roman" w:cs="Times New Roman"/>
          <w:b/>
          <w:sz w:val="24"/>
          <w:szCs w:val="24"/>
        </w:rPr>
        <w:t>Mortgage insurance premium.</w:t>
      </w:r>
      <w:r w:rsidRPr="00FA0F71">
        <w:rPr>
          <w:rFonts w:ascii="Times New Roman" w:hAnsi="Times New Roman" w:cs="Times New Roman"/>
          <w:sz w:val="24"/>
          <w:szCs w:val="24"/>
        </w:rPr>
        <w:t xml:space="preserve"> The mortgage insurance premiums are established by the Firm Commitment and may not be changed after initial endorsement. The annual mortgage insurance premiums (MIP) are based on a percentage of the mortgage amount and may vary, depending on the insurance program </w:t>
      </w:r>
      <w:r w:rsidRPr="00FA0F71" w:rsidR="006801F6">
        <w:rPr>
          <w:rFonts w:ascii="Times New Roman" w:hAnsi="Times New Roman" w:cs="Times New Roman"/>
          <w:sz w:val="24"/>
          <w:szCs w:val="24"/>
        </w:rPr>
        <w:t>and the</w:t>
      </w:r>
      <w:r w:rsidRPr="00FA0F71">
        <w:rPr>
          <w:rFonts w:ascii="Times New Roman" w:hAnsi="Times New Roman" w:cs="Times New Roman"/>
          <w:sz w:val="24"/>
          <w:szCs w:val="24"/>
        </w:rPr>
        <w:t xml:space="preserve"> MIP</w:t>
      </w:r>
      <w:r w:rsidR="00866AAE">
        <w:rPr>
          <w:rFonts w:ascii="Times New Roman" w:hAnsi="Times New Roman" w:cs="Times New Roman"/>
          <w:sz w:val="24"/>
          <w:szCs w:val="24"/>
        </w:rPr>
        <w:t xml:space="preserve"> rates</w:t>
      </w:r>
      <w:r w:rsidRPr="00FA0F71">
        <w:rPr>
          <w:rFonts w:ascii="Times New Roman" w:hAnsi="Times New Roman" w:cs="Times New Roman"/>
          <w:sz w:val="24"/>
          <w:szCs w:val="24"/>
        </w:rPr>
        <w:t xml:space="preserve"> </w:t>
      </w:r>
      <w:r w:rsidR="00622BA9">
        <w:rPr>
          <w:rFonts w:ascii="Times New Roman" w:hAnsi="Times New Roman" w:cs="Times New Roman"/>
          <w:sz w:val="24"/>
          <w:szCs w:val="24"/>
        </w:rPr>
        <w:t xml:space="preserve">as </w:t>
      </w:r>
      <w:r w:rsidR="006B50AD">
        <w:rPr>
          <w:rFonts w:ascii="Times New Roman" w:hAnsi="Times New Roman" w:cs="Times New Roman"/>
          <w:sz w:val="24"/>
          <w:szCs w:val="24"/>
        </w:rPr>
        <w:t>most</w:t>
      </w:r>
      <w:r w:rsidR="00622BA9">
        <w:rPr>
          <w:rFonts w:ascii="Times New Roman" w:hAnsi="Times New Roman" w:cs="Times New Roman"/>
          <w:sz w:val="24"/>
          <w:szCs w:val="24"/>
        </w:rPr>
        <w:t xml:space="preserve"> </w:t>
      </w:r>
      <w:r w:rsidR="006801F6">
        <w:rPr>
          <w:rFonts w:ascii="Times New Roman" w:hAnsi="Times New Roman" w:cs="Times New Roman"/>
          <w:sz w:val="24"/>
          <w:szCs w:val="24"/>
        </w:rPr>
        <w:t xml:space="preserve">recently </w:t>
      </w:r>
      <w:r w:rsidRPr="00FA0F71" w:rsidR="006801F6">
        <w:rPr>
          <w:rFonts w:ascii="Times New Roman" w:hAnsi="Times New Roman" w:cs="Times New Roman"/>
          <w:sz w:val="24"/>
          <w:szCs w:val="24"/>
        </w:rPr>
        <w:t>posted</w:t>
      </w:r>
      <w:r w:rsidRPr="00FA0F71">
        <w:rPr>
          <w:rFonts w:ascii="Times New Roman" w:hAnsi="Times New Roman" w:cs="Times New Roman"/>
          <w:sz w:val="24"/>
          <w:szCs w:val="24"/>
        </w:rPr>
        <w:t xml:space="preserve"> </w:t>
      </w:r>
      <w:r w:rsidR="006579DC">
        <w:rPr>
          <w:rFonts w:ascii="Times New Roman" w:hAnsi="Times New Roman" w:cs="Times New Roman"/>
          <w:sz w:val="24"/>
          <w:szCs w:val="24"/>
        </w:rPr>
        <w:t>in</w:t>
      </w:r>
      <w:r w:rsidRPr="00FA0F71" w:rsidR="006579DC">
        <w:rPr>
          <w:rFonts w:ascii="Times New Roman" w:hAnsi="Times New Roman" w:cs="Times New Roman"/>
          <w:sz w:val="24"/>
          <w:szCs w:val="24"/>
        </w:rPr>
        <w:t xml:space="preserve"> </w:t>
      </w:r>
      <w:r w:rsidR="00622BA9">
        <w:rPr>
          <w:rFonts w:ascii="Times New Roman" w:hAnsi="Times New Roman" w:cs="Times New Roman"/>
          <w:sz w:val="24"/>
          <w:szCs w:val="24"/>
        </w:rPr>
        <w:t>the Federal Register</w:t>
      </w:r>
      <w:r w:rsidRPr="00FA0F71">
        <w:rPr>
          <w:rFonts w:ascii="Times New Roman" w:hAnsi="Times New Roman" w:cs="Times New Roman"/>
          <w:sz w:val="24"/>
          <w:szCs w:val="24"/>
        </w:rPr>
        <w:t>.</w:t>
      </w:r>
      <w:r w:rsidR="00ED6414">
        <w:rPr>
          <w:rFonts w:ascii="Times New Roman" w:hAnsi="Times New Roman" w:cs="Times New Roman"/>
          <w:sz w:val="24"/>
          <w:szCs w:val="24"/>
        </w:rPr>
        <w:t xml:space="preserve">  </w:t>
      </w:r>
      <w:r w:rsidR="002D7008">
        <w:rPr>
          <w:rFonts w:ascii="Times New Roman" w:hAnsi="Times New Roman" w:cs="Times New Roman"/>
          <w:sz w:val="24"/>
          <w:szCs w:val="24"/>
        </w:rPr>
        <w:t xml:space="preserve">For New Construction or </w:t>
      </w:r>
      <w:r w:rsidR="00C1482A">
        <w:rPr>
          <w:rFonts w:ascii="Times New Roman" w:hAnsi="Times New Roman" w:cs="Times New Roman"/>
          <w:sz w:val="24"/>
          <w:szCs w:val="24"/>
        </w:rPr>
        <w:t>Substantial</w:t>
      </w:r>
      <w:r w:rsidR="002D7008">
        <w:rPr>
          <w:rFonts w:ascii="Times New Roman" w:hAnsi="Times New Roman" w:cs="Times New Roman"/>
          <w:sz w:val="24"/>
          <w:szCs w:val="24"/>
        </w:rPr>
        <w:t xml:space="preserve"> </w:t>
      </w:r>
      <w:r w:rsidR="00775E23">
        <w:rPr>
          <w:rFonts w:ascii="Times New Roman" w:hAnsi="Times New Roman" w:cs="Times New Roman"/>
          <w:sz w:val="24"/>
          <w:szCs w:val="24"/>
        </w:rPr>
        <w:t>Rehabilitation,</w:t>
      </w:r>
      <w:r w:rsidR="002D7008">
        <w:rPr>
          <w:rFonts w:ascii="Times New Roman" w:hAnsi="Times New Roman" w:cs="Times New Roman"/>
          <w:sz w:val="24"/>
          <w:szCs w:val="24"/>
        </w:rPr>
        <w:t xml:space="preserve"> the </w:t>
      </w:r>
      <w:r w:rsidR="0004017E">
        <w:rPr>
          <w:rFonts w:ascii="Times New Roman" w:hAnsi="Times New Roman" w:cs="Times New Roman"/>
          <w:sz w:val="24"/>
          <w:szCs w:val="24"/>
        </w:rPr>
        <w:t xml:space="preserve">initial </w:t>
      </w:r>
      <w:r w:rsidR="006717C0">
        <w:rPr>
          <w:rFonts w:ascii="Times New Roman" w:hAnsi="Times New Roman" w:cs="Times New Roman"/>
          <w:sz w:val="24"/>
          <w:szCs w:val="24"/>
        </w:rPr>
        <w:t xml:space="preserve">annual </w:t>
      </w:r>
      <w:r w:rsidR="00610FF2">
        <w:rPr>
          <w:rFonts w:ascii="Times New Roman" w:hAnsi="Times New Roman" w:cs="Times New Roman"/>
          <w:sz w:val="24"/>
          <w:szCs w:val="24"/>
        </w:rPr>
        <w:t xml:space="preserve">capitalized </w:t>
      </w:r>
      <w:r w:rsidR="002D7008">
        <w:rPr>
          <w:rFonts w:ascii="Times New Roman" w:hAnsi="Times New Roman" w:cs="Times New Roman"/>
          <w:sz w:val="24"/>
          <w:szCs w:val="24"/>
        </w:rPr>
        <w:t>MIP</w:t>
      </w:r>
      <w:r w:rsidR="0004017E">
        <w:rPr>
          <w:rFonts w:ascii="Times New Roman" w:hAnsi="Times New Roman" w:cs="Times New Roman"/>
          <w:sz w:val="24"/>
          <w:szCs w:val="24"/>
        </w:rPr>
        <w:t xml:space="preserve"> is </w:t>
      </w:r>
      <w:r w:rsidR="00B63551">
        <w:rPr>
          <w:rFonts w:ascii="Times New Roman" w:hAnsi="Times New Roman" w:cs="Times New Roman"/>
          <w:sz w:val="24"/>
          <w:szCs w:val="24"/>
        </w:rPr>
        <w:t>collected</w:t>
      </w:r>
      <w:r w:rsidR="0004017E">
        <w:rPr>
          <w:rFonts w:ascii="Times New Roman" w:hAnsi="Times New Roman" w:cs="Times New Roman"/>
          <w:sz w:val="24"/>
          <w:szCs w:val="24"/>
        </w:rPr>
        <w:t xml:space="preserve"> at </w:t>
      </w:r>
      <w:r w:rsidR="00B63551">
        <w:rPr>
          <w:rFonts w:ascii="Times New Roman" w:hAnsi="Times New Roman" w:cs="Times New Roman"/>
          <w:sz w:val="24"/>
          <w:szCs w:val="24"/>
        </w:rPr>
        <w:t>I</w:t>
      </w:r>
      <w:r w:rsidR="0004017E">
        <w:rPr>
          <w:rFonts w:ascii="Times New Roman" w:hAnsi="Times New Roman" w:cs="Times New Roman"/>
          <w:sz w:val="24"/>
          <w:szCs w:val="24"/>
        </w:rPr>
        <w:t xml:space="preserve">nitial </w:t>
      </w:r>
      <w:r w:rsidR="00B63551">
        <w:rPr>
          <w:rFonts w:ascii="Times New Roman" w:hAnsi="Times New Roman" w:cs="Times New Roman"/>
          <w:sz w:val="24"/>
          <w:szCs w:val="24"/>
        </w:rPr>
        <w:t>E</w:t>
      </w:r>
      <w:r w:rsidR="0004017E">
        <w:rPr>
          <w:rFonts w:ascii="Times New Roman" w:hAnsi="Times New Roman" w:cs="Times New Roman"/>
          <w:sz w:val="24"/>
          <w:szCs w:val="24"/>
        </w:rPr>
        <w:t>ndorsement</w:t>
      </w:r>
      <w:r w:rsidR="007A57C7">
        <w:rPr>
          <w:rFonts w:ascii="Times New Roman" w:hAnsi="Times New Roman" w:cs="Times New Roman"/>
          <w:sz w:val="24"/>
          <w:szCs w:val="24"/>
        </w:rPr>
        <w:t>.</w:t>
      </w:r>
      <w:r w:rsidR="00D174AD">
        <w:rPr>
          <w:rFonts w:ascii="Times New Roman" w:hAnsi="Times New Roman" w:cs="Times New Roman"/>
          <w:sz w:val="24"/>
          <w:szCs w:val="24"/>
        </w:rPr>
        <w:t xml:space="preserve"> </w:t>
      </w:r>
      <w:r w:rsidRPr="00EC0F04" w:rsidR="00EC0F04">
        <w:rPr>
          <w:rFonts w:ascii="Times New Roman" w:hAnsi="Times New Roman" w:cs="Times New Roman"/>
          <w:sz w:val="24"/>
          <w:szCs w:val="24"/>
        </w:rPr>
        <w:t xml:space="preserve">The capitalized MIP is based on the loan amount times the number of </w:t>
      </w:r>
      <w:r w:rsidR="004C5D7E">
        <w:rPr>
          <w:rFonts w:ascii="Times New Roman" w:hAnsi="Times New Roman" w:cs="Times New Roman"/>
          <w:sz w:val="24"/>
          <w:szCs w:val="24"/>
        </w:rPr>
        <w:t>months</w:t>
      </w:r>
      <w:r w:rsidRPr="00EC0F04" w:rsidR="00EC0F04">
        <w:rPr>
          <w:rFonts w:ascii="Times New Roman" w:hAnsi="Times New Roman" w:cs="Times New Roman"/>
          <w:sz w:val="24"/>
          <w:szCs w:val="24"/>
        </w:rPr>
        <w:t xml:space="preserve"> of construction, rounded up for partial years</w:t>
      </w:r>
      <w:r w:rsidR="00EC0F04">
        <w:rPr>
          <w:rFonts w:ascii="Times New Roman" w:hAnsi="Times New Roman" w:cs="Times New Roman"/>
          <w:sz w:val="24"/>
          <w:szCs w:val="24"/>
        </w:rPr>
        <w:t xml:space="preserve">. </w:t>
      </w:r>
      <w:r w:rsidRPr="00737C19" w:rsidR="00737C19">
        <w:rPr>
          <w:rFonts w:ascii="Times New Roman" w:hAnsi="Times New Roman" w:cs="Times New Roman"/>
          <w:sz w:val="24"/>
          <w:szCs w:val="24"/>
        </w:rPr>
        <w:t>A</w:t>
      </w:r>
      <w:r w:rsidRPr="00737C19" w:rsidR="00D174AD">
        <w:rPr>
          <w:rFonts w:ascii="Times New Roman" w:hAnsi="Times New Roman" w:cs="Times New Roman"/>
          <w:sz w:val="24"/>
          <w:szCs w:val="24"/>
        </w:rPr>
        <w:t>ny</w:t>
      </w:r>
      <w:r w:rsidRPr="00737C19" w:rsidR="00354138">
        <w:rPr>
          <w:rFonts w:ascii="Times New Roman" w:hAnsi="Times New Roman" w:cs="Times New Roman"/>
          <w:sz w:val="24"/>
          <w:szCs w:val="24"/>
        </w:rPr>
        <w:t xml:space="preserve"> </w:t>
      </w:r>
      <w:r w:rsidRPr="00737C19" w:rsidR="00FA66CB">
        <w:rPr>
          <w:rFonts w:ascii="Times New Roman" w:hAnsi="Times New Roman" w:cs="Times New Roman"/>
          <w:sz w:val="24"/>
          <w:szCs w:val="24"/>
        </w:rPr>
        <w:t>MIP</w:t>
      </w:r>
      <w:r w:rsidRPr="00737C19" w:rsidR="00CA0DE0">
        <w:rPr>
          <w:rFonts w:ascii="Times New Roman" w:hAnsi="Times New Roman" w:cs="Times New Roman"/>
          <w:sz w:val="24"/>
          <w:szCs w:val="24"/>
        </w:rPr>
        <w:t xml:space="preserve"> </w:t>
      </w:r>
      <w:r w:rsidRPr="00737C19" w:rsidR="00354138">
        <w:rPr>
          <w:rFonts w:ascii="Times New Roman" w:hAnsi="Times New Roman" w:cs="Times New Roman"/>
          <w:sz w:val="24"/>
          <w:szCs w:val="24"/>
        </w:rPr>
        <w:t xml:space="preserve">premium </w:t>
      </w:r>
      <w:r w:rsidRPr="00737C19" w:rsidR="00CA0DE0">
        <w:rPr>
          <w:rFonts w:ascii="Times New Roman" w:hAnsi="Times New Roman" w:cs="Times New Roman"/>
          <w:sz w:val="24"/>
          <w:szCs w:val="24"/>
        </w:rPr>
        <w:t xml:space="preserve">due </w:t>
      </w:r>
      <w:r w:rsidRPr="00737C19" w:rsidR="00021E86">
        <w:rPr>
          <w:rFonts w:ascii="Times New Roman" w:hAnsi="Times New Roman" w:cs="Times New Roman"/>
          <w:sz w:val="24"/>
          <w:szCs w:val="24"/>
        </w:rPr>
        <w:t>for a partial year</w:t>
      </w:r>
      <w:r w:rsidRPr="00737C19" w:rsidR="00D174AD">
        <w:rPr>
          <w:rFonts w:ascii="Times New Roman" w:hAnsi="Times New Roman" w:cs="Times New Roman"/>
          <w:sz w:val="24"/>
          <w:szCs w:val="24"/>
        </w:rPr>
        <w:t xml:space="preserve"> of construction </w:t>
      </w:r>
      <w:r w:rsidRPr="00737C19" w:rsidR="00B46EA5">
        <w:rPr>
          <w:rFonts w:ascii="Times New Roman" w:hAnsi="Times New Roman" w:cs="Times New Roman"/>
          <w:sz w:val="24"/>
          <w:szCs w:val="24"/>
        </w:rPr>
        <w:t>is</w:t>
      </w:r>
      <w:r w:rsidRPr="00737C19" w:rsidR="00610FF2">
        <w:rPr>
          <w:rFonts w:ascii="Times New Roman" w:hAnsi="Times New Roman" w:cs="Times New Roman"/>
          <w:sz w:val="24"/>
          <w:szCs w:val="24"/>
        </w:rPr>
        <w:t xml:space="preserve"> </w:t>
      </w:r>
      <w:r w:rsidR="00EB5626">
        <w:rPr>
          <w:rFonts w:ascii="Times New Roman" w:hAnsi="Times New Roman" w:cs="Times New Roman"/>
          <w:sz w:val="24"/>
          <w:szCs w:val="24"/>
        </w:rPr>
        <w:t xml:space="preserve">paid </w:t>
      </w:r>
      <w:r w:rsidR="000801FF">
        <w:rPr>
          <w:rFonts w:ascii="Times New Roman" w:hAnsi="Times New Roman" w:cs="Times New Roman"/>
          <w:sz w:val="24"/>
          <w:szCs w:val="24"/>
        </w:rPr>
        <w:t xml:space="preserve">at the anniversary of the </w:t>
      </w:r>
      <w:r w:rsidR="00D36EDA">
        <w:rPr>
          <w:rFonts w:ascii="Times New Roman" w:hAnsi="Times New Roman" w:cs="Times New Roman"/>
          <w:sz w:val="24"/>
          <w:szCs w:val="24"/>
        </w:rPr>
        <w:t>I</w:t>
      </w:r>
      <w:r w:rsidR="0062025D">
        <w:rPr>
          <w:rFonts w:ascii="Times New Roman" w:hAnsi="Times New Roman" w:cs="Times New Roman"/>
          <w:sz w:val="24"/>
          <w:szCs w:val="24"/>
        </w:rPr>
        <w:t xml:space="preserve">nitial </w:t>
      </w:r>
      <w:r w:rsidR="00D36EDA">
        <w:rPr>
          <w:rFonts w:ascii="Times New Roman" w:hAnsi="Times New Roman" w:cs="Times New Roman"/>
          <w:sz w:val="24"/>
          <w:szCs w:val="24"/>
        </w:rPr>
        <w:t>E</w:t>
      </w:r>
      <w:r w:rsidR="0062025D">
        <w:rPr>
          <w:rFonts w:ascii="Times New Roman" w:hAnsi="Times New Roman" w:cs="Times New Roman"/>
          <w:sz w:val="24"/>
          <w:szCs w:val="24"/>
        </w:rPr>
        <w:t xml:space="preserve">ndorsement. </w:t>
      </w:r>
      <w:r w:rsidR="00C3656F">
        <w:rPr>
          <w:rFonts w:ascii="Times New Roman" w:hAnsi="Times New Roman" w:cs="Times New Roman"/>
          <w:sz w:val="24"/>
          <w:szCs w:val="24"/>
        </w:rPr>
        <w:t xml:space="preserve">All </w:t>
      </w:r>
      <w:r w:rsidR="00D36EDA">
        <w:rPr>
          <w:rFonts w:ascii="Times New Roman" w:hAnsi="Times New Roman" w:cs="Times New Roman"/>
          <w:sz w:val="24"/>
          <w:szCs w:val="24"/>
        </w:rPr>
        <w:t xml:space="preserve">MIP </w:t>
      </w:r>
      <w:r w:rsidR="00C3656F">
        <w:rPr>
          <w:rFonts w:ascii="Times New Roman" w:hAnsi="Times New Roman" w:cs="Times New Roman"/>
          <w:sz w:val="24"/>
          <w:szCs w:val="24"/>
        </w:rPr>
        <w:t xml:space="preserve">payments </w:t>
      </w:r>
      <w:r w:rsidR="008F21D4">
        <w:rPr>
          <w:rFonts w:ascii="Times New Roman" w:hAnsi="Times New Roman" w:cs="Times New Roman"/>
          <w:sz w:val="24"/>
          <w:szCs w:val="24"/>
        </w:rPr>
        <w:t xml:space="preserve">collected </w:t>
      </w:r>
      <w:r w:rsidR="00163EFC">
        <w:rPr>
          <w:rFonts w:ascii="Times New Roman" w:hAnsi="Times New Roman" w:cs="Times New Roman"/>
          <w:sz w:val="24"/>
          <w:szCs w:val="24"/>
        </w:rPr>
        <w:t xml:space="preserve">between Initial and </w:t>
      </w:r>
      <w:r w:rsidR="00D36EDA">
        <w:rPr>
          <w:rFonts w:ascii="Times New Roman" w:hAnsi="Times New Roman" w:cs="Times New Roman"/>
          <w:sz w:val="24"/>
          <w:szCs w:val="24"/>
        </w:rPr>
        <w:t xml:space="preserve">Final Endorsement are reconciled at </w:t>
      </w:r>
      <w:r w:rsidRPr="00737C19" w:rsidR="00B63551">
        <w:rPr>
          <w:rFonts w:ascii="Times New Roman" w:hAnsi="Times New Roman" w:cs="Times New Roman"/>
          <w:sz w:val="24"/>
          <w:szCs w:val="24"/>
        </w:rPr>
        <w:t xml:space="preserve">Final </w:t>
      </w:r>
      <w:r w:rsidRPr="00737C19" w:rsidR="006801F6">
        <w:rPr>
          <w:rFonts w:ascii="Times New Roman" w:hAnsi="Times New Roman" w:cs="Times New Roman"/>
          <w:sz w:val="24"/>
          <w:szCs w:val="24"/>
        </w:rPr>
        <w:t>Endorsement.</w:t>
      </w:r>
      <w:r w:rsidR="002D7008">
        <w:rPr>
          <w:rFonts w:ascii="Times New Roman" w:hAnsi="Times New Roman" w:cs="Times New Roman"/>
          <w:sz w:val="24"/>
          <w:szCs w:val="24"/>
        </w:rPr>
        <w:t xml:space="preserve"> </w:t>
      </w:r>
    </w:p>
    <w:p w:rsidR="00AD0DDC" w:rsidP="007C59B7" w:rsidRDefault="00AD0DDC" w14:paraId="4AD83E9F" w14:textId="77777777">
      <w:pPr>
        <w:spacing w:line="276" w:lineRule="auto"/>
        <w:ind w:left="360" w:hanging="360"/>
        <w:jc w:val="both"/>
        <w:rPr>
          <w:rFonts w:ascii="Times New Roman" w:hAnsi="Times New Roman" w:cs="Times New Roman"/>
          <w:sz w:val="24"/>
          <w:szCs w:val="24"/>
        </w:rPr>
      </w:pPr>
    </w:p>
    <w:p w:rsidR="00974580" w:rsidP="00F239D1" w:rsidRDefault="00AD0DDC" w14:paraId="38BD6770" w14:textId="23172082">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For Section 223(f) and </w:t>
      </w:r>
      <w:r w:rsidR="00925EDE">
        <w:rPr>
          <w:rFonts w:ascii="Times New Roman" w:hAnsi="Times New Roman" w:cs="Times New Roman"/>
          <w:sz w:val="24"/>
          <w:szCs w:val="24"/>
        </w:rPr>
        <w:t>Section 223(a)(7) loans t</w:t>
      </w:r>
      <w:r w:rsidRPr="00FA0F71" w:rsidR="00974580">
        <w:rPr>
          <w:rFonts w:ascii="Times New Roman" w:hAnsi="Times New Roman" w:cs="Times New Roman"/>
          <w:sz w:val="24"/>
          <w:szCs w:val="24"/>
        </w:rPr>
        <w:t xml:space="preserve">he </w:t>
      </w:r>
      <w:r w:rsidR="00B86C2D">
        <w:rPr>
          <w:rFonts w:ascii="Times New Roman" w:hAnsi="Times New Roman" w:cs="Times New Roman"/>
          <w:sz w:val="24"/>
          <w:szCs w:val="24"/>
        </w:rPr>
        <w:t>up</w:t>
      </w:r>
      <w:r w:rsidR="00D04EA3">
        <w:rPr>
          <w:rFonts w:ascii="Times New Roman" w:hAnsi="Times New Roman" w:cs="Times New Roman"/>
          <w:sz w:val="24"/>
          <w:szCs w:val="24"/>
        </w:rPr>
        <w:t>front capitalized MIP</w:t>
      </w:r>
      <w:r w:rsidRPr="00FA0F71" w:rsidR="00974580">
        <w:rPr>
          <w:rFonts w:ascii="Times New Roman" w:hAnsi="Times New Roman" w:cs="Times New Roman"/>
          <w:sz w:val="24"/>
          <w:szCs w:val="24"/>
        </w:rPr>
        <w:t xml:space="preserve"> is payable at </w:t>
      </w:r>
      <w:r w:rsidR="00974580">
        <w:rPr>
          <w:rFonts w:ascii="Times New Roman" w:hAnsi="Times New Roman" w:cs="Times New Roman"/>
          <w:sz w:val="24"/>
          <w:szCs w:val="24"/>
        </w:rPr>
        <w:t>I</w:t>
      </w:r>
      <w:r w:rsidRPr="00FA0F71" w:rsidR="00974580">
        <w:rPr>
          <w:rFonts w:ascii="Times New Roman" w:hAnsi="Times New Roman" w:cs="Times New Roman"/>
          <w:sz w:val="24"/>
          <w:szCs w:val="24"/>
        </w:rPr>
        <w:t xml:space="preserve">nitial </w:t>
      </w:r>
      <w:r w:rsidR="00974580">
        <w:rPr>
          <w:rFonts w:ascii="Times New Roman" w:hAnsi="Times New Roman" w:cs="Times New Roman"/>
          <w:sz w:val="24"/>
          <w:szCs w:val="24"/>
        </w:rPr>
        <w:t>E</w:t>
      </w:r>
      <w:r w:rsidRPr="00FA0F71" w:rsidR="00974580">
        <w:rPr>
          <w:rFonts w:ascii="Times New Roman" w:hAnsi="Times New Roman" w:cs="Times New Roman"/>
          <w:sz w:val="24"/>
          <w:szCs w:val="24"/>
        </w:rPr>
        <w:t>ndorsement</w:t>
      </w:r>
      <w:r w:rsidR="00974580">
        <w:rPr>
          <w:rFonts w:ascii="Times New Roman" w:hAnsi="Times New Roman" w:cs="Times New Roman"/>
          <w:sz w:val="24"/>
          <w:szCs w:val="24"/>
        </w:rPr>
        <w:t>. T</w:t>
      </w:r>
      <w:r w:rsidRPr="00FA0F71" w:rsidR="00974580">
        <w:rPr>
          <w:rFonts w:ascii="Times New Roman" w:hAnsi="Times New Roman" w:cs="Times New Roman"/>
          <w:sz w:val="24"/>
          <w:szCs w:val="24"/>
        </w:rPr>
        <w:t xml:space="preserve">his </w:t>
      </w:r>
      <w:r w:rsidR="00D04EA3">
        <w:rPr>
          <w:rFonts w:ascii="Times New Roman" w:hAnsi="Times New Roman" w:cs="Times New Roman"/>
          <w:sz w:val="24"/>
          <w:szCs w:val="24"/>
        </w:rPr>
        <w:t>upfront capitalized MIP</w:t>
      </w:r>
      <w:r w:rsidRPr="00FA0F71" w:rsidR="00974580">
        <w:rPr>
          <w:rFonts w:ascii="Times New Roman" w:hAnsi="Times New Roman" w:cs="Times New Roman"/>
          <w:sz w:val="24"/>
          <w:szCs w:val="24"/>
        </w:rPr>
        <w:t xml:space="preserve"> is the same for all market rate</w:t>
      </w:r>
      <w:r w:rsidR="00850D7D">
        <w:rPr>
          <w:rFonts w:ascii="Times New Roman" w:hAnsi="Times New Roman" w:cs="Times New Roman"/>
          <w:sz w:val="24"/>
          <w:szCs w:val="24"/>
        </w:rPr>
        <w:t xml:space="preserve"> acquisition or </w:t>
      </w:r>
      <w:r w:rsidRPr="00FA0F71" w:rsidR="00974580">
        <w:rPr>
          <w:rFonts w:ascii="Times New Roman" w:hAnsi="Times New Roman" w:cs="Times New Roman"/>
          <w:sz w:val="24"/>
          <w:szCs w:val="24"/>
        </w:rPr>
        <w:t>refinancing transactions</w:t>
      </w:r>
      <w:r w:rsidR="00974580">
        <w:rPr>
          <w:rFonts w:ascii="Times New Roman" w:hAnsi="Times New Roman" w:cs="Times New Roman"/>
          <w:sz w:val="24"/>
          <w:szCs w:val="24"/>
        </w:rPr>
        <w:t>,</w:t>
      </w:r>
      <w:r w:rsidR="00FC0B25">
        <w:rPr>
          <w:rFonts w:ascii="Times New Roman" w:hAnsi="Times New Roman" w:cs="Times New Roman"/>
          <w:sz w:val="24"/>
          <w:szCs w:val="24"/>
        </w:rPr>
        <w:t xml:space="preserve"> </w:t>
      </w:r>
      <w:r w:rsidR="00974580">
        <w:rPr>
          <w:rFonts w:ascii="Times New Roman" w:hAnsi="Times New Roman" w:cs="Times New Roman"/>
          <w:sz w:val="24"/>
          <w:szCs w:val="24"/>
        </w:rPr>
        <w:t>and equals 1%</w:t>
      </w:r>
      <w:r w:rsidRPr="00FA0F71" w:rsidR="00974580">
        <w:rPr>
          <w:rFonts w:ascii="Times New Roman" w:hAnsi="Times New Roman" w:cs="Times New Roman"/>
          <w:sz w:val="24"/>
          <w:szCs w:val="24"/>
        </w:rPr>
        <w:t xml:space="preserve"> for Section 223(f) loans</w:t>
      </w:r>
      <w:r w:rsidR="00974580">
        <w:rPr>
          <w:rFonts w:ascii="Times New Roman" w:hAnsi="Times New Roman" w:cs="Times New Roman"/>
          <w:sz w:val="24"/>
          <w:szCs w:val="24"/>
        </w:rPr>
        <w:t xml:space="preserve"> and </w:t>
      </w:r>
      <w:r w:rsidRPr="00FA0F71" w:rsidR="00974580">
        <w:rPr>
          <w:rFonts w:ascii="Times New Roman" w:hAnsi="Times New Roman" w:cs="Times New Roman"/>
          <w:sz w:val="24"/>
          <w:szCs w:val="24"/>
        </w:rPr>
        <w:t>½% (50 basis points) for Section 223(a)(7) loans</w:t>
      </w:r>
      <w:r w:rsidR="00974580">
        <w:rPr>
          <w:rFonts w:ascii="Times New Roman" w:hAnsi="Times New Roman" w:cs="Times New Roman"/>
          <w:sz w:val="24"/>
          <w:szCs w:val="24"/>
        </w:rPr>
        <w:t xml:space="preserve">. </w:t>
      </w:r>
      <w:r w:rsidRPr="00FA0F71" w:rsidR="00974580">
        <w:rPr>
          <w:rFonts w:ascii="Times New Roman" w:hAnsi="Times New Roman" w:cs="Times New Roman"/>
          <w:sz w:val="24"/>
          <w:szCs w:val="24"/>
        </w:rPr>
        <w:t xml:space="preserve"> </w:t>
      </w:r>
    </w:p>
    <w:p w:rsidR="00F239D1" w:rsidP="00F239D1" w:rsidRDefault="00F239D1" w14:paraId="2CE646CC" w14:textId="77777777">
      <w:pPr>
        <w:spacing w:line="276" w:lineRule="auto"/>
        <w:ind w:left="360"/>
        <w:jc w:val="both"/>
        <w:rPr>
          <w:rFonts w:ascii="Times New Roman" w:hAnsi="Times New Roman" w:cs="Times New Roman"/>
          <w:sz w:val="24"/>
          <w:szCs w:val="24"/>
        </w:rPr>
      </w:pPr>
    </w:p>
    <w:p w:rsidR="00713687" w:rsidP="006E573A" w:rsidRDefault="00E825C3" w14:paraId="7238BB7F" w14:textId="01425EC6">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8331E0">
        <w:rPr>
          <w:rFonts w:ascii="Times New Roman" w:hAnsi="Times New Roman" w:cs="Times New Roman"/>
          <w:sz w:val="24"/>
          <w:szCs w:val="24"/>
        </w:rPr>
        <w:t xml:space="preserve">  </w:t>
      </w:r>
      <w:r w:rsidR="00F02B0E">
        <w:rPr>
          <w:rFonts w:ascii="Times New Roman" w:hAnsi="Times New Roman" w:cs="Times New Roman"/>
          <w:sz w:val="24"/>
          <w:szCs w:val="24"/>
        </w:rPr>
        <w:tab/>
      </w:r>
      <w:r w:rsidR="000A5E79">
        <w:rPr>
          <w:rFonts w:ascii="Times New Roman" w:hAnsi="Times New Roman" w:cs="Times New Roman"/>
          <w:sz w:val="24"/>
          <w:szCs w:val="24"/>
        </w:rPr>
        <w:t>T</w:t>
      </w:r>
      <w:r w:rsidR="00112D16">
        <w:rPr>
          <w:rFonts w:ascii="Times New Roman" w:hAnsi="Times New Roman" w:cs="Times New Roman"/>
          <w:sz w:val="24"/>
          <w:szCs w:val="24"/>
        </w:rPr>
        <w:t xml:space="preserve">he standard </w:t>
      </w:r>
      <w:r w:rsidRPr="00873958" w:rsidR="000937A5">
        <w:rPr>
          <w:rFonts w:ascii="Times New Roman" w:hAnsi="Times New Roman" w:cs="Times New Roman"/>
          <w:sz w:val="24"/>
          <w:szCs w:val="24"/>
        </w:rPr>
        <w:t>upfront</w:t>
      </w:r>
      <w:r w:rsidR="000937A5">
        <w:rPr>
          <w:rFonts w:ascii="Times New Roman" w:hAnsi="Times New Roman" w:cs="Times New Roman"/>
          <w:sz w:val="24"/>
          <w:szCs w:val="24"/>
        </w:rPr>
        <w:t xml:space="preserve"> and </w:t>
      </w:r>
      <w:r w:rsidR="00D460CD">
        <w:rPr>
          <w:rFonts w:ascii="Times New Roman" w:hAnsi="Times New Roman" w:cs="Times New Roman"/>
          <w:sz w:val="24"/>
          <w:szCs w:val="24"/>
        </w:rPr>
        <w:t>annual</w:t>
      </w:r>
      <w:r w:rsidR="000937A5">
        <w:rPr>
          <w:rFonts w:ascii="Times New Roman" w:hAnsi="Times New Roman" w:cs="Times New Roman"/>
          <w:sz w:val="24"/>
          <w:szCs w:val="24"/>
        </w:rPr>
        <w:t xml:space="preserve"> </w:t>
      </w:r>
      <w:r w:rsidR="00112D16">
        <w:rPr>
          <w:rFonts w:ascii="Times New Roman" w:hAnsi="Times New Roman" w:cs="Times New Roman"/>
          <w:sz w:val="24"/>
          <w:szCs w:val="24"/>
        </w:rPr>
        <w:t xml:space="preserve">MIP’s </w:t>
      </w:r>
      <w:r w:rsidR="00B0444B">
        <w:rPr>
          <w:rFonts w:ascii="Times New Roman" w:hAnsi="Times New Roman" w:cs="Times New Roman"/>
          <w:sz w:val="24"/>
          <w:szCs w:val="24"/>
        </w:rPr>
        <w:t>are</w:t>
      </w:r>
      <w:r w:rsidR="00112D16">
        <w:rPr>
          <w:rFonts w:ascii="Times New Roman" w:hAnsi="Times New Roman" w:cs="Times New Roman"/>
          <w:sz w:val="24"/>
          <w:szCs w:val="24"/>
        </w:rPr>
        <w:t xml:space="preserve"> reduced </w:t>
      </w:r>
      <w:r w:rsidR="00ED42D4">
        <w:rPr>
          <w:rFonts w:ascii="Times New Roman" w:hAnsi="Times New Roman" w:cs="Times New Roman"/>
          <w:sz w:val="24"/>
          <w:szCs w:val="24"/>
        </w:rPr>
        <w:t>for any</w:t>
      </w:r>
      <w:r w:rsidR="00112D16">
        <w:rPr>
          <w:rFonts w:ascii="Times New Roman" w:hAnsi="Times New Roman" w:cs="Times New Roman"/>
          <w:sz w:val="24"/>
          <w:szCs w:val="24"/>
        </w:rPr>
        <w:t xml:space="preserve"> project </w:t>
      </w:r>
      <w:r w:rsidR="00ED42D4">
        <w:rPr>
          <w:rFonts w:ascii="Times New Roman" w:hAnsi="Times New Roman" w:cs="Times New Roman"/>
          <w:sz w:val="24"/>
          <w:szCs w:val="24"/>
        </w:rPr>
        <w:t xml:space="preserve">qualifying </w:t>
      </w:r>
      <w:r w:rsidR="00A251B2">
        <w:rPr>
          <w:rFonts w:ascii="Times New Roman" w:hAnsi="Times New Roman" w:cs="Times New Roman"/>
          <w:sz w:val="24"/>
          <w:szCs w:val="24"/>
        </w:rPr>
        <w:t xml:space="preserve">as Affordable, Broadly Affordable or </w:t>
      </w:r>
      <w:r w:rsidR="003C7B66">
        <w:rPr>
          <w:rFonts w:ascii="Times New Roman" w:hAnsi="Times New Roman" w:cs="Times New Roman"/>
          <w:sz w:val="24"/>
          <w:szCs w:val="24"/>
        </w:rPr>
        <w:t>Green and Energy Efficient Housing</w:t>
      </w:r>
      <w:r w:rsidR="00087D6D">
        <w:rPr>
          <w:rFonts w:ascii="Times New Roman" w:hAnsi="Times New Roman" w:cs="Times New Roman"/>
          <w:sz w:val="24"/>
          <w:szCs w:val="24"/>
        </w:rPr>
        <w:t>,</w:t>
      </w:r>
      <w:r w:rsidR="002E2E98">
        <w:rPr>
          <w:rFonts w:ascii="Times New Roman" w:hAnsi="Times New Roman" w:cs="Times New Roman"/>
          <w:sz w:val="24"/>
          <w:szCs w:val="24"/>
        </w:rPr>
        <w:t xml:space="preserve"> as </w:t>
      </w:r>
      <w:r w:rsidR="003417B4">
        <w:rPr>
          <w:rFonts w:ascii="Times New Roman" w:hAnsi="Times New Roman" w:cs="Times New Roman"/>
          <w:sz w:val="24"/>
          <w:szCs w:val="24"/>
        </w:rPr>
        <w:t xml:space="preserve">defined in the </w:t>
      </w:r>
      <w:r w:rsidR="009F41F8">
        <w:rPr>
          <w:rFonts w:ascii="Times New Roman" w:hAnsi="Times New Roman" w:cs="Times New Roman"/>
          <w:sz w:val="24"/>
          <w:szCs w:val="24"/>
        </w:rPr>
        <w:t>Federal Register</w:t>
      </w:r>
      <w:r w:rsidR="003417B4">
        <w:rPr>
          <w:rFonts w:ascii="Times New Roman" w:hAnsi="Times New Roman" w:cs="Times New Roman"/>
          <w:sz w:val="24"/>
          <w:szCs w:val="24"/>
        </w:rPr>
        <w:t xml:space="preserve"> published</w:t>
      </w:r>
      <w:r w:rsidR="009F41F8">
        <w:rPr>
          <w:rFonts w:ascii="Times New Roman" w:hAnsi="Times New Roman" w:cs="Times New Roman"/>
          <w:sz w:val="24"/>
          <w:szCs w:val="24"/>
        </w:rPr>
        <w:t xml:space="preserve"> </w:t>
      </w:r>
      <w:r w:rsidR="005672F2">
        <w:rPr>
          <w:rFonts w:ascii="Times New Roman" w:hAnsi="Times New Roman" w:cs="Times New Roman"/>
          <w:sz w:val="24"/>
          <w:szCs w:val="24"/>
        </w:rPr>
        <w:t>on March 31, 2016 (24 CFR Part 266</w:t>
      </w:r>
      <w:r w:rsidR="00441FE2">
        <w:rPr>
          <w:rFonts w:ascii="Times New Roman" w:hAnsi="Times New Roman" w:cs="Times New Roman"/>
          <w:sz w:val="24"/>
          <w:szCs w:val="24"/>
        </w:rPr>
        <w:t>)</w:t>
      </w:r>
      <w:r w:rsidR="00087D6D">
        <w:rPr>
          <w:rFonts w:ascii="Times New Roman" w:hAnsi="Times New Roman" w:cs="Times New Roman"/>
          <w:sz w:val="24"/>
          <w:szCs w:val="24"/>
        </w:rPr>
        <w:t xml:space="preserve"> as follows: </w:t>
      </w:r>
    </w:p>
    <w:p w:rsidR="003417B4" w:rsidP="006E573A" w:rsidRDefault="003417B4" w14:paraId="27243CC5" w14:textId="77777777">
      <w:pPr>
        <w:spacing w:line="276" w:lineRule="auto"/>
        <w:ind w:left="360" w:hanging="360"/>
        <w:jc w:val="both"/>
        <w:rPr>
          <w:rFonts w:ascii="Times New Roman" w:hAnsi="Times New Roman" w:cs="Times New Roman"/>
          <w:sz w:val="24"/>
          <w:szCs w:val="24"/>
        </w:rPr>
      </w:pPr>
    </w:p>
    <w:p w:rsidR="00713687" w:rsidP="00713687" w:rsidRDefault="00471D42" w14:paraId="5C860751" w14:textId="5E9440CB">
      <w:pPr>
        <w:pStyle w:val="ListParagraph"/>
        <w:numPr>
          <w:ilvl w:val="0"/>
          <w:numId w:val="34"/>
        </w:numPr>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00913700">
        <w:rPr>
          <w:rFonts w:ascii="Times New Roman" w:hAnsi="Times New Roman" w:cs="Times New Roman"/>
          <w:sz w:val="24"/>
          <w:szCs w:val="24"/>
        </w:rPr>
        <w:t xml:space="preserve"> basis points for Broadly Affordable</w:t>
      </w:r>
    </w:p>
    <w:p w:rsidR="00913700" w:rsidP="00713687" w:rsidRDefault="00913700" w14:paraId="78868DAD" w14:textId="412CF9C0">
      <w:pPr>
        <w:pStyle w:val="ListParagraph"/>
        <w:numPr>
          <w:ilvl w:val="0"/>
          <w:numId w:val="34"/>
        </w:numPr>
        <w:spacing w:line="276" w:lineRule="auto"/>
        <w:jc w:val="both"/>
        <w:rPr>
          <w:rFonts w:ascii="Times New Roman" w:hAnsi="Times New Roman" w:cs="Times New Roman"/>
          <w:sz w:val="24"/>
          <w:szCs w:val="24"/>
        </w:rPr>
      </w:pPr>
      <w:r>
        <w:rPr>
          <w:rFonts w:ascii="Times New Roman" w:hAnsi="Times New Roman" w:cs="Times New Roman"/>
          <w:sz w:val="24"/>
          <w:szCs w:val="24"/>
        </w:rPr>
        <w:t>35 basis points for Affordable</w:t>
      </w:r>
    </w:p>
    <w:p w:rsidR="00913700" w:rsidP="00713687" w:rsidRDefault="00913700" w14:paraId="75762273" w14:textId="1069350A">
      <w:pPr>
        <w:pStyle w:val="ListParagraph"/>
        <w:numPr>
          <w:ilvl w:val="0"/>
          <w:numId w:val="34"/>
        </w:numPr>
        <w:spacing w:line="276" w:lineRule="auto"/>
        <w:jc w:val="both"/>
        <w:rPr>
          <w:rFonts w:ascii="Times New Roman" w:hAnsi="Times New Roman" w:cs="Times New Roman"/>
          <w:sz w:val="24"/>
          <w:szCs w:val="24"/>
        </w:rPr>
      </w:pPr>
      <w:r>
        <w:rPr>
          <w:rFonts w:ascii="Times New Roman" w:hAnsi="Times New Roman" w:cs="Times New Roman"/>
          <w:sz w:val="24"/>
          <w:szCs w:val="24"/>
        </w:rPr>
        <w:t>25 basis points for Green and Energy Efficient Housing</w:t>
      </w:r>
    </w:p>
    <w:p w:rsidRPr="007573AE" w:rsidR="22DEC60B" w:rsidP="007573AE" w:rsidRDefault="22DEC60B" w14:paraId="48752079" w14:textId="7D9B8576">
      <w:pPr>
        <w:spacing w:line="276" w:lineRule="auto"/>
        <w:ind w:left="720"/>
        <w:jc w:val="both"/>
        <w:rPr>
          <w:sz w:val="24"/>
          <w:szCs w:val="24"/>
        </w:rPr>
      </w:pPr>
    </w:p>
    <w:p w:rsidR="00F02918" w:rsidP="00982BC5" w:rsidRDefault="001D3D1E" w14:paraId="34547FA5" w14:textId="50925913">
      <w:pPr>
        <w:overflowPunct w:val="0"/>
        <w:autoSpaceDE w:val="0"/>
        <w:autoSpaceDN w:val="0"/>
        <w:adjustRightInd w:val="0"/>
        <w:spacing w:before="80" w:after="80"/>
        <w:ind w:left="720"/>
        <w:jc w:val="both"/>
        <w:textAlignment w:val="baseline"/>
        <w:rPr>
          <w:rFonts w:ascii="Times New Roman" w:hAnsi="Times New Roman" w:cs="Times New Roman"/>
          <w:sz w:val="24"/>
          <w:szCs w:val="24"/>
        </w:rPr>
      </w:pPr>
      <w:r>
        <w:rPr>
          <w:rFonts w:ascii="Times New Roman" w:hAnsi="Times New Roman" w:cs="Times New Roman"/>
          <w:sz w:val="24"/>
          <w:szCs w:val="24"/>
        </w:rPr>
        <w:t>T</w:t>
      </w:r>
      <w:r w:rsidRPr="00C47088" w:rsidR="00C47088">
        <w:rPr>
          <w:rFonts w:ascii="Times New Roman" w:hAnsi="Times New Roman" w:cs="Times New Roman"/>
          <w:sz w:val="24"/>
          <w:szCs w:val="24"/>
        </w:rPr>
        <w:t xml:space="preserve">hese categories </w:t>
      </w:r>
      <w:r>
        <w:rPr>
          <w:rFonts w:ascii="Times New Roman" w:hAnsi="Times New Roman" w:cs="Times New Roman"/>
          <w:sz w:val="24"/>
          <w:szCs w:val="24"/>
        </w:rPr>
        <w:t>are</w:t>
      </w:r>
      <w:r w:rsidRPr="00C47088">
        <w:rPr>
          <w:rFonts w:ascii="Times New Roman" w:hAnsi="Times New Roman" w:cs="Times New Roman"/>
          <w:sz w:val="24"/>
          <w:szCs w:val="24"/>
        </w:rPr>
        <w:t xml:space="preserve"> </w:t>
      </w:r>
      <w:r w:rsidRPr="00C47088" w:rsidR="00C47088">
        <w:rPr>
          <w:rFonts w:ascii="Times New Roman" w:hAnsi="Times New Roman" w:cs="Times New Roman"/>
          <w:sz w:val="24"/>
          <w:szCs w:val="24"/>
        </w:rPr>
        <w:t>more fully described in Appendix 3. The Federal Register Notice is available in the link below:</w:t>
      </w:r>
    </w:p>
    <w:bookmarkStart w:name="_Hlk39073538" w:id="0"/>
    <w:p w:rsidRPr="007C5E8B" w:rsidR="00982BC5" w:rsidP="00982BC5" w:rsidRDefault="00B95754" w14:paraId="1AFACF11" w14:textId="624FE44E">
      <w:p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B95754">
        <w:rPr>
          <w:rFonts w:ascii="Times New Roman" w:hAnsi="Times New Roman" w:cs="Times New Roman"/>
          <w:sz w:val="24"/>
          <w:szCs w:val="24"/>
        </w:rPr>
        <w:instrText>https://www.regulations.gov/document?D=HUD-2016-0007-0001</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E86599">
        <w:rPr>
          <w:rStyle w:val="Hyperlink"/>
          <w:rFonts w:ascii="Times New Roman" w:hAnsi="Times New Roman" w:cs="Times New Roman"/>
          <w:sz w:val="24"/>
          <w:szCs w:val="24"/>
        </w:rPr>
        <w:t>https://www.regulations.gov/document?D=HUD-2016-0007-0001</w:t>
      </w:r>
      <w:bookmarkEnd w:id="0"/>
      <w:r>
        <w:rPr>
          <w:rFonts w:ascii="Times New Roman" w:hAnsi="Times New Roman" w:cs="Times New Roman"/>
          <w:sz w:val="24"/>
          <w:szCs w:val="24"/>
        </w:rPr>
        <w:fldChar w:fldCharType="end"/>
      </w:r>
      <w:r w:rsidR="00982BC5">
        <w:rPr>
          <w:rFonts w:ascii="Times New Roman" w:hAnsi="Times New Roman" w:eastAsia="Times New Roman" w:cs="Times New Roman"/>
          <w:sz w:val="24"/>
          <w:szCs w:val="24"/>
        </w:rPr>
        <w:t xml:space="preserve"> </w:t>
      </w:r>
    </w:p>
    <w:p w:rsidRPr="00FA0F71" w:rsidR="006E573A" w:rsidP="007573AE" w:rsidRDefault="006E573A" w14:paraId="5B8553DA" w14:textId="22E678A6">
      <w:pPr>
        <w:spacing w:line="276" w:lineRule="auto"/>
        <w:ind w:left="360"/>
        <w:jc w:val="both"/>
        <w:rPr>
          <w:rFonts w:ascii="Times New Roman" w:hAnsi="Times New Roman" w:cs="Times New Roman"/>
          <w:sz w:val="24"/>
          <w:szCs w:val="24"/>
        </w:rPr>
      </w:pPr>
    </w:p>
    <w:p w:rsidRPr="00FA0F71" w:rsidR="006E573A" w:rsidP="006E573A" w:rsidRDefault="006E573A" w14:paraId="5B8553E2" w14:textId="41F095B9">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eastAsiaTheme="majorEastAsia"/>
          <w:sz w:val="24"/>
          <w:szCs w:val="24"/>
        </w:rPr>
        <w:t>K.</w:t>
      </w:r>
      <w:r w:rsidRPr="00FA0F71">
        <w:rPr>
          <w:rFonts w:ascii="Times New Roman" w:hAnsi="Times New Roman" w:cs="Times New Roman" w:eastAsiaTheme="majorEastAsia"/>
          <w:b/>
          <w:sz w:val="24"/>
          <w:szCs w:val="24"/>
        </w:rPr>
        <w:t xml:space="preserve"> Lender fees and charges.</w:t>
      </w:r>
      <w:r w:rsidRPr="00FA0F71">
        <w:rPr>
          <w:rFonts w:ascii="Times New Roman" w:hAnsi="Times New Roman" w:cs="Times New Roman" w:eastAsiaTheme="majorEastAsia"/>
          <w:sz w:val="24"/>
          <w:szCs w:val="24"/>
        </w:rPr>
        <w:t xml:space="preserve">  </w:t>
      </w:r>
      <w:r w:rsidRPr="00FA0F71">
        <w:rPr>
          <w:rFonts w:ascii="Times New Roman" w:hAnsi="Times New Roman" w:cs="Times New Roman" w:eastAsiaTheme="majorEastAsia"/>
          <w:bCs/>
          <w:sz w:val="24"/>
          <w:szCs w:val="24"/>
        </w:rPr>
        <w:t>For programs other than Section 223(a)(7), t</w:t>
      </w:r>
      <w:r w:rsidRPr="00FA0F71">
        <w:rPr>
          <w:rFonts w:ascii="Times New Roman" w:hAnsi="Times New Roman" w:cs="Times New Roman" w:eastAsiaTheme="majorEastAsia"/>
          <w:sz w:val="24"/>
          <w:szCs w:val="24"/>
        </w:rPr>
        <w:t>he maximum financing and placement fees the</w:t>
      </w:r>
      <w:r w:rsidRPr="00FA0F71">
        <w:rPr>
          <w:rFonts w:ascii="Times New Roman" w:hAnsi="Times New Roman" w:cs="Times New Roman"/>
          <w:sz w:val="24"/>
          <w:szCs w:val="24"/>
        </w:rPr>
        <w:t xml:space="preserve"> lender</w:t>
      </w:r>
      <w:r w:rsidRPr="00FA0F71">
        <w:rPr>
          <w:rFonts w:ascii="Times New Roman" w:hAnsi="Times New Roman" w:cs="Times New Roman" w:eastAsiaTheme="majorEastAsia"/>
          <w:sz w:val="24"/>
          <w:szCs w:val="24"/>
        </w:rPr>
        <w:t xml:space="preserve"> may charge is limited to a total of 3.5% of the mortgage amount.  This 3.5% maximum </w:t>
      </w:r>
      <w:r w:rsidR="00373223">
        <w:rPr>
          <w:rFonts w:ascii="Times New Roman" w:hAnsi="Times New Roman" w:cs="Times New Roman" w:eastAsiaTheme="majorEastAsia"/>
          <w:sz w:val="24"/>
          <w:szCs w:val="24"/>
        </w:rPr>
        <w:t>may</w:t>
      </w:r>
      <w:r w:rsidRPr="00FA0F71" w:rsidR="00373223">
        <w:rPr>
          <w:rFonts w:ascii="Times New Roman" w:hAnsi="Times New Roman" w:cs="Times New Roman" w:eastAsiaTheme="majorEastAsia"/>
          <w:sz w:val="24"/>
          <w:szCs w:val="24"/>
        </w:rPr>
        <w:t xml:space="preserve"> </w:t>
      </w:r>
      <w:r w:rsidRPr="00FA0F71">
        <w:rPr>
          <w:rFonts w:ascii="Times New Roman" w:hAnsi="Times New Roman" w:cs="Times New Roman" w:eastAsiaTheme="majorEastAsia"/>
          <w:sz w:val="24"/>
          <w:szCs w:val="24"/>
        </w:rPr>
        <w:t>consist of any combination of origination, financing, and permanent placement fees</w:t>
      </w:r>
      <w:r w:rsidR="00857E53">
        <w:rPr>
          <w:rFonts w:ascii="Times New Roman" w:hAnsi="Times New Roman" w:cs="Times New Roman" w:eastAsiaTheme="majorEastAsia"/>
          <w:sz w:val="24"/>
          <w:szCs w:val="24"/>
        </w:rPr>
        <w:t>,</w:t>
      </w:r>
      <w:r w:rsidRPr="00FA0F71">
        <w:rPr>
          <w:rFonts w:ascii="Times New Roman" w:hAnsi="Times New Roman" w:cs="Times New Roman" w:eastAsiaTheme="majorEastAsia"/>
          <w:sz w:val="24"/>
          <w:szCs w:val="24"/>
        </w:rPr>
        <w:t xml:space="preserve"> as long as it also includes the</w:t>
      </w:r>
      <w:r w:rsidRPr="00FA0F71">
        <w:rPr>
          <w:rFonts w:ascii="Times New Roman" w:hAnsi="Times New Roman" w:cs="Times New Roman"/>
          <w:sz w:val="24"/>
          <w:szCs w:val="24"/>
        </w:rPr>
        <w:t xml:space="preserve"> lender</w:t>
      </w:r>
      <w:r w:rsidRPr="00FA0F71">
        <w:rPr>
          <w:rFonts w:ascii="Times New Roman" w:hAnsi="Times New Roman" w:cs="Times New Roman" w:eastAsiaTheme="majorEastAsia"/>
          <w:sz w:val="24"/>
          <w:szCs w:val="24"/>
        </w:rPr>
        <w:t xml:space="preserve">’s legal fee. </w:t>
      </w:r>
      <w:r w:rsidR="00857E53">
        <w:rPr>
          <w:rFonts w:ascii="Times New Roman" w:hAnsi="Times New Roman" w:cs="Times New Roman" w:eastAsiaTheme="majorEastAsia"/>
          <w:sz w:val="24"/>
          <w:szCs w:val="24"/>
        </w:rPr>
        <w:t>I</w:t>
      </w:r>
      <w:r w:rsidRPr="00FA0F71" w:rsidR="00857E53">
        <w:rPr>
          <w:rFonts w:ascii="Times New Roman" w:hAnsi="Times New Roman" w:cs="Times New Roman" w:eastAsiaTheme="majorEastAsia"/>
          <w:sz w:val="24"/>
          <w:szCs w:val="24"/>
        </w:rPr>
        <w:t>n bond transactions</w:t>
      </w:r>
      <w:r w:rsidR="00857E53">
        <w:rPr>
          <w:rFonts w:ascii="Times New Roman" w:hAnsi="Times New Roman" w:cs="Times New Roman" w:eastAsiaTheme="majorEastAsia"/>
          <w:sz w:val="24"/>
          <w:szCs w:val="24"/>
        </w:rPr>
        <w:t>,</w:t>
      </w:r>
      <w:r w:rsidRPr="00FA0F71">
        <w:rPr>
          <w:rFonts w:ascii="Times New Roman" w:hAnsi="Times New Roman" w:cs="Times New Roman" w:eastAsiaTheme="majorEastAsia"/>
          <w:sz w:val="24"/>
          <w:szCs w:val="24"/>
        </w:rPr>
        <w:t xml:space="preserve"> </w:t>
      </w:r>
      <w:r w:rsidR="00857E53">
        <w:rPr>
          <w:rFonts w:ascii="Times New Roman" w:hAnsi="Times New Roman" w:cs="Times New Roman" w:eastAsiaTheme="majorEastAsia"/>
          <w:sz w:val="24"/>
          <w:szCs w:val="24"/>
        </w:rPr>
        <w:t>f</w:t>
      </w:r>
      <w:r w:rsidRPr="00FA0F71">
        <w:rPr>
          <w:rFonts w:ascii="Times New Roman" w:hAnsi="Times New Roman" w:cs="Times New Roman" w:eastAsiaTheme="majorEastAsia"/>
          <w:sz w:val="24"/>
          <w:szCs w:val="24"/>
        </w:rPr>
        <w:t xml:space="preserve">inancing and placement fees up to 5.5% are permissible.  Third party costs (e.g., appraisal, market study, CNA, and other organization costs) may be included as mortgageable soft costs in the mortgage </w:t>
      </w:r>
      <w:r w:rsidRPr="00FA0F71" w:rsidR="007C78C3">
        <w:rPr>
          <w:rFonts w:ascii="Times New Roman" w:hAnsi="Times New Roman" w:cs="Times New Roman" w:eastAsiaTheme="majorEastAsia"/>
          <w:sz w:val="24"/>
          <w:szCs w:val="24"/>
        </w:rPr>
        <w:t>calculations and</w:t>
      </w:r>
      <w:r w:rsidRPr="00FA0F71">
        <w:rPr>
          <w:rFonts w:ascii="Times New Roman" w:hAnsi="Times New Roman" w:cs="Times New Roman" w:eastAsiaTheme="majorEastAsia"/>
          <w:sz w:val="24"/>
          <w:szCs w:val="24"/>
        </w:rPr>
        <w:t xml:space="preserve"> are not included in the limitation on</w:t>
      </w:r>
      <w:r w:rsidRPr="00FA0F71">
        <w:rPr>
          <w:rFonts w:ascii="Times New Roman" w:hAnsi="Times New Roman" w:cs="Times New Roman"/>
          <w:sz w:val="24"/>
          <w:szCs w:val="24"/>
        </w:rPr>
        <w:t xml:space="preserve"> lender</w:t>
      </w:r>
      <w:r w:rsidRPr="00FA0F71">
        <w:rPr>
          <w:rFonts w:ascii="Times New Roman" w:hAnsi="Times New Roman" w:cs="Times New Roman" w:eastAsiaTheme="majorEastAsia"/>
          <w:sz w:val="24"/>
          <w:szCs w:val="24"/>
        </w:rPr>
        <w:t xml:space="preserve"> fees.  See Section 11.5 for additional provisions regarding loan fees and charges.</w:t>
      </w:r>
    </w:p>
    <w:p w:rsidRPr="00FA0F71" w:rsidR="006E573A" w:rsidP="006E573A" w:rsidRDefault="006E573A" w14:paraId="5B8553E3" w14:textId="77777777">
      <w:pPr>
        <w:spacing w:line="276" w:lineRule="auto"/>
        <w:jc w:val="both"/>
        <w:rPr>
          <w:rFonts w:ascii="Times New Roman" w:hAnsi="Times New Roman" w:cs="Times New Roman"/>
          <w:sz w:val="24"/>
          <w:szCs w:val="24"/>
        </w:rPr>
      </w:pPr>
    </w:p>
    <w:p w:rsidRPr="00FA0F71" w:rsidR="006E573A" w:rsidP="006E573A" w:rsidRDefault="006E573A" w14:paraId="5B8553E4" w14:textId="797D3ED2">
      <w:pPr>
        <w:spacing w:line="276" w:lineRule="auto"/>
        <w:ind w:left="360"/>
        <w:jc w:val="both"/>
        <w:rPr>
          <w:rFonts w:ascii="Times New Roman" w:hAnsi="Times New Roman" w:cs="Times New Roman"/>
          <w:sz w:val="24"/>
          <w:szCs w:val="24"/>
        </w:rPr>
      </w:pPr>
      <w:r w:rsidRPr="00FA0F71">
        <w:rPr>
          <w:rFonts w:ascii="Times New Roman" w:hAnsi="Times New Roman" w:cs="Times New Roman"/>
          <w:sz w:val="24"/>
          <w:szCs w:val="24"/>
        </w:rPr>
        <w:t xml:space="preserve">The lender is prohibited from advancing fees </w:t>
      </w:r>
      <w:r w:rsidRPr="00FA0F71" w:rsidR="000C243E">
        <w:rPr>
          <w:rFonts w:ascii="Times New Roman" w:hAnsi="Times New Roman" w:cs="Times New Roman"/>
          <w:sz w:val="24"/>
          <w:szCs w:val="24"/>
        </w:rPr>
        <w:t xml:space="preserve">on behalf of the borrower </w:t>
      </w:r>
      <w:r w:rsidRPr="00FA0F71">
        <w:rPr>
          <w:rFonts w:ascii="Times New Roman" w:hAnsi="Times New Roman" w:cs="Times New Roman"/>
          <w:sz w:val="24"/>
          <w:szCs w:val="24"/>
        </w:rPr>
        <w:t xml:space="preserve">for payment of discount fees.  Waivers of this provision must be granted in writing </w:t>
      </w:r>
      <w:r w:rsidR="00EA7217">
        <w:rPr>
          <w:rFonts w:ascii="Times New Roman" w:hAnsi="Times New Roman" w:cs="Times New Roman"/>
          <w:sz w:val="24"/>
          <w:szCs w:val="24"/>
        </w:rPr>
        <w:t xml:space="preserve">and submitted to </w:t>
      </w:r>
      <w:r w:rsidR="004A73FC">
        <w:rPr>
          <w:rFonts w:ascii="Times New Roman" w:hAnsi="Times New Roman" w:cs="Times New Roman"/>
          <w:sz w:val="24"/>
          <w:szCs w:val="24"/>
        </w:rPr>
        <w:t xml:space="preserve">Multifamily Production </w:t>
      </w:r>
      <w:r w:rsidR="00344E83">
        <w:rPr>
          <w:rFonts w:ascii="Times New Roman" w:hAnsi="Times New Roman" w:cs="Times New Roman"/>
          <w:sz w:val="24"/>
          <w:szCs w:val="24"/>
        </w:rPr>
        <w:t>Headquarters</w:t>
      </w:r>
      <w:r w:rsidR="00C30080">
        <w:rPr>
          <w:rFonts w:ascii="Times New Roman" w:hAnsi="Times New Roman" w:cs="Times New Roman"/>
          <w:sz w:val="24"/>
          <w:szCs w:val="24"/>
        </w:rPr>
        <w:t xml:space="preserve"> </w:t>
      </w:r>
      <w:r w:rsidR="00737742">
        <w:rPr>
          <w:rFonts w:ascii="Times New Roman" w:hAnsi="Times New Roman" w:cs="Times New Roman"/>
          <w:sz w:val="24"/>
          <w:szCs w:val="24"/>
        </w:rPr>
        <w:t>and</w:t>
      </w:r>
      <w:r w:rsidR="00A45266">
        <w:rPr>
          <w:rFonts w:ascii="Times New Roman" w:hAnsi="Times New Roman" w:cs="Times New Roman"/>
          <w:sz w:val="24"/>
          <w:szCs w:val="24"/>
        </w:rPr>
        <w:t xml:space="preserve"> </w:t>
      </w:r>
      <w:r w:rsidR="00B037F2">
        <w:rPr>
          <w:rFonts w:ascii="Times New Roman" w:hAnsi="Times New Roman" w:cs="Times New Roman"/>
          <w:sz w:val="24"/>
          <w:szCs w:val="24"/>
        </w:rPr>
        <w:t>reviewed per</w:t>
      </w:r>
      <w:r w:rsidR="00737742">
        <w:rPr>
          <w:rFonts w:ascii="Times New Roman" w:hAnsi="Times New Roman" w:cs="Times New Roman"/>
          <w:sz w:val="24"/>
          <w:szCs w:val="24"/>
        </w:rPr>
        <w:t xml:space="preserve"> </w:t>
      </w:r>
      <w:r w:rsidR="007579CE">
        <w:rPr>
          <w:rFonts w:ascii="Times New Roman" w:hAnsi="Times New Roman" w:cs="Times New Roman"/>
          <w:sz w:val="24"/>
          <w:szCs w:val="24"/>
        </w:rPr>
        <w:t xml:space="preserve">HUD’s </w:t>
      </w:r>
      <w:r w:rsidR="00BA44DF">
        <w:rPr>
          <w:rFonts w:ascii="Times New Roman" w:hAnsi="Times New Roman" w:cs="Times New Roman"/>
          <w:sz w:val="24"/>
          <w:szCs w:val="24"/>
        </w:rPr>
        <w:t>regulatory</w:t>
      </w:r>
      <w:r w:rsidR="00662570">
        <w:rPr>
          <w:rFonts w:ascii="Times New Roman" w:hAnsi="Times New Roman" w:cs="Times New Roman"/>
          <w:sz w:val="24"/>
          <w:szCs w:val="24"/>
        </w:rPr>
        <w:t xml:space="preserve"> requirements</w:t>
      </w:r>
      <w:r w:rsidR="00BA44DF">
        <w:rPr>
          <w:rFonts w:ascii="Times New Roman" w:hAnsi="Times New Roman" w:cs="Times New Roman"/>
          <w:sz w:val="24"/>
          <w:szCs w:val="24"/>
        </w:rPr>
        <w:t xml:space="preserve"> (See 24 CFR 200.41)</w:t>
      </w:r>
      <w:r w:rsidR="00B95754">
        <w:rPr>
          <w:rFonts w:ascii="Times New Roman" w:hAnsi="Times New Roman" w:cs="Times New Roman"/>
          <w:sz w:val="24"/>
          <w:szCs w:val="24"/>
        </w:rPr>
        <w:t>.</w:t>
      </w:r>
    </w:p>
    <w:p w:rsidRPr="00FA0F71" w:rsidR="006E573A" w:rsidP="006E573A" w:rsidRDefault="006E573A" w14:paraId="5B8553E5" w14:textId="77777777">
      <w:pPr>
        <w:spacing w:line="276" w:lineRule="auto"/>
        <w:jc w:val="both"/>
        <w:rPr>
          <w:rFonts w:ascii="Times New Roman" w:hAnsi="Times New Roman" w:cs="Times New Roman"/>
          <w:sz w:val="24"/>
          <w:szCs w:val="24"/>
          <w:u w:val="single"/>
        </w:rPr>
      </w:pPr>
    </w:p>
    <w:p w:rsidRPr="00FA0F71" w:rsidR="006E573A" w:rsidP="006E573A" w:rsidRDefault="006E573A" w14:paraId="5B8553E6" w14:textId="199B99B5">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L.</w:t>
      </w:r>
      <w:r w:rsidRPr="00FA0F71">
        <w:rPr>
          <w:rFonts w:ascii="Times New Roman" w:hAnsi="Times New Roman" w:cs="Times New Roman"/>
          <w:b/>
          <w:sz w:val="24"/>
          <w:szCs w:val="24"/>
        </w:rPr>
        <w:t xml:space="preserve"> Definition of Affordable Housing.</w:t>
      </w:r>
      <w:r w:rsidRPr="00FA0F71">
        <w:rPr>
          <w:rFonts w:ascii="Times New Roman" w:hAnsi="Times New Roman" w:cs="Times New Roman"/>
          <w:sz w:val="24"/>
          <w:szCs w:val="24"/>
        </w:rPr>
        <w:t xml:space="preserve"> </w:t>
      </w:r>
      <w:r w:rsidR="00193E47">
        <w:rPr>
          <w:rFonts w:ascii="Times New Roman" w:hAnsi="Times New Roman" w:cs="Times New Roman"/>
          <w:sz w:val="24"/>
          <w:szCs w:val="24"/>
        </w:rPr>
        <w:t>A</w:t>
      </w:r>
      <w:r w:rsidRPr="00FA0F71">
        <w:rPr>
          <w:rFonts w:ascii="Times New Roman" w:hAnsi="Times New Roman" w:cs="Times New Roman"/>
          <w:sz w:val="24"/>
          <w:szCs w:val="24"/>
        </w:rPr>
        <w:t xml:space="preserve">ffordable housing </w:t>
      </w:r>
      <w:r w:rsidR="000477F8">
        <w:rPr>
          <w:rFonts w:ascii="Times New Roman" w:hAnsi="Times New Roman" w:cs="Times New Roman"/>
          <w:sz w:val="24"/>
          <w:szCs w:val="24"/>
        </w:rPr>
        <w:t>for</w:t>
      </w:r>
      <w:r w:rsidRPr="00FA0F71">
        <w:rPr>
          <w:rFonts w:ascii="Times New Roman" w:hAnsi="Times New Roman" w:cs="Times New Roman"/>
          <w:sz w:val="24"/>
          <w:szCs w:val="24"/>
        </w:rPr>
        <w:t xml:space="preserve"> FHA multifamily mortgage insurance programs is defined as projects meeting both of the following requirements:  </w:t>
      </w:r>
    </w:p>
    <w:p w:rsidRPr="00FA0F71" w:rsidR="006E573A" w:rsidP="006E573A" w:rsidRDefault="006E573A" w14:paraId="5B8553E7" w14:textId="77777777">
      <w:pPr>
        <w:spacing w:line="276" w:lineRule="auto"/>
        <w:jc w:val="both"/>
        <w:rPr>
          <w:rFonts w:ascii="Times New Roman" w:hAnsi="Times New Roman" w:cs="Times New Roman"/>
          <w:color w:val="000000" w:themeColor="text1"/>
          <w:sz w:val="24"/>
          <w:szCs w:val="24"/>
        </w:rPr>
      </w:pPr>
    </w:p>
    <w:p w:rsidR="00414F2F" w:rsidP="00632D8C" w:rsidRDefault="006E573A" w14:paraId="652630E4" w14:textId="2B9A69C0">
      <w:pPr>
        <w:spacing w:line="276" w:lineRule="auto"/>
        <w:ind w:left="1080" w:hanging="360"/>
        <w:jc w:val="both"/>
        <w:rPr>
          <w:rFonts w:ascii="Times New Roman" w:hAnsi="Times New Roman" w:cs="Times New Roman"/>
          <w:sz w:val="24"/>
          <w:szCs w:val="24"/>
        </w:rPr>
      </w:pPr>
      <w:r w:rsidRPr="00FA0F71">
        <w:rPr>
          <w:rFonts w:ascii="Times New Roman" w:hAnsi="Times New Roman" w:cs="Times New Roman"/>
          <w:sz w:val="24"/>
          <w:szCs w:val="24"/>
        </w:rPr>
        <w:t xml:space="preserve">1. Rent and income restrictions must </w:t>
      </w:r>
      <w:r w:rsidRPr="00FA0F71">
        <w:rPr>
          <w:rFonts w:ascii="Times New Roman" w:hAnsi="Times New Roman" w:cs="Times New Roman"/>
          <w:color w:val="000000" w:themeColor="text1"/>
          <w:sz w:val="24"/>
          <w:szCs w:val="24"/>
        </w:rPr>
        <w:t xml:space="preserve">be imposed, monitored and enforced by a governmental agency </w:t>
      </w:r>
      <w:r w:rsidRPr="00FA0F71">
        <w:rPr>
          <w:rFonts w:ascii="Times New Roman" w:hAnsi="Times New Roman" w:cs="Times New Roman"/>
          <w:sz w:val="24"/>
          <w:szCs w:val="24"/>
        </w:rPr>
        <w:t>for at least 15 years after Final Endorsement</w:t>
      </w:r>
      <w:r w:rsidRPr="00FA0F71">
        <w:rPr>
          <w:rFonts w:ascii="Times New Roman" w:hAnsi="Times New Roman" w:cs="Times New Roman"/>
          <w:color w:val="000000" w:themeColor="text1"/>
          <w:sz w:val="24"/>
          <w:szCs w:val="24"/>
        </w:rPr>
        <w:t>, and</w:t>
      </w:r>
      <w:r w:rsidR="008E737E">
        <w:rPr>
          <w:rFonts w:ascii="Times New Roman" w:hAnsi="Times New Roman" w:cs="Times New Roman"/>
          <w:sz w:val="24"/>
          <w:szCs w:val="24"/>
        </w:rPr>
        <w:t xml:space="preserve"> either of two </w:t>
      </w:r>
      <w:r w:rsidR="00467216">
        <w:rPr>
          <w:rFonts w:ascii="Times New Roman" w:hAnsi="Times New Roman" w:cs="Times New Roman"/>
          <w:sz w:val="24"/>
          <w:szCs w:val="24"/>
        </w:rPr>
        <w:t>standard</w:t>
      </w:r>
      <w:r w:rsidR="00C853CC">
        <w:rPr>
          <w:rFonts w:ascii="Times New Roman" w:hAnsi="Times New Roman" w:cs="Times New Roman"/>
          <w:sz w:val="24"/>
          <w:szCs w:val="24"/>
        </w:rPr>
        <w:t>s</w:t>
      </w:r>
      <w:r w:rsidR="00467216">
        <w:rPr>
          <w:rFonts w:ascii="Times New Roman" w:hAnsi="Times New Roman" w:cs="Times New Roman"/>
          <w:sz w:val="24"/>
          <w:szCs w:val="24"/>
        </w:rPr>
        <w:t xml:space="preserve"> of affordability must be met</w:t>
      </w:r>
      <w:r w:rsidR="0076244F">
        <w:rPr>
          <w:rFonts w:ascii="Times New Roman" w:hAnsi="Times New Roman" w:cs="Times New Roman"/>
          <w:sz w:val="24"/>
          <w:szCs w:val="24"/>
        </w:rPr>
        <w:t>.</w:t>
      </w:r>
      <w:r w:rsidR="006012CE">
        <w:rPr>
          <w:rFonts w:ascii="Times New Roman" w:hAnsi="Times New Roman" w:cs="Times New Roman"/>
          <w:sz w:val="24"/>
          <w:szCs w:val="24"/>
        </w:rPr>
        <w:t xml:space="preserve"> These are</w:t>
      </w:r>
      <w:r w:rsidR="00632D8C">
        <w:rPr>
          <w:rFonts w:ascii="Times New Roman" w:hAnsi="Times New Roman" w:cs="Times New Roman"/>
          <w:sz w:val="24"/>
          <w:szCs w:val="24"/>
        </w:rPr>
        <w:t>:</w:t>
      </w:r>
    </w:p>
    <w:p w:rsidR="00632D8C" w:rsidP="00632D8C" w:rsidRDefault="00632D8C" w14:paraId="30A12D1D" w14:textId="77777777">
      <w:pPr>
        <w:spacing w:line="276" w:lineRule="auto"/>
        <w:ind w:left="1080" w:hanging="360"/>
        <w:jc w:val="both"/>
        <w:rPr>
          <w:rFonts w:ascii="Times New Roman" w:hAnsi="Times New Roman" w:cs="Times New Roman"/>
          <w:sz w:val="24"/>
          <w:szCs w:val="24"/>
        </w:rPr>
      </w:pPr>
    </w:p>
    <w:p w:rsidRPr="00720D10" w:rsidR="00D51251" w:rsidP="0023547C" w:rsidRDefault="00414F2F" w14:paraId="7D12290C" w14:textId="6BCFF875">
      <w:pPr>
        <w:pStyle w:val="ListParagraph"/>
        <w:numPr>
          <w:ilvl w:val="0"/>
          <w:numId w:val="4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a R</w:t>
      </w:r>
      <w:r w:rsidRPr="00720D10" w:rsidR="006E573A">
        <w:rPr>
          <w:rFonts w:ascii="Times New Roman" w:hAnsi="Times New Roman" w:cs="Times New Roman"/>
          <w:sz w:val="24"/>
          <w:szCs w:val="24"/>
        </w:rPr>
        <w:t xml:space="preserve">egulatory Agreement </w:t>
      </w:r>
      <w:r w:rsidR="00676CB0">
        <w:rPr>
          <w:rFonts w:ascii="Times New Roman" w:hAnsi="Times New Roman" w:cs="Times New Roman"/>
          <w:sz w:val="24"/>
          <w:szCs w:val="24"/>
        </w:rPr>
        <w:t xml:space="preserve">must be recorded and </w:t>
      </w:r>
      <w:r w:rsidRPr="00720D10" w:rsidR="006E573A">
        <w:rPr>
          <w:rFonts w:ascii="Times New Roman" w:hAnsi="Times New Roman" w:cs="Times New Roman"/>
          <w:sz w:val="24"/>
          <w:szCs w:val="24"/>
        </w:rPr>
        <w:t>requir</w:t>
      </w:r>
      <w:r w:rsidR="00676CB0">
        <w:rPr>
          <w:rFonts w:ascii="Times New Roman" w:hAnsi="Times New Roman" w:cs="Times New Roman"/>
          <w:sz w:val="24"/>
          <w:szCs w:val="24"/>
        </w:rPr>
        <w:t>e</w:t>
      </w:r>
      <w:r w:rsidRPr="00720D10" w:rsidR="006E573A">
        <w:rPr>
          <w:rFonts w:ascii="Times New Roman" w:hAnsi="Times New Roman" w:cs="Times New Roman"/>
          <w:sz w:val="24"/>
          <w:szCs w:val="24"/>
        </w:rPr>
        <w:t xml:space="preserve"> the project to meet at least </w:t>
      </w:r>
      <w:r w:rsidRPr="00720D10" w:rsidR="00D51251">
        <w:rPr>
          <w:rFonts w:ascii="Times New Roman" w:hAnsi="Times New Roman" w:cs="Times New Roman"/>
          <w:sz w:val="24"/>
          <w:szCs w:val="24"/>
        </w:rPr>
        <w:t>one of the following</w:t>
      </w:r>
      <w:r w:rsidR="00BD3E35">
        <w:rPr>
          <w:rFonts w:ascii="Times New Roman" w:hAnsi="Times New Roman" w:cs="Times New Roman"/>
          <w:sz w:val="24"/>
          <w:szCs w:val="24"/>
        </w:rPr>
        <w:t xml:space="preserve"> LIHTC restrictions</w:t>
      </w:r>
      <w:r w:rsidR="000A23D0">
        <w:rPr>
          <w:rFonts w:ascii="Times New Roman" w:hAnsi="Times New Roman" w:cs="Times New Roman"/>
          <w:sz w:val="24"/>
          <w:szCs w:val="24"/>
        </w:rPr>
        <w:t xml:space="preserve">, </w:t>
      </w:r>
      <w:r w:rsidR="00077568">
        <w:rPr>
          <w:rFonts w:ascii="Times New Roman" w:hAnsi="Times New Roman" w:cs="Times New Roman"/>
          <w:sz w:val="24"/>
          <w:szCs w:val="24"/>
        </w:rPr>
        <w:t>including</w:t>
      </w:r>
      <w:r w:rsidR="000A23D0">
        <w:rPr>
          <w:rFonts w:ascii="Times New Roman" w:hAnsi="Times New Roman" w:cs="Times New Roman"/>
          <w:sz w:val="24"/>
          <w:szCs w:val="24"/>
        </w:rPr>
        <w:t xml:space="preserve"> income averaging as applicable</w:t>
      </w:r>
      <w:r w:rsidRPr="00720D10" w:rsidR="00D51251">
        <w:rPr>
          <w:rFonts w:ascii="Times New Roman" w:hAnsi="Times New Roman" w:cs="Times New Roman"/>
          <w:sz w:val="24"/>
          <w:szCs w:val="24"/>
        </w:rPr>
        <w:t>:</w:t>
      </w:r>
    </w:p>
    <w:p w:rsidR="000B366A" w:rsidP="0023547C" w:rsidRDefault="006E573A" w14:paraId="736EC694" w14:textId="7B193FE6">
      <w:pPr>
        <w:pStyle w:val="ListParagraph"/>
        <w:numPr>
          <w:ilvl w:val="0"/>
          <w:numId w:val="43"/>
        </w:numPr>
        <w:spacing w:line="276" w:lineRule="auto"/>
        <w:jc w:val="both"/>
        <w:rPr>
          <w:rFonts w:ascii="Times New Roman" w:hAnsi="Times New Roman" w:cs="Times New Roman"/>
          <w:sz w:val="24"/>
          <w:szCs w:val="24"/>
        </w:rPr>
      </w:pPr>
      <w:r w:rsidRPr="00720D10">
        <w:rPr>
          <w:rFonts w:ascii="Times New Roman" w:hAnsi="Times New Roman" w:cs="Times New Roman"/>
          <w:sz w:val="24"/>
          <w:szCs w:val="24"/>
        </w:rPr>
        <w:t>20% of units at 50% of area median income (AMI),</w:t>
      </w:r>
    </w:p>
    <w:p w:rsidR="000B366A" w:rsidP="0023547C" w:rsidRDefault="006E573A" w14:paraId="54F3FDA6" w14:textId="12B55464">
      <w:pPr>
        <w:pStyle w:val="ListParagraph"/>
        <w:numPr>
          <w:ilvl w:val="0"/>
          <w:numId w:val="43"/>
        </w:numPr>
        <w:spacing w:line="276" w:lineRule="auto"/>
        <w:jc w:val="both"/>
        <w:rPr>
          <w:rFonts w:ascii="Times New Roman" w:hAnsi="Times New Roman" w:cs="Times New Roman"/>
          <w:sz w:val="24"/>
          <w:szCs w:val="24"/>
        </w:rPr>
      </w:pPr>
      <w:r w:rsidRPr="00A34C09">
        <w:rPr>
          <w:rFonts w:ascii="Times New Roman" w:hAnsi="Times New Roman" w:cs="Times New Roman"/>
          <w:sz w:val="24"/>
          <w:szCs w:val="24"/>
        </w:rPr>
        <w:t xml:space="preserve">40% of units at 60% of AMI, </w:t>
      </w:r>
    </w:p>
    <w:p w:rsidR="006C629C" w:rsidP="006C629C" w:rsidRDefault="00EA6AB8" w14:paraId="04A40EA0" w14:textId="0B29742F">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or</w:t>
      </w:r>
    </w:p>
    <w:p w:rsidRPr="0023547C" w:rsidR="00F65A18" w:rsidP="0023547C" w:rsidRDefault="00F65A18" w14:paraId="7883F38B" w14:textId="77777777">
      <w:pPr>
        <w:pStyle w:val="ListParagraph"/>
        <w:spacing w:line="276" w:lineRule="auto"/>
        <w:ind w:left="1440"/>
        <w:jc w:val="both"/>
        <w:rPr>
          <w:rFonts w:ascii="Times New Roman" w:hAnsi="Times New Roman" w:cs="Times New Roman"/>
          <w:sz w:val="24"/>
          <w:szCs w:val="24"/>
        </w:rPr>
      </w:pPr>
    </w:p>
    <w:p w:rsidRPr="0023547C" w:rsidR="006E573A" w:rsidP="0023547C" w:rsidRDefault="00803B0D" w14:paraId="5B8553ED" w14:textId="6B444016">
      <w:pPr>
        <w:pStyle w:val="ListParagraph"/>
        <w:numPr>
          <w:ilvl w:val="0"/>
          <w:numId w:val="4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5A18">
        <w:rPr>
          <w:rFonts w:ascii="Times New Roman" w:hAnsi="Times New Roman" w:cs="Times New Roman"/>
          <w:sz w:val="24"/>
          <w:szCs w:val="24"/>
        </w:rPr>
        <w:t>a</w:t>
      </w:r>
      <w:r w:rsidRPr="0023547C" w:rsidR="006E573A">
        <w:rPr>
          <w:rFonts w:ascii="Times New Roman" w:hAnsi="Times New Roman" w:cs="Times New Roman"/>
          <w:sz w:val="24"/>
          <w:szCs w:val="24"/>
        </w:rPr>
        <w:t xml:space="preserve"> Project-Based Section 8 contract for </w:t>
      </w:r>
      <w:r w:rsidR="00DE0207">
        <w:rPr>
          <w:rFonts w:ascii="Times New Roman" w:hAnsi="Times New Roman" w:cs="Times New Roman"/>
          <w:sz w:val="24"/>
          <w:szCs w:val="24"/>
        </w:rPr>
        <w:t xml:space="preserve">at least </w:t>
      </w:r>
      <w:r w:rsidRPr="0023547C" w:rsidR="006E573A">
        <w:rPr>
          <w:rFonts w:ascii="Times New Roman" w:hAnsi="Times New Roman" w:cs="Times New Roman"/>
          <w:sz w:val="24"/>
          <w:szCs w:val="24"/>
        </w:rPr>
        <w:t xml:space="preserve">90% of the units. </w:t>
      </w:r>
    </w:p>
    <w:p w:rsidRPr="00FA0F71" w:rsidR="006E573A" w:rsidP="006E573A" w:rsidRDefault="006E573A" w14:paraId="5B8553EE" w14:textId="77777777">
      <w:pPr>
        <w:spacing w:line="276" w:lineRule="auto"/>
        <w:jc w:val="both"/>
        <w:rPr>
          <w:rFonts w:ascii="Times New Roman" w:hAnsi="Times New Roman" w:cs="Times New Roman"/>
          <w:sz w:val="24"/>
          <w:szCs w:val="24"/>
        </w:rPr>
      </w:pPr>
      <w:r w:rsidRPr="00FA0F71">
        <w:rPr>
          <w:rFonts w:ascii="Times New Roman" w:hAnsi="Times New Roman" w:cs="Times New Roman"/>
          <w:sz w:val="24"/>
          <w:szCs w:val="24"/>
        </w:rPr>
        <w:t xml:space="preserve"> </w:t>
      </w:r>
    </w:p>
    <w:p w:rsidR="00EA1BEE" w:rsidP="00A369EB" w:rsidRDefault="00B35058" w14:paraId="02F04ECA" w14:textId="505AE506">
      <w:pPr>
        <w:spacing w:line="276" w:lineRule="auto"/>
        <w:ind w:left="108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Pr="00FA0F71" w:rsidR="006E573A">
        <w:rPr>
          <w:rFonts w:ascii="Times New Roman" w:hAnsi="Times New Roman" w:cs="Times New Roman"/>
          <w:color w:val="000000" w:themeColor="text1"/>
          <w:sz w:val="24"/>
          <w:szCs w:val="24"/>
        </w:rPr>
        <w:t>Projects need not use LIHTCs to qualify for affordable underwriting so long as they meet the above requirements.</w:t>
      </w:r>
    </w:p>
    <w:p w:rsidR="00EA1BEE" w:rsidP="00A369EB" w:rsidRDefault="00EA1BEE" w14:paraId="4458E58C" w14:textId="77777777">
      <w:pPr>
        <w:spacing w:line="276" w:lineRule="auto"/>
        <w:ind w:left="1080" w:hanging="360"/>
        <w:jc w:val="both"/>
        <w:rPr>
          <w:rFonts w:ascii="Times New Roman" w:hAnsi="Times New Roman" w:cs="Times New Roman"/>
          <w:color w:val="000000" w:themeColor="text1"/>
          <w:sz w:val="24"/>
          <w:szCs w:val="24"/>
        </w:rPr>
      </w:pPr>
    </w:p>
    <w:p w:rsidR="00E767F4" w:rsidP="00A369EB" w:rsidRDefault="007957AF" w14:paraId="179A6FC1" w14:textId="4A10E8A0">
      <w:pPr>
        <w:spacing w:line="276" w:lineRule="auto"/>
        <w:ind w:left="108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r>
      <w:r w:rsidR="001C48AF">
        <w:rPr>
          <w:rFonts w:ascii="Times New Roman" w:hAnsi="Times New Roman" w:cs="Times New Roman"/>
          <w:color w:val="000000" w:themeColor="text1"/>
          <w:sz w:val="24"/>
          <w:szCs w:val="24"/>
        </w:rPr>
        <w:t>Note that th</w:t>
      </w:r>
      <w:r w:rsidR="008B3979">
        <w:rPr>
          <w:rFonts w:ascii="Times New Roman" w:hAnsi="Times New Roman" w:cs="Times New Roman"/>
          <w:color w:val="000000" w:themeColor="text1"/>
          <w:sz w:val="24"/>
          <w:szCs w:val="24"/>
        </w:rPr>
        <w:t xml:space="preserve">e </w:t>
      </w:r>
      <w:r w:rsidR="00DE66EE">
        <w:rPr>
          <w:rFonts w:ascii="Times New Roman" w:hAnsi="Times New Roman" w:cs="Times New Roman"/>
          <w:color w:val="000000" w:themeColor="text1"/>
          <w:sz w:val="24"/>
          <w:szCs w:val="24"/>
        </w:rPr>
        <w:t xml:space="preserve">definition of Affordable in this </w:t>
      </w:r>
      <w:r w:rsidR="001C48AF">
        <w:rPr>
          <w:rFonts w:ascii="Times New Roman" w:hAnsi="Times New Roman" w:cs="Times New Roman"/>
          <w:color w:val="000000" w:themeColor="text1"/>
          <w:sz w:val="24"/>
          <w:szCs w:val="24"/>
        </w:rPr>
        <w:t xml:space="preserve">section is separate and distinct from the definition of Affordable and Broadly Affordable </w:t>
      </w:r>
      <w:r w:rsidR="009001E1">
        <w:rPr>
          <w:rFonts w:ascii="Times New Roman" w:hAnsi="Times New Roman" w:cs="Times New Roman"/>
          <w:color w:val="000000" w:themeColor="text1"/>
          <w:sz w:val="24"/>
          <w:szCs w:val="24"/>
        </w:rPr>
        <w:t>used to determine eligibility for a reduced MIP</w:t>
      </w:r>
      <w:r w:rsidR="00B97D91">
        <w:rPr>
          <w:rFonts w:ascii="Times New Roman" w:hAnsi="Times New Roman" w:cs="Times New Roman"/>
          <w:color w:val="000000" w:themeColor="text1"/>
          <w:sz w:val="24"/>
          <w:szCs w:val="24"/>
        </w:rPr>
        <w:t xml:space="preserve"> (See </w:t>
      </w:r>
      <w:r w:rsidR="00AA498B">
        <w:rPr>
          <w:rFonts w:ascii="Times New Roman" w:hAnsi="Times New Roman" w:cs="Times New Roman"/>
          <w:color w:val="000000" w:themeColor="text1"/>
          <w:sz w:val="24"/>
          <w:szCs w:val="24"/>
        </w:rPr>
        <w:t>3.</w:t>
      </w:r>
      <w:r w:rsidR="004511AD">
        <w:rPr>
          <w:rFonts w:ascii="Times New Roman" w:hAnsi="Times New Roman" w:cs="Times New Roman"/>
          <w:color w:val="000000" w:themeColor="text1"/>
          <w:sz w:val="24"/>
          <w:szCs w:val="24"/>
        </w:rPr>
        <w:t>1.J</w:t>
      </w:r>
      <w:r w:rsidR="00F1536D">
        <w:rPr>
          <w:rFonts w:ascii="Times New Roman" w:hAnsi="Times New Roman" w:cs="Times New Roman"/>
          <w:color w:val="000000" w:themeColor="text1"/>
          <w:sz w:val="24"/>
          <w:szCs w:val="24"/>
        </w:rPr>
        <w:t xml:space="preserve">) or </w:t>
      </w:r>
      <w:r w:rsidR="00C26973">
        <w:rPr>
          <w:rFonts w:ascii="Times New Roman" w:hAnsi="Times New Roman" w:cs="Times New Roman"/>
          <w:color w:val="000000" w:themeColor="text1"/>
          <w:sz w:val="24"/>
          <w:szCs w:val="24"/>
        </w:rPr>
        <w:t>application fees for projec</w:t>
      </w:r>
      <w:r w:rsidR="00450680">
        <w:rPr>
          <w:rFonts w:ascii="Times New Roman" w:hAnsi="Times New Roman" w:cs="Times New Roman"/>
          <w:color w:val="000000" w:themeColor="text1"/>
          <w:sz w:val="24"/>
          <w:szCs w:val="24"/>
        </w:rPr>
        <w:t>t</w:t>
      </w:r>
      <w:r w:rsidR="00C26973">
        <w:rPr>
          <w:rFonts w:ascii="Times New Roman" w:hAnsi="Times New Roman" w:cs="Times New Roman"/>
          <w:color w:val="000000" w:themeColor="text1"/>
          <w:sz w:val="24"/>
          <w:szCs w:val="24"/>
        </w:rPr>
        <w:t xml:space="preserve">s located in Opportunity Zones </w:t>
      </w:r>
      <w:r w:rsidR="00762D1D">
        <w:rPr>
          <w:rFonts w:ascii="Times New Roman" w:hAnsi="Times New Roman" w:cs="Times New Roman"/>
          <w:color w:val="000000" w:themeColor="text1"/>
          <w:sz w:val="24"/>
          <w:szCs w:val="24"/>
        </w:rPr>
        <w:t>(See 3.1.JJ).</w:t>
      </w:r>
    </w:p>
    <w:p w:rsidR="009573B7" w:rsidP="00796CD6" w:rsidRDefault="009573B7" w14:paraId="4A964D09" w14:textId="77777777">
      <w:pPr>
        <w:spacing w:line="276" w:lineRule="auto"/>
        <w:ind w:left="360"/>
        <w:jc w:val="both"/>
        <w:rPr>
          <w:rFonts w:ascii="Times New Roman" w:hAnsi="Times New Roman" w:cs="Times New Roman"/>
          <w:color w:val="000000" w:themeColor="text1"/>
          <w:sz w:val="24"/>
          <w:szCs w:val="24"/>
        </w:rPr>
      </w:pPr>
    </w:p>
    <w:p w:rsidRPr="00FA0F71" w:rsidR="006E573A" w:rsidP="008202BF" w:rsidRDefault="006E573A" w14:paraId="5B8553F2" w14:textId="1ABE09F8">
      <w:pPr>
        <w:spacing w:line="276" w:lineRule="auto"/>
        <w:ind w:left="360" w:hanging="360"/>
        <w:jc w:val="both"/>
        <w:rPr>
          <w:rFonts w:ascii="Times New Roman" w:hAnsi="Times New Roman" w:eastAsia="Times New Roman" w:cs="Times New Roman"/>
          <w:color w:val="000000" w:themeColor="text1"/>
          <w:sz w:val="24"/>
          <w:szCs w:val="24"/>
        </w:rPr>
      </w:pPr>
      <w:r w:rsidRPr="00A033E7">
        <w:rPr>
          <w:rFonts w:ascii="Times New Roman" w:hAnsi="Times New Roman" w:cs="Times New Roman"/>
          <w:color w:val="000000" w:themeColor="text1"/>
          <w:sz w:val="24"/>
          <w:szCs w:val="24"/>
        </w:rPr>
        <w:t>M.</w:t>
      </w:r>
      <w:r w:rsidRPr="00A033E7">
        <w:rPr>
          <w:rFonts w:ascii="Times New Roman" w:hAnsi="Times New Roman" w:cs="Times New Roman"/>
          <w:b/>
          <w:color w:val="000000" w:themeColor="text1"/>
          <w:sz w:val="24"/>
          <w:szCs w:val="24"/>
        </w:rPr>
        <w:t xml:space="preserve"> Fair Housing and Equal Opportunity</w:t>
      </w:r>
      <w:r w:rsidRPr="00A033E7">
        <w:rPr>
          <w:rFonts w:ascii="Times New Roman" w:hAnsi="Times New Roman" w:cs="Times New Roman"/>
          <w:color w:val="000000" w:themeColor="text1"/>
          <w:sz w:val="24"/>
          <w:szCs w:val="24"/>
        </w:rPr>
        <w:t xml:space="preserve">.  Borrowers, management agents, contractors and subcontractors must comply with HUD Fair Housing and Equal Opportunity requirements. </w:t>
      </w:r>
      <w:r w:rsidR="00EA5B57">
        <w:rPr>
          <w:rFonts w:ascii="Times New Roman" w:hAnsi="Times New Roman" w:cs="Times New Roman"/>
          <w:color w:val="000000" w:themeColor="text1"/>
          <w:sz w:val="24"/>
          <w:szCs w:val="24"/>
        </w:rPr>
        <w:t>(See 24 CFR</w:t>
      </w:r>
      <w:r w:rsidR="00440BA0">
        <w:rPr>
          <w:rFonts w:ascii="Times New Roman" w:hAnsi="Times New Roman" w:cs="Times New Roman"/>
          <w:color w:val="000000" w:themeColor="text1"/>
          <w:sz w:val="24"/>
          <w:szCs w:val="24"/>
        </w:rPr>
        <w:t xml:space="preserve"> 5.105 (a)(1)).  </w:t>
      </w:r>
      <w:r w:rsidRPr="00A033E7">
        <w:rPr>
          <w:rFonts w:ascii="Times New Roman" w:hAnsi="Times New Roman" w:cs="Times New Roman"/>
          <w:color w:val="000000" w:themeColor="text1"/>
          <w:sz w:val="24"/>
          <w:szCs w:val="24"/>
        </w:rPr>
        <w:t>Such requirements include selection of occupants, employment, and project accessibility (See 24 CFR Part 100 and subsequent Sections), regardless of race, color, national</w:t>
      </w:r>
      <w:r w:rsidR="00CF3D65">
        <w:rPr>
          <w:rFonts w:ascii="Times New Roman" w:hAnsi="Times New Roman" w:cs="Times New Roman"/>
          <w:color w:val="000000" w:themeColor="text1"/>
          <w:sz w:val="24"/>
          <w:szCs w:val="24"/>
        </w:rPr>
        <w:t xml:space="preserve"> </w:t>
      </w:r>
      <w:r w:rsidR="006801F6">
        <w:rPr>
          <w:rFonts w:ascii="Times New Roman" w:hAnsi="Times New Roman" w:cs="Times New Roman"/>
          <w:color w:val="000000" w:themeColor="text1"/>
          <w:sz w:val="24"/>
          <w:szCs w:val="24"/>
        </w:rPr>
        <w:t>origin,</w:t>
      </w:r>
      <w:r w:rsidRPr="00A033E7">
        <w:rPr>
          <w:rFonts w:ascii="Times New Roman" w:hAnsi="Times New Roman" w:cs="Times New Roman"/>
          <w:color w:val="000000" w:themeColor="text1"/>
          <w:sz w:val="24"/>
          <w:szCs w:val="24"/>
        </w:rPr>
        <w:t xml:space="preserve"> religion, sex, disability </w:t>
      </w:r>
      <w:r w:rsidR="00593601">
        <w:rPr>
          <w:rFonts w:ascii="Times New Roman" w:hAnsi="Times New Roman" w:cs="Times New Roman"/>
          <w:color w:val="000000" w:themeColor="text1"/>
          <w:sz w:val="24"/>
          <w:szCs w:val="24"/>
        </w:rPr>
        <w:t>or</w:t>
      </w:r>
      <w:r w:rsidRPr="00FA0F71">
        <w:rPr>
          <w:rFonts w:ascii="Times New Roman" w:hAnsi="Times New Roman" w:cs="Times New Roman"/>
          <w:color w:val="000000" w:themeColor="text1"/>
          <w:sz w:val="24"/>
          <w:szCs w:val="24"/>
        </w:rPr>
        <w:t xml:space="preserve"> familial </w:t>
      </w:r>
      <w:r w:rsidRPr="00FA0F71" w:rsidR="00C61B3A">
        <w:rPr>
          <w:rFonts w:ascii="Times New Roman" w:hAnsi="Times New Roman" w:cs="Times New Roman"/>
          <w:color w:val="000000" w:themeColor="text1"/>
          <w:sz w:val="24"/>
          <w:szCs w:val="24"/>
        </w:rPr>
        <w:t>status which</w:t>
      </w:r>
      <w:r w:rsidRPr="00FA0F71">
        <w:rPr>
          <w:rFonts w:ascii="Times New Roman" w:hAnsi="Times New Roman" w:cs="Times New Roman"/>
          <w:color w:val="000000" w:themeColor="text1"/>
          <w:sz w:val="24"/>
          <w:szCs w:val="24"/>
        </w:rPr>
        <w:t xml:space="preserve"> are all Fair Housing Act protected classes. </w:t>
      </w:r>
      <w:r w:rsidRPr="00FA0F71">
        <w:rPr>
          <w:rFonts w:ascii="Times New Roman" w:hAnsi="Times New Roman" w:eastAsia="Times New Roman" w:cs="Times New Roman"/>
          <w:color w:val="000000" w:themeColor="text1"/>
          <w:sz w:val="24"/>
          <w:szCs w:val="24"/>
        </w:rPr>
        <w:t>Discrimination by age is also prohibited and the Equal Access Rule (</w:t>
      </w:r>
      <w:r w:rsidRPr="00FA0F71">
        <w:rPr>
          <w:rFonts w:ascii="Times New Roman" w:hAnsi="Times New Roman" w:cs="Times New Roman"/>
          <w:color w:val="000000" w:themeColor="text1"/>
          <w:sz w:val="24"/>
          <w:szCs w:val="24"/>
        </w:rPr>
        <w:t>24 CFR 5.105(a)(2)</w:t>
      </w:r>
      <w:r w:rsidRPr="00FA0F71">
        <w:rPr>
          <w:rFonts w:ascii="Times New Roman" w:hAnsi="Times New Roman" w:eastAsia="Times New Roman" w:cs="Times New Roman"/>
          <w:color w:val="000000" w:themeColor="text1"/>
          <w:sz w:val="24"/>
          <w:szCs w:val="24"/>
        </w:rPr>
        <w:t xml:space="preserve">) provides for non-discrimination based on </w:t>
      </w:r>
      <w:r w:rsidRPr="00FA0F71">
        <w:rPr>
          <w:rFonts w:ascii="Times New Roman" w:hAnsi="Times New Roman" w:cs="Times New Roman"/>
          <w:color w:val="000000" w:themeColor="text1"/>
          <w:sz w:val="24"/>
          <w:szCs w:val="24"/>
        </w:rPr>
        <w:t>actual or perceived sexual orientation, gender identity or marital</w:t>
      </w:r>
      <w:r w:rsidRPr="00FA0F71">
        <w:rPr>
          <w:rFonts w:ascii="Times New Roman" w:hAnsi="Times New Roman" w:eastAsia="Times New Roman" w:cs="Times New Roman"/>
          <w:color w:val="000000" w:themeColor="text1"/>
          <w:sz w:val="24"/>
          <w:szCs w:val="24"/>
        </w:rPr>
        <w:t xml:space="preserve"> status. </w:t>
      </w:r>
      <w:r w:rsidR="004831E5">
        <w:rPr>
          <w:rFonts w:ascii="Times New Roman" w:hAnsi="Times New Roman" w:eastAsia="Times New Roman" w:cs="Times New Roman"/>
          <w:color w:val="000000" w:themeColor="text1"/>
          <w:sz w:val="24"/>
          <w:szCs w:val="24"/>
        </w:rPr>
        <w:t xml:space="preserve"> Project accessibility requirements apply to most multifamily properties.  For a complete description of project accessibility requirements </w:t>
      </w:r>
      <w:r w:rsidR="00A46587">
        <w:rPr>
          <w:rFonts w:ascii="Times New Roman" w:hAnsi="Times New Roman" w:eastAsia="Times New Roman" w:cs="Times New Roman"/>
          <w:color w:val="000000" w:themeColor="text1"/>
          <w:sz w:val="24"/>
          <w:szCs w:val="24"/>
        </w:rPr>
        <w:t>see Chapter 5 and Appendix 5B.</w:t>
      </w:r>
    </w:p>
    <w:p w:rsidRPr="00FA0F71" w:rsidR="006E573A" w:rsidP="006E573A" w:rsidRDefault="006E573A" w14:paraId="5B8553F3" w14:textId="77777777">
      <w:pPr>
        <w:spacing w:line="276" w:lineRule="auto"/>
        <w:ind w:left="360" w:hanging="360"/>
        <w:jc w:val="both"/>
        <w:rPr>
          <w:rFonts w:ascii="Times New Roman" w:hAnsi="Times New Roman" w:cs="Times New Roman"/>
          <w:sz w:val="24"/>
          <w:szCs w:val="24"/>
        </w:rPr>
      </w:pPr>
    </w:p>
    <w:p w:rsidRPr="00FA0F71" w:rsidR="006E573A" w:rsidP="006E573A" w:rsidRDefault="006E573A" w14:paraId="5B8553F5" w14:textId="6833A62E">
      <w:pPr>
        <w:spacing w:line="276" w:lineRule="auto"/>
        <w:ind w:left="360"/>
        <w:jc w:val="both"/>
        <w:rPr>
          <w:rFonts w:ascii="Times New Roman" w:hAnsi="Times New Roman" w:cs="Times New Roman"/>
          <w:sz w:val="24"/>
          <w:szCs w:val="24"/>
        </w:rPr>
      </w:pPr>
      <w:r w:rsidRPr="00FA0F71">
        <w:rPr>
          <w:rFonts w:ascii="Times New Roman" w:hAnsi="Times New Roman" w:cs="Times New Roman"/>
          <w:sz w:val="24"/>
          <w:szCs w:val="24"/>
        </w:rPr>
        <w:t xml:space="preserve">Affirmative Fair Housing Marketing requirements are addressed in Section 10.9 of this Guide.  Also see “Affirmative Fair Housing Marketing to Fair Housing Act Protected Classes” (24 CFR Part </w:t>
      </w:r>
      <w:r w:rsidR="00FF62E0">
        <w:rPr>
          <w:rFonts w:ascii="Times New Roman" w:hAnsi="Times New Roman" w:cs="Times New Roman"/>
          <w:sz w:val="24"/>
          <w:szCs w:val="24"/>
        </w:rPr>
        <w:t xml:space="preserve">108 </w:t>
      </w:r>
      <w:r w:rsidR="003E6174">
        <w:rPr>
          <w:rFonts w:ascii="Times New Roman" w:hAnsi="Times New Roman" w:cs="Times New Roman"/>
          <w:sz w:val="24"/>
          <w:szCs w:val="24"/>
        </w:rPr>
        <w:t xml:space="preserve">and </w:t>
      </w:r>
      <w:r w:rsidRPr="00FA0F71">
        <w:rPr>
          <w:rFonts w:ascii="Times New Roman" w:hAnsi="Times New Roman" w:cs="Times New Roman"/>
          <w:sz w:val="24"/>
          <w:szCs w:val="24"/>
        </w:rPr>
        <w:t>200.600</w:t>
      </w:r>
      <w:r w:rsidR="006A6F02">
        <w:rPr>
          <w:rFonts w:ascii="Times New Roman" w:hAnsi="Times New Roman" w:cs="Times New Roman"/>
          <w:sz w:val="24"/>
          <w:szCs w:val="24"/>
        </w:rPr>
        <w:t>)</w:t>
      </w:r>
      <w:r w:rsidR="00A22763">
        <w:rPr>
          <w:rFonts w:ascii="Times New Roman" w:hAnsi="Times New Roman" w:cs="Times New Roman"/>
          <w:sz w:val="24"/>
          <w:szCs w:val="24"/>
        </w:rPr>
        <w:t xml:space="preserve">. </w:t>
      </w:r>
      <w:r w:rsidR="0095526F">
        <w:rPr>
          <w:rFonts w:ascii="Times New Roman" w:hAnsi="Times New Roman" w:cs="Times New Roman"/>
          <w:sz w:val="24"/>
          <w:szCs w:val="24"/>
        </w:rPr>
        <w:t>Projects</w:t>
      </w:r>
      <w:r w:rsidR="006154BA">
        <w:rPr>
          <w:rFonts w:ascii="Times New Roman" w:hAnsi="Times New Roman" w:cs="Times New Roman"/>
          <w:sz w:val="24"/>
          <w:szCs w:val="24"/>
        </w:rPr>
        <w:t xml:space="preserve"> with federal financial assistance are required to comply with the accessibility requirements of Section 504</w:t>
      </w:r>
      <w:r w:rsidR="00FE61B1">
        <w:rPr>
          <w:rFonts w:ascii="Times New Roman" w:hAnsi="Times New Roman" w:cs="Times New Roman"/>
          <w:sz w:val="24"/>
          <w:szCs w:val="24"/>
        </w:rPr>
        <w:t xml:space="preserve"> of the Rehabilitation </w:t>
      </w:r>
      <w:r w:rsidR="006801F6">
        <w:rPr>
          <w:rFonts w:ascii="Times New Roman" w:hAnsi="Times New Roman" w:cs="Times New Roman"/>
          <w:sz w:val="24"/>
          <w:szCs w:val="24"/>
        </w:rPr>
        <w:t>Act</w:t>
      </w:r>
      <w:r w:rsidRPr="00FA0F71">
        <w:rPr>
          <w:rFonts w:ascii="Times New Roman" w:hAnsi="Times New Roman" w:cs="Times New Roman"/>
          <w:sz w:val="24"/>
          <w:szCs w:val="24"/>
        </w:rPr>
        <w:t xml:space="preserve"> </w:t>
      </w:r>
      <w:r w:rsidR="002C7A20">
        <w:rPr>
          <w:rFonts w:ascii="Times New Roman" w:hAnsi="Times New Roman" w:cs="Times New Roman"/>
          <w:sz w:val="24"/>
          <w:szCs w:val="24"/>
        </w:rPr>
        <w:t>a</w:t>
      </w:r>
      <w:r w:rsidR="002E3765">
        <w:rPr>
          <w:rFonts w:ascii="Times New Roman" w:hAnsi="Times New Roman" w:cs="Times New Roman"/>
          <w:sz w:val="24"/>
          <w:szCs w:val="24"/>
        </w:rPr>
        <w:t xml:space="preserve">nd </w:t>
      </w:r>
      <w:r w:rsidR="00DC3232">
        <w:rPr>
          <w:rFonts w:ascii="Times New Roman" w:hAnsi="Times New Roman" w:cs="Times New Roman"/>
          <w:sz w:val="24"/>
          <w:szCs w:val="24"/>
        </w:rPr>
        <w:t>projects that are a program or activity of a State or local government or contain public</w:t>
      </w:r>
      <w:r w:rsidR="00AC6E4D">
        <w:rPr>
          <w:rFonts w:ascii="Times New Roman" w:hAnsi="Times New Roman" w:cs="Times New Roman"/>
          <w:sz w:val="24"/>
          <w:szCs w:val="24"/>
        </w:rPr>
        <w:t xml:space="preserve"> accommodations are required to comply with Titles II or III of the Americans with Disabilities Act.</w:t>
      </w:r>
    </w:p>
    <w:p w:rsidRPr="00FA0F71" w:rsidR="006E573A" w:rsidP="006E573A" w:rsidRDefault="006E573A" w14:paraId="5B8553F6" w14:textId="77777777">
      <w:pPr>
        <w:spacing w:line="276" w:lineRule="auto"/>
        <w:ind w:left="360" w:hanging="360"/>
        <w:jc w:val="both"/>
        <w:rPr>
          <w:rFonts w:ascii="Times New Roman" w:hAnsi="Times New Roman" w:cs="Times New Roman"/>
          <w:sz w:val="24"/>
          <w:szCs w:val="24"/>
        </w:rPr>
      </w:pPr>
    </w:p>
    <w:p w:rsidRPr="00FA0F71" w:rsidR="006E573A" w:rsidP="006E573A" w:rsidRDefault="006E573A" w14:paraId="5B8553F7" w14:textId="0686FDDB">
      <w:pPr>
        <w:spacing w:line="276" w:lineRule="auto"/>
        <w:ind w:left="360"/>
        <w:jc w:val="both"/>
        <w:rPr>
          <w:rFonts w:ascii="Times New Roman" w:hAnsi="Times New Roman" w:cs="Times New Roman"/>
          <w:sz w:val="24"/>
          <w:szCs w:val="24"/>
        </w:rPr>
      </w:pPr>
      <w:r w:rsidRPr="00FA0F71">
        <w:rPr>
          <w:rFonts w:ascii="Times New Roman" w:hAnsi="Times New Roman" w:cs="Times New Roman"/>
          <w:sz w:val="24"/>
          <w:szCs w:val="24"/>
        </w:rPr>
        <w:t xml:space="preserve">Fair Housing </w:t>
      </w:r>
      <w:r w:rsidR="00DC4D67">
        <w:rPr>
          <w:rFonts w:ascii="Times New Roman" w:hAnsi="Times New Roman" w:cs="Times New Roman"/>
          <w:sz w:val="24"/>
          <w:szCs w:val="24"/>
        </w:rPr>
        <w:t xml:space="preserve">and civil rights </w:t>
      </w:r>
      <w:r w:rsidRPr="00FA0F71">
        <w:rPr>
          <w:rFonts w:ascii="Times New Roman" w:hAnsi="Times New Roman" w:cs="Times New Roman"/>
          <w:sz w:val="24"/>
          <w:szCs w:val="24"/>
        </w:rPr>
        <w:t>violations may result in enforcement actions including but not limited to Limited Denial of Participation.</w:t>
      </w:r>
    </w:p>
    <w:p w:rsidRPr="00FA0F71" w:rsidR="006E573A" w:rsidP="006E573A" w:rsidRDefault="006E573A" w14:paraId="5B8553F8" w14:textId="77777777">
      <w:pPr>
        <w:spacing w:line="276" w:lineRule="auto"/>
        <w:jc w:val="both"/>
        <w:rPr>
          <w:rFonts w:ascii="Times New Roman" w:hAnsi="Times New Roman" w:cs="Times New Roman"/>
          <w:sz w:val="24"/>
          <w:szCs w:val="24"/>
          <w:u w:val="single"/>
        </w:rPr>
      </w:pPr>
    </w:p>
    <w:p w:rsidR="006E573A" w:rsidP="006E573A" w:rsidRDefault="006E573A" w14:paraId="5B8553FD" w14:textId="14AC2CD4">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N.</w:t>
      </w:r>
      <w:r w:rsidRPr="00FA0F71">
        <w:rPr>
          <w:rFonts w:ascii="Times New Roman" w:hAnsi="Times New Roman" w:cs="Times New Roman"/>
          <w:b/>
          <w:sz w:val="24"/>
          <w:szCs w:val="24"/>
        </w:rPr>
        <w:t xml:space="preserve"> </w:t>
      </w:r>
      <w:r w:rsidR="005C2DDC">
        <w:rPr>
          <w:rFonts w:ascii="Times New Roman" w:hAnsi="Times New Roman" w:cs="Times New Roman"/>
          <w:b/>
          <w:sz w:val="24"/>
          <w:szCs w:val="24"/>
        </w:rPr>
        <w:t xml:space="preserve"> </w:t>
      </w:r>
      <w:r w:rsidR="0036650B">
        <w:rPr>
          <w:rFonts w:ascii="Times New Roman" w:hAnsi="Times New Roman" w:cs="Times New Roman"/>
          <w:b/>
          <w:sz w:val="24"/>
          <w:szCs w:val="24"/>
        </w:rPr>
        <w:tab/>
      </w:r>
      <w:r w:rsidRPr="00FA0F71">
        <w:rPr>
          <w:rFonts w:ascii="Times New Roman" w:hAnsi="Times New Roman" w:cs="Times New Roman"/>
          <w:b/>
          <w:sz w:val="24"/>
          <w:szCs w:val="24"/>
        </w:rPr>
        <w:t>Previous Participation.</w:t>
      </w:r>
      <w:r w:rsidRPr="00FA0F71">
        <w:rPr>
          <w:rFonts w:ascii="Times New Roman" w:hAnsi="Times New Roman" w:cs="Times New Roman"/>
          <w:sz w:val="24"/>
          <w:szCs w:val="24"/>
        </w:rPr>
        <w:t xml:space="preserve">  </w:t>
      </w:r>
      <w:r w:rsidRPr="00FA0F71">
        <w:rPr>
          <w:rFonts w:ascii="Times New Roman" w:hAnsi="Times New Roman" w:eastAsia="Times New Roman" w:cs="Times New Roman"/>
          <w:color w:val="000000" w:themeColor="text1"/>
          <w:sz w:val="24"/>
          <w:szCs w:val="24"/>
        </w:rPr>
        <w:t>Individuals and entities in control of a project are subject to a previous participation review as set forth in 24 C.F.R. Part 200, as the same may be amended from time to time, and</w:t>
      </w:r>
      <w:r w:rsidRPr="00FA0F71">
        <w:rPr>
          <w:rFonts w:ascii="Times New Roman" w:hAnsi="Times New Roman" w:cs="Times New Roman"/>
          <w:sz w:val="24"/>
          <w:szCs w:val="24"/>
        </w:rPr>
        <w:t xml:space="preserve"> must submit information regarding previous participation in governmental housing transactions either </w:t>
      </w:r>
      <w:r w:rsidRPr="00FA0F71">
        <w:rPr>
          <w:rFonts w:ascii="Times New Roman" w:hAnsi="Times New Roman" w:cs="Times New Roman"/>
          <w:sz w:val="24"/>
          <w:szCs w:val="24"/>
          <w:shd w:val="clear" w:color="auto" w:fill="FFFFFF"/>
        </w:rPr>
        <w:t>via the electronic Active Partner Participation System (APPS) or on Form HUD-2530, or any successor system or form,</w:t>
      </w:r>
      <w:r w:rsidRPr="00FA0F71">
        <w:rPr>
          <w:rFonts w:ascii="Times New Roman" w:hAnsi="Times New Roman" w:cs="Times New Roman"/>
          <w:sz w:val="24"/>
          <w:szCs w:val="24"/>
        </w:rPr>
        <w:t xml:space="preserve">  for approval for participation in any mortgage insurance program. Invitation Letters or Firm Commitments may be issued conditioned on Previous Participation approval, assuming no critical findings and that any flags can be resolved without being presented to the Multifamily Participation Review Committee.</w:t>
      </w:r>
    </w:p>
    <w:p w:rsidR="006E573A" w:rsidP="006E573A" w:rsidRDefault="006E573A" w14:paraId="5B8553FE" w14:textId="77777777">
      <w:pPr>
        <w:spacing w:line="276" w:lineRule="auto"/>
        <w:ind w:left="360" w:hanging="360"/>
        <w:jc w:val="both"/>
        <w:rPr>
          <w:rFonts w:ascii="Times New Roman" w:hAnsi="Times New Roman" w:cs="Times New Roman"/>
          <w:sz w:val="24"/>
          <w:szCs w:val="24"/>
        </w:rPr>
      </w:pPr>
    </w:p>
    <w:p w:rsidRPr="00FA0F71" w:rsidR="006E573A" w:rsidP="006E573A" w:rsidRDefault="00671F6D" w14:paraId="5B855450" w14:textId="73CE3FE3">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O</w:t>
      </w:r>
      <w:r w:rsidRPr="00FA0F71" w:rsidR="006E573A">
        <w:rPr>
          <w:rFonts w:ascii="Times New Roman" w:hAnsi="Times New Roman" w:cs="Times New Roman"/>
          <w:sz w:val="24"/>
          <w:szCs w:val="24"/>
        </w:rPr>
        <w:t>.</w:t>
      </w:r>
      <w:r w:rsidRPr="00FA0F71" w:rsidR="006E573A">
        <w:rPr>
          <w:rFonts w:ascii="Times New Roman" w:hAnsi="Times New Roman" w:cs="Times New Roman"/>
          <w:b/>
          <w:sz w:val="24"/>
          <w:szCs w:val="24"/>
        </w:rPr>
        <w:t xml:space="preserve">  HUD's Fiscal Procedures</w:t>
      </w:r>
      <w:r w:rsidRPr="00FA0F71" w:rsidR="006E573A">
        <w:rPr>
          <w:rFonts w:ascii="Times New Roman" w:hAnsi="Times New Roman" w:cs="Times New Roman"/>
          <w:sz w:val="24"/>
          <w:szCs w:val="24"/>
        </w:rPr>
        <w:t xml:space="preserve"> are contained in HUD Handbook 4410.1 Revision 2.</w:t>
      </w:r>
    </w:p>
    <w:p w:rsidRPr="00FA0F71" w:rsidR="006E573A" w:rsidP="006E573A" w:rsidRDefault="006E573A" w14:paraId="5B855451" w14:textId="77777777">
      <w:pPr>
        <w:spacing w:line="276" w:lineRule="auto"/>
        <w:jc w:val="both"/>
        <w:rPr>
          <w:rFonts w:ascii="Times New Roman" w:hAnsi="Times New Roman" w:cs="Times New Roman"/>
          <w:sz w:val="24"/>
          <w:szCs w:val="24"/>
        </w:rPr>
      </w:pPr>
    </w:p>
    <w:p w:rsidRPr="00FA0F71" w:rsidR="006E573A" w:rsidP="006E573A" w:rsidRDefault="00671F6D" w14:paraId="5B855452" w14:textId="4A75E1E6">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P</w:t>
      </w:r>
      <w:r w:rsidRPr="00FA0F71" w:rsidR="006E573A">
        <w:rPr>
          <w:rFonts w:ascii="Times New Roman" w:hAnsi="Times New Roman" w:cs="Times New Roman"/>
          <w:sz w:val="24"/>
          <w:szCs w:val="24"/>
        </w:rPr>
        <w:t>.</w:t>
      </w:r>
      <w:r w:rsidRPr="00FA0F71" w:rsidR="006E573A">
        <w:rPr>
          <w:rFonts w:ascii="Times New Roman" w:hAnsi="Times New Roman" w:cs="Times New Roman"/>
          <w:b/>
          <w:sz w:val="24"/>
          <w:szCs w:val="24"/>
        </w:rPr>
        <w:t xml:space="preserve"> </w:t>
      </w:r>
      <w:r w:rsidR="00B448A0">
        <w:rPr>
          <w:rFonts w:ascii="Times New Roman" w:hAnsi="Times New Roman" w:cs="Times New Roman"/>
          <w:b/>
          <w:sz w:val="24"/>
          <w:szCs w:val="24"/>
        </w:rPr>
        <w:t xml:space="preserve"> </w:t>
      </w:r>
      <w:r w:rsidRPr="00FA0F71" w:rsidR="006E573A">
        <w:rPr>
          <w:rFonts w:ascii="Times New Roman" w:hAnsi="Times New Roman" w:cs="Times New Roman"/>
          <w:b/>
          <w:sz w:val="24"/>
          <w:szCs w:val="24"/>
        </w:rPr>
        <w:t>Bridge or Gap Financing</w:t>
      </w:r>
      <w:r w:rsidRPr="00FA0F71" w:rsidR="006E573A">
        <w:rPr>
          <w:rFonts w:ascii="Times New Roman" w:hAnsi="Times New Roman" w:cs="Times New Roman"/>
          <w:sz w:val="24"/>
          <w:szCs w:val="24"/>
        </w:rPr>
        <w:t>.  Bridge financing is a short</w:t>
      </w:r>
      <w:r w:rsidR="00ED07D2">
        <w:rPr>
          <w:rFonts w:ascii="Times New Roman" w:hAnsi="Times New Roman" w:cs="Times New Roman"/>
          <w:sz w:val="24"/>
          <w:szCs w:val="24"/>
        </w:rPr>
        <w:t>-</w:t>
      </w:r>
      <w:r w:rsidRPr="00FA0F71" w:rsidR="006E573A">
        <w:rPr>
          <w:rFonts w:ascii="Times New Roman" w:hAnsi="Times New Roman" w:cs="Times New Roman"/>
          <w:sz w:val="24"/>
          <w:szCs w:val="24"/>
        </w:rPr>
        <w:t>term loan that is secured by the property or by a pledge of an interest in the borrowing entity, pending the start of a long-term permanent loan.  Bridge loans that are secured by the property (as distinguished from bridge loan used to fund equity during construction and which is secured by ownership interests), are acceptable only in instances of Insurance upon Completion and before the start of the FHA-insured permanent financing.  Bridge financing is permitted so long as the bridge loan is repaid no later than the time of permanent loan closing (or as otherwise specified in Chapter 14 for Tax Credit projects) or converted in whole or in part to Secondary Financing within the allowed limits for the FHA program. Bridge loan or other debt intended to increase the FHA-insured mortgage or circumvent outstanding program requirements will not be recognized as existing indebtedness in the cost basis.  Gap financing is a loan that may be secured by a subordinate lien behind the permanent first mortgage to provide additional capital funds for the project; it must meet the Guide’s requirements for secondary financing.</w:t>
      </w:r>
      <w:r w:rsidR="00E5579E">
        <w:rPr>
          <w:rFonts w:ascii="Times New Roman" w:hAnsi="Times New Roman" w:cs="Times New Roman"/>
          <w:sz w:val="24"/>
          <w:szCs w:val="24"/>
        </w:rPr>
        <w:t xml:space="preserve"> See Chapter 14 for </w:t>
      </w:r>
      <w:r w:rsidR="008B0F47">
        <w:rPr>
          <w:rFonts w:ascii="Times New Roman" w:hAnsi="Times New Roman" w:cs="Times New Roman"/>
          <w:sz w:val="24"/>
          <w:szCs w:val="24"/>
        </w:rPr>
        <w:t>a detailed discussion of the use of bridge financing in relation to the LIHTC program.</w:t>
      </w:r>
    </w:p>
    <w:p w:rsidRPr="00FA0F71" w:rsidR="006E573A" w:rsidP="006E573A" w:rsidRDefault="006E573A" w14:paraId="5B855453" w14:textId="77777777">
      <w:pPr>
        <w:spacing w:line="276" w:lineRule="auto"/>
        <w:jc w:val="both"/>
        <w:rPr>
          <w:rFonts w:ascii="Times New Roman" w:hAnsi="Times New Roman" w:cs="Times New Roman"/>
          <w:sz w:val="24"/>
          <w:szCs w:val="24"/>
        </w:rPr>
      </w:pPr>
    </w:p>
    <w:p w:rsidR="006E573A" w:rsidP="006E573A" w:rsidRDefault="00671F6D" w14:paraId="5B855454" w14:textId="276806E7">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Q</w:t>
      </w:r>
      <w:r w:rsidRPr="00FA0F71" w:rsidR="006E573A">
        <w:rPr>
          <w:rFonts w:ascii="Times New Roman" w:hAnsi="Times New Roman" w:cs="Times New Roman"/>
          <w:sz w:val="24"/>
          <w:szCs w:val="24"/>
        </w:rPr>
        <w:t>.</w:t>
      </w:r>
      <w:r w:rsidRPr="00FA0F71" w:rsidR="006E573A">
        <w:rPr>
          <w:rFonts w:ascii="Times New Roman" w:hAnsi="Times New Roman" w:cs="Times New Roman"/>
          <w:b/>
          <w:sz w:val="24"/>
          <w:szCs w:val="24"/>
        </w:rPr>
        <w:t xml:space="preserve">  Secondary Financing.</w:t>
      </w:r>
      <w:r w:rsidRPr="00FA0F71" w:rsidR="006E573A">
        <w:rPr>
          <w:rFonts w:ascii="Times New Roman" w:hAnsi="Times New Roman" w:cs="Times New Roman"/>
          <w:sz w:val="24"/>
          <w:szCs w:val="24"/>
        </w:rPr>
        <w:t xml:space="preserve">  </w:t>
      </w:r>
      <w:r w:rsidR="00536072">
        <w:rPr>
          <w:rFonts w:ascii="Times New Roman" w:hAnsi="Times New Roman" w:cs="Times New Roman"/>
          <w:sz w:val="24"/>
          <w:szCs w:val="24"/>
        </w:rPr>
        <w:t>FHA</w:t>
      </w:r>
      <w:r w:rsidRPr="00FA0F71" w:rsidR="006E573A">
        <w:rPr>
          <w:rFonts w:ascii="Times New Roman" w:hAnsi="Times New Roman" w:cs="Times New Roman"/>
          <w:sz w:val="24"/>
          <w:szCs w:val="24"/>
        </w:rPr>
        <w:t xml:space="preserve"> insured mortgages must be first liens.  Secondary liens are permitted in the case of </w:t>
      </w:r>
      <w:r w:rsidR="00536072">
        <w:rPr>
          <w:rFonts w:ascii="Times New Roman" w:hAnsi="Times New Roman" w:cs="Times New Roman"/>
          <w:sz w:val="24"/>
          <w:szCs w:val="24"/>
        </w:rPr>
        <w:t>FHA</w:t>
      </w:r>
      <w:r w:rsidRPr="00FA0F71" w:rsidR="006E573A">
        <w:rPr>
          <w:rFonts w:ascii="Times New Roman" w:hAnsi="Times New Roman" w:cs="Times New Roman"/>
          <w:sz w:val="24"/>
          <w:szCs w:val="24"/>
        </w:rPr>
        <w:t xml:space="preserve"> insured second mortgages (supplemental loans and operating loss loans) and under certain conditions. Chapter 8 contains the requirements for secondary financing</w:t>
      </w:r>
      <w:r w:rsidR="002B3542">
        <w:rPr>
          <w:rFonts w:ascii="Times New Roman" w:hAnsi="Times New Roman" w:cs="Times New Roman"/>
          <w:sz w:val="24"/>
          <w:szCs w:val="24"/>
        </w:rPr>
        <w:t>, as does Chapter 14 regarding secondary financing for LIHTC transactions</w:t>
      </w:r>
      <w:r w:rsidRPr="00FA0F71" w:rsidR="006E573A">
        <w:rPr>
          <w:rFonts w:ascii="Times New Roman" w:hAnsi="Times New Roman" w:cs="Times New Roman"/>
          <w:sz w:val="24"/>
          <w:szCs w:val="24"/>
        </w:rPr>
        <w:t>.</w:t>
      </w:r>
    </w:p>
    <w:p w:rsidR="00D06257" w:rsidP="006E573A" w:rsidRDefault="00D06257" w14:paraId="0FBF0BF0" w14:textId="77777777">
      <w:pPr>
        <w:spacing w:line="276" w:lineRule="auto"/>
        <w:ind w:left="360" w:hanging="360"/>
        <w:jc w:val="both"/>
        <w:rPr>
          <w:rFonts w:ascii="Times New Roman" w:hAnsi="Times New Roman" w:cs="Times New Roman"/>
          <w:sz w:val="24"/>
          <w:szCs w:val="24"/>
        </w:rPr>
      </w:pPr>
    </w:p>
    <w:p w:rsidRPr="00FA0F71" w:rsidR="00D06257" w:rsidP="006E573A" w:rsidRDefault="00034ABC" w14:paraId="1B3A27D0" w14:textId="238FFB05">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R</w:t>
      </w:r>
      <w:r w:rsidR="00D06257">
        <w:rPr>
          <w:rFonts w:ascii="Times New Roman" w:hAnsi="Times New Roman" w:cs="Times New Roman"/>
          <w:sz w:val="24"/>
          <w:szCs w:val="24"/>
        </w:rPr>
        <w:t>.</w:t>
      </w:r>
      <w:r w:rsidR="00D06257">
        <w:rPr>
          <w:rFonts w:ascii="Times New Roman" w:hAnsi="Times New Roman" w:cs="Times New Roman"/>
          <w:sz w:val="24"/>
          <w:szCs w:val="24"/>
        </w:rPr>
        <w:tab/>
      </w:r>
      <w:r w:rsidRPr="00936FB8" w:rsidR="00D06257">
        <w:rPr>
          <w:rFonts w:ascii="Times New Roman" w:hAnsi="Times New Roman" w:cs="Times New Roman"/>
          <w:b/>
          <w:bCs/>
          <w:sz w:val="24"/>
          <w:szCs w:val="24"/>
        </w:rPr>
        <w:t>Statutory Loan Limits</w:t>
      </w:r>
      <w:r w:rsidR="00AD1106">
        <w:rPr>
          <w:rFonts w:ascii="Times New Roman" w:hAnsi="Times New Roman" w:cs="Times New Roman"/>
          <w:sz w:val="24"/>
          <w:szCs w:val="24"/>
        </w:rPr>
        <w:t>.</w:t>
      </w:r>
      <w:r w:rsidR="003D3481">
        <w:rPr>
          <w:rFonts w:ascii="Times New Roman" w:hAnsi="Times New Roman" w:cs="Times New Roman"/>
          <w:sz w:val="24"/>
          <w:szCs w:val="24"/>
        </w:rPr>
        <w:t xml:space="preserve"> </w:t>
      </w:r>
      <w:r w:rsidR="00BF4DFA">
        <w:rPr>
          <w:rFonts w:ascii="Times New Roman" w:hAnsi="Times New Roman" w:cs="Times New Roman"/>
          <w:sz w:val="24"/>
          <w:szCs w:val="24"/>
        </w:rPr>
        <w:t>The statutory loan limits for each FHA multifamily insurance program are issued annually in the Federal Register</w:t>
      </w:r>
      <w:r w:rsidR="00A54079">
        <w:rPr>
          <w:rFonts w:ascii="Times New Roman" w:hAnsi="Times New Roman" w:cs="Times New Roman"/>
          <w:sz w:val="24"/>
          <w:szCs w:val="24"/>
        </w:rPr>
        <w:t xml:space="preserve">, and are used to determine the maximum </w:t>
      </w:r>
      <w:r w:rsidR="005538B8">
        <w:rPr>
          <w:rFonts w:ascii="Times New Roman" w:hAnsi="Times New Roman" w:cs="Times New Roman"/>
          <w:sz w:val="24"/>
          <w:szCs w:val="24"/>
        </w:rPr>
        <w:t xml:space="preserve">per unit </w:t>
      </w:r>
      <w:r w:rsidR="00A54079">
        <w:rPr>
          <w:rFonts w:ascii="Times New Roman" w:hAnsi="Times New Roman" w:cs="Times New Roman"/>
          <w:sz w:val="24"/>
          <w:szCs w:val="24"/>
        </w:rPr>
        <w:t>loan</w:t>
      </w:r>
      <w:r w:rsidR="005538B8">
        <w:rPr>
          <w:rFonts w:ascii="Times New Roman" w:hAnsi="Times New Roman" w:cs="Times New Roman"/>
          <w:sz w:val="24"/>
          <w:szCs w:val="24"/>
        </w:rPr>
        <w:t xml:space="preserve"> amount</w:t>
      </w:r>
      <w:r w:rsidR="002E7A5B">
        <w:rPr>
          <w:rFonts w:ascii="Times New Roman" w:hAnsi="Times New Roman" w:cs="Times New Roman"/>
          <w:sz w:val="24"/>
          <w:szCs w:val="24"/>
        </w:rPr>
        <w:t xml:space="preserve"> to complete </w:t>
      </w:r>
      <w:r w:rsidR="002F63F9">
        <w:rPr>
          <w:rFonts w:ascii="Times New Roman" w:hAnsi="Times New Roman" w:cs="Times New Roman"/>
          <w:sz w:val="24"/>
          <w:szCs w:val="24"/>
        </w:rPr>
        <w:t>Criterion 4</w:t>
      </w:r>
      <w:r w:rsidR="002E7A5B">
        <w:rPr>
          <w:rFonts w:ascii="Times New Roman" w:hAnsi="Times New Roman" w:cs="Times New Roman"/>
          <w:sz w:val="24"/>
          <w:szCs w:val="24"/>
        </w:rPr>
        <w:t xml:space="preserve"> of the Form HUD 92264-A.</w:t>
      </w:r>
      <w:r w:rsidR="005538B8">
        <w:rPr>
          <w:rFonts w:ascii="Times New Roman" w:hAnsi="Times New Roman" w:cs="Times New Roman"/>
          <w:sz w:val="24"/>
          <w:szCs w:val="24"/>
        </w:rPr>
        <w:t xml:space="preserve"> </w:t>
      </w:r>
      <w:r w:rsidR="002F63F9">
        <w:rPr>
          <w:rFonts w:ascii="Times New Roman" w:hAnsi="Times New Roman" w:cs="Times New Roman"/>
          <w:sz w:val="24"/>
          <w:szCs w:val="24"/>
        </w:rPr>
        <w:t xml:space="preserve"> </w:t>
      </w:r>
      <w:r w:rsidR="003D3481">
        <w:rPr>
          <w:rFonts w:ascii="Times New Roman" w:hAnsi="Times New Roman" w:cs="Times New Roman"/>
          <w:sz w:val="24"/>
          <w:szCs w:val="24"/>
        </w:rPr>
        <w:t>T</w:t>
      </w:r>
      <w:r w:rsidRPr="003D3481" w:rsidR="003D3481">
        <w:rPr>
          <w:rFonts w:ascii="Times New Roman" w:hAnsi="Times New Roman" w:cs="Times New Roman"/>
          <w:sz w:val="24"/>
          <w:szCs w:val="24"/>
        </w:rPr>
        <w:t xml:space="preserve">he </w:t>
      </w:r>
      <w:r w:rsidR="00A81A3A">
        <w:rPr>
          <w:rFonts w:ascii="Times New Roman" w:hAnsi="Times New Roman" w:cs="Times New Roman"/>
          <w:sz w:val="24"/>
          <w:szCs w:val="24"/>
        </w:rPr>
        <w:t>Regional Director</w:t>
      </w:r>
      <w:r w:rsidRPr="003D3481" w:rsidR="00A81A3A">
        <w:rPr>
          <w:rFonts w:ascii="Times New Roman" w:hAnsi="Times New Roman" w:cs="Times New Roman"/>
          <w:sz w:val="24"/>
          <w:szCs w:val="24"/>
        </w:rPr>
        <w:t xml:space="preserve"> </w:t>
      </w:r>
      <w:r w:rsidR="00E5727D">
        <w:rPr>
          <w:rFonts w:ascii="Times New Roman" w:hAnsi="Times New Roman" w:cs="Times New Roman"/>
          <w:sz w:val="24"/>
          <w:szCs w:val="24"/>
        </w:rPr>
        <w:t>may</w:t>
      </w:r>
      <w:r w:rsidRPr="003D3481" w:rsidR="003D3481">
        <w:rPr>
          <w:rFonts w:ascii="Times New Roman" w:hAnsi="Times New Roman" w:cs="Times New Roman"/>
          <w:sz w:val="24"/>
          <w:szCs w:val="24"/>
        </w:rPr>
        <w:t xml:space="preserve"> grant exceptions to </w:t>
      </w:r>
      <w:r w:rsidR="00E5727D">
        <w:rPr>
          <w:rFonts w:ascii="Times New Roman" w:hAnsi="Times New Roman" w:cs="Times New Roman"/>
          <w:sz w:val="24"/>
          <w:szCs w:val="24"/>
        </w:rPr>
        <w:t xml:space="preserve">the </w:t>
      </w:r>
      <w:r w:rsidRPr="003D3481" w:rsidR="003D3481">
        <w:rPr>
          <w:rFonts w:ascii="Times New Roman" w:hAnsi="Times New Roman" w:cs="Times New Roman"/>
          <w:sz w:val="24"/>
          <w:szCs w:val="24"/>
        </w:rPr>
        <w:t>maximum mortgage limits for certain Multifamily Housing Programs by (1) up to 170 percent, (equivalent to a 270 percent multiplier) in geographical areas where cost levels so require or (2) up to 215 percent in High Cost Areas, (equivalent to a 315 percent multiplier) where necessary on a project-by-project basis</w:t>
      </w:r>
      <w:r w:rsidR="00E5727D">
        <w:rPr>
          <w:rFonts w:ascii="Times New Roman" w:hAnsi="Times New Roman" w:cs="Times New Roman"/>
          <w:sz w:val="24"/>
          <w:szCs w:val="24"/>
        </w:rPr>
        <w:t>.</w:t>
      </w:r>
      <w:r w:rsidR="00967780">
        <w:rPr>
          <w:rFonts w:ascii="Times New Roman" w:hAnsi="Times New Roman" w:cs="Times New Roman"/>
          <w:sz w:val="24"/>
          <w:szCs w:val="24"/>
        </w:rPr>
        <w:t>.</w:t>
      </w:r>
      <w:r w:rsidR="000B0D5D">
        <w:rPr>
          <w:rFonts w:ascii="Times New Roman" w:hAnsi="Times New Roman" w:cs="Times New Roman"/>
          <w:sz w:val="24"/>
          <w:szCs w:val="24"/>
        </w:rPr>
        <w:t xml:space="preserve"> </w:t>
      </w:r>
      <w:r w:rsidR="003835C6">
        <w:rPr>
          <w:rFonts w:ascii="Times New Roman" w:hAnsi="Times New Roman" w:cs="Times New Roman"/>
          <w:sz w:val="24"/>
          <w:szCs w:val="24"/>
        </w:rPr>
        <w:t xml:space="preserve"> </w:t>
      </w:r>
      <w:r w:rsidR="005827AF">
        <w:rPr>
          <w:rFonts w:ascii="Times New Roman" w:hAnsi="Times New Roman" w:cs="Times New Roman"/>
          <w:sz w:val="24"/>
          <w:szCs w:val="24"/>
        </w:rPr>
        <w:t xml:space="preserve">When </w:t>
      </w:r>
      <w:r w:rsidR="00793F8A">
        <w:rPr>
          <w:rFonts w:ascii="Times New Roman" w:hAnsi="Times New Roman" w:cs="Times New Roman"/>
          <w:sz w:val="24"/>
          <w:szCs w:val="24"/>
        </w:rPr>
        <w:t xml:space="preserve">Criteria 4 is relevant to </w:t>
      </w:r>
      <w:r w:rsidR="00222CD7">
        <w:rPr>
          <w:rFonts w:ascii="Times New Roman" w:hAnsi="Times New Roman" w:cs="Times New Roman"/>
          <w:sz w:val="24"/>
          <w:szCs w:val="24"/>
        </w:rPr>
        <w:t>sizing the mortgage</w:t>
      </w:r>
      <w:r w:rsidR="00463256">
        <w:rPr>
          <w:rFonts w:ascii="Times New Roman" w:hAnsi="Times New Roman" w:cs="Times New Roman"/>
          <w:sz w:val="24"/>
          <w:szCs w:val="24"/>
        </w:rPr>
        <w:t>,</w:t>
      </w:r>
      <w:r w:rsidR="0023573A">
        <w:rPr>
          <w:rFonts w:ascii="Times New Roman" w:hAnsi="Times New Roman" w:cs="Times New Roman"/>
          <w:sz w:val="24"/>
          <w:szCs w:val="24"/>
        </w:rPr>
        <w:t xml:space="preserve"> </w:t>
      </w:r>
      <w:r w:rsidR="00222CD7">
        <w:rPr>
          <w:rFonts w:ascii="Times New Roman" w:hAnsi="Times New Roman" w:cs="Times New Roman"/>
          <w:sz w:val="24"/>
          <w:szCs w:val="24"/>
        </w:rPr>
        <w:t xml:space="preserve">the </w:t>
      </w:r>
      <w:r w:rsidR="0023573A">
        <w:rPr>
          <w:rFonts w:ascii="Times New Roman" w:hAnsi="Times New Roman" w:cs="Times New Roman"/>
          <w:sz w:val="24"/>
          <w:szCs w:val="24"/>
        </w:rPr>
        <w:t xml:space="preserve">calculated </w:t>
      </w:r>
      <w:r w:rsidR="00222CD7">
        <w:rPr>
          <w:rFonts w:ascii="Times New Roman" w:hAnsi="Times New Roman" w:cs="Times New Roman"/>
          <w:sz w:val="24"/>
          <w:szCs w:val="24"/>
        </w:rPr>
        <w:t>statutory limit</w:t>
      </w:r>
      <w:r w:rsidR="00463256">
        <w:rPr>
          <w:rFonts w:ascii="Times New Roman" w:hAnsi="Times New Roman" w:cs="Times New Roman"/>
          <w:sz w:val="24"/>
          <w:szCs w:val="24"/>
        </w:rPr>
        <w:t xml:space="preserve"> may be adjusted for project costs </w:t>
      </w:r>
      <w:r w:rsidR="001A1CA6">
        <w:rPr>
          <w:rFonts w:ascii="Times New Roman" w:hAnsi="Times New Roman" w:cs="Times New Roman"/>
          <w:sz w:val="24"/>
          <w:szCs w:val="24"/>
        </w:rPr>
        <w:t xml:space="preserve">not attributable to residential use as </w:t>
      </w:r>
      <w:r w:rsidR="00A064AD">
        <w:rPr>
          <w:rFonts w:ascii="Times New Roman" w:hAnsi="Times New Roman" w:cs="Times New Roman"/>
          <w:sz w:val="24"/>
          <w:szCs w:val="24"/>
        </w:rPr>
        <w:t>described in Chapter 5.</w:t>
      </w:r>
      <w:r w:rsidR="00F22E18">
        <w:rPr>
          <w:rFonts w:ascii="Times New Roman" w:hAnsi="Times New Roman" w:cs="Times New Roman"/>
          <w:sz w:val="24"/>
          <w:szCs w:val="24"/>
        </w:rPr>
        <w:t>12</w:t>
      </w:r>
      <w:r w:rsidR="009A5266">
        <w:rPr>
          <w:rFonts w:ascii="Times New Roman" w:hAnsi="Times New Roman" w:cs="Times New Roman"/>
          <w:sz w:val="24"/>
          <w:szCs w:val="24"/>
        </w:rPr>
        <w:t xml:space="preserve">.D.3 </w:t>
      </w:r>
      <w:r w:rsidR="002A5D02">
        <w:rPr>
          <w:rFonts w:ascii="Times New Roman" w:hAnsi="Times New Roman" w:cs="Times New Roman"/>
          <w:sz w:val="24"/>
          <w:szCs w:val="24"/>
        </w:rPr>
        <w:t>or</w:t>
      </w:r>
      <w:r w:rsidR="009A5266">
        <w:rPr>
          <w:rFonts w:ascii="Times New Roman" w:hAnsi="Times New Roman" w:cs="Times New Roman"/>
          <w:sz w:val="24"/>
          <w:szCs w:val="24"/>
        </w:rPr>
        <w:t xml:space="preserve"> </w:t>
      </w:r>
      <w:r w:rsidR="00692A03">
        <w:rPr>
          <w:rFonts w:ascii="Times New Roman" w:hAnsi="Times New Roman" w:cs="Times New Roman"/>
          <w:sz w:val="24"/>
          <w:szCs w:val="24"/>
        </w:rPr>
        <w:t>5.12.D.4</w:t>
      </w:r>
      <w:r w:rsidR="000242E4">
        <w:rPr>
          <w:rFonts w:ascii="Times New Roman" w:hAnsi="Times New Roman" w:cs="Times New Roman"/>
          <w:sz w:val="24"/>
          <w:szCs w:val="24"/>
        </w:rPr>
        <w:t>.</w:t>
      </w:r>
      <w:r w:rsidR="00222CD7">
        <w:rPr>
          <w:rFonts w:ascii="Times New Roman" w:hAnsi="Times New Roman" w:cs="Times New Roman"/>
          <w:sz w:val="24"/>
          <w:szCs w:val="24"/>
        </w:rPr>
        <w:t xml:space="preserve"> </w:t>
      </w:r>
      <w:r w:rsidR="005F7CB5">
        <w:rPr>
          <w:rFonts w:ascii="Times New Roman" w:hAnsi="Times New Roman" w:cs="Times New Roman"/>
          <w:sz w:val="24"/>
          <w:szCs w:val="24"/>
        </w:rPr>
        <w:t xml:space="preserve">When refinancing </w:t>
      </w:r>
      <w:r w:rsidR="00BF54AA">
        <w:rPr>
          <w:rFonts w:ascii="Times New Roman" w:hAnsi="Times New Roman" w:cs="Times New Roman"/>
          <w:sz w:val="24"/>
          <w:szCs w:val="24"/>
        </w:rPr>
        <w:t xml:space="preserve">a previously insured </w:t>
      </w:r>
      <w:r w:rsidR="00C02FDA">
        <w:rPr>
          <w:rFonts w:ascii="Times New Roman" w:hAnsi="Times New Roman" w:cs="Times New Roman"/>
          <w:sz w:val="24"/>
          <w:szCs w:val="24"/>
        </w:rPr>
        <w:t>property</w:t>
      </w:r>
      <w:r w:rsidR="00796A5C">
        <w:rPr>
          <w:rFonts w:ascii="Times New Roman" w:hAnsi="Times New Roman" w:cs="Times New Roman"/>
          <w:sz w:val="24"/>
          <w:szCs w:val="24"/>
        </w:rPr>
        <w:t>,</w:t>
      </w:r>
      <w:r w:rsidR="00F6280F">
        <w:rPr>
          <w:rFonts w:ascii="Times New Roman" w:hAnsi="Times New Roman" w:cs="Times New Roman"/>
          <w:sz w:val="24"/>
          <w:szCs w:val="24"/>
        </w:rPr>
        <w:t xml:space="preserve"> </w:t>
      </w:r>
      <w:r w:rsidR="00102573">
        <w:rPr>
          <w:rFonts w:ascii="Times New Roman" w:hAnsi="Times New Roman" w:cs="Times New Roman"/>
          <w:sz w:val="24"/>
          <w:szCs w:val="24"/>
        </w:rPr>
        <w:t xml:space="preserve">the loan amount </w:t>
      </w:r>
      <w:r w:rsidR="0003379D">
        <w:rPr>
          <w:rFonts w:ascii="Times New Roman" w:hAnsi="Times New Roman" w:cs="Times New Roman"/>
          <w:sz w:val="24"/>
          <w:szCs w:val="24"/>
        </w:rPr>
        <w:t>determined by Criteri</w:t>
      </w:r>
      <w:r w:rsidR="00277C3D">
        <w:rPr>
          <w:rFonts w:ascii="Times New Roman" w:hAnsi="Times New Roman" w:cs="Times New Roman"/>
          <w:sz w:val="24"/>
          <w:szCs w:val="24"/>
        </w:rPr>
        <w:t xml:space="preserve">on </w:t>
      </w:r>
      <w:r w:rsidR="0039556C">
        <w:rPr>
          <w:rFonts w:ascii="Times New Roman" w:hAnsi="Times New Roman" w:cs="Times New Roman"/>
          <w:sz w:val="24"/>
          <w:szCs w:val="24"/>
        </w:rPr>
        <w:t xml:space="preserve">4 </w:t>
      </w:r>
      <w:r w:rsidR="006D239F">
        <w:rPr>
          <w:rFonts w:ascii="Times New Roman" w:hAnsi="Times New Roman" w:cs="Times New Roman"/>
          <w:sz w:val="24"/>
          <w:szCs w:val="24"/>
        </w:rPr>
        <w:t>sh</w:t>
      </w:r>
      <w:r w:rsidR="00F329AE">
        <w:rPr>
          <w:rFonts w:ascii="Times New Roman" w:hAnsi="Times New Roman" w:cs="Times New Roman"/>
          <w:sz w:val="24"/>
          <w:szCs w:val="24"/>
        </w:rPr>
        <w:t xml:space="preserve">all not be less than </w:t>
      </w:r>
      <w:r w:rsidR="00DE5A09">
        <w:rPr>
          <w:rFonts w:ascii="Times New Roman" w:hAnsi="Times New Roman" w:cs="Times New Roman"/>
          <w:sz w:val="24"/>
          <w:szCs w:val="24"/>
        </w:rPr>
        <w:t xml:space="preserve">the </w:t>
      </w:r>
      <w:r w:rsidR="006615DD">
        <w:rPr>
          <w:rFonts w:ascii="Times New Roman" w:hAnsi="Times New Roman" w:cs="Times New Roman"/>
          <w:sz w:val="24"/>
          <w:szCs w:val="24"/>
        </w:rPr>
        <w:t xml:space="preserve">Criterion 4 </w:t>
      </w:r>
      <w:r w:rsidR="007C1D5A">
        <w:rPr>
          <w:rFonts w:ascii="Times New Roman" w:hAnsi="Times New Roman" w:cs="Times New Roman"/>
          <w:sz w:val="24"/>
          <w:szCs w:val="24"/>
        </w:rPr>
        <w:t xml:space="preserve">amount </w:t>
      </w:r>
      <w:r w:rsidR="003644BD">
        <w:rPr>
          <w:rFonts w:ascii="Times New Roman" w:hAnsi="Times New Roman" w:cs="Times New Roman"/>
          <w:sz w:val="24"/>
          <w:szCs w:val="24"/>
        </w:rPr>
        <w:t xml:space="preserve">determined for the previously </w:t>
      </w:r>
      <w:r w:rsidR="009D49DB">
        <w:rPr>
          <w:rFonts w:ascii="Times New Roman" w:hAnsi="Times New Roman" w:cs="Times New Roman"/>
          <w:sz w:val="24"/>
          <w:szCs w:val="24"/>
        </w:rPr>
        <w:t>insured loan</w:t>
      </w:r>
      <w:r w:rsidR="00627444">
        <w:rPr>
          <w:rFonts w:ascii="Times New Roman" w:hAnsi="Times New Roman" w:cs="Times New Roman"/>
          <w:sz w:val="24"/>
          <w:szCs w:val="24"/>
        </w:rPr>
        <w:t xml:space="preserve"> (assuming no </w:t>
      </w:r>
      <w:r w:rsidR="00A74246">
        <w:rPr>
          <w:rFonts w:ascii="Times New Roman" w:hAnsi="Times New Roman" w:cs="Times New Roman"/>
          <w:sz w:val="24"/>
          <w:szCs w:val="24"/>
        </w:rPr>
        <w:t xml:space="preserve">demolition or reduction of </w:t>
      </w:r>
      <w:r w:rsidR="002D5355">
        <w:rPr>
          <w:rFonts w:ascii="Times New Roman" w:hAnsi="Times New Roman" w:cs="Times New Roman"/>
          <w:sz w:val="24"/>
          <w:szCs w:val="24"/>
        </w:rPr>
        <w:t>improvements</w:t>
      </w:r>
      <w:r w:rsidR="000E1C53">
        <w:rPr>
          <w:rFonts w:ascii="Times New Roman" w:hAnsi="Times New Roman" w:cs="Times New Roman"/>
          <w:sz w:val="24"/>
          <w:szCs w:val="24"/>
        </w:rPr>
        <w:t xml:space="preserve"> since endorsement of the </w:t>
      </w:r>
      <w:r w:rsidR="00CB5B43">
        <w:rPr>
          <w:rFonts w:ascii="Times New Roman" w:hAnsi="Times New Roman" w:cs="Times New Roman"/>
          <w:sz w:val="24"/>
          <w:szCs w:val="24"/>
        </w:rPr>
        <w:t xml:space="preserve">previously insured </w:t>
      </w:r>
      <w:r w:rsidR="00345669">
        <w:rPr>
          <w:rFonts w:ascii="Times New Roman" w:hAnsi="Times New Roman" w:cs="Times New Roman"/>
          <w:sz w:val="24"/>
          <w:szCs w:val="24"/>
        </w:rPr>
        <w:t>loan.)</w:t>
      </w:r>
    </w:p>
    <w:p w:rsidRPr="00FA0F71" w:rsidR="006E573A" w:rsidP="006E573A" w:rsidRDefault="006E573A" w14:paraId="5B855455" w14:textId="77777777">
      <w:pPr>
        <w:spacing w:line="276" w:lineRule="auto"/>
        <w:ind w:left="360" w:hanging="360"/>
        <w:jc w:val="both"/>
        <w:rPr>
          <w:rFonts w:ascii="Times New Roman" w:hAnsi="Times New Roman" w:cs="Times New Roman"/>
          <w:sz w:val="24"/>
          <w:szCs w:val="24"/>
        </w:rPr>
      </w:pPr>
    </w:p>
    <w:p w:rsidRPr="00FA0F71" w:rsidR="006E573A" w:rsidP="006E573A" w:rsidRDefault="00034ABC" w14:paraId="5B855456" w14:textId="21478599">
      <w:pPr>
        <w:ind w:left="360" w:hanging="360"/>
        <w:jc w:val="both"/>
        <w:rPr>
          <w:rFonts w:ascii="Times New Roman" w:hAnsi="Times New Roman" w:cs="Times New Roman"/>
          <w:sz w:val="24"/>
          <w:szCs w:val="24"/>
          <w:lang w:val="en"/>
        </w:rPr>
      </w:pPr>
      <w:r>
        <w:rPr>
          <w:rFonts w:ascii="Times New Roman" w:hAnsi="Times New Roman" w:cs="Times New Roman"/>
          <w:sz w:val="24"/>
          <w:szCs w:val="24"/>
        </w:rPr>
        <w:t>S</w:t>
      </w:r>
      <w:r w:rsidRPr="00FA0F71" w:rsidR="006E573A">
        <w:rPr>
          <w:rFonts w:ascii="Times New Roman" w:hAnsi="Times New Roman" w:cs="Times New Roman"/>
          <w:sz w:val="24"/>
          <w:szCs w:val="24"/>
        </w:rPr>
        <w:t>.</w:t>
      </w:r>
      <w:r w:rsidRPr="00FA0F71" w:rsidR="006E573A">
        <w:rPr>
          <w:rFonts w:ascii="Times New Roman" w:hAnsi="Times New Roman" w:cs="Times New Roman"/>
          <w:b/>
          <w:sz w:val="24"/>
          <w:szCs w:val="24"/>
        </w:rPr>
        <w:t xml:space="preserve">  </w:t>
      </w:r>
      <w:r w:rsidRPr="00FA0F71" w:rsidR="006E573A">
        <w:rPr>
          <w:rFonts w:ascii="Times New Roman" w:hAnsi="Times New Roman" w:cs="Times New Roman"/>
          <w:b/>
          <w:bCs/>
          <w:sz w:val="24"/>
          <w:szCs w:val="24"/>
          <w:lang w:val="en"/>
        </w:rPr>
        <w:t>Tax Increment Financing</w:t>
      </w:r>
      <w:r w:rsidRPr="00FA0F71" w:rsidR="006E573A">
        <w:rPr>
          <w:rFonts w:ascii="Times New Roman" w:hAnsi="Times New Roman" w:cs="Times New Roman"/>
          <w:sz w:val="24"/>
          <w:szCs w:val="24"/>
          <w:lang w:val="en"/>
        </w:rPr>
        <w:t xml:space="preserve">.   Tax Increment Financing or </w:t>
      </w:r>
      <w:r w:rsidRPr="00FA0F71" w:rsidR="006E573A">
        <w:rPr>
          <w:rFonts w:ascii="Times New Roman" w:hAnsi="Times New Roman" w:cs="Times New Roman"/>
          <w:bCs/>
          <w:sz w:val="24"/>
          <w:szCs w:val="24"/>
          <w:lang w:val="en"/>
        </w:rPr>
        <w:t>TIF</w:t>
      </w:r>
      <w:r w:rsidRPr="00FA0F71" w:rsidR="006E573A">
        <w:rPr>
          <w:rFonts w:ascii="Times New Roman" w:hAnsi="Times New Roman" w:cs="Times New Roman"/>
          <w:sz w:val="24"/>
          <w:szCs w:val="24"/>
          <w:lang w:val="en"/>
        </w:rPr>
        <w:t xml:space="preserve">, is a public financing method that is used as a </w:t>
      </w:r>
      <w:hyperlink w:tooltip="Subsidy" w:history="1" r:id="rId12">
        <w:r w:rsidRPr="00FA0F71" w:rsidR="006E573A">
          <w:rPr>
            <w:rFonts w:ascii="Times New Roman" w:hAnsi="Times New Roman" w:cs="Times New Roman"/>
            <w:sz w:val="24"/>
            <w:szCs w:val="24"/>
            <w:lang w:val="en"/>
          </w:rPr>
          <w:t>subsidy</w:t>
        </w:r>
      </w:hyperlink>
      <w:r w:rsidRPr="00FA0F71" w:rsidR="006E573A">
        <w:rPr>
          <w:rFonts w:ascii="Times New Roman" w:hAnsi="Times New Roman" w:cs="Times New Roman"/>
          <w:sz w:val="24"/>
          <w:szCs w:val="24"/>
          <w:lang w:val="en"/>
        </w:rPr>
        <w:t xml:space="preserve"> for </w:t>
      </w:r>
      <w:hyperlink w:tooltip="Redevelopment" w:history="1" r:id="rId13">
        <w:r w:rsidRPr="00FA0F71" w:rsidR="006E573A">
          <w:rPr>
            <w:rFonts w:ascii="Times New Roman" w:hAnsi="Times New Roman" w:cs="Times New Roman"/>
            <w:sz w:val="24"/>
            <w:szCs w:val="24"/>
            <w:lang w:val="en"/>
          </w:rPr>
          <w:t>redevelopment</w:t>
        </w:r>
      </w:hyperlink>
      <w:r w:rsidRPr="00FA0F71" w:rsidR="006E573A">
        <w:rPr>
          <w:rFonts w:ascii="Times New Roman" w:hAnsi="Times New Roman" w:cs="Times New Roman"/>
          <w:sz w:val="24"/>
          <w:szCs w:val="24"/>
          <w:lang w:val="en"/>
        </w:rPr>
        <w:t xml:space="preserve">, infrastructure, and other community-improvement projects.  States create districts to administer the program for communities to benefit from the TIF.  TIF structures vary by municipality, state, or local authority. They may use future </w:t>
      </w:r>
      <w:r w:rsidR="00291E66">
        <w:rPr>
          <w:rFonts w:ascii="Times New Roman" w:hAnsi="Times New Roman" w:cs="Times New Roman"/>
          <w:sz w:val="24"/>
          <w:szCs w:val="24"/>
          <w:lang w:val="en"/>
        </w:rPr>
        <w:t>increases</w:t>
      </w:r>
      <w:r w:rsidRPr="00FA0F71" w:rsidR="00291E66">
        <w:rPr>
          <w:rFonts w:ascii="Times New Roman" w:hAnsi="Times New Roman" w:cs="Times New Roman"/>
          <w:sz w:val="24"/>
          <w:szCs w:val="24"/>
          <w:lang w:val="en"/>
        </w:rPr>
        <w:t xml:space="preserve"> </w:t>
      </w:r>
      <w:r w:rsidRPr="00FA0F71" w:rsidR="006E573A">
        <w:rPr>
          <w:rFonts w:ascii="Times New Roman" w:hAnsi="Times New Roman" w:cs="Times New Roman"/>
          <w:sz w:val="24"/>
          <w:szCs w:val="24"/>
          <w:lang w:val="en"/>
        </w:rPr>
        <w:t>in taxes to subsidize current improvements.  Some</w:t>
      </w:r>
      <w:r w:rsidRPr="00FA0F71" w:rsidR="006E573A">
        <w:rPr>
          <w:rFonts w:ascii="Times New Roman" w:hAnsi="Times New Roman" w:cs="Times New Roman"/>
          <w:color w:val="000000"/>
          <w:sz w:val="24"/>
          <w:szCs w:val="24"/>
        </w:rPr>
        <w:t xml:space="preserve"> States sell bonds backed by a project development's future taxes, while the bond money helps pay the developer's construction costs.  </w:t>
      </w:r>
    </w:p>
    <w:p w:rsidRPr="00FA0F71" w:rsidR="006E573A" w:rsidP="006E573A" w:rsidRDefault="006E573A" w14:paraId="5B855457" w14:textId="77777777">
      <w:pPr>
        <w:jc w:val="both"/>
        <w:rPr>
          <w:rFonts w:ascii="Times New Roman" w:hAnsi="Times New Roman" w:cs="Times New Roman"/>
          <w:color w:val="000000"/>
          <w:sz w:val="24"/>
          <w:szCs w:val="24"/>
        </w:rPr>
      </w:pPr>
    </w:p>
    <w:p w:rsidRPr="00FA0F71" w:rsidR="006E573A" w:rsidP="006E573A" w:rsidRDefault="006E573A" w14:paraId="5B855458" w14:textId="77777777">
      <w:pPr>
        <w:ind w:left="360"/>
        <w:jc w:val="both"/>
        <w:rPr>
          <w:rFonts w:ascii="Times New Roman" w:hAnsi="Times New Roman" w:cs="Times New Roman"/>
          <w:sz w:val="24"/>
          <w:szCs w:val="24"/>
        </w:rPr>
      </w:pPr>
      <w:r w:rsidRPr="00FA0F71">
        <w:rPr>
          <w:rFonts w:ascii="Times New Roman" w:hAnsi="Times New Roman" w:cs="Times New Roman"/>
          <w:sz w:val="24"/>
          <w:szCs w:val="24"/>
        </w:rPr>
        <w:t>TIF may or may not be recognized as a source of funds, equity, additional income, or a loan in FHA-insured underwriting.  The MAP Lender must:</w:t>
      </w:r>
    </w:p>
    <w:p w:rsidRPr="00FA0F71" w:rsidR="006E573A" w:rsidP="006E573A" w:rsidRDefault="006E573A" w14:paraId="5B855459" w14:textId="77777777">
      <w:pPr>
        <w:ind w:left="720"/>
        <w:jc w:val="both"/>
        <w:rPr>
          <w:rFonts w:ascii="Times New Roman" w:hAnsi="Times New Roman" w:cs="Times New Roman"/>
          <w:sz w:val="24"/>
          <w:szCs w:val="24"/>
        </w:rPr>
      </w:pPr>
    </w:p>
    <w:p w:rsidRPr="00FA0F71" w:rsidR="006E573A" w:rsidP="006E573A" w:rsidRDefault="006E573A" w14:paraId="5B85545A" w14:textId="6C7E9EB9">
      <w:pPr>
        <w:numPr>
          <w:ilvl w:val="0"/>
          <w:numId w:val="9"/>
        </w:numPr>
        <w:spacing w:after="200" w:line="276" w:lineRule="auto"/>
        <w:contextualSpacing/>
        <w:jc w:val="both"/>
        <w:rPr>
          <w:rFonts w:ascii="Times New Roman" w:hAnsi="Times New Roman" w:cs="Times New Roman"/>
          <w:sz w:val="24"/>
          <w:szCs w:val="24"/>
        </w:rPr>
      </w:pPr>
      <w:r w:rsidRPr="00FA0F71">
        <w:rPr>
          <w:rFonts w:ascii="Times New Roman" w:hAnsi="Times New Roman" w:cs="Times New Roman"/>
          <w:sz w:val="24"/>
          <w:szCs w:val="24"/>
        </w:rPr>
        <w:t xml:space="preserve">Disclose a proposed or existing TIF Commitment at the Concept </w:t>
      </w:r>
      <w:r w:rsidRPr="00FA0F71" w:rsidR="00C61B3A">
        <w:rPr>
          <w:rFonts w:ascii="Times New Roman" w:hAnsi="Times New Roman" w:cs="Times New Roman"/>
          <w:sz w:val="24"/>
          <w:szCs w:val="24"/>
        </w:rPr>
        <w:t>Meeting.</w:t>
      </w:r>
    </w:p>
    <w:p w:rsidRPr="00FA0F71" w:rsidR="006E573A" w:rsidP="006E573A" w:rsidRDefault="006E573A" w14:paraId="5B85545B" w14:textId="77777777">
      <w:pPr>
        <w:numPr>
          <w:ilvl w:val="0"/>
          <w:numId w:val="9"/>
        </w:numPr>
        <w:spacing w:after="200" w:line="276" w:lineRule="auto"/>
        <w:contextualSpacing/>
        <w:jc w:val="both"/>
        <w:rPr>
          <w:rFonts w:ascii="Times New Roman" w:hAnsi="Times New Roman" w:cs="Times New Roman"/>
          <w:sz w:val="24"/>
          <w:szCs w:val="24"/>
        </w:rPr>
      </w:pPr>
      <w:r w:rsidRPr="00FA0F71">
        <w:rPr>
          <w:rFonts w:ascii="Times New Roman" w:hAnsi="Times New Roman" w:cs="Times New Roman"/>
          <w:sz w:val="24"/>
          <w:szCs w:val="24"/>
        </w:rPr>
        <w:t xml:space="preserve">Determine the amount and terms of the TIF and whether or not the specific work in the TIF Commitment is included in the improvements for FHA-insured mortgage; and </w:t>
      </w:r>
    </w:p>
    <w:p w:rsidRPr="00FA0F71" w:rsidR="006E573A" w:rsidP="006E573A" w:rsidRDefault="006E573A" w14:paraId="5B85545C" w14:textId="77777777">
      <w:pPr>
        <w:numPr>
          <w:ilvl w:val="0"/>
          <w:numId w:val="9"/>
        </w:numPr>
        <w:spacing w:after="200" w:line="276" w:lineRule="auto"/>
        <w:contextualSpacing/>
        <w:jc w:val="both"/>
        <w:rPr>
          <w:rFonts w:ascii="Times New Roman" w:hAnsi="Times New Roman" w:cs="Times New Roman"/>
          <w:sz w:val="24"/>
          <w:szCs w:val="24"/>
        </w:rPr>
      </w:pPr>
      <w:r w:rsidRPr="00FA0F71">
        <w:rPr>
          <w:rFonts w:ascii="Times New Roman" w:hAnsi="Times New Roman" w:cs="Times New Roman"/>
          <w:sz w:val="24"/>
          <w:szCs w:val="24"/>
        </w:rPr>
        <w:t xml:space="preserve">Document that none of the TIF proceeds are used to support FHA-insured mortgage proceeds, or provide complete analysis and documentation demonstrating that the TIF funds and any tax benefits are irrevocably committed. </w:t>
      </w:r>
    </w:p>
    <w:p w:rsidRPr="00FA0F71" w:rsidR="006E573A" w:rsidP="006E573A" w:rsidRDefault="006E573A" w14:paraId="5B85545D" w14:textId="77777777">
      <w:pPr>
        <w:spacing w:line="276" w:lineRule="auto"/>
        <w:jc w:val="both"/>
        <w:rPr>
          <w:rFonts w:ascii="Times New Roman" w:hAnsi="Times New Roman" w:cs="Times New Roman"/>
          <w:b/>
          <w:sz w:val="24"/>
          <w:szCs w:val="24"/>
        </w:rPr>
      </w:pPr>
    </w:p>
    <w:p w:rsidRPr="00FA0F71" w:rsidR="006E573A" w:rsidP="006E573A" w:rsidRDefault="00314E12" w14:paraId="5B85545E" w14:textId="4FDD0B88">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T</w:t>
      </w:r>
      <w:r w:rsidRPr="00FA0F71" w:rsidR="006E573A">
        <w:rPr>
          <w:rFonts w:ascii="Times New Roman" w:hAnsi="Times New Roman" w:cs="Times New Roman"/>
          <w:sz w:val="24"/>
          <w:szCs w:val="24"/>
        </w:rPr>
        <w:t>.</w:t>
      </w:r>
      <w:r w:rsidRPr="00FA0F71" w:rsidR="006E573A">
        <w:rPr>
          <w:rFonts w:ascii="Times New Roman" w:hAnsi="Times New Roman" w:cs="Times New Roman"/>
          <w:b/>
          <w:sz w:val="24"/>
          <w:szCs w:val="24"/>
        </w:rPr>
        <w:t xml:space="preserve"> </w:t>
      </w:r>
      <w:r w:rsidR="003076E8">
        <w:rPr>
          <w:rFonts w:ascii="Times New Roman" w:hAnsi="Times New Roman" w:cs="Times New Roman"/>
          <w:b/>
          <w:sz w:val="24"/>
          <w:szCs w:val="24"/>
        </w:rPr>
        <w:t xml:space="preserve"> </w:t>
      </w:r>
      <w:r w:rsidRPr="00FA0F71" w:rsidR="006E573A">
        <w:rPr>
          <w:rFonts w:ascii="Times New Roman" w:hAnsi="Times New Roman" w:cs="Times New Roman"/>
          <w:b/>
          <w:sz w:val="24"/>
          <w:szCs w:val="24"/>
        </w:rPr>
        <w:t>Commercial Space</w:t>
      </w:r>
      <w:r w:rsidRPr="00FA0F71" w:rsidR="006E573A">
        <w:rPr>
          <w:rFonts w:ascii="Times New Roman" w:hAnsi="Times New Roman" w:cs="Times New Roman"/>
          <w:sz w:val="24"/>
          <w:szCs w:val="24"/>
        </w:rPr>
        <w:t xml:space="preserve">.  Commercial facilities may be included in a </w:t>
      </w:r>
      <w:r w:rsidRPr="00FA0F71" w:rsidR="0001741D">
        <w:rPr>
          <w:rFonts w:ascii="Times New Roman" w:hAnsi="Times New Roman" w:cs="Times New Roman"/>
          <w:sz w:val="24"/>
          <w:szCs w:val="24"/>
        </w:rPr>
        <w:t>mixed-use</w:t>
      </w:r>
      <w:r w:rsidRPr="00FA0F71" w:rsidR="006E573A">
        <w:rPr>
          <w:rFonts w:ascii="Times New Roman" w:hAnsi="Times New Roman" w:cs="Times New Roman"/>
          <w:sz w:val="24"/>
          <w:szCs w:val="24"/>
        </w:rPr>
        <w:t xml:space="preserve"> project, subject to programmatic space</w:t>
      </w:r>
      <w:r w:rsidR="008F5620">
        <w:rPr>
          <w:rFonts w:ascii="Times New Roman" w:hAnsi="Times New Roman" w:cs="Times New Roman"/>
          <w:sz w:val="24"/>
          <w:szCs w:val="24"/>
        </w:rPr>
        <w:t>,</w:t>
      </w:r>
      <w:r w:rsidRPr="00FA0F71" w:rsidR="006E573A">
        <w:rPr>
          <w:rFonts w:ascii="Times New Roman" w:hAnsi="Times New Roman" w:cs="Times New Roman"/>
          <w:sz w:val="24"/>
          <w:szCs w:val="24"/>
        </w:rPr>
        <w:t xml:space="preserve"> income </w:t>
      </w:r>
      <w:r w:rsidR="00B54189">
        <w:rPr>
          <w:rFonts w:ascii="Times New Roman" w:hAnsi="Times New Roman" w:cs="Times New Roman"/>
          <w:sz w:val="24"/>
          <w:szCs w:val="24"/>
        </w:rPr>
        <w:t xml:space="preserve">and </w:t>
      </w:r>
      <w:r w:rsidR="004A3BD6">
        <w:rPr>
          <w:rFonts w:ascii="Times New Roman" w:hAnsi="Times New Roman" w:cs="Times New Roman"/>
          <w:sz w:val="24"/>
          <w:szCs w:val="24"/>
        </w:rPr>
        <w:t xml:space="preserve">vacancy and collection loss </w:t>
      </w:r>
      <w:r w:rsidRPr="00FA0F71" w:rsidR="006E573A">
        <w:rPr>
          <w:rFonts w:ascii="Times New Roman" w:hAnsi="Times New Roman" w:cs="Times New Roman"/>
          <w:sz w:val="24"/>
          <w:szCs w:val="24"/>
        </w:rPr>
        <w:t>limitations.  See Chapter 7 for further guidance.</w:t>
      </w:r>
    </w:p>
    <w:p w:rsidRPr="00FA0F71" w:rsidR="006E573A" w:rsidP="006E573A" w:rsidRDefault="006E573A" w14:paraId="5B85545F" w14:textId="77777777">
      <w:pPr>
        <w:spacing w:line="276" w:lineRule="auto"/>
        <w:jc w:val="both"/>
        <w:rPr>
          <w:rFonts w:ascii="Times New Roman" w:hAnsi="Times New Roman" w:cs="Times New Roman"/>
          <w:sz w:val="24"/>
          <w:szCs w:val="24"/>
        </w:rPr>
      </w:pPr>
    </w:p>
    <w:p w:rsidRPr="00FA0F71" w:rsidR="006E573A" w:rsidP="006E573A" w:rsidRDefault="00314E12" w14:paraId="5B855460" w14:textId="6E104F26">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U</w:t>
      </w:r>
      <w:r w:rsidRPr="00FA0F71" w:rsidR="006E573A">
        <w:rPr>
          <w:rFonts w:ascii="Times New Roman" w:hAnsi="Times New Roman" w:cs="Times New Roman"/>
          <w:sz w:val="24"/>
          <w:szCs w:val="24"/>
        </w:rPr>
        <w:t>.</w:t>
      </w:r>
      <w:r w:rsidRPr="00FA0F71" w:rsidR="006E573A">
        <w:rPr>
          <w:rFonts w:ascii="Times New Roman" w:hAnsi="Times New Roman" w:cs="Times New Roman"/>
          <w:b/>
          <w:sz w:val="24"/>
          <w:szCs w:val="24"/>
        </w:rPr>
        <w:t xml:space="preserve"> </w:t>
      </w:r>
      <w:r w:rsidR="00153F7B">
        <w:rPr>
          <w:rFonts w:ascii="Times New Roman" w:hAnsi="Times New Roman" w:cs="Times New Roman"/>
          <w:b/>
          <w:sz w:val="24"/>
          <w:szCs w:val="24"/>
        </w:rPr>
        <w:t xml:space="preserve"> </w:t>
      </w:r>
      <w:r w:rsidRPr="00FA0F71" w:rsidR="006E573A">
        <w:rPr>
          <w:rFonts w:ascii="Times New Roman" w:hAnsi="Times New Roman" w:cs="Times New Roman"/>
          <w:b/>
          <w:sz w:val="24"/>
          <w:szCs w:val="24"/>
        </w:rPr>
        <w:t>Military Impacted Areas</w:t>
      </w:r>
      <w:r w:rsidRPr="00FA0F71" w:rsidR="006E573A">
        <w:rPr>
          <w:rFonts w:ascii="Times New Roman" w:hAnsi="Times New Roman" w:cs="Times New Roman"/>
          <w:sz w:val="24"/>
          <w:szCs w:val="24"/>
        </w:rPr>
        <w:t>.  HUD generally will not insure mortgages in designated military impacted areas unless HUD determines that demand from nonmilitary households is sufficient to sustain occupancy in both the insured project and the market as a whole.  Section 238(c) of the National Housing Act authorizes the provision of insurance in military impacted areas upon certain findings by the Department of Defense (DOD) and HUD HQ.  In such areas, borrowers should be encouraged to contact DOD for other potential programs administered by DOD which could provide alternative sources of financing for the proposed project. Section 238(c) loans are not eligible for MAP but may be processed under TAP.</w:t>
      </w:r>
    </w:p>
    <w:p w:rsidRPr="00FA0F71" w:rsidR="006E573A" w:rsidP="006E573A" w:rsidRDefault="006E573A" w14:paraId="5B855461" w14:textId="77777777">
      <w:pPr>
        <w:spacing w:line="276" w:lineRule="auto"/>
        <w:jc w:val="both"/>
        <w:rPr>
          <w:rFonts w:ascii="Times New Roman" w:hAnsi="Times New Roman" w:cs="Times New Roman"/>
          <w:sz w:val="24"/>
          <w:szCs w:val="24"/>
        </w:rPr>
      </w:pPr>
    </w:p>
    <w:p w:rsidRPr="00FA0F71" w:rsidR="006E573A" w:rsidP="006E573A" w:rsidRDefault="00314E12" w14:paraId="5B855462" w14:textId="02B9507B">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V</w:t>
      </w:r>
      <w:r w:rsidR="00153F7B">
        <w:rPr>
          <w:rFonts w:ascii="Times New Roman" w:hAnsi="Times New Roman" w:cs="Times New Roman"/>
          <w:sz w:val="24"/>
          <w:szCs w:val="24"/>
        </w:rPr>
        <w:t xml:space="preserve">. </w:t>
      </w:r>
      <w:r w:rsidRPr="00FA0F71" w:rsidR="006E573A">
        <w:rPr>
          <w:rFonts w:ascii="Times New Roman" w:hAnsi="Times New Roman" w:cs="Times New Roman"/>
          <w:b/>
          <w:sz w:val="24"/>
          <w:szCs w:val="24"/>
        </w:rPr>
        <w:t xml:space="preserve"> Student Housing</w:t>
      </w:r>
      <w:r w:rsidRPr="00FA0F71" w:rsidR="006E573A">
        <w:rPr>
          <w:rFonts w:ascii="Times New Roman" w:hAnsi="Times New Roman" w:cs="Times New Roman"/>
          <w:sz w:val="24"/>
          <w:szCs w:val="24"/>
        </w:rPr>
        <w:t>.  Insured projects cannot be designed solely for student occupancy, although students and families are eligible occupants of insured family housing projects.  Insured loans on projects in college areas must be underwritten at rents that are comparable to family housing in the area.  Loans cannot be underwritten with rental rates assuming multiple student occupants in a unit that would result in a processing rent higher than a typical family apartment</w:t>
      </w:r>
      <w:r w:rsidR="00AE22F0">
        <w:rPr>
          <w:rFonts w:ascii="Times New Roman" w:hAnsi="Times New Roman" w:cs="Times New Roman"/>
          <w:sz w:val="24"/>
          <w:szCs w:val="24"/>
        </w:rPr>
        <w:t>,</w:t>
      </w:r>
      <w:r w:rsidR="004C7B6A">
        <w:rPr>
          <w:rFonts w:ascii="Times New Roman" w:hAnsi="Times New Roman" w:cs="Times New Roman"/>
          <w:sz w:val="24"/>
          <w:szCs w:val="24"/>
        </w:rPr>
        <w:t xml:space="preserve"> </w:t>
      </w:r>
      <w:r w:rsidR="00AE22F0">
        <w:rPr>
          <w:rFonts w:ascii="Times New Roman" w:hAnsi="Times New Roman" w:cs="Times New Roman"/>
          <w:sz w:val="24"/>
          <w:szCs w:val="24"/>
        </w:rPr>
        <w:t>n</w:t>
      </w:r>
      <w:r w:rsidR="004C7B6A">
        <w:rPr>
          <w:rFonts w:ascii="Times New Roman" w:hAnsi="Times New Roman" w:cs="Times New Roman"/>
          <w:sz w:val="24"/>
          <w:szCs w:val="24"/>
        </w:rPr>
        <w:t xml:space="preserve">or </w:t>
      </w:r>
      <w:r w:rsidR="006801F6">
        <w:rPr>
          <w:rFonts w:ascii="Times New Roman" w:hAnsi="Times New Roman" w:cs="Times New Roman"/>
          <w:sz w:val="24"/>
          <w:szCs w:val="24"/>
        </w:rPr>
        <w:t>may an</w:t>
      </w:r>
      <w:r w:rsidR="00E7173B">
        <w:rPr>
          <w:rFonts w:ascii="Times New Roman" w:hAnsi="Times New Roman" w:cs="Times New Roman"/>
          <w:sz w:val="24"/>
          <w:szCs w:val="24"/>
        </w:rPr>
        <w:t xml:space="preserve"> appraisal use sales and capitalization rate</w:t>
      </w:r>
      <w:r w:rsidR="00CD442E">
        <w:rPr>
          <w:rFonts w:ascii="Times New Roman" w:hAnsi="Times New Roman" w:cs="Times New Roman"/>
          <w:sz w:val="24"/>
          <w:szCs w:val="24"/>
        </w:rPr>
        <w:t xml:space="preserve">s generated </w:t>
      </w:r>
      <w:r w:rsidR="009A126C">
        <w:rPr>
          <w:rFonts w:ascii="Times New Roman" w:hAnsi="Times New Roman" w:cs="Times New Roman"/>
          <w:sz w:val="24"/>
          <w:szCs w:val="24"/>
        </w:rPr>
        <w:t xml:space="preserve">by </w:t>
      </w:r>
      <w:r w:rsidR="00CF61CF">
        <w:rPr>
          <w:rFonts w:ascii="Times New Roman" w:hAnsi="Times New Roman" w:cs="Times New Roman"/>
          <w:sz w:val="24"/>
          <w:szCs w:val="24"/>
        </w:rPr>
        <w:t xml:space="preserve">comparable </w:t>
      </w:r>
      <w:r w:rsidR="009A126C">
        <w:rPr>
          <w:rFonts w:ascii="Times New Roman" w:hAnsi="Times New Roman" w:cs="Times New Roman"/>
          <w:sz w:val="24"/>
          <w:szCs w:val="24"/>
        </w:rPr>
        <w:t xml:space="preserve">student housing </w:t>
      </w:r>
      <w:r w:rsidR="00ED453E">
        <w:rPr>
          <w:rFonts w:ascii="Times New Roman" w:hAnsi="Times New Roman" w:cs="Times New Roman"/>
          <w:sz w:val="24"/>
          <w:szCs w:val="24"/>
        </w:rPr>
        <w:t>properties</w:t>
      </w:r>
      <w:r w:rsidR="00CF61CF">
        <w:rPr>
          <w:rFonts w:ascii="Times New Roman" w:hAnsi="Times New Roman" w:cs="Times New Roman"/>
          <w:sz w:val="24"/>
          <w:szCs w:val="24"/>
        </w:rPr>
        <w:t xml:space="preserve">. </w:t>
      </w:r>
      <w:r w:rsidR="00CD442E">
        <w:rPr>
          <w:rFonts w:ascii="Times New Roman" w:hAnsi="Times New Roman" w:cs="Times New Roman"/>
          <w:sz w:val="24"/>
          <w:szCs w:val="24"/>
        </w:rPr>
        <w:t xml:space="preserve"> </w:t>
      </w:r>
    </w:p>
    <w:p w:rsidRPr="00FA0F71" w:rsidR="006E573A" w:rsidP="006E573A" w:rsidRDefault="006E573A" w14:paraId="5B855463" w14:textId="77777777">
      <w:pPr>
        <w:spacing w:line="276" w:lineRule="auto"/>
        <w:jc w:val="both"/>
        <w:rPr>
          <w:rFonts w:ascii="Times New Roman" w:hAnsi="Times New Roman" w:cs="Times New Roman"/>
          <w:sz w:val="24"/>
          <w:szCs w:val="24"/>
        </w:rPr>
      </w:pPr>
    </w:p>
    <w:p w:rsidRPr="00FA0F71" w:rsidR="006E573A" w:rsidP="006E573A" w:rsidRDefault="00314E12" w14:paraId="5B855464" w14:textId="1A5132E9">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W</w:t>
      </w:r>
      <w:r w:rsidRPr="00FA0F71" w:rsidR="006E573A">
        <w:rPr>
          <w:rFonts w:ascii="Times New Roman" w:hAnsi="Times New Roman" w:cs="Times New Roman"/>
          <w:sz w:val="24"/>
          <w:szCs w:val="24"/>
        </w:rPr>
        <w:t>.</w:t>
      </w:r>
      <w:r w:rsidR="00BB3FB5">
        <w:rPr>
          <w:rFonts w:ascii="Times New Roman" w:hAnsi="Times New Roman" w:cs="Times New Roman"/>
          <w:sz w:val="24"/>
          <w:szCs w:val="24"/>
        </w:rPr>
        <w:tab/>
      </w:r>
      <w:r w:rsidRPr="00FA0F71" w:rsidR="006E573A">
        <w:rPr>
          <w:rFonts w:ascii="Times New Roman" w:hAnsi="Times New Roman" w:cs="Times New Roman"/>
          <w:b/>
          <w:sz w:val="24"/>
          <w:szCs w:val="24"/>
        </w:rPr>
        <w:t>Real Estate Requirements.</w:t>
      </w:r>
      <w:r w:rsidRPr="00FA0F71" w:rsidR="006E573A">
        <w:rPr>
          <w:rFonts w:ascii="Times New Roman" w:hAnsi="Times New Roman" w:cs="Times New Roman"/>
          <w:sz w:val="24"/>
          <w:szCs w:val="24"/>
        </w:rPr>
        <w:t xml:space="preserve">  The insured mortgage must be on real estate:</w:t>
      </w:r>
    </w:p>
    <w:p w:rsidRPr="00FA0F71" w:rsidR="006E573A" w:rsidP="006E573A" w:rsidRDefault="006E573A" w14:paraId="5B855465" w14:textId="77777777">
      <w:pPr>
        <w:spacing w:line="276" w:lineRule="auto"/>
        <w:ind w:left="360" w:hanging="360"/>
        <w:jc w:val="both"/>
        <w:rPr>
          <w:rFonts w:ascii="Times New Roman" w:hAnsi="Times New Roman" w:cs="Times New Roman"/>
          <w:sz w:val="24"/>
          <w:szCs w:val="24"/>
        </w:rPr>
      </w:pPr>
    </w:p>
    <w:p w:rsidRPr="00FA0F71" w:rsidR="006E573A" w:rsidP="006E573A" w:rsidRDefault="006E573A" w14:paraId="5B855466" w14:textId="77777777">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ab/>
        <w:t>1.  Held in fee simple, or</w:t>
      </w:r>
    </w:p>
    <w:p w:rsidRPr="00FA0F71" w:rsidR="006E573A" w:rsidP="006E573A" w:rsidRDefault="006E573A" w14:paraId="5B855467" w14:textId="0F9969D6">
      <w:pPr>
        <w:tabs>
          <w:tab w:val="left" w:pos="720"/>
        </w:tabs>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ab/>
        <w:t>2.</w:t>
      </w:r>
      <w:r w:rsidR="00CE194A">
        <w:rPr>
          <w:rFonts w:ascii="Times New Roman" w:hAnsi="Times New Roman" w:cs="Times New Roman"/>
          <w:sz w:val="24"/>
          <w:szCs w:val="24"/>
        </w:rPr>
        <w:t xml:space="preserve">  </w:t>
      </w:r>
      <w:r w:rsidRPr="00FA0F71">
        <w:rPr>
          <w:rFonts w:ascii="Times New Roman" w:hAnsi="Times New Roman" w:cs="Times New Roman"/>
          <w:sz w:val="24"/>
          <w:szCs w:val="24"/>
        </w:rPr>
        <w:t>Under a lease with a term of at least (i) ninety-nine years which is renewable, (ii) 50 years from the date the mortgage is executed, or (iii) for a period of not less than 10 years more than the loan maturity date, dependent upon the SOA.</w:t>
      </w:r>
    </w:p>
    <w:p w:rsidRPr="00FA0F71" w:rsidR="006E573A" w:rsidP="006E573A" w:rsidRDefault="006E573A" w14:paraId="5B855468" w14:textId="77777777">
      <w:pPr>
        <w:spacing w:line="276" w:lineRule="auto"/>
        <w:jc w:val="both"/>
        <w:rPr>
          <w:rFonts w:ascii="Times New Roman" w:hAnsi="Times New Roman" w:cs="Times New Roman"/>
          <w:sz w:val="24"/>
          <w:szCs w:val="24"/>
        </w:rPr>
      </w:pPr>
    </w:p>
    <w:p w:rsidR="006E573A" w:rsidP="006E573A" w:rsidRDefault="00314E12" w14:paraId="5B855469" w14:textId="381ADF47">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X</w:t>
      </w:r>
      <w:r w:rsidR="00CE194A">
        <w:rPr>
          <w:rFonts w:ascii="Times New Roman" w:hAnsi="Times New Roman" w:cs="Times New Roman"/>
          <w:sz w:val="24"/>
          <w:szCs w:val="24"/>
        </w:rPr>
        <w:t>.</w:t>
      </w:r>
      <w:r w:rsidRPr="00FA0F71" w:rsidR="006E573A">
        <w:rPr>
          <w:rFonts w:ascii="Times New Roman" w:hAnsi="Times New Roman" w:cs="Times New Roman"/>
          <w:b/>
          <w:sz w:val="24"/>
          <w:szCs w:val="24"/>
        </w:rPr>
        <w:t xml:space="preserve"> Transient Housing/Hotel Services Prohibition</w:t>
      </w:r>
      <w:r w:rsidRPr="00FA0F71" w:rsidR="006E573A">
        <w:rPr>
          <w:rFonts w:ascii="Times New Roman" w:hAnsi="Times New Roman" w:cs="Times New Roman"/>
          <w:sz w:val="24"/>
          <w:szCs w:val="24"/>
        </w:rPr>
        <w:t xml:space="preserve">.  Section 513 of the National Housing Act prohibits the use of the insurance programs for transient or hotel purposes.  Leases for less than 30 days are </w:t>
      </w:r>
      <w:r w:rsidRPr="00FA0F71" w:rsidR="0001741D">
        <w:rPr>
          <w:rFonts w:ascii="Times New Roman" w:hAnsi="Times New Roman" w:cs="Times New Roman"/>
          <w:sz w:val="24"/>
          <w:szCs w:val="24"/>
        </w:rPr>
        <w:t>prohibited,</w:t>
      </w:r>
      <w:r w:rsidRPr="00FA0F71" w:rsidR="006E573A">
        <w:rPr>
          <w:rFonts w:ascii="Times New Roman" w:hAnsi="Times New Roman" w:cs="Times New Roman"/>
          <w:sz w:val="24"/>
          <w:szCs w:val="24"/>
        </w:rPr>
        <w:t xml:space="preserve"> and occupants cannot be provided with hotel services such as maid service, furnishing and laundering of linens, room service and bellboys.  This also applies to any commercial space funded by the mortgage.</w:t>
      </w:r>
    </w:p>
    <w:p w:rsidR="00314E12" w:rsidP="006E573A" w:rsidRDefault="00314E12" w14:paraId="2EC08247" w14:textId="27540F67">
      <w:pPr>
        <w:spacing w:line="276" w:lineRule="auto"/>
        <w:ind w:left="360" w:hanging="360"/>
        <w:jc w:val="both"/>
        <w:rPr>
          <w:rFonts w:ascii="Times New Roman" w:hAnsi="Times New Roman" w:cs="Times New Roman"/>
          <w:sz w:val="24"/>
          <w:szCs w:val="24"/>
        </w:rPr>
      </w:pPr>
    </w:p>
    <w:p w:rsidRPr="00FA0F71" w:rsidR="00CE1231" w:rsidP="006E573A" w:rsidRDefault="00CE1231" w14:paraId="5EDFA939" w14:textId="0C4C6928">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r w:rsidRPr="00CE1231">
        <w:rPr>
          <w:rFonts w:ascii="Times New Roman" w:hAnsi="Times New Roman" w:cs="Times New Roman"/>
          <w:b/>
          <w:bCs/>
          <w:sz w:val="24"/>
          <w:szCs w:val="24"/>
        </w:rPr>
        <w:t>Sustaining Occupancy</w:t>
      </w:r>
      <w:r>
        <w:rPr>
          <w:rFonts w:ascii="Times New Roman" w:hAnsi="Times New Roman" w:cs="Times New Roman"/>
          <w:sz w:val="24"/>
          <w:szCs w:val="24"/>
        </w:rPr>
        <w:t>.</w:t>
      </w:r>
      <w:r w:rsidR="00AB0FCA">
        <w:rPr>
          <w:rFonts w:ascii="Times New Roman" w:hAnsi="Times New Roman" w:cs="Times New Roman"/>
          <w:sz w:val="24"/>
          <w:szCs w:val="24"/>
        </w:rPr>
        <w:t xml:space="preserve">  </w:t>
      </w:r>
      <w:r w:rsidR="007A2107">
        <w:rPr>
          <w:rFonts w:ascii="Times New Roman" w:hAnsi="Times New Roman" w:cs="Times New Roman"/>
          <w:sz w:val="24"/>
          <w:szCs w:val="24"/>
        </w:rPr>
        <w:t>Sustaining occupancy</w:t>
      </w:r>
      <w:r w:rsidR="000E7C20">
        <w:rPr>
          <w:rFonts w:ascii="Times New Roman" w:hAnsi="Times New Roman" w:cs="Times New Roman"/>
          <w:sz w:val="24"/>
          <w:szCs w:val="24"/>
        </w:rPr>
        <w:t xml:space="preserve"> is a level </w:t>
      </w:r>
      <w:r w:rsidR="00AF37A4">
        <w:rPr>
          <w:rFonts w:ascii="Times New Roman" w:hAnsi="Times New Roman" w:cs="Times New Roman"/>
          <w:sz w:val="24"/>
          <w:szCs w:val="24"/>
        </w:rPr>
        <w:t xml:space="preserve">or percentage of occupancy of tenant units </w:t>
      </w:r>
      <w:r w:rsidR="00EF5BDE">
        <w:rPr>
          <w:rFonts w:ascii="Times New Roman" w:hAnsi="Times New Roman" w:cs="Times New Roman"/>
          <w:sz w:val="24"/>
          <w:szCs w:val="24"/>
        </w:rPr>
        <w:t>by rent paying tenants</w:t>
      </w:r>
      <w:r w:rsidR="006E2E43">
        <w:rPr>
          <w:rFonts w:ascii="Times New Roman" w:hAnsi="Times New Roman" w:cs="Times New Roman"/>
          <w:sz w:val="24"/>
          <w:szCs w:val="24"/>
        </w:rPr>
        <w:t xml:space="preserve"> </w:t>
      </w:r>
      <w:r w:rsidR="003379D4">
        <w:rPr>
          <w:rFonts w:ascii="Times New Roman" w:hAnsi="Times New Roman" w:cs="Times New Roman"/>
          <w:sz w:val="24"/>
          <w:szCs w:val="24"/>
        </w:rPr>
        <w:t>consistent with signed lease</w:t>
      </w:r>
      <w:r w:rsidR="0087485A">
        <w:rPr>
          <w:rFonts w:ascii="Times New Roman" w:hAnsi="Times New Roman" w:cs="Times New Roman"/>
          <w:sz w:val="24"/>
          <w:szCs w:val="24"/>
        </w:rPr>
        <w:t>s</w:t>
      </w:r>
      <w:r w:rsidR="00D306AE">
        <w:rPr>
          <w:rFonts w:ascii="Times New Roman" w:hAnsi="Times New Roman" w:cs="Times New Roman"/>
          <w:sz w:val="24"/>
          <w:szCs w:val="24"/>
        </w:rPr>
        <w:t xml:space="preserve"> </w:t>
      </w:r>
      <w:r w:rsidR="00BD2223">
        <w:rPr>
          <w:rFonts w:ascii="Times New Roman" w:hAnsi="Times New Roman" w:cs="Times New Roman"/>
          <w:sz w:val="24"/>
          <w:szCs w:val="24"/>
        </w:rPr>
        <w:t xml:space="preserve">such that the </w:t>
      </w:r>
      <w:r w:rsidR="00826322">
        <w:rPr>
          <w:rFonts w:ascii="Times New Roman" w:hAnsi="Times New Roman" w:cs="Times New Roman"/>
          <w:sz w:val="24"/>
          <w:szCs w:val="24"/>
        </w:rPr>
        <w:t xml:space="preserve">monthly </w:t>
      </w:r>
      <w:r w:rsidR="00BD2223">
        <w:rPr>
          <w:rFonts w:ascii="Times New Roman" w:hAnsi="Times New Roman" w:cs="Times New Roman"/>
          <w:sz w:val="24"/>
          <w:szCs w:val="24"/>
        </w:rPr>
        <w:t>rents paid</w:t>
      </w:r>
      <w:r w:rsidR="00D72C01">
        <w:rPr>
          <w:rFonts w:ascii="Times New Roman" w:hAnsi="Times New Roman" w:cs="Times New Roman"/>
          <w:sz w:val="24"/>
          <w:szCs w:val="24"/>
        </w:rPr>
        <w:t xml:space="preserve"> are sufficient </w:t>
      </w:r>
      <w:r w:rsidR="00CC76E5">
        <w:rPr>
          <w:rFonts w:ascii="Times New Roman" w:hAnsi="Times New Roman" w:cs="Times New Roman"/>
          <w:sz w:val="24"/>
          <w:szCs w:val="24"/>
        </w:rPr>
        <w:t xml:space="preserve">to pay all </w:t>
      </w:r>
      <w:r w:rsidR="000B0CC8">
        <w:rPr>
          <w:rFonts w:ascii="Times New Roman" w:hAnsi="Times New Roman" w:cs="Times New Roman"/>
          <w:sz w:val="24"/>
          <w:szCs w:val="24"/>
        </w:rPr>
        <w:t>operating expenses</w:t>
      </w:r>
      <w:r w:rsidR="007460E2">
        <w:rPr>
          <w:rFonts w:ascii="Times New Roman" w:hAnsi="Times New Roman" w:cs="Times New Roman"/>
          <w:sz w:val="24"/>
          <w:szCs w:val="24"/>
        </w:rPr>
        <w:t xml:space="preserve"> </w:t>
      </w:r>
      <w:r w:rsidR="00826322">
        <w:rPr>
          <w:rFonts w:ascii="Times New Roman" w:hAnsi="Times New Roman" w:cs="Times New Roman"/>
          <w:sz w:val="24"/>
          <w:szCs w:val="24"/>
        </w:rPr>
        <w:t xml:space="preserve">for the month </w:t>
      </w:r>
      <w:r w:rsidR="007460E2">
        <w:rPr>
          <w:rFonts w:ascii="Times New Roman" w:hAnsi="Times New Roman" w:cs="Times New Roman"/>
          <w:sz w:val="24"/>
          <w:szCs w:val="24"/>
        </w:rPr>
        <w:t>(</w:t>
      </w:r>
      <w:r w:rsidR="00AC1895">
        <w:rPr>
          <w:rFonts w:ascii="Times New Roman" w:hAnsi="Times New Roman" w:cs="Times New Roman"/>
          <w:sz w:val="24"/>
          <w:szCs w:val="24"/>
        </w:rPr>
        <w:t>actual or</w:t>
      </w:r>
      <w:r w:rsidR="00AD2D98">
        <w:rPr>
          <w:rFonts w:ascii="Times New Roman" w:hAnsi="Times New Roman" w:cs="Times New Roman"/>
          <w:sz w:val="24"/>
          <w:szCs w:val="24"/>
        </w:rPr>
        <w:t xml:space="preserve"> </w:t>
      </w:r>
      <w:r w:rsidR="00E83B1B">
        <w:rPr>
          <w:rFonts w:ascii="Times New Roman" w:hAnsi="Times New Roman" w:cs="Times New Roman"/>
          <w:sz w:val="24"/>
          <w:szCs w:val="24"/>
        </w:rPr>
        <w:t>prorated annual</w:t>
      </w:r>
      <w:r w:rsidR="0046333E">
        <w:rPr>
          <w:rFonts w:ascii="Times New Roman" w:hAnsi="Times New Roman" w:cs="Times New Roman"/>
          <w:sz w:val="24"/>
          <w:szCs w:val="24"/>
        </w:rPr>
        <w:t xml:space="preserve"> costs</w:t>
      </w:r>
      <w:r w:rsidR="00BF333F">
        <w:rPr>
          <w:rFonts w:ascii="Times New Roman" w:hAnsi="Times New Roman" w:cs="Times New Roman"/>
          <w:sz w:val="24"/>
          <w:szCs w:val="24"/>
        </w:rPr>
        <w:t xml:space="preserve"> as applicable</w:t>
      </w:r>
      <w:r w:rsidR="0046333E">
        <w:rPr>
          <w:rFonts w:ascii="Times New Roman" w:hAnsi="Times New Roman" w:cs="Times New Roman"/>
          <w:sz w:val="24"/>
          <w:szCs w:val="24"/>
        </w:rPr>
        <w:t>)</w:t>
      </w:r>
      <w:r w:rsidR="0025639F">
        <w:rPr>
          <w:rFonts w:ascii="Times New Roman" w:hAnsi="Times New Roman" w:cs="Times New Roman"/>
          <w:sz w:val="24"/>
          <w:szCs w:val="24"/>
        </w:rPr>
        <w:t xml:space="preserve"> </w:t>
      </w:r>
      <w:r w:rsidR="00D86149">
        <w:rPr>
          <w:rFonts w:ascii="Times New Roman" w:hAnsi="Times New Roman" w:cs="Times New Roman"/>
          <w:sz w:val="24"/>
          <w:szCs w:val="24"/>
        </w:rPr>
        <w:t xml:space="preserve">plus </w:t>
      </w:r>
      <w:r w:rsidR="00810500">
        <w:rPr>
          <w:rFonts w:ascii="Times New Roman" w:hAnsi="Times New Roman" w:cs="Times New Roman"/>
          <w:sz w:val="24"/>
          <w:szCs w:val="24"/>
        </w:rPr>
        <w:t xml:space="preserve">monthly </w:t>
      </w:r>
      <w:r w:rsidR="00AF15A0">
        <w:rPr>
          <w:rFonts w:ascii="Times New Roman" w:hAnsi="Times New Roman" w:cs="Times New Roman"/>
          <w:sz w:val="24"/>
          <w:szCs w:val="24"/>
        </w:rPr>
        <w:t xml:space="preserve">debt service </w:t>
      </w:r>
      <w:r w:rsidR="007E553C">
        <w:rPr>
          <w:rFonts w:ascii="Times New Roman" w:hAnsi="Times New Roman" w:cs="Times New Roman"/>
          <w:sz w:val="24"/>
          <w:szCs w:val="24"/>
        </w:rPr>
        <w:t>composed of principal, interest</w:t>
      </w:r>
      <w:r w:rsidR="006772F3">
        <w:rPr>
          <w:rFonts w:ascii="Times New Roman" w:hAnsi="Times New Roman" w:cs="Times New Roman"/>
          <w:sz w:val="24"/>
          <w:szCs w:val="24"/>
        </w:rPr>
        <w:t xml:space="preserve"> and mortgage insurance premium</w:t>
      </w:r>
      <w:r w:rsidR="00A91091">
        <w:rPr>
          <w:rFonts w:ascii="Times New Roman" w:hAnsi="Times New Roman" w:cs="Times New Roman"/>
          <w:sz w:val="24"/>
          <w:szCs w:val="24"/>
        </w:rPr>
        <w:t>.</w:t>
      </w:r>
      <w:r w:rsidR="00860671">
        <w:rPr>
          <w:rFonts w:ascii="Times New Roman" w:hAnsi="Times New Roman" w:cs="Times New Roman"/>
          <w:sz w:val="24"/>
          <w:szCs w:val="24"/>
        </w:rPr>
        <w:t xml:space="preserve">  </w:t>
      </w:r>
      <w:r w:rsidR="009E35C2">
        <w:rPr>
          <w:rFonts w:ascii="Times New Roman" w:hAnsi="Times New Roman" w:cs="Times New Roman"/>
          <w:sz w:val="24"/>
          <w:szCs w:val="24"/>
        </w:rPr>
        <w:t xml:space="preserve">Any subordinate debt </w:t>
      </w:r>
      <w:r w:rsidR="00C47119">
        <w:rPr>
          <w:rFonts w:ascii="Times New Roman" w:hAnsi="Times New Roman" w:cs="Times New Roman"/>
          <w:sz w:val="24"/>
          <w:szCs w:val="24"/>
        </w:rPr>
        <w:t xml:space="preserve">requiring </w:t>
      </w:r>
      <w:r w:rsidR="00B73321">
        <w:rPr>
          <w:rFonts w:ascii="Times New Roman" w:hAnsi="Times New Roman" w:cs="Times New Roman"/>
          <w:sz w:val="24"/>
          <w:szCs w:val="24"/>
        </w:rPr>
        <w:t xml:space="preserve">current payment must be included </w:t>
      </w:r>
      <w:r w:rsidR="00744489">
        <w:rPr>
          <w:rFonts w:ascii="Times New Roman" w:hAnsi="Times New Roman" w:cs="Times New Roman"/>
          <w:sz w:val="24"/>
          <w:szCs w:val="24"/>
        </w:rPr>
        <w:t>in the sum of debt service.</w:t>
      </w:r>
      <w:r w:rsidR="004D2923">
        <w:rPr>
          <w:rFonts w:ascii="Times New Roman" w:hAnsi="Times New Roman" w:cs="Times New Roman"/>
          <w:sz w:val="24"/>
          <w:szCs w:val="24"/>
        </w:rPr>
        <w:t xml:space="preserve"> </w:t>
      </w:r>
      <w:r w:rsidR="00185FE9">
        <w:rPr>
          <w:rFonts w:ascii="Times New Roman" w:hAnsi="Times New Roman" w:cs="Times New Roman"/>
          <w:sz w:val="24"/>
          <w:szCs w:val="24"/>
        </w:rPr>
        <w:t xml:space="preserve"> </w:t>
      </w:r>
      <w:r w:rsidR="00F379D6">
        <w:rPr>
          <w:rFonts w:ascii="Times New Roman" w:hAnsi="Times New Roman" w:cs="Times New Roman"/>
          <w:sz w:val="24"/>
          <w:szCs w:val="24"/>
        </w:rPr>
        <w:t>This is equi</w:t>
      </w:r>
      <w:r w:rsidR="00A85AA3">
        <w:rPr>
          <w:rFonts w:ascii="Times New Roman" w:hAnsi="Times New Roman" w:cs="Times New Roman"/>
          <w:sz w:val="24"/>
          <w:szCs w:val="24"/>
        </w:rPr>
        <w:t>valent to a debt service coverage ratio of 1.0</w:t>
      </w:r>
      <w:r w:rsidR="00DF67EF">
        <w:rPr>
          <w:rFonts w:ascii="Times New Roman" w:hAnsi="Times New Roman" w:cs="Times New Roman"/>
          <w:sz w:val="24"/>
          <w:szCs w:val="24"/>
        </w:rPr>
        <w:t>,</w:t>
      </w:r>
      <w:r w:rsidR="00755E92">
        <w:rPr>
          <w:rFonts w:ascii="Times New Roman" w:hAnsi="Times New Roman" w:cs="Times New Roman"/>
          <w:sz w:val="24"/>
          <w:szCs w:val="24"/>
        </w:rPr>
        <w:t xml:space="preserve"> </w:t>
      </w:r>
      <w:r w:rsidR="0085234C">
        <w:rPr>
          <w:rFonts w:ascii="Times New Roman" w:hAnsi="Times New Roman" w:cs="Times New Roman"/>
          <w:sz w:val="24"/>
          <w:szCs w:val="24"/>
        </w:rPr>
        <w:t xml:space="preserve">a </w:t>
      </w:r>
      <w:r w:rsidR="00AE7C90">
        <w:rPr>
          <w:rFonts w:ascii="Times New Roman" w:hAnsi="Times New Roman" w:cs="Times New Roman"/>
          <w:sz w:val="24"/>
          <w:szCs w:val="24"/>
        </w:rPr>
        <w:t xml:space="preserve">ratio also referred to as “breakeven.”  </w:t>
      </w:r>
      <w:r w:rsidR="00FF2CD5">
        <w:rPr>
          <w:rFonts w:ascii="Times New Roman" w:hAnsi="Times New Roman" w:cs="Times New Roman"/>
          <w:sz w:val="24"/>
          <w:szCs w:val="24"/>
        </w:rPr>
        <w:t xml:space="preserve">When this </w:t>
      </w:r>
      <w:r w:rsidR="00365129">
        <w:rPr>
          <w:rFonts w:ascii="Times New Roman" w:hAnsi="Times New Roman" w:cs="Times New Roman"/>
          <w:sz w:val="24"/>
          <w:szCs w:val="24"/>
        </w:rPr>
        <w:t xml:space="preserve">level of occupancy is sustained for a period of consecutive months </w:t>
      </w:r>
      <w:r w:rsidR="00582283">
        <w:rPr>
          <w:rFonts w:ascii="Times New Roman" w:hAnsi="Times New Roman" w:cs="Times New Roman"/>
          <w:sz w:val="24"/>
          <w:szCs w:val="24"/>
        </w:rPr>
        <w:t xml:space="preserve">it is </w:t>
      </w:r>
      <w:r w:rsidR="00CB16E3">
        <w:rPr>
          <w:rFonts w:ascii="Times New Roman" w:hAnsi="Times New Roman" w:cs="Times New Roman"/>
          <w:sz w:val="24"/>
          <w:szCs w:val="24"/>
        </w:rPr>
        <w:t xml:space="preserve">referred to as </w:t>
      </w:r>
      <w:r w:rsidR="00576522">
        <w:rPr>
          <w:rFonts w:ascii="Times New Roman" w:hAnsi="Times New Roman" w:cs="Times New Roman"/>
          <w:sz w:val="24"/>
          <w:szCs w:val="24"/>
        </w:rPr>
        <w:t>“sustaining occupancy</w:t>
      </w:r>
      <w:r w:rsidR="009D4E49">
        <w:rPr>
          <w:rFonts w:ascii="Times New Roman" w:hAnsi="Times New Roman" w:cs="Times New Roman"/>
          <w:sz w:val="24"/>
          <w:szCs w:val="24"/>
        </w:rPr>
        <w:t>”</w:t>
      </w:r>
      <w:r w:rsidR="00C52751">
        <w:rPr>
          <w:rFonts w:ascii="Times New Roman" w:hAnsi="Times New Roman" w:cs="Times New Roman"/>
          <w:sz w:val="24"/>
          <w:szCs w:val="24"/>
        </w:rPr>
        <w:t xml:space="preserve">.  </w:t>
      </w:r>
      <w:r w:rsidR="00CF058C">
        <w:rPr>
          <w:rFonts w:ascii="Times New Roman" w:hAnsi="Times New Roman" w:cs="Times New Roman"/>
          <w:sz w:val="24"/>
          <w:szCs w:val="24"/>
        </w:rPr>
        <w:t>T</w:t>
      </w:r>
      <w:r w:rsidR="00EE478F">
        <w:rPr>
          <w:rFonts w:ascii="Times New Roman" w:hAnsi="Times New Roman" w:cs="Times New Roman"/>
          <w:sz w:val="24"/>
          <w:szCs w:val="24"/>
        </w:rPr>
        <w:t xml:space="preserve">he standard </w:t>
      </w:r>
      <w:r w:rsidR="002F127F">
        <w:rPr>
          <w:rFonts w:ascii="Times New Roman" w:hAnsi="Times New Roman" w:cs="Times New Roman"/>
          <w:sz w:val="24"/>
          <w:szCs w:val="24"/>
        </w:rPr>
        <w:t>number of months</w:t>
      </w:r>
      <w:r w:rsidR="00EE478F">
        <w:rPr>
          <w:rFonts w:ascii="Times New Roman" w:hAnsi="Times New Roman" w:cs="Times New Roman"/>
          <w:sz w:val="24"/>
          <w:szCs w:val="24"/>
        </w:rPr>
        <w:t xml:space="preserve"> </w:t>
      </w:r>
      <w:r w:rsidR="005E2B4D">
        <w:rPr>
          <w:rFonts w:ascii="Times New Roman" w:hAnsi="Times New Roman" w:cs="Times New Roman"/>
          <w:sz w:val="24"/>
          <w:szCs w:val="24"/>
        </w:rPr>
        <w:t xml:space="preserve">for </w:t>
      </w:r>
      <w:r w:rsidR="00EB5EAB">
        <w:rPr>
          <w:rFonts w:ascii="Times New Roman" w:hAnsi="Times New Roman" w:cs="Times New Roman"/>
          <w:sz w:val="24"/>
          <w:szCs w:val="24"/>
        </w:rPr>
        <w:t xml:space="preserve">achieving sustaining occupancy </w:t>
      </w:r>
      <w:r w:rsidR="00931A8C">
        <w:rPr>
          <w:rFonts w:ascii="Times New Roman" w:hAnsi="Times New Roman" w:cs="Times New Roman"/>
          <w:sz w:val="24"/>
          <w:szCs w:val="24"/>
        </w:rPr>
        <w:t xml:space="preserve">in </w:t>
      </w:r>
      <w:r w:rsidR="002934EE">
        <w:rPr>
          <w:rFonts w:ascii="Times New Roman" w:hAnsi="Times New Roman" w:cs="Times New Roman"/>
          <w:sz w:val="24"/>
          <w:szCs w:val="24"/>
        </w:rPr>
        <w:t xml:space="preserve">HUD </w:t>
      </w:r>
      <w:r w:rsidR="0044717E">
        <w:rPr>
          <w:rFonts w:ascii="Times New Roman" w:hAnsi="Times New Roman" w:cs="Times New Roman"/>
          <w:sz w:val="24"/>
          <w:szCs w:val="24"/>
        </w:rPr>
        <w:t>new construction and</w:t>
      </w:r>
      <w:r w:rsidR="001D70DD">
        <w:rPr>
          <w:rFonts w:ascii="Times New Roman" w:hAnsi="Times New Roman" w:cs="Times New Roman"/>
          <w:sz w:val="24"/>
          <w:szCs w:val="24"/>
        </w:rPr>
        <w:t xml:space="preserve">/or substantial rehabilitation </w:t>
      </w:r>
      <w:r w:rsidR="00FC5A78">
        <w:rPr>
          <w:rFonts w:ascii="Times New Roman" w:hAnsi="Times New Roman" w:cs="Times New Roman"/>
          <w:sz w:val="24"/>
          <w:szCs w:val="24"/>
        </w:rPr>
        <w:t xml:space="preserve">projects is </w:t>
      </w:r>
      <w:r w:rsidR="00BF355B">
        <w:rPr>
          <w:rFonts w:ascii="Times New Roman" w:hAnsi="Times New Roman" w:cs="Times New Roman"/>
          <w:sz w:val="24"/>
          <w:szCs w:val="24"/>
        </w:rPr>
        <w:t xml:space="preserve">6 months.  </w:t>
      </w:r>
      <w:r w:rsidR="00374ED9">
        <w:rPr>
          <w:rFonts w:ascii="Times New Roman" w:hAnsi="Times New Roman" w:cs="Times New Roman"/>
          <w:sz w:val="24"/>
          <w:szCs w:val="24"/>
        </w:rPr>
        <w:t xml:space="preserve">HUD may </w:t>
      </w:r>
      <w:r w:rsidR="002954CE">
        <w:rPr>
          <w:rFonts w:ascii="Times New Roman" w:hAnsi="Times New Roman" w:cs="Times New Roman"/>
          <w:sz w:val="24"/>
          <w:szCs w:val="24"/>
        </w:rPr>
        <w:t xml:space="preserve">vary the number of months </w:t>
      </w:r>
      <w:r w:rsidR="002E31E0">
        <w:rPr>
          <w:rFonts w:ascii="Times New Roman" w:hAnsi="Times New Roman" w:cs="Times New Roman"/>
          <w:sz w:val="24"/>
          <w:szCs w:val="24"/>
        </w:rPr>
        <w:t>o</w:t>
      </w:r>
      <w:r w:rsidR="00FA24FD">
        <w:rPr>
          <w:rFonts w:ascii="Times New Roman" w:hAnsi="Times New Roman" w:cs="Times New Roman"/>
          <w:sz w:val="24"/>
          <w:szCs w:val="24"/>
        </w:rPr>
        <w:t>f</w:t>
      </w:r>
      <w:r w:rsidR="002E31E0">
        <w:rPr>
          <w:rFonts w:ascii="Times New Roman" w:hAnsi="Times New Roman" w:cs="Times New Roman"/>
          <w:sz w:val="24"/>
          <w:szCs w:val="24"/>
        </w:rPr>
        <w:t xml:space="preserve"> sustaining occupancy required to address </w:t>
      </w:r>
      <w:r w:rsidR="00CE2C7D">
        <w:rPr>
          <w:rFonts w:ascii="Times New Roman" w:hAnsi="Times New Roman" w:cs="Times New Roman"/>
          <w:sz w:val="24"/>
          <w:szCs w:val="24"/>
        </w:rPr>
        <w:t xml:space="preserve">specific </w:t>
      </w:r>
      <w:r w:rsidR="00A81F0F">
        <w:rPr>
          <w:rFonts w:ascii="Times New Roman" w:hAnsi="Times New Roman" w:cs="Times New Roman"/>
          <w:sz w:val="24"/>
          <w:szCs w:val="24"/>
        </w:rPr>
        <w:t>project risk</w:t>
      </w:r>
      <w:r w:rsidR="00AC1895">
        <w:rPr>
          <w:rFonts w:ascii="Times New Roman" w:hAnsi="Times New Roman" w:cs="Times New Roman"/>
          <w:sz w:val="24"/>
          <w:szCs w:val="24"/>
        </w:rPr>
        <w:t xml:space="preserve"> </w:t>
      </w:r>
      <w:r w:rsidR="00B94F27">
        <w:rPr>
          <w:rFonts w:ascii="Times New Roman" w:hAnsi="Times New Roman" w:cs="Times New Roman"/>
          <w:sz w:val="24"/>
          <w:szCs w:val="24"/>
        </w:rPr>
        <w:t xml:space="preserve">for individual cases or </w:t>
      </w:r>
      <w:r w:rsidR="008E4C86">
        <w:rPr>
          <w:rFonts w:ascii="Times New Roman" w:hAnsi="Times New Roman" w:cs="Times New Roman"/>
          <w:sz w:val="24"/>
          <w:szCs w:val="24"/>
        </w:rPr>
        <w:t xml:space="preserve">cases </w:t>
      </w:r>
      <w:r w:rsidR="005E7E6E">
        <w:rPr>
          <w:rFonts w:ascii="Times New Roman" w:hAnsi="Times New Roman" w:cs="Times New Roman"/>
          <w:sz w:val="24"/>
          <w:szCs w:val="24"/>
        </w:rPr>
        <w:t xml:space="preserve">with </w:t>
      </w:r>
      <w:r w:rsidR="001D31CB">
        <w:rPr>
          <w:rFonts w:ascii="Times New Roman" w:hAnsi="Times New Roman" w:cs="Times New Roman"/>
          <w:sz w:val="24"/>
          <w:szCs w:val="24"/>
        </w:rPr>
        <w:t>identified risk conditions.</w:t>
      </w:r>
      <w:r w:rsidR="00AC1895">
        <w:rPr>
          <w:rFonts w:ascii="Times New Roman" w:hAnsi="Times New Roman" w:cs="Times New Roman"/>
          <w:sz w:val="24"/>
          <w:szCs w:val="24"/>
        </w:rPr>
        <w:t xml:space="preserve"> </w:t>
      </w:r>
    </w:p>
    <w:p w:rsidRPr="00FA0F71" w:rsidR="006E573A" w:rsidP="006E573A" w:rsidRDefault="006E573A" w14:paraId="5B85546A" w14:textId="77777777">
      <w:pPr>
        <w:spacing w:line="276" w:lineRule="auto"/>
        <w:jc w:val="both"/>
        <w:rPr>
          <w:rFonts w:ascii="Times New Roman" w:hAnsi="Times New Roman" w:cs="Times New Roman"/>
          <w:sz w:val="24"/>
          <w:szCs w:val="24"/>
        </w:rPr>
      </w:pPr>
    </w:p>
    <w:p w:rsidRPr="00FA0F71" w:rsidR="006E573A" w:rsidP="006E573A" w:rsidRDefault="00AD1106" w14:paraId="5B85546B" w14:textId="7A26275E">
      <w:p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Z</w:t>
      </w:r>
      <w:r w:rsidRPr="00FA0F71" w:rsidR="006E573A">
        <w:rPr>
          <w:rFonts w:ascii="Times New Roman" w:hAnsi="Times New Roman" w:cs="Times New Roman"/>
          <w:sz w:val="24"/>
          <w:szCs w:val="24"/>
        </w:rPr>
        <w:t>.</w:t>
      </w:r>
      <w:r w:rsidRPr="00FA0F71" w:rsidR="006E573A">
        <w:rPr>
          <w:rFonts w:ascii="Times New Roman" w:hAnsi="Times New Roman" w:cs="Times New Roman"/>
          <w:b/>
          <w:sz w:val="24"/>
          <w:szCs w:val="24"/>
        </w:rPr>
        <w:t xml:space="preserve"> Operating Deficit</w:t>
      </w:r>
      <w:r w:rsidRPr="00FA0F71" w:rsidR="006E573A">
        <w:rPr>
          <w:rFonts w:ascii="Times New Roman" w:hAnsi="Times New Roman" w:cs="Times New Roman"/>
          <w:sz w:val="24"/>
          <w:szCs w:val="24"/>
        </w:rPr>
        <w:t>.  An operating deficit escrow</w:t>
      </w:r>
      <w:r w:rsidR="004F53C9">
        <w:rPr>
          <w:rFonts w:ascii="Times New Roman" w:hAnsi="Times New Roman" w:cs="Times New Roman"/>
          <w:sz w:val="24"/>
          <w:szCs w:val="24"/>
        </w:rPr>
        <w:t xml:space="preserve"> (also </w:t>
      </w:r>
      <w:r w:rsidR="00F34F59">
        <w:rPr>
          <w:rFonts w:ascii="Times New Roman" w:hAnsi="Times New Roman" w:cs="Times New Roman"/>
          <w:sz w:val="24"/>
          <w:szCs w:val="24"/>
        </w:rPr>
        <w:t>known as the Initial Operating Deficit Escrow</w:t>
      </w:r>
      <w:r w:rsidR="002A65BB">
        <w:rPr>
          <w:rFonts w:ascii="Times New Roman" w:hAnsi="Times New Roman" w:cs="Times New Roman"/>
          <w:sz w:val="24"/>
          <w:szCs w:val="24"/>
        </w:rPr>
        <w:t xml:space="preserve"> or IOD</w:t>
      </w:r>
      <w:r w:rsidR="00EC1CF2">
        <w:rPr>
          <w:rFonts w:ascii="Times New Roman" w:hAnsi="Times New Roman" w:cs="Times New Roman"/>
          <w:sz w:val="24"/>
          <w:szCs w:val="24"/>
        </w:rPr>
        <w:t xml:space="preserve"> for construction loans)</w:t>
      </w:r>
      <w:r w:rsidRPr="00FA0F71" w:rsidR="006E573A">
        <w:rPr>
          <w:rFonts w:ascii="Times New Roman" w:hAnsi="Times New Roman" w:cs="Times New Roman"/>
          <w:sz w:val="24"/>
          <w:szCs w:val="24"/>
        </w:rPr>
        <w:t xml:space="preserve"> is required on all applications for new construction and</w:t>
      </w:r>
      <w:r w:rsidR="004336B4">
        <w:rPr>
          <w:rFonts w:ascii="Times New Roman" w:hAnsi="Times New Roman" w:cs="Times New Roman"/>
          <w:sz w:val="24"/>
          <w:szCs w:val="24"/>
        </w:rPr>
        <w:t xml:space="preserve"> </w:t>
      </w:r>
      <w:r w:rsidR="00134E1F">
        <w:rPr>
          <w:rFonts w:ascii="Times New Roman" w:hAnsi="Times New Roman" w:cs="Times New Roman"/>
          <w:sz w:val="24"/>
          <w:szCs w:val="24"/>
        </w:rPr>
        <w:t xml:space="preserve">many </w:t>
      </w:r>
      <w:r w:rsidR="00C60CD5">
        <w:rPr>
          <w:rFonts w:ascii="Times New Roman" w:hAnsi="Times New Roman" w:cs="Times New Roman"/>
          <w:sz w:val="24"/>
          <w:szCs w:val="24"/>
        </w:rPr>
        <w:t xml:space="preserve">applications for </w:t>
      </w:r>
      <w:r w:rsidRPr="00FA0F71" w:rsidR="006E573A">
        <w:rPr>
          <w:rFonts w:ascii="Times New Roman" w:hAnsi="Times New Roman" w:cs="Times New Roman"/>
          <w:sz w:val="24"/>
          <w:szCs w:val="24"/>
        </w:rPr>
        <w:t xml:space="preserve">substantial rehabilitation to provide funding for operating expenses and debt service when net income is not available during the initial lease up and stabilization period. A debt service escrow may also be required </w:t>
      </w:r>
      <w:r w:rsidR="001F2704">
        <w:rPr>
          <w:rFonts w:ascii="Times New Roman" w:hAnsi="Times New Roman" w:cs="Times New Roman"/>
          <w:sz w:val="24"/>
          <w:szCs w:val="24"/>
        </w:rPr>
        <w:t>for</w:t>
      </w:r>
      <w:r w:rsidRPr="00FA0F71" w:rsidR="001F2704">
        <w:rPr>
          <w:rFonts w:ascii="Times New Roman" w:hAnsi="Times New Roman" w:cs="Times New Roman"/>
          <w:sz w:val="24"/>
          <w:szCs w:val="24"/>
        </w:rPr>
        <w:t xml:space="preserve"> </w:t>
      </w:r>
      <w:r w:rsidRPr="00FA0F71" w:rsidR="006E573A">
        <w:rPr>
          <w:rFonts w:ascii="Times New Roman" w:hAnsi="Times New Roman" w:cs="Times New Roman"/>
          <w:sz w:val="24"/>
          <w:szCs w:val="24"/>
        </w:rPr>
        <w:t>Section 223(f) proposals where analysis requires it.  This escrow is not mortgageable and unused portions will be returned to the borrower.  See Chapters 7.14 and 8.14 for more detail.</w:t>
      </w:r>
      <w:r w:rsidRPr="00FA0F71" w:rsidR="006E573A">
        <w:rPr>
          <w:rFonts w:ascii="Times New Roman" w:hAnsi="Times New Roman" w:cs="Times New Roman"/>
          <w:color w:val="000000" w:themeColor="text1"/>
          <w:sz w:val="24"/>
          <w:szCs w:val="24"/>
        </w:rPr>
        <w:t xml:space="preserve"> </w:t>
      </w:r>
    </w:p>
    <w:p w:rsidRPr="00FA0F71" w:rsidR="006E573A" w:rsidP="006E573A" w:rsidRDefault="006E573A" w14:paraId="5B85546C" w14:textId="77777777">
      <w:pPr>
        <w:spacing w:line="276" w:lineRule="auto"/>
        <w:jc w:val="both"/>
        <w:rPr>
          <w:rFonts w:ascii="Times New Roman" w:hAnsi="Times New Roman" w:cs="Times New Roman"/>
          <w:color w:val="000000"/>
          <w:sz w:val="24"/>
          <w:szCs w:val="24"/>
        </w:rPr>
      </w:pPr>
    </w:p>
    <w:p w:rsidRPr="00FA0F71" w:rsidR="006E573A" w:rsidP="006E573A" w:rsidRDefault="00AD1106" w14:paraId="5B85546D" w14:textId="78D328F9">
      <w:pPr>
        <w:spacing w:line="276" w:lineRule="auto"/>
        <w:ind w:left="360" w:hanging="360"/>
        <w:jc w:val="both"/>
        <w:rPr>
          <w:rFonts w:ascii="Times New Roman" w:hAnsi="Times New Roman" w:cs="Times New Roman"/>
          <w:sz w:val="24"/>
          <w:szCs w:val="24"/>
        </w:rPr>
      </w:pPr>
      <w:r>
        <w:rPr>
          <w:rFonts w:ascii="Times New Roman" w:hAnsi="Times New Roman" w:cs="Times New Roman"/>
          <w:color w:val="000000"/>
          <w:sz w:val="24"/>
          <w:szCs w:val="24"/>
        </w:rPr>
        <w:t>AA</w:t>
      </w:r>
      <w:r w:rsidRPr="00FA0F71" w:rsidR="006E573A">
        <w:rPr>
          <w:rFonts w:ascii="Times New Roman" w:hAnsi="Times New Roman" w:cs="Times New Roman"/>
          <w:color w:val="000000"/>
          <w:sz w:val="24"/>
          <w:szCs w:val="24"/>
        </w:rPr>
        <w:t>.</w:t>
      </w:r>
      <w:r w:rsidRPr="00FA0F71" w:rsidR="006E573A">
        <w:rPr>
          <w:rFonts w:ascii="Times New Roman" w:hAnsi="Times New Roman" w:cs="Times New Roman"/>
          <w:b/>
          <w:color w:val="000000"/>
          <w:sz w:val="24"/>
          <w:szCs w:val="24"/>
        </w:rPr>
        <w:t xml:space="preserve"> </w:t>
      </w:r>
      <w:r w:rsidRPr="00FA0F71" w:rsidR="006E573A">
        <w:rPr>
          <w:rFonts w:ascii="Times New Roman" w:hAnsi="Times New Roman" w:cs="Times New Roman"/>
          <w:b/>
          <w:color w:val="000000" w:themeColor="text1"/>
          <w:sz w:val="24"/>
          <w:szCs w:val="24"/>
        </w:rPr>
        <w:t>Short-Term Lease Premiums</w:t>
      </w:r>
      <w:r w:rsidRPr="00FA0F71" w:rsidR="006E573A">
        <w:rPr>
          <w:rFonts w:ascii="Times New Roman" w:hAnsi="Times New Roman" w:cs="Times New Roman"/>
          <w:color w:val="000000" w:themeColor="text1"/>
          <w:sz w:val="24"/>
          <w:szCs w:val="24"/>
        </w:rPr>
        <w:t>.  Projects offering leases with terms of less than 30 days are not eligible for HUD-insured financing under any circumstances.  Treatment of income from short-term leases</w:t>
      </w:r>
      <w:r w:rsidR="00542D1F">
        <w:rPr>
          <w:rFonts w:ascii="Times New Roman" w:hAnsi="Times New Roman" w:cs="Times New Roman"/>
          <w:color w:val="000000" w:themeColor="text1"/>
          <w:sz w:val="24"/>
          <w:szCs w:val="24"/>
        </w:rPr>
        <w:t xml:space="preserve"> of at least 30</w:t>
      </w:r>
      <w:r w:rsidR="000C60FC">
        <w:rPr>
          <w:rFonts w:ascii="Times New Roman" w:hAnsi="Times New Roman" w:cs="Times New Roman"/>
          <w:color w:val="000000" w:themeColor="text1"/>
          <w:sz w:val="24"/>
          <w:szCs w:val="24"/>
        </w:rPr>
        <w:t xml:space="preserve"> days</w:t>
      </w:r>
      <w:r w:rsidRPr="00FA0F71" w:rsidR="006E573A">
        <w:rPr>
          <w:rFonts w:ascii="Times New Roman" w:hAnsi="Times New Roman" w:cs="Times New Roman"/>
          <w:color w:val="000000" w:themeColor="text1"/>
          <w:sz w:val="24"/>
          <w:szCs w:val="24"/>
        </w:rPr>
        <w:t>, e.g., furnished units, corporate or business short-term leases, may be considered to the extent that it is present in the local market.  The actual number of furnished or corporate/business units generally may not exceed 10% of the units</w:t>
      </w:r>
      <w:r w:rsidR="00AB5EA4">
        <w:rPr>
          <w:rFonts w:ascii="Times New Roman" w:hAnsi="Times New Roman" w:cs="Times New Roman"/>
          <w:color w:val="000000" w:themeColor="text1"/>
          <w:sz w:val="24"/>
          <w:szCs w:val="24"/>
        </w:rPr>
        <w:t>.  Any higher percentage must be approved</w:t>
      </w:r>
      <w:r w:rsidRPr="00FA0F71" w:rsidR="006E573A">
        <w:rPr>
          <w:rFonts w:ascii="Times New Roman" w:hAnsi="Times New Roman" w:cs="Times New Roman"/>
          <w:color w:val="000000" w:themeColor="text1"/>
          <w:sz w:val="24"/>
          <w:szCs w:val="24"/>
        </w:rPr>
        <w:t xml:space="preserve"> by Asset Management at the time of underwriting.  </w:t>
      </w:r>
      <w:r w:rsidR="00062672">
        <w:rPr>
          <w:rFonts w:ascii="Times New Roman" w:hAnsi="Times New Roman" w:cs="Times New Roman"/>
          <w:color w:val="000000" w:themeColor="text1"/>
          <w:sz w:val="24"/>
          <w:szCs w:val="24"/>
        </w:rPr>
        <w:t xml:space="preserve">In the case of any such approval, no more than 10% of the units may be underwritten at rents higher than </w:t>
      </w:r>
      <w:r w:rsidR="008E1ABB">
        <w:rPr>
          <w:rFonts w:ascii="Times New Roman" w:hAnsi="Times New Roman" w:cs="Times New Roman"/>
          <w:color w:val="000000" w:themeColor="text1"/>
          <w:sz w:val="24"/>
          <w:szCs w:val="24"/>
        </w:rPr>
        <w:t>for unfurnished units of the same unit type</w:t>
      </w:r>
      <w:r w:rsidR="00BD1AB9">
        <w:rPr>
          <w:rFonts w:ascii="Times New Roman" w:hAnsi="Times New Roman" w:cs="Times New Roman"/>
          <w:color w:val="000000" w:themeColor="text1"/>
          <w:sz w:val="24"/>
          <w:szCs w:val="24"/>
        </w:rPr>
        <w:t xml:space="preserve"> (i.e. </w:t>
      </w:r>
      <w:r w:rsidR="00E36B52">
        <w:rPr>
          <w:rFonts w:ascii="Times New Roman" w:hAnsi="Times New Roman" w:cs="Times New Roman"/>
          <w:color w:val="000000" w:themeColor="text1"/>
          <w:sz w:val="24"/>
          <w:szCs w:val="24"/>
        </w:rPr>
        <w:t>number of bedrooms, unit size and configuration)</w:t>
      </w:r>
      <w:r w:rsidRPr="00FA0F71" w:rsidR="006E573A">
        <w:rPr>
          <w:rFonts w:ascii="Times New Roman" w:hAnsi="Times New Roman" w:cs="Times New Roman"/>
          <w:color w:val="000000" w:themeColor="text1"/>
          <w:sz w:val="24"/>
          <w:szCs w:val="24"/>
        </w:rPr>
        <w:t>.</w:t>
      </w:r>
    </w:p>
    <w:p w:rsidRPr="00FA0F71" w:rsidR="006E573A" w:rsidP="006E573A" w:rsidRDefault="006E573A" w14:paraId="5B85546E" w14:textId="77777777">
      <w:pPr>
        <w:spacing w:line="276" w:lineRule="auto"/>
        <w:jc w:val="both"/>
        <w:rPr>
          <w:rFonts w:ascii="Times New Roman" w:hAnsi="Times New Roman" w:cs="Times New Roman"/>
          <w:sz w:val="24"/>
          <w:szCs w:val="24"/>
        </w:rPr>
      </w:pPr>
    </w:p>
    <w:p w:rsidRPr="00FA0F71" w:rsidR="006E573A" w:rsidP="006E573A" w:rsidRDefault="00AD1106" w14:paraId="5B85546F" w14:textId="66B2BD5A">
      <w:pPr>
        <w:spacing w:line="276" w:lineRule="auto"/>
        <w:ind w:left="360" w:hanging="540"/>
        <w:jc w:val="both"/>
        <w:rPr>
          <w:rFonts w:ascii="Times New Roman" w:hAnsi="Times New Roman" w:cs="Times New Roman"/>
          <w:sz w:val="24"/>
          <w:szCs w:val="24"/>
        </w:rPr>
      </w:pPr>
      <w:r>
        <w:rPr>
          <w:rFonts w:ascii="Times New Roman" w:hAnsi="Times New Roman" w:cs="Times New Roman"/>
          <w:sz w:val="24"/>
          <w:szCs w:val="24"/>
        </w:rPr>
        <w:t>BB</w:t>
      </w:r>
      <w:r w:rsidR="0023777C">
        <w:rPr>
          <w:rFonts w:ascii="Times New Roman" w:hAnsi="Times New Roman" w:cs="Times New Roman"/>
          <w:sz w:val="24"/>
          <w:szCs w:val="24"/>
        </w:rPr>
        <w:t xml:space="preserve">. </w:t>
      </w:r>
      <w:r w:rsidRPr="00FA0F71" w:rsidR="006E573A">
        <w:rPr>
          <w:rFonts w:ascii="Times New Roman" w:hAnsi="Times New Roman" w:cs="Times New Roman"/>
          <w:b/>
          <w:sz w:val="24"/>
          <w:szCs w:val="24"/>
        </w:rPr>
        <w:t xml:space="preserve"> Replacement Reserve.</w:t>
      </w:r>
      <w:r w:rsidRPr="00FA0F71" w:rsidR="006E573A">
        <w:rPr>
          <w:rFonts w:ascii="Times New Roman" w:hAnsi="Times New Roman" w:cs="Times New Roman"/>
          <w:sz w:val="24"/>
          <w:szCs w:val="24"/>
        </w:rPr>
        <w:t xml:space="preserve">  </w:t>
      </w:r>
      <w:r w:rsidR="00C90CD3">
        <w:rPr>
          <w:rFonts w:ascii="Times New Roman" w:hAnsi="Times New Roman" w:cs="Times New Roman"/>
          <w:sz w:val="24"/>
          <w:szCs w:val="24"/>
        </w:rPr>
        <w:t xml:space="preserve">A </w:t>
      </w:r>
      <w:r w:rsidR="0018485D">
        <w:rPr>
          <w:rFonts w:ascii="Times New Roman" w:hAnsi="Times New Roman" w:cs="Times New Roman"/>
          <w:sz w:val="24"/>
          <w:szCs w:val="24"/>
        </w:rPr>
        <w:t xml:space="preserve">Reserve for Replacements Escrow account is required for all insured mortgages.  </w:t>
      </w:r>
      <w:r w:rsidR="00054FCE">
        <w:rPr>
          <w:rFonts w:ascii="Times New Roman" w:hAnsi="Times New Roman" w:cs="Times New Roman"/>
          <w:sz w:val="24"/>
          <w:szCs w:val="24"/>
        </w:rPr>
        <w:t>The escrow may be funded by a</w:t>
      </w:r>
      <w:r w:rsidRPr="00FA0F71" w:rsidR="006E573A">
        <w:rPr>
          <w:rFonts w:ascii="Times New Roman" w:hAnsi="Times New Roman" w:cs="Times New Roman"/>
          <w:sz w:val="24"/>
          <w:szCs w:val="24"/>
        </w:rPr>
        <w:t xml:space="preserve">n </w:t>
      </w:r>
      <w:r w:rsidR="00AE533C">
        <w:rPr>
          <w:rFonts w:ascii="Times New Roman" w:hAnsi="Times New Roman" w:cs="Times New Roman"/>
          <w:sz w:val="24"/>
          <w:szCs w:val="24"/>
        </w:rPr>
        <w:t>i</w:t>
      </w:r>
      <w:r w:rsidRPr="00FA0F71" w:rsidR="006E573A">
        <w:rPr>
          <w:rFonts w:ascii="Times New Roman" w:hAnsi="Times New Roman" w:cs="Times New Roman"/>
          <w:sz w:val="24"/>
          <w:szCs w:val="24"/>
        </w:rPr>
        <w:t xml:space="preserve">nitial </w:t>
      </w:r>
      <w:r w:rsidR="00AE533C">
        <w:rPr>
          <w:rFonts w:ascii="Times New Roman" w:hAnsi="Times New Roman" w:cs="Times New Roman"/>
          <w:sz w:val="24"/>
          <w:szCs w:val="24"/>
        </w:rPr>
        <w:t>d</w:t>
      </w:r>
      <w:r w:rsidRPr="00FA0F71" w:rsidR="006E573A">
        <w:rPr>
          <w:rFonts w:ascii="Times New Roman" w:hAnsi="Times New Roman" w:cs="Times New Roman"/>
          <w:sz w:val="24"/>
          <w:szCs w:val="24"/>
        </w:rPr>
        <w:t xml:space="preserve">eposit </w:t>
      </w:r>
      <w:r w:rsidR="00577B56">
        <w:rPr>
          <w:rFonts w:ascii="Times New Roman" w:hAnsi="Times New Roman" w:cs="Times New Roman"/>
          <w:sz w:val="24"/>
          <w:szCs w:val="24"/>
        </w:rPr>
        <w:t xml:space="preserve">at endorsement </w:t>
      </w:r>
      <w:r w:rsidR="00054FCE">
        <w:rPr>
          <w:rFonts w:ascii="Times New Roman" w:hAnsi="Times New Roman" w:cs="Times New Roman"/>
          <w:sz w:val="24"/>
          <w:szCs w:val="24"/>
        </w:rPr>
        <w:t xml:space="preserve">and </w:t>
      </w:r>
      <w:r w:rsidR="00AE533C">
        <w:rPr>
          <w:rFonts w:ascii="Times New Roman" w:hAnsi="Times New Roman" w:cs="Times New Roman"/>
          <w:sz w:val="24"/>
          <w:szCs w:val="24"/>
        </w:rPr>
        <w:t xml:space="preserve">by monthly deposits </w:t>
      </w:r>
      <w:r w:rsidRPr="00FA0F71" w:rsidR="006E573A">
        <w:rPr>
          <w:rFonts w:ascii="Times New Roman" w:hAnsi="Times New Roman" w:cs="Times New Roman"/>
          <w:sz w:val="24"/>
          <w:szCs w:val="24"/>
        </w:rPr>
        <w:t xml:space="preserve">to the Replacement Reserve </w:t>
      </w:r>
      <w:r w:rsidR="00FC6D34">
        <w:rPr>
          <w:rFonts w:ascii="Times New Roman" w:hAnsi="Times New Roman" w:cs="Times New Roman"/>
          <w:sz w:val="24"/>
          <w:szCs w:val="24"/>
        </w:rPr>
        <w:t xml:space="preserve">as determined </w:t>
      </w:r>
      <w:r w:rsidR="003E7741">
        <w:rPr>
          <w:rFonts w:ascii="Times New Roman" w:hAnsi="Times New Roman" w:cs="Times New Roman"/>
          <w:sz w:val="24"/>
          <w:szCs w:val="24"/>
        </w:rPr>
        <w:t>in the financial schedule developed by the lender in the CNA e-Tool and approved by HUD</w:t>
      </w:r>
      <w:r w:rsidR="00877917">
        <w:rPr>
          <w:rFonts w:ascii="Times New Roman" w:hAnsi="Times New Roman" w:cs="Times New Roman"/>
          <w:sz w:val="24"/>
          <w:szCs w:val="24"/>
        </w:rPr>
        <w:t xml:space="preserve">. </w:t>
      </w:r>
      <w:r w:rsidR="001E4815">
        <w:rPr>
          <w:rFonts w:ascii="Times New Roman" w:hAnsi="Times New Roman" w:cs="Times New Roman"/>
          <w:sz w:val="24"/>
          <w:szCs w:val="24"/>
        </w:rPr>
        <w:t>The purpose of the Escrow is</w:t>
      </w:r>
      <w:r w:rsidRPr="00FA0F71" w:rsidR="006E573A">
        <w:rPr>
          <w:rFonts w:ascii="Times New Roman" w:hAnsi="Times New Roman" w:cs="Times New Roman"/>
          <w:sz w:val="24"/>
          <w:szCs w:val="24"/>
        </w:rPr>
        <w:t xml:space="preserve"> to </w:t>
      </w:r>
      <w:r w:rsidR="001E4815">
        <w:rPr>
          <w:rFonts w:ascii="Times New Roman" w:hAnsi="Times New Roman" w:cs="Times New Roman"/>
          <w:sz w:val="24"/>
          <w:szCs w:val="24"/>
        </w:rPr>
        <w:t xml:space="preserve">set-aside funds to </w:t>
      </w:r>
      <w:r w:rsidRPr="00FA0F71" w:rsidR="006E573A">
        <w:rPr>
          <w:rFonts w:ascii="Times New Roman" w:hAnsi="Times New Roman" w:cs="Times New Roman"/>
          <w:sz w:val="24"/>
          <w:szCs w:val="24"/>
        </w:rPr>
        <w:t xml:space="preserve">pay for </w:t>
      </w:r>
      <w:r w:rsidR="006836F1">
        <w:rPr>
          <w:rFonts w:ascii="Times New Roman" w:hAnsi="Times New Roman" w:cs="Times New Roman"/>
          <w:sz w:val="24"/>
          <w:szCs w:val="24"/>
        </w:rPr>
        <w:t>timely</w:t>
      </w:r>
      <w:r w:rsidRPr="00FA0F71" w:rsidR="006E573A">
        <w:rPr>
          <w:rFonts w:ascii="Times New Roman" w:hAnsi="Times New Roman" w:cs="Times New Roman"/>
          <w:sz w:val="24"/>
          <w:szCs w:val="24"/>
        </w:rPr>
        <w:t xml:space="preserve"> replacement of capitalized physical assets.  </w:t>
      </w:r>
      <w:r w:rsidR="00DD15D6">
        <w:rPr>
          <w:rFonts w:ascii="Times New Roman" w:hAnsi="Times New Roman" w:cs="Times New Roman"/>
          <w:sz w:val="24"/>
          <w:szCs w:val="24"/>
        </w:rPr>
        <w:t>See Appendix 5G f</w:t>
      </w:r>
      <w:r w:rsidRPr="00FA0F71" w:rsidR="006E573A">
        <w:rPr>
          <w:rFonts w:ascii="Times New Roman" w:hAnsi="Times New Roman" w:cs="Times New Roman"/>
          <w:sz w:val="24"/>
          <w:szCs w:val="24"/>
        </w:rPr>
        <w:t xml:space="preserve">or the minimum annual replacement reserve requirements </w:t>
      </w:r>
      <w:r w:rsidR="00DD15D6">
        <w:rPr>
          <w:rFonts w:ascii="Times New Roman" w:hAnsi="Times New Roman" w:cs="Times New Roman"/>
          <w:sz w:val="24"/>
          <w:szCs w:val="24"/>
        </w:rPr>
        <w:t xml:space="preserve">for </w:t>
      </w:r>
      <w:r w:rsidR="006801F6">
        <w:rPr>
          <w:rFonts w:ascii="Times New Roman" w:hAnsi="Times New Roman" w:cs="Times New Roman"/>
          <w:sz w:val="24"/>
          <w:szCs w:val="24"/>
        </w:rPr>
        <w:t>all program</w:t>
      </w:r>
      <w:r w:rsidRPr="00FA0F71" w:rsidR="006E573A">
        <w:rPr>
          <w:rFonts w:ascii="Times New Roman" w:hAnsi="Times New Roman" w:cs="Times New Roman"/>
          <w:sz w:val="24"/>
          <w:szCs w:val="24"/>
        </w:rPr>
        <w:t xml:space="preserve"> types and</w:t>
      </w:r>
      <w:r w:rsidR="00DD15D6">
        <w:rPr>
          <w:rFonts w:ascii="Times New Roman" w:hAnsi="Times New Roman" w:cs="Times New Roman"/>
          <w:sz w:val="24"/>
          <w:szCs w:val="24"/>
        </w:rPr>
        <w:t xml:space="preserve"> for </w:t>
      </w:r>
      <w:r w:rsidRPr="00FA0F71" w:rsidR="006E573A">
        <w:rPr>
          <w:rFonts w:ascii="Times New Roman" w:hAnsi="Times New Roman" w:cs="Times New Roman"/>
          <w:sz w:val="24"/>
          <w:szCs w:val="24"/>
        </w:rPr>
        <w:t>guidance on completing a Capital Needs Assessment (CNA)</w:t>
      </w:r>
      <w:r w:rsidR="00DD15D6">
        <w:rPr>
          <w:rFonts w:ascii="Times New Roman" w:hAnsi="Times New Roman" w:cs="Times New Roman"/>
          <w:sz w:val="24"/>
          <w:szCs w:val="24"/>
        </w:rPr>
        <w:t xml:space="preserve">.  </w:t>
      </w:r>
      <w:r w:rsidRPr="00FA0F71" w:rsidR="006E573A">
        <w:rPr>
          <w:rFonts w:ascii="Times New Roman" w:hAnsi="Times New Roman" w:cs="Times New Roman"/>
          <w:sz w:val="24"/>
          <w:szCs w:val="24"/>
        </w:rPr>
        <w:t>Handbook 4350.4, Chapter 2 Servicing Manual, details the lender’s responsibility for managing funds held for the project and describes the liquidity, draws and investment requirements.</w:t>
      </w:r>
    </w:p>
    <w:p w:rsidRPr="00FA0F71" w:rsidR="006E573A" w:rsidP="006E573A" w:rsidRDefault="006E573A" w14:paraId="5B855470" w14:textId="77777777">
      <w:pPr>
        <w:spacing w:line="276" w:lineRule="auto"/>
        <w:jc w:val="both"/>
        <w:rPr>
          <w:rFonts w:ascii="Times New Roman" w:hAnsi="Times New Roman" w:cs="Times New Roman"/>
          <w:sz w:val="24"/>
          <w:szCs w:val="24"/>
        </w:rPr>
      </w:pPr>
    </w:p>
    <w:p w:rsidRPr="00FA0F71" w:rsidR="006E573A" w:rsidP="006E573A" w:rsidRDefault="00AD1106" w14:paraId="5B855471" w14:textId="088F8FBE">
      <w:pPr>
        <w:spacing w:line="276" w:lineRule="auto"/>
        <w:ind w:left="360" w:hanging="540"/>
        <w:jc w:val="both"/>
        <w:rPr>
          <w:rFonts w:ascii="Times New Roman" w:hAnsi="Times New Roman" w:cs="Times New Roman"/>
          <w:sz w:val="24"/>
          <w:szCs w:val="24"/>
        </w:rPr>
      </w:pPr>
      <w:r>
        <w:rPr>
          <w:rFonts w:ascii="Times New Roman" w:hAnsi="Times New Roman" w:cs="Times New Roman"/>
          <w:sz w:val="24"/>
          <w:szCs w:val="24"/>
        </w:rPr>
        <w:t>CC</w:t>
      </w:r>
      <w:r w:rsidRPr="00FA0F71" w:rsidR="006E573A">
        <w:rPr>
          <w:rFonts w:ascii="Times New Roman" w:hAnsi="Times New Roman" w:cs="Times New Roman"/>
          <w:sz w:val="24"/>
          <w:szCs w:val="24"/>
        </w:rPr>
        <w:t>.</w:t>
      </w:r>
      <w:r w:rsidRPr="00FA0F71" w:rsidR="006E573A">
        <w:rPr>
          <w:rFonts w:ascii="Times New Roman" w:hAnsi="Times New Roman" w:cs="Times New Roman"/>
          <w:b/>
          <w:sz w:val="24"/>
          <w:szCs w:val="24"/>
        </w:rPr>
        <w:t xml:space="preserve"> </w:t>
      </w:r>
      <w:r w:rsidR="0032480A">
        <w:rPr>
          <w:rFonts w:ascii="Times New Roman" w:hAnsi="Times New Roman" w:cs="Times New Roman"/>
          <w:b/>
          <w:sz w:val="24"/>
          <w:szCs w:val="24"/>
        </w:rPr>
        <w:t xml:space="preserve"> </w:t>
      </w:r>
      <w:r w:rsidRPr="00FA0F71" w:rsidR="006E573A">
        <w:rPr>
          <w:rFonts w:ascii="Times New Roman" w:hAnsi="Times New Roman" w:cs="Times New Roman"/>
          <w:b/>
          <w:sz w:val="24"/>
          <w:szCs w:val="24"/>
        </w:rPr>
        <w:t>Developer Fees.</w:t>
      </w:r>
      <w:r w:rsidRPr="00FA0F71" w:rsidR="006E573A">
        <w:rPr>
          <w:rFonts w:ascii="Times New Roman" w:hAnsi="Times New Roman" w:cs="Times New Roman"/>
          <w:sz w:val="24"/>
          <w:szCs w:val="24"/>
        </w:rPr>
        <w:t xml:space="preserve">   In </w:t>
      </w:r>
      <w:r w:rsidR="00000F9E">
        <w:rPr>
          <w:rFonts w:ascii="Times New Roman" w:hAnsi="Times New Roman" w:cs="Times New Roman"/>
          <w:sz w:val="24"/>
          <w:szCs w:val="24"/>
        </w:rPr>
        <w:t>c</w:t>
      </w:r>
      <w:r w:rsidRPr="00FA0F71" w:rsidR="006E573A">
        <w:rPr>
          <w:rFonts w:ascii="Times New Roman" w:hAnsi="Times New Roman" w:cs="Times New Roman"/>
          <w:sz w:val="24"/>
          <w:szCs w:val="24"/>
        </w:rPr>
        <w:t>ost</w:t>
      </w:r>
      <w:r w:rsidR="00984A62">
        <w:rPr>
          <w:rFonts w:ascii="Times New Roman" w:hAnsi="Times New Roman" w:cs="Times New Roman"/>
          <w:sz w:val="24"/>
          <w:szCs w:val="24"/>
        </w:rPr>
        <w:t xml:space="preserve"> </w:t>
      </w:r>
      <w:r w:rsidR="00000F9E">
        <w:rPr>
          <w:rFonts w:ascii="Times New Roman" w:hAnsi="Times New Roman" w:cs="Times New Roman"/>
          <w:sz w:val="24"/>
          <w:szCs w:val="24"/>
        </w:rPr>
        <w:t>c</w:t>
      </w:r>
      <w:r w:rsidRPr="00FA0F71" w:rsidR="006E573A">
        <w:rPr>
          <w:rFonts w:ascii="Times New Roman" w:hAnsi="Times New Roman" w:cs="Times New Roman"/>
          <w:sz w:val="24"/>
          <w:szCs w:val="24"/>
        </w:rPr>
        <w:t xml:space="preserve">ontrolled mortgages for FHA New Construction and Substantial Rehabilitation Programs (other than Section 231 Substantial Rehabilitation and Section 241(a)), Builder Sponsor Profit and Risk Allowance (BSPRA, or SPRA) is allowed.  BSPRA is a mortgageable cost but not a source of cash.  For affordable programs (such as </w:t>
      </w:r>
      <w:r w:rsidRPr="00FA0F71" w:rsidR="00D3389E">
        <w:rPr>
          <w:rFonts w:ascii="Times New Roman" w:hAnsi="Times New Roman" w:cs="Times New Roman"/>
          <w:sz w:val="24"/>
          <w:szCs w:val="24"/>
        </w:rPr>
        <w:t>Low-Income</w:t>
      </w:r>
      <w:r w:rsidRPr="00FA0F71" w:rsidR="006E573A">
        <w:rPr>
          <w:rFonts w:ascii="Times New Roman" w:hAnsi="Times New Roman" w:cs="Times New Roman"/>
          <w:sz w:val="24"/>
          <w:szCs w:val="24"/>
        </w:rPr>
        <w:t xml:space="preserve"> Housing Tax Credits, RAD, and Section 202 </w:t>
      </w:r>
      <w:r w:rsidRPr="00FA0F71" w:rsidR="002215BE">
        <w:rPr>
          <w:rFonts w:ascii="Times New Roman" w:hAnsi="Times New Roman" w:cs="Times New Roman"/>
          <w:sz w:val="24"/>
          <w:szCs w:val="24"/>
        </w:rPr>
        <w:t>refinancing</w:t>
      </w:r>
      <w:r w:rsidRPr="00FA0F71" w:rsidR="006E573A">
        <w:rPr>
          <w:rFonts w:ascii="Times New Roman" w:hAnsi="Times New Roman" w:cs="Times New Roman"/>
          <w:sz w:val="24"/>
          <w:szCs w:val="24"/>
        </w:rPr>
        <w:t>), a Developer Fee may be mortgageable as long as BSPRA or SPRA is not also included.  </w:t>
      </w:r>
      <w:r w:rsidR="00EE0DAE">
        <w:rPr>
          <w:rFonts w:ascii="Times New Roman" w:hAnsi="Times New Roman" w:cs="Times New Roman"/>
          <w:sz w:val="24"/>
          <w:szCs w:val="24"/>
        </w:rPr>
        <w:t xml:space="preserve">In no event </w:t>
      </w:r>
      <w:r w:rsidR="00967A49">
        <w:rPr>
          <w:rFonts w:ascii="Times New Roman" w:hAnsi="Times New Roman" w:cs="Times New Roman"/>
          <w:sz w:val="24"/>
          <w:szCs w:val="24"/>
        </w:rPr>
        <w:t>may a non-mor</w:t>
      </w:r>
      <w:r w:rsidR="00FE47E1">
        <w:rPr>
          <w:rFonts w:ascii="Times New Roman" w:hAnsi="Times New Roman" w:cs="Times New Roman"/>
          <w:sz w:val="24"/>
          <w:szCs w:val="24"/>
        </w:rPr>
        <w:t>tgageable</w:t>
      </w:r>
      <w:r w:rsidR="00EE0DAE">
        <w:rPr>
          <w:rFonts w:ascii="Times New Roman" w:hAnsi="Times New Roman" w:cs="Times New Roman"/>
          <w:sz w:val="24"/>
          <w:szCs w:val="24"/>
        </w:rPr>
        <w:t xml:space="preserve"> Developer</w:t>
      </w:r>
      <w:r w:rsidR="00967A49">
        <w:rPr>
          <w:rFonts w:ascii="Times New Roman" w:hAnsi="Times New Roman" w:cs="Times New Roman"/>
          <w:sz w:val="24"/>
          <w:szCs w:val="24"/>
        </w:rPr>
        <w:t xml:space="preserve"> </w:t>
      </w:r>
      <w:r w:rsidR="00EE0DAE">
        <w:rPr>
          <w:rFonts w:ascii="Times New Roman" w:hAnsi="Times New Roman" w:cs="Times New Roman"/>
          <w:sz w:val="24"/>
          <w:szCs w:val="24"/>
        </w:rPr>
        <w:t>Fee</w:t>
      </w:r>
      <w:r w:rsidR="00967A49">
        <w:rPr>
          <w:rFonts w:ascii="Times New Roman" w:hAnsi="Times New Roman" w:cs="Times New Roman"/>
          <w:sz w:val="24"/>
          <w:szCs w:val="24"/>
        </w:rPr>
        <w:t xml:space="preserve"> be included </w:t>
      </w:r>
      <w:r w:rsidR="00675977">
        <w:rPr>
          <w:rFonts w:ascii="Times New Roman" w:hAnsi="Times New Roman" w:cs="Times New Roman"/>
          <w:sz w:val="24"/>
          <w:szCs w:val="24"/>
        </w:rPr>
        <w:t>as part of a market rate transaction, with or without BSPRA.</w:t>
      </w:r>
      <w:r w:rsidRPr="00FA0F71" w:rsidR="006E573A">
        <w:rPr>
          <w:rFonts w:ascii="Times New Roman" w:hAnsi="Times New Roman" w:cs="Times New Roman"/>
          <w:sz w:val="24"/>
          <w:szCs w:val="24"/>
        </w:rPr>
        <w:t xml:space="preserve"> A summary of Developer Fee calculations limits for various FHA and assisted programs is included in Appendix 3B.</w:t>
      </w:r>
    </w:p>
    <w:p w:rsidRPr="00FA0F71" w:rsidR="006E573A" w:rsidP="006E573A" w:rsidRDefault="006E573A" w14:paraId="5B855472" w14:textId="77777777">
      <w:pPr>
        <w:spacing w:line="276" w:lineRule="auto"/>
        <w:jc w:val="both"/>
        <w:rPr>
          <w:rFonts w:ascii="Times New Roman" w:hAnsi="Times New Roman" w:cs="Times New Roman"/>
          <w:sz w:val="24"/>
          <w:szCs w:val="24"/>
        </w:rPr>
      </w:pPr>
    </w:p>
    <w:p w:rsidRPr="00FA0F71" w:rsidR="006E573A" w:rsidP="006E573A" w:rsidRDefault="00AD1106" w14:paraId="5B855473" w14:textId="679C38B5">
      <w:pPr>
        <w:ind w:left="360" w:hanging="540"/>
        <w:jc w:val="both"/>
        <w:rPr>
          <w:rFonts w:ascii="Times New Roman" w:hAnsi="Times New Roman" w:eastAsia="MS Mincho" w:cs="Times New Roman"/>
          <w:sz w:val="24"/>
          <w:szCs w:val="24"/>
        </w:rPr>
      </w:pPr>
      <w:r>
        <w:rPr>
          <w:rFonts w:ascii="Times New Roman" w:hAnsi="Times New Roman" w:cs="Times New Roman"/>
          <w:sz w:val="24"/>
          <w:szCs w:val="24"/>
        </w:rPr>
        <w:t>DD</w:t>
      </w:r>
      <w:r w:rsidRPr="00FA0F71" w:rsidR="006E573A">
        <w:rPr>
          <w:rFonts w:ascii="Times New Roman" w:hAnsi="Times New Roman" w:cs="Times New Roman"/>
          <w:sz w:val="24"/>
          <w:szCs w:val="24"/>
        </w:rPr>
        <w:t>.</w:t>
      </w:r>
      <w:r w:rsidRPr="00FA0F71" w:rsidR="006E573A">
        <w:rPr>
          <w:rFonts w:ascii="Times New Roman" w:hAnsi="Times New Roman" w:cs="Times New Roman"/>
          <w:b/>
          <w:sz w:val="24"/>
          <w:szCs w:val="24"/>
        </w:rPr>
        <w:t xml:space="preserve">  Scattered Sites.  </w:t>
      </w:r>
      <w:r w:rsidRPr="00FA0F71" w:rsidR="006E573A">
        <w:rPr>
          <w:rFonts w:ascii="Times New Roman" w:hAnsi="Times New Roman" w:cs="Times New Roman"/>
          <w:sz w:val="24"/>
          <w:szCs w:val="24"/>
        </w:rPr>
        <w:t xml:space="preserve">FHA insured multifamily properties </w:t>
      </w:r>
      <w:r w:rsidRPr="00FA0F71" w:rsidR="006E573A">
        <w:rPr>
          <w:rFonts w:ascii="Times New Roman" w:hAnsi="Times New Roman" w:eastAsia="MS Mincho" w:cs="Times New Roman"/>
          <w:sz w:val="24"/>
          <w:szCs w:val="24"/>
        </w:rPr>
        <w:t xml:space="preserve">may be traditional multifamily structures on one site, or may be detached, semi-detached, or row houses. Each property </w:t>
      </w:r>
      <w:r w:rsidRPr="00FA0F71" w:rsidR="006E573A">
        <w:rPr>
          <w:rFonts w:ascii="Times New Roman" w:hAnsi="Times New Roman" w:cs="Times New Roman"/>
          <w:sz w:val="24"/>
          <w:szCs w:val="24"/>
        </w:rPr>
        <w:t xml:space="preserve">must </w:t>
      </w:r>
      <w:r w:rsidRPr="00FA0F71" w:rsidR="006E573A">
        <w:rPr>
          <w:rFonts w:ascii="Times New Roman" w:hAnsi="Times New Roman" w:eastAsia="MS Mincho" w:cs="Times New Roman"/>
          <w:sz w:val="24"/>
          <w:szCs w:val="24"/>
        </w:rPr>
        <w:t>consist of five or more dwelling units. Group homes are not eligible.</w:t>
      </w:r>
    </w:p>
    <w:p w:rsidR="006E573A" w:rsidP="006E573A" w:rsidRDefault="006E573A" w14:paraId="5B855474" w14:textId="77777777">
      <w:pPr>
        <w:ind w:left="360"/>
        <w:jc w:val="both"/>
        <w:rPr>
          <w:rFonts w:ascii="Times New Roman" w:hAnsi="Times New Roman" w:eastAsia="MS Mincho" w:cs="Times New Roman"/>
          <w:sz w:val="24"/>
          <w:szCs w:val="24"/>
        </w:rPr>
      </w:pPr>
    </w:p>
    <w:p w:rsidRPr="00FA0F71" w:rsidR="006E573A" w:rsidP="006E573A" w:rsidRDefault="006E573A" w14:paraId="5B855475" w14:textId="20DB9637">
      <w:pPr>
        <w:ind w:left="360"/>
        <w:jc w:val="both"/>
        <w:rPr>
          <w:rFonts w:ascii="Times New Roman" w:hAnsi="Times New Roman" w:eastAsia="MS Mincho" w:cs="Times New Roman"/>
          <w:sz w:val="24"/>
          <w:szCs w:val="24"/>
        </w:rPr>
      </w:pPr>
      <w:r w:rsidRPr="00FA0F71">
        <w:rPr>
          <w:rFonts w:ascii="Times New Roman" w:hAnsi="Times New Roman" w:eastAsia="MS Mincho" w:cs="Times New Roman"/>
          <w:sz w:val="24"/>
          <w:szCs w:val="24"/>
        </w:rPr>
        <w:t>The site may consist of two or more noncontiguous parcels of land when the parcels comprise one marketable, manageable real estate entity and each parcel (or combination of contiguous parcels) has at least 5 units.  (The regulations, 24 CFR 200.73(c), prohibit sites with less than 5 units.)</w:t>
      </w:r>
      <w:r w:rsidR="003D6D81">
        <w:rPr>
          <w:rFonts w:ascii="Times New Roman" w:hAnsi="Times New Roman" w:eastAsia="MS Mincho" w:cs="Times New Roman"/>
          <w:sz w:val="24"/>
          <w:szCs w:val="24"/>
        </w:rPr>
        <w:t xml:space="preserve">. </w:t>
      </w:r>
      <w:r w:rsidR="006704D2">
        <w:rPr>
          <w:rFonts w:ascii="Times New Roman" w:hAnsi="Times New Roman" w:eastAsia="MS Mincho" w:cs="Times New Roman"/>
          <w:sz w:val="24"/>
          <w:szCs w:val="24"/>
        </w:rPr>
        <w:t xml:space="preserve">Contiguous in this context </w:t>
      </w:r>
      <w:r w:rsidR="002D456A">
        <w:rPr>
          <w:rFonts w:ascii="Times New Roman" w:hAnsi="Times New Roman" w:eastAsia="MS Mincho" w:cs="Times New Roman"/>
          <w:sz w:val="24"/>
          <w:szCs w:val="24"/>
        </w:rPr>
        <w:t xml:space="preserve">means adjacent, or next to one another. Two parcels separated by a driveway or </w:t>
      </w:r>
      <w:r w:rsidR="009B5DCF">
        <w:rPr>
          <w:rFonts w:ascii="Times New Roman" w:hAnsi="Times New Roman" w:eastAsia="MS Mincho" w:cs="Times New Roman"/>
          <w:sz w:val="24"/>
          <w:szCs w:val="24"/>
        </w:rPr>
        <w:t>road may still be contiguous for purposes of establishing one “single” site</w:t>
      </w:r>
      <w:r w:rsidR="00D20C2F">
        <w:rPr>
          <w:rFonts w:ascii="Times New Roman" w:hAnsi="Times New Roman" w:eastAsia="MS Mincho" w:cs="Times New Roman"/>
          <w:sz w:val="24"/>
          <w:szCs w:val="24"/>
        </w:rPr>
        <w:t>.</w:t>
      </w:r>
      <w:r w:rsidR="009B5DCF">
        <w:rPr>
          <w:rFonts w:ascii="Times New Roman" w:hAnsi="Times New Roman" w:eastAsia="MS Mincho" w:cs="Times New Roman"/>
          <w:sz w:val="24"/>
          <w:szCs w:val="24"/>
        </w:rPr>
        <w:t xml:space="preserve"> </w:t>
      </w:r>
    </w:p>
    <w:p w:rsidRPr="00FA0F71" w:rsidR="006E573A" w:rsidP="006E573A" w:rsidRDefault="006E573A" w14:paraId="5B855476" w14:textId="77777777">
      <w:pPr>
        <w:jc w:val="both"/>
        <w:rPr>
          <w:rFonts w:ascii="Times New Roman" w:hAnsi="Times New Roman" w:eastAsia="MS Mincho" w:cs="Times New Roman"/>
          <w:sz w:val="24"/>
          <w:szCs w:val="24"/>
        </w:rPr>
      </w:pPr>
    </w:p>
    <w:p w:rsidRPr="00FA0F71" w:rsidR="006E573A" w:rsidP="006E573A" w:rsidRDefault="006E573A" w14:paraId="5B855477" w14:textId="77777777">
      <w:pPr>
        <w:ind w:left="360"/>
        <w:jc w:val="both"/>
        <w:rPr>
          <w:rFonts w:ascii="Times New Roman" w:hAnsi="Times New Roman" w:eastAsia="MS Mincho" w:cs="Times New Roman"/>
          <w:sz w:val="24"/>
          <w:szCs w:val="24"/>
        </w:rPr>
      </w:pPr>
      <w:r w:rsidRPr="00FA0F71">
        <w:rPr>
          <w:rFonts w:ascii="Times New Roman" w:hAnsi="Times New Roman" w:eastAsia="MS Mincho" w:cs="Times New Roman"/>
          <w:sz w:val="24"/>
          <w:szCs w:val="24"/>
        </w:rPr>
        <w:t>The following factors should be considered in underwriting, and determining whether a scattered site property is one marketable, manageable real estate entity:</w:t>
      </w:r>
    </w:p>
    <w:p w:rsidRPr="00FA0F71" w:rsidR="006E573A" w:rsidP="006E573A" w:rsidRDefault="006E573A" w14:paraId="5B855478" w14:textId="77777777">
      <w:pPr>
        <w:jc w:val="both"/>
        <w:rPr>
          <w:rFonts w:ascii="Times New Roman" w:hAnsi="Times New Roman" w:eastAsia="MS Mincho" w:cs="Times New Roman"/>
          <w:sz w:val="24"/>
          <w:szCs w:val="24"/>
        </w:rPr>
      </w:pPr>
    </w:p>
    <w:p w:rsidRPr="00FA0F71" w:rsidR="006E573A" w:rsidP="006E573A" w:rsidRDefault="006E573A" w14:paraId="5B855479" w14:textId="6F83F995">
      <w:pPr>
        <w:numPr>
          <w:ilvl w:val="0"/>
          <w:numId w:val="8"/>
        </w:numPr>
        <w:spacing w:after="200" w:line="276" w:lineRule="auto"/>
        <w:contextualSpacing/>
        <w:jc w:val="both"/>
        <w:rPr>
          <w:rFonts w:ascii="Times New Roman" w:hAnsi="Times New Roman" w:cs="Times New Roman"/>
          <w:sz w:val="24"/>
          <w:szCs w:val="24"/>
        </w:rPr>
      </w:pPr>
      <w:r w:rsidRPr="00FA0F71">
        <w:rPr>
          <w:rFonts w:ascii="Times New Roman" w:hAnsi="Times New Roman" w:cs="Times New Roman"/>
          <w:sz w:val="24"/>
          <w:szCs w:val="24"/>
        </w:rPr>
        <w:t>D</w:t>
      </w:r>
      <w:r w:rsidR="002C6A0F">
        <w:rPr>
          <w:rFonts w:ascii="Times New Roman" w:hAnsi="Times New Roman" w:cs="Times New Roman"/>
          <w:sz w:val="24"/>
          <w:szCs w:val="24"/>
        </w:rPr>
        <w:t>egree of Separation</w:t>
      </w:r>
      <w:r w:rsidRPr="00FA0F71">
        <w:rPr>
          <w:rFonts w:ascii="Times New Roman" w:hAnsi="Times New Roman" w:cs="Times New Roman"/>
          <w:sz w:val="24"/>
          <w:szCs w:val="24"/>
        </w:rPr>
        <w:t>.  Generally</w:t>
      </w:r>
      <w:r w:rsidR="003017F2">
        <w:rPr>
          <w:rFonts w:ascii="Times New Roman" w:hAnsi="Times New Roman" w:cs="Times New Roman"/>
          <w:sz w:val="24"/>
          <w:szCs w:val="24"/>
        </w:rPr>
        <w:t>,</w:t>
      </w:r>
      <w:r w:rsidRPr="00FA0F71">
        <w:rPr>
          <w:rFonts w:ascii="Times New Roman" w:hAnsi="Times New Roman" w:cs="Times New Roman"/>
          <w:sz w:val="24"/>
          <w:szCs w:val="24"/>
        </w:rPr>
        <w:t xml:space="preserve"> a greater distance would be acceptable in a rural area than an urban one, but two </w:t>
      </w:r>
      <w:r w:rsidR="009F00EF">
        <w:rPr>
          <w:rFonts w:ascii="Times New Roman" w:hAnsi="Times New Roman" w:cs="Times New Roman"/>
          <w:sz w:val="24"/>
          <w:szCs w:val="24"/>
        </w:rPr>
        <w:t>site</w:t>
      </w:r>
      <w:r w:rsidRPr="00FA0F71" w:rsidR="009F00EF">
        <w:rPr>
          <w:rFonts w:ascii="Times New Roman" w:hAnsi="Times New Roman" w:cs="Times New Roman"/>
          <w:sz w:val="24"/>
          <w:szCs w:val="24"/>
        </w:rPr>
        <w:t xml:space="preserve">s </w:t>
      </w:r>
      <w:r w:rsidRPr="00FA0F71">
        <w:rPr>
          <w:rFonts w:ascii="Times New Roman" w:hAnsi="Times New Roman" w:cs="Times New Roman"/>
          <w:sz w:val="24"/>
          <w:szCs w:val="24"/>
        </w:rPr>
        <w:t xml:space="preserve">funded by one FHA insured multifamily mortgage </w:t>
      </w:r>
      <w:r w:rsidR="00B6395C">
        <w:rPr>
          <w:rFonts w:ascii="Times New Roman" w:hAnsi="Times New Roman" w:cs="Times New Roman"/>
          <w:sz w:val="24"/>
          <w:szCs w:val="24"/>
        </w:rPr>
        <w:t xml:space="preserve">separated by </w:t>
      </w:r>
      <w:r w:rsidR="00846277">
        <w:rPr>
          <w:rFonts w:ascii="Times New Roman" w:hAnsi="Times New Roman" w:cs="Times New Roman"/>
          <w:sz w:val="24"/>
          <w:szCs w:val="24"/>
        </w:rPr>
        <w:t>more</w:t>
      </w:r>
      <w:r w:rsidRPr="00FA0F71">
        <w:rPr>
          <w:rFonts w:ascii="Times New Roman" w:hAnsi="Times New Roman" w:cs="Times New Roman"/>
          <w:sz w:val="24"/>
          <w:szCs w:val="24"/>
        </w:rPr>
        <w:t xml:space="preserve"> than 15 or 20 miles</w:t>
      </w:r>
      <w:r w:rsidR="00114901">
        <w:rPr>
          <w:rFonts w:ascii="Times New Roman" w:hAnsi="Times New Roman" w:cs="Times New Roman"/>
          <w:sz w:val="24"/>
          <w:szCs w:val="24"/>
        </w:rPr>
        <w:t xml:space="preserve"> in </w:t>
      </w:r>
      <w:r w:rsidR="0060716B">
        <w:rPr>
          <w:rFonts w:ascii="Times New Roman" w:hAnsi="Times New Roman" w:cs="Times New Roman"/>
          <w:sz w:val="24"/>
          <w:szCs w:val="24"/>
        </w:rPr>
        <w:t>exurban areas or 1</w:t>
      </w:r>
      <w:r w:rsidR="00A17C40">
        <w:rPr>
          <w:rFonts w:ascii="Times New Roman" w:hAnsi="Times New Roman" w:cs="Times New Roman"/>
          <w:sz w:val="24"/>
          <w:szCs w:val="24"/>
        </w:rPr>
        <w:t>0</w:t>
      </w:r>
      <w:r w:rsidR="0060716B">
        <w:rPr>
          <w:rFonts w:ascii="Times New Roman" w:hAnsi="Times New Roman" w:cs="Times New Roman"/>
          <w:sz w:val="24"/>
          <w:szCs w:val="24"/>
        </w:rPr>
        <w:t xml:space="preserve"> to </w:t>
      </w:r>
      <w:r w:rsidR="00A17C40">
        <w:rPr>
          <w:rFonts w:ascii="Times New Roman" w:hAnsi="Times New Roman" w:cs="Times New Roman"/>
          <w:sz w:val="24"/>
          <w:szCs w:val="24"/>
        </w:rPr>
        <w:t>15</w:t>
      </w:r>
      <w:r w:rsidR="0060716B">
        <w:rPr>
          <w:rFonts w:ascii="Times New Roman" w:hAnsi="Times New Roman" w:cs="Times New Roman"/>
          <w:sz w:val="24"/>
          <w:szCs w:val="24"/>
        </w:rPr>
        <w:t xml:space="preserve"> minutes in travel time in </w:t>
      </w:r>
      <w:r w:rsidR="00A17C40">
        <w:rPr>
          <w:rFonts w:ascii="Times New Roman" w:hAnsi="Times New Roman" w:cs="Times New Roman"/>
          <w:sz w:val="24"/>
          <w:szCs w:val="24"/>
        </w:rPr>
        <w:t>metropolitan locat</w:t>
      </w:r>
      <w:r w:rsidR="00AA44AA">
        <w:rPr>
          <w:rFonts w:ascii="Times New Roman" w:hAnsi="Times New Roman" w:cs="Times New Roman"/>
          <w:sz w:val="24"/>
          <w:szCs w:val="24"/>
        </w:rPr>
        <w:t xml:space="preserve">ions, </w:t>
      </w:r>
      <w:r w:rsidR="00AB5484">
        <w:rPr>
          <w:rFonts w:ascii="Times New Roman" w:hAnsi="Times New Roman" w:cs="Times New Roman"/>
          <w:sz w:val="24"/>
          <w:szCs w:val="24"/>
        </w:rPr>
        <w:t xml:space="preserve">or in </w:t>
      </w:r>
      <w:r w:rsidR="000B5BF1">
        <w:rPr>
          <w:rFonts w:ascii="Times New Roman" w:hAnsi="Times New Roman" w:cs="Times New Roman"/>
          <w:sz w:val="24"/>
          <w:szCs w:val="24"/>
        </w:rPr>
        <w:t xml:space="preserve">any event located </w:t>
      </w:r>
      <w:r w:rsidR="00850ADD">
        <w:rPr>
          <w:rFonts w:ascii="Times New Roman" w:hAnsi="Times New Roman" w:cs="Times New Roman"/>
          <w:sz w:val="24"/>
          <w:szCs w:val="24"/>
        </w:rPr>
        <w:t xml:space="preserve">in </w:t>
      </w:r>
      <w:r w:rsidR="00AB5484">
        <w:rPr>
          <w:rFonts w:ascii="Times New Roman" w:hAnsi="Times New Roman" w:cs="Times New Roman"/>
          <w:sz w:val="24"/>
          <w:szCs w:val="24"/>
        </w:rPr>
        <w:t>different market areas</w:t>
      </w:r>
      <w:r w:rsidR="00F77C62">
        <w:rPr>
          <w:rFonts w:ascii="Times New Roman" w:hAnsi="Times New Roman" w:cs="Times New Roman"/>
          <w:sz w:val="24"/>
          <w:szCs w:val="24"/>
        </w:rPr>
        <w:t xml:space="preserve"> or different jurisdictions</w:t>
      </w:r>
      <w:r w:rsidR="00D46306">
        <w:rPr>
          <w:rFonts w:ascii="Times New Roman" w:hAnsi="Times New Roman" w:cs="Times New Roman"/>
          <w:sz w:val="24"/>
          <w:szCs w:val="24"/>
        </w:rPr>
        <w:t xml:space="preserve"> (</w:t>
      </w:r>
      <w:r w:rsidR="00CB0D9E">
        <w:rPr>
          <w:rFonts w:ascii="Times New Roman" w:hAnsi="Times New Roman" w:cs="Times New Roman"/>
          <w:sz w:val="24"/>
          <w:szCs w:val="24"/>
        </w:rPr>
        <w:t>township, city, county)</w:t>
      </w:r>
      <w:r w:rsidR="00846277">
        <w:rPr>
          <w:rFonts w:ascii="Times New Roman" w:hAnsi="Times New Roman" w:cs="Times New Roman"/>
          <w:sz w:val="24"/>
          <w:szCs w:val="24"/>
        </w:rPr>
        <w:t xml:space="preserve">, </w:t>
      </w:r>
      <w:r w:rsidRPr="00FA0F71">
        <w:rPr>
          <w:rFonts w:ascii="Times New Roman" w:hAnsi="Times New Roman" w:cs="Times New Roman"/>
          <w:sz w:val="24"/>
          <w:szCs w:val="24"/>
        </w:rPr>
        <w:t xml:space="preserve"> </w:t>
      </w:r>
      <w:r w:rsidR="00323D32">
        <w:rPr>
          <w:rFonts w:ascii="Times New Roman" w:hAnsi="Times New Roman" w:cs="Times New Roman"/>
          <w:sz w:val="24"/>
          <w:szCs w:val="24"/>
        </w:rPr>
        <w:t>would be considered unacceptable</w:t>
      </w:r>
      <w:r w:rsidRPr="00FA0F71">
        <w:rPr>
          <w:rFonts w:ascii="Times New Roman" w:hAnsi="Times New Roman" w:cs="Times New Roman"/>
          <w:sz w:val="24"/>
          <w:szCs w:val="24"/>
        </w:rPr>
        <w:t>.</w:t>
      </w:r>
    </w:p>
    <w:p w:rsidRPr="00FA0F71" w:rsidR="006E573A" w:rsidP="006E573A" w:rsidRDefault="006E573A" w14:paraId="5B85547A" w14:textId="645EC3AD">
      <w:pPr>
        <w:numPr>
          <w:ilvl w:val="0"/>
          <w:numId w:val="8"/>
        </w:numPr>
        <w:tabs>
          <w:tab w:val="center" w:pos="1080"/>
        </w:tabs>
        <w:spacing w:after="200" w:line="276" w:lineRule="auto"/>
        <w:contextualSpacing/>
        <w:jc w:val="both"/>
        <w:rPr>
          <w:rFonts w:ascii="Times New Roman" w:hAnsi="Times New Roman" w:cs="Times New Roman"/>
          <w:sz w:val="24"/>
          <w:szCs w:val="24"/>
        </w:rPr>
      </w:pPr>
      <w:r w:rsidRPr="00FA0F71">
        <w:rPr>
          <w:rFonts w:ascii="Times New Roman" w:hAnsi="Times New Roman" w:cs="Times New Roman"/>
          <w:sz w:val="24"/>
          <w:szCs w:val="24"/>
        </w:rPr>
        <w:t xml:space="preserve">Physical condition, construction type, and age.  If individual sites vary in these criteria, it is more difficult to make the case </w:t>
      </w:r>
      <w:r w:rsidR="00FA3685">
        <w:rPr>
          <w:rFonts w:ascii="Times New Roman" w:hAnsi="Times New Roman" w:cs="Times New Roman"/>
          <w:sz w:val="24"/>
          <w:szCs w:val="24"/>
        </w:rPr>
        <w:t xml:space="preserve">that </w:t>
      </w:r>
      <w:r w:rsidRPr="00FA0F71">
        <w:rPr>
          <w:rFonts w:ascii="Times New Roman" w:hAnsi="Times New Roman" w:cs="Times New Roman"/>
          <w:sz w:val="24"/>
          <w:szCs w:val="24"/>
        </w:rPr>
        <w:t>they comprise a single entity, and to evaluate the collateral (e.g. requiring separate CNA and Appraisal analyses, which are then combined.</w:t>
      </w:r>
      <w:r w:rsidR="00FA3685">
        <w:rPr>
          <w:rFonts w:ascii="Times New Roman" w:hAnsi="Times New Roman" w:cs="Times New Roman"/>
          <w:sz w:val="24"/>
          <w:szCs w:val="24"/>
        </w:rPr>
        <w:t>)</w:t>
      </w:r>
      <w:r w:rsidRPr="00FA0F71">
        <w:rPr>
          <w:rFonts w:ascii="Times New Roman" w:hAnsi="Times New Roman" w:cs="Times New Roman"/>
          <w:sz w:val="24"/>
          <w:szCs w:val="24"/>
        </w:rPr>
        <w:t xml:space="preserve"> If</w:t>
      </w:r>
      <w:r w:rsidR="00DD15D6">
        <w:rPr>
          <w:rFonts w:ascii="Times New Roman" w:hAnsi="Times New Roman" w:cs="Times New Roman"/>
          <w:sz w:val="24"/>
          <w:szCs w:val="24"/>
        </w:rPr>
        <w:t xml:space="preserve"> a</w:t>
      </w:r>
      <w:r w:rsidR="00FA3685">
        <w:rPr>
          <w:rFonts w:ascii="Times New Roman" w:hAnsi="Times New Roman" w:cs="Times New Roman"/>
          <w:sz w:val="24"/>
          <w:szCs w:val="24"/>
        </w:rPr>
        <w:t xml:space="preserve">n underwriter cannot rely on a single CNA and appraisal to analyze a property, then the property is not a single mortgageable real estate asset. </w:t>
      </w:r>
      <w:r w:rsidR="00DD15D6">
        <w:rPr>
          <w:rFonts w:ascii="Times New Roman" w:hAnsi="Times New Roman" w:cs="Times New Roman"/>
          <w:sz w:val="24"/>
          <w:szCs w:val="24"/>
        </w:rPr>
        <w:t xml:space="preserve"> </w:t>
      </w:r>
    </w:p>
    <w:p w:rsidRPr="00FA0F71" w:rsidR="006E573A" w:rsidP="006E573A" w:rsidRDefault="006E573A" w14:paraId="5B85547B" w14:textId="77777777">
      <w:pPr>
        <w:numPr>
          <w:ilvl w:val="0"/>
          <w:numId w:val="8"/>
        </w:numPr>
        <w:spacing w:after="200" w:line="276" w:lineRule="auto"/>
        <w:contextualSpacing/>
        <w:jc w:val="both"/>
        <w:rPr>
          <w:rFonts w:ascii="Times New Roman" w:hAnsi="Times New Roman" w:cs="Times New Roman"/>
          <w:sz w:val="24"/>
          <w:szCs w:val="24"/>
        </w:rPr>
      </w:pPr>
      <w:r w:rsidRPr="00FA0F71">
        <w:rPr>
          <w:rFonts w:ascii="Times New Roman" w:hAnsi="Times New Roman" w:cs="Times New Roman"/>
          <w:sz w:val="24"/>
          <w:szCs w:val="24"/>
        </w:rPr>
        <w:t>Occupancy type and turnover history.</w:t>
      </w:r>
    </w:p>
    <w:p w:rsidRPr="00FA0F71" w:rsidR="006E573A" w:rsidP="006E573A" w:rsidRDefault="006E573A" w14:paraId="5B85547C" w14:textId="0D8DF201">
      <w:pPr>
        <w:numPr>
          <w:ilvl w:val="0"/>
          <w:numId w:val="8"/>
        </w:numPr>
        <w:spacing w:after="200" w:line="276" w:lineRule="auto"/>
        <w:contextualSpacing/>
        <w:jc w:val="both"/>
        <w:rPr>
          <w:rFonts w:ascii="Times New Roman" w:hAnsi="Times New Roman" w:cs="Times New Roman"/>
          <w:sz w:val="24"/>
          <w:szCs w:val="24"/>
        </w:rPr>
      </w:pPr>
      <w:r w:rsidRPr="00FA0F71">
        <w:rPr>
          <w:rFonts w:ascii="Times New Roman" w:hAnsi="Times New Roman" w:cs="Times New Roman"/>
          <w:sz w:val="24"/>
          <w:szCs w:val="24"/>
        </w:rPr>
        <w:t>Unit configuration and project layouts</w:t>
      </w:r>
      <w:r w:rsidR="003F4DBC">
        <w:rPr>
          <w:rFonts w:ascii="Times New Roman" w:hAnsi="Times New Roman" w:cs="Times New Roman"/>
          <w:sz w:val="24"/>
          <w:szCs w:val="24"/>
        </w:rPr>
        <w:t xml:space="preserve"> including </w:t>
      </w:r>
      <w:r w:rsidR="00D55BC7">
        <w:rPr>
          <w:rFonts w:ascii="Times New Roman" w:hAnsi="Times New Roman" w:cs="Times New Roman"/>
          <w:sz w:val="24"/>
          <w:szCs w:val="24"/>
        </w:rPr>
        <w:t>single family homes in a “checkerboard” configuration</w:t>
      </w:r>
      <w:r w:rsidRPr="00FA0F71">
        <w:rPr>
          <w:rFonts w:ascii="Times New Roman" w:hAnsi="Times New Roman" w:cs="Times New Roman"/>
          <w:sz w:val="24"/>
          <w:szCs w:val="24"/>
        </w:rPr>
        <w:t>.</w:t>
      </w:r>
      <w:r w:rsidR="00DD2108">
        <w:rPr>
          <w:rFonts w:ascii="Times New Roman" w:hAnsi="Times New Roman" w:cs="Times New Roman"/>
          <w:sz w:val="24"/>
          <w:szCs w:val="24"/>
        </w:rPr>
        <w:t xml:space="preserve"> </w:t>
      </w:r>
      <w:r w:rsidR="00742480">
        <w:rPr>
          <w:rFonts w:ascii="Times New Roman" w:hAnsi="Times New Roman" w:cs="Times New Roman"/>
          <w:sz w:val="24"/>
          <w:szCs w:val="24"/>
        </w:rPr>
        <w:t xml:space="preserve">Projects consisting only of </w:t>
      </w:r>
      <w:r w:rsidR="00C61B3A">
        <w:rPr>
          <w:rFonts w:ascii="Times New Roman" w:hAnsi="Times New Roman" w:cs="Times New Roman"/>
          <w:sz w:val="24"/>
          <w:szCs w:val="24"/>
        </w:rPr>
        <w:t>single-family</w:t>
      </w:r>
      <w:r w:rsidR="00742480">
        <w:rPr>
          <w:rFonts w:ascii="Times New Roman" w:hAnsi="Times New Roman" w:cs="Times New Roman"/>
          <w:sz w:val="24"/>
          <w:szCs w:val="24"/>
        </w:rPr>
        <w:t xml:space="preserve"> homes whether </w:t>
      </w:r>
      <w:r w:rsidR="007656B0">
        <w:rPr>
          <w:rFonts w:ascii="Times New Roman" w:hAnsi="Times New Roman" w:cs="Times New Roman"/>
          <w:sz w:val="24"/>
          <w:szCs w:val="24"/>
        </w:rPr>
        <w:t xml:space="preserve">located </w:t>
      </w:r>
      <w:r w:rsidR="00742480">
        <w:rPr>
          <w:rFonts w:ascii="Times New Roman" w:hAnsi="Times New Roman" w:cs="Times New Roman"/>
          <w:sz w:val="24"/>
          <w:szCs w:val="24"/>
        </w:rPr>
        <w:t xml:space="preserve">on </w:t>
      </w:r>
      <w:r w:rsidR="003E07EC">
        <w:rPr>
          <w:rFonts w:ascii="Times New Roman" w:hAnsi="Times New Roman" w:cs="Times New Roman"/>
          <w:sz w:val="24"/>
          <w:szCs w:val="24"/>
        </w:rPr>
        <w:t xml:space="preserve">one or </w:t>
      </w:r>
      <w:r w:rsidR="006801F6">
        <w:rPr>
          <w:rFonts w:ascii="Times New Roman" w:hAnsi="Times New Roman" w:cs="Times New Roman"/>
          <w:sz w:val="24"/>
          <w:szCs w:val="24"/>
        </w:rPr>
        <w:t>multiple sites</w:t>
      </w:r>
      <w:r w:rsidR="00742480">
        <w:rPr>
          <w:rFonts w:ascii="Times New Roman" w:hAnsi="Times New Roman" w:cs="Times New Roman"/>
          <w:sz w:val="24"/>
          <w:szCs w:val="24"/>
        </w:rPr>
        <w:t xml:space="preserve"> are strongly discouraged. </w:t>
      </w:r>
    </w:p>
    <w:p w:rsidR="00267EC5" w:rsidP="006E573A" w:rsidRDefault="006E573A" w14:paraId="7BBE7FBA" w14:textId="77176C7E">
      <w:pPr>
        <w:numPr>
          <w:ilvl w:val="0"/>
          <w:numId w:val="8"/>
        </w:numPr>
        <w:spacing w:after="200" w:line="276" w:lineRule="auto"/>
        <w:contextualSpacing/>
        <w:jc w:val="both"/>
        <w:rPr>
          <w:rFonts w:ascii="Times New Roman" w:hAnsi="Times New Roman" w:cs="Times New Roman"/>
          <w:sz w:val="24"/>
          <w:szCs w:val="24"/>
        </w:rPr>
      </w:pPr>
      <w:r w:rsidRPr="00FA0F71">
        <w:rPr>
          <w:rFonts w:ascii="Times New Roman" w:hAnsi="Times New Roman" w:cs="Times New Roman"/>
          <w:sz w:val="24"/>
          <w:szCs w:val="24"/>
        </w:rPr>
        <w:t>Expense volatility, particularly for single family structures or more widely disbursed properties.  Risk in such cases must be mitigated by high-end expense estimates, and in some cases shorter amortization periods.</w:t>
      </w:r>
    </w:p>
    <w:p w:rsidR="006746E8" w:rsidP="006E573A" w:rsidRDefault="006746E8" w14:paraId="58AA1DD3" w14:textId="7A47B094">
      <w:pPr>
        <w:numPr>
          <w:ilvl w:val="0"/>
          <w:numId w:val="8"/>
        </w:numPr>
        <w:spacing w:after="200" w:line="276" w:lineRule="auto"/>
        <w:contextualSpacing/>
        <w:jc w:val="both"/>
        <w:rPr>
          <w:rFonts w:ascii="Times New Roman" w:hAnsi="Times New Roman" w:cs="Times New Roman"/>
          <w:sz w:val="24"/>
          <w:szCs w:val="24"/>
        </w:rPr>
      </w:pPr>
      <w:r w:rsidRPr="00267EC5">
        <w:rPr>
          <w:rFonts w:ascii="Times New Roman" w:hAnsi="Times New Roman" w:cs="Times New Roman"/>
          <w:sz w:val="24"/>
          <w:szCs w:val="24"/>
        </w:rPr>
        <w:t>Homeowners Associations (HOA) – An insured project operating within and governed by a</w:t>
      </w:r>
      <w:r w:rsidR="00751FB8">
        <w:rPr>
          <w:rFonts w:ascii="Times New Roman" w:hAnsi="Times New Roman" w:cs="Times New Roman"/>
          <w:sz w:val="24"/>
          <w:szCs w:val="24"/>
        </w:rPr>
        <w:t>n</w:t>
      </w:r>
      <w:r w:rsidRPr="00267EC5">
        <w:rPr>
          <w:rFonts w:ascii="Times New Roman" w:hAnsi="Times New Roman" w:cs="Times New Roman"/>
          <w:sz w:val="24"/>
          <w:szCs w:val="24"/>
        </w:rPr>
        <w:t xml:space="preserve"> HOA may be subject to terms and conditions that may be detrimental to the operation of the insured project</w:t>
      </w:r>
      <w:r w:rsidR="00997DCF">
        <w:rPr>
          <w:rFonts w:ascii="Times New Roman" w:hAnsi="Times New Roman" w:cs="Times New Roman"/>
          <w:sz w:val="24"/>
          <w:szCs w:val="24"/>
        </w:rPr>
        <w:t xml:space="preserve">, especially when </w:t>
      </w:r>
      <w:r w:rsidR="00050B63">
        <w:rPr>
          <w:rFonts w:ascii="Times New Roman" w:hAnsi="Times New Roman" w:cs="Times New Roman"/>
          <w:sz w:val="24"/>
          <w:szCs w:val="24"/>
        </w:rPr>
        <w:t>such agreements limit or regulate</w:t>
      </w:r>
      <w:r w:rsidR="006D6165">
        <w:rPr>
          <w:rFonts w:ascii="Times New Roman" w:hAnsi="Times New Roman" w:cs="Times New Roman"/>
          <w:sz w:val="24"/>
          <w:szCs w:val="24"/>
        </w:rPr>
        <w:t xml:space="preserve"> maintenance or </w:t>
      </w:r>
      <w:r w:rsidR="00050B63">
        <w:rPr>
          <w:rFonts w:ascii="Times New Roman" w:hAnsi="Times New Roman" w:cs="Times New Roman"/>
          <w:sz w:val="24"/>
          <w:szCs w:val="24"/>
        </w:rPr>
        <w:t xml:space="preserve"> repairs and alterations</w:t>
      </w:r>
      <w:r w:rsidRPr="00267EC5">
        <w:rPr>
          <w:rFonts w:ascii="Times New Roman" w:hAnsi="Times New Roman" w:cs="Times New Roman"/>
          <w:sz w:val="24"/>
          <w:szCs w:val="24"/>
        </w:rPr>
        <w:t>.</w:t>
      </w:r>
      <w:r w:rsidR="008724F5">
        <w:rPr>
          <w:rFonts w:ascii="Times New Roman" w:hAnsi="Times New Roman" w:cs="Times New Roman"/>
          <w:sz w:val="24"/>
          <w:szCs w:val="24"/>
        </w:rPr>
        <w:t xml:space="preserve">  In addition</w:t>
      </w:r>
      <w:r w:rsidR="00E305E6">
        <w:rPr>
          <w:rFonts w:ascii="Times New Roman" w:hAnsi="Times New Roman" w:cs="Times New Roman"/>
          <w:sz w:val="24"/>
          <w:szCs w:val="24"/>
        </w:rPr>
        <w:t>,</w:t>
      </w:r>
      <w:r w:rsidR="008724F5">
        <w:rPr>
          <w:rFonts w:ascii="Times New Roman" w:hAnsi="Times New Roman" w:cs="Times New Roman"/>
          <w:sz w:val="24"/>
          <w:szCs w:val="24"/>
        </w:rPr>
        <w:t xml:space="preserve"> sites subject to different HOA Association</w:t>
      </w:r>
      <w:r w:rsidR="00E305E6">
        <w:rPr>
          <w:rFonts w:ascii="Times New Roman" w:hAnsi="Times New Roman" w:cs="Times New Roman"/>
          <w:sz w:val="24"/>
          <w:szCs w:val="24"/>
        </w:rPr>
        <w:t>s</w:t>
      </w:r>
      <w:r w:rsidR="008724F5">
        <w:rPr>
          <w:rFonts w:ascii="Times New Roman" w:hAnsi="Times New Roman" w:cs="Times New Roman"/>
          <w:sz w:val="24"/>
          <w:szCs w:val="24"/>
        </w:rPr>
        <w:t xml:space="preserve"> are not acceptable.</w:t>
      </w:r>
    </w:p>
    <w:p w:rsidR="0032480A" w:rsidP="0032480A" w:rsidRDefault="0032480A" w14:paraId="6C26B5BD" w14:textId="77777777">
      <w:pPr>
        <w:spacing w:after="200" w:line="276" w:lineRule="auto"/>
        <w:ind w:left="720"/>
        <w:contextualSpacing/>
        <w:jc w:val="both"/>
        <w:rPr>
          <w:rFonts w:ascii="Times New Roman" w:hAnsi="Times New Roman" w:cs="Times New Roman"/>
          <w:sz w:val="24"/>
          <w:szCs w:val="24"/>
        </w:rPr>
      </w:pPr>
    </w:p>
    <w:p w:rsidRPr="006746E8" w:rsidR="00C03C5B" w:rsidP="006746E8" w:rsidRDefault="00051CD2" w14:paraId="211F38F3" w14:textId="735EA47F">
      <w:pPr>
        <w:spacing w:after="200" w:line="276" w:lineRule="auto"/>
        <w:ind w:left="720"/>
        <w:contextualSpacing/>
        <w:jc w:val="both"/>
        <w:rPr>
          <w:rFonts w:ascii="Times New Roman" w:hAnsi="Times New Roman" w:cs="Times New Roman"/>
          <w:sz w:val="24"/>
          <w:szCs w:val="24"/>
        </w:rPr>
      </w:pPr>
      <w:r w:rsidRPr="006746E8">
        <w:rPr>
          <w:rFonts w:ascii="Times New Roman" w:hAnsi="Times New Roman" w:cs="Times New Roman"/>
          <w:sz w:val="24"/>
          <w:szCs w:val="24"/>
        </w:rPr>
        <w:t xml:space="preserve">HUD has </w:t>
      </w:r>
      <w:r w:rsidRPr="006746E8" w:rsidR="00C670C8">
        <w:rPr>
          <w:rFonts w:ascii="Times New Roman" w:hAnsi="Times New Roman" w:cs="Times New Roman"/>
          <w:sz w:val="24"/>
          <w:szCs w:val="24"/>
        </w:rPr>
        <w:t xml:space="preserve">and will continue to </w:t>
      </w:r>
      <w:r w:rsidRPr="006746E8">
        <w:rPr>
          <w:rFonts w:ascii="Times New Roman" w:hAnsi="Times New Roman" w:cs="Times New Roman"/>
          <w:sz w:val="24"/>
          <w:szCs w:val="24"/>
        </w:rPr>
        <w:t xml:space="preserve">provide greater flexibility to RAD and affordable transactions </w:t>
      </w:r>
      <w:r w:rsidRPr="006746E8" w:rsidR="00C670C8">
        <w:rPr>
          <w:rFonts w:ascii="Times New Roman" w:hAnsi="Times New Roman" w:cs="Times New Roman"/>
          <w:sz w:val="24"/>
          <w:szCs w:val="24"/>
        </w:rPr>
        <w:t xml:space="preserve">(as well as </w:t>
      </w:r>
      <w:r w:rsidRPr="006746E8" w:rsidR="003975BF">
        <w:rPr>
          <w:rFonts w:ascii="Times New Roman" w:hAnsi="Times New Roman" w:cs="Times New Roman"/>
          <w:sz w:val="24"/>
          <w:szCs w:val="24"/>
        </w:rPr>
        <w:t>refinanc</w:t>
      </w:r>
      <w:r w:rsidRPr="006746E8" w:rsidR="008162C2">
        <w:rPr>
          <w:rFonts w:ascii="Times New Roman" w:hAnsi="Times New Roman" w:cs="Times New Roman"/>
          <w:sz w:val="24"/>
          <w:szCs w:val="24"/>
        </w:rPr>
        <w:t>ing</w:t>
      </w:r>
      <w:r w:rsidRPr="006746E8" w:rsidR="003975BF">
        <w:rPr>
          <w:rFonts w:ascii="Times New Roman" w:hAnsi="Times New Roman" w:cs="Times New Roman"/>
          <w:sz w:val="24"/>
          <w:szCs w:val="24"/>
        </w:rPr>
        <w:t xml:space="preserve"> </w:t>
      </w:r>
      <w:r w:rsidRPr="006746E8" w:rsidR="00C670C8">
        <w:rPr>
          <w:rFonts w:ascii="Times New Roman" w:hAnsi="Times New Roman" w:cs="Times New Roman"/>
          <w:sz w:val="24"/>
          <w:szCs w:val="24"/>
        </w:rPr>
        <w:t>Section 202</w:t>
      </w:r>
      <w:r w:rsidRPr="006746E8" w:rsidR="003975BF">
        <w:rPr>
          <w:rFonts w:ascii="Times New Roman" w:hAnsi="Times New Roman" w:cs="Times New Roman"/>
          <w:sz w:val="24"/>
          <w:szCs w:val="24"/>
        </w:rPr>
        <w:t xml:space="preserve"> PRAC</w:t>
      </w:r>
      <w:r w:rsidRPr="006746E8" w:rsidR="00C670C8">
        <w:rPr>
          <w:rFonts w:ascii="Times New Roman" w:hAnsi="Times New Roman" w:cs="Times New Roman"/>
          <w:sz w:val="24"/>
          <w:szCs w:val="24"/>
        </w:rPr>
        <w:t xml:space="preserve"> projects</w:t>
      </w:r>
      <w:r w:rsidRPr="006746E8" w:rsidR="003975BF">
        <w:rPr>
          <w:rFonts w:ascii="Times New Roman" w:hAnsi="Times New Roman" w:cs="Times New Roman"/>
          <w:sz w:val="24"/>
          <w:szCs w:val="24"/>
        </w:rPr>
        <w:t xml:space="preserve">) </w:t>
      </w:r>
      <w:r w:rsidRPr="006746E8" w:rsidR="008B420B">
        <w:rPr>
          <w:rFonts w:ascii="Times New Roman" w:hAnsi="Times New Roman" w:cs="Times New Roman"/>
          <w:sz w:val="24"/>
          <w:szCs w:val="24"/>
        </w:rPr>
        <w:t>with significant outside funding sources</w:t>
      </w:r>
      <w:r w:rsidRPr="006746E8" w:rsidR="00862931">
        <w:rPr>
          <w:rFonts w:ascii="Times New Roman" w:hAnsi="Times New Roman" w:cs="Times New Roman"/>
          <w:sz w:val="24"/>
          <w:szCs w:val="24"/>
        </w:rPr>
        <w:t>. However</w:t>
      </w:r>
      <w:r w:rsidRPr="006746E8" w:rsidR="00F057D5">
        <w:rPr>
          <w:rFonts w:ascii="Times New Roman" w:hAnsi="Times New Roman" w:cs="Times New Roman"/>
          <w:sz w:val="24"/>
          <w:szCs w:val="24"/>
        </w:rPr>
        <w:t>, the factors outlined above should be</w:t>
      </w:r>
      <w:r w:rsidRPr="006746E8" w:rsidR="00F621CD">
        <w:rPr>
          <w:rFonts w:ascii="Times New Roman" w:hAnsi="Times New Roman" w:cs="Times New Roman"/>
          <w:sz w:val="24"/>
          <w:szCs w:val="24"/>
        </w:rPr>
        <w:t xml:space="preserve"> carefully considered in any transaction involving scattered sites.  </w:t>
      </w:r>
    </w:p>
    <w:p w:rsidRPr="00FA0F71" w:rsidR="006E573A" w:rsidP="006E573A" w:rsidRDefault="006E573A" w14:paraId="5B85547E" w14:textId="77777777">
      <w:pPr>
        <w:spacing w:line="276" w:lineRule="auto"/>
        <w:jc w:val="both"/>
        <w:rPr>
          <w:rFonts w:ascii="Times New Roman" w:hAnsi="Times New Roman" w:cs="Times New Roman"/>
          <w:b/>
          <w:sz w:val="24"/>
          <w:szCs w:val="24"/>
        </w:rPr>
      </w:pPr>
    </w:p>
    <w:p w:rsidRPr="00FA0F71" w:rsidR="006E573A" w:rsidP="006E573A" w:rsidRDefault="00AD1106" w14:paraId="5B85547F" w14:textId="2B2CEC07">
      <w:pPr>
        <w:spacing w:line="276" w:lineRule="auto"/>
        <w:ind w:left="360" w:hanging="540"/>
        <w:jc w:val="both"/>
        <w:rPr>
          <w:rFonts w:ascii="Times New Roman" w:hAnsi="Times New Roman" w:cs="Times New Roman"/>
          <w:sz w:val="24"/>
          <w:szCs w:val="24"/>
        </w:rPr>
      </w:pPr>
      <w:r>
        <w:rPr>
          <w:rFonts w:ascii="Times New Roman" w:hAnsi="Times New Roman" w:cs="Times New Roman"/>
          <w:sz w:val="24"/>
          <w:szCs w:val="24"/>
        </w:rPr>
        <w:t>EE</w:t>
      </w:r>
      <w:r w:rsidRPr="00FA0F71" w:rsidR="006E573A">
        <w:rPr>
          <w:rFonts w:ascii="Times New Roman" w:hAnsi="Times New Roman" w:cs="Times New Roman"/>
          <w:sz w:val="24"/>
          <w:szCs w:val="24"/>
        </w:rPr>
        <w:t>.</w:t>
      </w:r>
      <w:r w:rsidRPr="00FA0F71" w:rsidR="006E573A">
        <w:rPr>
          <w:rFonts w:ascii="Times New Roman" w:hAnsi="Times New Roman" w:cs="Times New Roman"/>
          <w:b/>
          <w:sz w:val="24"/>
          <w:szCs w:val="24"/>
        </w:rPr>
        <w:t xml:space="preserve"> </w:t>
      </w:r>
      <w:r w:rsidR="00BB3FB5">
        <w:rPr>
          <w:rFonts w:ascii="Times New Roman" w:hAnsi="Times New Roman" w:cs="Times New Roman"/>
          <w:b/>
          <w:sz w:val="24"/>
          <w:szCs w:val="24"/>
        </w:rPr>
        <w:tab/>
      </w:r>
      <w:r w:rsidRPr="00FA0F71" w:rsidR="006E573A">
        <w:rPr>
          <w:rFonts w:ascii="Times New Roman" w:hAnsi="Times New Roman" w:cs="Times New Roman"/>
          <w:b/>
          <w:sz w:val="24"/>
          <w:szCs w:val="24"/>
        </w:rPr>
        <w:t>Condominiums</w:t>
      </w:r>
      <w:r w:rsidRPr="00FA0F71" w:rsidR="006E573A">
        <w:rPr>
          <w:rFonts w:ascii="Times New Roman" w:hAnsi="Times New Roman" w:cs="Times New Roman"/>
          <w:sz w:val="24"/>
          <w:szCs w:val="24"/>
        </w:rPr>
        <w:t xml:space="preserve">.  A project built and platted as condominiums, but now operating as a rental project, may be refinanced under Section 223(f) if the condominium regime is held by a single owner with no individual unit ownership and the property meets other program guidelines, including the minimum occupancy standards.  </w:t>
      </w:r>
    </w:p>
    <w:p w:rsidRPr="00FA0F71" w:rsidR="006E573A" w:rsidP="006E573A" w:rsidRDefault="006E573A" w14:paraId="5B855480" w14:textId="77777777">
      <w:pPr>
        <w:spacing w:line="276" w:lineRule="auto"/>
        <w:jc w:val="both"/>
        <w:rPr>
          <w:rFonts w:ascii="Times New Roman" w:hAnsi="Times New Roman" w:cs="Times New Roman"/>
          <w:sz w:val="24"/>
          <w:szCs w:val="24"/>
        </w:rPr>
      </w:pPr>
    </w:p>
    <w:p w:rsidRPr="00FA0F71" w:rsidR="006E573A" w:rsidP="006E573A" w:rsidRDefault="006E573A" w14:paraId="5B855481" w14:textId="3985CE79">
      <w:pPr>
        <w:spacing w:line="276" w:lineRule="auto"/>
        <w:ind w:left="360"/>
        <w:jc w:val="both"/>
        <w:rPr>
          <w:rFonts w:ascii="Times New Roman" w:hAnsi="Times New Roman" w:cs="Times New Roman"/>
          <w:color w:val="000000" w:themeColor="text1"/>
          <w:sz w:val="24"/>
          <w:szCs w:val="24"/>
        </w:rPr>
      </w:pPr>
      <w:r w:rsidRPr="00FA0F71">
        <w:rPr>
          <w:rFonts w:ascii="Times New Roman" w:hAnsi="Times New Roman" w:cs="Times New Roman"/>
          <w:color w:val="000000" w:themeColor="text1"/>
          <w:sz w:val="24"/>
          <w:szCs w:val="24"/>
        </w:rPr>
        <w:t xml:space="preserve">Condominium ownership regimes may be recorded if the property is otherwise operated as a rental project with a single ownership entity owning all the apartments. Separate condominium units may be established for commercial use and for housing use which must include all the residential apartments.  The insured loan must be secured by a mortgage on the rental apartments and mortgageable commercial space.  Joint use and maintenance agreements and easements between the insured portion and any separately demised condominium portion must be defined, and all condominium fees </w:t>
      </w:r>
      <w:r w:rsidR="007E7C67">
        <w:rPr>
          <w:rFonts w:ascii="Times New Roman" w:hAnsi="Times New Roman" w:cs="Times New Roman"/>
          <w:color w:val="000000" w:themeColor="text1"/>
          <w:sz w:val="24"/>
          <w:szCs w:val="24"/>
        </w:rPr>
        <w:t xml:space="preserve">and expenses </w:t>
      </w:r>
      <w:r w:rsidRPr="00FA0F71">
        <w:rPr>
          <w:rFonts w:ascii="Times New Roman" w:hAnsi="Times New Roman" w:cs="Times New Roman"/>
          <w:color w:val="000000" w:themeColor="text1"/>
          <w:sz w:val="24"/>
          <w:szCs w:val="24"/>
        </w:rPr>
        <w:t>must be equitably allocated.</w:t>
      </w:r>
    </w:p>
    <w:p w:rsidRPr="00FA0F71" w:rsidR="006E573A" w:rsidP="006E573A" w:rsidRDefault="006E573A" w14:paraId="5B855482" w14:textId="77777777">
      <w:pPr>
        <w:spacing w:line="276" w:lineRule="auto"/>
        <w:jc w:val="both"/>
        <w:rPr>
          <w:rFonts w:ascii="Times New Roman" w:hAnsi="Times New Roman" w:cs="Times New Roman"/>
          <w:color w:val="000000" w:themeColor="text1"/>
          <w:sz w:val="24"/>
          <w:szCs w:val="24"/>
        </w:rPr>
      </w:pPr>
    </w:p>
    <w:p w:rsidRPr="00FA0F71" w:rsidR="006E573A" w:rsidP="006E573A" w:rsidRDefault="006E573A" w14:paraId="5B855483" w14:textId="77777777">
      <w:pPr>
        <w:spacing w:line="276" w:lineRule="auto"/>
        <w:ind w:left="360"/>
        <w:jc w:val="both"/>
        <w:rPr>
          <w:rFonts w:ascii="Times New Roman" w:hAnsi="Times New Roman" w:cs="Times New Roman"/>
          <w:color w:val="000000" w:themeColor="text1"/>
          <w:sz w:val="24"/>
          <w:szCs w:val="24"/>
        </w:rPr>
      </w:pPr>
      <w:r w:rsidRPr="00FA0F71">
        <w:rPr>
          <w:rFonts w:ascii="Times New Roman" w:hAnsi="Times New Roman" w:cs="Times New Roman"/>
          <w:color w:val="000000" w:themeColor="text1"/>
          <w:sz w:val="24"/>
          <w:szCs w:val="24"/>
        </w:rPr>
        <w:t>The Regional Center or Satellite Office Director may consider a waiver for a condominium building with a limited number of individually owned units (i.e., 10% or less of total units) if all such units are located in a separate building or in a separate section of a single building apart from the rental units.  HUD will not consider a waiver if any ownership units are interspersed with the rental units.</w:t>
      </w:r>
    </w:p>
    <w:p w:rsidRPr="00FA0F71" w:rsidR="006E573A" w:rsidP="006E573A" w:rsidRDefault="006E573A" w14:paraId="5B855484" w14:textId="77777777">
      <w:pPr>
        <w:spacing w:line="276" w:lineRule="auto"/>
        <w:jc w:val="both"/>
        <w:rPr>
          <w:rFonts w:ascii="Times New Roman" w:hAnsi="Times New Roman" w:cs="Times New Roman"/>
          <w:color w:val="000000" w:themeColor="text1"/>
          <w:sz w:val="24"/>
          <w:szCs w:val="24"/>
        </w:rPr>
      </w:pPr>
    </w:p>
    <w:p w:rsidRPr="00FA0F71" w:rsidR="006E573A" w:rsidP="006E573A" w:rsidRDefault="00AD1106" w14:paraId="5B855485" w14:textId="4DFD73DC">
      <w:pPr>
        <w:spacing w:line="276" w:lineRule="auto"/>
        <w:ind w:left="36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FF</w:t>
      </w:r>
      <w:r w:rsidRPr="00FA0F71" w:rsidR="006E573A">
        <w:rPr>
          <w:rFonts w:ascii="Times New Roman" w:hAnsi="Times New Roman" w:cs="Times New Roman"/>
          <w:color w:val="000000" w:themeColor="text1"/>
          <w:sz w:val="24"/>
          <w:szCs w:val="24"/>
        </w:rPr>
        <w:t>.</w:t>
      </w:r>
      <w:r w:rsidRPr="00FA0F71" w:rsidR="006E573A">
        <w:rPr>
          <w:rFonts w:ascii="Times New Roman" w:hAnsi="Times New Roman" w:cs="Times New Roman"/>
          <w:b/>
          <w:color w:val="000000" w:themeColor="text1"/>
          <w:sz w:val="24"/>
          <w:szCs w:val="24"/>
        </w:rPr>
        <w:t xml:space="preserve">  Environmental Review.</w:t>
      </w:r>
      <w:r w:rsidRPr="00FA0F71" w:rsidR="006E573A">
        <w:rPr>
          <w:rFonts w:ascii="Times New Roman" w:hAnsi="Times New Roman" w:cs="Times New Roman"/>
          <w:color w:val="000000" w:themeColor="text1"/>
          <w:sz w:val="24"/>
          <w:szCs w:val="24"/>
        </w:rPr>
        <w:t xml:space="preserve">  HUD has responsibilities to comply with </w:t>
      </w:r>
      <w:r w:rsidR="00765F5E">
        <w:rPr>
          <w:rFonts w:ascii="Times New Roman" w:hAnsi="Times New Roman" w:cs="Times New Roman"/>
          <w:color w:val="000000" w:themeColor="text1"/>
          <w:sz w:val="24"/>
          <w:szCs w:val="24"/>
        </w:rPr>
        <w:t>HUD’s</w:t>
      </w:r>
      <w:r w:rsidRPr="00FA0F71" w:rsidR="00765F5E">
        <w:rPr>
          <w:rFonts w:ascii="Times New Roman" w:hAnsi="Times New Roman" w:cs="Times New Roman"/>
          <w:color w:val="000000" w:themeColor="text1"/>
          <w:sz w:val="24"/>
          <w:szCs w:val="24"/>
        </w:rPr>
        <w:t xml:space="preserve"> </w:t>
      </w:r>
      <w:r w:rsidRPr="00FA0F71" w:rsidR="006801F6">
        <w:rPr>
          <w:rFonts w:ascii="Times New Roman" w:hAnsi="Times New Roman" w:cs="Times New Roman"/>
          <w:color w:val="000000" w:themeColor="text1"/>
          <w:sz w:val="24"/>
          <w:szCs w:val="24"/>
        </w:rPr>
        <w:t xml:space="preserve">environmental </w:t>
      </w:r>
      <w:r w:rsidR="006801F6">
        <w:rPr>
          <w:rFonts w:ascii="Times New Roman" w:hAnsi="Times New Roman" w:cs="Times New Roman"/>
          <w:color w:val="000000" w:themeColor="text1"/>
          <w:sz w:val="24"/>
          <w:szCs w:val="24"/>
        </w:rPr>
        <w:t>requirements</w:t>
      </w:r>
      <w:r w:rsidR="00765F5E">
        <w:rPr>
          <w:rFonts w:ascii="Times New Roman" w:hAnsi="Times New Roman" w:cs="Times New Roman"/>
          <w:color w:val="000000" w:themeColor="text1"/>
          <w:sz w:val="24"/>
          <w:szCs w:val="24"/>
        </w:rPr>
        <w:t xml:space="preserve"> described in MAP Guide Chapter 9</w:t>
      </w:r>
      <w:r w:rsidRPr="00FA0F71" w:rsidR="006E573A">
        <w:rPr>
          <w:rFonts w:ascii="Times New Roman" w:hAnsi="Times New Roman" w:cs="Times New Roman"/>
          <w:color w:val="000000" w:themeColor="text1"/>
          <w:sz w:val="24"/>
          <w:szCs w:val="24"/>
        </w:rPr>
        <w:t>.</w:t>
      </w:r>
      <w:r w:rsidR="008700D8">
        <w:rPr>
          <w:rFonts w:ascii="Times New Roman" w:hAnsi="Times New Roman" w:cs="Times New Roman"/>
          <w:color w:val="000000" w:themeColor="text1"/>
          <w:sz w:val="24"/>
          <w:szCs w:val="24"/>
        </w:rPr>
        <w:t xml:space="preserve">  </w:t>
      </w:r>
      <w:r w:rsidR="001D11D4">
        <w:rPr>
          <w:rFonts w:ascii="Times New Roman" w:hAnsi="Times New Roman" w:cs="Times New Roman"/>
          <w:color w:val="000000" w:themeColor="text1"/>
          <w:sz w:val="24"/>
          <w:szCs w:val="24"/>
        </w:rPr>
        <w:t>Thes</w:t>
      </w:r>
      <w:r w:rsidR="00770C30">
        <w:rPr>
          <w:rFonts w:ascii="Times New Roman" w:hAnsi="Times New Roman" w:cs="Times New Roman"/>
          <w:color w:val="000000" w:themeColor="text1"/>
          <w:sz w:val="24"/>
          <w:szCs w:val="24"/>
        </w:rPr>
        <w:t xml:space="preserve">e include regulatory requirements </w:t>
      </w:r>
      <w:r w:rsidR="00796B06">
        <w:rPr>
          <w:rFonts w:ascii="Times New Roman" w:hAnsi="Times New Roman" w:cs="Times New Roman"/>
          <w:color w:val="000000" w:themeColor="text1"/>
          <w:sz w:val="24"/>
          <w:szCs w:val="24"/>
        </w:rPr>
        <w:t>in 24 CFR Parts 50, 51,</w:t>
      </w:r>
      <w:r w:rsidR="00C87C94">
        <w:rPr>
          <w:rFonts w:ascii="Times New Roman" w:hAnsi="Times New Roman" w:cs="Times New Roman"/>
          <w:color w:val="000000" w:themeColor="text1"/>
          <w:sz w:val="24"/>
          <w:szCs w:val="24"/>
        </w:rPr>
        <w:t xml:space="preserve"> </w:t>
      </w:r>
      <w:r w:rsidR="00796B06">
        <w:rPr>
          <w:rFonts w:ascii="Times New Roman" w:hAnsi="Times New Roman" w:cs="Times New Roman"/>
          <w:color w:val="000000" w:themeColor="text1"/>
          <w:sz w:val="24"/>
          <w:szCs w:val="24"/>
        </w:rPr>
        <w:t>55 and 35</w:t>
      </w:r>
      <w:r w:rsidR="0097661F">
        <w:rPr>
          <w:rFonts w:ascii="Times New Roman" w:hAnsi="Times New Roman" w:cs="Times New Roman"/>
          <w:color w:val="000000" w:themeColor="text1"/>
          <w:sz w:val="24"/>
          <w:szCs w:val="24"/>
        </w:rPr>
        <w:t xml:space="preserve">, and program </w:t>
      </w:r>
      <w:r w:rsidR="00BD2868">
        <w:rPr>
          <w:rFonts w:ascii="Times New Roman" w:hAnsi="Times New Roman" w:cs="Times New Roman"/>
          <w:color w:val="000000" w:themeColor="text1"/>
          <w:sz w:val="24"/>
          <w:szCs w:val="24"/>
        </w:rPr>
        <w:t xml:space="preserve">requirements.  </w:t>
      </w:r>
      <w:r w:rsidR="00B015E5">
        <w:rPr>
          <w:rFonts w:ascii="Times New Roman" w:hAnsi="Times New Roman" w:cs="Times New Roman"/>
          <w:color w:val="000000" w:themeColor="text1"/>
          <w:sz w:val="24"/>
          <w:szCs w:val="24"/>
        </w:rPr>
        <w:t>Potential issues are to be identified</w:t>
      </w:r>
      <w:r w:rsidR="00EB5EEE">
        <w:rPr>
          <w:rFonts w:ascii="Times New Roman" w:hAnsi="Times New Roman" w:cs="Times New Roman"/>
          <w:color w:val="000000" w:themeColor="text1"/>
          <w:sz w:val="24"/>
          <w:szCs w:val="24"/>
        </w:rPr>
        <w:t xml:space="preserve"> at time of concept meeting </w:t>
      </w:r>
      <w:r w:rsidR="00765F5E">
        <w:rPr>
          <w:rFonts w:ascii="Times New Roman" w:hAnsi="Times New Roman" w:cs="Times New Roman"/>
          <w:color w:val="000000" w:themeColor="text1"/>
          <w:sz w:val="24"/>
          <w:szCs w:val="24"/>
        </w:rPr>
        <w:t xml:space="preserve">and in the lender’s narrative </w:t>
      </w:r>
      <w:r w:rsidR="00EB5EEE">
        <w:rPr>
          <w:rFonts w:ascii="Times New Roman" w:hAnsi="Times New Roman" w:cs="Times New Roman"/>
          <w:color w:val="000000" w:themeColor="text1"/>
          <w:sz w:val="24"/>
          <w:szCs w:val="24"/>
        </w:rPr>
        <w:t>or preapplication stage</w:t>
      </w:r>
      <w:r w:rsidR="00765F5E">
        <w:rPr>
          <w:rFonts w:ascii="Times New Roman" w:hAnsi="Times New Roman" w:cs="Times New Roman"/>
          <w:color w:val="000000" w:themeColor="text1"/>
          <w:sz w:val="24"/>
          <w:szCs w:val="24"/>
        </w:rPr>
        <w:t xml:space="preserve"> (or application if straight to Firm</w:t>
      </w:r>
      <w:r w:rsidR="00EB5EEE">
        <w:rPr>
          <w:rFonts w:ascii="Times New Roman" w:hAnsi="Times New Roman" w:cs="Times New Roman"/>
          <w:color w:val="000000" w:themeColor="text1"/>
          <w:sz w:val="24"/>
          <w:szCs w:val="24"/>
        </w:rPr>
        <w:t>.</w:t>
      </w:r>
      <w:r w:rsidR="00765F5E">
        <w:rPr>
          <w:rFonts w:ascii="Times New Roman" w:hAnsi="Times New Roman" w:cs="Times New Roman"/>
          <w:color w:val="000000" w:themeColor="text1"/>
          <w:sz w:val="24"/>
          <w:szCs w:val="24"/>
        </w:rPr>
        <w:t>)</w:t>
      </w:r>
      <w:r w:rsidR="00EB5EEE">
        <w:rPr>
          <w:rFonts w:ascii="Times New Roman" w:hAnsi="Times New Roman" w:cs="Times New Roman"/>
          <w:color w:val="000000" w:themeColor="text1"/>
          <w:sz w:val="24"/>
          <w:szCs w:val="24"/>
        </w:rPr>
        <w:t xml:space="preserve">  </w:t>
      </w:r>
      <w:r w:rsidR="006801F6">
        <w:rPr>
          <w:rFonts w:ascii="Times New Roman" w:hAnsi="Times New Roman" w:cs="Times New Roman"/>
          <w:color w:val="000000" w:themeColor="text1"/>
          <w:sz w:val="24"/>
          <w:szCs w:val="24"/>
        </w:rPr>
        <w:t>Lenders must</w:t>
      </w:r>
      <w:r w:rsidR="00A543B4">
        <w:rPr>
          <w:rFonts w:ascii="Times New Roman" w:hAnsi="Times New Roman" w:cs="Times New Roman"/>
          <w:color w:val="000000" w:themeColor="text1"/>
          <w:sz w:val="24"/>
          <w:szCs w:val="24"/>
        </w:rPr>
        <w:t xml:space="preserve"> submit an </w:t>
      </w:r>
      <w:r w:rsidR="00485DF4">
        <w:rPr>
          <w:rFonts w:ascii="Times New Roman" w:hAnsi="Times New Roman" w:cs="Times New Roman"/>
          <w:color w:val="000000" w:themeColor="text1"/>
          <w:sz w:val="24"/>
          <w:szCs w:val="24"/>
        </w:rPr>
        <w:t xml:space="preserve">environmental </w:t>
      </w:r>
      <w:r w:rsidR="00A543B4">
        <w:rPr>
          <w:rFonts w:ascii="Times New Roman" w:hAnsi="Times New Roman" w:cs="Times New Roman"/>
          <w:color w:val="000000" w:themeColor="text1"/>
          <w:sz w:val="24"/>
          <w:szCs w:val="24"/>
        </w:rPr>
        <w:t xml:space="preserve">report to HUD </w:t>
      </w:r>
      <w:r w:rsidR="005C48E2">
        <w:rPr>
          <w:rFonts w:ascii="Times New Roman" w:hAnsi="Times New Roman" w:cs="Times New Roman"/>
          <w:color w:val="000000" w:themeColor="text1"/>
          <w:sz w:val="24"/>
          <w:szCs w:val="24"/>
        </w:rPr>
        <w:t xml:space="preserve">using the </w:t>
      </w:r>
      <w:r w:rsidR="00765F5E">
        <w:rPr>
          <w:rFonts w:ascii="Times New Roman" w:hAnsi="Times New Roman" w:cs="Times New Roman"/>
          <w:color w:val="000000" w:themeColor="text1"/>
          <w:sz w:val="24"/>
          <w:szCs w:val="24"/>
        </w:rPr>
        <w:t>HUD Environmental Review Online System (HEROS)</w:t>
      </w:r>
      <w:r w:rsidR="005C48E2">
        <w:rPr>
          <w:rFonts w:ascii="Times New Roman" w:hAnsi="Times New Roman" w:cs="Times New Roman"/>
          <w:color w:val="000000" w:themeColor="text1"/>
          <w:sz w:val="24"/>
          <w:szCs w:val="24"/>
        </w:rPr>
        <w:t xml:space="preserve"> </w:t>
      </w:r>
      <w:r w:rsidR="00485DF4">
        <w:rPr>
          <w:rFonts w:ascii="Times New Roman" w:hAnsi="Times New Roman" w:cs="Times New Roman"/>
          <w:color w:val="000000" w:themeColor="text1"/>
          <w:sz w:val="24"/>
          <w:szCs w:val="24"/>
        </w:rPr>
        <w:t>system</w:t>
      </w:r>
      <w:r w:rsidR="00942ADC">
        <w:rPr>
          <w:rFonts w:ascii="Times New Roman" w:hAnsi="Times New Roman" w:cs="Times New Roman"/>
          <w:color w:val="000000" w:themeColor="text1"/>
          <w:sz w:val="24"/>
          <w:szCs w:val="24"/>
        </w:rPr>
        <w:t xml:space="preserve"> for all projects submitted under </w:t>
      </w:r>
      <w:r w:rsidR="002215BE">
        <w:rPr>
          <w:rFonts w:ascii="Times New Roman" w:hAnsi="Times New Roman" w:cs="Times New Roman"/>
          <w:color w:val="000000" w:themeColor="text1"/>
          <w:sz w:val="24"/>
          <w:szCs w:val="24"/>
        </w:rPr>
        <w:t>MAP and</w:t>
      </w:r>
      <w:r w:rsidR="00323D32">
        <w:rPr>
          <w:rFonts w:ascii="Times New Roman" w:hAnsi="Times New Roman" w:cs="Times New Roman"/>
          <w:color w:val="000000" w:themeColor="text1"/>
          <w:sz w:val="24"/>
          <w:szCs w:val="24"/>
        </w:rPr>
        <w:t xml:space="preserve"> TAP</w:t>
      </w:r>
      <w:r w:rsidR="00485DF4">
        <w:rPr>
          <w:rFonts w:ascii="Times New Roman" w:hAnsi="Times New Roman" w:cs="Times New Roman"/>
          <w:color w:val="000000" w:themeColor="text1"/>
          <w:sz w:val="24"/>
          <w:szCs w:val="24"/>
        </w:rPr>
        <w:t xml:space="preserve">.  </w:t>
      </w:r>
      <w:r w:rsidRPr="00FA0F71" w:rsidR="006E573A">
        <w:rPr>
          <w:rFonts w:ascii="Times New Roman" w:hAnsi="Times New Roman" w:cs="Times New Roman"/>
          <w:color w:val="000000" w:themeColor="text1"/>
          <w:sz w:val="24"/>
          <w:szCs w:val="24"/>
        </w:rPr>
        <w:t xml:space="preserve"> </w:t>
      </w:r>
      <w:r w:rsidR="00765F5E">
        <w:rPr>
          <w:rFonts w:ascii="Times New Roman" w:hAnsi="Times New Roman" w:cs="Times New Roman"/>
          <w:color w:val="000000" w:themeColor="text1"/>
          <w:sz w:val="24"/>
          <w:szCs w:val="24"/>
        </w:rPr>
        <w:t xml:space="preserve">Chapter 9, Environmental Review, </w:t>
      </w:r>
      <w:r w:rsidR="00D3433A">
        <w:rPr>
          <w:rFonts w:ascii="Times New Roman" w:hAnsi="Times New Roman" w:cs="Times New Roman"/>
          <w:color w:val="000000" w:themeColor="text1"/>
          <w:sz w:val="24"/>
          <w:szCs w:val="24"/>
        </w:rPr>
        <w:t xml:space="preserve">projects </w:t>
      </w:r>
      <w:r w:rsidR="00350B79">
        <w:rPr>
          <w:rFonts w:ascii="Times New Roman" w:hAnsi="Times New Roman" w:cs="Times New Roman"/>
          <w:color w:val="000000" w:themeColor="text1"/>
          <w:sz w:val="24"/>
          <w:szCs w:val="24"/>
        </w:rPr>
        <w:t>must comply with the other regulatory and programmatic requirements desc</w:t>
      </w:r>
      <w:r w:rsidR="002F51F8">
        <w:rPr>
          <w:rFonts w:ascii="Times New Roman" w:hAnsi="Times New Roman" w:cs="Times New Roman"/>
          <w:color w:val="000000" w:themeColor="text1"/>
          <w:sz w:val="24"/>
          <w:szCs w:val="24"/>
        </w:rPr>
        <w:t xml:space="preserve">ribed in MAP Guide Chapter 9, </w:t>
      </w:r>
      <w:r w:rsidR="00515565">
        <w:rPr>
          <w:rFonts w:ascii="Times New Roman" w:hAnsi="Times New Roman" w:cs="Times New Roman"/>
          <w:color w:val="000000" w:themeColor="text1"/>
          <w:sz w:val="24"/>
          <w:szCs w:val="24"/>
        </w:rPr>
        <w:t>except where exempt</w:t>
      </w:r>
      <w:r w:rsidR="00A92877">
        <w:rPr>
          <w:rFonts w:ascii="Times New Roman" w:hAnsi="Times New Roman" w:cs="Times New Roman"/>
          <w:color w:val="000000" w:themeColor="text1"/>
          <w:sz w:val="24"/>
          <w:szCs w:val="24"/>
        </w:rPr>
        <w:t xml:space="preserve">.  Chapter 9 </w:t>
      </w:r>
      <w:r w:rsidR="00765F5E">
        <w:rPr>
          <w:rFonts w:ascii="Times New Roman" w:hAnsi="Times New Roman" w:cs="Times New Roman"/>
          <w:color w:val="000000" w:themeColor="text1"/>
          <w:sz w:val="24"/>
          <w:szCs w:val="24"/>
        </w:rPr>
        <w:t xml:space="preserve">provides </w:t>
      </w:r>
      <w:r w:rsidR="006A033A">
        <w:rPr>
          <w:rFonts w:ascii="Times New Roman" w:hAnsi="Times New Roman" w:cs="Times New Roman"/>
          <w:color w:val="000000" w:themeColor="text1"/>
          <w:sz w:val="24"/>
          <w:szCs w:val="24"/>
        </w:rPr>
        <w:t xml:space="preserve">further </w:t>
      </w:r>
      <w:r w:rsidR="00765F5E">
        <w:rPr>
          <w:rFonts w:ascii="Times New Roman" w:hAnsi="Times New Roman" w:cs="Times New Roman"/>
          <w:color w:val="000000" w:themeColor="text1"/>
          <w:sz w:val="24"/>
          <w:szCs w:val="24"/>
        </w:rPr>
        <w:t>details about submission content and timing requirements.</w:t>
      </w:r>
      <w:r w:rsidR="006B428F">
        <w:rPr>
          <w:rFonts w:ascii="Times New Roman" w:hAnsi="Times New Roman" w:cs="Times New Roman"/>
          <w:color w:val="000000" w:themeColor="text1"/>
          <w:sz w:val="24"/>
          <w:szCs w:val="24"/>
        </w:rPr>
        <w:t xml:space="preserve"> </w:t>
      </w:r>
    </w:p>
    <w:p w:rsidRPr="00FA0F71" w:rsidR="006E573A" w:rsidP="006E573A" w:rsidRDefault="006E573A" w14:paraId="5B855486" w14:textId="77777777">
      <w:pPr>
        <w:spacing w:line="276" w:lineRule="auto"/>
        <w:jc w:val="both"/>
        <w:rPr>
          <w:rFonts w:ascii="Times New Roman" w:hAnsi="Times New Roman" w:cs="Times New Roman"/>
          <w:color w:val="000000" w:themeColor="text1"/>
          <w:sz w:val="24"/>
          <w:szCs w:val="24"/>
        </w:rPr>
      </w:pPr>
    </w:p>
    <w:p w:rsidR="000E0CAC" w:rsidP="006E573A" w:rsidRDefault="00AD1106" w14:paraId="64EAC6E7" w14:textId="0310A195">
      <w:pPr>
        <w:ind w:left="360" w:hanging="540"/>
        <w:jc w:val="both"/>
        <w:rPr>
          <w:rFonts w:ascii="Times New Roman" w:hAnsi="Times New Roman" w:cs="Times New Roman"/>
          <w:sz w:val="24"/>
          <w:szCs w:val="24"/>
        </w:rPr>
      </w:pPr>
      <w:r>
        <w:rPr>
          <w:rFonts w:ascii="Times New Roman" w:hAnsi="Times New Roman" w:cs="Times New Roman"/>
          <w:color w:val="000000" w:themeColor="text1"/>
          <w:sz w:val="24"/>
          <w:szCs w:val="24"/>
        </w:rPr>
        <w:t>GG</w:t>
      </w:r>
      <w:r w:rsidRPr="00FA0F71" w:rsidR="006E573A">
        <w:rPr>
          <w:rFonts w:ascii="Times New Roman" w:hAnsi="Times New Roman" w:cs="Times New Roman"/>
          <w:color w:val="000000" w:themeColor="text1"/>
          <w:sz w:val="24"/>
          <w:szCs w:val="24"/>
        </w:rPr>
        <w:t>.</w:t>
      </w:r>
      <w:r w:rsidRPr="00FA0F71" w:rsidR="006E573A">
        <w:rPr>
          <w:rFonts w:ascii="Times New Roman" w:hAnsi="Times New Roman" w:cs="Times New Roman"/>
          <w:b/>
          <w:color w:val="000000" w:themeColor="text1"/>
          <w:sz w:val="24"/>
          <w:szCs w:val="24"/>
        </w:rPr>
        <w:t xml:space="preserve">  </w:t>
      </w:r>
      <w:r w:rsidRPr="00FA0F71" w:rsidR="006E573A">
        <w:rPr>
          <w:rFonts w:ascii="Times New Roman" w:hAnsi="Times New Roman" w:cs="Times New Roman"/>
          <w:b/>
          <w:sz w:val="24"/>
          <w:szCs w:val="24"/>
        </w:rPr>
        <w:t xml:space="preserve">Underwritten </w:t>
      </w:r>
      <w:r w:rsidR="009C6BCD">
        <w:rPr>
          <w:rFonts w:ascii="Times New Roman" w:hAnsi="Times New Roman" w:cs="Times New Roman"/>
          <w:b/>
          <w:sz w:val="24"/>
          <w:szCs w:val="24"/>
        </w:rPr>
        <w:t>Vacancy</w:t>
      </w:r>
      <w:r w:rsidR="00323D32">
        <w:rPr>
          <w:rFonts w:ascii="Times New Roman" w:hAnsi="Times New Roman" w:cs="Times New Roman"/>
          <w:b/>
          <w:sz w:val="24"/>
          <w:szCs w:val="24"/>
        </w:rPr>
        <w:t xml:space="preserve"> and Collection </w:t>
      </w:r>
      <w:r w:rsidR="009C6BCD">
        <w:rPr>
          <w:rFonts w:ascii="Times New Roman" w:hAnsi="Times New Roman" w:cs="Times New Roman"/>
          <w:b/>
          <w:sz w:val="24"/>
          <w:szCs w:val="24"/>
        </w:rPr>
        <w:t>Loss</w:t>
      </w:r>
      <w:r w:rsidRPr="00FA0F71" w:rsidR="006E573A">
        <w:rPr>
          <w:rFonts w:ascii="Times New Roman" w:hAnsi="Times New Roman" w:cs="Times New Roman"/>
          <w:sz w:val="24"/>
          <w:szCs w:val="24"/>
        </w:rPr>
        <w:t xml:space="preserve">.  Underwritten vacancy and collection loss rates </w:t>
      </w:r>
      <w:r w:rsidR="00CB14C0">
        <w:rPr>
          <w:rFonts w:ascii="Times New Roman" w:hAnsi="Times New Roman" w:cs="Times New Roman"/>
          <w:sz w:val="24"/>
          <w:szCs w:val="24"/>
        </w:rPr>
        <w:t xml:space="preserve">shall not be less than the minimum levels </w:t>
      </w:r>
      <w:r w:rsidR="006801F6">
        <w:rPr>
          <w:rFonts w:ascii="Times New Roman" w:hAnsi="Times New Roman" w:cs="Times New Roman"/>
          <w:sz w:val="24"/>
          <w:szCs w:val="24"/>
        </w:rPr>
        <w:t xml:space="preserve">shown </w:t>
      </w:r>
      <w:r w:rsidRPr="00FA0F71" w:rsidR="006801F6">
        <w:rPr>
          <w:rFonts w:ascii="Times New Roman" w:hAnsi="Times New Roman" w:cs="Times New Roman"/>
          <w:sz w:val="24"/>
          <w:szCs w:val="24"/>
        </w:rPr>
        <w:t>in</w:t>
      </w:r>
      <w:r w:rsidR="00323D32">
        <w:rPr>
          <w:rFonts w:ascii="Times New Roman" w:hAnsi="Times New Roman" w:cs="Times New Roman"/>
          <w:sz w:val="24"/>
          <w:szCs w:val="24"/>
        </w:rPr>
        <w:t xml:space="preserve"> Appendix 3A</w:t>
      </w:r>
      <w:r w:rsidR="00CB14C0">
        <w:rPr>
          <w:rFonts w:ascii="Times New Roman" w:hAnsi="Times New Roman" w:cs="Times New Roman"/>
          <w:sz w:val="24"/>
          <w:szCs w:val="24"/>
        </w:rPr>
        <w:t xml:space="preserve">.   </w:t>
      </w:r>
      <w:r w:rsidR="00ED2664">
        <w:rPr>
          <w:rFonts w:ascii="Times New Roman" w:hAnsi="Times New Roman" w:cs="Times New Roman"/>
          <w:sz w:val="24"/>
          <w:szCs w:val="24"/>
        </w:rPr>
        <w:t>Higher vacancy and collection loss rates may be determined based on the appraised or actual loss rates at the subject property (see Chapter 7.)</w:t>
      </w:r>
    </w:p>
    <w:p w:rsidRPr="00FA0F71" w:rsidR="006E573A" w:rsidP="006E573A" w:rsidRDefault="006E573A" w14:paraId="5B855487" w14:textId="3EA1524E">
      <w:pPr>
        <w:ind w:left="360" w:hanging="540"/>
        <w:jc w:val="both"/>
        <w:rPr>
          <w:rFonts w:ascii="Times New Roman" w:hAnsi="Times New Roman" w:cs="Times New Roman"/>
          <w:sz w:val="24"/>
          <w:szCs w:val="24"/>
        </w:rPr>
      </w:pPr>
      <w:r w:rsidRPr="00FA0F71">
        <w:rPr>
          <w:rFonts w:ascii="Times New Roman" w:hAnsi="Times New Roman" w:cs="Times New Roman"/>
          <w:sz w:val="24"/>
          <w:szCs w:val="24"/>
        </w:rPr>
        <w:t xml:space="preserve">  </w:t>
      </w:r>
    </w:p>
    <w:p w:rsidRPr="00355C65" w:rsidR="006E573A" w:rsidP="006E573A" w:rsidRDefault="006E573A" w14:paraId="5B855488" w14:textId="77777777">
      <w:pPr>
        <w:rPr>
          <w:rFonts w:ascii="Times New Roman" w:hAnsi="Times New Roman" w:cs="Times New Roman"/>
          <w:sz w:val="24"/>
          <w:szCs w:val="24"/>
        </w:rPr>
      </w:pPr>
    </w:p>
    <w:p w:rsidRPr="00FA0F71" w:rsidR="006E573A" w:rsidP="00A50ACE" w:rsidRDefault="00AD25A3" w14:paraId="5B8554A3" w14:textId="6736F5D0">
      <w:pPr>
        <w:spacing w:after="480" w:line="276" w:lineRule="auto"/>
        <w:ind w:left="360" w:hanging="540"/>
        <w:jc w:val="both"/>
        <w:rPr>
          <w:rFonts w:ascii="Times New Roman" w:hAnsi="Times New Roman" w:cs="Times New Roman"/>
          <w:sz w:val="24"/>
          <w:szCs w:val="24"/>
        </w:rPr>
      </w:pPr>
      <w:r>
        <w:rPr>
          <w:rFonts w:ascii="Times New Roman" w:hAnsi="Times New Roman" w:cs="Times New Roman"/>
          <w:sz w:val="24"/>
          <w:szCs w:val="24"/>
        </w:rPr>
        <w:t>HH.</w:t>
      </w:r>
      <w:r w:rsidRPr="00FA0F71" w:rsidR="006E573A">
        <w:rPr>
          <w:rFonts w:ascii="Times New Roman" w:hAnsi="Times New Roman" w:cs="Times New Roman"/>
          <w:sz w:val="24"/>
          <w:szCs w:val="24"/>
        </w:rPr>
        <w:t xml:space="preserve"> </w:t>
      </w:r>
      <w:r w:rsidRPr="00A01EA2" w:rsidR="00323D32">
        <w:rPr>
          <w:rFonts w:ascii="Times New Roman" w:hAnsi="Times New Roman" w:cs="Times New Roman"/>
          <w:b/>
          <w:bCs/>
          <w:sz w:val="24"/>
          <w:szCs w:val="24"/>
        </w:rPr>
        <w:t>Borrower’s Certifications.</w:t>
      </w:r>
      <w:r w:rsidR="00323D32">
        <w:rPr>
          <w:rFonts w:ascii="Times New Roman" w:hAnsi="Times New Roman" w:cs="Times New Roman"/>
          <w:sz w:val="24"/>
          <w:szCs w:val="24"/>
        </w:rPr>
        <w:t xml:space="preserve">  </w:t>
      </w:r>
      <w:r w:rsidRPr="00FA0F71" w:rsidR="006E573A">
        <w:rPr>
          <w:rFonts w:ascii="Times New Roman" w:hAnsi="Times New Roman" w:cs="Times New Roman"/>
          <w:sz w:val="24"/>
          <w:szCs w:val="24"/>
        </w:rPr>
        <w:t xml:space="preserve">All certifications </w:t>
      </w:r>
      <w:r w:rsidR="00A54CA5">
        <w:rPr>
          <w:rFonts w:ascii="Times New Roman" w:hAnsi="Times New Roman" w:cs="Times New Roman"/>
          <w:sz w:val="24"/>
          <w:szCs w:val="24"/>
        </w:rPr>
        <w:t>executed by the borrower</w:t>
      </w:r>
      <w:r w:rsidR="00DC28B7">
        <w:rPr>
          <w:rFonts w:ascii="Times New Roman" w:hAnsi="Times New Roman" w:cs="Times New Roman"/>
          <w:sz w:val="24"/>
          <w:szCs w:val="24"/>
        </w:rPr>
        <w:t xml:space="preserve">, in addition to certifications </w:t>
      </w:r>
      <w:r w:rsidRPr="00FA0F71" w:rsidR="006E573A">
        <w:rPr>
          <w:rFonts w:ascii="Times New Roman" w:hAnsi="Times New Roman" w:cs="Times New Roman"/>
          <w:sz w:val="24"/>
          <w:szCs w:val="24"/>
        </w:rPr>
        <w:t xml:space="preserve">submitted by the Lender in support of MAP applications should contain the following language: </w:t>
      </w:r>
    </w:p>
    <w:p w:rsidRPr="00FA0F71" w:rsidR="006E573A" w:rsidP="006E573A" w:rsidRDefault="006E573A" w14:paraId="5B8554A4" w14:textId="0CBF61D1">
      <w:pPr>
        <w:ind w:left="907" w:right="907"/>
        <w:jc w:val="both"/>
        <w:rPr>
          <w:rFonts w:ascii="Times New Roman" w:hAnsi="Times New Roman" w:cs="Times New Roman"/>
          <w:sz w:val="24"/>
          <w:szCs w:val="24"/>
        </w:rPr>
      </w:pPr>
      <w:r w:rsidRPr="00FA0F71">
        <w:rPr>
          <w:rFonts w:ascii="Times New Roman" w:hAnsi="Times New Roman" w:cs="Times New Roman"/>
          <w:sz w:val="24"/>
          <w:szCs w:val="24"/>
        </w:rPr>
        <w:t xml:space="preserve">I hereby certify under penalty of perjury that </w:t>
      </w:r>
      <w:r w:rsidRPr="00FA0F71" w:rsidR="00977D02">
        <w:rPr>
          <w:rFonts w:ascii="Times New Roman" w:hAnsi="Times New Roman" w:cs="Times New Roman"/>
          <w:sz w:val="24"/>
          <w:szCs w:val="24"/>
        </w:rPr>
        <w:t>all of</w:t>
      </w:r>
      <w:r w:rsidRPr="00FA0F71">
        <w:rPr>
          <w:rFonts w:ascii="Times New Roman" w:hAnsi="Times New Roman" w:cs="Times New Roman"/>
          <w:sz w:val="24"/>
          <w:szCs w:val="24"/>
        </w:rPr>
        <w:t xml:space="preserve"> the information I have provided on this form and in any accompanying documentation is true and accurate. I acknowledge that if I knowingly have made any false, fictitious, or fraudulent statement, representation, or certification on this form or on any accompanying documents, I may be subject to criminal, civil, and/or administrative sanctions, including fines, penalties, and/or imprisonment under applicable federal law, including but not limited to 12 U.S.C. § 1833a; 18 U.S.C. §§1001, 1006, 1010, 1012, and 1014; 12 U.S.C. §1708 and 1735f-14; and 31 U.S.C. §§3729 and 3802.”</w:t>
      </w:r>
    </w:p>
    <w:p w:rsidRPr="00FA0F71" w:rsidR="006E573A" w:rsidP="006E573A" w:rsidRDefault="006E573A" w14:paraId="5B8554A5" w14:textId="77777777">
      <w:pPr>
        <w:overflowPunct w:val="0"/>
        <w:autoSpaceDE w:val="0"/>
        <w:autoSpaceDN w:val="0"/>
        <w:adjustRightInd w:val="0"/>
        <w:spacing w:before="80" w:after="80"/>
        <w:ind w:left="717" w:hanging="555"/>
        <w:jc w:val="both"/>
        <w:textAlignment w:val="baseline"/>
        <w:rPr>
          <w:rFonts w:ascii="Times New Roman" w:hAnsi="Times New Roman" w:eastAsia="Times New Roman" w:cs="Times New Roman"/>
          <w:b/>
          <w:sz w:val="24"/>
          <w:szCs w:val="24"/>
        </w:rPr>
      </w:pPr>
    </w:p>
    <w:p w:rsidR="006E573A" w:rsidP="00B452D7" w:rsidRDefault="00AD1106" w14:paraId="5B8554A6" w14:textId="428128CB">
      <w:pPr>
        <w:overflowPunct w:val="0"/>
        <w:autoSpaceDE w:val="0"/>
        <w:autoSpaceDN w:val="0"/>
        <w:adjustRightInd w:val="0"/>
        <w:spacing w:before="80" w:after="80"/>
        <w:ind w:left="720" w:hanging="558"/>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FA0F71" w:rsidR="006E573A">
        <w:rPr>
          <w:rFonts w:ascii="Times New Roman" w:hAnsi="Times New Roman" w:eastAsia="Times New Roman" w:cs="Times New Roman"/>
          <w:sz w:val="24"/>
          <w:szCs w:val="24"/>
        </w:rPr>
        <w:t>.</w:t>
      </w:r>
      <w:r w:rsidR="00A50ACE">
        <w:rPr>
          <w:rFonts w:ascii="Times New Roman" w:hAnsi="Times New Roman" w:eastAsia="Times New Roman" w:cs="Times New Roman"/>
          <w:sz w:val="24"/>
          <w:szCs w:val="24"/>
        </w:rPr>
        <w:t xml:space="preserve"> </w:t>
      </w:r>
      <w:r w:rsidRPr="00FA0F71" w:rsidR="006E573A">
        <w:rPr>
          <w:rFonts w:ascii="Times New Roman" w:hAnsi="Times New Roman" w:eastAsia="Times New Roman" w:cs="Times New Roman"/>
          <w:b/>
          <w:sz w:val="24"/>
          <w:szCs w:val="24"/>
        </w:rPr>
        <w:t>Waivers</w:t>
      </w:r>
      <w:r w:rsidRPr="00FA0F71" w:rsidR="006E573A">
        <w:rPr>
          <w:rFonts w:ascii="Times New Roman" w:hAnsi="Times New Roman" w:eastAsia="Times New Roman" w:cs="Times New Roman"/>
          <w:sz w:val="24"/>
          <w:szCs w:val="24"/>
        </w:rPr>
        <w:t>.  There are various references in the MAP Guide to HUD’s waiver authority.  Regulatory Waivers must be approved at the Assistant Secretary level, and certain waivers are reserved to HUD Headquarters.  Regional Center Directors retain waiver authority for other provisions of the MAP Guide.  While HUD may consider waiver requests within delegated authority, they will not be approved except for good cause, and Lenders should not assume approval.</w:t>
      </w:r>
    </w:p>
    <w:p w:rsidR="0071421B" w:rsidP="006E573A" w:rsidRDefault="0071421B" w14:paraId="0F5C17FE" w14:textId="77777777">
      <w:pPr>
        <w:overflowPunct w:val="0"/>
        <w:autoSpaceDE w:val="0"/>
        <w:autoSpaceDN w:val="0"/>
        <w:adjustRightInd w:val="0"/>
        <w:spacing w:before="80" w:after="80"/>
        <w:ind w:left="720" w:hanging="558"/>
        <w:jc w:val="both"/>
        <w:textAlignment w:val="baseline"/>
        <w:rPr>
          <w:rFonts w:ascii="Times New Roman" w:hAnsi="Times New Roman" w:eastAsia="Times New Roman" w:cs="Times New Roman"/>
          <w:sz w:val="24"/>
          <w:szCs w:val="24"/>
        </w:rPr>
      </w:pPr>
    </w:p>
    <w:p w:rsidR="00234801" w:rsidP="00A93275" w:rsidRDefault="00AD1106" w14:paraId="46B88E5C" w14:textId="7DEE5A3C">
      <w:pPr>
        <w:overflowPunct w:val="0"/>
        <w:autoSpaceDE w:val="0"/>
        <w:autoSpaceDN w:val="0"/>
        <w:adjustRightInd w:val="0"/>
        <w:spacing w:before="80" w:after="80"/>
        <w:ind w:left="720" w:hanging="558"/>
        <w:jc w:val="both"/>
        <w:textAlignment w:val="baseline"/>
        <w:rPr>
          <w:rFonts w:ascii="Times New Roman" w:hAnsi="Times New Roman" w:eastAsia="Times New Roman" w:cs="Times New Roman"/>
          <w:sz w:val="24"/>
          <w:szCs w:val="24"/>
        </w:rPr>
      </w:pPr>
      <w:r w:rsidRPr="0023547C">
        <w:rPr>
          <w:rFonts w:ascii="Times New Roman" w:hAnsi="Times New Roman" w:eastAsia="Times New Roman" w:cs="Times New Roman"/>
          <w:sz w:val="24"/>
          <w:szCs w:val="24"/>
        </w:rPr>
        <w:t>JJ</w:t>
      </w:r>
      <w:r w:rsidRPr="00A93275" w:rsidR="00A93275">
        <w:rPr>
          <w:rFonts w:ascii="Times New Roman" w:hAnsi="Times New Roman" w:eastAsia="Times New Roman" w:cs="Times New Roman"/>
          <w:b/>
          <w:sz w:val="24"/>
          <w:szCs w:val="24"/>
        </w:rPr>
        <w:t xml:space="preserve">. </w:t>
      </w:r>
      <w:r w:rsidR="00A93275">
        <w:rPr>
          <w:rFonts w:ascii="Times New Roman" w:hAnsi="Times New Roman" w:eastAsia="Times New Roman" w:cs="Times New Roman"/>
          <w:b/>
          <w:sz w:val="24"/>
          <w:szCs w:val="24"/>
        </w:rPr>
        <w:t xml:space="preserve">  </w:t>
      </w:r>
      <w:r w:rsidRPr="00A93275" w:rsidR="00A93275">
        <w:rPr>
          <w:rFonts w:ascii="Times New Roman" w:hAnsi="Times New Roman" w:eastAsia="Times New Roman" w:cs="Times New Roman"/>
          <w:b/>
          <w:sz w:val="24"/>
          <w:szCs w:val="24"/>
        </w:rPr>
        <w:t xml:space="preserve">Opportunity Zones. </w:t>
      </w:r>
      <w:r w:rsidRPr="00503F93" w:rsidR="00A93275">
        <w:rPr>
          <w:rFonts w:ascii="Times New Roman" w:hAnsi="Times New Roman" w:eastAsia="Times New Roman" w:cs="Times New Roman"/>
          <w:sz w:val="24"/>
          <w:szCs w:val="24"/>
        </w:rPr>
        <w:t>The 2017 Tax Cuts and Jobs Act (P.L. 115–97, Dec 22, 2017) created a</w:t>
      </w:r>
      <w:r w:rsidR="00980D14">
        <w:rPr>
          <w:rFonts w:ascii="Times New Roman" w:hAnsi="Times New Roman" w:eastAsia="Times New Roman" w:cs="Times New Roman"/>
          <w:sz w:val="24"/>
          <w:szCs w:val="24"/>
        </w:rPr>
        <w:t xml:space="preserve">n </w:t>
      </w:r>
      <w:r w:rsidRPr="00B366D1" w:rsidR="00A93275">
        <w:rPr>
          <w:rFonts w:ascii="Times New Roman" w:hAnsi="Times New Roman" w:eastAsia="Times New Roman" w:cs="Times New Roman"/>
          <w:sz w:val="24"/>
          <w:szCs w:val="24"/>
        </w:rPr>
        <w:t xml:space="preserve">investment vehicle known as Qualified Opportunity Funds, which invest capital gains into projects located in Opportunity Zones.  Opportunity Zones are census tracts that are low-income communities as defined in Section 1400Z(c) of the Act. HUD has </w:t>
      </w:r>
      <w:r w:rsidR="00F54E4D">
        <w:rPr>
          <w:rFonts w:ascii="Times New Roman" w:hAnsi="Times New Roman" w:eastAsia="Times New Roman" w:cs="Times New Roman"/>
          <w:sz w:val="24"/>
          <w:szCs w:val="24"/>
        </w:rPr>
        <w:t>re</w:t>
      </w:r>
      <w:r w:rsidRPr="00B366D1" w:rsidR="00F54E4D">
        <w:rPr>
          <w:rFonts w:ascii="Times New Roman" w:hAnsi="Times New Roman" w:eastAsia="Times New Roman" w:cs="Times New Roman"/>
          <w:sz w:val="24"/>
          <w:szCs w:val="24"/>
        </w:rPr>
        <w:t xml:space="preserve">duced </w:t>
      </w:r>
      <w:r w:rsidR="000D6CB2">
        <w:rPr>
          <w:rFonts w:ascii="Times New Roman" w:hAnsi="Times New Roman" w:eastAsia="Times New Roman" w:cs="Times New Roman"/>
          <w:sz w:val="24"/>
          <w:szCs w:val="24"/>
        </w:rPr>
        <w:t>application fees</w:t>
      </w:r>
      <w:r w:rsidRPr="00B366D1" w:rsidR="000D6CB2">
        <w:rPr>
          <w:rFonts w:ascii="Times New Roman" w:hAnsi="Times New Roman" w:eastAsia="Times New Roman" w:cs="Times New Roman"/>
          <w:sz w:val="24"/>
          <w:szCs w:val="24"/>
        </w:rPr>
        <w:t xml:space="preserve"> </w:t>
      </w:r>
      <w:r w:rsidR="00E326AA">
        <w:rPr>
          <w:rFonts w:ascii="Times New Roman" w:hAnsi="Times New Roman" w:eastAsia="Times New Roman" w:cs="Times New Roman"/>
          <w:sz w:val="24"/>
          <w:szCs w:val="24"/>
        </w:rPr>
        <w:t xml:space="preserve">(also known as “exam” fees) </w:t>
      </w:r>
      <w:r w:rsidRPr="00B366D1" w:rsidR="00A93275">
        <w:rPr>
          <w:rFonts w:ascii="Times New Roman" w:hAnsi="Times New Roman" w:eastAsia="Times New Roman" w:cs="Times New Roman"/>
          <w:sz w:val="24"/>
          <w:szCs w:val="24"/>
        </w:rPr>
        <w:t xml:space="preserve">for FHA multifamily mortgage insurance pursuant to the Section 221(d)(4), Section 220, and Section 223(f) for properties located in a qualified opportunity zone. </w:t>
      </w:r>
      <w:r w:rsidR="007F6D38">
        <w:rPr>
          <w:rFonts w:ascii="Times New Roman" w:hAnsi="Times New Roman" w:eastAsia="Times New Roman" w:cs="Times New Roman"/>
          <w:sz w:val="24"/>
          <w:szCs w:val="24"/>
        </w:rPr>
        <w:t xml:space="preserve">Application fees are reduced from </w:t>
      </w:r>
      <w:r w:rsidR="00FC0CB4">
        <w:rPr>
          <w:rFonts w:ascii="Times New Roman" w:hAnsi="Times New Roman" w:eastAsia="Times New Roman" w:cs="Times New Roman"/>
          <w:sz w:val="24"/>
          <w:szCs w:val="24"/>
        </w:rPr>
        <w:t>0</w:t>
      </w:r>
      <w:r w:rsidR="0014717D">
        <w:rPr>
          <w:rFonts w:ascii="Times New Roman" w:hAnsi="Times New Roman" w:eastAsia="Times New Roman" w:cs="Times New Roman"/>
          <w:sz w:val="24"/>
          <w:szCs w:val="24"/>
        </w:rPr>
        <w:t>.3</w:t>
      </w:r>
      <w:r w:rsidR="006571BF">
        <w:rPr>
          <w:rFonts w:ascii="Times New Roman" w:hAnsi="Times New Roman" w:eastAsia="Times New Roman" w:cs="Times New Roman"/>
          <w:sz w:val="24"/>
          <w:szCs w:val="24"/>
        </w:rPr>
        <w:t xml:space="preserve">% of mortgage amount to </w:t>
      </w:r>
      <w:r w:rsidR="00A60E9A">
        <w:rPr>
          <w:rFonts w:ascii="Times New Roman" w:hAnsi="Times New Roman" w:eastAsia="Times New Roman" w:cs="Times New Roman"/>
          <w:sz w:val="24"/>
          <w:szCs w:val="24"/>
        </w:rPr>
        <w:t>0</w:t>
      </w:r>
      <w:r w:rsidR="00AF711B">
        <w:rPr>
          <w:rFonts w:ascii="Times New Roman" w:hAnsi="Times New Roman" w:eastAsia="Times New Roman" w:cs="Times New Roman"/>
          <w:sz w:val="24"/>
          <w:szCs w:val="24"/>
        </w:rPr>
        <w:t>.2</w:t>
      </w:r>
      <w:r w:rsidR="006571BF">
        <w:rPr>
          <w:rFonts w:ascii="Times New Roman" w:hAnsi="Times New Roman" w:eastAsia="Times New Roman" w:cs="Times New Roman"/>
          <w:sz w:val="24"/>
          <w:szCs w:val="24"/>
        </w:rPr>
        <w:t xml:space="preserve">% except for properties which are Broadly Affordable (see </w:t>
      </w:r>
      <w:r w:rsidRPr="000F55C1" w:rsidR="000F55C1">
        <w:rPr>
          <w:rFonts w:ascii="Times New Roman" w:hAnsi="Times New Roman" w:eastAsia="Times New Roman" w:cs="Times New Roman"/>
          <w:sz w:val="24"/>
          <w:szCs w:val="24"/>
        </w:rPr>
        <w:t xml:space="preserve">HUD’s Federal Register </w:t>
      </w:r>
      <w:r w:rsidR="00AA5E64">
        <w:rPr>
          <w:rFonts w:ascii="Times New Roman" w:hAnsi="Times New Roman" w:eastAsia="Times New Roman" w:cs="Times New Roman"/>
          <w:sz w:val="24"/>
          <w:szCs w:val="24"/>
        </w:rPr>
        <w:t xml:space="preserve">Notice </w:t>
      </w:r>
      <w:r w:rsidRPr="000F55C1" w:rsidR="000F55C1">
        <w:rPr>
          <w:rFonts w:ascii="Times New Roman" w:hAnsi="Times New Roman" w:eastAsia="Times New Roman" w:cs="Times New Roman"/>
          <w:sz w:val="24"/>
          <w:szCs w:val="24"/>
        </w:rPr>
        <w:t>dated March 31, 2016, 81 FR 18473</w:t>
      </w:r>
      <w:r w:rsidR="006571BF">
        <w:rPr>
          <w:rFonts w:ascii="Times New Roman" w:hAnsi="Times New Roman" w:eastAsia="Times New Roman" w:cs="Times New Roman"/>
          <w:sz w:val="24"/>
          <w:szCs w:val="24"/>
        </w:rPr>
        <w:t xml:space="preserve">) </w:t>
      </w:r>
      <w:r w:rsidR="00875744">
        <w:rPr>
          <w:rFonts w:ascii="Times New Roman" w:hAnsi="Times New Roman" w:eastAsia="Times New Roman" w:cs="Times New Roman"/>
          <w:sz w:val="24"/>
          <w:szCs w:val="24"/>
        </w:rPr>
        <w:t>in</w:t>
      </w:r>
      <w:r w:rsidR="00380995">
        <w:rPr>
          <w:rFonts w:ascii="Times New Roman" w:hAnsi="Times New Roman" w:eastAsia="Times New Roman" w:cs="Times New Roman"/>
          <w:sz w:val="24"/>
          <w:szCs w:val="24"/>
        </w:rPr>
        <w:t xml:space="preserve"> which </w:t>
      </w:r>
      <w:r w:rsidR="00875744">
        <w:rPr>
          <w:rFonts w:ascii="Times New Roman" w:hAnsi="Times New Roman" w:eastAsia="Times New Roman" w:cs="Times New Roman"/>
          <w:sz w:val="24"/>
          <w:szCs w:val="24"/>
        </w:rPr>
        <w:t xml:space="preserve">cases </w:t>
      </w:r>
      <w:r w:rsidR="00380995">
        <w:rPr>
          <w:rFonts w:ascii="Times New Roman" w:hAnsi="Times New Roman" w:eastAsia="Times New Roman" w:cs="Times New Roman"/>
          <w:sz w:val="24"/>
          <w:szCs w:val="24"/>
        </w:rPr>
        <w:t xml:space="preserve">the application fee is reduced to </w:t>
      </w:r>
      <w:r w:rsidR="007E78E8">
        <w:rPr>
          <w:rFonts w:ascii="Times New Roman" w:hAnsi="Times New Roman" w:eastAsia="Times New Roman" w:cs="Times New Roman"/>
          <w:sz w:val="24"/>
          <w:szCs w:val="24"/>
        </w:rPr>
        <w:t>.</w:t>
      </w:r>
      <w:r w:rsidR="00380995">
        <w:rPr>
          <w:rFonts w:ascii="Times New Roman" w:hAnsi="Times New Roman" w:eastAsia="Times New Roman" w:cs="Times New Roman"/>
          <w:sz w:val="24"/>
          <w:szCs w:val="24"/>
        </w:rPr>
        <w:t>1% of mortgage amount</w:t>
      </w:r>
      <w:r w:rsidRPr="00DA4025" w:rsidR="00380995">
        <w:rPr>
          <w:rFonts w:ascii="Times New Roman" w:hAnsi="Times New Roman" w:eastAsia="Times New Roman" w:cs="Times New Roman"/>
          <w:sz w:val="24"/>
          <w:szCs w:val="24"/>
        </w:rPr>
        <w:t>.</w:t>
      </w:r>
      <w:r w:rsidRPr="00DA4025" w:rsidR="004E4F51">
        <w:rPr>
          <w:rFonts w:ascii="Times New Roman" w:hAnsi="Times New Roman" w:eastAsia="Times New Roman" w:cs="Times New Roman"/>
          <w:sz w:val="24"/>
          <w:szCs w:val="24"/>
        </w:rPr>
        <w:t xml:space="preserve"> The referenced </w:t>
      </w:r>
      <w:r w:rsidRPr="00DA4025" w:rsidR="0089541F">
        <w:rPr>
          <w:rFonts w:ascii="Times New Roman" w:hAnsi="Times New Roman" w:eastAsia="Times New Roman" w:cs="Times New Roman"/>
          <w:sz w:val="24"/>
          <w:szCs w:val="24"/>
        </w:rPr>
        <w:t>Federal Register Notice may be found at</w:t>
      </w:r>
      <w:r w:rsidRPr="00DA4025" w:rsidR="00844ECD">
        <w:rPr>
          <w:rFonts w:ascii="Times New Roman" w:hAnsi="Times New Roman" w:eastAsia="Times New Roman" w:cs="Times New Roman"/>
          <w:sz w:val="24"/>
          <w:szCs w:val="24"/>
        </w:rPr>
        <w:t>:</w:t>
      </w:r>
    </w:p>
    <w:p w:rsidR="00234801" w:rsidP="00A93275" w:rsidRDefault="00234801" w14:paraId="1F46ACF3" w14:textId="77777777">
      <w:pPr>
        <w:overflowPunct w:val="0"/>
        <w:autoSpaceDE w:val="0"/>
        <w:autoSpaceDN w:val="0"/>
        <w:adjustRightInd w:val="0"/>
        <w:spacing w:before="80" w:after="80"/>
        <w:ind w:left="720" w:hanging="558"/>
        <w:jc w:val="both"/>
        <w:textAlignment w:val="baseline"/>
        <w:rPr>
          <w:rFonts w:ascii="Times New Roman" w:hAnsi="Times New Roman" w:eastAsia="Times New Roman" w:cs="Times New Roman"/>
          <w:sz w:val="24"/>
          <w:szCs w:val="24"/>
        </w:rPr>
      </w:pPr>
    </w:p>
    <w:p w:rsidR="00A93275" w:rsidP="00234801" w:rsidRDefault="0089541F" w14:paraId="5CC3123F" w14:textId="1B87E067">
      <w:pPr>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hyperlink w:history="1" r:id="rId14">
        <w:r w:rsidRPr="00E90C72" w:rsidR="000E06F4">
          <w:rPr>
            <w:rStyle w:val="Hyperlink"/>
            <w:rFonts w:ascii="Times New Roman" w:hAnsi="Times New Roman" w:cs="Times New Roman"/>
            <w:sz w:val="24"/>
            <w:szCs w:val="24"/>
          </w:rPr>
          <w:t>https://www.regulations.gov/document?D=HUD-2016-0007-0001</w:t>
        </w:r>
      </w:hyperlink>
    </w:p>
    <w:p w:rsidRPr="00B366D1" w:rsidR="0089541F" w:rsidP="000E06F4" w:rsidRDefault="0089541F" w14:paraId="3D7516AF" w14:textId="77777777">
      <w:p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00C02777" w:rsidP="00C02777" w:rsidRDefault="004E4F51" w14:paraId="02ECF2C7" w14:textId="401D2F5A">
      <w:pPr>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p>
    <w:p w:rsidRPr="00F6163B" w:rsidR="00252D9B" w:rsidP="00252D9B" w:rsidRDefault="00252D9B" w14:paraId="7ADCDA61" w14:textId="77777777">
      <w:pPr>
        <w:ind w:left="360"/>
        <w:rPr>
          <w:rFonts w:ascii="Times New Roman" w:hAnsi="Times New Roman" w:cs="Times New Roman"/>
          <w:sz w:val="24"/>
          <w:szCs w:val="24"/>
        </w:rPr>
      </w:pPr>
    </w:p>
    <w:p w:rsidRPr="00A93275" w:rsidR="006E573A" w:rsidP="00F03445" w:rsidRDefault="006E573A" w14:paraId="5B8554A7" w14:textId="77777777">
      <w:pPr>
        <w:spacing w:line="276" w:lineRule="auto"/>
        <w:jc w:val="both"/>
        <w:rPr>
          <w:rFonts w:ascii="Times New Roman" w:hAnsi="Times New Roman" w:cs="Times New Roman"/>
          <w:sz w:val="24"/>
          <w:szCs w:val="24"/>
        </w:rPr>
      </w:pPr>
    </w:p>
    <w:p w:rsidRPr="00355C65" w:rsidR="006E573A" w:rsidP="006E573A" w:rsidRDefault="008A32E2" w14:paraId="5B8554A8" w14:textId="7DBACDC0">
      <w:pPr>
        <w:pStyle w:val="MAPSubchapterheading"/>
      </w:pPr>
      <w:r w:rsidRPr="00355C65">
        <w:t>3.2</w:t>
      </w:r>
      <w:r w:rsidRPr="2AD8ABB7">
        <w:t xml:space="preserve"> </w:t>
      </w:r>
      <w:r w:rsidRPr="00355C65">
        <w:tab/>
      </w:r>
      <w:r w:rsidRPr="00355C65" w:rsidR="006E573A">
        <w:tab/>
        <w:t>New Construction/Substantial Rehabilitation Program</w:t>
      </w:r>
    </w:p>
    <w:p w:rsidRPr="00355C65" w:rsidR="006E573A" w:rsidP="006E573A" w:rsidRDefault="006E573A" w14:paraId="5B8554A9" w14:textId="77777777">
      <w:pPr>
        <w:pStyle w:val="MAPSubchapterheading"/>
        <w:ind w:left="720" w:firstLine="720"/>
      </w:pPr>
      <w:r w:rsidRPr="00355C65">
        <w:t>Requirements</w:t>
      </w:r>
    </w:p>
    <w:p w:rsidRPr="00355C65" w:rsidR="006E573A" w:rsidP="006E573A" w:rsidRDefault="006E573A" w14:paraId="5B8554AA" w14:textId="77777777">
      <w:pPr>
        <w:spacing w:line="276" w:lineRule="auto"/>
        <w:jc w:val="both"/>
        <w:rPr>
          <w:rFonts w:ascii="Times New Roman" w:hAnsi="Times New Roman" w:cs="Times New Roman"/>
          <w:sz w:val="24"/>
          <w:szCs w:val="24"/>
        </w:rPr>
      </w:pPr>
    </w:p>
    <w:p w:rsidRPr="00FA0F71" w:rsidR="006E573A" w:rsidP="006E573A" w:rsidRDefault="006E573A" w14:paraId="5B8554AB" w14:textId="0453F38F">
      <w:pPr>
        <w:spacing w:line="276" w:lineRule="auto"/>
        <w:jc w:val="both"/>
        <w:rPr>
          <w:rFonts w:ascii="Times New Roman" w:hAnsi="Times New Roman" w:cs="Times New Roman"/>
          <w:sz w:val="24"/>
          <w:szCs w:val="24"/>
          <w:shd w:val="clear" w:color="auto" w:fill="FFFFFF"/>
        </w:rPr>
      </w:pPr>
      <w:r w:rsidRPr="00FA0F71">
        <w:rPr>
          <w:rFonts w:ascii="Times New Roman" w:hAnsi="Times New Roman" w:cs="Times New Roman"/>
          <w:sz w:val="24"/>
          <w:szCs w:val="24"/>
        </w:rPr>
        <w:t xml:space="preserve">Sections 220, 221(d)(4), 231 and 241(a) of the National Housing Act provide FHA multifamily mortgage insurance for the new construction or substantial rehabilitation of multifamily rental apartment properties.  </w:t>
      </w:r>
      <w:r w:rsidRPr="00FA0F71">
        <w:rPr>
          <w:rFonts w:ascii="Times New Roman" w:hAnsi="Times New Roman" w:cs="Times New Roman"/>
          <w:sz w:val="24"/>
          <w:szCs w:val="24"/>
          <w:shd w:val="clear" w:color="auto" w:fill="FFFFFF"/>
        </w:rPr>
        <w:t xml:space="preserve">Section 213 is available for the new construction </w:t>
      </w:r>
      <w:r w:rsidR="00126BC4">
        <w:rPr>
          <w:rFonts w:ascii="Times New Roman" w:hAnsi="Times New Roman" w:cs="Times New Roman"/>
          <w:sz w:val="24"/>
          <w:szCs w:val="24"/>
          <w:shd w:val="clear" w:color="auto" w:fill="FFFFFF"/>
        </w:rPr>
        <w:t>and Section 213(i) is used f</w:t>
      </w:r>
      <w:r w:rsidRPr="00FA0F71">
        <w:rPr>
          <w:rFonts w:ascii="Times New Roman" w:hAnsi="Times New Roman" w:cs="Times New Roman"/>
          <w:sz w:val="24"/>
          <w:szCs w:val="24"/>
          <w:shd w:val="clear" w:color="auto" w:fill="FFFFFF"/>
        </w:rPr>
        <w:t>or substantial rehabilitation of Cooperatives</w:t>
      </w:r>
      <w:r w:rsidR="00451F05">
        <w:rPr>
          <w:rFonts w:ascii="Times New Roman" w:hAnsi="Times New Roman" w:cs="Times New Roman"/>
          <w:sz w:val="24"/>
          <w:szCs w:val="24"/>
          <w:shd w:val="clear" w:color="auto" w:fill="FFFFFF"/>
        </w:rPr>
        <w:t>;</w:t>
      </w:r>
      <w:r w:rsidRPr="00FA0F71">
        <w:rPr>
          <w:rFonts w:ascii="Times New Roman" w:hAnsi="Times New Roman" w:cs="Times New Roman"/>
          <w:sz w:val="24"/>
          <w:szCs w:val="24"/>
          <w:shd w:val="clear" w:color="auto" w:fill="FFFFFF"/>
        </w:rPr>
        <w:t xml:space="preserve"> th</w:t>
      </w:r>
      <w:r w:rsidR="00126BC4">
        <w:rPr>
          <w:rFonts w:ascii="Times New Roman" w:hAnsi="Times New Roman" w:cs="Times New Roman"/>
          <w:sz w:val="24"/>
          <w:szCs w:val="24"/>
          <w:shd w:val="clear" w:color="auto" w:fill="FFFFFF"/>
        </w:rPr>
        <w:t>e</w:t>
      </w:r>
      <w:r w:rsidRPr="00FA0F71">
        <w:rPr>
          <w:rFonts w:ascii="Times New Roman" w:hAnsi="Times New Roman" w:cs="Times New Roman"/>
          <w:sz w:val="24"/>
          <w:szCs w:val="24"/>
          <w:shd w:val="clear" w:color="auto" w:fill="FFFFFF"/>
        </w:rPr>
        <w:t xml:space="preserve">se transactions </w:t>
      </w:r>
      <w:r w:rsidR="000F4BFC">
        <w:rPr>
          <w:rFonts w:ascii="Times New Roman" w:hAnsi="Times New Roman" w:cs="Times New Roman"/>
          <w:sz w:val="24"/>
          <w:szCs w:val="24"/>
          <w:shd w:val="clear" w:color="auto" w:fill="FFFFFF"/>
        </w:rPr>
        <w:t xml:space="preserve">are </w:t>
      </w:r>
      <w:r w:rsidRPr="00FA0F71">
        <w:rPr>
          <w:rFonts w:ascii="Times New Roman" w:hAnsi="Times New Roman" w:cs="Times New Roman"/>
          <w:sz w:val="24"/>
          <w:szCs w:val="24"/>
          <w:shd w:val="clear" w:color="auto" w:fill="FFFFFF"/>
        </w:rPr>
        <w:t>processed</w:t>
      </w:r>
      <w:r w:rsidR="00BA1B30">
        <w:rPr>
          <w:rFonts w:ascii="Times New Roman" w:hAnsi="Times New Roman" w:cs="Times New Roman"/>
          <w:sz w:val="24"/>
          <w:szCs w:val="24"/>
          <w:shd w:val="clear" w:color="auto" w:fill="FFFFFF"/>
        </w:rPr>
        <w:t xml:space="preserve"> </w:t>
      </w:r>
      <w:r w:rsidRPr="00FA0F71">
        <w:rPr>
          <w:rFonts w:ascii="Times New Roman" w:hAnsi="Times New Roman" w:cs="Times New Roman"/>
          <w:sz w:val="24"/>
          <w:szCs w:val="24"/>
          <w:shd w:val="clear" w:color="auto" w:fill="FFFFFF"/>
        </w:rPr>
        <w:t>under Traditional Application Processing (TAP).</w:t>
      </w:r>
    </w:p>
    <w:p w:rsidRPr="00FA0F71" w:rsidR="006E573A" w:rsidP="006E573A" w:rsidRDefault="006E573A" w14:paraId="5B8554AC" w14:textId="77777777">
      <w:pPr>
        <w:keepNext/>
        <w:keepLines/>
        <w:suppressAutoHyphens/>
        <w:spacing w:before="200" w:line="276" w:lineRule="auto"/>
        <w:jc w:val="both"/>
        <w:outlineLvl w:val="1"/>
        <w:rPr>
          <w:rFonts w:ascii="Times New Roman" w:hAnsi="Times New Roman" w:cs="Times New Roman" w:eastAsiaTheme="majorEastAsia"/>
          <w:bCs/>
          <w:color w:val="000000" w:themeColor="text1"/>
          <w:sz w:val="24"/>
          <w:szCs w:val="24"/>
        </w:rPr>
      </w:pPr>
      <w:r w:rsidRPr="00FA0F71">
        <w:rPr>
          <w:rFonts w:ascii="Times New Roman" w:hAnsi="Times New Roman" w:cs="Times New Roman" w:eastAsiaTheme="majorEastAsia"/>
          <w:bCs/>
          <w:color w:val="000000" w:themeColor="text1"/>
          <w:sz w:val="24"/>
          <w:szCs w:val="24"/>
        </w:rPr>
        <w:t xml:space="preserve">The following requirements apply to </w:t>
      </w:r>
      <w:r w:rsidRPr="00FA0F71">
        <w:rPr>
          <w:rFonts w:ascii="Times New Roman" w:hAnsi="Times New Roman" w:cs="Times New Roman" w:eastAsiaTheme="majorEastAsia"/>
          <w:bCs/>
          <w:i/>
          <w:iCs/>
          <w:color w:val="000000" w:themeColor="text1"/>
          <w:sz w:val="24"/>
          <w:szCs w:val="24"/>
        </w:rPr>
        <w:t xml:space="preserve">all </w:t>
      </w:r>
      <w:r w:rsidRPr="00FA0F71">
        <w:rPr>
          <w:rFonts w:ascii="Times New Roman" w:hAnsi="Times New Roman" w:cs="Times New Roman" w:eastAsiaTheme="majorEastAsia"/>
          <w:bCs/>
          <w:iCs/>
          <w:color w:val="000000" w:themeColor="text1"/>
          <w:sz w:val="24"/>
          <w:szCs w:val="24"/>
        </w:rPr>
        <w:t>FHA New Construction/Substantial Rehabilitation multifamily</w:t>
      </w:r>
      <w:r w:rsidRPr="00FA0F71">
        <w:rPr>
          <w:rFonts w:ascii="Times New Roman" w:hAnsi="Times New Roman" w:cs="Times New Roman" w:eastAsiaTheme="majorEastAsia"/>
          <w:color w:val="000000" w:themeColor="text1"/>
          <w:sz w:val="24"/>
          <w:szCs w:val="24"/>
        </w:rPr>
        <w:t xml:space="preserve"> </w:t>
      </w:r>
      <w:r w:rsidRPr="00FA0F71">
        <w:rPr>
          <w:rFonts w:ascii="Times New Roman" w:hAnsi="Times New Roman" w:cs="Times New Roman" w:eastAsiaTheme="majorEastAsia"/>
          <w:bCs/>
          <w:color w:val="000000" w:themeColor="text1"/>
          <w:sz w:val="24"/>
          <w:szCs w:val="24"/>
        </w:rPr>
        <w:t>mortgage insurance programs:</w:t>
      </w:r>
    </w:p>
    <w:p w:rsidRPr="00FA0F71" w:rsidR="006E573A" w:rsidP="006E573A" w:rsidRDefault="006E573A" w14:paraId="5B8554AD" w14:textId="77777777">
      <w:pPr>
        <w:spacing w:after="200" w:line="276" w:lineRule="auto"/>
        <w:jc w:val="both"/>
        <w:rPr>
          <w:rFonts w:ascii="Times New Roman" w:hAnsi="Times New Roman" w:cs="Times New Roman"/>
          <w:sz w:val="24"/>
          <w:szCs w:val="24"/>
        </w:rPr>
      </w:pPr>
    </w:p>
    <w:p w:rsidRPr="00FA0F71" w:rsidR="006E573A" w:rsidP="006E573A" w:rsidRDefault="006E573A" w14:paraId="5B8554AE" w14:textId="3E5A88C0">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 xml:space="preserve">A. Properties must have 5 or more residential units with </w:t>
      </w:r>
      <w:r w:rsidR="008C1C54">
        <w:rPr>
          <w:rFonts w:ascii="Times New Roman" w:hAnsi="Times New Roman" w:cs="Times New Roman"/>
          <w:sz w:val="24"/>
          <w:szCs w:val="24"/>
        </w:rPr>
        <w:t>individual full</w:t>
      </w:r>
      <w:r w:rsidRPr="00FA0F71">
        <w:rPr>
          <w:rFonts w:ascii="Times New Roman" w:hAnsi="Times New Roman" w:cs="Times New Roman"/>
          <w:sz w:val="24"/>
          <w:szCs w:val="24"/>
        </w:rPr>
        <w:t xml:space="preserve"> kitchens and baths</w:t>
      </w:r>
      <w:r w:rsidR="005A14EE">
        <w:rPr>
          <w:rFonts w:ascii="Times New Roman" w:hAnsi="Times New Roman" w:cs="Times New Roman"/>
          <w:sz w:val="24"/>
          <w:szCs w:val="24"/>
        </w:rPr>
        <w:t xml:space="preserve"> for each unit.</w:t>
      </w:r>
      <w:r w:rsidRPr="00FA0F71">
        <w:rPr>
          <w:rFonts w:ascii="Times New Roman" w:hAnsi="Times New Roman" w:cs="Times New Roman"/>
          <w:sz w:val="24"/>
          <w:szCs w:val="24"/>
        </w:rPr>
        <w:t xml:space="preserve">  (Section 231 requires at least 8 units.) Group Homes are not eligible for FHA multifamily mortgage insurance.  SRO properties will be considered </w:t>
      </w:r>
      <w:r w:rsidR="005D1974">
        <w:rPr>
          <w:rFonts w:ascii="Times New Roman" w:hAnsi="Times New Roman" w:cs="Times New Roman"/>
          <w:sz w:val="24"/>
          <w:szCs w:val="24"/>
        </w:rPr>
        <w:t>only</w:t>
      </w:r>
      <w:r w:rsidRPr="00FA0F71">
        <w:rPr>
          <w:rFonts w:ascii="Times New Roman" w:hAnsi="Times New Roman" w:cs="Times New Roman"/>
          <w:sz w:val="24"/>
          <w:szCs w:val="24"/>
        </w:rPr>
        <w:t xml:space="preserve"> if they have existing Project based Section 8 contracts in place.  </w:t>
      </w:r>
    </w:p>
    <w:p w:rsidRPr="00FA0F71" w:rsidR="006E573A" w:rsidP="006E573A" w:rsidRDefault="006E573A" w14:paraId="5B8554AF" w14:textId="77777777">
      <w:pPr>
        <w:spacing w:line="276" w:lineRule="auto"/>
        <w:ind w:left="360"/>
        <w:jc w:val="both"/>
        <w:rPr>
          <w:rFonts w:ascii="Times New Roman" w:hAnsi="Times New Roman" w:cs="Times New Roman"/>
          <w:sz w:val="24"/>
          <w:szCs w:val="24"/>
        </w:rPr>
      </w:pPr>
    </w:p>
    <w:p w:rsidRPr="00FA0F71" w:rsidR="006E573A" w:rsidP="006E573A" w:rsidRDefault="006E573A" w14:paraId="5B8554B0" w14:textId="323CFD8D">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B. HUD can insure both the construction and permanent loan periods (Insurance of Advances) or just the permanent loan period (Insurance Upon Completion). Davis-Bacon wage requirements apply to new construction and substantial rehabilitation transactions for both Insurance of Advances and Insurance Upon Completion.</w:t>
      </w:r>
    </w:p>
    <w:p w:rsidRPr="00FA0F71" w:rsidR="006E573A" w:rsidP="006E573A" w:rsidRDefault="006E573A" w14:paraId="5B8554B1" w14:textId="77777777">
      <w:pPr>
        <w:spacing w:line="276" w:lineRule="auto"/>
        <w:ind w:left="360"/>
        <w:jc w:val="both"/>
        <w:rPr>
          <w:rFonts w:ascii="Times New Roman" w:hAnsi="Times New Roman" w:cs="Times New Roman"/>
          <w:sz w:val="24"/>
          <w:szCs w:val="24"/>
        </w:rPr>
      </w:pPr>
    </w:p>
    <w:p w:rsidRPr="00FA0F71" w:rsidR="006E573A" w:rsidP="006E573A" w:rsidRDefault="006E573A" w14:paraId="5B8554B2" w14:textId="74B5C032">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C. New Construction transactions finance improvements where no construction work has been done to the site prior to Initial Endorsement.  See Chapter 5</w:t>
      </w:r>
      <w:r w:rsidR="00EC3C7C">
        <w:rPr>
          <w:rFonts w:ascii="Times New Roman" w:hAnsi="Times New Roman" w:cs="Times New Roman"/>
          <w:sz w:val="24"/>
          <w:szCs w:val="24"/>
        </w:rPr>
        <w:t xml:space="preserve"> and 9</w:t>
      </w:r>
      <w:r w:rsidRPr="00FA0F71">
        <w:rPr>
          <w:rFonts w:ascii="Times New Roman" w:hAnsi="Times New Roman" w:cs="Times New Roman"/>
          <w:sz w:val="24"/>
          <w:szCs w:val="24"/>
        </w:rPr>
        <w:t xml:space="preserve"> for additional information and exceptions.</w:t>
      </w:r>
    </w:p>
    <w:p w:rsidRPr="00FA0F71" w:rsidR="006E573A" w:rsidP="006E573A" w:rsidRDefault="006E573A" w14:paraId="5B8554B3" w14:textId="77777777">
      <w:pPr>
        <w:spacing w:line="276" w:lineRule="auto"/>
        <w:ind w:left="360"/>
        <w:jc w:val="both"/>
        <w:rPr>
          <w:rFonts w:ascii="Times New Roman" w:hAnsi="Times New Roman" w:cs="Times New Roman"/>
          <w:sz w:val="24"/>
          <w:szCs w:val="24"/>
        </w:rPr>
      </w:pPr>
    </w:p>
    <w:p w:rsidRPr="00FA0F71" w:rsidR="006E573A" w:rsidP="006E573A" w:rsidRDefault="006E573A" w14:paraId="5B8554B4" w14:textId="2ED13769">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D</w:t>
      </w:r>
      <w:r w:rsidRPr="00FA0F71">
        <w:rPr>
          <w:rFonts w:ascii="Times New Roman" w:hAnsi="Times New Roman" w:cs="Times New Roman"/>
          <w:b/>
          <w:sz w:val="24"/>
          <w:szCs w:val="24"/>
        </w:rPr>
        <w:t>.</w:t>
      </w:r>
      <w:r w:rsidRPr="00FA0F71">
        <w:rPr>
          <w:rFonts w:ascii="Times New Roman" w:hAnsi="Times New Roman" w:cs="Times New Roman"/>
          <w:sz w:val="24"/>
          <w:szCs w:val="24"/>
        </w:rPr>
        <w:t xml:space="preserve"> </w:t>
      </w:r>
      <w:r w:rsidR="00EC4270">
        <w:rPr>
          <w:rFonts w:ascii="Times New Roman" w:hAnsi="Times New Roman" w:cs="Times New Roman"/>
          <w:sz w:val="24"/>
          <w:szCs w:val="24"/>
        </w:rPr>
        <w:t xml:space="preserve"> </w:t>
      </w:r>
      <w:r w:rsidRPr="00FA0F71">
        <w:rPr>
          <w:rFonts w:ascii="Times New Roman" w:hAnsi="Times New Roman" w:cs="Times New Roman"/>
          <w:sz w:val="24"/>
          <w:szCs w:val="24"/>
        </w:rPr>
        <w:t xml:space="preserve">Substantial Rehabilitation transactions finance repairs and rehabilitation of existing properties that are or have been previously occupied. </w:t>
      </w:r>
      <w:r w:rsidR="00365342">
        <w:rPr>
          <w:rFonts w:ascii="Times New Roman" w:hAnsi="Times New Roman" w:cs="Times New Roman"/>
          <w:sz w:val="24"/>
          <w:szCs w:val="24"/>
        </w:rPr>
        <w:t xml:space="preserve">(Conversions of </w:t>
      </w:r>
      <w:r w:rsidR="002B5B73">
        <w:rPr>
          <w:rFonts w:ascii="Times New Roman" w:hAnsi="Times New Roman" w:cs="Times New Roman"/>
          <w:sz w:val="24"/>
          <w:szCs w:val="24"/>
        </w:rPr>
        <w:t xml:space="preserve">a </w:t>
      </w:r>
      <w:r w:rsidR="00365342">
        <w:rPr>
          <w:rFonts w:ascii="Times New Roman" w:hAnsi="Times New Roman" w:cs="Times New Roman"/>
          <w:sz w:val="24"/>
          <w:szCs w:val="24"/>
        </w:rPr>
        <w:t xml:space="preserve">non-residential to residential </w:t>
      </w:r>
      <w:r w:rsidR="002B5B73">
        <w:rPr>
          <w:rFonts w:ascii="Times New Roman" w:hAnsi="Times New Roman" w:cs="Times New Roman"/>
          <w:sz w:val="24"/>
          <w:szCs w:val="24"/>
        </w:rPr>
        <w:t xml:space="preserve">use are </w:t>
      </w:r>
      <w:r w:rsidR="00365342">
        <w:rPr>
          <w:rFonts w:ascii="Times New Roman" w:hAnsi="Times New Roman" w:cs="Times New Roman"/>
          <w:sz w:val="24"/>
          <w:szCs w:val="24"/>
        </w:rPr>
        <w:t xml:space="preserve">also included and </w:t>
      </w:r>
      <w:r w:rsidR="002B5B73">
        <w:rPr>
          <w:rFonts w:ascii="Times New Roman" w:hAnsi="Times New Roman" w:cs="Times New Roman"/>
          <w:sz w:val="24"/>
          <w:szCs w:val="24"/>
        </w:rPr>
        <w:t>may</w:t>
      </w:r>
      <w:r w:rsidR="00066E6B">
        <w:rPr>
          <w:rFonts w:ascii="Times New Roman" w:hAnsi="Times New Roman" w:cs="Times New Roman"/>
          <w:sz w:val="24"/>
          <w:szCs w:val="24"/>
        </w:rPr>
        <w:t xml:space="preserve"> be financed as substantial </w:t>
      </w:r>
      <w:r w:rsidR="002B5B73">
        <w:rPr>
          <w:rFonts w:ascii="Times New Roman" w:hAnsi="Times New Roman" w:cs="Times New Roman"/>
          <w:sz w:val="24"/>
          <w:szCs w:val="24"/>
        </w:rPr>
        <w:t>rehabilitation).</w:t>
      </w:r>
      <w:r w:rsidRPr="00FA0F71">
        <w:rPr>
          <w:rFonts w:ascii="Times New Roman" w:hAnsi="Times New Roman" w:cs="Times New Roman"/>
          <w:sz w:val="24"/>
          <w:szCs w:val="24"/>
        </w:rPr>
        <w:t xml:space="preserve"> Projects in which construction of above ground improvements was started but not completed or inhabited are not eligible. The definition of substantial rehabilitation is based on a per unit threshold for the cost of rehabilitation.  See Chapter 5</w:t>
      </w:r>
      <w:r w:rsidR="00ED01E2">
        <w:rPr>
          <w:rFonts w:ascii="Times New Roman" w:hAnsi="Times New Roman" w:cs="Times New Roman"/>
          <w:sz w:val="24"/>
          <w:szCs w:val="24"/>
        </w:rPr>
        <w:t>.1</w:t>
      </w:r>
      <w:r w:rsidR="00D47ED4">
        <w:rPr>
          <w:rFonts w:ascii="Times New Roman" w:hAnsi="Times New Roman" w:cs="Times New Roman"/>
          <w:sz w:val="24"/>
          <w:szCs w:val="24"/>
        </w:rPr>
        <w:t>.D</w:t>
      </w:r>
      <w:r w:rsidRPr="00FA0F71">
        <w:rPr>
          <w:rFonts w:ascii="Times New Roman" w:hAnsi="Times New Roman" w:cs="Times New Roman"/>
          <w:sz w:val="24"/>
          <w:szCs w:val="24"/>
        </w:rPr>
        <w:t xml:space="preserve">.  </w:t>
      </w:r>
    </w:p>
    <w:p w:rsidRPr="00FA0F71" w:rsidR="006E573A" w:rsidP="006E573A" w:rsidRDefault="006E573A" w14:paraId="5B8554B5" w14:textId="77777777">
      <w:pPr>
        <w:spacing w:line="276" w:lineRule="auto"/>
        <w:ind w:left="360"/>
        <w:jc w:val="both"/>
        <w:rPr>
          <w:rFonts w:ascii="Times New Roman" w:hAnsi="Times New Roman" w:cs="Times New Roman"/>
          <w:spacing w:val="-4"/>
          <w:sz w:val="24"/>
          <w:szCs w:val="24"/>
        </w:rPr>
      </w:pPr>
    </w:p>
    <w:p w:rsidRPr="00FA0F71" w:rsidR="006E573A" w:rsidP="006E573A" w:rsidRDefault="006E573A" w14:paraId="5B8554B6" w14:textId="310D6783">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pacing w:val="-4"/>
          <w:sz w:val="24"/>
          <w:szCs w:val="24"/>
        </w:rPr>
        <w:t>E.</w:t>
      </w:r>
      <w:r w:rsidRPr="00FA0F71">
        <w:rPr>
          <w:rFonts w:ascii="Times New Roman" w:hAnsi="Times New Roman" w:cs="Times New Roman"/>
          <w:b/>
          <w:spacing w:val="-4"/>
          <w:sz w:val="24"/>
          <w:szCs w:val="24"/>
        </w:rPr>
        <w:t xml:space="preserve"> </w:t>
      </w:r>
      <w:r w:rsidR="00EC4270">
        <w:rPr>
          <w:rFonts w:ascii="Times New Roman" w:hAnsi="Times New Roman" w:cs="Times New Roman"/>
          <w:b/>
          <w:spacing w:val="-4"/>
          <w:sz w:val="24"/>
          <w:szCs w:val="24"/>
        </w:rPr>
        <w:t xml:space="preserve"> </w:t>
      </w:r>
      <w:r w:rsidRPr="00A466B8">
        <w:rPr>
          <w:rFonts w:ascii="Times New Roman" w:hAnsi="Times New Roman" w:cs="Times New Roman"/>
          <w:b/>
          <w:spacing w:val="-4"/>
          <w:sz w:val="24"/>
          <w:szCs w:val="24"/>
        </w:rPr>
        <w:t>Cost Certification.</w:t>
      </w:r>
      <w:r w:rsidRPr="00FA0F71">
        <w:rPr>
          <w:rFonts w:ascii="Times New Roman" w:hAnsi="Times New Roman" w:cs="Times New Roman"/>
          <w:spacing w:val="-4"/>
          <w:sz w:val="24"/>
          <w:szCs w:val="24"/>
        </w:rPr>
        <w:t xml:space="preserve">  The borrower must submit a cost certification prepared by an independent CPA upon completion of construction or substantial rehabilitation.  The mortgage amount that is finally endorsed for insurance after completion of construction can be reduced based upon HUD review of the cost certified amounts.  General contractors or subcontractors are required to submit a cost certification if </w:t>
      </w:r>
      <w:r w:rsidR="00157FFD">
        <w:rPr>
          <w:rFonts w:ascii="Times New Roman" w:hAnsi="Times New Roman" w:cs="Times New Roman"/>
          <w:spacing w:val="-4"/>
          <w:sz w:val="24"/>
          <w:szCs w:val="24"/>
        </w:rPr>
        <w:t>a cost</w:t>
      </w:r>
      <w:r w:rsidR="002D4D52">
        <w:rPr>
          <w:rFonts w:ascii="Times New Roman" w:hAnsi="Times New Roman" w:cs="Times New Roman"/>
          <w:spacing w:val="-4"/>
          <w:sz w:val="24"/>
          <w:szCs w:val="24"/>
        </w:rPr>
        <w:t>-</w:t>
      </w:r>
      <w:r w:rsidR="00157FFD">
        <w:rPr>
          <w:rFonts w:ascii="Times New Roman" w:hAnsi="Times New Roman" w:cs="Times New Roman"/>
          <w:spacing w:val="-4"/>
          <w:sz w:val="24"/>
          <w:szCs w:val="24"/>
        </w:rPr>
        <w:t xml:space="preserve">plus </w:t>
      </w:r>
      <w:r w:rsidR="002D4D52">
        <w:rPr>
          <w:rFonts w:ascii="Times New Roman" w:hAnsi="Times New Roman" w:cs="Times New Roman"/>
          <w:spacing w:val="-4"/>
          <w:sz w:val="24"/>
          <w:szCs w:val="24"/>
        </w:rPr>
        <w:t>c</w:t>
      </w:r>
      <w:r w:rsidR="00A71CF0">
        <w:rPr>
          <w:rFonts w:ascii="Times New Roman" w:hAnsi="Times New Roman" w:cs="Times New Roman"/>
          <w:spacing w:val="-4"/>
          <w:sz w:val="24"/>
          <w:szCs w:val="24"/>
        </w:rPr>
        <w:t xml:space="preserve">onstruction </w:t>
      </w:r>
      <w:r w:rsidR="00157FFD">
        <w:rPr>
          <w:rFonts w:ascii="Times New Roman" w:hAnsi="Times New Roman" w:cs="Times New Roman"/>
          <w:spacing w:val="-4"/>
          <w:sz w:val="24"/>
          <w:szCs w:val="24"/>
        </w:rPr>
        <w:t xml:space="preserve">contract is used or </w:t>
      </w:r>
      <w:r w:rsidRPr="00FA0F71">
        <w:rPr>
          <w:rFonts w:ascii="Times New Roman" w:hAnsi="Times New Roman" w:cs="Times New Roman"/>
          <w:spacing w:val="-4"/>
          <w:sz w:val="24"/>
          <w:szCs w:val="24"/>
        </w:rPr>
        <w:t xml:space="preserve">there is an identity of interest with the borrower.  See Chapter </w:t>
      </w:r>
      <w:r w:rsidR="00323D32">
        <w:rPr>
          <w:rFonts w:ascii="Times New Roman" w:hAnsi="Times New Roman" w:cs="Times New Roman"/>
          <w:spacing w:val="-4"/>
          <w:sz w:val="24"/>
          <w:szCs w:val="24"/>
        </w:rPr>
        <w:t>13</w:t>
      </w:r>
      <w:r w:rsidRPr="00FA0F71">
        <w:rPr>
          <w:rFonts w:ascii="Times New Roman" w:hAnsi="Times New Roman" w:cs="Times New Roman"/>
          <w:spacing w:val="-4"/>
          <w:sz w:val="24"/>
          <w:szCs w:val="24"/>
        </w:rPr>
        <w:t xml:space="preserve"> for project cost certification procedures and </w:t>
      </w:r>
      <w:r w:rsidR="00B6264D">
        <w:rPr>
          <w:rFonts w:ascii="Times New Roman" w:hAnsi="Times New Roman" w:cs="Times New Roman"/>
          <w:spacing w:val="-4"/>
          <w:sz w:val="24"/>
          <w:szCs w:val="24"/>
        </w:rPr>
        <w:t xml:space="preserve">Chapter 14.2 for </w:t>
      </w:r>
      <w:r w:rsidRPr="00FA0F71">
        <w:rPr>
          <w:rFonts w:ascii="Times New Roman" w:hAnsi="Times New Roman" w:cs="Times New Roman"/>
          <w:spacing w:val="-4"/>
          <w:sz w:val="24"/>
          <w:szCs w:val="24"/>
        </w:rPr>
        <w:t>exemption</w:t>
      </w:r>
      <w:r w:rsidR="00B6264D">
        <w:rPr>
          <w:rFonts w:ascii="Times New Roman" w:hAnsi="Times New Roman" w:cs="Times New Roman"/>
          <w:spacing w:val="-4"/>
          <w:sz w:val="24"/>
          <w:szCs w:val="24"/>
        </w:rPr>
        <w:t xml:space="preserve"> of certain Tax Credit </w:t>
      </w:r>
      <w:r w:rsidR="0091164E">
        <w:rPr>
          <w:rFonts w:ascii="Times New Roman" w:hAnsi="Times New Roman" w:cs="Times New Roman"/>
          <w:spacing w:val="-4"/>
          <w:sz w:val="24"/>
          <w:szCs w:val="24"/>
        </w:rPr>
        <w:t>projects</w:t>
      </w:r>
      <w:r w:rsidRPr="00FA0F71">
        <w:rPr>
          <w:rFonts w:ascii="Times New Roman" w:hAnsi="Times New Roman" w:cs="Times New Roman"/>
          <w:spacing w:val="-4"/>
          <w:sz w:val="24"/>
          <w:szCs w:val="24"/>
        </w:rPr>
        <w:t>.</w:t>
      </w:r>
    </w:p>
    <w:p w:rsidRPr="00FA0F71" w:rsidR="006E573A" w:rsidP="006E573A" w:rsidRDefault="006E573A" w14:paraId="5B8554B7" w14:textId="77777777">
      <w:pPr>
        <w:spacing w:line="276" w:lineRule="auto"/>
        <w:ind w:left="360"/>
        <w:jc w:val="both"/>
        <w:rPr>
          <w:rFonts w:ascii="Times New Roman" w:hAnsi="Times New Roman" w:cs="Times New Roman"/>
          <w:sz w:val="24"/>
          <w:szCs w:val="24"/>
        </w:rPr>
      </w:pPr>
    </w:p>
    <w:p w:rsidRPr="00FA0F71" w:rsidR="006E573A" w:rsidP="006E573A" w:rsidRDefault="006E573A" w14:paraId="5B8554B8" w14:textId="68D7CEDB">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F.</w:t>
      </w:r>
      <w:r w:rsidRPr="00FA0F71">
        <w:rPr>
          <w:rFonts w:ascii="Times New Roman" w:hAnsi="Times New Roman" w:cs="Times New Roman"/>
          <w:b/>
          <w:sz w:val="24"/>
          <w:szCs w:val="24"/>
        </w:rPr>
        <w:t xml:space="preserve"> </w:t>
      </w:r>
      <w:r w:rsidR="00EC4270">
        <w:rPr>
          <w:rFonts w:ascii="Times New Roman" w:hAnsi="Times New Roman" w:cs="Times New Roman"/>
          <w:b/>
          <w:sz w:val="24"/>
          <w:szCs w:val="24"/>
        </w:rPr>
        <w:t xml:space="preserve"> </w:t>
      </w:r>
      <w:r w:rsidRPr="00A466B8">
        <w:rPr>
          <w:rFonts w:ascii="Times New Roman" w:hAnsi="Times New Roman" w:cs="Times New Roman"/>
          <w:b/>
          <w:sz w:val="24"/>
          <w:szCs w:val="24"/>
        </w:rPr>
        <w:t>Federal Labor Standards</w:t>
      </w:r>
      <w:r w:rsidRPr="00FA0F71">
        <w:rPr>
          <w:rFonts w:ascii="Times New Roman" w:hAnsi="Times New Roman" w:cs="Times New Roman"/>
          <w:b/>
          <w:sz w:val="24"/>
          <w:szCs w:val="24"/>
        </w:rPr>
        <w:t>.</w:t>
      </w:r>
      <w:r w:rsidRPr="00FA0F71">
        <w:rPr>
          <w:rFonts w:ascii="Times New Roman" w:hAnsi="Times New Roman" w:cs="Times New Roman"/>
          <w:sz w:val="24"/>
          <w:szCs w:val="24"/>
        </w:rPr>
        <w:t xml:space="preserve">  The general contractor and all subcontractors for FHA-insured new construction or substantial rehabilitation transactions are required to comply with federal wage and reporting requirements under the Davis-Bacon Act</w:t>
      </w:r>
      <w:r w:rsidR="00C50E62">
        <w:rPr>
          <w:rFonts w:ascii="Times New Roman" w:hAnsi="Times New Roman" w:cs="Times New Roman"/>
          <w:sz w:val="24"/>
          <w:szCs w:val="24"/>
        </w:rPr>
        <w:t xml:space="preserve"> and the Copeland Act</w:t>
      </w:r>
      <w:r w:rsidRPr="00FA0F71">
        <w:rPr>
          <w:rFonts w:ascii="Times New Roman" w:hAnsi="Times New Roman" w:cs="Times New Roman"/>
          <w:sz w:val="24"/>
          <w:szCs w:val="24"/>
        </w:rPr>
        <w:t xml:space="preserve">.  Davis-Bacon requires the payment of prevailing wage rates and </w:t>
      </w:r>
      <w:r w:rsidR="006C7204">
        <w:rPr>
          <w:rFonts w:ascii="Times New Roman" w:hAnsi="Times New Roman" w:cs="Times New Roman"/>
          <w:sz w:val="24"/>
          <w:szCs w:val="24"/>
        </w:rPr>
        <w:t>regulations under the Copeland Act</w:t>
      </w:r>
      <w:r w:rsidR="00B260DA">
        <w:rPr>
          <w:rFonts w:ascii="Times New Roman" w:hAnsi="Times New Roman" w:cs="Times New Roman"/>
          <w:sz w:val="24"/>
          <w:szCs w:val="24"/>
        </w:rPr>
        <w:t xml:space="preserve"> require </w:t>
      </w:r>
      <w:r w:rsidRPr="00FA0F71">
        <w:rPr>
          <w:rFonts w:ascii="Times New Roman" w:hAnsi="Times New Roman" w:cs="Times New Roman"/>
          <w:sz w:val="24"/>
          <w:szCs w:val="24"/>
        </w:rPr>
        <w:t xml:space="preserve">the submission of weekly certified payroll reports. Prevailing wage schedules may be obtained from the Regional Center or Satellite Office. </w:t>
      </w:r>
      <w:bookmarkStart w:name="_Hlk48298135" w:id="1"/>
      <w:r w:rsidRPr="00FA0F71">
        <w:rPr>
          <w:rFonts w:ascii="Times New Roman" w:hAnsi="Times New Roman" w:cs="Times New Roman"/>
          <w:sz w:val="24"/>
          <w:szCs w:val="24"/>
        </w:rPr>
        <w:t>There are limited exceptions to this requirement. Davis-Bacon Wage requirements do not apply for Section 241(a) in which the underlying first mortgage is a Section 223(f)  loan (or a Section 223(a)(7) loan) or for Section 241(a) loans for projects with a Secretary-held mortgage if the project did not originally have an FHA-insured loan that was subject to Davis-Bacon</w:t>
      </w:r>
      <w:bookmarkEnd w:id="1"/>
      <w:r w:rsidRPr="00FA0F71">
        <w:rPr>
          <w:rFonts w:ascii="Times New Roman" w:hAnsi="Times New Roman" w:cs="Times New Roman"/>
          <w:sz w:val="24"/>
          <w:szCs w:val="24"/>
        </w:rPr>
        <w:t>.</w:t>
      </w:r>
      <w:r w:rsidR="00B077EE">
        <w:rPr>
          <w:rFonts w:ascii="Times New Roman" w:hAnsi="Times New Roman" w:cs="Times New Roman"/>
          <w:sz w:val="24"/>
          <w:szCs w:val="24"/>
        </w:rPr>
        <w:t xml:space="preserve"> </w:t>
      </w:r>
      <w:r w:rsidR="00095DA0">
        <w:rPr>
          <w:rFonts w:ascii="Times New Roman" w:hAnsi="Times New Roman" w:cs="Times New Roman"/>
          <w:sz w:val="24"/>
          <w:szCs w:val="24"/>
        </w:rPr>
        <w:t xml:space="preserve">Additionally, </w:t>
      </w:r>
      <w:r w:rsidR="00392355">
        <w:rPr>
          <w:rFonts w:ascii="Times New Roman" w:hAnsi="Times New Roman" w:cs="Times New Roman"/>
          <w:sz w:val="24"/>
          <w:szCs w:val="24"/>
        </w:rPr>
        <w:t xml:space="preserve">Davis-Bacon Wage rates do not apply to off-site improvements, nor do they apply to </w:t>
      </w:r>
      <w:r w:rsidR="00203D4A">
        <w:rPr>
          <w:rFonts w:ascii="Times New Roman" w:hAnsi="Times New Roman" w:cs="Times New Roman"/>
          <w:sz w:val="24"/>
          <w:szCs w:val="24"/>
        </w:rPr>
        <w:t xml:space="preserve">any site demolition or </w:t>
      </w:r>
      <w:r w:rsidR="00392355">
        <w:rPr>
          <w:rFonts w:ascii="Times New Roman" w:hAnsi="Times New Roman" w:cs="Times New Roman"/>
          <w:sz w:val="24"/>
          <w:szCs w:val="24"/>
        </w:rPr>
        <w:t>improvements</w:t>
      </w:r>
      <w:r w:rsidR="007E7E1E">
        <w:rPr>
          <w:rFonts w:ascii="Times New Roman" w:hAnsi="Times New Roman" w:cs="Times New Roman"/>
          <w:sz w:val="24"/>
          <w:szCs w:val="24"/>
        </w:rPr>
        <w:t xml:space="preserve"> completed prior to</w:t>
      </w:r>
      <w:r w:rsidR="00BD131D">
        <w:rPr>
          <w:rFonts w:ascii="Times New Roman" w:hAnsi="Times New Roman" w:cs="Times New Roman"/>
          <w:sz w:val="24"/>
          <w:szCs w:val="24"/>
        </w:rPr>
        <w:t xml:space="preserve"> the creation of</w:t>
      </w:r>
      <w:r w:rsidR="007E7E1E">
        <w:rPr>
          <w:rFonts w:ascii="Times New Roman" w:hAnsi="Times New Roman" w:cs="Times New Roman"/>
          <w:sz w:val="24"/>
          <w:szCs w:val="24"/>
        </w:rPr>
        <w:t xml:space="preserve"> a federal nexus, defin</w:t>
      </w:r>
      <w:r w:rsidR="001B2B17">
        <w:rPr>
          <w:rFonts w:ascii="Times New Roman" w:hAnsi="Times New Roman" w:cs="Times New Roman"/>
          <w:sz w:val="24"/>
          <w:szCs w:val="24"/>
        </w:rPr>
        <w:t xml:space="preserve">ed as the submission of either a pre-application </w:t>
      </w:r>
      <w:r w:rsidR="00765F5E">
        <w:rPr>
          <w:rFonts w:ascii="Times New Roman" w:hAnsi="Times New Roman" w:cs="Times New Roman"/>
          <w:sz w:val="24"/>
          <w:szCs w:val="24"/>
        </w:rPr>
        <w:t xml:space="preserve">or </w:t>
      </w:r>
      <w:r w:rsidR="001B2B17">
        <w:rPr>
          <w:rFonts w:ascii="Times New Roman" w:hAnsi="Times New Roman" w:cs="Times New Roman"/>
          <w:sz w:val="24"/>
          <w:szCs w:val="24"/>
        </w:rPr>
        <w:t xml:space="preserve">firm commitment application to HUD. </w:t>
      </w:r>
    </w:p>
    <w:p w:rsidRPr="00FA0F71" w:rsidR="006E573A" w:rsidP="006E573A" w:rsidRDefault="006E573A" w14:paraId="5B8554B9" w14:textId="77777777">
      <w:pPr>
        <w:spacing w:line="276" w:lineRule="auto"/>
        <w:ind w:left="360"/>
        <w:jc w:val="both"/>
        <w:rPr>
          <w:rFonts w:ascii="Times New Roman" w:hAnsi="Times New Roman" w:cs="Times New Roman"/>
          <w:sz w:val="24"/>
          <w:szCs w:val="24"/>
        </w:rPr>
      </w:pPr>
    </w:p>
    <w:p w:rsidRPr="00FA0F71" w:rsidR="006E573A" w:rsidP="006E573A" w:rsidRDefault="006E573A" w14:paraId="5B8554BA" w14:textId="281003AB">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G.</w:t>
      </w:r>
      <w:r w:rsidRPr="00FA0F71">
        <w:rPr>
          <w:rFonts w:ascii="Times New Roman" w:hAnsi="Times New Roman" w:cs="Times New Roman"/>
          <w:b/>
          <w:sz w:val="24"/>
          <w:szCs w:val="24"/>
        </w:rPr>
        <w:t xml:space="preserve"> Assurance of Completion.</w:t>
      </w:r>
      <w:r w:rsidRPr="00FA0F71">
        <w:rPr>
          <w:rFonts w:ascii="Times New Roman" w:hAnsi="Times New Roman" w:cs="Times New Roman"/>
          <w:sz w:val="24"/>
          <w:szCs w:val="24"/>
        </w:rPr>
        <w:t xml:space="preserve">  The general contractor shall provide an assurance of completion of construction </w:t>
      </w:r>
      <w:r w:rsidR="00412117">
        <w:rPr>
          <w:rFonts w:ascii="Times New Roman" w:hAnsi="Times New Roman" w:cs="Times New Roman"/>
          <w:sz w:val="24"/>
          <w:szCs w:val="24"/>
        </w:rPr>
        <w:t>in the</w:t>
      </w:r>
      <w:r w:rsidRPr="00FA0F71" w:rsidR="00412117">
        <w:rPr>
          <w:rFonts w:ascii="Times New Roman" w:hAnsi="Times New Roman" w:cs="Times New Roman"/>
          <w:sz w:val="24"/>
          <w:szCs w:val="24"/>
        </w:rPr>
        <w:t xml:space="preserve"> </w:t>
      </w:r>
      <w:r w:rsidRPr="00FA0F71">
        <w:rPr>
          <w:rFonts w:ascii="Times New Roman" w:hAnsi="Times New Roman" w:cs="Times New Roman"/>
          <w:sz w:val="24"/>
          <w:szCs w:val="24"/>
        </w:rPr>
        <w:t>form</w:t>
      </w:r>
      <w:r w:rsidR="00412117">
        <w:rPr>
          <w:rFonts w:ascii="Times New Roman" w:hAnsi="Times New Roman" w:cs="Times New Roman"/>
          <w:sz w:val="24"/>
          <w:szCs w:val="24"/>
        </w:rPr>
        <w:t xml:space="preserve"> of a </w:t>
      </w:r>
      <w:r w:rsidR="0047582F">
        <w:rPr>
          <w:rFonts w:ascii="Times New Roman" w:hAnsi="Times New Roman" w:cs="Times New Roman"/>
          <w:sz w:val="24"/>
          <w:szCs w:val="24"/>
        </w:rPr>
        <w:t xml:space="preserve">Combined </w:t>
      </w:r>
      <w:r w:rsidR="00412117">
        <w:rPr>
          <w:rFonts w:ascii="Times New Roman" w:hAnsi="Times New Roman" w:cs="Times New Roman"/>
          <w:sz w:val="24"/>
          <w:szCs w:val="24"/>
        </w:rPr>
        <w:t xml:space="preserve">Performance Payment Bond </w:t>
      </w:r>
      <w:r w:rsidR="0047582F">
        <w:rPr>
          <w:rFonts w:ascii="Times New Roman" w:hAnsi="Times New Roman" w:cs="Times New Roman"/>
          <w:sz w:val="24"/>
          <w:szCs w:val="24"/>
        </w:rPr>
        <w:t xml:space="preserve">or </w:t>
      </w:r>
      <w:r w:rsidR="004C4AB4">
        <w:rPr>
          <w:rFonts w:ascii="Times New Roman" w:hAnsi="Times New Roman" w:cs="Times New Roman"/>
          <w:sz w:val="24"/>
          <w:szCs w:val="24"/>
        </w:rPr>
        <w:t xml:space="preserve">cash or </w:t>
      </w:r>
      <w:r w:rsidR="0047582F">
        <w:rPr>
          <w:rFonts w:ascii="Times New Roman" w:hAnsi="Times New Roman" w:cs="Times New Roman"/>
          <w:sz w:val="24"/>
          <w:szCs w:val="24"/>
        </w:rPr>
        <w:t xml:space="preserve">a Letter of Credit in an amount </w:t>
      </w:r>
      <w:r w:rsidRPr="00FA0F71">
        <w:rPr>
          <w:rFonts w:ascii="Times New Roman" w:hAnsi="Times New Roman" w:cs="Times New Roman"/>
          <w:sz w:val="24"/>
          <w:szCs w:val="24"/>
        </w:rPr>
        <w:t>approved by HUD.  See Section 8.14</w:t>
      </w:r>
      <w:r w:rsidR="002B3FDB">
        <w:rPr>
          <w:rFonts w:ascii="Times New Roman" w:hAnsi="Times New Roman" w:cs="Times New Roman"/>
          <w:sz w:val="24"/>
          <w:szCs w:val="24"/>
        </w:rPr>
        <w:t>.N</w:t>
      </w:r>
      <w:r w:rsidRPr="00FA0F71">
        <w:rPr>
          <w:rFonts w:ascii="Times New Roman" w:hAnsi="Times New Roman" w:cs="Times New Roman"/>
          <w:sz w:val="24"/>
          <w:szCs w:val="24"/>
        </w:rPr>
        <w:t xml:space="preserve"> for the specific requirements.  </w:t>
      </w:r>
    </w:p>
    <w:p w:rsidRPr="00FA0F71" w:rsidR="006E573A" w:rsidP="006E573A" w:rsidRDefault="006E573A" w14:paraId="5B8554BB" w14:textId="77777777">
      <w:pPr>
        <w:spacing w:line="276" w:lineRule="auto"/>
        <w:ind w:left="360"/>
        <w:jc w:val="both"/>
        <w:rPr>
          <w:rFonts w:ascii="Times New Roman" w:hAnsi="Times New Roman" w:cs="Times New Roman"/>
          <w:sz w:val="24"/>
          <w:szCs w:val="24"/>
        </w:rPr>
      </w:pPr>
    </w:p>
    <w:p w:rsidRPr="00FA0F71" w:rsidR="006E573A" w:rsidP="002541AB" w:rsidRDefault="006E573A" w14:paraId="5B8554BC" w14:textId="3707DEE4">
      <w:pPr>
        <w:ind w:left="360" w:hanging="360"/>
        <w:jc w:val="both"/>
        <w:rPr>
          <w:rFonts w:ascii="Times New Roman" w:hAnsi="Times New Roman" w:cs="Times New Roman"/>
          <w:sz w:val="24"/>
          <w:szCs w:val="24"/>
        </w:rPr>
      </w:pPr>
      <w:r w:rsidRPr="00FA0F71">
        <w:rPr>
          <w:rFonts w:ascii="Times New Roman" w:hAnsi="Times New Roman" w:cs="Times New Roman"/>
          <w:sz w:val="24"/>
          <w:szCs w:val="24"/>
        </w:rPr>
        <w:t>H.</w:t>
      </w:r>
      <w:r w:rsidRPr="00FA0F71">
        <w:rPr>
          <w:rFonts w:ascii="Times New Roman" w:hAnsi="Times New Roman" w:cs="Times New Roman"/>
          <w:b/>
          <w:sz w:val="24"/>
          <w:szCs w:val="24"/>
        </w:rPr>
        <w:t xml:space="preserve">  </w:t>
      </w:r>
      <w:r w:rsidR="002541AB">
        <w:rPr>
          <w:rFonts w:ascii="Times New Roman" w:hAnsi="Times New Roman" w:cs="Times New Roman"/>
          <w:b/>
          <w:sz w:val="24"/>
          <w:szCs w:val="24"/>
        </w:rPr>
        <w:tab/>
      </w:r>
      <w:r w:rsidRPr="00FA0F71">
        <w:rPr>
          <w:rFonts w:ascii="Times New Roman" w:hAnsi="Times New Roman" w:cs="Times New Roman"/>
          <w:b/>
          <w:sz w:val="24"/>
          <w:szCs w:val="24"/>
        </w:rPr>
        <w:t>Absorption Period.</w:t>
      </w:r>
      <w:r w:rsidRPr="00FA0F71">
        <w:rPr>
          <w:rFonts w:ascii="Times New Roman" w:hAnsi="Times New Roman" w:cs="Times New Roman"/>
          <w:sz w:val="24"/>
          <w:szCs w:val="24"/>
        </w:rPr>
        <w:t xml:space="preserve">  The absorption period used in estimating market demand for proposed newly constructed or substantially rehabilitated units </w:t>
      </w:r>
      <w:r w:rsidR="00051B66">
        <w:rPr>
          <w:rFonts w:ascii="Times New Roman" w:hAnsi="Times New Roman" w:cs="Times New Roman"/>
          <w:sz w:val="24"/>
          <w:szCs w:val="24"/>
        </w:rPr>
        <w:t xml:space="preserve">should not exceed </w:t>
      </w:r>
      <w:r w:rsidRPr="00FA0F71">
        <w:rPr>
          <w:rFonts w:ascii="Times New Roman" w:hAnsi="Times New Roman" w:cs="Times New Roman"/>
          <w:sz w:val="24"/>
          <w:szCs w:val="24"/>
        </w:rPr>
        <w:t>18 months</w:t>
      </w:r>
      <w:r w:rsidR="00051B66">
        <w:rPr>
          <w:rFonts w:ascii="Times New Roman" w:hAnsi="Times New Roman" w:cs="Times New Roman"/>
          <w:sz w:val="24"/>
          <w:szCs w:val="24"/>
        </w:rPr>
        <w:t xml:space="preserve"> </w:t>
      </w:r>
      <w:r w:rsidR="00017EA7">
        <w:rPr>
          <w:rFonts w:ascii="Times New Roman" w:hAnsi="Times New Roman" w:cs="Times New Roman"/>
          <w:sz w:val="24"/>
          <w:szCs w:val="24"/>
        </w:rPr>
        <w:t>from delivery of the first units</w:t>
      </w:r>
      <w:r w:rsidRPr="00FA0F71">
        <w:rPr>
          <w:rFonts w:ascii="Times New Roman" w:hAnsi="Times New Roman" w:cs="Times New Roman"/>
          <w:sz w:val="24"/>
          <w:szCs w:val="24"/>
        </w:rPr>
        <w:t>.</w:t>
      </w:r>
      <w:r w:rsidR="00017EA7">
        <w:rPr>
          <w:rFonts w:ascii="Times New Roman" w:hAnsi="Times New Roman" w:cs="Times New Roman"/>
          <w:sz w:val="24"/>
          <w:szCs w:val="24"/>
        </w:rPr>
        <w:t xml:space="preserve"> The absorption period should be </w:t>
      </w:r>
      <w:r w:rsidR="0079269C">
        <w:rPr>
          <w:rFonts w:ascii="Times New Roman" w:hAnsi="Times New Roman" w:cs="Times New Roman"/>
          <w:sz w:val="24"/>
          <w:szCs w:val="24"/>
        </w:rPr>
        <w:t xml:space="preserve">supported by the </w:t>
      </w:r>
      <w:r w:rsidR="00BF6E80">
        <w:rPr>
          <w:rFonts w:ascii="Times New Roman" w:hAnsi="Times New Roman" w:cs="Times New Roman"/>
          <w:sz w:val="24"/>
          <w:szCs w:val="24"/>
        </w:rPr>
        <w:t>MAP Underwriter and fully explained in the Lenders Narrative.</w:t>
      </w:r>
      <w:r w:rsidR="0079269C">
        <w:rPr>
          <w:rFonts w:ascii="Times New Roman" w:hAnsi="Times New Roman" w:cs="Times New Roman"/>
          <w:sz w:val="24"/>
          <w:szCs w:val="24"/>
        </w:rPr>
        <w:t xml:space="preserve"> </w:t>
      </w:r>
      <w:r w:rsidRPr="00FA0F71">
        <w:rPr>
          <w:rFonts w:ascii="Times New Roman" w:hAnsi="Times New Roman" w:cs="Times New Roman"/>
          <w:sz w:val="24"/>
          <w:szCs w:val="24"/>
        </w:rPr>
        <w:t xml:space="preserve"> Larger projects may phase in additional units under a separate application for mortgage insurance.  An exception to the 18</w:t>
      </w:r>
      <w:r w:rsidR="00CA1E64">
        <w:rPr>
          <w:rFonts w:ascii="Times New Roman" w:hAnsi="Times New Roman" w:cs="Times New Roman"/>
          <w:sz w:val="24"/>
          <w:szCs w:val="24"/>
        </w:rPr>
        <w:t>-</w:t>
      </w:r>
      <w:r w:rsidRPr="00FA0F71">
        <w:rPr>
          <w:rFonts w:ascii="Times New Roman" w:hAnsi="Times New Roman" w:cs="Times New Roman"/>
          <w:sz w:val="24"/>
          <w:szCs w:val="24"/>
        </w:rPr>
        <w:t>month limitation on the absorption period may be considered by the Regional Center or Satellite Office Director for large high</w:t>
      </w:r>
      <w:r w:rsidR="004E1444">
        <w:rPr>
          <w:rFonts w:ascii="Times New Roman" w:hAnsi="Times New Roman" w:cs="Times New Roman"/>
          <w:sz w:val="24"/>
          <w:szCs w:val="24"/>
        </w:rPr>
        <w:t>-</w:t>
      </w:r>
      <w:r w:rsidRPr="00FA0F71">
        <w:rPr>
          <w:rFonts w:ascii="Times New Roman" w:hAnsi="Times New Roman" w:cs="Times New Roman"/>
          <w:sz w:val="24"/>
          <w:szCs w:val="24"/>
        </w:rPr>
        <w:t>rise buildings which will be evaluated based on their own merit and will require a larger initial operating deposit.</w:t>
      </w:r>
    </w:p>
    <w:p w:rsidRPr="00FA0F71" w:rsidR="006E573A" w:rsidP="003C47CB" w:rsidRDefault="006E573A" w14:paraId="5B8554BD" w14:textId="77777777">
      <w:pPr>
        <w:spacing w:line="276" w:lineRule="auto"/>
        <w:jc w:val="both"/>
        <w:rPr>
          <w:rFonts w:ascii="Times New Roman" w:hAnsi="Times New Roman" w:cs="Times New Roman"/>
          <w:sz w:val="24"/>
          <w:szCs w:val="24"/>
        </w:rPr>
      </w:pPr>
    </w:p>
    <w:p w:rsidR="008606D7" w:rsidP="0095533C" w:rsidRDefault="006E573A" w14:paraId="26D42FEF" w14:textId="625A0ECE">
      <w:pPr>
        <w:ind w:left="360" w:hanging="360"/>
        <w:jc w:val="both"/>
        <w:rPr>
          <w:rFonts w:ascii="Times New Roman" w:hAnsi="Times New Roman" w:cs="Times New Roman"/>
          <w:sz w:val="24"/>
          <w:szCs w:val="24"/>
        </w:rPr>
      </w:pPr>
      <w:r w:rsidRPr="00FA0F71">
        <w:rPr>
          <w:rFonts w:ascii="Times New Roman" w:hAnsi="Times New Roman" w:cs="Times New Roman"/>
          <w:b/>
          <w:bCs/>
          <w:sz w:val="24"/>
          <w:szCs w:val="24"/>
        </w:rPr>
        <w:t>I</w:t>
      </w:r>
      <w:r w:rsidRPr="00A64E41">
        <w:rPr>
          <w:rFonts w:ascii="Times New Roman" w:hAnsi="Times New Roman" w:cs="Times New Roman"/>
          <w:b/>
          <w:bCs/>
          <w:sz w:val="24"/>
          <w:szCs w:val="24"/>
        </w:rPr>
        <w:t xml:space="preserve">.   </w:t>
      </w:r>
      <w:r w:rsidRPr="00A64E41" w:rsidR="008606D7">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editId="640691DC" wp14:anchorId="353F9A13">
                <wp:simplePos x="0" y="0"/>
                <wp:positionH relativeFrom="page">
                  <wp:posOffset>572770</wp:posOffset>
                </wp:positionH>
                <wp:positionV relativeFrom="page">
                  <wp:posOffset>9253855</wp:posOffset>
                </wp:positionV>
                <wp:extent cx="6514465" cy="0"/>
                <wp:effectExtent l="10795" t="5080"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4465" cy="0"/>
                        </a:xfrm>
                        <a:prstGeom prst="line">
                          <a:avLst/>
                        </a:prstGeom>
                        <a:noFill/>
                        <a:ln w="3175">
                          <a:solidFill>
                            <a:srgbClr val="9F9F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AE8F890">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9f9f9f" strokeweight=".25pt" from="45.1pt,728.65pt" to="558.05pt,728.65pt" w14:anchorId="63706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">
                <w10:wrap anchorx="page" anchory="page"/>
              </v:line>
            </w:pict>
          </mc:Fallback>
        </mc:AlternateContent>
      </w:r>
      <w:r w:rsidRPr="00A64E41" w:rsidR="008606D7">
        <w:rPr>
          <w:rFonts w:ascii="Times New Roman" w:hAnsi="Times New Roman" w:cs="Times New Roman"/>
          <w:b/>
          <w:sz w:val="24"/>
          <w:szCs w:val="24"/>
        </w:rPr>
        <w:t>Marketing and Leasing Plan</w:t>
      </w:r>
      <w:r w:rsidRPr="00A64E41" w:rsidR="008606D7">
        <w:rPr>
          <w:rFonts w:ascii="Times New Roman" w:hAnsi="Times New Roman" w:cs="Times New Roman"/>
          <w:sz w:val="24"/>
          <w:szCs w:val="24"/>
        </w:rPr>
        <w:t xml:space="preserve">.  All projects that require absorption of units at economic rents to achieve break-even occupancy must submit a detailed marketing and leasing plan, and a budget reviewed and confirmed by the proposed property management company. The plan must discuss when marketing efforts will begin, when the leasing office and model units will open, how the leasing office will be staffed, and the project’s marketing and advertising strategy. The plan must address timing of the construction progress schedule with respect to egress and ingress into the project, landscaping and access to amenities. These items are in addition to those required by the Affirmative Fair Housing Marketing Plan. </w:t>
      </w:r>
      <w:r w:rsidR="00A64E41">
        <w:rPr>
          <w:rFonts w:ascii="Times New Roman" w:hAnsi="Times New Roman" w:cs="Times New Roman"/>
          <w:sz w:val="24"/>
          <w:szCs w:val="24"/>
        </w:rPr>
        <w:t xml:space="preserve"> </w:t>
      </w:r>
    </w:p>
    <w:p w:rsidRPr="008606D7" w:rsidR="0033419E" w:rsidP="0095533C" w:rsidRDefault="0033419E" w14:paraId="38F303F5" w14:textId="77777777">
      <w:pPr>
        <w:ind w:left="360" w:hanging="360"/>
        <w:jc w:val="both"/>
        <w:rPr>
          <w:rFonts w:ascii="Times New Roman" w:hAnsi="Times New Roman" w:cs="Times New Roman"/>
          <w:b/>
          <w:bCs/>
          <w:sz w:val="24"/>
          <w:szCs w:val="24"/>
        </w:rPr>
      </w:pPr>
    </w:p>
    <w:p w:rsidRPr="00FA0F71" w:rsidR="006E573A" w:rsidP="006E573A" w:rsidRDefault="006E573A" w14:paraId="5B8554D0" w14:textId="746C6229">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J.</w:t>
      </w:r>
      <w:r w:rsidRPr="00FA0F71">
        <w:rPr>
          <w:rFonts w:ascii="Times New Roman" w:hAnsi="Times New Roman" w:cs="Times New Roman"/>
          <w:b/>
          <w:sz w:val="24"/>
          <w:szCs w:val="24"/>
        </w:rPr>
        <w:t xml:space="preserve"> Working Capital Escrow.</w:t>
      </w:r>
      <w:r w:rsidRPr="00FA0F71">
        <w:rPr>
          <w:rFonts w:ascii="Times New Roman" w:hAnsi="Times New Roman" w:cs="Times New Roman"/>
          <w:sz w:val="24"/>
          <w:szCs w:val="24"/>
        </w:rPr>
        <w:t xml:space="preserve">  The Working Capital Escrow is designed to cover accruals of taxes, insurance, and interest above the amounts capitalized in the mortgage in the case of construction delay.  The escrow may also be used to pay for construction contingencies for cost overruns and change orders, and other miscellaneous expenses which are not included in the mortgage and required for new construction and substantial rehabilitation proposals.  </w:t>
      </w:r>
      <w:r w:rsidR="00B10017">
        <w:rPr>
          <w:rFonts w:ascii="Times New Roman" w:hAnsi="Times New Roman" w:cs="Times New Roman"/>
          <w:sz w:val="24"/>
          <w:szCs w:val="24"/>
        </w:rPr>
        <w:t xml:space="preserve">For </w:t>
      </w:r>
      <w:r w:rsidR="00B11233">
        <w:rPr>
          <w:rFonts w:ascii="Times New Roman" w:hAnsi="Times New Roman" w:cs="Times New Roman"/>
          <w:sz w:val="24"/>
          <w:szCs w:val="24"/>
        </w:rPr>
        <w:t>new construction the Working Capital Escrow is 4% of</w:t>
      </w:r>
      <w:r w:rsidR="00337A82">
        <w:rPr>
          <w:rFonts w:ascii="Times New Roman" w:hAnsi="Times New Roman" w:cs="Times New Roman"/>
          <w:sz w:val="24"/>
          <w:szCs w:val="24"/>
        </w:rPr>
        <w:t xml:space="preserve"> the mortgage amount with </w:t>
      </w:r>
      <w:r w:rsidR="00034CD7">
        <w:rPr>
          <w:rFonts w:ascii="Times New Roman" w:hAnsi="Times New Roman" w:cs="Times New Roman"/>
          <w:sz w:val="24"/>
          <w:szCs w:val="24"/>
        </w:rPr>
        <w:t xml:space="preserve">2% set aside </w:t>
      </w:r>
      <w:r w:rsidR="006F3279">
        <w:rPr>
          <w:rFonts w:ascii="Times New Roman" w:hAnsi="Times New Roman" w:cs="Times New Roman"/>
          <w:sz w:val="24"/>
          <w:szCs w:val="24"/>
        </w:rPr>
        <w:t>specifically as a construction conting</w:t>
      </w:r>
      <w:r w:rsidR="00C24BBC">
        <w:rPr>
          <w:rFonts w:ascii="Times New Roman" w:hAnsi="Times New Roman" w:cs="Times New Roman"/>
          <w:sz w:val="24"/>
          <w:szCs w:val="24"/>
        </w:rPr>
        <w:t xml:space="preserve">ency to cover </w:t>
      </w:r>
      <w:r w:rsidR="00DD739F">
        <w:rPr>
          <w:rFonts w:ascii="Times New Roman" w:hAnsi="Times New Roman" w:cs="Times New Roman"/>
          <w:sz w:val="24"/>
          <w:szCs w:val="24"/>
        </w:rPr>
        <w:t>construction cost overruns and change orders</w:t>
      </w:r>
      <w:r w:rsidR="00D97866">
        <w:rPr>
          <w:rFonts w:ascii="Times New Roman" w:hAnsi="Times New Roman" w:cs="Times New Roman"/>
          <w:sz w:val="24"/>
          <w:szCs w:val="24"/>
        </w:rPr>
        <w:t xml:space="preserve"> and the other 2% to cover excess soft costs</w:t>
      </w:r>
      <w:r w:rsidR="00524599">
        <w:rPr>
          <w:rFonts w:ascii="Times New Roman" w:hAnsi="Times New Roman" w:cs="Times New Roman"/>
          <w:sz w:val="24"/>
          <w:szCs w:val="24"/>
        </w:rPr>
        <w:t xml:space="preserve"> or costs of </w:t>
      </w:r>
      <w:r w:rsidR="00DC731E">
        <w:rPr>
          <w:rFonts w:ascii="Times New Roman" w:hAnsi="Times New Roman" w:cs="Times New Roman"/>
          <w:sz w:val="24"/>
          <w:szCs w:val="24"/>
        </w:rPr>
        <w:t>putting the project</w:t>
      </w:r>
      <w:r w:rsidR="00B72426">
        <w:rPr>
          <w:rFonts w:ascii="Times New Roman" w:hAnsi="Times New Roman" w:cs="Times New Roman"/>
          <w:sz w:val="24"/>
          <w:szCs w:val="24"/>
        </w:rPr>
        <w:t xml:space="preserve"> in operation. </w:t>
      </w:r>
      <w:r w:rsidR="00003489">
        <w:rPr>
          <w:rFonts w:ascii="Times New Roman" w:hAnsi="Times New Roman" w:cs="Times New Roman"/>
          <w:sz w:val="24"/>
          <w:szCs w:val="24"/>
        </w:rPr>
        <w:t>For substantial rehabilitation</w:t>
      </w:r>
      <w:r w:rsidR="008725E9">
        <w:rPr>
          <w:rFonts w:ascii="Times New Roman" w:hAnsi="Times New Roman" w:cs="Times New Roman"/>
          <w:sz w:val="24"/>
          <w:szCs w:val="24"/>
        </w:rPr>
        <w:t>,</w:t>
      </w:r>
      <w:r w:rsidR="00003489">
        <w:rPr>
          <w:rFonts w:ascii="Times New Roman" w:hAnsi="Times New Roman" w:cs="Times New Roman"/>
          <w:sz w:val="24"/>
          <w:szCs w:val="24"/>
        </w:rPr>
        <w:t xml:space="preserve"> the Working Capital Escrow is </w:t>
      </w:r>
      <w:r w:rsidR="002F28FA">
        <w:rPr>
          <w:rFonts w:ascii="Times New Roman" w:hAnsi="Times New Roman" w:cs="Times New Roman"/>
          <w:sz w:val="24"/>
          <w:szCs w:val="24"/>
        </w:rPr>
        <w:t xml:space="preserve">2% (a construction contingency is permitted in the construction </w:t>
      </w:r>
      <w:r w:rsidR="005821EB">
        <w:rPr>
          <w:rFonts w:ascii="Times New Roman" w:hAnsi="Times New Roman" w:cs="Times New Roman"/>
          <w:sz w:val="24"/>
          <w:szCs w:val="24"/>
        </w:rPr>
        <w:t>costs of substantial rehabilitation projects)</w:t>
      </w:r>
      <w:r w:rsidR="00D2554C">
        <w:rPr>
          <w:rFonts w:ascii="Times New Roman" w:hAnsi="Times New Roman" w:cs="Times New Roman"/>
          <w:sz w:val="24"/>
          <w:szCs w:val="24"/>
        </w:rPr>
        <w:t>.</w:t>
      </w:r>
      <w:r w:rsidR="005821EB">
        <w:rPr>
          <w:rFonts w:ascii="Times New Roman" w:hAnsi="Times New Roman" w:cs="Times New Roman"/>
          <w:sz w:val="24"/>
          <w:szCs w:val="24"/>
        </w:rPr>
        <w:t xml:space="preserve"> </w:t>
      </w:r>
      <w:r w:rsidR="0088752A">
        <w:rPr>
          <w:rFonts w:ascii="Times New Roman" w:hAnsi="Times New Roman" w:cs="Times New Roman"/>
          <w:sz w:val="24"/>
          <w:szCs w:val="24"/>
        </w:rPr>
        <w:t>S</w:t>
      </w:r>
      <w:r w:rsidRPr="00756002" w:rsidR="00756002">
        <w:rPr>
          <w:rFonts w:ascii="Times New Roman" w:hAnsi="Times New Roman" w:cs="Times New Roman"/>
          <w:sz w:val="24"/>
          <w:szCs w:val="24"/>
        </w:rPr>
        <w:t xml:space="preserve">ubstantial rehabilitation projects with Section 8 rental assistance </w:t>
      </w:r>
      <w:r w:rsidR="009C780D">
        <w:rPr>
          <w:rFonts w:ascii="Times New Roman" w:hAnsi="Times New Roman" w:cs="Times New Roman"/>
          <w:sz w:val="24"/>
          <w:szCs w:val="24"/>
        </w:rPr>
        <w:t xml:space="preserve">for 90% </w:t>
      </w:r>
      <w:r w:rsidR="0014689B">
        <w:rPr>
          <w:rFonts w:ascii="Times New Roman" w:hAnsi="Times New Roman" w:cs="Times New Roman"/>
          <w:sz w:val="24"/>
          <w:szCs w:val="24"/>
        </w:rPr>
        <w:t xml:space="preserve">or more </w:t>
      </w:r>
      <w:r w:rsidR="009C780D">
        <w:rPr>
          <w:rFonts w:ascii="Times New Roman" w:hAnsi="Times New Roman" w:cs="Times New Roman"/>
          <w:sz w:val="24"/>
          <w:szCs w:val="24"/>
        </w:rPr>
        <w:t xml:space="preserve">of units </w:t>
      </w:r>
      <w:r w:rsidR="00D2554C">
        <w:rPr>
          <w:rFonts w:ascii="Times New Roman" w:hAnsi="Times New Roman" w:cs="Times New Roman"/>
          <w:sz w:val="24"/>
          <w:szCs w:val="24"/>
        </w:rPr>
        <w:t xml:space="preserve">(with </w:t>
      </w:r>
      <w:r w:rsidR="009C780D">
        <w:rPr>
          <w:rFonts w:ascii="Times New Roman" w:hAnsi="Times New Roman" w:cs="Times New Roman"/>
          <w:sz w:val="24"/>
          <w:szCs w:val="24"/>
        </w:rPr>
        <w:t xml:space="preserve">or </w:t>
      </w:r>
      <w:r w:rsidR="00D2554C">
        <w:rPr>
          <w:rFonts w:ascii="Times New Roman" w:hAnsi="Times New Roman" w:cs="Times New Roman"/>
          <w:sz w:val="24"/>
          <w:szCs w:val="24"/>
        </w:rPr>
        <w:t>without</w:t>
      </w:r>
      <w:r w:rsidRPr="00756002" w:rsidR="00756002">
        <w:rPr>
          <w:rFonts w:ascii="Times New Roman" w:hAnsi="Times New Roman" w:cs="Times New Roman"/>
          <w:sz w:val="24"/>
          <w:szCs w:val="24"/>
        </w:rPr>
        <w:t xml:space="preserve"> LIHTC restrictions</w:t>
      </w:r>
      <w:r w:rsidR="00D2554C">
        <w:rPr>
          <w:rFonts w:ascii="Times New Roman" w:hAnsi="Times New Roman" w:cs="Times New Roman"/>
          <w:sz w:val="24"/>
          <w:szCs w:val="24"/>
        </w:rPr>
        <w:t>)</w:t>
      </w:r>
      <w:r w:rsidRPr="00756002" w:rsidR="00756002">
        <w:rPr>
          <w:rFonts w:ascii="Times New Roman" w:hAnsi="Times New Roman" w:cs="Times New Roman"/>
          <w:sz w:val="24"/>
          <w:szCs w:val="24"/>
        </w:rPr>
        <w:t xml:space="preserve"> </w:t>
      </w:r>
      <w:r w:rsidR="005C44D6">
        <w:rPr>
          <w:rFonts w:ascii="Times New Roman" w:hAnsi="Times New Roman" w:cs="Times New Roman"/>
          <w:sz w:val="24"/>
          <w:szCs w:val="24"/>
        </w:rPr>
        <w:t xml:space="preserve">do not require a Working Capital Escrow </w:t>
      </w:r>
      <w:r w:rsidRPr="00756002" w:rsidR="00756002">
        <w:rPr>
          <w:rFonts w:ascii="Times New Roman" w:hAnsi="Times New Roman" w:cs="Times New Roman"/>
          <w:sz w:val="24"/>
          <w:szCs w:val="24"/>
        </w:rPr>
        <w:t>when the Lender demonstrate</w:t>
      </w:r>
      <w:r w:rsidR="00041D6B">
        <w:rPr>
          <w:rFonts w:ascii="Times New Roman" w:hAnsi="Times New Roman" w:cs="Times New Roman"/>
          <w:sz w:val="24"/>
          <w:szCs w:val="24"/>
        </w:rPr>
        <w:t>s</w:t>
      </w:r>
      <w:r w:rsidRPr="00756002" w:rsidR="00756002">
        <w:rPr>
          <w:rFonts w:ascii="Times New Roman" w:hAnsi="Times New Roman" w:cs="Times New Roman"/>
          <w:sz w:val="24"/>
          <w:szCs w:val="24"/>
        </w:rPr>
        <w:t xml:space="preserve"> there will be sufficient income generated by the property during the rehab period to cover items typically funded by the Working Capital Escrow and when interim income is not being used as a source of financing.</w:t>
      </w:r>
      <w:r w:rsidR="00756002">
        <w:rPr>
          <w:rFonts w:ascii="Times New Roman" w:hAnsi="Times New Roman" w:cs="Times New Roman"/>
          <w:sz w:val="24"/>
          <w:szCs w:val="24"/>
        </w:rPr>
        <w:t xml:space="preserve"> </w:t>
      </w:r>
      <w:r w:rsidRPr="005040FC" w:rsidR="005040FC">
        <w:rPr>
          <w:rFonts w:ascii="Times New Roman" w:hAnsi="Times New Roman" w:cs="Times New Roman"/>
          <w:sz w:val="24"/>
          <w:szCs w:val="24"/>
        </w:rPr>
        <w:t xml:space="preserve"> </w:t>
      </w:r>
      <w:r w:rsidRPr="00FA0F71">
        <w:rPr>
          <w:rFonts w:ascii="Times New Roman" w:hAnsi="Times New Roman" w:cs="Times New Roman"/>
          <w:sz w:val="24"/>
          <w:szCs w:val="24"/>
        </w:rPr>
        <w:t xml:space="preserve">  </w:t>
      </w:r>
    </w:p>
    <w:p w:rsidRPr="00FA0F71" w:rsidR="006E573A" w:rsidP="006E573A" w:rsidRDefault="006E573A" w14:paraId="5B8554D1" w14:textId="77777777">
      <w:pPr>
        <w:spacing w:line="276" w:lineRule="auto"/>
        <w:ind w:left="360"/>
        <w:jc w:val="both"/>
        <w:rPr>
          <w:rFonts w:ascii="Times New Roman" w:hAnsi="Times New Roman" w:cs="Times New Roman"/>
          <w:sz w:val="24"/>
          <w:szCs w:val="24"/>
        </w:rPr>
      </w:pPr>
    </w:p>
    <w:p w:rsidRPr="00FA0F71" w:rsidR="006E573A" w:rsidP="006E573A" w:rsidRDefault="006E573A" w14:paraId="5B8554D2" w14:textId="58CD4D46">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K.</w:t>
      </w:r>
      <w:r w:rsidRPr="00FA0F71">
        <w:rPr>
          <w:rFonts w:ascii="Times New Roman" w:hAnsi="Times New Roman" w:cs="Times New Roman"/>
          <w:b/>
          <w:sz w:val="24"/>
          <w:szCs w:val="24"/>
        </w:rPr>
        <w:t xml:space="preserve"> Furniture, Fixture and Equipment (FF&amp;E) in Cost Basis.</w:t>
      </w:r>
      <w:r w:rsidRPr="00FA0F71">
        <w:rPr>
          <w:rFonts w:ascii="Times New Roman" w:hAnsi="Times New Roman" w:cs="Times New Roman"/>
          <w:sz w:val="24"/>
          <w:szCs w:val="24"/>
        </w:rPr>
        <w:t xml:space="preserve">  Reasonable costs of Furniture, Fixture and Equipment may be included in mortgageable project costs and in the Reserves for Replacement for new construction and substantial rehabilitation proposals.  See Chapter 5, Section 5.11.D.4.i for FF&amp;E examples and guidance.  All funded FF&amp;E will be subject to </w:t>
      </w:r>
      <w:r w:rsidR="00323D32">
        <w:rPr>
          <w:rFonts w:ascii="Times New Roman" w:hAnsi="Times New Roman" w:cs="Times New Roman"/>
          <w:sz w:val="24"/>
          <w:szCs w:val="24"/>
        </w:rPr>
        <w:t xml:space="preserve">FHA MAP Lender’s </w:t>
      </w:r>
      <w:r w:rsidRPr="00FA0F71">
        <w:rPr>
          <w:rFonts w:ascii="Times New Roman" w:hAnsi="Times New Roman" w:cs="Times New Roman"/>
          <w:sz w:val="24"/>
          <w:szCs w:val="24"/>
        </w:rPr>
        <w:t>security instruments.</w:t>
      </w:r>
    </w:p>
    <w:p w:rsidRPr="00FA0F71" w:rsidR="006E573A" w:rsidP="006E573A" w:rsidRDefault="006E573A" w14:paraId="5B8554D3" w14:textId="77777777">
      <w:pPr>
        <w:spacing w:line="276" w:lineRule="auto"/>
        <w:ind w:left="360"/>
        <w:jc w:val="both"/>
        <w:rPr>
          <w:rFonts w:ascii="Times New Roman" w:hAnsi="Times New Roman" w:cs="Times New Roman"/>
          <w:sz w:val="24"/>
          <w:szCs w:val="24"/>
        </w:rPr>
      </w:pPr>
    </w:p>
    <w:p w:rsidRPr="00FA0F71" w:rsidR="006E573A" w:rsidP="006E573A" w:rsidRDefault="006E573A" w14:paraId="5B8554D4" w14:textId="4FACD493">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L.</w:t>
      </w:r>
      <w:r w:rsidRPr="00FA0F71">
        <w:rPr>
          <w:rFonts w:ascii="Times New Roman" w:hAnsi="Times New Roman" w:cs="Times New Roman"/>
          <w:b/>
          <w:sz w:val="24"/>
          <w:szCs w:val="24"/>
        </w:rPr>
        <w:t xml:space="preserve"> Elderly Developments.</w:t>
      </w:r>
      <w:r w:rsidRPr="00FA0F71">
        <w:rPr>
          <w:rFonts w:ascii="Times New Roman" w:hAnsi="Times New Roman" w:cs="Times New Roman"/>
          <w:sz w:val="24"/>
          <w:szCs w:val="24"/>
        </w:rPr>
        <w:t xml:space="preserve">  New construction or substantial rehabilitation of apartments specifically designed with occupancy restricted to the elderly age 62 and over should be processed under Section 231.  Age restricted projects are not eligible under Section 220.  Age restricted Multifamily projects may be considered under other Sections of the Act (e.g., Section 221(d)(4) or 223(f)) so long as they comply with the provisions of Section 3.1</w:t>
      </w:r>
      <w:r w:rsidR="00B174B5">
        <w:rPr>
          <w:rFonts w:ascii="Times New Roman" w:hAnsi="Times New Roman" w:cs="Times New Roman"/>
          <w:sz w:val="24"/>
          <w:szCs w:val="24"/>
        </w:rPr>
        <w:t>1</w:t>
      </w:r>
      <w:r w:rsidRPr="00FA0F71">
        <w:rPr>
          <w:rFonts w:ascii="Times New Roman" w:hAnsi="Times New Roman" w:cs="Times New Roman"/>
          <w:sz w:val="24"/>
          <w:szCs w:val="24"/>
        </w:rPr>
        <w:t>.</w:t>
      </w:r>
      <w:r w:rsidRPr="00FA0F71" w:rsidDel="00903A67">
        <w:rPr>
          <w:rFonts w:ascii="Times New Roman" w:hAnsi="Times New Roman" w:cs="Times New Roman"/>
          <w:sz w:val="24"/>
          <w:szCs w:val="24"/>
        </w:rPr>
        <w:t xml:space="preserve"> </w:t>
      </w:r>
    </w:p>
    <w:p w:rsidRPr="00FA0F71" w:rsidR="006E573A" w:rsidP="006E573A" w:rsidRDefault="006E573A" w14:paraId="5B8554D5" w14:textId="77777777">
      <w:pPr>
        <w:spacing w:line="276" w:lineRule="auto"/>
        <w:ind w:left="360"/>
        <w:jc w:val="both"/>
        <w:rPr>
          <w:rFonts w:ascii="Times New Roman" w:hAnsi="Times New Roman" w:cs="Times New Roman"/>
          <w:b/>
          <w:sz w:val="24"/>
          <w:szCs w:val="24"/>
        </w:rPr>
      </w:pPr>
    </w:p>
    <w:p w:rsidRPr="00FA0F71" w:rsidR="006E573A" w:rsidP="006E573A" w:rsidRDefault="006E573A" w14:paraId="5B8554D6" w14:textId="571A586F">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M.</w:t>
      </w:r>
      <w:r w:rsidR="00DD1030">
        <w:rPr>
          <w:rFonts w:ascii="Times New Roman" w:hAnsi="Times New Roman" w:cs="Times New Roman"/>
          <w:b/>
          <w:sz w:val="24"/>
          <w:szCs w:val="24"/>
        </w:rPr>
        <w:t xml:space="preserve"> </w:t>
      </w:r>
      <w:r w:rsidRPr="00FA0F71">
        <w:rPr>
          <w:rFonts w:ascii="Times New Roman" w:hAnsi="Times New Roman" w:cs="Times New Roman"/>
          <w:b/>
          <w:sz w:val="24"/>
          <w:szCs w:val="24"/>
        </w:rPr>
        <w:t>Occupancy Preference</w:t>
      </w:r>
      <w:r w:rsidRPr="00FA0F71">
        <w:rPr>
          <w:rFonts w:ascii="Times New Roman" w:hAnsi="Times New Roman" w:cs="Times New Roman"/>
          <w:sz w:val="24"/>
          <w:szCs w:val="24"/>
        </w:rPr>
        <w:t xml:space="preserve">.  Sponsoring nonprofit organizations such as labor unions, professional groups, religious organizations, and fraternal or civic organizations, may give preference to their members, provided membership in the organization is open without regard to race, color, national origin, sex, sexual orientation, gender identity, marital status, </w:t>
      </w:r>
      <w:r w:rsidR="00870356">
        <w:rPr>
          <w:rFonts w:ascii="Times New Roman" w:hAnsi="Times New Roman" w:cs="Times New Roman"/>
          <w:sz w:val="24"/>
          <w:szCs w:val="24"/>
        </w:rPr>
        <w:t>familial status</w:t>
      </w:r>
      <w:r w:rsidR="003B1EEB">
        <w:rPr>
          <w:rFonts w:ascii="Times New Roman" w:hAnsi="Times New Roman" w:cs="Times New Roman"/>
          <w:sz w:val="24"/>
          <w:szCs w:val="24"/>
        </w:rPr>
        <w:t xml:space="preserve">, </w:t>
      </w:r>
      <w:r w:rsidRPr="00FA0F71">
        <w:rPr>
          <w:rFonts w:ascii="Times New Roman" w:hAnsi="Times New Roman" w:cs="Times New Roman"/>
          <w:sz w:val="24"/>
          <w:szCs w:val="24"/>
        </w:rPr>
        <w:t xml:space="preserve">age, disability or religion.  However, sponsors cannot restrict occupancy solely to their members.  Preferences may also be given to other groups such as veterans, homeless persons, victims of domestic violence, etc.  </w:t>
      </w:r>
    </w:p>
    <w:p w:rsidRPr="00FA0F71" w:rsidR="006E573A" w:rsidP="006E573A" w:rsidRDefault="006E573A" w14:paraId="5B8554D7" w14:textId="77777777">
      <w:pPr>
        <w:spacing w:line="276" w:lineRule="auto"/>
        <w:ind w:left="360" w:hanging="360"/>
        <w:jc w:val="both"/>
        <w:rPr>
          <w:rFonts w:ascii="Times New Roman" w:hAnsi="Times New Roman" w:cs="Times New Roman"/>
          <w:sz w:val="24"/>
          <w:szCs w:val="24"/>
        </w:rPr>
      </w:pPr>
    </w:p>
    <w:p w:rsidRPr="00FA0F71" w:rsidR="00E805E5" w:rsidP="00892270" w:rsidRDefault="006E573A" w14:paraId="29A51629" w14:textId="3463E757">
      <w:pPr>
        <w:spacing w:line="276" w:lineRule="auto"/>
        <w:ind w:left="360"/>
        <w:jc w:val="both"/>
        <w:rPr>
          <w:rFonts w:ascii="Times New Roman" w:hAnsi="Times New Roman" w:cs="Times New Roman"/>
          <w:sz w:val="24"/>
          <w:szCs w:val="24"/>
        </w:rPr>
      </w:pPr>
      <w:r w:rsidRPr="00FA0F71">
        <w:rPr>
          <w:rFonts w:ascii="Times New Roman" w:hAnsi="Times New Roman" w:cs="Times New Roman"/>
          <w:sz w:val="24"/>
          <w:szCs w:val="24"/>
        </w:rPr>
        <w:t xml:space="preserve">Residency preferences </w:t>
      </w:r>
      <w:r w:rsidR="002207A8">
        <w:rPr>
          <w:rFonts w:ascii="Times New Roman" w:hAnsi="Times New Roman" w:cs="Times New Roman"/>
          <w:sz w:val="24"/>
          <w:szCs w:val="24"/>
        </w:rPr>
        <w:t xml:space="preserve">require HUD approval </w:t>
      </w:r>
      <w:r w:rsidR="000C4D37">
        <w:rPr>
          <w:rFonts w:ascii="Times New Roman" w:hAnsi="Times New Roman" w:cs="Times New Roman"/>
          <w:sz w:val="24"/>
          <w:szCs w:val="24"/>
        </w:rPr>
        <w:t>(24 CFR 5.655(c)</w:t>
      </w:r>
      <w:r w:rsidR="001F17BF">
        <w:rPr>
          <w:rFonts w:ascii="Times New Roman" w:hAnsi="Times New Roman" w:cs="Times New Roman"/>
          <w:sz w:val="24"/>
          <w:szCs w:val="24"/>
        </w:rPr>
        <w:t xml:space="preserve">(1)(iii) </w:t>
      </w:r>
      <w:r w:rsidR="002207A8">
        <w:rPr>
          <w:rFonts w:ascii="Times New Roman" w:hAnsi="Times New Roman" w:cs="Times New Roman"/>
          <w:sz w:val="24"/>
          <w:szCs w:val="24"/>
        </w:rPr>
        <w:t xml:space="preserve">and </w:t>
      </w:r>
      <w:r w:rsidRPr="00FA0F71">
        <w:rPr>
          <w:rFonts w:ascii="Times New Roman" w:hAnsi="Times New Roman" w:cs="Times New Roman"/>
          <w:sz w:val="24"/>
          <w:szCs w:val="24"/>
        </w:rPr>
        <w:t xml:space="preserve">may be used </w:t>
      </w:r>
      <w:r w:rsidR="001F1D6D">
        <w:rPr>
          <w:rFonts w:ascii="Times New Roman" w:hAnsi="Times New Roman" w:cs="Times New Roman"/>
          <w:sz w:val="24"/>
          <w:szCs w:val="24"/>
        </w:rPr>
        <w:t>only</w:t>
      </w:r>
      <w:r w:rsidRPr="00FA0F71">
        <w:rPr>
          <w:rFonts w:ascii="Times New Roman" w:hAnsi="Times New Roman" w:cs="Times New Roman"/>
          <w:sz w:val="24"/>
          <w:szCs w:val="24"/>
        </w:rPr>
        <w:t xml:space="preserve"> under conditions specified in the Affirmative Fair Housing Marketing Plan instructions and 24 CFR 5.655(c)(1), so that they may not create a disparate impact in selection against protected classes. In no case may special preference be given to children of current residents since the demographics of housing markets and labor pools change.  Similarly, projects (regardless of ownership) may target occupancy to various demographic groups (such as “workforce housing”) so long as there is sufficient and sustainable market and Affirmative Fair Housing Marketing Plans and other management plan exhibits demonstrate the property will not discriminate against any particular race, color, national</w:t>
      </w:r>
      <w:r w:rsidR="00A60115">
        <w:rPr>
          <w:rFonts w:ascii="Times New Roman" w:hAnsi="Times New Roman" w:cs="Times New Roman"/>
          <w:sz w:val="24"/>
          <w:szCs w:val="24"/>
        </w:rPr>
        <w:t xml:space="preserve"> origin </w:t>
      </w:r>
      <w:r w:rsidRPr="00FA0F71">
        <w:rPr>
          <w:rFonts w:ascii="Times New Roman" w:hAnsi="Times New Roman" w:cs="Times New Roman"/>
          <w:sz w:val="24"/>
          <w:szCs w:val="24"/>
        </w:rPr>
        <w:t>, religion, sex, disability, familial status, sexual orientation and gender identity and age.</w:t>
      </w:r>
      <w:r w:rsidR="00E805E5">
        <w:rPr>
          <w:rFonts w:ascii="Times New Roman" w:hAnsi="Times New Roman" w:cs="Times New Roman"/>
          <w:sz w:val="24"/>
          <w:szCs w:val="24"/>
        </w:rPr>
        <w:t xml:space="preserve">  Additionally, if an owner adopts a preference for working families, an applicant shall be given the benefit of the working family</w:t>
      </w:r>
      <w:r w:rsidR="003B22B2">
        <w:rPr>
          <w:rFonts w:ascii="Times New Roman" w:hAnsi="Times New Roman" w:cs="Times New Roman"/>
          <w:sz w:val="24"/>
          <w:szCs w:val="24"/>
        </w:rPr>
        <w:t xml:space="preserve"> preference if the head and spo</w:t>
      </w:r>
      <w:r w:rsidR="00866FB5">
        <w:rPr>
          <w:rFonts w:ascii="Times New Roman" w:hAnsi="Times New Roman" w:cs="Times New Roman"/>
          <w:sz w:val="24"/>
          <w:szCs w:val="24"/>
        </w:rPr>
        <w:t>use, or sole member, is age 62 or older, or is a person with disabilities</w:t>
      </w:r>
      <w:r w:rsidR="00E74B4F">
        <w:rPr>
          <w:rFonts w:ascii="Times New Roman" w:hAnsi="Times New Roman" w:cs="Times New Roman"/>
          <w:sz w:val="24"/>
          <w:szCs w:val="24"/>
        </w:rPr>
        <w:t xml:space="preserve">.  See 24 CFR 5.655 </w:t>
      </w:r>
      <w:r w:rsidR="00913CA7">
        <w:rPr>
          <w:rFonts w:ascii="Times New Roman" w:hAnsi="Times New Roman" w:cs="Times New Roman"/>
          <w:sz w:val="24"/>
          <w:szCs w:val="24"/>
        </w:rPr>
        <w:t>(c</w:t>
      </w:r>
      <w:r w:rsidR="00892270">
        <w:rPr>
          <w:rFonts w:ascii="Times New Roman" w:hAnsi="Times New Roman" w:cs="Times New Roman"/>
          <w:sz w:val="24"/>
          <w:szCs w:val="24"/>
        </w:rPr>
        <w:t>)</w:t>
      </w:r>
      <w:r w:rsidR="00E74B4F">
        <w:rPr>
          <w:rFonts w:ascii="Times New Roman" w:hAnsi="Times New Roman" w:cs="Times New Roman"/>
          <w:sz w:val="24"/>
          <w:szCs w:val="24"/>
        </w:rPr>
        <w:t>(2).</w:t>
      </w:r>
    </w:p>
    <w:p w:rsidRPr="00FA0F71" w:rsidR="006E573A" w:rsidP="006E573A" w:rsidRDefault="006E573A" w14:paraId="5B8554D9" w14:textId="77777777">
      <w:pPr>
        <w:spacing w:line="276" w:lineRule="auto"/>
        <w:ind w:left="360"/>
        <w:jc w:val="both"/>
        <w:rPr>
          <w:rFonts w:ascii="Times New Roman" w:hAnsi="Times New Roman" w:cs="Times New Roman"/>
          <w:sz w:val="24"/>
          <w:szCs w:val="24"/>
        </w:rPr>
      </w:pPr>
    </w:p>
    <w:p w:rsidRPr="00FA0F71" w:rsidR="006E573A" w:rsidP="006E573A" w:rsidRDefault="006E573A" w14:paraId="5B8554DA" w14:textId="1302DFA5">
      <w:pPr>
        <w:spacing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 xml:space="preserve">N. </w:t>
      </w:r>
      <w:r w:rsidR="00DD1030">
        <w:rPr>
          <w:rFonts w:ascii="Times New Roman" w:hAnsi="Times New Roman" w:cs="Times New Roman"/>
          <w:sz w:val="24"/>
          <w:szCs w:val="24"/>
        </w:rPr>
        <w:t xml:space="preserve"> </w:t>
      </w:r>
      <w:r w:rsidRPr="00FA0F71">
        <w:rPr>
          <w:rFonts w:ascii="Times New Roman" w:hAnsi="Times New Roman" w:cs="Times New Roman"/>
          <w:b/>
          <w:sz w:val="24"/>
          <w:szCs w:val="24"/>
        </w:rPr>
        <w:t xml:space="preserve">Builder and Sponsor’s Profit and Risk Allowance (BSPRA) and Sponsor’s Profit </w:t>
      </w:r>
      <w:r w:rsidRPr="00FA0F71" w:rsidR="004C2102">
        <w:rPr>
          <w:rFonts w:ascii="Times New Roman" w:hAnsi="Times New Roman" w:cs="Times New Roman"/>
          <w:b/>
          <w:sz w:val="24"/>
          <w:szCs w:val="24"/>
        </w:rPr>
        <w:t>and Risk</w:t>
      </w:r>
      <w:r w:rsidRPr="00FA0F71">
        <w:rPr>
          <w:rFonts w:ascii="Times New Roman" w:hAnsi="Times New Roman" w:cs="Times New Roman"/>
          <w:b/>
          <w:sz w:val="24"/>
          <w:szCs w:val="24"/>
        </w:rPr>
        <w:t xml:space="preserve"> Allowance (SPRA) </w:t>
      </w:r>
      <w:r w:rsidRPr="00FA0F71">
        <w:rPr>
          <w:rFonts w:ascii="Times New Roman" w:hAnsi="Times New Roman" w:cs="Times New Roman"/>
          <w:sz w:val="24"/>
          <w:szCs w:val="24"/>
        </w:rPr>
        <w:t>are allowed (but not required) for new construction and substantial rehabilitation applications under Sections 221(d)(4)</w:t>
      </w:r>
      <w:r w:rsidR="00F8143A">
        <w:rPr>
          <w:rFonts w:ascii="Times New Roman" w:hAnsi="Times New Roman" w:cs="Times New Roman"/>
          <w:sz w:val="24"/>
          <w:szCs w:val="24"/>
        </w:rPr>
        <w:t xml:space="preserve"> and</w:t>
      </w:r>
      <w:r w:rsidRPr="00FA0F71">
        <w:rPr>
          <w:rFonts w:ascii="Times New Roman" w:hAnsi="Times New Roman" w:cs="Times New Roman"/>
          <w:sz w:val="24"/>
          <w:szCs w:val="24"/>
        </w:rPr>
        <w:t>220</w:t>
      </w:r>
      <w:r w:rsidR="00C31018">
        <w:rPr>
          <w:rFonts w:ascii="Times New Roman" w:hAnsi="Times New Roman" w:cs="Times New Roman"/>
          <w:sz w:val="24"/>
          <w:szCs w:val="24"/>
        </w:rPr>
        <w:t xml:space="preserve"> </w:t>
      </w:r>
      <w:r w:rsidRPr="00FA0F71">
        <w:rPr>
          <w:rFonts w:ascii="Times New Roman" w:hAnsi="Times New Roman" w:cs="Times New Roman"/>
          <w:sz w:val="24"/>
          <w:szCs w:val="24"/>
        </w:rPr>
        <w:t xml:space="preserve">for profit motivated and limited distribution borrowers.  </w:t>
      </w:r>
      <w:r w:rsidR="00F8143A">
        <w:rPr>
          <w:rFonts w:ascii="Times New Roman" w:hAnsi="Times New Roman" w:cs="Times New Roman"/>
          <w:sz w:val="24"/>
          <w:szCs w:val="24"/>
        </w:rPr>
        <w:t xml:space="preserve">BSPRA and SPRA are allowed for new construction Section 231 </w:t>
      </w:r>
      <w:r w:rsidR="00CC345A">
        <w:rPr>
          <w:rFonts w:ascii="Times New Roman" w:hAnsi="Times New Roman" w:cs="Times New Roman"/>
          <w:sz w:val="24"/>
          <w:szCs w:val="24"/>
        </w:rPr>
        <w:t xml:space="preserve">applications, but not under Section 231 substantial rehabilitation.  </w:t>
      </w:r>
      <w:r w:rsidRPr="00FA0F71">
        <w:rPr>
          <w:rFonts w:ascii="Times New Roman" w:hAnsi="Times New Roman" w:cs="Times New Roman"/>
          <w:sz w:val="24"/>
          <w:szCs w:val="24"/>
        </w:rPr>
        <w:t>Non-profit borrowers are eligible for a developer’s fee, or they may apply as a for-profit entity for purposes of applying for FHA mortgage insurance, as provided in Chapter 8.</w:t>
      </w:r>
    </w:p>
    <w:p w:rsidRPr="00FA0F71" w:rsidR="006E573A" w:rsidP="006E573A" w:rsidRDefault="006E573A" w14:paraId="5B8554DB" w14:textId="77777777">
      <w:pPr>
        <w:spacing w:line="276" w:lineRule="auto"/>
        <w:jc w:val="both"/>
        <w:rPr>
          <w:rFonts w:ascii="Times New Roman" w:hAnsi="Times New Roman" w:cs="Times New Roman"/>
          <w:sz w:val="24"/>
          <w:szCs w:val="24"/>
        </w:rPr>
      </w:pPr>
    </w:p>
    <w:p w:rsidRPr="00FA0F71" w:rsidR="006E573A" w:rsidP="006E573A" w:rsidRDefault="006E573A" w14:paraId="5B8554DC" w14:textId="33617907">
      <w:pPr>
        <w:numPr>
          <w:ilvl w:val="0"/>
          <w:numId w:val="15"/>
        </w:numPr>
        <w:spacing w:after="200" w:line="276" w:lineRule="auto"/>
        <w:contextualSpacing/>
        <w:jc w:val="both"/>
        <w:rPr>
          <w:rFonts w:ascii="Times New Roman" w:hAnsi="Times New Roman" w:cs="Times New Roman"/>
          <w:sz w:val="24"/>
          <w:szCs w:val="24"/>
        </w:rPr>
      </w:pPr>
      <w:r w:rsidRPr="00FA0F71">
        <w:rPr>
          <w:rFonts w:ascii="Times New Roman" w:hAnsi="Times New Roman" w:cs="Times New Roman"/>
          <w:sz w:val="24"/>
          <w:szCs w:val="24"/>
        </w:rPr>
        <w:t xml:space="preserve">The BSPRA allowance will be credited against the borrower’s required equity contribution.  To use BSPRA, there must be an identity of interest between the borrower and general contractor and there must be no paid builder’s profit contained in the mortgage calculation.  For new construction, BSPRA is 10% of the estimated cost of: on site improvements, structures, general requirements, general overhead, architect's fees, carrying charges and financing, legal, organizational </w:t>
      </w:r>
      <w:r w:rsidR="00912741">
        <w:rPr>
          <w:rFonts w:ascii="Times New Roman" w:hAnsi="Times New Roman" w:cs="Times New Roman"/>
          <w:sz w:val="24"/>
          <w:szCs w:val="24"/>
        </w:rPr>
        <w:t>(including third party report fees)</w:t>
      </w:r>
      <w:r w:rsidRPr="00FA0F71">
        <w:rPr>
          <w:rFonts w:ascii="Times New Roman" w:hAnsi="Times New Roman" w:cs="Times New Roman"/>
          <w:sz w:val="24"/>
          <w:szCs w:val="24"/>
        </w:rPr>
        <w:t xml:space="preserve"> and audit expenses (total of lines 50, 63 and 67 in Section G. of Form HUD-92264), exclusive of land.  For substantial rehabilitation projects, BSPRA is 10% of the above costs exclusive of the as is value of the existing structure.</w:t>
      </w:r>
    </w:p>
    <w:p w:rsidRPr="00FA0F71" w:rsidR="006E573A" w:rsidP="006E573A" w:rsidRDefault="006E573A" w14:paraId="5B8554DD" w14:textId="77777777">
      <w:pPr>
        <w:spacing w:line="276" w:lineRule="auto"/>
        <w:ind w:left="720"/>
        <w:jc w:val="both"/>
        <w:rPr>
          <w:rFonts w:ascii="Times New Roman" w:hAnsi="Times New Roman" w:cs="Times New Roman"/>
          <w:sz w:val="24"/>
          <w:szCs w:val="24"/>
        </w:rPr>
      </w:pPr>
    </w:p>
    <w:p w:rsidRPr="00FA0F71" w:rsidR="006E573A" w:rsidP="006E573A" w:rsidRDefault="006E573A" w14:paraId="5B8554DE" w14:textId="5ADCD715">
      <w:pPr>
        <w:numPr>
          <w:ilvl w:val="0"/>
          <w:numId w:val="15"/>
        </w:numPr>
        <w:spacing w:after="200" w:line="276" w:lineRule="auto"/>
        <w:contextualSpacing/>
        <w:jc w:val="both"/>
        <w:rPr>
          <w:rFonts w:ascii="Times New Roman" w:hAnsi="Times New Roman" w:cs="Times New Roman"/>
          <w:sz w:val="24"/>
          <w:szCs w:val="24"/>
        </w:rPr>
      </w:pPr>
      <w:r w:rsidRPr="00FA0F71">
        <w:rPr>
          <w:rFonts w:ascii="Times New Roman" w:hAnsi="Times New Roman" w:cs="Times New Roman"/>
          <w:sz w:val="24"/>
          <w:szCs w:val="24"/>
        </w:rPr>
        <w:t xml:space="preserve">SPRA may be included in replacement cost where no identity of interest exists between the general contractor and borrower, or where there is an Identity of </w:t>
      </w:r>
      <w:r w:rsidRPr="00FA0F71" w:rsidR="0042674F">
        <w:rPr>
          <w:rFonts w:ascii="Times New Roman" w:hAnsi="Times New Roman" w:cs="Times New Roman"/>
          <w:sz w:val="24"/>
          <w:szCs w:val="24"/>
        </w:rPr>
        <w:t>Interest,</w:t>
      </w:r>
      <w:r w:rsidRPr="00FA0F71">
        <w:rPr>
          <w:rFonts w:ascii="Times New Roman" w:hAnsi="Times New Roman" w:cs="Times New Roman"/>
          <w:sz w:val="24"/>
          <w:szCs w:val="24"/>
        </w:rPr>
        <w:t xml:space="preserve"> but the borrower and general contractor have agreed </w:t>
      </w:r>
      <w:r w:rsidR="008D7626">
        <w:rPr>
          <w:rFonts w:ascii="Times New Roman" w:hAnsi="Times New Roman" w:cs="Times New Roman"/>
          <w:sz w:val="24"/>
          <w:szCs w:val="24"/>
        </w:rPr>
        <w:t xml:space="preserve">to </w:t>
      </w:r>
      <w:r w:rsidRPr="00FA0F71">
        <w:rPr>
          <w:rFonts w:ascii="Times New Roman" w:hAnsi="Times New Roman" w:cs="Times New Roman"/>
          <w:sz w:val="24"/>
          <w:szCs w:val="24"/>
        </w:rPr>
        <w:t>a general contractor profit instead of BSPRA.  SPRA is 10% of the total estimated cost of: architect's fees, carrying and financing charges, legal, organizational, and audit expenses.</w:t>
      </w:r>
    </w:p>
    <w:p w:rsidRPr="00FA0F71" w:rsidR="006E573A" w:rsidP="006E573A" w:rsidRDefault="006E573A" w14:paraId="5B8554DF" w14:textId="77777777">
      <w:pPr>
        <w:spacing w:line="276" w:lineRule="auto"/>
        <w:jc w:val="both"/>
        <w:rPr>
          <w:rFonts w:ascii="Times New Roman" w:hAnsi="Times New Roman" w:cs="Times New Roman"/>
          <w:sz w:val="24"/>
          <w:szCs w:val="24"/>
        </w:rPr>
      </w:pPr>
    </w:p>
    <w:p w:rsidRPr="00FA0F71" w:rsidR="006E573A" w:rsidP="006E573A" w:rsidRDefault="006E573A" w14:paraId="5B8554E0" w14:textId="6F504ED8">
      <w:pPr>
        <w:spacing w:after="200" w:line="276" w:lineRule="auto"/>
        <w:ind w:left="360" w:hanging="360"/>
        <w:jc w:val="both"/>
        <w:rPr>
          <w:rFonts w:ascii="Times New Roman" w:hAnsi="Times New Roman" w:cs="Times New Roman"/>
          <w:sz w:val="24"/>
          <w:szCs w:val="24"/>
        </w:rPr>
      </w:pPr>
      <w:r w:rsidRPr="00FA0F71">
        <w:rPr>
          <w:rFonts w:ascii="Times New Roman" w:hAnsi="Times New Roman" w:cs="Times New Roman"/>
          <w:sz w:val="24"/>
          <w:szCs w:val="24"/>
        </w:rPr>
        <w:t>O.</w:t>
      </w:r>
      <w:r w:rsidRPr="00FA0F71">
        <w:rPr>
          <w:rFonts w:ascii="Times New Roman" w:hAnsi="Times New Roman" w:cs="Times New Roman"/>
          <w:b/>
          <w:sz w:val="24"/>
          <w:szCs w:val="24"/>
        </w:rPr>
        <w:t xml:space="preserve">  Energy Efficiency</w:t>
      </w:r>
      <w:r w:rsidRPr="00FA0F71">
        <w:rPr>
          <w:rFonts w:ascii="Times New Roman" w:hAnsi="Times New Roman" w:cs="Times New Roman"/>
          <w:sz w:val="24"/>
          <w:szCs w:val="24"/>
        </w:rPr>
        <w:t>. New construction projects must comply with the International Energy Conservation Code (IECC)</w:t>
      </w:r>
      <w:r w:rsidR="005C03EA">
        <w:rPr>
          <w:rFonts w:ascii="Times New Roman" w:hAnsi="Times New Roman" w:cs="Times New Roman"/>
          <w:sz w:val="24"/>
          <w:szCs w:val="24"/>
        </w:rPr>
        <w:t xml:space="preserve"> </w:t>
      </w:r>
      <w:r w:rsidRPr="00FA0F71" w:rsidR="005C03EA">
        <w:rPr>
          <w:rFonts w:ascii="Times New Roman" w:hAnsi="Times New Roman" w:cs="Times New Roman"/>
          <w:sz w:val="24"/>
          <w:szCs w:val="24"/>
        </w:rPr>
        <w:t xml:space="preserve">for buildings up to three stories, or in the case of buildings over three stories, </w:t>
      </w:r>
      <w:r w:rsidRPr="00FA0F71" w:rsidR="005C03EA">
        <w:rPr>
          <w:rFonts w:ascii="Times New Roman" w:hAnsi="Times New Roman" w:cs="Times New Roman"/>
          <w:color w:val="000000" w:themeColor="text1"/>
          <w:sz w:val="24"/>
          <w:szCs w:val="24"/>
        </w:rPr>
        <w:t xml:space="preserve">American Society of Heating, Refrigeration and Air-conditioning Engineers, ASHRAE Standard 90.1 </w:t>
      </w:r>
      <w:r w:rsidR="00A6228B">
        <w:rPr>
          <w:rFonts w:ascii="Times New Roman" w:hAnsi="Times New Roman" w:cs="Times New Roman"/>
          <w:color w:val="000000" w:themeColor="text1"/>
          <w:sz w:val="24"/>
          <w:szCs w:val="24"/>
        </w:rPr>
        <w:t xml:space="preserve">as </w:t>
      </w:r>
      <w:r w:rsidR="005C03EA">
        <w:rPr>
          <w:rFonts w:ascii="Times New Roman" w:hAnsi="Times New Roman" w:cs="Times New Roman"/>
          <w:sz w:val="24"/>
          <w:szCs w:val="24"/>
        </w:rPr>
        <w:t>adopted by HUD (see Chapter 6</w:t>
      </w:r>
      <w:r w:rsidR="00A6228B">
        <w:rPr>
          <w:rFonts w:ascii="Times New Roman" w:hAnsi="Times New Roman" w:cs="Times New Roman"/>
          <w:sz w:val="24"/>
          <w:szCs w:val="24"/>
        </w:rPr>
        <w:t>.A.1</w:t>
      </w:r>
      <w:r w:rsidR="005C03EA">
        <w:rPr>
          <w:rFonts w:ascii="Times New Roman" w:hAnsi="Times New Roman" w:cs="Times New Roman"/>
          <w:sz w:val="24"/>
          <w:szCs w:val="24"/>
        </w:rPr>
        <w:t xml:space="preserve">.)  </w:t>
      </w:r>
      <w:r w:rsidRPr="00FA0F71">
        <w:rPr>
          <w:rFonts w:ascii="Times New Roman" w:hAnsi="Times New Roman" w:cs="Times New Roman"/>
          <w:color w:val="000000" w:themeColor="text1"/>
          <w:sz w:val="24"/>
          <w:szCs w:val="24"/>
        </w:rPr>
        <w:t xml:space="preserve"> </w:t>
      </w:r>
      <w:r w:rsidR="00FE647E">
        <w:rPr>
          <w:rFonts w:ascii="Times New Roman" w:hAnsi="Times New Roman" w:cs="Times New Roman"/>
          <w:sz w:val="24"/>
          <w:szCs w:val="24"/>
        </w:rPr>
        <w:t xml:space="preserve">Substantial </w:t>
      </w:r>
      <w:r w:rsidRPr="00FA0F71">
        <w:rPr>
          <w:rFonts w:ascii="Times New Roman" w:hAnsi="Times New Roman" w:cs="Times New Roman"/>
          <w:sz w:val="24"/>
          <w:szCs w:val="24"/>
        </w:rPr>
        <w:t xml:space="preserve">rehabilitation projects must conform to these energy codes except where compliance </w:t>
      </w:r>
      <w:r w:rsidR="00D97B11">
        <w:rPr>
          <w:rFonts w:ascii="Times New Roman" w:hAnsi="Times New Roman" w:cs="Times New Roman"/>
          <w:sz w:val="24"/>
          <w:szCs w:val="24"/>
        </w:rPr>
        <w:t>is not feasible</w:t>
      </w:r>
      <w:r w:rsidRPr="00FA0F71">
        <w:rPr>
          <w:rFonts w:ascii="Times New Roman" w:hAnsi="Times New Roman" w:cs="Times New Roman"/>
          <w:sz w:val="24"/>
          <w:szCs w:val="24"/>
        </w:rPr>
        <w:t xml:space="preserve"> due to required preservation of historic buildings or elements of historic buildings. </w:t>
      </w:r>
      <w:r w:rsidR="00956B31">
        <w:rPr>
          <w:rFonts w:ascii="Times New Roman" w:hAnsi="Times New Roman" w:cs="Times New Roman"/>
          <w:sz w:val="24"/>
          <w:szCs w:val="24"/>
        </w:rPr>
        <w:t xml:space="preserve">Incentives for improved building performance (i.e. reduced utility consumption) are available as described in Chapter 6.A.2 and 6.J. </w:t>
      </w:r>
    </w:p>
    <w:p w:rsidRPr="00FA0F71" w:rsidR="006E573A" w:rsidP="006E573A" w:rsidRDefault="006E573A" w14:paraId="5B8554E1" w14:textId="77777777">
      <w:pPr>
        <w:spacing w:line="276" w:lineRule="auto"/>
        <w:jc w:val="both"/>
        <w:rPr>
          <w:rFonts w:ascii="Times New Roman" w:hAnsi="Times New Roman" w:cs="Times New Roman"/>
          <w:sz w:val="24"/>
          <w:szCs w:val="24"/>
        </w:rPr>
      </w:pPr>
    </w:p>
    <w:p w:rsidRPr="00A54E7D" w:rsidR="00693215" w:rsidP="00A54E7D" w:rsidRDefault="006E573A" w14:paraId="46021442" w14:textId="77AEC992">
      <w:pPr>
        <w:spacing w:after="200" w:line="276" w:lineRule="auto"/>
        <w:ind w:left="360" w:hanging="360"/>
        <w:jc w:val="both"/>
        <w:rPr>
          <w:rFonts w:ascii="Times New Roman" w:hAnsi="Times New Roman" w:cs="Times New Roman"/>
          <w:sz w:val="24"/>
          <w:szCs w:val="24"/>
        </w:rPr>
      </w:pPr>
      <w:r w:rsidRPr="00A54E7D">
        <w:rPr>
          <w:rFonts w:ascii="Times New Roman" w:hAnsi="Times New Roman" w:cs="Times New Roman"/>
          <w:sz w:val="24"/>
          <w:szCs w:val="24"/>
        </w:rPr>
        <w:t>P.</w:t>
      </w:r>
      <w:r w:rsidRPr="00A54E7D">
        <w:rPr>
          <w:rFonts w:ascii="Times New Roman" w:hAnsi="Times New Roman" w:cs="Times New Roman"/>
          <w:b/>
          <w:sz w:val="24"/>
          <w:szCs w:val="24"/>
        </w:rPr>
        <w:t xml:space="preserve"> Cost vs. Value.</w:t>
      </w:r>
      <w:r w:rsidRPr="00A54E7D">
        <w:rPr>
          <w:rFonts w:ascii="Times New Roman" w:hAnsi="Times New Roman" w:cs="Times New Roman"/>
          <w:sz w:val="24"/>
          <w:szCs w:val="24"/>
        </w:rPr>
        <w:t xml:space="preserve">  Most FHA multifamily new construction and substantial rehabilitation programs are based on cost rather than value when sizing the mortgages (in Criterion 3 of Form HUD-92264A).  Exceptions are Sections 231</w:t>
      </w:r>
      <w:r w:rsidRPr="00A54E7D" w:rsidR="00A81633">
        <w:rPr>
          <w:rFonts w:ascii="Times New Roman" w:hAnsi="Times New Roman" w:cs="Times New Roman"/>
          <w:sz w:val="24"/>
          <w:szCs w:val="24"/>
        </w:rPr>
        <w:t xml:space="preserve"> substantial rehabilitation </w:t>
      </w:r>
      <w:r w:rsidRPr="00A54E7D" w:rsidR="001748ED">
        <w:rPr>
          <w:rFonts w:ascii="Times New Roman" w:hAnsi="Times New Roman" w:cs="Times New Roman"/>
          <w:sz w:val="24"/>
          <w:szCs w:val="24"/>
        </w:rPr>
        <w:t>program</w:t>
      </w:r>
      <w:r w:rsidRPr="00A54E7D">
        <w:rPr>
          <w:rFonts w:ascii="Times New Roman" w:hAnsi="Times New Roman" w:cs="Times New Roman"/>
          <w:sz w:val="24"/>
          <w:szCs w:val="24"/>
        </w:rPr>
        <w:t xml:space="preserve"> and </w:t>
      </w:r>
      <w:r w:rsidRPr="00A54E7D" w:rsidR="001748ED">
        <w:rPr>
          <w:rFonts w:ascii="Times New Roman" w:hAnsi="Times New Roman" w:cs="Times New Roman"/>
          <w:sz w:val="24"/>
          <w:szCs w:val="24"/>
        </w:rPr>
        <w:t xml:space="preserve">the </w:t>
      </w:r>
      <w:r w:rsidRPr="00A54E7D">
        <w:rPr>
          <w:rFonts w:ascii="Times New Roman" w:hAnsi="Times New Roman" w:cs="Times New Roman"/>
          <w:sz w:val="24"/>
          <w:szCs w:val="24"/>
        </w:rPr>
        <w:t xml:space="preserve">241(a) </w:t>
      </w:r>
      <w:r w:rsidRPr="00A54E7D" w:rsidR="004C2102">
        <w:rPr>
          <w:rFonts w:ascii="Times New Roman" w:hAnsi="Times New Roman" w:cs="Times New Roman"/>
          <w:sz w:val="24"/>
          <w:szCs w:val="24"/>
        </w:rPr>
        <w:t>programs</w:t>
      </w:r>
      <w:r w:rsidRPr="00A54E7D">
        <w:rPr>
          <w:rFonts w:ascii="Times New Roman" w:hAnsi="Times New Roman" w:cs="Times New Roman"/>
          <w:sz w:val="24"/>
          <w:szCs w:val="24"/>
        </w:rPr>
        <w:t xml:space="preserve">, which </w:t>
      </w:r>
      <w:r w:rsidRPr="00A54E7D" w:rsidR="002F006A">
        <w:rPr>
          <w:rFonts w:ascii="Times New Roman" w:hAnsi="Times New Roman" w:cs="Times New Roman"/>
          <w:sz w:val="24"/>
          <w:szCs w:val="24"/>
        </w:rPr>
        <w:t xml:space="preserve">are </w:t>
      </w:r>
      <w:r w:rsidRPr="00A54E7D" w:rsidR="001748ED">
        <w:rPr>
          <w:rFonts w:ascii="Times New Roman" w:hAnsi="Times New Roman" w:cs="Times New Roman"/>
          <w:sz w:val="24"/>
          <w:szCs w:val="24"/>
        </w:rPr>
        <w:t xml:space="preserve">both </w:t>
      </w:r>
      <w:r w:rsidRPr="00A54E7D" w:rsidR="006801F6">
        <w:rPr>
          <w:rFonts w:ascii="Times New Roman" w:hAnsi="Times New Roman" w:cs="Times New Roman"/>
          <w:sz w:val="24"/>
          <w:szCs w:val="24"/>
        </w:rPr>
        <w:t>values</w:t>
      </w:r>
      <w:r w:rsidRPr="00A54E7D">
        <w:rPr>
          <w:rFonts w:ascii="Times New Roman" w:hAnsi="Times New Roman" w:cs="Times New Roman"/>
          <w:sz w:val="24"/>
          <w:szCs w:val="24"/>
        </w:rPr>
        <w:t xml:space="preserve"> </w:t>
      </w:r>
      <w:r w:rsidRPr="00A54E7D" w:rsidR="002F006A">
        <w:rPr>
          <w:rFonts w:ascii="Times New Roman" w:hAnsi="Times New Roman" w:cs="Times New Roman"/>
          <w:sz w:val="24"/>
          <w:szCs w:val="24"/>
        </w:rPr>
        <w:t xml:space="preserve">based </w:t>
      </w:r>
      <w:r w:rsidRPr="00A54E7D" w:rsidR="00BE0723">
        <w:rPr>
          <w:rFonts w:ascii="Times New Roman" w:hAnsi="Times New Roman" w:cs="Times New Roman"/>
          <w:sz w:val="24"/>
          <w:szCs w:val="24"/>
        </w:rPr>
        <w:t>by statute</w:t>
      </w:r>
      <w:r w:rsidRPr="00A54E7D">
        <w:rPr>
          <w:rFonts w:ascii="Times New Roman" w:hAnsi="Times New Roman" w:cs="Times New Roman"/>
          <w:sz w:val="24"/>
          <w:szCs w:val="24"/>
        </w:rPr>
        <w:t xml:space="preserve">.  For substantial rehabilitation under all Sections of the Act, the “as is” value of the project is a component of the cost.  “As is” value of a substantial rehabilitation project will be the lessor of the value “as is”, reflecting actual occupancy and any restrictions on NOI, or the purchase price at closing if it is an arms-length acquisition transaction.  </w:t>
      </w:r>
      <w:r w:rsidRPr="00CB0DEE" w:rsidR="00F57DAD">
        <w:rPr>
          <w:bCs/>
          <w:noProof/>
        </w:rPr>
        <mc:AlternateContent>
          <mc:Choice Requires="wps">
            <w:drawing>
              <wp:anchor distT="0" distB="0" distL="114300" distR="114300" simplePos="0" relativeHeight="251658241" behindDoc="0" locked="0" layoutInCell="1" allowOverlap="1" wp14:editId="325633A8" wp14:anchorId="267A0673">
                <wp:simplePos x="0" y="0"/>
                <wp:positionH relativeFrom="page">
                  <wp:posOffset>572770</wp:posOffset>
                </wp:positionH>
                <wp:positionV relativeFrom="page">
                  <wp:posOffset>9253855</wp:posOffset>
                </wp:positionV>
                <wp:extent cx="6514465" cy="0"/>
                <wp:effectExtent l="10795" t="5080" r="889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4465" cy="0"/>
                        </a:xfrm>
                        <a:prstGeom prst="line">
                          <a:avLst/>
                        </a:prstGeom>
                        <a:noFill/>
                        <a:ln w="3175">
                          <a:solidFill>
                            <a:srgbClr val="9F9F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D6A7712">
              <v:line id="Straight Connector 4"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9f9f9f" strokeweight=".25pt" from="45.1pt,728.65pt" to="558.05pt,728.65pt" w14:anchorId="7596A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">
                <w10:wrap anchorx="page" anchory="page"/>
              </v:line>
            </w:pict>
          </mc:Fallback>
        </mc:AlternateContent>
      </w:r>
      <w:r w:rsidRPr="00A54E7D" w:rsidR="00F03445">
        <w:rPr>
          <w:rFonts w:ascii="Times New Roman" w:hAnsi="Times New Roman" w:cs="Times New Roman"/>
          <w:sz w:val="24"/>
          <w:szCs w:val="24"/>
        </w:rPr>
        <w:t xml:space="preserve"> </w:t>
      </w:r>
    </w:p>
    <w:p w:rsidRPr="004F287E" w:rsidR="006E573A" w:rsidP="006E573A" w:rsidRDefault="006E573A" w14:paraId="5B8554E4" w14:textId="77777777">
      <w:pPr>
        <w:overflowPunct w:val="0"/>
        <w:autoSpaceDE w:val="0"/>
        <w:autoSpaceDN w:val="0"/>
        <w:adjustRightInd w:val="0"/>
        <w:spacing w:before="80" w:after="80"/>
        <w:ind w:left="720" w:hanging="540"/>
        <w:textAlignment w:val="baseline"/>
        <w:rPr>
          <w:rFonts w:ascii="Times New Roman" w:hAnsi="Times New Roman" w:eastAsia="Times New Roman" w:cs="Times New Roman"/>
          <w:b/>
          <w:sz w:val="24"/>
          <w:szCs w:val="24"/>
        </w:rPr>
      </w:pPr>
    </w:p>
    <w:p w:rsidRPr="00355C65" w:rsidR="006E573A" w:rsidP="006E573A" w:rsidRDefault="006E573A" w14:paraId="5B8554E5" w14:textId="1F3FE055">
      <w:pPr>
        <w:overflowPunct w:val="0"/>
        <w:autoSpaceDE w:val="0"/>
        <w:autoSpaceDN w:val="0"/>
        <w:adjustRightInd w:val="0"/>
        <w:spacing w:before="80" w:after="80"/>
        <w:ind w:firstLine="162"/>
        <w:jc w:val="both"/>
        <w:textAlignment w:val="baseline"/>
        <w:rPr>
          <w:rFonts w:ascii="Arial" w:hAnsi="Arial" w:eastAsia="Times New Roman" w:cs="Arial"/>
          <w:b/>
          <w:sz w:val="28"/>
          <w:szCs w:val="20"/>
        </w:rPr>
      </w:pPr>
      <w:r w:rsidRPr="004F287E">
        <w:rPr>
          <w:rFonts w:ascii="Arial" w:hAnsi="Arial" w:eastAsia="Times New Roman" w:cs="Arial"/>
          <w:b/>
          <w:sz w:val="28"/>
          <w:szCs w:val="20"/>
        </w:rPr>
        <w:t>3.3</w:t>
      </w:r>
      <w:r w:rsidRPr="004F287E">
        <w:rPr>
          <w:rFonts w:ascii="Arial" w:hAnsi="Arial" w:eastAsia="Times New Roman" w:cs="Arial"/>
          <w:b/>
          <w:sz w:val="28"/>
          <w:szCs w:val="20"/>
        </w:rPr>
        <w:tab/>
      </w:r>
      <w:r w:rsidRPr="004F287E">
        <w:rPr>
          <w:rFonts w:ascii="Arial" w:hAnsi="Arial" w:eastAsia="Times New Roman" w:cs="Arial"/>
          <w:b/>
          <w:sz w:val="28"/>
          <w:szCs w:val="20"/>
        </w:rPr>
        <w:tab/>
        <w:t>Section 221(d)(4) Mortgage Insurance for Rental</w:t>
      </w:r>
      <w:r w:rsidRPr="004F287E">
        <w:rPr>
          <w:rFonts w:ascii="Arial" w:hAnsi="Arial" w:eastAsia="Times New Roman" w:cs="Arial"/>
          <w:b/>
          <w:sz w:val="28"/>
          <w:szCs w:val="20"/>
        </w:rPr>
        <w:tab/>
      </w:r>
      <w:r w:rsidRPr="004F287E">
        <w:rPr>
          <w:rFonts w:ascii="Arial" w:hAnsi="Arial" w:eastAsia="Times New Roman" w:cs="Arial"/>
          <w:b/>
          <w:sz w:val="28"/>
          <w:szCs w:val="20"/>
        </w:rPr>
        <w:tab/>
        <w:t xml:space="preserve">Housing - New </w:t>
      </w:r>
      <w:r w:rsidRPr="00355C65">
        <w:rPr>
          <w:rFonts w:ascii="Arial" w:hAnsi="Arial" w:eastAsia="Times New Roman" w:cs="Arial"/>
          <w:b/>
          <w:sz w:val="28"/>
          <w:szCs w:val="20"/>
        </w:rPr>
        <w:t>Construction and Substantial Rehabilitation</w:t>
      </w:r>
    </w:p>
    <w:p w:rsidRPr="00355C65" w:rsidR="006E573A" w:rsidP="006E573A" w:rsidRDefault="006E573A" w14:paraId="5B8554E6" w14:textId="77777777">
      <w:pPr>
        <w:overflowPunct w:val="0"/>
        <w:autoSpaceDE w:val="0"/>
        <w:autoSpaceDN w:val="0"/>
        <w:adjustRightInd w:val="0"/>
        <w:spacing w:before="80" w:after="80"/>
        <w:ind w:left="717" w:hanging="555"/>
        <w:textAlignment w:val="baseline"/>
        <w:rPr>
          <w:rFonts w:ascii="Times New Roman" w:hAnsi="Times New Roman" w:eastAsia="Times New Roman" w:cs="Times New Roman"/>
          <w:b/>
          <w:sz w:val="24"/>
          <w:szCs w:val="24"/>
        </w:rPr>
      </w:pPr>
    </w:p>
    <w:p w:rsidRPr="00355C65" w:rsidR="006E573A" w:rsidP="006E573A" w:rsidRDefault="006E573A" w14:paraId="5B8554E7" w14:textId="77777777">
      <w:pPr>
        <w:spacing w:line="276" w:lineRule="auto"/>
        <w:jc w:val="both"/>
        <w:rPr>
          <w:rFonts w:ascii="Times New Roman" w:hAnsi="Times New Roman" w:cs="Times New Roman"/>
          <w:sz w:val="24"/>
          <w:szCs w:val="24"/>
        </w:rPr>
      </w:pPr>
      <w:r w:rsidRPr="00355C65">
        <w:rPr>
          <w:rFonts w:ascii="Times New Roman" w:hAnsi="Times New Roman" w:cs="Times New Roman"/>
          <w:sz w:val="24"/>
          <w:szCs w:val="24"/>
        </w:rPr>
        <w:t>Section 221(d)(4) insures mortgages for the new construction or substantial rehabilitation of rental housing. In addition to the general requirements in Sections 3.1 and 3.2, the requirements in this section apply to the Section 221(d)(4) program:</w:t>
      </w:r>
    </w:p>
    <w:p w:rsidRPr="00355C65" w:rsidR="006E573A" w:rsidP="006E573A" w:rsidRDefault="006E573A" w14:paraId="5B8554E8" w14:textId="77777777">
      <w:pPr>
        <w:spacing w:line="276" w:lineRule="auto"/>
        <w:jc w:val="both"/>
        <w:rPr>
          <w:rFonts w:ascii="Times New Roman" w:hAnsi="Times New Roman" w:cs="Times New Roman"/>
          <w:sz w:val="24"/>
          <w:szCs w:val="24"/>
        </w:rPr>
      </w:pPr>
    </w:p>
    <w:p w:rsidRPr="00355C65" w:rsidR="006E573A" w:rsidP="006E573A" w:rsidRDefault="006E573A" w14:paraId="5B8554E9" w14:textId="40FC3856">
      <w:pPr>
        <w:spacing w:line="276" w:lineRule="auto"/>
        <w:jc w:val="both"/>
        <w:rPr>
          <w:rFonts w:ascii="Times New Roman" w:hAnsi="Times New Roman" w:cs="Times New Roman"/>
          <w:iCs/>
          <w:sz w:val="24"/>
          <w:szCs w:val="24"/>
        </w:rPr>
      </w:pPr>
      <w:r w:rsidRPr="00355C65">
        <w:rPr>
          <w:rFonts w:ascii="Times New Roman" w:hAnsi="Times New Roman" w:cs="Times New Roman"/>
          <w:sz w:val="24"/>
          <w:szCs w:val="24"/>
        </w:rPr>
        <w:t xml:space="preserve">Maximum Loan Ratios and Debt Service Coverage Ratios.  </w:t>
      </w:r>
      <w:r w:rsidRPr="00355C65">
        <w:rPr>
          <w:rFonts w:ascii="Times New Roman" w:hAnsi="Times New Roman" w:cs="Times New Roman"/>
          <w:iCs/>
          <w:sz w:val="24"/>
          <w:szCs w:val="24"/>
        </w:rPr>
        <w:t>The following loan ratios and percentages control the loan amount and are the mortgage criteria detailed on the Form HUD-92264-A, Supplement to Project Analysis.  The lowest mortgage criterion controls the loan amount.</w:t>
      </w:r>
    </w:p>
    <w:p w:rsidRPr="00355C65" w:rsidR="006E573A" w:rsidP="006E573A" w:rsidRDefault="006E573A" w14:paraId="5B8554EA" w14:textId="77777777">
      <w:pPr>
        <w:keepNext/>
        <w:keepLines/>
        <w:suppressAutoHyphens/>
        <w:spacing w:before="120" w:line="276" w:lineRule="auto"/>
        <w:jc w:val="center"/>
        <w:outlineLvl w:val="1"/>
        <w:rPr>
          <w:rFonts w:ascii="Times New Roman" w:hAnsi="Times New Roman" w:cs="Times New Roman" w:eastAsiaTheme="majorEastAsia"/>
          <w:bCs/>
          <w:color w:val="000000" w:themeColor="text1"/>
          <w:sz w:val="24"/>
          <w:szCs w:val="24"/>
          <w:u w:val="single"/>
        </w:rPr>
      </w:pPr>
      <w:r w:rsidRPr="00355C65">
        <w:rPr>
          <w:rFonts w:ascii="Times New Roman" w:hAnsi="Times New Roman" w:cs="Times New Roman" w:eastAsiaTheme="majorEastAsia"/>
          <w:bCs/>
          <w:color w:val="000000" w:themeColor="text1"/>
          <w:sz w:val="24"/>
          <w:szCs w:val="24"/>
          <w:u w:val="single"/>
        </w:rPr>
        <w:t>Section 221(d)(4)</w:t>
      </w:r>
    </w:p>
    <w:p w:rsidRPr="00355C65" w:rsidR="006E573A" w:rsidP="006E573A" w:rsidRDefault="006E573A" w14:paraId="5B8554EB" w14:textId="77777777">
      <w:pPr>
        <w:keepNext/>
        <w:keepLines/>
        <w:suppressAutoHyphens/>
        <w:spacing w:before="120" w:line="276" w:lineRule="auto"/>
        <w:jc w:val="center"/>
        <w:outlineLvl w:val="2"/>
        <w:rPr>
          <w:rFonts w:ascii="Times New Roman" w:hAnsi="Times New Roman" w:cs="Times New Roman" w:eastAsiaTheme="majorEastAsia"/>
          <w:bCs/>
          <w:color w:val="000000" w:themeColor="text1"/>
          <w:sz w:val="24"/>
          <w:szCs w:val="24"/>
          <w:u w:val="single"/>
        </w:rPr>
      </w:pPr>
      <w:r w:rsidRPr="00355C65">
        <w:rPr>
          <w:rFonts w:ascii="Times New Roman" w:hAnsi="Times New Roman" w:cs="Times New Roman" w:eastAsiaTheme="majorEastAsia"/>
          <w:bCs/>
          <w:color w:val="000000" w:themeColor="text1"/>
          <w:sz w:val="24"/>
          <w:szCs w:val="24"/>
          <w:u w:val="single"/>
        </w:rPr>
        <w:t>New Construction and Substantial Rehabilitation</w:t>
      </w:r>
    </w:p>
    <w:p w:rsidRPr="00355C65" w:rsidR="006E573A" w:rsidP="006E573A" w:rsidRDefault="006E573A" w14:paraId="5B8554EC" w14:textId="77777777">
      <w:pPr>
        <w:keepNext/>
        <w:keepLines/>
        <w:suppressAutoHyphens/>
        <w:spacing w:before="120" w:line="276" w:lineRule="auto"/>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u w:val="single"/>
        </w:rPr>
        <w:t>Criterion 1</w:t>
      </w:r>
      <w:r w:rsidRPr="00355C65">
        <w:rPr>
          <w:rFonts w:ascii="Times New Roman" w:hAnsi="Times New Roman" w:cs="Times New Roman" w:eastAsiaTheme="majorEastAsia"/>
          <w:bCs/>
          <w:color w:val="000000" w:themeColor="text1"/>
          <w:sz w:val="24"/>
          <w:szCs w:val="24"/>
        </w:rPr>
        <w:t>:</w:t>
      </w:r>
    </w:p>
    <w:p w:rsidRPr="00355C65" w:rsidR="006E573A" w:rsidP="006E573A" w:rsidRDefault="006E573A" w14:paraId="5B8554ED" w14:textId="3FAAEA7F">
      <w:pPr>
        <w:keepNext/>
        <w:keepLines/>
        <w:suppressAutoHyphens/>
        <w:spacing w:before="120" w:line="276" w:lineRule="auto"/>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 xml:space="preserve">Loan Amount Requested in the Application.  The requested application amount may be amended when appropriate, e.g. when a higher mortgage is supportable due to a </w:t>
      </w:r>
      <w:r w:rsidR="000F4A5D">
        <w:rPr>
          <w:rFonts w:ascii="Times New Roman" w:hAnsi="Times New Roman" w:cs="Times New Roman" w:eastAsiaTheme="majorEastAsia"/>
          <w:bCs/>
          <w:color w:val="000000" w:themeColor="text1"/>
          <w:sz w:val="24"/>
          <w:szCs w:val="24"/>
        </w:rPr>
        <w:t>reduction</w:t>
      </w:r>
      <w:r w:rsidRPr="00355C65" w:rsidR="00044712">
        <w:rPr>
          <w:rFonts w:ascii="Times New Roman" w:hAnsi="Times New Roman" w:cs="Times New Roman" w:eastAsiaTheme="majorEastAsia"/>
          <w:bCs/>
          <w:color w:val="000000" w:themeColor="text1"/>
          <w:sz w:val="24"/>
          <w:szCs w:val="24"/>
        </w:rPr>
        <w:t xml:space="preserve"> in</w:t>
      </w:r>
      <w:r w:rsidRPr="00355C65">
        <w:rPr>
          <w:rFonts w:ascii="Times New Roman" w:hAnsi="Times New Roman" w:cs="Times New Roman" w:eastAsiaTheme="majorEastAsia"/>
          <w:bCs/>
          <w:color w:val="000000" w:themeColor="text1"/>
          <w:sz w:val="24"/>
          <w:szCs w:val="24"/>
        </w:rPr>
        <w:t xml:space="preserve"> </w:t>
      </w:r>
      <w:r w:rsidR="007B476A">
        <w:rPr>
          <w:rFonts w:ascii="Times New Roman" w:hAnsi="Times New Roman" w:cs="Times New Roman" w:eastAsiaTheme="majorEastAsia"/>
          <w:bCs/>
          <w:color w:val="000000" w:themeColor="text1"/>
          <w:sz w:val="24"/>
          <w:szCs w:val="24"/>
        </w:rPr>
        <w:t xml:space="preserve">the interest </w:t>
      </w:r>
      <w:r w:rsidRPr="00355C65">
        <w:rPr>
          <w:rFonts w:ascii="Times New Roman" w:hAnsi="Times New Roman" w:cs="Times New Roman" w:eastAsiaTheme="majorEastAsia"/>
          <w:bCs/>
          <w:color w:val="000000" w:themeColor="text1"/>
          <w:sz w:val="24"/>
          <w:szCs w:val="24"/>
        </w:rPr>
        <w:t>rate.</w:t>
      </w:r>
    </w:p>
    <w:p w:rsidRPr="00355C65" w:rsidR="006E573A" w:rsidP="006E573A" w:rsidRDefault="006E573A" w14:paraId="5B8554EE" w14:textId="77777777">
      <w:pPr>
        <w:keepNext/>
        <w:keepLines/>
        <w:tabs>
          <w:tab w:val="center" w:pos="90"/>
          <w:tab w:val="left" w:pos="720"/>
        </w:tabs>
        <w:suppressAutoHyphens/>
        <w:spacing w:before="240" w:after="240" w:line="276" w:lineRule="auto"/>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u w:val="single"/>
        </w:rPr>
        <w:t>Criterion 3</w:t>
      </w:r>
      <w:r w:rsidRPr="00355C65">
        <w:rPr>
          <w:rFonts w:ascii="Times New Roman" w:hAnsi="Times New Roman" w:cs="Times New Roman" w:eastAsiaTheme="majorEastAsia"/>
          <w:bCs/>
          <w:color w:val="000000" w:themeColor="text1"/>
          <w:sz w:val="24"/>
          <w:szCs w:val="24"/>
        </w:rPr>
        <w:t>:</w:t>
      </w:r>
    </w:p>
    <w:p w:rsidRPr="00355C65" w:rsidR="006E573A" w:rsidP="006E573A" w:rsidRDefault="006E573A" w14:paraId="5B8554EF" w14:textId="23D34E95">
      <w:pPr>
        <w:keepNext/>
        <w:keepLines/>
        <w:suppressAutoHyphens/>
        <w:spacing w:before="120" w:line="276" w:lineRule="auto"/>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 xml:space="preserve">Amount Based on Replacement Cost:  The </w:t>
      </w:r>
      <w:r w:rsidRPr="00355C65">
        <w:rPr>
          <w:rFonts w:ascii="Times New Roman" w:hAnsi="Times New Roman" w:cs="Times New Roman" w:eastAsiaTheme="majorEastAsia"/>
          <w:bCs/>
          <w:iCs/>
          <w:color w:val="000000" w:themeColor="text1"/>
          <w:sz w:val="24"/>
          <w:szCs w:val="24"/>
        </w:rPr>
        <w:t>applicable percentage</w:t>
      </w:r>
      <w:r w:rsidRPr="00355C65">
        <w:rPr>
          <w:rFonts w:ascii="Times New Roman" w:hAnsi="Times New Roman" w:cs="Times New Roman" w:eastAsiaTheme="majorEastAsia"/>
          <w:bCs/>
          <w:color w:val="000000" w:themeColor="text1"/>
          <w:sz w:val="24"/>
          <w:szCs w:val="24"/>
        </w:rPr>
        <w:t xml:space="preserve"> of the estimated replacement cost for new construction or the </w:t>
      </w:r>
      <w:r w:rsidRPr="00355C65">
        <w:rPr>
          <w:rFonts w:ascii="Times New Roman" w:hAnsi="Times New Roman" w:cs="Times New Roman" w:eastAsiaTheme="majorEastAsia"/>
          <w:bCs/>
          <w:iCs/>
          <w:color w:val="000000" w:themeColor="text1"/>
          <w:sz w:val="24"/>
          <w:szCs w:val="24"/>
        </w:rPr>
        <w:t>applicable percentage</w:t>
      </w:r>
      <w:r w:rsidRPr="00355C65">
        <w:rPr>
          <w:rFonts w:ascii="Times New Roman" w:hAnsi="Times New Roman" w:cs="Times New Roman" w:eastAsiaTheme="majorEastAsia"/>
          <w:bCs/>
          <w:color w:val="000000" w:themeColor="text1"/>
          <w:sz w:val="24"/>
          <w:szCs w:val="24"/>
        </w:rPr>
        <w:t xml:space="preserve"> of the  estimated replacement cost for substantial rehabilitation </w:t>
      </w:r>
      <w:r w:rsidR="005E49CC">
        <w:rPr>
          <w:rFonts w:ascii="Times New Roman" w:hAnsi="Times New Roman" w:cs="Times New Roman" w:eastAsiaTheme="majorEastAsia"/>
          <w:bCs/>
          <w:color w:val="000000" w:themeColor="text1"/>
          <w:sz w:val="24"/>
          <w:szCs w:val="24"/>
        </w:rPr>
        <w:t>(</w:t>
      </w:r>
      <w:r w:rsidR="00F81ACB">
        <w:rPr>
          <w:rFonts w:ascii="Times New Roman" w:hAnsi="Times New Roman" w:cs="Times New Roman" w:eastAsiaTheme="majorEastAsia"/>
          <w:bCs/>
          <w:color w:val="000000" w:themeColor="text1"/>
          <w:sz w:val="24"/>
          <w:szCs w:val="24"/>
        </w:rPr>
        <w:t>which includes</w:t>
      </w:r>
      <w:r w:rsidRPr="00355C65" w:rsidR="005E49CC">
        <w:rPr>
          <w:rFonts w:ascii="Times New Roman" w:hAnsi="Times New Roman" w:cs="Times New Roman" w:eastAsiaTheme="majorEastAsia"/>
          <w:bCs/>
          <w:color w:val="000000" w:themeColor="text1"/>
          <w:sz w:val="24"/>
          <w:szCs w:val="24"/>
        </w:rPr>
        <w:t xml:space="preserve"> </w:t>
      </w:r>
      <w:r w:rsidRPr="00355C65">
        <w:rPr>
          <w:rFonts w:ascii="Times New Roman" w:hAnsi="Times New Roman" w:cs="Times New Roman" w:eastAsiaTheme="majorEastAsia"/>
          <w:bCs/>
          <w:color w:val="000000" w:themeColor="text1"/>
          <w:sz w:val="24"/>
          <w:szCs w:val="24"/>
        </w:rPr>
        <w:t>the “as is” value of the property before substantial rehabilitation</w:t>
      </w:r>
      <w:r w:rsidR="00F81ACB">
        <w:rPr>
          <w:rFonts w:ascii="Times New Roman" w:hAnsi="Times New Roman" w:cs="Times New Roman" w:eastAsiaTheme="majorEastAsia"/>
          <w:bCs/>
          <w:color w:val="000000" w:themeColor="text1"/>
          <w:sz w:val="24"/>
          <w:szCs w:val="24"/>
        </w:rPr>
        <w:t>)</w:t>
      </w:r>
      <w:r w:rsidRPr="00355C65">
        <w:rPr>
          <w:rFonts w:ascii="Times New Roman" w:hAnsi="Times New Roman" w:cs="Times New Roman" w:eastAsiaTheme="majorEastAsia"/>
          <w:bCs/>
          <w:color w:val="000000" w:themeColor="text1"/>
          <w:sz w:val="24"/>
          <w:szCs w:val="24"/>
        </w:rPr>
        <w:t xml:space="preserve"> is:</w:t>
      </w:r>
    </w:p>
    <w:p w:rsidRPr="00355C65" w:rsidR="006E573A" w:rsidP="006E573A" w:rsidRDefault="006E573A" w14:paraId="5B8554F0" w14:textId="77777777">
      <w:pPr>
        <w:keepNext/>
        <w:keepLines/>
        <w:tabs>
          <w:tab w:val="left" w:pos="1440"/>
        </w:tabs>
        <w:suppressAutoHyphens/>
        <w:spacing w:before="200" w:line="276" w:lineRule="auto"/>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ab/>
        <w:t>a.</w:t>
      </w:r>
      <w:r w:rsidRPr="00355C65">
        <w:rPr>
          <w:rFonts w:ascii="Times New Roman" w:hAnsi="Times New Roman" w:cs="Times New Roman" w:eastAsiaTheme="majorEastAsia"/>
          <w:bCs/>
          <w:color w:val="000000" w:themeColor="text1"/>
          <w:sz w:val="24"/>
          <w:szCs w:val="24"/>
        </w:rPr>
        <w:tab/>
        <w:t>90% - for projects with 90% or greater rental assistance;</w:t>
      </w:r>
    </w:p>
    <w:p w:rsidRPr="00355C65" w:rsidR="006E573A" w:rsidP="0023547C" w:rsidRDefault="006E573A" w14:paraId="5B8554F1" w14:textId="29BE4AEC">
      <w:pPr>
        <w:keepNext/>
        <w:keepLines/>
        <w:tabs>
          <w:tab w:val="left" w:pos="1440"/>
        </w:tabs>
        <w:suppressAutoHyphens/>
        <w:spacing w:before="200" w:line="276" w:lineRule="auto"/>
        <w:ind w:left="2160" w:hanging="2160"/>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ab/>
        <w:t>b.</w:t>
      </w:r>
      <w:r w:rsidRPr="00355C65">
        <w:rPr>
          <w:rFonts w:ascii="Times New Roman" w:hAnsi="Times New Roman" w:cs="Times New Roman" w:eastAsiaTheme="majorEastAsia"/>
          <w:bCs/>
          <w:color w:val="000000" w:themeColor="text1"/>
          <w:sz w:val="24"/>
          <w:szCs w:val="24"/>
        </w:rPr>
        <w:tab/>
        <w:t>87% - for projects that meet the definition of Affordable Housing</w:t>
      </w:r>
      <w:r w:rsidR="00F60648">
        <w:rPr>
          <w:rFonts w:ascii="Times New Roman" w:hAnsi="Times New Roman" w:cs="Times New Roman" w:eastAsiaTheme="majorEastAsia"/>
          <w:bCs/>
          <w:color w:val="000000" w:themeColor="text1"/>
          <w:sz w:val="24"/>
          <w:szCs w:val="24"/>
        </w:rPr>
        <w:t xml:space="preserve"> and for which </w:t>
      </w:r>
      <w:r w:rsidR="00546EA1">
        <w:rPr>
          <w:rFonts w:ascii="Times New Roman" w:hAnsi="Times New Roman" w:cs="Times New Roman" w:eastAsiaTheme="majorEastAsia"/>
          <w:bCs/>
          <w:color w:val="000000" w:themeColor="text1"/>
          <w:sz w:val="24"/>
          <w:szCs w:val="24"/>
        </w:rPr>
        <w:t xml:space="preserve">the achievable Tax Credit rents </w:t>
      </w:r>
      <w:r w:rsidR="00323D32">
        <w:rPr>
          <w:rFonts w:ascii="Times New Roman" w:hAnsi="Times New Roman" w:cs="Times New Roman" w:eastAsiaTheme="majorEastAsia"/>
          <w:bCs/>
          <w:color w:val="000000" w:themeColor="text1"/>
          <w:sz w:val="24"/>
          <w:szCs w:val="24"/>
        </w:rPr>
        <w:t>a</w:t>
      </w:r>
      <w:r w:rsidR="00546EA1">
        <w:rPr>
          <w:rFonts w:ascii="Times New Roman" w:hAnsi="Times New Roman" w:cs="Times New Roman" w:eastAsiaTheme="majorEastAsia"/>
          <w:bCs/>
          <w:color w:val="000000" w:themeColor="text1"/>
          <w:sz w:val="24"/>
          <w:szCs w:val="24"/>
        </w:rPr>
        <w:t>re at least 10% below market rents</w:t>
      </w:r>
      <w:r w:rsidRPr="00355C65">
        <w:rPr>
          <w:rFonts w:ascii="Times New Roman" w:hAnsi="Times New Roman" w:cs="Times New Roman" w:eastAsiaTheme="majorEastAsia"/>
          <w:bCs/>
          <w:color w:val="000000" w:themeColor="text1"/>
          <w:sz w:val="24"/>
          <w:szCs w:val="24"/>
        </w:rPr>
        <w:t>; or</w:t>
      </w:r>
    </w:p>
    <w:p w:rsidRPr="00355C65" w:rsidR="006E573A" w:rsidP="00D50770" w:rsidRDefault="006E573A" w14:paraId="5B8554F2" w14:textId="14693760">
      <w:pPr>
        <w:keepNext/>
        <w:keepLines/>
        <w:tabs>
          <w:tab w:val="left" w:pos="1440"/>
        </w:tabs>
        <w:suppressAutoHyphens/>
        <w:spacing w:before="200" w:line="276" w:lineRule="auto"/>
        <w:ind w:left="2160" w:hanging="2160"/>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ab/>
        <w:t>c.</w:t>
      </w:r>
      <w:r w:rsidRPr="00355C65">
        <w:rPr>
          <w:rFonts w:ascii="Times New Roman" w:hAnsi="Times New Roman" w:cs="Times New Roman" w:eastAsiaTheme="majorEastAsia"/>
          <w:bCs/>
          <w:color w:val="000000" w:themeColor="text1"/>
          <w:sz w:val="24"/>
          <w:szCs w:val="24"/>
        </w:rPr>
        <w:tab/>
        <w:t>85% - for market rate projects</w:t>
      </w:r>
      <w:r w:rsidR="004E298D">
        <w:rPr>
          <w:rFonts w:ascii="Times New Roman" w:hAnsi="Times New Roman" w:cs="Times New Roman" w:eastAsiaTheme="majorEastAsia"/>
          <w:bCs/>
          <w:color w:val="000000" w:themeColor="text1"/>
          <w:sz w:val="24"/>
          <w:szCs w:val="24"/>
        </w:rPr>
        <w:t xml:space="preserve"> or</w:t>
      </w:r>
      <w:r w:rsidR="00F16360">
        <w:rPr>
          <w:rFonts w:ascii="Times New Roman" w:hAnsi="Times New Roman" w:cs="Times New Roman" w:eastAsiaTheme="majorEastAsia"/>
          <w:bCs/>
          <w:color w:val="000000" w:themeColor="text1"/>
          <w:sz w:val="24"/>
          <w:szCs w:val="24"/>
        </w:rPr>
        <w:t xml:space="preserve"> Tax Credit projects without a significant rent advantage (i.e., </w:t>
      </w:r>
      <w:r w:rsidR="003F6A6B">
        <w:rPr>
          <w:rFonts w:ascii="Times New Roman" w:hAnsi="Times New Roman" w:cs="Times New Roman" w:eastAsiaTheme="majorEastAsia"/>
          <w:bCs/>
          <w:color w:val="000000" w:themeColor="text1"/>
          <w:sz w:val="24"/>
          <w:szCs w:val="24"/>
        </w:rPr>
        <w:t>the achievable rents are at least 10% below market</w:t>
      </w:r>
      <w:r w:rsidR="00235D1F">
        <w:rPr>
          <w:rFonts w:ascii="Times New Roman" w:hAnsi="Times New Roman" w:cs="Times New Roman" w:eastAsiaTheme="majorEastAsia"/>
          <w:bCs/>
          <w:color w:val="000000" w:themeColor="text1"/>
          <w:sz w:val="24"/>
          <w:szCs w:val="24"/>
        </w:rPr>
        <w:t>.)</w:t>
      </w:r>
    </w:p>
    <w:p w:rsidRPr="00355C65" w:rsidR="006E573A" w:rsidP="006E573A" w:rsidRDefault="006E573A" w14:paraId="5B8554F3" w14:textId="77777777">
      <w:pPr>
        <w:keepNext/>
        <w:keepLines/>
        <w:suppressAutoHyphens/>
        <w:spacing w:before="240" w:after="240" w:line="276" w:lineRule="auto"/>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u w:val="single"/>
        </w:rPr>
        <w:t>Criterion 4</w:t>
      </w:r>
      <w:r w:rsidRPr="00355C65">
        <w:rPr>
          <w:rFonts w:ascii="Times New Roman" w:hAnsi="Times New Roman" w:cs="Times New Roman" w:eastAsiaTheme="majorEastAsia"/>
          <w:bCs/>
          <w:color w:val="000000" w:themeColor="text1"/>
          <w:sz w:val="24"/>
          <w:szCs w:val="24"/>
        </w:rPr>
        <w:t>:</w:t>
      </w:r>
    </w:p>
    <w:p w:rsidRPr="00355C65" w:rsidR="006E573A" w:rsidP="006E573A" w:rsidRDefault="006E573A" w14:paraId="5B8554F4" w14:textId="7DB3717C">
      <w:pPr>
        <w:keepNext/>
        <w:keepLines/>
        <w:suppressAutoHyphens/>
        <w:spacing w:before="200" w:line="276" w:lineRule="auto"/>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Amount Based on Limitations per Family Unit:  Where percentages are required, enter the same percentage applied under Criterion 3.  See Chapter 8 for complete details and the MF Housing website:</w:t>
      </w:r>
      <w:hyperlink w:history="1"/>
      <w:hyperlink w:history="1" r:id="rId15">
        <w:r w:rsidRPr="005803D2" w:rsidR="00323D32">
          <w:rPr>
            <w:color w:val="000000" w:themeColor="text1"/>
            <w:sz w:val="24"/>
            <w:szCs w:val="24"/>
          </w:rPr>
          <w:t>https://www.hud.gov/program_offices/administration/hudclips/notices/hsg</w:t>
        </w:r>
      </w:hyperlink>
      <w:r w:rsidR="00A50826">
        <w:rPr>
          <w:color w:val="000000" w:themeColor="text1"/>
          <w:sz w:val="24"/>
          <w:szCs w:val="24"/>
        </w:rPr>
        <w:t xml:space="preserve"> </w:t>
      </w:r>
      <w:r w:rsidRPr="00355C65">
        <w:rPr>
          <w:rFonts w:ascii="Times New Roman" w:hAnsi="Times New Roman" w:cs="Times New Roman" w:eastAsiaTheme="majorEastAsia"/>
          <w:bCs/>
          <w:color w:val="000000" w:themeColor="text1"/>
          <w:sz w:val="24"/>
          <w:szCs w:val="24"/>
        </w:rPr>
        <w:t>on information for per family unit limitations and the High Cost Percentage by jurisdiction.</w:t>
      </w:r>
    </w:p>
    <w:p w:rsidRPr="00355C65" w:rsidR="006E573A" w:rsidP="006E573A" w:rsidRDefault="006E573A" w14:paraId="5B8554F5" w14:textId="77777777">
      <w:pPr>
        <w:keepNext/>
        <w:keepLines/>
        <w:suppressAutoHyphens/>
        <w:spacing w:before="240" w:after="240" w:line="276" w:lineRule="auto"/>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u w:val="single"/>
        </w:rPr>
        <w:t>Criterion 5</w:t>
      </w:r>
      <w:r w:rsidRPr="00355C65">
        <w:rPr>
          <w:rFonts w:ascii="Times New Roman" w:hAnsi="Times New Roman" w:cs="Times New Roman" w:eastAsiaTheme="majorEastAsia"/>
          <w:bCs/>
          <w:color w:val="000000" w:themeColor="text1"/>
          <w:sz w:val="24"/>
          <w:szCs w:val="24"/>
        </w:rPr>
        <w:t>:</w:t>
      </w:r>
    </w:p>
    <w:p w:rsidRPr="00355C65" w:rsidR="006E573A" w:rsidP="006E573A" w:rsidRDefault="006E573A" w14:paraId="5B8554F6" w14:textId="3F45F726">
      <w:pPr>
        <w:keepNext/>
        <w:keepLines/>
        <w:suppressAutoHyphens/>
        <w:spacing w:before="120" w:line="276" w:lineRule="auto"/>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 xml:space="preserve">Amount Based on Debt Service </w:t>
      </w:r>
      <w:r w:rsidR="00323D32">
        <w:rPr>
          <w:rFonts w:ascii="Times New Roman" w:hAnsi="Times New Roman" w:cs="Times New Roman" w:eastAsiaTheme="majorEastAsia"/>
          <w:bCs/>
          <w:color w:val="000000" w:themeColor="text1"/>
          <w:sz w:val="24"/>
          <w:szCs w:val="24"/>
        </w:rPr>
        <w:t xml:space="preserve">Coverage </w:t>
      </w:r>
      <w:r w:rsidRPr="00355C65">
        <w:rPr>
          <w:rFonts w:ascii="Times New Roman" w:hAnsi="Times New Roman" w:cs="Times New Roman" w:eastAsiaTheme="majorEastAsia"/>
          <w:bCs/>
          <w:color w:val="000000" w:themeColor="text1"/>
          <w:sz w:val="24"/>
          <w:szCs w:val="24"/>
        </w:rPr>
        <w:t>Ratio (D</w:t>
      </w:r>
      <w:r w:rsidR="00323D32">
        <w:rPr>
          <w:rFonts w:ascii="Times New Roman" w:hAnsi="Times New Roman" w:cs="Times New Roman" w:eastAsiaTheme="majorEastAsia"/>
          <w:bCs/>
          <w:color w:val="000000" w:themeColor="text1"/>
          <w:sz w:val="24"/>
          <w:szCs w:val="24"/>
        </w:rPr>
        <w:t>S</w:t>
      </w:r>
      <w:r w:rsidRPr="00355C65">
        <w:rPr>
          <w:rFonts w:ascii="Times New Roman" w:hAnsi="Times New Roman" w:cs="Times New Roman" w:eastAsiaTheme="majorEastAsia"/>
          <w:bCs/>
          <w:color w:val="000000" w:themeColor="text1"/>
          <w:sz w:val="24"/>
          <w:szCs w:val="24"/>
        </w:rPr>
        <w:t>CR) (ratios are rounded for presentation purposes):</w:t>
      </w:r>
    </w:p>
    <w:p w:rsidRPr="00355C65" w:rsidR="006E573A" w:rsidP="006E573A" w:rsidRDefault="006E573A" w14:paraId="5B8554F7" w14:textId="7A2755C7">
      <w:pPr>
        <w:keepNext/>
        <w:keepLines/>
        <w:suppressAutoHyphens/>
        <w:spacing w:before="120" w:line="276" w:lineRule="auto"/>
        <w:ind w:left="1440"/>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 xml:space="preserve">a.  </w:t>
      </w:r>
      <w:r w:rsidRPr="00355C65">
        <w:rPr>
          <w:rFonts w:ascii="Times New Roman" w:hAnsi="Times New Roman" w:cs="Times New Roman" w:eastAsiaTheme="majorEastAsia"/>
          <w:bCs/>
          <w:color w:val="000000" w:themeColor="text1"/>
          <w:sz w:val="24"/>
          <w:szCs w:val="24"/>
        </w:rPr>
        <w:tab/>
        <w:t>90% (1.11 D</w:t>
      </w:r>
      <w:r w:rsidR="00323D32">
        <w:rPr>
          <w:rFonts w:ascii="Times New Roman" w:hAnsi="Times New Roman" w:cs="Times New Roman" w:eastAsiaTheme="majorEastAsia"/>
          <w:bCs/>
          <w:color w:val="000000" w:themeColor="text1"/>
          <w:sz w:val="24"/>
          <w:szCs w:val="24"/>
        </w:rPr>
        <w:t>S</w:t>
      </w:r>
      <w:r w:rsidRPr="00355C65">
        <w:rPr>
          <w:rFonts w:ascii="Times New Roman" w:hAnsi="Times New Roman" w:cs="Times New Roman" w:eastAsiaTheme="majorEastAsia"/>
          <w:bCs/>
          <w:color w:val="000000" w:themeColor="text1"/>
          <w:sz w:val="24"/>
          <w:szCs w:val="24"/>
        </w:rPr>
        <w:t>CR) – for projects with 90% or greater rental assistance;</w:t>
      </w:r>
    </w:p>
    <w:p w:rsidRPr="00355C65" w:rsidR="006E573A" w:rsidP="0023547C" w:rsidRDefault="006E573A" w14:paraId="5B8554F8" w14:textId="7183B110">
      <w:pPr>
        <w:keepNext/>
        <w:keepLines/>
        <w:suppressAutoHyphens/>
        <w:spacing w:before="200" w:line="276" w:lineRule="auto"/>
        <w:ind w:left="2160" w:hanging="720"/>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b.</w:t>
      </w:r>
      <w:r w:rsidRPr="00355C65">
        <w:rPr>
          <w:rFonts w:ascii="Times New Roman" w:hAnsi="Times New Roman" w:cs="Times New Roman" w:eastAsiaTheme="majorEastAsia"/>
          <w:bCs/>
          <w:color w:val="000000" w:themeColor="text1"/>
          <w:sz w:val="24"/>
          <w:szCs w:val="24"/>
        </w:rPr>
        <w:tab/>
        <w:t>87% (1.15 D</w:t>
      </w:r>
      <w:r w:rsidR="00323D32">
        <w:rPr>
          <w:rFonts w:ascii="Times New Roman" w:hAnsi="Times New Roman" w:cs="Times New Roman" w:eastAsiaTheme="majorEastAsia"/>
          <w:bCs/>
          <w:color w:val="000000" w:themeColor="text1"/>
          <w:sz w:val="24"/>
          <w:szCs w:val="24"/>
        </w:rPr>
        <w:t>S</w:t>
      </w:r>
      <w:r w:rsidRPr="00355C65">
        <w:rPr>
          <w:rFonts w:ascii="Times New Roman" w:hAnsi="Times New Roman" w:cs="Times New Roman" w:eastAsiaTheme="majorEastAsia"/>
          <w:bCs/>
          <w:color w:val="000000" w:themeColor="text1"/>
          <w:sz w:val="24"/>
          <w:szCs w:val="24"/>
        </w:rPr>
        <w:t>CR) – for projects that meet the definition of Affordable Housing</w:t>
      </w:r>
      <w:r w:rsidRPr="00546EA1" w:rsidR="00546EA1">
        <w:rPr>
          <w:rFonts w:ascii="Times New Roman" w:hAnsi="Times New Roman" w:cs="Times New Roman" w:eastAsiaTheme="majorEastAsia"/>
          <w:bCs/>
          <w:color w:val="000000" w:themeColor="text1"/>
          <w:sz w:val="24"/>
          <w:szCs w:val="24"/>
        </w:rPr>
        <w:t xml:space="preserve"> </w:t>
      </w:r>
      <w:r w:rsidR="00546EA1">
        <w:rPr>
          <w:rFonts w:ascii="Times New Roman" w:hAnsi="Times New Roman" w:cs="Times New Roman" w:eastAsiaTheme="majorEastAsia"/>
          <w:bCs/>
          <w:color w:val="000000" w:themeColor="text1"/>
          <w:sz w:val="24"/>
          <w:szCs w:val="24"/>
        </w:rPr>
        <w:t xml:space="preserve">and for which the achievable Tax Credit rents </w:t>
      </w:r>
      <w:r w:rsidR="0082598B">
        <w:rPr>
          <w:rFonts w:ascii="Times New Roman" w:hAnsi="Times New Roman" w:cs="Times New Roman" w:eastAsiaTheme="majorEastAsia"/>
          <w:bCs/>
          <w:color w:val="000000" w:themeColor="text1"/>
          <w:sz w:val="24"/>
          <w:szCs w:val="24"/>
        </w:rPr>
        <w:t>a</w:t>
      </w:r>
      <w:r w:rsidR="00546EA1">
        <w:rPr>
          <w:rFonts w:ascii="Times New Roman" w:hAnsi="Times New Roman" w:cs="Times New Roman" w:eastAsiaTheme="majorEastAsia"/>
          <w:bCs/>
          <w:color w:val="000000" w:themeColor="text1"/>
          <w:sz w:val="24"/>
          <w:szCs w:val="24"/>
        </w:rPr>
        <w:t>re at least 10% below market rents</w:t>
      </w:r>
      <w:r w:rsidRPr="00355C65">
        <w:rPr>
          <w:rFonts w:ascii="Times New Roman" w:hAnsi="Times New Roman" w:cs="Times New Roman" w:eastAsiaTheme="majorEastAsia"/>
          <w:bCs/>
          <w:color w:val="000000" w:themeColor="text1"/>
          <w:sz w:val="24"/>
          <w:szCs w:val="24"/>
        </w:rPr>
        <w:t>; or</w:t>
      </w:r>
    </w:p>
    <w:p w:rsidRPr="00355C65" w:rsidR="006E573A" w:rsidP="00B40C83" w:rsidRDefault="006E573A" w14:paraId="5B8554F9" w14:textId="2E25208F">
      <w:pPr>
        <w:keepNext/>
        <w:keepLines/>
        <w:tabs>
          <w:tab w:val="left" w:pos="1440"/>
        </w:tabs>
        <w:suppressAutoHyphens/>
        <w:spacing w:before="200" w:line="276" w:lineRule="auto"/>
        <w:ind w:left="2160" w:hanging="2160"/>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ab/>
        <w:t>c.</w:t>
      </w:r>
      <w:r w:rsidRPr="00355C65">
        <w:rPr>
          <w:rFonts w:ascii="Times New Roman" w:hAnsi="Times New Roman" w:cs="Times New Roman" w:eastAsiaTheme="majorEastAsia"/>
          <w:bCs/>
          <w:color w:val="000000" w:themeColor="text1"/>
          <w:sz w:val="24"/>
          <w:szCs w:val="24"/>
        </w:rPr>
        <w:tab/>
        <w:t xml:space="preserve">85% (1.176 </w:t>
      </w:r>
      <w:r w:rsidR="004B4DB9">
        <w:rPr>
          <w:rFonts w:ascii="Times New Roman" w:hAnsi="Times New Roman" w:cs="Times New Roman" w:eastAsiaTheme="majorEastAsia"/>
          <w:bCs/>
          <w:color w:val="000000" w:themeColor="text1"/>
          <w:sz w:val="24"/>
          <w:szCs w:val="24"/>
        </w:rPr>
        <w:t>DSCR</w:t>
      </w:r>
      <w:r w:rsidRPr="00355C65">
        <w:rPr>
          <w:rFonts w:ascii="Times New Roman" w:hAnsi="Times New Roman" w:cs="Times New Roman" w:eastAsiaTheme="majorEastAsia"/>
          <w:bCs/>
          <w:color w:val="000000" w:themeColor="text1"/>
          <w:sz w:val="24"/>
          <w:szCs w:val="24"/>
        </w:rPr>
        <w:t>) - for market rate projects</w:t>
      </w:r>
      <w:r w:rsidR="00B40C83">
        <w:rPr>
          <w:rFonts w:ascii="Times New Roman" w:hAnsi="Times New Roman" w:cs="Times New Roman" w:eastAsiaTheme="majorEastAsia"/>
          <w:bCs/>
          <w:color w:val="000000" w:themeColor="text1"/>
          <w:sz w:val="24"/>
          <w:szCs w:val="24"/>
        </w:rPr>
        <w:t xml:space="preserve"> </w:t>
      </w:r>
      <w:r w:rsidRPr="00B40C83" w:rsidR="00B40C83">
        <w:rPr>
          <w:rFonts w:ascii="Times New Roman" w:hAnsi="Times New Roman" w:cs="Times New Roman" w:eastAsiaTheme="majorEastAsia"/>
          <w:bCs/>
          <w:color w:val="000000" w:themeColor="text1"/>
          <w:sz w:val="24"/>
          <w:szCs w:val="24"/>
        </w:rPr>
        <w:t xml:space="preserve">or </w:t>
      </w:r>
      <w:r w:rsidR="00235D1F">
        <w:rPr>
          <w:rFonts w:ascii="Times New Roman" w:hAnsi="Times New Roman" w:cs="Times New Roman" w:eastAsiaTheme="majorEastAsia"/>
          <w:bCs/>
          <w:color w:val="000000" w:themeColor="text1"/>
          <w:sz w:val="24"/>
          <w:szCs w:val="24"/>
        </w:rPr>
        <w:t xml:space="preserve">Tax Credit projects without a </w:t>
      </w:r>
      <w:r w:rsidR="00087AF6">
        <w:rPr>
          <w:rFonts w:ascii="Times New Roman" w:hAnsi="Times New Roman" w:cs="Times New Roman" w:eastAsiaTheme="majorEastAsia"/>
          <w:bCs/>
          <w:color w:val="000000" w:themeColor="text1"/>
          <w:sz w:val="24"/>
          <w:szCs w:val="24"/>
        </w:rPr>
        <w:t xml:space="preserve">significant rent advantage (i.e., the achievable rents are at least </w:t>
      </w:r>
      <w:r w:rsidR="004F0EEF">
        <w:rPr>
          <w:rFonts w:ascii="Times New Roman" w:hAnsi="Times New Roman" w:cs="Times New Roman" w:eastAsiaTheme="majorEastAsia"/>
          <w:bCs/>
          <w:color w:val="000000" w:themeColor="text1"/>
          <w:sz w:val="24"/>
          <w:szCs w:val="24"/>
        </w:rPr>
        <w:t>10% below market.)</w:t>
      </w:r>
    </w:p>
    <w:p w:rsidRPr="00355C65" w:rsidR="006E573A" w:rsidP="006E573A" w:rsidRDefault="006E573A" w14:paraId="5B8554FA" w14:textId="77777777">
      <w:pPr>
        <w:rPr>
          <w:rFonts w:ascii="Times New Roman" w:hAnsi="Times New Roman" w:cs="Times New Roman"/>
          <w:b/>
          <w:sz w:val="24"/>
          <w:szCs w:val="24"/>
        </w:rPr>
      </w:pPr>
    </w:p>
    <w:p w:rsidRPr="00355C65" w:rsidR="006E573A" w:rsidP="006E573A" w:rsidRDefault="006E573A" w14:paraId="5B8554FB" w14:textId="77777777">
      <w:pPr>
        <w:rPr>
          <w:rFonts w:ascii="Times New Roman" w:hAnsi="Times New Roman" w:cs="Times New Roman"/>
          <w:b/>
          <w:sz w:val="24"/>
          <w:szCs w:val="24"/>
        </w:rPr>
      </w:pPr>
    </w:p>
    <w:p w:rsidRPr="00355C65" w:rsidR="006E573A" w:rsidP="006E573A" w:rsidRDefault="006E573A" w14:paraId="5B855501" w14:textId="77777777">
      <w:pPr>
        <w:pStyle w:val="MAPSubchapterheading"/>
        <w:ind w:left="1437" w:hanging="1275"/>
      </w:pPr>
      <w:r w:rsidRPr="00355C65">
        <w:t>3.4</w:t>
      </w:r>
      <w:r w:rsidRPr="00355C65">
        <w:tab/>
      </w:r>
      <w:r w:rsidRPr="00355C65">
        <w:tab/>
        <w:t>Section 220 Mortgage Insurance for Rental Housing for Urban Renewal and Concentrated Development Areas – New Construction and Substantial Rehabilitation</w:t>
      </w:r>
    </w:p>
    <w:p w:rsidRPr="00355C65" w:rsidR="006E573A" w:rsidP="006E573A" w:rsidRDefault="006E573A" w14:paraId="5B855502" w14:textId="50794C58">
      <w:pPr>
        <w:suppressAutoHyphens/>
        <w:overflowPunct w:val="0"/>
        <w:autoSpaceDE w:val="0"/>
        <w:autoSpaceDN w:val="0"/>
        <w:adjustRightInd w:val="0"/>
        <w:spacing w:before="240" w:after="120" w:line="276" w:lineRule="auto"/>
        <w:jc w:val="both"/>
        <w:textAlignment w:val="baseline"/>
        <w:rPr>
          <w:rFonts w:ascii="Times New Roman" w:hAnsi="Times New Roman" w:eastAsia="Times New Roman" w:cs="Times New Roman"/>
          <w:sz w:val="24"/>
          <w:szCs w:val="24"/>
        </w:rPr>
      </w:pPr>
      <w:r w:rsidRPr="00355C65">
        <w:rPr>
          <w:rFonts w:ascii="Times New Roman" w:hAnsi="Times New Roman" w:eastAsia="Times New Roman" w:cs="Times New Roman"/>
          <w:sz w:val="24"/>
          <w:szCs w:val="24"/>
        </w:rPr>
        <w:t>Section 220 insures mortgages for the new construction or substantial rehabilitation of mixed</w:t>
      </w:r>
      <w:r w:rsidR="0027637C">
        <w:rPr>
          <w:rFonts w:ascii="Times New Roman" w:hAnsi="Times New Roman" w:eastAsia="Times New Roman" w:cs="Times New Roman"/>
          <w:sz w:val="24"/>
          <w:szCs w:val="24"/>
        </w:rPr>
        <w:t>-</w:t>
      </w:r>
      <w:r w:rsidRPr="00355C65">
        <w:rPr>
          <w:rFonts w:ascii="Times New Roman" w:hAnsi="Times New Roman" w:eastAsia="Times New Roman" w:cs="Times New Roman"/>
          <w:sz w:val="24"/>
          <w:szCs w:val="24"/>
        </w:rPr>
        <w:t>use housing projects in urban renewal areas, code enforcement areas and other areas where local governments have undertaken designated revitalization activities.</w:t>
      </w:r>
    </w:p>
    <w:p w:rsidRPr="00355C65" w:rsidR="006E573A" w:rsidP="006E573A" w:rsidRDefault="006E573A" w14:paraId="5B855503" w14:textId="77777777">
      <w:pPr>
        <w:suppressAutoHyphens/>
        <w:overflowPunct w:val="0"/>
        <w:autoSpaceDE w:val="0"/>
        <w:autoSpaceDN w:val="0"/>
        <w:adjustRightInd w:val="0"/>
        <w:spacing w:before="80" w:after="120" w:line="276" w:lineRule="auto"/>
        <w:jc w:val="both"/>
        <w:textAlignment w:val="baseline"/>
        <w:rPr>
          <w:rFonts w:ascii="Times New Roman" w:hAnsi="Times New Roman" w:eastAsia="Times New Roman" w:cs="Times New Roman"/>
          <w:sz w:val="24"/>
          <w:szCs w:val="24"/>
        </w:rPr>
      </w:pPr>
      <w:r w:rsidRPr="00355C65">
        <w:rPr>
          <w:rFonts w:ascii="Times New Roman" w:hAnsi="Times New Roman" w:eastAsia="Times New Roman" w:cs="Times New Roman"/>
          <w:sz w:val="24"/>
          <w:szCs w:val="24"/>
        </w:rPr>
        <w:t>In addition to the general requirements in Sections 3.1 and 3.2, the following requirements apply to Section 220:</w:t>
      </w:r>
    </w:p>
    <w:p w:rsidRPr="00355C65" w:rsidR="006E573A" w:rsidP="006E573A" w:rsidRDefault="006E573A" w14:paraId="5B855504" w14:textId="77777777">
      <w:pPr>
        <w:keepNext/>
        <w:keepLines/>
        <w:numPr>
          <w:ilvl w:val="0"/>
          <w:numId w:val="17"/>
        </w:numPr>
        <w:suppressAutoHyphens/>
        <w:spacing w:before="200" w:after="200" w:line="276" w:lineRule="auto"/>
        <w:ind w:left="360"/>
        <w:contextualSpacing/>
        <w:jc w:val="both"/>
        <w:outlineLvl w:val="1"/>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Eligible Areas. The property must be located in either a concentrated development area approved by the Multifamily Regional Center or Satellite Office, or one of the following:</w:t>
      </w:r>
    </w:p>
    <w:p w:rsidRPr="00355C65" w:rsidR="006E573A" w:rsidP="006E573A" w:rsidRDefault="006E573A" w14:paraId="5B855505" w14:textId="77777777">
      <w:pPr>
        <w:keepNext/>
        <w:keepLines/>
        <w:suppressAutoHyphens/>
        <w:spacing w:before="200" w:after="200" w:line="276" w:lineRule="auto"/>
        <w:ind w:left="720"/>
        <w:contextualSpacing/>
        <w:jc w:val="both"/>
        <w:outlineLvl w:val="1"/>
        <w:rPr>
          <w:rFonts w:ascii="Times New Roman" w:hAnsi="Times New Roman" w:cs="Times New Roman" w:eastAsiaTheme="majorEastAsia"/>
          <w:bCs/>
          <w:color w:val="000000" w:themeColor="text1"/>
          <w:sz w:val="24"/>
          <w:szCs w:val="24"/>
        </w:rPr>
      </w:pPr>
    </w:p>
    <w:p w:rsidRPr="0023547C" w:rsidR="006E573A" w:rsidP="006E573A" w:rsidRDefault="006E573A" w14:paraId="5B855506" w14:textId="496CD749">
      <w:pPr>
        <w:numPr>
          <w:ilvl w:val="0"/>
          <w:numId w:val="18"/>
        </w:numPr>
        <w:spacing w:after="200" w:line="276" w:lineRule="auto"/>
        <w:contextualSpacing/>
        <w:jc w:val="both"/>
        <w:rPr>
          <w:rFonts w:ascii="Times New Roman" w:hAnsi="Times New Roman" w:cs="Times New Roman"/>
          <w:sz w:val="24"/>
          <w:szCs w:val="24"/>
        </w:rPr>
      </w:pPr>
      <w:r w:rsidRPr="00355C65">
        <w:rPr>
          <w:rFonts w:ascii="Times New Roman" w:hAnsi="Times New Roman" w:cs="Times New Roman"/>
          <w:sz w:val="24"/>
          <w:szCs w:val="24"/>
        </w:rPr>
        <w:t xml:space="preserve">Existing slum clearance and urban redevelopment projects covered by a Federal aid contract </w:t>
      </w:r>
      <w:r w:rsidRPr="00355C65">
        <w:rPr>
          <w:rFonts w:ascii="Times New Roman" w:hAnsi="Times New Roman" w:cs="Times New Roman" w:eastAsiaTheme="majorEastAsia"/>
          <w:bCs/>
          <w:color w:val="000000" w:themeColor="text1"/>
          <w:sz w:val="24"/>
          <w:szCs w:val="24"/>
        </w:rPr>
        <w:t>before the effective date of the Housing Act of 1954.</w:t>
      </w:r>
    </w:p>
    <w:p w:rsidRPr="00355C65" w:rsidR="008476C2" w:rsidP="006E573A" w:rsidRDefault="008476C2" w14:paraId="6F8BE428" w14:textId="4859F672">
      <w:pPr>
        <w:numPr>
          <w:ilvl w:val="0"/>
          <w:numId w:val="18"/>
        </w:num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Opportunity Zones.</w:t>
      </w:r>
    </w:p>
    <w:p w:rsidRPr="00355C65" w:rsidR="006E573A" w:rsidP="006E573A" w:rsidRDefault="006E573A" w14:paraId="5B855507" w14:textId="77777777">
      <w:pPr>
        <w:numPr>
          <w:ilvl w:val="0"/>
          <w:numId w:val="18"/>
        </w:numPr>
        <w:spacing w:after="200" w:line="276" w:lineRule="auto"/>
        <w:contextualSpacing/>
        <w:jc w:val="both"/>
        <w:rPr>
          <w:rFonts w:ascii="Times New Roman" w:hAnsi="Times New Roman" w:cs="Times New Roman"/>
          <w:sz w:val="24"/>
          <w:szCs w:val="24"/>
        </w:rPr>
      </w:pPr>
      <w:r w:rsidRPr="00355C65">
        <w:rPr>
          <w:rFonts w:ascii="Times New Roman" w:hAnsi="Times New Roman" w:cs="Times New Roman" w:eastAsiaTheme="majorEastAsia"/>
          <w:bCs/>
          <w:color w:val="000000" w:themeColor="text1"/>
          <w:sz w:val="24"/>
          <w:szCs w:val="24"/>
        </w:rPr>
        <w:t xml:space="preserve"> An approved urban renewal area under Title I of the Housing Act of 1949.</w:t>
      </w:r>
    </w:p>
    <w:p w:rsidRPr="00355C65" w:rsidR="006E573A" w:rsidP="006E573A" w:rsidRDefault="006E573A" w14:paraId="5B855508" w14:textId="77777777">
      <w:pPr>
        <w:numPr>
          <w:ilvl w:val="0"/>
          <w:numId w:val="18"/>
        </w:numPr>
        <w:spacing w:after="200" w:line="276" w:lineRule="auto"/>
        <w:contextualSpacing/>
        <w:jc w:val="both"/>
        <w:rPr>
          <w:rFonts w:ascii="Times New Roman" w:hAnsi="Times New Roman" w:cs="Times New Roman"/>
          <w:sz w:val="24"/>
          <w:szCs w:val="24"/>
        </w:rPr>
      </w:pPr>
      <w:r w:rsidRPr="00355C65">
        <w:rPr>
          <w:rFonts w:ascii="Times New Roman" w:hAnsi="Times New Roman" w:cs="Times New Roman" w:eastAsiaTheme="majorEastAsia"/>
          <w:bCs/>
          <w:color w:val="000000" w:themeColor="text1"/>
          <w:sz w:val="24"/>
          <w:szCs w:val="24"/>
        </w:rPr>
        <w:t xml:space="preserve"> Disaster urban renewal projects assisted under Section III of the Housing Act of 1949 as amended.</w:t>
      </w:r>
    </w:p>
    <w:p w:rsidRPr="00355C65" w:rsidR="006E573A" w:rsidP="006E573A" w:rsidRDefault="006E573A" w14:paraId="5B855509" w14:textId="77777777">
      <w:pPr>
        <w:numPr>
          <w:ilvl w:val="0"/>
          <w:numId w:val="18"/>
        </w:numPr>
        <w:spacing w:after="200" w:line="276" w:lineRule="auto"/>
        <w:contextualSpacing/>
        <w:jc w:val="both"/>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An area of concentrated code enforcement being carried out under Section 117 of the Housing Act of 1949.</w:t>
      </w:r>
    </w:p>
    <w:p w:rsidRPr="00355C65" w:rsidR="006E573A" w:rsidP="006E573A" w:rsidRDefault="006E573A" w14:paraId="5B85550A" w14:textId="77777777">
      <w:pPr>
        <w:keepNext/>
        <w:keepLines/>
        <w:suppressAutoHyphens/>
        <w:spacing w:before="200" w:line="276" w:lineRule="auto"/>
        <w:ind w:left="720"/>
        <w:jc w:val="both"/>
        <w:outlineLvl w:val="2"/>
        <w:rPr>
          <w:rFonts w:ascii="Times New Roman" w:hAnsi="Times New Roman" w:cs="Times New Roman" w:eastAsiaTheme="majorEastAsia"/>
          <w:bCs/>
          <w:color w:val="000000" w:themeColor="text1"/>
          <w:spacing w:val="-4"/>
          <w:sz w:val="24"/>
          <w:szCs w:val="24"/>
        </w:rPr>
      </w:pPr>
      <w:r w:rsidRPr="00355C65">
        <w:rPr>
          <w:rFonts w:ascii="Times New Roman" w:hAnsi="Times New Roman" w:cs="Times New Roman" w:eastAsiaTheme="majorEastAsia"/>
          <w:bCs/>
          <w:color w:val="000000" w:themeColor="text1"/>
          <w:spacing w:val="-4"/>
          <w:sz w:val="24"/>
          <w:szCs w:val="24"/>
        </w:rPr>
        <w:t>The Multifamily Regional Center or Satellite Office will consider proposals in concentrated development areas in which concentrated housing, physical development and public service activities are being carried out in a coordinated manner, pursuant to a locally developed strategy for neighborhood improvement, conservation or preservation.  Locally developed strategies may be informal, but must:</w:t>
      </w:r>
    </w:p>
    <w:p w:rsidRPr="00355C65" w:rsidR="006E573A" w:rsidP="006E573A" w:rsidRDefault="006E573A" w14:paraId="5B85550B" w14:textId="77777777">
      <w:pPr>
        <w:tabs>
          <w:tab w:val="left" w:pos="3240"/>
        </w:tabs>
        <w:suppressAutoHyphens/>
        <w:overflowPunct w:val="0"/>
        <w:autoSpaceDE w:val="0"/>
        <w:autoSpaceDN w:val="0"/>
        <w:adjustRightInd w:val="0"/>
        <w:spacing w:before="80" w:after="80" w:line="276" w:lineRule="auto"/>
        <w:ind w:left="1080" w:hanging="360"/>
        <w:jc w:val="both"/>
        <w:textAlignment w:val="baseline"/>
        <w:outlineLvl w:val="3"/>
        <w:rPr>
          <w:rFonts w:ascii="Times New Roman" w:hAnsi="Times New Roman" w:eastAsia="Times New Roman" w:cs="Times New Roman"/>
          <w:sz w:val="24"/>
          <w:szCs w:val="24"/>
        </w:rPr>
      </w:pPr>
      <w:r w:rsidRPr="00355C65">
        <w:rPr>
          <w:rFonts w:ascii="Times New Roman" w:hAnsi="Times New Roman" w:eastAsia="Times New Roman" w:cs="Times New Roman"/>
          <w:sz w:val="24"/>
          <w:szCs w:val="24"/>
        </w:rPr>
        <w:t>a.</w:t>
      </w:r>
      <w:r w:rsidRPr="00355C65">
        <w:rPr>
          <w:rFonts w:ascii="Times New Roman" w:hAnsi="Times New Roman" w:eastAsia="Times New Roman" w:cs="Times New Roman"/>
          <w:sz w:val="24"/>
          <w:szCs w:val="24"/>
        </w:rPr>
        <w:tab/>
        <w:t>Provide for a combination of physical improvements, necessary public facilities and services, housing programs, private investment and citizen self-help activities appropriate to the needs of the area,</w:t>
      </w:r>
    </w:p>
    <w:p w:rsidRPr="00355C65" w:rsidR="006E573A" w:rsidP="006E573A" w:rsidRDefault="006E573A" w14:paraId="5B85550C" w14:textId="77777777">
      <w:pPr>
        <w:tabs>
          <w:tab w:val="left" w:pos="720"/>
          <w:tab w:val="left" w:pos="3240"/>
        </w:tabs>
        <w:suppressAutoHyphens/>
        <w:overflowPunct w:val="0"/>
        <w:autoSpaceDE w:val="0"/>
        <w:autoSpaceDN w:val="0"/>
        <w:adjustRightInd w:val="0"/>
        <w:spacing w:before="80" w:after="80" w:line="276" w:lineRule="auto"/>
        <w:ind w:left="1080" w:hanging="360"/>
        <w:jc w:val="both"/>
        <w:textAlignment w:val="baseline"/>
        <w:outlineLvl w:val="3"/>
        <w:rPr>
          <w:rFonts w:ascii="Times New Roman" w:hAnsi="Times New Roman" w:eastAsia="Times New Roman" w:cs="Times New Roman"/>
          <w:sz w:val="24"/>
          <w:szCs w:val="24"/>
        </w:rPr>
      </w:pPr>
      <w:r w:rsidRPr="00355C65">
        <w:rPr>
          <w:rFonts w:ascii="Times New Roman" w:hAnsi="Times New Roman" w:eastAsia="Times New Roman" w:cs="Times New Roman"/>
          <w:sz w:val="24"/>
          <w:szCs w:val="24"/>
        </w:rPr>
        <w:t>b.</w:t>
      </w:r>
      <w:r w:rsidRPr="00355C65">
        <w:rPr>
          <w:rFonts w:ascii="Times New Roman" w:hAnsi="Times New Roman" w:eastAsia="Times New Roman" w:cs="Times New Roman"/>
          <w:sz w:val="24"/>
          <w:szCs w:val="24"/>
        </w:rPr>
        <w:tab/>
        <w:t>Coordinate public and private development efforts, and</w:t>
      </w:r>
    </w:p>
    <w:p w:rsidRPr="00355C65" w:rsidR="006E573A" w:rsidP="006E573A" w:rsidRDefault="006E573A" w14:paraId="5B85550D" w14:textId="58729EC3">
      <w:pPr>
        <w:tabs>
          <w:tab w:val="left" w:pos="720"/>
          <w:tab w:val="left" w:pos="1170"/>
          <w:tab w:val="left" w:pos="1440"/>
          <w:tab w:val="left" w:pos="3240"/>
        </w:tabs>
        <w:suppressAutoHyphens/>
        <w:overflowPunct w:val="0"/>
        <w:autoSpaceDE w:val="0"/>
        <w:autoSpaceDN w:val="0"/>
        <w:adjustRightInd w:val="0"/>
        <w:spacing w:before="80" w:after="80" w:line="276" w:lineRule="auto"/>
        <w:ind w:left="1080" w:hanging="360"/>
        <w:jc w:val="both"/>
        <w:textAlignment w:val="baseline"/>
        <w:outlineLvl w:val="3"/>
        <w:rPr>
          <w:rFonts w:ascii="Times New Roman" w:hAnsi="Times New Roman" w:eastAsia="Times New Roman" w:cs="Times New Roman"/>
          <w:sz w:val="24"/>
          <w:szCs w:val="24"/>
        </w:rPr>
      </w:pPr>
      <w:r w:rsidRPr="00355C65">
        <w:rPr>
          <w:rFonts w:ascii="Times New Roman" w:hAnsi="Times New Roman" w:eastAsia="Times New Roman" w:cs="Times New Roman"/>
          <w:sz w:val="24"/>
          <w:szCs w:val="24"/>
        </w:rPr>
        <w:t>c.</w:t>
      </w:r>
      <w:r w:rsidRPr="00355C65">
        <w:rPr>
          <w:rFonts w:ascii="Times New Roman" w:hAnsi="Times New Roman" w:eastAsia="Times New Roman" w:cs="Times New Roman"/>
          <w:sz w:val="24"/>
          <w:szCs w:val="24"/>
        </w:rPr>
        <w:tab/>
        <w:t xml:space="preserve">Provide sufficient resources to produce substantial long-term improvements in the area within a reasonable amount of time, </w:t>
      </w:r>
      <w:r w:rsidR="00250980">
        <w:rPr>
          <w:rFonts w:ascii="Times New Roman" w:hAnsi="Times New Roman" w:eastAsia="Times New Roman" w:cs="Times New Roman"/>
          <w:sz w:val="24"/>
          <w:szCs w:val="24"/>
        </w:rPr>
        <w:t>considering</w:t>
      </w:r>
      <w:r w:rsidRPr="00355C65">
        <w:rPr>
          <w:rFonts w:ascii="Times New Roman" w:hAnsi="Times New Roman" w:eastAsia="Times New Roman" w:cs="Times New Roman"/>
          <w:sz w:val="24"/>
          <w:szCs w:val="24"/>
        </w:rPr>
        <w:t xml:space="preserve"> the severity of the area’s problems.</w:t>
      </w:r>
    </w:p>
    <w:p w:rsidRPr="00355C65" w:rsidR="006E573A" w:rsidP="006E573A" w:rsidRDefault="006E573A" w14:paraId="5B85550E" w14:textId="77777777">
      <w:pPr>
        <w:tabs>
          <w:tab w:val="left" w:pos="720"/>
          <w:tab w:val="left" w:pos="1440"/>
          <w:tab w:val="left" w:pos="3240"/>
        </w:tabs>
        <w:suppressAutoHyphens/>
        <w:overflowPunct w:val="0"/>
        <w:autoSpaceDE w:val="0"/>
        <w:autoSpaceDN w:val="0"/>
        <w:adjustRightInd w:val="0"/>
        <w:spacing w:before="80" w:after="80" w:line="276" w:lineRule="auto"/>
        <w:ind w:left="360" w:hanging="360"/>
        <w:jc w:val="both"/>
        <w:textAlignment w:val="baseline"/>
        <w:outlineLvl w:val="3"/>
        <w:rPr>
          <w:rFonts w:ascii="Times New Roman" w:hAnsi="Times New Roman" w:eastAsia="Times New Roman" w:cs="Times New Roman"/>
          <w:color w:val="000000" w:themeColor="text1"/>
          <w:sz w:val="24"/>
          <w:szCs w:val="24"/>
        </w:rPr>
      </w:pPr>
      <w:r w:rsidRPr="00355C65">
        <w:rPr>
          <w:rFonts w:ascii="Times New Roman" w:hAnsi="Times New Roman" w:eastAsia="Times New Roman" w:cs="Times New Roman"/>
          <w:color w:val="000000" w:themeColor="text1"/>
          <w:sz w:val="24"/>
          <w:szCs w:val="24"/>
        </w:rPr>
        <w:t>B.</w:t>
      </w:r>
      <w:r w:rsidRPr="00355C65">
        <w:rPr>
          <w:rFonts w:ascii="Times New Roman" w:hAnsi="Times New Roman" w:eastAsia="Times New Roman" w:cs="Times New Roman"/>
          <w:color w:val="000000" w:themeColor="text1"/>
          <w:sz w:val="24"/>
          <w:szCs w:val="24"/>
        </w:rPr>
        <w:tab/>
        <w:t>Commercial Facilities.  Commercial space may be included if it will serve the needs of the project residents and other residents of the area.  Commercial space is limited to 25% of total net rentable area and commercial income to 30% of effective gross project income.</w:t>
      </w:r>
    </w:p>
    <w:p w:rsidRPr="00355C65" w:rsidR="006E573A" w:rsidP="006E573A" w:rsidRDefault="006E573A" w14:paraId="5B85550F" w14:textId="40419407">
      <w:pPr>
        <w:tabs>
          <w:tab w:val="left" w:pos="720"/>
          <w:tab w:val="left" w:pos="1440"/>
          <w:tab w:val="left" w:pos="3240"/>
        </w:tabs>
        <w:suppressAutoHyphens/>
        <w:overflowPunct w:val="0"/>
        <w:autoSpaceDE w:val="0"/>
        <w:autoSpaceDN w:val="0"/>
        <w:adjustRightInd w:val="0"/>
        <w:spacing w:before="80" w:after="80" w:line="276" w:lineRule="auto"/>
        <w:ind w:left="360" w:hanging="360"/>
        <w:jc w:val="both"/>
        <w:textAlignment w:val="baseline"/>
        <w:outlineLvl w:val="3"/>
        <w:rPr>
          <w:rFonts w:ascii="Times New Roman" w:hAnsi="Times New Roman" w:eastAsia="Times New Roman" w:cs="Times New Roman"/>
          <w:color w:val="000000" w:themeColor="text1"/>
          <w:sz w:val="24"/>
          <w:szCs w:val="24"/>
        </w:rPr>
      </w:pPr>
      <w:r w:rsidRPr="00355C65">
        <w:rPr>
          <w:rFonts w:ascii="Times New Roman" w:hAnsi="Times New Roman" w:eastAsia="Times New Roman" w:cs="Times New Roman"/>
          <w:color w:val="000000" w:themeColor="text1"/>
          <w:sz w:val="24"/>
          <w:szCs w:val="24"/>
        </w:rPr>
        <w:tab/>
        <w:t xml:space="preserve">See </w:t>
      </w:r>
      <w:r w:rsidR="00616E8B">
        <w:rPr>
          <w:rFonts w:ascii="Times New Roman" w:hAnsi="Times New Roman" w:eastAsia="Times New Roman" w:cs="Times New Roman"/>
          <w:color w:val="000000" w:themeColor="text1"/>
          <w:sz w:val="24"/>
          <w:szCs w:val="24"/>
        </w:rPr>
        <w:t>Chapter 7</w:t>
      </w:r>
      <w:r w:rsidRPr="00355C65">
        <w:rPr>
          <w:rFonts w:ascii="Times New Roman" w:hAnsi="Times New Roman" w:eastAsia="Times New Roman" w:cs="Times New Roman"/>
          <w:color w:val="000000" w:themeColor="text1"/>
          <w:sz w:val="24"/>
          <w:szCs w:val="24"/>
        </w:rPr>
        <w:t xml:space="preserve"> for requirements where commercial facilities are included in a project.</w:t>
      </w:r>
    </w:p>
    <w:p w:rsidRPr="00355C65" w:rsidR="006E573A" w:rsidP="006E573A" w:rsidRDefault="006E573A" w14:paraId="5B855510" w14:textId="615ECC83">
      <w:pPr>
        <w:tabs>
          <w:tab w:val="left" w:pos="720"/>
          <w:tab w:val="left" w:pos="1440"/>
          <w:tab w:val="left" w:pos="3240"/>
        </w:tabs>
        <w:suppressAutoHyphens/>
        <w:overflowPunct w:val="0"/>
        <w:autoSpaceDE w:val="0"/>
        <w:autoSpaceDN w:val="0"/>
        <w:adjustRightInd w:val="0"/>
        <w:spacing w:before="80" w:after="80" w:line="276" w:lineRule="auto"/>
        <w:ind w:left="360" w:hanging="360"/>
        <w:jc w:val="both"/>
        <w:textAlignment w:val="baseline"/>
        <w:outlineLvl w:val="3"/>
        <w:rPr>
          <w:rFonts w:ascii="Times New Roman" w:hAnsi="Times New Roman" w:eastAsia="Times New Roman" w:cs="Times New Roman"/>
          <w:color w:val="000000" w:themeColor="text1"/>
          <w:sz w:val="24"/>
          <w:szCs w:val="24"/>
        </w:rPr>
      </w:pPr>
      <w:r w:rsidRPr="00355C65">
        <w:rPr>
          <w:rFonts w:ascii="Times New Roman" w:hAnsi="Times New Roman" w:eastAsia="Times New Roman" w:cs="Times New Roman"/>
          <w:color w:val="000000" w:themeColor="text1"/>
          <w:sz w:val="24"/>
          <w:szCs w:val="24"/>
        </w:rPr>
        <w:t>C.</w:t>
      </w:r>
      <w:r w:rsidRPr="00355C65">
        <w:rPr>
          <w:rFonts w:ascii="Times New Roman" w:hAnsi="Times New Roman" w:eastAsia="Times New Roman" w:cs="Times New Roman"/>
          <w:color w:val="000000" w:themeColor="text1"/>
          <w:sz w:val="24"/>
          <w:szCs w:val="24"/>
        </w:rPr>
        <w:tab/>
        <w:t xml:space="preserve">Maximum Loan Ratios and </w:t>
      </w:r>
      <w:r w:rsidR="004B4DB9">
        <w:rPr>
          <w:rFonts w:ascii="Times New Roman" w:hAnsi="Times New Roman" w:eastAsia="Times New Roman" w:cs="Times New Roman"/>
          <w:color w:val="000000" w:themeColor="text1"/>
          <w:sz w:val="24"/>
          <w:szCs w:val="24"/>
        </w:rPr>
        <w:t>DSCR</w:t>
      </w:r>
      <w:r w:rsidRPr="00355C65">
        <w:rPr>
          <w:rFonts w:ascii="Times New Roman" w:hAnsi="Times New Roman" w:eastAsia="Times New Roman" w:cs="Times New Roman"/>
          <w:color w:val="000000" w:themeColor="text1"/>
          <w:sz w:val="24"/>
          <w:szCs w:val="24"/>
        </w:rPr>
        <w:t xml:space="preserve">s.  The controlling mortgage criteria for Section 220 loans are the same as for the Section 221(d)(4) program, detailed above. </w:t>
      </w:r>
    </w:p>
    <w:p w:rsidRPr="00355C65" w:rsidR="006E573A" w:rsidP="006E573A" w:rsidRDefault="006E573A" w14:paraId="5B855511" w14:textId="77777777">
      <w:pPr>
        <w:tabs>
          <w:tab w:val="left" w:pos="720"/>
          <w:tab w:val="left" w:pos="1440"/>
          <w:tab w:val="left" w:pos="3240"/>
        </w:tabs>
        <w:suppressAutoHyphens/>
        <w:overflowPunct w:val="0"/>
        <w:autoSpaceDE w:val="0"/>
        <w:autoSpaceDN w:val="0"/>
        <w:adjustRightInd w:val="0"/>
        <w:spacing w:before="80" w:after="80" w:line="276" w:lineRule="auto"/>
        <w:ind w:left="360" w:hanging="360"/>
        <w:jc w:val="both"/>
        <w:textAlignment w:val="baseline"/>
        <w:outlineLvl w:val="3"/>
        <w:rPr>
          <w:rFonts w:ascii="Times New Roman" w:hAnsi="Times New Roman" w:eastAsia="Times New Roman" w:cs="Times New Roman"/>
          <w:color w:val="000000" w:themeColor="text1"/>
          <w:sz w:val="24"/>
          <w:szCs w:val="24"/>
        </w:rPr>
      </w:pPr>
      <w:r w:rsidRPr="00355C65">
        <w:rPr>
          <w:rFonts w:ascii="Times New Roman" w:hAnsi="Times New Roman" w:eastAsia="Times New Roman" w:cs="Times New Roman"/>
          <w:color w:val="000000" w:themeColor="text1"/>
          <w:sz w:val="24"/>
          <w:szCs w:val="24"/>
        </w:rPr>
        <w:t>D.</w:t>
      </w:r>
      <w:r w:rsidRPr="00355C65">
        <w:rPr>
          <w:rFonts w:ascii="Times New Roman" w:hAnsi="Times New Roman" w:eastAsia="Times New Roman" w:cs="Times New Roman"/>
          <w:color w:val="000000" w:themeColor="text1"/>
          <w:sz w:val="24"/>
          <w:szCs w:val="24"/>
        </w:rPr>
        <w:tab/>
        <w:t>Builder/Sponsor Profit and Risk Allowance (BSPRA).  See definition of BSPRA in Section 3.2.N.</w:t>
      </w:r>
    </w:p>
    <w:p w:rsidRPr="00355C65" w:rsidR="006E573A" w:rsidP="006E573A" w:rsidRDefault="006E573A" w14:paraId="5B855512" w14:textId="77777777">
      <w:pPr>
        <w:tabs>
          <w:tab w:val="left" w:pos="720"/>
          <w:tab w:val="left" w:pos="1440"/>
          <w:tab w:val="left" w:pos="3240"/>
        </w:tabs>
        <w:suppressAutoHyphens/>
        <w:overflowPunct w:val="0"/>
        <w:autoSpaceDE w:val="0"/>
        <w:autoSpaceDN w:val="0"/>
        <w:adjustRightInd w:val="0"/>
        <w:spacing w:before="80" w:after="80" w:line="276" w:lineRule="auto"/>
        <w:ind w:left="360" w:hanging="360"/>
        <w:jc w:val="both"/>
        <w:textAlignment w:val="baseline"/>
        <w:outlineLvl w:val="3"/>
        <w:rPr>
          <w:rFonts w:ascii="Times New Roman" w:hAnsi="Times New Roman" w:eastAsia="Times New Roman" w:cs="Times New Roman"/>
          <w:color w:val="000000" w:themeColor="text1"/>
          <w:sz w:val="24"/>
          <w:szCs w:val="24"/>
        </w:rPr>
      </w:pPr>
      <w:r w:rsidRPr="00355C65">
        <w:rPr>
          <w:rFonts w:ascii="Times New Roman" w:hAnsi="Times New Roman" w:eastAsia="Times New Roman" w:cs="Times New Roman"/>
          <w:color w:val="000000" w:themeColor="text1"/>
          <w:sz w:val="24"/>
          <w:szCs w:val="24"/>
        </w:rPr>
        <w:t>E.</w:t>
      </w:r>
      <w:r w:rsidRPr="00355C65">
        <w:rPr>
          <w:rFonts w:ascii="Times New Roman" w:hAnsi="Times New Roman" w:eastAsia="Times New Roman" w:cs="Times New Roman"/>
          <w:color w:val="000000" w:themeColor="text1"/>
          <w:sz w:val="24"/>
          <w:szCs w:val="24"/>
        </w:rPr>
        <w:tab/>
        <w:t>Sponsor Profit and Risk Allowance (SPRA).  See definition of SPRA in Section 3.2.N.</w:t>
      </w:r>
    </w:p>
    <w:p w:rsidRPr="00355C65" w:rsidR="006E573A" w:rsidP="006E573A" w:rsidRDefault="006E573A" w14:paraId="5B855513" w14:textId="77777777">
      <w:pPr>
        <w:tabs>
          <w:tab w:val="left" w:pos="720"/>
          <w:tab w:val="left" w:pos="1440"/>
          <w:tab w:val="left" w:pos="3240"/>
        </w:tabs>
        <w:suppressAutoHyphens/>
        <w:overflowPunct w:val="0"/>
        <w:autoSpaceDE w:val="0"/>
        <w:autoSpaceDN w:val="0"/>
        <w:adjustRightInd w:val="0"/>
        <w:spacing w:before="80" w:after="80" w:line="276" w:lineRule="auto"/>
        <w:ind w:left="360" w:hanging="360"/>
        <w:jc w:val="both"/>
        <w:textAlignment w:val="baseline"/>
        <w:outlineLvl w:val="3"/>
        <w:rPr>
          <w:rFonts w:ascii="Times New Roman" w:hAnsi="Times New Roman" w:eastAsia="Times New Roman" w:cs="Times New Roman"/>
          <w:sz w:val="24"/>
          <w:szCs w:val="24"/>
        </w:rPr>
      </w:pPr>
      <w:r w:rsidRPr="00355C65">
        <w:rPr>
          <w:rFonts w:ascii="Times New Roman" w:hAnsi="Times New Roman" w:eastAsia="Times New Roman" w:cs="Times New Roman"/>
          <w:color w:val="000000" w:themeColor="text1"/>
          <w:sz w:val="24"/>
          <w:szCs w:val="24"/>
        </w:rPr>
        <w:t>F.</w:t>
      </w:r>
      <w:r w:rsidRPr="00355C65">
        <w:rPr>
          <w:rFonts w:ascii="Times New Roman" w:hAnsi="Times New Roman" w:eastAsia="Times New Roman" w:cs="Times New Roman"/>
          <w:color w:val="000000" w:themeColor="text1"/>
          <w:sz w:val="24"/>
          <w:szCs w:val="24"/>
        </w:rPr>
        <w:tab/>
        <w:t>Elderly Developments.  Apartments specifically designed for the elderly, limited to elderly occupancy, and/or seeking to use the Fair Housing Act’s housing for older persons exemption are not permitted under Section 220.</w:t>
      </w:r>
    </w:p>
    <w:p w:rsidRPr="00355C65" w:rsidR="006E573A" w:rsidP="006E573A" w:rsidRDefault="006E573A" w14:paraId="5B855514" w14:textId="77777777">
      <w:pPr>
        <w:pStyle w:val="MAPSubchapterheading"/>
      </w:pPr>
    </w:p>
    <w:p w:rsidRPr="00355C65" w:rsidR="006E573A" w:rsidP="006E573A" w:rsidRDefault="006E573A" w14:paraId="5B855515" w14:textId="77777777">
      <w:pPr>
        <w:pStyle w:val="MAPSubchapterheading"/>
        <w:ind w:left="1437" w:hanging="1275"/>
      </w:pPr>
      <w:r w:rsidRPr="00355C65">
        <w:t>3.5</w:t>
      </w:r>
      <w:r w:rsidRPr="00355C65">
        <w:tab/>
      </w:r>
      <w:r w:rsidRPr="00355C65">
        <w:tab/>
        <w:t>Section 231 Mortgage Insurance for Rental Housing for Elderly Persons – New Construction and Substantial Rehabilitation</w:t>
      </w:r>
    </w:p>
    <w:p w:rsidRPr="00355C65" w:rsidR="006E573A" w:rsidP="006E573A" w:rsidRDefault="006E573A" w14:paraId="5B855516" w14:textId="77777777">
      <w:pPr>
        <w:rPr>
          <w:rFonts w:ascii="Times New Roman" w:hAnsi="Times New Roman" w:cs="Times New Roman"/>
          <w:b/>
          <w:sz w:val="24"/>
          <w:szCs w:val="24"/>
        </w:rPr>
      </w:pPr>
    </w:p>
    <w:p w:rsidRPr="00355C65" w:rsidR="006E573A" w:rsidP="006E573A" w:rsidRDefault="006E573A" w14:paraId="5B855517" w14:textId="40AB6B58">
      <w:pPr>
        <w:spacing w:line="276" w:lineRule="auto"/>
        <w:jc w:val="both"/>
        <w:rPr>
          <w:rFonts w:ascii="Times New Roman" w:hAnsi="Times New Roman" w:cs="Times New Roman"/>
          <w:b/>
          <w:sz w:val="24"/>
          <w:szCs w:val="24"/>
        </w:rPr>
      </w:pPr>
      <w:r w:rsidRPr="00355C65">
        <w:rPr>
          <w:rFonts w:ascii="Times New Roman" w:hAnsi="Times New Roman" w:cs="Times New Roman"/>
          <w:sz w:val="24"/>
          <w:szCs w:val="24"/>
        </w:rPr>
        <w:t xml:space="preserve">Section 231 insures mortgages for construction and substantial rehabilitation of rental housing for elderly persons (aged 62 or older) and/or persons with disabilities.  A project must comprise 8 or more new or substantially rehabilitated units designed for occupancy by elderly persons and may include family units for occupancy for persons who qualify as </w:t>
      </w:r>
      <w:r w:rsidR="006801F6">
        <w:rPr>
          <w:rFonts w:ascii="Times New Roman" w:hAnsi="Times New Roman" w:cs="Times New Roman"/>
          <w:sz w:val="24"/>
          <w:szCs w:val="24"/>
        </w:rPr>
        <w:t>disabled.</w:t>
      </w:r>
    </w:p>
    <w:p w:rsidRPr="00355C65" w:rsidR="006E573A" w:rsidP="006E573A" w:rsidRDefault="006E573A" w14:paraId="5B855518" w14:textId="77777777">
      <w:pPr>
        <w:keepNext/>
        <w:keepLines/>
        <w:shd w:val="clear" w:color="auto" w:fill="FFFFFF"/>
        <w:suppressAutoHyphens/>
        <w:spacing w:before="240" w:after="120" w:line="276" w:lineRule="auto"/>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A. Definitions/Explanations of Terms:</w:t>
      </w:r>
    </w:p>
    <w:p w:rsidRPr="00355C65" w:rsidR="006E573A" w:rsidP="006E573A" w:rsidRDefault="006E573A" w14:paraId="5B855519" w14:textId="498BBD95">
      <w:pPr>
        <w:keepNext/>
        <w:keepLines/>
        <w:shd w:val="clear" w:color="auto" w:fill="FFFFFF"/>
        <w:suppressAutoHyphens/>
        <w:spacing w:before="240" w:after="120" w:line="276" w:lineRule="auto"/>
        <w:ind w:left="720" w:hanging="360"/>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 xml:space="preserve">1.  Elderly Person.  A person aged 62 or older.  For Section 231 occupancy, other than for units designed for the use and occupancy of </w:t>
      </w:r>
      <w:r w:rsidR="00C1482A">
        <w:rPr>
          <w:rFonts w:ascii="Times New Roman" w:hAnsi="Times New Roman" w:cs="Times New Roman" w:eastAsiaTheme="majorEastAsia"/>
          <w:bCs/>
          <w:color w:val="000000" w:themeColor="text1"/>
          <w:sz w:val="24"/>
          <w:szCs w:val="24"/>
        </w:rPr>
        <w:t>disabled</w:t>
      </w:r>
      <w:r w:rsidRPr="00355C65">
        <w:rPr>
          <w:rFonts w:ascii="Times New Roman" w:hAnsi="Times New Roman" w:cs="Times New Roman" w:eastAsiaTheme="majorEastAsia"/>
          <w:bCs/>
          <w:color w:val="000000" w:themeColor="text1"/>
          <w:sz w:val="24"/>
          <w:szCs w:val="24"/>
        </w:rPr>
        <w:t xml:space="preserve"> persons and their families for up to 25% of the units, all persons living in a unit must be age 62 or over. </w:t>
      </w:r>
    </w:p>
    <w:p w:rsidRPr="00355C65" w:rsidR="006E573A" w:rsidP="00A50826" w:rsidRDefault="006E573A" w14:paraId="5B85551D" w14:textId="6A78881F">
      <w:pPr>
        <w:keepNext/>
        <w:keepLines/>
        <w:shd w:val="clear" w:color="auto" w:fill="FFFFFF"/>
        <w:suppressAutoHyphens/>
        <w:spacing w:before="240" w:after="120" w:line="276" w:lineRule="auto"/>
        <w:ind w:left="720" w:hanging="360"/>
        <w:jc w:val="both"/>
        <w:outlineLvl w:val="2"/>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 xml:space="preserve">2.  </w:t>
      </w:r>
      <w:r w:rsidR="0027478B">
        <w:rPr>
          <w:rFonts w:ascii="Times New Roman" w:hAnsi="Times New Roman" w:cs="Times New Roman" w:eastAsiaTheme="majorEastAsia"/>
          <w:bCs/>
          <w:color w:val="000000" w:themeColor="text1"/>
          <w:sz w:val="24"/>
          <w:szCs w:val="24"/>
        </w:rPr>
        <w:t>Disabled</w:t>
      </w:r>
      <w:r w:rsidRPr="00355C65">
        <w:rPr>
          <w:rFonts w:ascii="Times New Roman" w:hAnsi="Times New Roman" w:cs="Times New Roman" w:eastAsiaTheme="majorEastAsia"/>
          <w:bCs/>
          <w:color w:val="000000" w:themeColor="text1"/>
          <w:sz w:val="24"/>
          <w:szCs w:val="24"/>
        </w:rPr>
        <w:t xml:space="preserve"> Person.  A person who has a physical </w:t>
      </w:r>
      <w:r w:rsidR="00A31532">
        <w:rPr>
          <w:rFonts w:ascii="Times New Roman" w:hAnsi="Times New Roman" w:cs="Times New Roman" w:eastAsiaTheme="majorEastAsia"/>
          <w:bCs/>
          <w:color w:val="000000" w:themeColor="text1"/>
          <w:sz w:val="24"/>
          <w:szCs w:val="24"/>
        </w:rPr>
        <w:t xml:space="preserve">or mental </w:t>
      </w:r>
      <w:r w:rsidRPr="00355C65">
        <w:rPr>
          <w:rFonts w:ascii="Times New Roman" w:hAnsi="Times New Roman" w:cs="Times New Roman" w:eastAsiaTheme="majorEastAsia"/>
          <w:bCs/>
          <w:color w:val="000000" w:themeColor="text1"/>
          <w:sz w:val="24"/>
          <w:szCs w:val="24"/>
        </w:rPr>
        <w:t xml:space="preserve">impairment </w:t>
      </w:r>
      <w:r w:rsidR="003418A0">
        <w:rPr>
          <w:rFonts w:ascii="Times New Roman" w:hAnsi="Times New Roman" w:cs="Times New Roman" w:eastAsiaTheme="majorEastAsia"/>
          <w:bCs/>
          <w:color w:val="000000" w:themeColor="text1"/>
          <w:sz w:val="24"/>
          <w:szCs w:val="24"/>
        </w:rPr>
        <w:t xml:space="preserve">that </w:t>
      </w:r>
      <w:r w:rsidR="00752716">
        <w:rPr>
          <w:rFonts w:ascii="Times New Roman" w:hAnsi="Times New Roman" w:cs="Times New Roman" w:eastAsiaTheme="majorEastAsia"/>
          <w:bCs/>
          <w:color w:val="000000" w:themeColor="text1"/>
          <w:sz w:val="24"/>
          <w:szCs w:val="24"/>
        </w:rPr>
        <w:t xml:space="preserve">substantially limits one or more major life </w:t>
      </w:r>
      <w:r w:rsidR="00302920">
        <w:rPr>
          <w:rFonts w:ascii="Times New Roman" w:hAnsi="Times New Roman" w:cs="Times New Roman" w:eastAsiaTheme="majorEastAsia"/>
          <w:bCs/>
          <w:color w:val="000000" w:themeColor="text1"/>
          <w:sz w:val="24"/>
          <w:szCs w:val="24"/>
        </w:rPr>
        <w:t>activities</w:t>
      </w:r>
      <w:r w:rsidR="00A50826">
        <w:rPr>
          <w:rFonts w:ascii="Times New Roman" w:hAnsi="Times New Roman" w:cs="Times New Roman" w:eastAsiaTheme="majorEastAsia"/>
          <w:bCs/>
          <w:color w:val="000000" w:themeColor="text1"/>
          <w:sz w:val="24"/>
          <w:szCs w:val="24"/>
        </w:rPr>
        <w:t>.</w:t>
      </w:r>
    </w:p>
    <w:p w:rsidRPr="00355C65" w:rsidR="006E573A" w:rsidP="006E573A" w:rsidRDefault="006E573A" w14:paraId="5B85551E" w14:textId="1B24AA82">
      <w:pPr>
        <w:numPr>
          <w:ilvl w:val="0"/>
          <w:numId w:val="1"/>
        </w:numPr>
        <w:shd w:val="clear" w:color="auto" w:fill="FFFFFF"/>
        <w:tabs>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Room Lay</w:t>
      </w:r>
      <w:r w:rsidR="004D11BB">
        <w:rPr>
          <w:rFonts w:ascii="Times New Roman" w:hAnsi="Times New Roman" w:cs="Times New Roman" w:eastAsiaTheme="majorEastAsia"/>
          <w:bCs/>
          <w:color w:val="000000" w:themeColor="text1"/>
          <w:sz w:val="24"/>
          <w:szCs w:val="24"/>
        </w:rPr>
        <w:t>o</w:t>
      </w:r>
      <w:r w:rsidRPr="00355C65">
        <w:rPr>
          <w:rFonts w:ascii="Times New Roman" w:hAnsi="Times New Roman" w:cs="Times New Roman" w:eastAsiaTheme="majorEastAsia"/>
          <w:bCs/>
          <w:color w:val="000000" w:themeColor="text1"/>
          <w:sz w:val="24"/>
          <w:szCs w:val="24"/>
        </w:rPr>
        <w:t xml:space="preserve">ut, Design and Special Amenities.  Particular attention is to be given to room lay out and unit design to assure they are consistent with the needs of the elderly or </w:t>
      </w:r>
      <w:r w:rsidR="00831C70">
        <w:rPr>
          <w:rFonts w:ascii="Times New Roman" w:hAnsi="Times New Roman" w:cs="Times New Roman" w:eastAsiaTheme="majorEastAsia"/>
          <w:bCs/>
          <w:color w:val="000000" w:themeColor="text1"/>
          <w:sz w:val="24"/>
          <w:szCs w:val="24"/>
        </w:rPr>
        <w:t xml:space="preserve">individuals with disabilities.  </w:t>
      </w:r>
      <w:r w:rsidR="007838B1">
        <w:rPr>
          <w:rFonts w:ascii="Times New Roman" w:hAnsi="Times New Roman" w:cs="Times New Roman" w:eastAsiaTheme="majorEastAsia"/>
          <w:bCs/>
          <w:color w:val="000000" w:themeColor="text1"/>
          <w:sz w:val="24"/>
          <w:szCs w:val="24"/>
        </w:rPr>
        <w:t>(</w:t>
      </w:r>
      <w:r w:rsidR="00F269A4">
        <w:rPr>
          <w:rFonts w:ascii="Times New Roman" w:hAnsi="Times New Roman" w:cs="Times New Roman" w:eastAsiaTheme="majorEastAsia"/>
          <w:bCs/>
          <w:color w:val="000000" w:themeColor="text1"/>
          <w:sz w:val="24"/>
          <w:szCs w:val="24"/>
        </w:rPr>
        <w:t>See 24 CFR 100.205</w:t>
      </w:r>
      <w:r w:rsidR="00FD0F6E">
        <w:rPr>
          <w:rFonts w:ascii="Times New Roman" w:hAnsi="Times New Roman" w:cs="Times New Roman" w:eastAsiaTheme="majorEastAsia"/>
          <w:bCs/>
          <w:color w:val="000000" w:themeColor="text1"/>
          <w:sz w:val="24"/>
          <w:szCs w:val="24"/>
        </w:rPr>
        <w:t>)</w:t>
      </w:r>
    </w:p>
    <w:p w:rsidRPr="00355C65" w:rsidR="006E573A" w:rsidP="006E573A" w:rsidRDefault="006E573A" w14:paraId="5B85551F" w14:textId="4FA74AB7">
      <w:pPr>
        <w:numPr>
          <w:ilvl w:val="0"/>
          <w:numId w:val="1"/>
        </w:numPr>
        <w:shd w:val="clear" w:color="auto" w:fill="FFFFFF"/>
        <w:tabs>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BSPRA or SPRA allowances are eligible under Section 231 new construction transactions so long as there is no Developer Fee.  These allowances are not available for Section 231 substantial rehabilitation transactions, which may be constrained by value.  See Section 3.2.N. for an explanation of these allowances.</w:t>
      </w:r>
    </w:p>
    <w:p w:rsidRPr="00355C65" w:rsidR="006E573A" w:rsidP="006E573A" w:rsidRDefault="006E573A" w14:paraId="5B855520" w14:textId="0CD8B122">
      <w:pPr>
        <w:keepNext/>
        <w:keepLines/>
        <w:tabs>
          <w:tab w:val="left" w:pos="360"/>
        </w:tabs>
        <w:suppressAutoHyphens/>
        <w:spacing w:before="200" w:line="276" w:lineRule="auto"/>
        <w:ind w:left="360" w:hanging="360"/>
        <w:jc w:val="both"/>
        <w:outlineLvl w:val="1"/>
        <w:rPr>
          <w:rFonts w:ascii="Times New Roman" w:hAnsi="Times New Roman" w:cs="Times New Roman" w:eastAsiaTheme="majorEastAsia"/>
          <w:bCs/>
          <w:color w:val="000000" w:themeColor="text1"/>
          <w:sz w:val="24"/>
          <w:szCs w:val="24"/>
        </w:rPr>
      </w:pPr>
      <w:r w:rsidRPr="00355C65">
        <w:rPr>
          <w:rFonts w:ascii="Times New Roman" w:hAnsi="Times New Roman" w:cs="Times New Roman" w:eastAsiaTheme="majorEastAsia"/>
          <w:bCs/>
          <w:color w:val="000000" w:themeColor="text1"/>
          <w:sz w:val="24"/>
          <w:szCs w:val="24"/>
        </w:rPr>
        <w:t>D.</w:t>
      </w:r>
      <w:r w:rsidRPr="00355C65">
        <w:rPr>
          <w:rFonts w:ascii="Times New Roman" w:hAnsi="Times New Roman" w:cs="Times New Roman" w:eastAsiaTheme="majorEastAsia"/>
          <w:bCs/>
          <w:color w:val="000000" w:themeColor="text1"/>
          <w:sz w:val="24"/>
          <w:szCs w:val="24"/>
        </w:rPr>
        <w:tab/>
        <w:t xml:space="preserve">Maximum Loan Ratios and </w:t>
      </w:r>
      <w:r w:rsidR="004B4DB9">
        <w:rPr>
          <w:rFonts w:ascii="Times New Roman" w:hAnsi="Times New Roman" w:cs="Times New Roman" w:eastAsiaTheme="majorEastAsia"/>
          <w:bCs/>
          <w:color w:val="000000" w:themeColor="text1"/>
          <w:sz w:val="24"/>
          <w:szCs w:val="24"/>
        </w:rPr>
        <w:t>DSCR</w:t>
      </w:r>
      <w:r w:rsidRPr="00355C65">
        <w:rPr>
          <w:rFonts w:ascii="Times New Roman" w:hAnsi="Times New Roman" w:cs="Times New Roman" w:eastAsiaTheme="majorEastAsia"/>
          <w:bCs/>
          <w:color w:val="000000" w:themeColor="text1"/>
          <w:sz w:val="24"/>
          <w:szCs w:val="24"/>
        </w:rPr>
        <w:t xml:space="preserve">s.  The controlling mortgage criteria for Section 231 loans are the same as for the Section 221(d)(4) program, detailed above, with the exception of criterion 3 for substantial rehabilitation loans, which is controlled by the applicable percentage of “as rehabilitated” value (not cost). </w:t>
      </w:r>
    </w:p>
    <w:p w:rsidRPr="00355C65" w:rsidR="006E573A" w:rsidP="0023547C" w:rsidRDefault="006E573A" w14:paraId="5B855523" w14:textId="77777777">
      <w:pPr>
        <w:rPr>
          <w:rFonts w:ascii="Times New Roman" w:hAnsi="Times New Roman" w:cs="Times New Roman"/>
          <w:b/>
          <w:sz w:val="24"/>
          <w:szCs w:val="24"/>
        </w:rPr>
      </w:pPr>
    </w:p>
    <w:p w:rsidRPr="00355C65" w:rsidR="006E573A" w:rsidP="006E573A" w:rsidRDefault="006E573A" w14:paraId="5B855524" w14:textId="77777777">
      <w:pPr>
        <w:ind w:left="720" w:hanging="720"/>
        <w:rPr>
          <w:rFonts w:ascii="Times New Roman" w:hAnsi="Times New Roman" w:cs="Times New Roman"/>
          <w:b/>
          <w:sz w:val="24"/>
          <w:szCs w:val="24"/>
        </w:rPr>
      </w:pPr>
    </w:p>
    <w:p w:rsidRPr="00355C65" w:rsidR="006E573A" w:rsidP="0023547C" w:rsidRDefault="006E573A" w14:paraId="5B855525" w14:textId="5FEA222C">
      <w:pPr>
        <w:pStyle w:val="MAPSubchapterheading"/>
        <w:ind w:left="1437" w:hanging="1275"/>
      </w:pPr>
      <w:r w:rsidRPr="00355C65">
        <w:t>3.6</w:t>
      </w:r>
      <w:r w:rsidRPr="00355C65">
        <w:tab/>
      </w:r>
      <w:r w:rsidRPr="00355C65">
        <w:tab/>
        <w:t>Section 241(a) Mortgage Insurance for Supplemental Loans for Multifamily Projects</w:t>
      </w:r>
    </w:p>
    <w:p w:rsidRPr="00355C65" w:rsidR="006E573A" w:rsidP="006E573A" w:rsidRDefault="006E573A" w14:paraId="5B855526" w14:textId="77777777">
      <w:pPr>
        <w:rPr>
          <w:rFonts w:ascii="Times New Roman" w:hAnsi="Times New Roman" w:cs="Times New Roman"/>
          <w:sz w:val="24"/>
          <w:szCs w:val="24"/>
        </w:rPr>
      </w:pPr>
    </w:p>
    <w:p w:rsidRPr="00355C65" w:rsidR="006E573A" w:rsidP="006E573A" w:rsidRDefault="006E573A" w14:paraId="5B855527" w14:textId="68AE0F45">
      <w:pPr>
        <w:ind w:left="360" w:hanging="360"/>
        <w:jc w:val="both"/>
        <w:rPr>
          <w:rFonts w:ascii="Times New Roman" w:hAnsi="Times New Roman" w:cs="Times New Roman"/>
          <w:sz w:val="24"/>
          <w:szCs w:val="24"/>
        </w:rPr>
      </w:pPr>
      <w:r w:rsidRPr="00355C65">
        <w:rPr>
          <w:rFonts w:ascii="Times New Roman" w:hAnsi="Times New Roman" w:cs="Times New Roman"/>
          <w:sz w:val="24"/>
          <w:szCs w:val="24"/>
        </w:rPr>
        <w:t xml:space="preserve">A. Eligibility.  Section 241(a) is now a MAP-eligible program.  It provides secondary financing for improvements or additions to properties with a HUD-insured first mortgage </w:t>
      </w:r>
      <w:r w:rsidR="006801F6">
        <w:rPr>
          <w:rFonts w:ascii="Times New Roman" w:hAnsi="Times New Roman" w:cs="Times New Roman"/>
          <w:sz w:val="24"/>
          <w:szCs w:val="24"/>
        </w:rPr>
        <w:t xml:space="preserve">that </w:t>
      </w:r>
      <w:r w:rsidRPr="00355C65" w:rsidR="006801F6">
        <w:rPr>
          <w:rFonts w:ascii="Times New Roman" w:hAnsi="Times New Roman" w:cs="Times New Roman"/>
          <w:sz w:val="24"/>
          <w:szCs w:val="24"/>
        </w:rPr>
        <w:t>need</w:t>
      </w:r>
      <w:r w:rsidRPr="00355C65">
        <w:rPr>
          <w:rFonts w:ascii="Times New Roman" w:hAnsi="Times New Roman" w:cs="Times New Roman"/>
          <w:sz w:val="24"/>
          <w:szCs w:val="24"/>
        </w:rPr>
        <w:t xml:space="preserve"> repairs, substantial rehabilitation, or additional units. </w:t>
      </w:r>
      <w:r w:rsidR="009E6342">
        <w:rPr>
          <w:rFonts w:ascii="Times New Roman" w:hAnsi="Times New Roman" w:cs="Times New Roman"/>
          <w:sz w:val="24"/>
          <w:szCs w:val="24"/>
        </w:rPr>
        <w:t>Deferred developer fee</w:t>
      </w:r>
      <w:r w:rsidR="00C12B13">
        <w:rPr>
          <w:rFonts w:ascii="Times New Roman" w:hAnsi="Times New Roman" w:cs="Times New Roman"/>
          <w:sz w:val="24"/>
          <w:szCs w:val="24"/>
        </w:rPr>
        <w:t>s</w:t>
      </w:r>
      <w:r w:rsidR="009E6342">
        <w:rPr>
          <w:rFonts w:ascii="Times New Roman" w:hAnsi="Times New Roman" w:cs="Times New Roman"/>
          <w:sz w:val="24"/>
          <w:szCs w:val="24"/>
        </w:rPr>
        <w:t xml:space="preserve"> </w:t>
      </w:r>
      <w:r w:rsidR="00E46BD3">
        <w:rPr>
          <w:rFonts w:ascii="Times New Roman" w:hAnsi="Times New Roman" w:cs="Times New Roman"/>
          <w:sz w:val="24"/>
          <w:szCs w:val="24"/>
        </w:rPr>
        <w:t xml:space="preserve">carried over from a LIHTC transaction </w:t>
      </w:r>
      <w:r w:rsidR="00C12B13">
        <w:rPr>
          <w:rFonts w:ascii="Times New Roman" w:hAnsi="Times New Roman" w:cs="Times New Roman"/>
          <w:sz w:val="24"/>
          <w:szCs w:val="24"/>
        </w:rPr>
        <w:t>are</w:t>
      </w:r>
      <w:r w:rsidR="00F62717">
        <w:rPr>
          <w:rFonts w:ascii="Times New Roman" w:hAnsi="Times New Roman" w:cs="Times New Roman"/>
          <w:sz w:val="24"/>
          <w:szCs w:val="24"/>
        </w:rPr>
        <w:t xml:space="preserve"> </w:t>
      </w:r>
      <w:r w:rsidR="00065E4D">
        <w:rPr>
          <w:rFonts w:ascii="Times New Roman" w:hAnsi="Times New Roman" w:cs="Times New Roman"/>
          <w:sz w:val="24"/>
          <w:szCs w:val="24"/>
        </w:rPr>
        <w:t xml:space="preserve">considered </w:t>
      </w:r>
      <w:r w:rsidR="00F62717">
        <w:rPr>
          <w:rFonts w:ascii="Times New Roman" w:hAnsi="Times New Roman" w:cs="Times New Roman"/>
          <w:sz w:val="24"/>
          <w:szCs w:val="24"/>
        </w:rPr>
        <w:t>ineligible</w:t>
      </w:r>
      <w:r w:rsidR="00065E4D">
        <w:rPr>
          <w:rFonts w:ascii="Times New Roman" w:hAnsi="Times New Roman" w:cs="Times New Roman"/>
          <w:sz w:val="24"/>
          <w:szCs w:val="24"/>
        </w:rPr>
        <w:t xml:space="preserve"> costs</w:t>
      </w:r>
      <w:r w:rsidR="00F62717">
        <w:rPr>
          <w:rFonts w:ascii="Times New Roman" w:hAnsi="Times New Roman" w:cs="Times New Roman"/>
          <w:sz w:val="24"/>
          <w:szCs w:val="24"/>
        </w:rPr>
        <w:t xml:space="preserve"> </w:t>
      </w:r>
      <w:r w:rsidR="007D7B20">
        <w:rPr>
          <w:rFonts w:ascii="Times New Roman" w:hAnsi="Times New Roman" w:cs="Times New Roman"/>
          <w:sz w:val="24"/>
          <w:szCs w:val="24"/>
        </w:rPr>
        <w:t xml:space="preserve">under the </w:t>
      </w:r>
      <w:r w:rsidRPr="00726B99" w:rsidR="002215BE">
        <w:rPr>
          <w:rFonts w:ascii="Times New Roman" w:hAnsi="Times New Roman" w:cs="Times New Roman"/>
          <w:sz w:val="24"/>
          <w:szCs w:val="24"/>
        </w:rPr>
        <w:t>241</w:t>
      </w:r>
      <w:r w:rsidR="002215BE">
        <w:rPr>
          <w:rFonts w:ascii="Times New Roman" w:hAnsi="Times New Roman" w:cs="Times New Roman"/>
          <w:sz w:val="24"/>
          <w:szCs w:val="24"/>
        </w:rPr>
        <w:t>(a)</w:t>
      </w:r>
      <w:r w:rsidR="00D50141">
        <w:rPr>
          <w:rFonts w:ascii="Times New Roman" w:hAnsi="Times New Roman" w:cs="Times New Roman"/>
          <w:sz w:val="24"/>
          <w:szCs w:val="24"/>
        </w:rPr>
        <w:t xml:space="preserve"> </w:t>
      </w:r>
      <w:r w:rsidRPr="00726B99" w:rsidR="002215BE">
        <w:rPr>
          <w:rFonts w:ascii="Times New Roman" w:hAnsi="Times New Roman" w:cs="Times New Roman"/>
          <w:sz w:val="24"/>
          <w:szCs w:val="24"/>
        </w:rPr>
        <w:t>loan</w:t>
      </w:r>
      <w:r w:rsidR="007D7B20">
        <w:rPr>
          <w:rFonts w:ascii="Times New Roman" w:hAnsi="Times New Roman" w:cs="Times New Roman"/>
          <w:sz w:val="24"/>
          <w:szCs w:val="24"/>
        </w:rPr>
        <w:t xml:space="preserve"> program.</w:t>
      </w:r>
    </w:p>
    <w:p w:rsidRPr="00355C65" w:rsidR="006E573A" w:rsidP="006E573A" w:rsidRDefault="006E573A" w14:paraId="5B855528" w14:textId="77777777">
      <w:pPr>
        <w:jc w:val="both"/>
        <w:rPr>
          <w:rFonts w:ascii="Times New Roman" w:hAnsi="Times New Roman" w:cs="Times New Roman"/>
          <w:sz w:val="24"/>
          <w:szCs w:val="24"/>
        </w:rPr>
      </w:pPr>
      <w:r w:rsidRPr="00355C65">
        <w:rPr>
          <w:rFonts w:ascii="Times New Roman" w:hAnsi="Times New Roman" w:cs="Times New Roman"/>
          <w:sz w:val="24"/>
          <w:szCs w:val="24"/>
        </w:rPr>
        <w:tab/>
      </w:r>
    </w:p>
    <w:p w:rsidRPr="00355C65" w:rsidR="006E573A" w:rsidP="006E573A" w:rsidRDefault="006E573A" w14:paraId="5B855529" w14:textId="788CC64B">
      <w:pPr>
        <w:numPr>
          <w:ilvl w:val="0"/>
          <w:numId w:val="19"/>
        </w:numPr>
        <w:spacing w:after="200" w:line="276" w:lineRule="auto"/>
        <w:contextualSpacing/>
        <w:jc w:val="both"/>
        <w:rPr>
          <w:rFonts w:ascii="Times New Roman" w:hAnsi="Times New Roman" w:cs="Times New Roman"/>
          <w:sz w:val="24"/>
          <w:szCs w:val="24"/>
        </w:rPr>
      </w:pPr>
      <w:r w:rsidRPr="00355C65">
        <w:rPr>
          <w:rFonts w:ascii="Times New Roman" w:hAnsi="Times New Roman" w:cs="Times New Roman"/>
          <w:sz w:val="24"/>
          <w:szCs w:val="24"/>
        </w:rPr>
        <w:t>Projects with HUD</w:t>
      </w:r>
      <w:r w:rsidR="00697E50">
        <w:rPr>
          <w:rFonts w:ascii="Times New Roman" w:hAnsi="Times New Roman" w:cs="Times New Roman"/>
          <w:sz w:val="24"/>
          <w:szCs w:val="24"/>
        </w:rPr>
        <w:t>-</w:t>
      </w:r>
      <w:r w:rsidRPr="00355C65">
        <w:rPr>
          <w:rFonts w:ascii="Times New Roman" w:hAnsi="Times New Roman" w:cs="Times New Roman"/>
          <w:sz w:val="24"/>
          <w:szCs w:val="24"/>
        </w:rPr>
        <w:t>held debt (as opposed to FHA-insured), or Risk Share financing are not eligible to apply for Section 241(a) loans.</w:t>
      </w:r>
    </w:p>
    <w:p w:rsidRPr="00355C65" w:rsidR="006E573A" w:rsidP="006E573A" w:rsidRDefault="006E573A" w14:paraId="5B85552A" w14:textId="77777777">
      <w:pPr>
        <w:spacing w:after="200" w:line="276" w:lineRule="auto"/>
        <w:ind w:left="720"/>
        <w:contextualSpacing/>
        <w:jc w:val="both"/>
        <w:rPr>
          <w:rFonts w:ascii="Times New Roman" w:hAnsi="Times New Roman" w:cs="Times New Roman"/>
          <w:sz w:val="24"/>
          <w:szCs w:val="24"/>
        </w:rPr>
      </w:pPr>
    </w:p>
    <w:p w:rsidRPr="00355C65" w:rsidR="006E573A" w:rsidP="006E573A" w:rsidRDefault="006E573A" w14:paraId="5B85552B" w14:textId="28680B97">
      <w:pPr>
        <w:numPr>
          <w:ilvl w:val="0"/>
          <w:numId w:val="19"/>
        </w:numPr>
        <w:spacing w:after="200" w:line="276" w:lineRule="auto"/>
        <w:contextualSpacing/>
        <w:jc w:val="both"/>
        <w:rPr>
          <w:rFonts w:ascii="Times New Roman" w:hAnsi="Times New Roman" w:cs="Times New Roman"/>
          <w:sz w:val="24"/>
          <w:szCs w:val="24"/>
        </w:rPr>
      </w:pPr>
      <w:r w:rsidRPr="00355C65">
        <w:rPr>
          <w:rFonts w:ascii="Times New Roman" w:hAnsi="Times New Roman" w:cs="Times New Roman"/>
          <w:sz w:val="24"/>
          <w:szCs w:val="24"/>
        </w:rPr>
        <w:t>Improvements</w:t>
      </w:r>
      <w:r w:rsidR="00906CD7">
        <w:rPr>
          <w:rFonts w:ascii="Times New Roman" w:hAnsi="Times New Roman" w:cs="Times New Roman"/>
          <w:sz w:val="24"/>
          <w:szCs w:val="24"/>
        </w:rPr>
        <w:t xml:space="preserve"> </w:t>
      </w:r>
      <w:r w:rsidR="00C37F7D">
        <w:rPr>
          <w:rFonts w:ascii="Times New Roman" w:hAnsi="Times New Roman" w:cs="Times New Roman"/>
          <w:sz w:val="24"/>
          <w:szCs w:val="24"/>
        </w:rPr>
        <w:t xml:space="preserve">consisting of repairs, alterations, or additions to, or substantial rehabilitation of </w:t>
      </w:r>
      <w:r w:rsidR="00026574">
        <w:rPr>
          <w:rFonts w:ascii="Times New Roman" w:hAnsi="Times New Roman" w:cs="Times New Roman"/>
          <w:sz w:val="24"/>
          <w:szCs w:val="24"/>
        </w:rPr>
        <w:t xml:space="preserve">existing structures </w:t>
      </w:r>
      <w:r w:rsidR="00830D5C">
        <w:rPr>
          <w:rFonts w:ascii="Times New Roman" w:hAnsi="Times New Roman" w:cs="Times New Roman"/>
          <w:sz w:val="24"/>
          <w:szCs w:val="24"/>
        </w:rPr>
        <w:t>may be financed with a Supplemental Loan</w:t>
      </w:r>
      <w:r w:rsidR="00F46999">
        <w:rPr>
          <w:rFonts w:ascii="Times New Roman" w:hAnsi="Times New Roman" w:cs="Times New Roman"/>
          <w:sz w:val="24"/>
          <w:szCs w:val="24"/>
        </w:rPr>
        <w:t xml:space="preserve">.  </w:t>
      </w:r>
    </w:p>
    <w:p w:rsidRPr="00355C65" w:rsidR="006E573A" w:rsidP="006E573A" w:rsidRDefault="006E573A" w14:paraId="5B85552C" w14:textId="77777777">
      <w:pPr>
        <w:ind w:left="720"/>
        <w:jc w:val="both"/>
        <w:rPr>
          <w:rFonts w:ascii="Times New Roman" w:hAnsi="Times New Roman" w:cs="Times New Roman"/>
          <w:sz w:val="24"/>
          <w:szCs w:val="24"/>
        </w:rPr>
      </w:pPr>
    </w:p>
    <w:p w:rsidRPr="00355C65" w:rsidR="006E573A" w:rsidP="006E573A" w:rsidRDefault="006E573A" w14:paraId="5B85552D" w14:textId="3A916670">
      <w:pPr>
        <w:numPr>
          <w:ilvl w:val="0"/>
          <w:numId w:val="19"/>
        </w:numPr>
        <w:spacing w:after="200" w:line="276" w:lineRule="auto"/>
        <w:contextualSpacing/>
        <w:jc w:val="both"/>
        <w:rPr>
          <w:rFonts w:ascii="Times New Roman" w:hAnsi="Times New Roman" w:cs="Times New Roman"/>
          <w:sz w:val="24"/>
          <w:szCs w:val="24"/>
        </w:rPr>
      </w:pPr>
      <w:r w:rsidRPr="00355C65">
        <w:rPr>
          <w:rFonts w:ascii="Times New Roman" w:hAnsi="Times New Roman" w:cs="Times New Roman"/>
          <w:sz w:val="24"/>
          <w:szCs w:val="24"/>
        </w:rPr>
        <w:t>Construction of additional units, or expansion of the footprint of the existing building, is allowed</w:t>
      </w:r>
      <w:r w:rsidR="009B072C">
        <w:rPr>
          <w:rFonts w:ascii="Times New Roman" w:hAnsi="Times New Roman" w:cs="Times New Roman"/>
          <w:sz w:val="24"/>
          <w:szCs w:val="24"/>
        </w:rPr>
        <w:t xml:space="preserve">, so long as the </w:t>
      </w:r>
      <w:r w:rsidR="0059352D">
        <w:rPr>
          <w:rFonts w:ascii="Times New Roman" w:hAnsi="Times New Roman" w:cs="Times New Roman"/>
          <w:sz w:val="24"/>
          <w:szCs w:val="24"/>
        </w:rPr>
        <w:t xml:space="preserve">number of units in the </w:t>
      </w:r>
      <w:r w:rsidR="009B072C">
        <w:rPr>
          <w:rFonts w:ascii="Times New Roman" w:hAnsi="Times New Roman" w:cs="Times New Roman"/>
          <w:sz w:val="24"/>
          <w:szCs w:val="24"/>
        </w:rPr>
        <w:t>new addition is</w:t>
      </w:r>
      <w:r w:rsidR="0059352D">
        <w:rPr>
          <w:rFonts w:ascii="Times New Roman" w:hAnsi="Times New Roman" w:cs="Times New Roman"/>
          <w:sz w:val="24"/>
          <w:szCs w:val="24"/>
        </w:rPr>
        <w:t xml:space="preserve"> equal to or less than the existing </w:t>
      </w:r>
      <w:r w:rsidR="007B4D78">
        <w:rPr>
          <w:rFonts w:ascii="Times New Roman" w:hAnsi="Times New Roman" w:cs="Times New Roman"/>
          <w:sz w:val="24"/>
          <w:szCs w:val="24"/>
        </w:rPr>
        <w:t>building</w:t>
      </w:r>
      <w:r w:rsidRPr="00355C65">
        <w:rPr>
          <w:rFonts w:ascii="Times New Roman" w:hAnsi="Times New Roman" w:cs="Times New Roman"/>
          <w:sz w:val="24"/>
          <w:szCs w:val="24"/>
        </w:rPr>
        <w:t>.  Such work may be completed on the existing parcel secured by the first mortgage, or a contiguous or nearby parcel acquired and included in an amendment to the existing first mortgage security documents.</w:t>
      </w:r>
    </w:p>
    <w:p w:rsidRPr="00355C65" w:rsidR="006E573A" w:rsidP="006E573A" w:rsidRDefault="006E573A" w14:paraId="5B85552E" w14:textId="77777777">
      <w:pPr>
        <w:spacing w:after="200" w:line="276" w:lineRule="auto"/>
        <w:ind w:left="720"/>
        <w:contextualSpacing/>
        <w:jc w:val="both"/>
        <w:rPr>
          <w:rFonts w:ascii="Times New Roman" w:hAnsi="Times New Roman" w:cs="Times New Roman"/>
          <w:sz w:val="24"/>
          <w:szCs w:val="24"/>
        </w:rPr>
      </w:pPr>
    </w:p>
    <w:p w:rsidRPr="00355C65" w:rsidR="006E573A" w:rsidP="006E573A" w:rsidRDefault="006E573A" w14:paraId="5B85552F" w14:textId="4BA03198">
      <w:pPr>
        <w:numPr>
          <w:ilvl w:val="0"/>
          <w:numId w:val="19"/>
        </w:numPr>
        <w:spacing w:after="200" w:line="276" w:lineRule="auto"/>
        <w:contextualSpacing/>
        <w:jc w:val="both"/>
        <w:rPr>
          <w:rFonts w:ascii="Times New Roman" w:hAnsi="Times New Roman" w:cs="Times New Roman"/>
          <w:sz w:val="24"/>
          <w:szCs w:val="24"/>
        </w:rPr>
      </w:pPr>
      <w:r w:rsidRPr="00355C65">
        <w:rPr>
          <w:rFonts w:ascii="Times New Roman" w:hAnsi="Times New Roman" w:cs="Times New Roman"/>
          <w:sz w:val="24"/>
          <w:szCs w:val="24"/>
        </w:rPr>
        <w:t xml:space="preserve">A cross-default provision should be placed in the Section 241(a) mortgage loan documents such that a default under a “prior recorded insured mortgage” will trigger a default under the Section 241(a) mortgage.  </w:t>
      </w:r>
      <w:r w:rsidR="003E3BE2">
        <w:rPr>
          <w:rFonts w:ascii="Times New Roman" w:hAnsi="Times New Roman" w:cs="Times New Roman"/>
          <w:sz w:val="24"/>
          <w:szCs w:val="24"/>
        </w:rPr>
        <w:t>However</w:t>
      </w:r>
      <w:r w:rsidRPr="00355C65">
        <w:rPr>
          <w:rFonts w:ascii="Times New Roman" w:hAnsi="Times New Roman" w:cs="Times New Roman"/>
          <w:sz w:val="24"/>
          <w:szCs w:val="24"/>
        </w:rPr>
        <w:t>, a default under the Section 241(a) loan should not trigger a default under the first mortgage.</w:t>
      </w:r>
    </w:p>
    <w:p w:rsidRPr="00355C65" w:rsidR="006E573A" w:rsidP="006E573A" w:rsidRDefault="006E573A" w14:paraId="5B855530" w14:textId="77777777">
      <w:pPr>
        <w:jc w:val="both"/>
        <w:rPr>
          <w:rFonts w:ascii="Times New Roman" w:hAnsi="Times New Roman" w:cs="Times New Roman"/>
          <w:sz w:val="24"/>
          <w:szCs w:val="24"/>
        </w:rPr>
      </w:pPr>
    </w:p>
    <w:p w:rsidRPr="00355C65" w:rsidR="006E573A" w:rsidP="006E573A" w:rsidRDefault="006E573A" w14:paraId="5B855531" w14:textId="7713B492">
      <w:pPr>
        <w:ind w:left="360" w:hanging="360"/>
        <w:jc w:val="both"/>
        <w:rPr>
          <w:rFonts w:ascii="Times New Roman" w:hAnsi="Times New Roman" w:cs="Times New Roman"/>
          <w:sz w:val="24"/>
          <w:szCs w:val="24"/>
        </w:rPr>
      </w:pPr>
      <w:r w:rsidRPr="00355C65">
        <w:rPr>
          <w:rFonts w:ascii="Times New Roman" w:hAnsi="Times New Roman" w:cs="Times New Roman"/>
          <w:sz w:val="24"/>
          <w:szCs w:val="24"/>
        </w:rPr>
        <w:t>B.  Term.  The Section 241(a) loan should generally be coterminous with the underlying FHA-insured first mortgage if that loan has more than 25 years remaining on its term.  If less than 25 years remain on the term of the first mortgage, HUD will consider an amortization period</w:t>
      </w:r>
      <w:r w:rsidR="002B4CDC">
        <w:rPr>
          <w:rFonts w:ascii="Times New Roman" w:hAnsi="Times New Roman" w:cs="Times New Roman"/>
          <w:sz w:val="24"/>
          <w:szCs w:val="24"/>
        </w:rPr>
        <w:t xml:space="preserve"> of</w:t>
      </w:r>
      <w:r w:rsidRPr="00355C65">
        <w:rPr>
          <w:rFonts w:ascii="Times New Roman" w:hAnsi="Times New Roman" w:cs="Times New Roman"/>
          <w:sz w:val="24"/>
          <w:szCs w:val="24"/>
        </w:rPr>
        <w:t xml:space="preserve"> up to 40 years regardless of the underlying first mortgage’s amortization period so long as the term is no greater than 75% of the project’s remaining </w:t>
      </w:r>
      <w:r w:rsidR="004C1577">
        <w:rPr>
          <w:rFonts w:ascii="Times New Roman" w:hAnsi="Times New Roman" w:cs="Times New Roman"/>
          <w:sz w:val="24"/>
          <w:szCs w:val="24"/>
        </w:rPr>
        <w:t>economic</w:t>
      </w:r>
      <w:r w:rsidRPr="00355C65" w:rsidR="004C1577">
        <w:rPr>
          <w:rFonts w:ascii="Times New Roman" w:hAnsi="Times New Roman" w:cs="Times New Roman"/>
          <w:sz w:val="24"/>
          <w:szCs w:val="24"/>
        </w:rPr>
        <w:t xml:space="preserve"> </w:t>
      </w:r>
      <w:r w:rsidRPr="00355C65">
        <w:rPr>
          <w:rFonts w:ascii="Times New Roman" w:hAnsi="Times New Roman" w:cs="Times New Roman"/>
          <w:sz w:val="24"/>
          <w:szCs w:val="24"/>
        </w:rPr>
        <w:t>life.</w:t>
      </w:r>
      <w:r w:rsidR="0075745A">
        <w:rPr>
          <w:rFonts w:ascii="Times New Roman" w:hAnsi="Times New Roman" w:cs="Times New Roman"/>
          <w:sz w:val="24"/>
          <w:szCs w:val="24"/>
        </w:rPr>
        <w:t xml:space="preserve"> </w:t>
      </w:r>
      <w:r w:rsidR="00F12AEC">
        <w:rPr>
          <w:rFonts w:ascii="Times New Roman" w:hAnsi="Times New Roman" w:cs="Times New Roman"/>
          <w:sz w:val="24"/>
          <w:szCs w:val="24"/>
        </w:rPr>
        <w:t>Notwithstanding the</w:t>
      </w:r>
      <w:r w:rsidR="0075745A">
        <w:rPr>
          <w:rFonts w:ascii="Times New Roman" w:hAnsi="Times New Roman" w:cs="Times New Roman"/>
          <w:sz w:val="24"/>
          <w:szCs w:val="24"/>
        </w:rPr>
        <w:t xml:space="preserve"> above, </w:t>
      </w:r>
      <w:r w:rsidR="00DB2437">
        <w:rPr>
          <w:rFonts w:ascii="Times New Roman" w:hAnsi="Times New Roman" w:cs="Times New Roman"/>
          <w:sz w:val="24"/>
          <w:szCs w:val="24"/>
        </w:rPr>
        <w:t>the</w:t>
      </w:r>
      <w:r w:rsidR="0075745A">
        <w:rPr>
          <w:rFonts w:ascii="Times New Roman" w:hAnsi="Times New Roman" w:cs="Times New Roman"/>
          <w:sz w:val="24"/>
          <w:szCs w:val="24"/>
        </w:rPr>
        <w:t xml:space="preserve"> Regional office has discretion to grant a waiver </w:t>
      </w:r>
      <w:r w:rsidR="00BF6068">
        <w:rPr>
          <w:rFonts w:ascii="Times New Roman" w:hAnsi="Times New Roman" w:cs="Times New Roman"/>
          <w:sz w:val="24"/>
          <w:szCs w:val="24"/>
        </w:rPr>
        <w:t>to permit</w:t>
      </w:r>
      <w:r w:rsidR="00235A76">
        <w:rPr>
          <w:rFonts w:ascii="Times New Roman" w:hAnsi="Times New Roman" w:cs="Times New Roman"/>
          <w:sz w:val="24"/>
          <w:szCs w:val="24"/>
        </w:rPr>
        <w:t xml:space="preserve"> the second mortgage </w:t>
      </w:r>
      <w:r w:rsidR="009E1E7C">
        <w:rPr>
          <w:rFonts w:ascii="Times New Roman" w:hAnsi="Times New Roman" w:cs="Times New Roman"/>
          <w:sz w:val="24"/>
          <w:szCs w:val="24"/>
        </w:rPr>
        <w:t xml:space="preserve">term </w:t>
      </w:r>
      <w:r w:rsidR="00BF6068">
        <w:rPr>
          <w:rFonts w:ascii="Times New Roman" w:hAnsi="Times New Roman" w:cs="Times New Roman"/>
          <w:sz w:val="24"/>
          <w:szCs w:val="24"/>
        </w:rPr>
        <w:t>to exceed</w:t>
      </w:r>
      <w:r w:rsidR="0084526E">
        <w:rPr>
          <w:rFonts w:ascii="Times New Roman" w:hAnsi="Times New Roman" w:cs="Times New Roman"/>
          <w:sz w:val="24"/>
          <w:szCs w:val="24"/>
        </w:rPr>
        <w:t xml:space="preserve"> the </w:t>
      </w:r>
      <w:r w:rsidR="00F81765">
        <w:rPr>
          <w:rFonts w:ascii="Times New Roman" w:hAnsi="Times New Roman" w:cs="Times New Roman"/>
          <w:sz w:val="24"/>
          <w:szCs w:val="24"/>
        </w:rPr>
        <w:t xml:space="preserve">term of the </w:t>
      </w:r>
      <w:r w:rsidR="0084526E">
        <w:rPr>
          <w:rFonts w:ascii="Times New Roman" w:hAnsi="Times New Roman" w:cs="Times New Roman"/>
          <w:sz w:val="24"/>
          <w:szCs w:val="24"/>
        </w:rPr>
        <w:t xml:space="preserve">first mortgage loan in the event that the increase in term will reduce overall risk to the transaction </w:t>
      </w:r>
      <w:r w:rsidR="00CF0B45">
        <w:rPr>
          <w:rFonts w:ascii="Times New Roman" w:hAnsi="Times New Roman" w:cs="Times New Roman"/>
          <w:sz w:val="24"/>
          <w:szCs w:val="24"/>
        </w:rPr>
        <w:t>and</w:t>
      </w:r>
      <w:r w:rsidR="000C5933">
        <w:rPr>
          <w:rFonts w:ascii="Times New Roman" w:hAnsi="Times New Roman" w:cs="Times New Roman"/>
          <w:sz w:val="24"/>
          <w:szCs w:val="24"/>
        </w:rPr>
        <w:t xml:space="preserve"> will</w:t>
      </w:r>
      <w:r w:rsidR="0084526E">
        <w:rPr>
          <w:rFonts w:ascii="Times New Roman" w:hAnsi="Times New Roman" w:cs="Times New Roman"/>
          <w:sz w:val="24"/>
          <w:szCs w:val="24"/>
        </w:rPr>
        <w:t xml:space="preserve"> otherwise</w:t>
      </w:r>
      <w:r w:rsidR="009E1E7C">
        <w:rPr>
          <w:rFonts w:ascii="Times New Roman" w:hAnsi="Times New Roman" w:cs="Times New Roman"/>
          <w:sz w:val="24"/>
          <w:szCs w:val="24"/>
        </w:rPr>
        <w:t xml:space="preserve"> </w:t>
      </w:r>
      <w:r w:rsidR="0084526E">
        <w:rPr>
          <w:rFonts w:ascii="Times New Roman" w:hAnsi="Times New Roman" w:cs="Times New Roman"/>
          <w:sz w:val="24"/>
          <w:szCs w:val="24"/>
        </w:rPr>
        <w:t>meet program obligations.</w:t>
      </w:r>
    </w:p>
    <w:p w:rsidRPr="00355C65" w:rsidR="006E573A" w:rsidP="006E573A" w:rsidRDefault="006E573A" w14:paraId="5B855532" w14:textId="77777777">
      <w:pPr>
        <w:jc w:val="both"/>
        <w:rPr>
          <w:rFonts w:ascii="Times New Roman" w:hAnsi="Times New Roman" w:cs="Times New Roman"/>
          <w:sz w:val="24"/>
          <w:szCs w:val="24"/>
        </w:rPr>
      </w:pPr>
    </w:p>
    <w:p w:rsidRPr="00355C65" w:rsidR="006E573A" w:rsidP="006E573A" w:rsidRDefault="006E573A" w14:paraId="5B855533" w14:textId="77777777">
      <w:pPr>
        <w:ind w:left="360" w:hanging="360"/>
        <w:jc w:val="both"/>
        <w:rPr>
          <w:rFonts w:ascii="Times New Roman" w:hAnsi="Times New Roman" w:cs="Times New Roman"/>
          <w:sz w:val="24"/>
          <w:szCs w:val="24"/>
        </w:rPr>
      </w:pPr>
      <w:r w:rsidRPr="00355C65">
        <w:rPr>
          <w:rFonts w:ascii="Times New Roman" w:hAnsi="Times New Roman" w:cs="Times New Roman"/>
          <w:sz w:val="24"/>
          <w:szCs w:val="24"/>
        </w:rPr>
        <w:t>C.  Equity requirement and controlling mortgage criteria. The owner is required to contribute at least 10% of the total development cost of the transaction. Existing reserve for replacement deposits in excess of the Initial Deposit requirement concluded in the CNA and underwriting may be used to meet the equity requirement. Similarly, land equity from adjacent or nearby parcels added and incorporated into the existing first mortgage security and additional cash contributions can be used to meet the 10% equity contribution requirement. Residual Receipt account funds (e.g., from surplus Section 8 funding) cannot be used to meet equity requirements.  Imputed equity representing the difference between the “as is” value of the project and the existing indebtedness is not available to meet the equity requirements.  The HUD Form 92264 and 92264A should recognize only the cost of the addition or improvements but, should include all (i.e. the existing and proposed) project Net Operating Income (NOI) in Criterion 5 of Form HUD 92264A.  A supplemental analysis comparing the historical and proposed NOI should be included as an attachment to the HUD-92264.</w:t>
      </w:r>
    </w:p>
    <w:p w:rsidRPr="00355C65" w:rsidR="006E573A" w:rsidP="006E573A" w:rsidRDefault="006E573A" w14:paraId="5B855534" w14:textId="77777777">
      <w:pPr>
        <w:jc w:val="both"/>
        <w:rPr>
          <w:rFonts w:ascii="Times New Roman" w:hAnsi="Times New Roman" w:cs="Times New Roman"/>
          <w:sz w:val="24"/>
          <w:szCs w:val="24"/>
        </w:rPr>
      </w:pPr>
    </w:p>
    <w:p w:rsidRPr="00355C65" w:rsidR="006E573A" w:rsidP="006E573A" w:rsidRDefault="006E573A" w14:paraId="5B855535" w14:textId="77777777">
      <w:pPr>
        <w:spacing w:after="200" w:line="276" w:lineRule="auto"/>
        <w:ind w:left="720"/>
        <w:jc w:val="both"/>
        <w:rPr>
          <w:rFonts w:ascii="Times New Roman" w:hAnsi="Times New Roman" w:cs="Times New Roman"/>
          <w:sz w:val="24"/>
          <w:szCs w:val="24"/>
        </w:rPr>
      </w:pPr>
      <w:r w:rsidRPr="00355C65">
        <w:rPr>
          <w:rFonts w:ascii="Times New Roman" w:hAnsi="Times New Roman" w:cs="Times New Roman"/>
          <w:sz w:val="24"/>
          <w:szCs w:val="24"/>
          <w:u w:val="single"/>
        </w:rPr>
        <w:t>Criterion 3:</w:t>
      </w:r>
      <w:r w:rsidRPr="00355C65">
        <w:rPr>
          <w:rFonts w:ascii="Times New Roman" w:hAnsi="Times New Roman" w:cs="Times New Roman"/>
          <w:sz w:val="24"/>
          <w:szCs w:val="24"/>
        </w:rPr>
        <w:t xml:space="preserve"> Loan to Value / Cost.</w:t>
      </w:r>
    </w:p>
    <w:p w:rsidRPr="00355C65" w:rsidR="006E573A" w:rsidP="006E573A" w:rsidRDefault="006E573A" w14:paraId="5B855536" w14:textId="77777777">
      <w:pPr>
        <w:spacing w:after="200" w:line="276" w:lineRule="auto"/>
        <w:ind w:left="900"/>
        <w:jc w:val="both"/>
        <w:rPr>
          <w:rFonts w:ascii="Times New Roman" w:hAnsi="Times New Roman" w:cs="Times New Roman"/>
          <w:color w:val="1F497D"/>
          <w:sz w:val="24"/>
          <w:szCs w:val="24"/>
        </w:rPr>
      </w:pPr>
      <w:r w:rsidRPr="00355C65">
        <w:rPr>
          <w:rFonts w:ascii="Times New Roman" w:hAnsi="Times New Roman" w:cs="Times New Roman"/>
          <w:sz w:val="24"/>
          <w:szCs w:val="24"/>
        </w:rPr>
        <w:t>A Section 241(a) supplemental loan is limited by statute to 90% of the HUD-estimated value of the improvements, additions or equipment, regardless of the Section of the Act insuring the underlying first mortgage.  The cost of the repairs and transaction costs (including the acquisition price of an adjacent or nearby land parcel) will be recognized as the value, so long as any additional land purchased or contributed is no more than the fair market value.</w:t>
      </w:r>
      <w:r w:rsidRPr="00355C65">
        <w:rPr>
          <w:rFonts w:ascii="Times New Roman" w:hAnsi="Times New Roman" w:cs="Times New Roman"/>
          <w:color w:val="000000" w:themeColor="text1"/>
          <w:sz w:val="24"/>
          <w:szCs w:val="24"/>
        </w:rPr>
        <w:t xml:space="preserve">  Regardless of the Section of the Act of the underlying first mortgage, neither BSPRA nor SPRA may be recognized.  The cost of the transaction can and should include builder’s profit (regardless of whether there is an Identity of interest.)  </w:t>
      </w:r>
    </w:p>
    <w:p w:rsidRPr="00355C65" w:rsidR="006E573A" w:rsidP="006E573A" w:rsidRDefault="006E573A" w14:paraId="5B855537" w14:textId="77777777">
      <w:pPr>
        <w:ind w:left="720"/>
        <w:jc w:val="both"/>
        <w:rPr>
          <w:rFonts w:ascii="Times New Roman" w:hAnsi="Times New Roman" w:cs="Times New Roman"/>
          <w:sz w:val="24"/>
          <w:szCs w:val="24"/>
        </w:rPr>
      </w:pPr>
    </w:p>
    <w:p w:rsidRPr="00355C65" w:rsidR="006E573A" w:rsidP="006E573A" w:rsidRDefault="006E573A" w14:paraId="5B855538" w14:textId="77777777">
      <w:pPr>
        <w:ind w:left="720"/>
        <w:jc w:val="both"/>
        <w:rPr>
          <w:rFonts w:ascii="Times New Roman" w:hAnsi="Times New Roman" w:cs="Times New Roman"/>
          <w:sz w:val="24"/>
          <w:szCs w:val="24"/>
        </w:rPr>
      </w:pPr>
      <w:r w:rsidRPr="00355C65">
        <w:rPr>
          <w:rFonts w:ascii="Times New Roman" w:hAnsi="Times New Roman" w:cs="Times New Roman"/>
          <w:sz w:val="24"/>
          <w:szCs w:val="24"/>
          <w:u w:val="single"/>
        </w:rPr>
        <w:t>Criterion 4:</w:t>
      </w:r>
      <w:r w:rsidRPr="00355C65">
        <w:rPr>
          <w:rFonts w:ascii="Times New Roman" w:hAnsi="Times New Roman" w:cs="Times New Roman"/>
          <w:sz w:val="24"/>
          <w:szCs w:val="24"/>
        </w:rPr>
        <w:t xml:space="preserve"> Statutory Limits. </w:t>
      </w:r>
    </w:p>
    <w:p w:rsidRPr="00355C65" w:rsidR="006E573A" w:rsidP="006E573A" w:rsidRDefault="006E573A" w14:paraId="5B855539" w14:textId="77777777">
      <w:pPr>
        <w:ind w:left="360"/>
        <w:jc w:val="both"/>
        <w:rPr>
          <w:rFonts w:ascii="Times New Roman" w:hAnsi="Times New Roman" w:cs="Times New Roman"/>
          <w:sz w:val="24"/>
          <w:szCs w:val="24"/>
        </w:rPr>
      </w:pPr>
    </w:p>
    <w:p w:rsidRPr="00355C65" w:rsidR="006E573A" w:rsidP="006E573A" w:rsidRDefault="006E573A" w14:paraId="5B85553A" w14:textId="77777777">
      <w:pPr>
        <w:ind w:left="900"/>
        <w:jc w:val="both"/>
        <w:rPr>
          <w:rFonts w:ascii="Times New Roman" w:hAnsi="Times New Roman" w:cs="Times New Roman"/>
          <w:sz w:val="24"/>
          <w:szCs w:val="24"/>
        </w:rPr>
      </w:pPr>
      <w:r w:rsidRPr="00355C65">
        <w:rPr>
          <w:rFonts w:ascii="Times New Roman" w:hAnsi="Times New Roman" w:cs="Times New Roman"/>
          <w:sz w:val="24"/>
          <w:szCs w:val="24"/>
        </w:rPr>
        <w:t xml:space="preserve">The Supplemental Loan, when added to the outstanding balance of the mortgage covering the project or facility, may not exceed the maximum statutory limitation applicable to the building and unit type for the Section of the Act under which the existing first mortgage is insured.  </w:t>
      </w:r>
    </w:p>
    <w:p w:rsidRPr="00355C65" w:rsidR="006E573A" w:rsidP="006E573A" w:rsidRDefault="006E573A" w14:paraId="5B85553B" w14:textId="77777777">
      <w:pPr>
        <w:ind w:left="720"/>
        <w:jc w:val="both"/>
        <w:rPr>
          <w:rFonts w:ascii="Times New Roman" w:hAnsi="Times New Roman" w:cs="Times New Roman"/>
          <w:sz w:val="24"/>
          <w:szCs w:val="24"/>
        </w:rPr>
      </w:pPr>
    </w:p>
    <w:p w:rsidRPr="00355C65" w:rsidR="006E573A" w:rsidP="006E573A" w:rsidRDefault="006E573A" w14:paraId="5B85553C" w14:textId="77777777">
      <w:pPr>
        <w:ind w:left="720"/>
        <w:jc w:val="both"/>
        <w:rPr>
          <w:rFonts w:ascii="Times New Roman" w:hAnsi="Times New Roman" w:cs="Times New Roman"/>
          <w:sz w:val="24"/>
          <w:szCs w:val="24"/>
        </w:rPr>
      </w:pPr>
      <w:r w:rsidRPr="00355C65">
        <w:rPr>
          <w:rFonts w:ascii="Times New Roman" w:hAnsi="Times New Roman" w:cs="Times New Roman"/>
          <w:sz w:val="24"/>
          <w:szCs w:val="24"/>
          <w:u w:val="single"/>
        </w:rPr>
        <w:t>Criterion 5</w:t>
      </w:r>
      <w:r w:rsidRPr="00355C65">
        <w:rPr>
          <w:rFonts w:ascii="Times New Roman" w:hAnsi="Times New Roman" w:cs="Times New Roman"/>
          <w:sz w:val="24"/>
          <w:szCs w:val="24"/>
        </w:rPr>
        <w:t xml:space="preserve">: Debt Service Coverage Ratio.  </w:t>
      </w:r>
    </w:p>
    <w:p w:rsidRPr="00355C65" w:rsidR="006E573A" w:rsidP="006E573A" w:rsidRDefault="006E573A" w14:paraId="5B85553D" w14:textId="77777777">
      <w:pPr>
        <w:ind w:left="360"/>
        <w:jc w:val="both"/>
        <w:rPr>
          <w:rFonts w:ascii="Times New Roman" w:hAnsi="Times New Roman" w:cs="Times New Roman"/>
          <w:sz w:val="24"/>
          <w:szCs w:val="24"/>
        </w:rPr>
      </w:pPr>
    </w:p>
    <w:p w:rsidR="006E573A" w:rsidP="006E573A" w:rsidRDefault="006E573A" w14:paraId="5B85553E" w14:textId="57D52D8D">
      <w:pPr>
        <w:ind w:left="900"/>
        <w:jc w:val="both"/>
        <w:rPr>
          <w:rFonts w:ascii="Times New Roman" w:hAnsi="Times New Roman" w:cs="Times New Roman"/>
          <w:sz w:val="24"/>
          <w:szCs w:val="24"/>
        </w:rPr>
      </w:pPr>
      <w:r w:rsidRPr="00355C65">
        <w:rPr>
          <w:rFonts w:ascii="Times New Roman" w:hAnsi="Times New Roman" w:cs="Times New Roman"/>
          <w:sz w:val="24"/>
          <w:szCs w:val="24"/>
        </w:rPr>
        <w:t xml:space="preserve">The maximum loan amount under this criterion is debt service (in combination with the first mortgage payments) supported by 90% of projected NOI. </w:t>
      </w:r>
    </w:p>
    <w:p w:rsidR="00F45B10" w:rsidP="006E573A" w:rsidRDefault="00F45B10" w14:paraId="28414F58" w14:textId="6C8DBAA2">
      <w:pPr>
        <w:ind w:left="900"/>
        <w:jc w:val="both"/>
        <w:rPr>
          <w:rFonts w:ascii="Times New Roman" w:hAnsi="Times New Roman" w:cs="Times New Roman"/>
          <w:sz w:val="24"/>
          <w:szCs w:val="24"/>
        </w:rPr>
      </w:pPr>
    </w:p>
    <w:p w:rsidRPr="0023547C" w:rsidR="00DA4F0E" w:rsidP="0023547C" w:rsidRDefault="00614E67" w14:paraId="1C52EAB1" w14:textId="6244591E">
      <w:pPr>
        <w:pStyle w:val="ListParagraph"/>
        <w:numPr>
          <w:ilvl w:val="0"/>
          <w:numId w:val="1"/>
        </w:numPr>
        <w:tabs>
          <w:tab w:val="clear" w:pos="630"/>
          <w:tab w:val="num" w:pos="360"/>
        </w:tabs>
        <w:ind w:left="360"/>
        <w:jc w:val="both"/>
        <w:rPr>
          <w:rFonts w:ascii="Times New Roman" w:hAnsi="Times New Roman" w:cs="Times New Roman"/>
          <w:sz w:val="24"/>
          <w:szCs w:val="24"/>
        </w:rPr>
      </w:pPr>
      <w:r w:rsidRPr="006801F6">
        <w:rPr>
          <w:rFonts w:ascii="Times New Roman" w:hAnsi="Times New Roman" w:cs="Times New Roman"/>
          <w:sz w:val="24"/>
          <w:szCs w:val="24"/>
        </w:rPr>
        <w:t>CNAs</w:t>
      </w:r>
      <w:r w:rsidRPr="006801F6" w:rsidR="006E573A">
        <w:rPr>
          <w:rFonts w:ascii="Times New Roman" w:hAnsi="Times New Roman" w:cs="Times New Roman"/>
          <w:sz w:val="24"/>
          <w:szCs w:val="24"/>
        </w:rPr>
        <w:t xml:space="preserve"> Plans and Specifications, and Cost Estimate requirements.  </w:t>
      </w:r>
      <w:r w:rsidRPr="0023547C" w:rsidR="00A4607C">
        <w:rPr>
          <w:rFonts w:ascii="Times New Roman" w:hAnsi="Times New Roman" w:cs="Times New Roman"/>
          <w:sz w:val="24"/>
          <w:szCs w:val="24"/>
        </w:rPr>
        <w:t xml:space="preserve">A CNA </w:t>
      </w:r>
      <w:r w:rsidR="00E97DDA">
        <w:rPr>
          <w:rFonts w:ascii="Times New Roman" w:hAnsi="Times New Roman" w:cs="Times New Roman"/>
          <w:sz w:val="24"/>
          <w:szCs w:val="24"/>
        </w:rPr>
        <w:t>is required for the entire property</w:t>
      </w:r>
      <w:r w:rsidR="00F65355">
        <w:rPr>
          <w:rFonts w:ascii="Times New Roman" w:hAnsi="Times New Roman" w:cs="Times New Roman"/>
          <w:sz w:val="24"/>
          <w:szCs w:val="24"/>
        </w:rPr>
        <w:t xml:space="preserve">, including both existing units and any </w:t>
      </w:r>
      <w:r w:rsidR="00F55601">
        <w:rPr>
          <w:rFonts w:ascii="Times New Roman" w:hAnsi="Times New Roman" w:cs="Times New Roman"/>
          <w:sz w:val="24"/>
          <w:szCs w:val="24"/>
        </w:rPr>
        <w:t xml:space="preserve">proposed </w:t>
      </w:r>
      <w:r w:rsidR="00740A47">
        <w:rPr>
          <w:rFonts w:ascii="Times New Roman" w:hAnsi="Times New Roman" w:cs="Times New Roman"/>
          <w:sz w:val="24"/>
          <w:szCs w:val="24"/>
        </w:rPr>
        <w:t>addition</w:t>
      </w:r>
      <w:r w:rsidR="00F55601">
        <w:rPr>
          <w:rFonts w:ascii="Times New Roman" w:hAnsi="Times New Roman" w:cs="Times New Roman"/>
          <w:sz w:val="24"/>
          <w:szCs w:val="24"/>
        </w:rPr>
        <w:t>.</w:t>
      </w:r>
      <w:r w:rsidR="006457D5">
        <w:rPr>
          <w:rFonts w:ascii="Times New Roman" w:hAnsi="Times New Roman" w:cs="Times New Roman"/>
          <w:sz w:val="24"/>
          <w:szCs w:val="24"/>
        </w:rPr>
        <w:t xml:space="preserve">  </w:t>
      </w:r>
      <w:r w:rsidR="001C0C07">
        <w:rPr>
          <w:rFonts w:ascii="Times New Roman" w:hAnsi="Times New Roman" w:cs="Times New Roman"/>
          <w:sz w:val="24"/>
          <w:szCs w:val="24"/>
        </w:rPr>
        <w:t xml:space="preserve">The </w:t>
      </w:r>
      <w:r w:rsidR="00D85CD1">
        <w:rPr>
          <w:rFonts w:ascii="Times New Roman" w:hAnsi="Times New Roman" w:cs="Times New Roman"/>
          <w:sz w:val="24"/>
          <w:szCs w:val="24"/>
        </w:rPr>
        <w:t xml:space="preserve">portion of the property already </w:t>
      </w:r>
      <w:r w:rsidRPr="0023547C" w:rsidR="00A4607C">
        <w:rPr>
          <w:rFonts w:ascii="Times New Roman" w:hAnsi="Times New Roman" w:cs="Times New Roman"/>
          <w:sz w:val="24"/>
          <w:szCs w:val="24"/>
        </w:rPr>
        <w:t xml:space="preserve">existing </w:t>
      </w:r>
      <w:r w:rsidR="003E72A0">
        <w:rPr>
          <w:rFonts w:ascii="Times New Roman" w:hAnsi="Times New Roman" w:cs="Times New Roman"/>
          <w:sz w:val="24"/>
          <w:szCs w:val="24"/>
        </w:rPr>
        <w:t>and not proposed for</w:t>
      </w:r>
      <w:r w:rsidRPr="0023547C" w:rsidR="00A4607C">
        <w:rPr>
          <w:rFonts w:ascii="Times New Roman" w:hAnsi="Times New Roman" w:cs="Times New Roman"/>
          <w:sz w:val="24"/>
          <w:szCs w:val="24"/>
        </w:rPr>
        <w:t xml:space="preserve"> </w:t>
      </w:r>
      <w:r w:rsidR="00AB58A2">
        <w:rPr>
          <w:rFonts w:ascii="Times New Roman" w:hAnsi="Times New Roman" w:cs="Times New Roman"/>
          <w:sz w:val="24"/>
          <w:szCs w:val="24"/>
        </w:rPr>
        <w:t xml:space="preserve">substantial rehabilitation </w:t>
      </w:r>
      <w:r w:rsidR="00A93D67">
        <w:rPr>
          <w:rFonts w:ascii="Times New Roman" w:hAnsi="Times New Roman" w:cs="Times New Roman"/>
          <w:sz w:val="24"/>
          <w:szCs w:val="24"/>
        </w:rPr>
        <w:t xml:space="preserve">should be evaluated </w:t>
      </w:r>
      <w:r w:rsidR="00E15D11">
        <w:rPr>
          <w:rFonts w:ascii="Times New Roman" w:hAnsi="Times New Roman" w:cs="Times New Roman"/>
          <w:sz w:val="24"/>
          <w:szCs w:val="24"/>
        </w:rPr>
        <w:t xml:space="preserve">in the same manner as for </w:t>
      </w:r>
      <w:r w:rsidR="00DB0F20">
        <w:rPr>
          <w:rFonts w:ascii="Times New Roman" w:hAnsi="Times New Roman" w:cs="Times New Roman"/>
          <w:sz w:val="24"/>
          <w:szCs w:val="24"/>
        </w:rPr>
        <w:t xml:space="preserve">existing buildings </w:t>
      </w:r>
      <w:r w:rsidR="00592F61">
        <w:rPr>
          <w:rFonts w:ascii="Times New Roman" w:hAnsi="Times New Roman" w:cs="Times New Roman"/>
          <w:sz w:val="24"/>
          <w:szCs w:val="24"/>
        </w:rPr>
        <w:t xml:space="preserve">in a refinance </w:t>
      </w:r>
      <w:r w:rsidR="00C07B6B">
        <w:rPr>
          <w:rFonts w:ascii="Times New Roman" w:hAnsi="Times New Roman" w:cs="Times New Roman"/>
          <w:sz w:val="24"/>
          <w:szCs w:val="24"/>
        </w:rPr>
        <w:t>application</w:t>
      </w:r>
      <w:r w:rsidR="00FE57DC">
        <w:rPr>
          <w:rFonts w:ascii="Times New Roman" w:hAnsi="Times New Roman" w:cs="Times New Roman"/>
          <w:sz w:val="24"/>
          <w:szCs w:val="24"/>
        </w:rPr>
        <w:t xml:space="preserve"> </w:t>
      </w:r>
      <w:r w:rsidR="00D267EB">
        <w:rPr>
          <w:rFonts w:ascii="Times New Roman" w:hAnsi="Times New Roman" w:cs="Times New Roman"/>
          <w:sz w:val="24"/>
          <w:szCs w:val="24"/>
        </w:rPr>
        <w:t>to</w:t>
      </w:r>
      <w:r w:rsidRPr="0023547C" w:rsidR="00431D4A">
        <w:rPr>
          <w:rFonts w:ascii="Times New Roman" w:hAnsi="Times New Roman" w:cs="Times New Roman"/>
          <w:sz w:val="24"/>
          <w:szCs w:val="24"/>
        </w:rPr>
        <w:t xml:space="preserve"> identify an</w:t>
      </w:r>
      <w:r w:rsidRPr="0023547C" w:rsidR="00DA4F0E">
        <w:rPr>
          <w:rFonts w:ascii="Times New Roman" w:hAnsi="Times New Roman" w:cs="Times New Roman"/>
          <w:sz w:val="24"/>
          <w:szCs w:val="24"/>
        </w:rPr>
        <w:t>d</w:t>
      </w:r>
      <w:r w:rsidRPr="0023547C" w:rsidR="00431D4A">
        <w:rPr>
          <w:rFonts w:ascii="Times New Roman" w:hAnsi="Times New Roman" w:cs="Times New Roman"/>
          <w:sz w:val="24"/>
          <w:szCs w:val="24"/>
        </w:rPr>
        <w:t xml:space="preserve"> define any existing critical or non-critical repair needs</w:t>
      </w:r>
      <w:r w:rsidRPr="0023547C" w:rsidR="00ED6E5B">
        <w:rPr>
          <w:rFonts w:ascii="Times New Roman" w:hAnsi="Times New Roman" w:cs="Times New Roman"/>
          <w:sz w:val="24"/>
          <w:szCs w:val="24"/>
        </w:rPr>
        <w:t xml:space="preserve"> as well as future needs.</w:t>
      </w:r>
      <w:r w:rsidRPr="0023547C" w:rsidR="00431D4A">
        <w:rPr>
          <w:rFonts w:ascii="Times New Roman" w:hAnsi="Times New Roman" w:cs="Times New Roman"/>
          <w:sz w:val="24"/>
          <w:szCs w:val="24"/>
        </w:rPr>
        <w:t xml:space="preserve">  </w:t>
      </w:r>
      <w:r w:rsidR="00F40DF6">
        <w:rPr>
          <w:rFonts w:ascii="Times New Roman" w:hAnsi="Times New Roman" w:cs="Times New Roman"/>
          <w:sz w:val="24"/>
          <w:szCs w:val="24"/>
        </w:rPr>
        <w:t xml:space="preserve">These </w:t>
      </w:r>
      <w:r w:rsidR="006D1717">
        <w:rPr>
          <w:rFonts w:ascii="Times New Roman" w:hAnsi="Times New Roman" w:cs="Times New Roman"/>
          <w:sz w:val="24"/>
          <w:szCs w:val="24"/>
        </w:rPr>
        <w:t>i</w:t>
      </w:r>
      <w:r w:rsidRPr="0023547C" w:rsidR="00431D4A">
        <w:rPr>
          <w:rFonts w:ascii="Times New Roman" w:hAnsi="Times New Roman" w:cs="Times New Roman"/>
          <w:sz w:val="24"/>
          <w:szCs w:val="24"/>
        </w:rPr>
        <w:t xml:space="preserve">dentified critical and </w:t>
      </w:r>
      <w:r w:rsidRPr="0023547C" w:rsidR="00DA4F0E">
        <w:rPr>
          <w:rFonts w:ascii="Times New Roman" w:hAnsi="Times New Roman" w:cs="Times New Roman"/>
          <w:sz w:val="24"/>
          <w:szCs w:val="24"/>
        </w:rPr>
        <w:t>n</w:t>
      </w:r>
      <w:r w:rsidRPr="0023547C" w:rsidR="00431D4A">
        <w:rPr>
          <w:rFonts w:ascii="Times New Roman" w:hAnsi="Times New Roman" w:cs="Times New Roman"/>
          <w:sz w:val="24"/>
          <w:szCs w:val="24"/>
        </w:rPr>
        <w:t>on-critical repairs should be included in the loan amount and the approved construction scope of work.  Such repairs should be documented with plans and specifications consistent with the applicable classification of work as described in Chapter 5</w:t>
      </w:r>
      <w:r w:rsidRPr="0023547C" w:rsidR="00DA4F0E">
        <w:rPr>
          <w:rFonts w:ascii="Times New Roman" w:hAnsi="Times New Roman" w:cs="Times New Roman"/>
          <w:sz w:val="24"/>
          <w:szCs w:val="24"/>
        </w:rPr>
        <w:t>.  (S</w:t>
      </w:r>
      <w:r w:rsidRPr="0023547C" w:rsidR="00431D4A">
        <w:rPr>
          <w:rFonts w:ascii="Times New Roman" w:hAnsi="Times New Roman" w:cs="Times New Roman"/>
          <w:sz w:val="24"/>
          <w:szCs w:val="24"/>
        </w:rPr>
        <w:t xml:space="preserve">ee Chapter 5.11 for architectural review of Section 241(a) loans.)  </w:t>
      </w:r>
    </w:p>
    <w:p w:rsidR="00DA4F0E" w:rsidP="00DA4F0E" w:rsidRDefault="00DA4F0E" w14:paraId="7E38DD3E" w14:textId="77777777">
      <w:pPr>
        <w:pStyle w:val="ListParagraph"/>
        <w:ind w:left="630"/>
        <w:jc w:val="both"/>
        <w:rPr>
          <w:rFonts w:ascii="Times New Roman" w:hAnsi="Times New Roman" w:cs="Times New Roman"/>
          <w:sz w:val="24"/>
          <w:szCs w:val="24"/>
        </w:rPr>
      </w:pPr>
    </w:p>
    <w:p w:rsidR="0067326B" w:rsidP="0023547C" w:rsidRDefault="00431D4A" w14:paraId="2DAABF50" w14:textId="07ECF5A1">
      <w:pPr>
        <w:pStyle w:val="ListParagraph"/>
        <w:ind w:left="360"/>
        <w:jc w:val="both"/>
        <w:rPr>
          <w:rFonts w:ascii="Times New Roman" w:hAnsi="Times New Roman" w:cs="Times New Roman"/>
          <w:sz w:val="24"/>
          <w:szCs w:val="24"/>
        </w:rPr>
      </w:pPr>
      <w:r w:rsidRPr="0023547C">
        <w:rPr>
          <w:rFonts w:ascii="Times New Roman" w:hAnsi="Times New Roman" w:cs="Times New Roman"/>
          <w:sz w:val="24"/>
          <w:szCs w:val="24"/>
        </w:rPr>
        <w:t>If the proposed construction includes substantial rehabilitation of the existing propert</w:t>
      </w:r>
      <w:r w:rsidR="00DA4F0E">
        <w:rPr>
          <w:rFonts w:ascii="Times New Roman" w:hAnsi="Times New Roman" w:cs="Times New Roman"/>
          <w:sz w:val="24"/>
          <w:szCs w:val="24"/>
        </w:rPr>
        <w:t>y</w:t>
      </w:r>
      <w:r w:rsidR="0067326B">
        <w:rPr>
          <w:rFonts w:ascii="Times New Roman" w:hAnsi="Times New Roman" w:cs="Times New Roman"/>
          <w:sz w:val="24"/>
          <w:szCs w:val="24"/>
        </w:rPr>
        <w:t xml:space="preserve"> or a portion thereof</w:t>
      </w:r>
      <w:r w:rsidRPr="0023547C">
        <w:rPr>
          <w:rFonts w:ascii="Times New Roman" w:hAnsi="Times New Roman" w:cs="Times New Roman"/>
          <w:sz w:val="24"/>
          <w:szCs w:val="24"/>
        </w:rPr>
        <w:t xml:space="preserve">, then </w:t>
      </w:r>
      <w:r w:rsidR="0067326B">
        <w:rPr>
          <w:rFonts w:ascii="Times New Roman" w:hAnsi="Times New Roman" w:cs="Times New Roman"/>
          <w:sz w:val="24"/>
          <w:szCs w:val="24"/>
        </w:rPr>
        <w:t xml:space="preserve">for that portion of the property </w:t>
      </w:r>
      <w:r w:rsidRPr="0023547C">
        <w:rPr>
          <w:rFonts w:ascii="Times New Roman" w:hAnsi="Times New Roman" w:cs="Times New Roman"/>
          <w:sz w:val="24"/>
          <w:szCs w:val="24"/>
        </w:rPr>
        <w:t>the CN</w:t>
      </w:r>
      <w:r w:rsidRPr="0023547C" w:rsidR="00DA4F0E">
        <w:rPr>
          <w:rFonts w:ascii="Times New Roman" w:hAnsi="Times New Roman" w:cs="Times New Roman"/>
          <w:sz w:val="24"/>
          <w:szCs w:val="24"/>
        </w:rPr>
        <w:t>A</w:t>
      </w:r>
      <w:r w:rsidRPr="0023547C">
        <w:rPr>
          <w:rFonts w:ascii="Times New Roman" w:hAnsi="Times New Roman" w:cs="Times New Roman"/>
          <w:sz w:val="24"/>
          <w:szCs w:val="24"/>
        </w:rPr>
        <w:t xml:space="preserve"> will only identify future needs</w:t>
      </w:r>
      <w:r w:rsidR="0067326B">
        <w:rPr>
          <w:rFonts w:ascii="Times New Roman" w:hAnsi="Times New Roman" w:cs="Times New Roman"/>
          <w:sz w:val="24"/>
          <w:szCs w:val="24"/>
        </w:rPr>
        <w:t>.</w:t>
      </w:r>
    </w:p>
    <w:p w:rsidR="005871A0" w:rsidP="005871A0" w:rsidRDefault="00431D4A" w14:paraId="42B1FCD4" w14:textId="48A02794">
      <w:pPr>
        <w:pStyle w:val="ListParagraph"/>
        <w:ind w:left="360"/>
        <w:jc w:val="both"/>
        <w:rPr>
          <w:rFonts w:ascii="Times New Roman" w:hAnsi="Times New Roman" w:cs="Times New Roman"/>
          <w:sz w:val="24"/>
          <w:szCs w:val="24"/>
        </w:rPr>
      </w:pPr>
      <w:r w:rsidRPr="0023547C">
        <w:rPr>
          <w:rFonts w:ascii="Times New Roman" w:hAnsi="Times New Roman" w:cs="Times New Roman"/>
          <w:sz w:val="24"/>
          <w:szCs w:val="24"/>
        </w:rPr>
        <w:t>Similarly</w:t>
      </w:r>
      <w:r w:rsidR="00ED6E5B">
        <w:rPr>
          <w:rFonts w:ascii="Times New Roman" w:hAnsi="Times New Roman" w:cs="Times New Roman"/>
          <w:sz w:val="24"/>
          <w:szCs w:val="24"/>
        </w:rPr>
        <w:t>,</w:t>
      </w:r>
      <w:r w:rsidRPr="0023547C">
        <w:rPr>
          <w:rFonts w:ascii="Times New Roman" w:hAnsi="Times New Roman" w:cs="Times New Roman"/>
          <w:sz w:val="24"/>
          <w:szCs w:val="24"/>
        </w:rPr>
        <w:t xml:space="preserve"> for an</w:t>
      </w:r>
      <w:r w:rsidR="0067326B">
        <w:rPr>
          <w:rFonts w:ascii="Times New Roman" w:hAnsi="Times New Roman" w:cs="Times New Roman"/>
          <w:sz w:val="24"/>
          <w:szCs w:val="24"/>
        </w:rPr>
        <w:t xml:space="preserve">y portion of the </w:t>
      </w:r>
      <w:r w:rsidR="002215BE">
        <w:rPr>
          <w:rFonts w:ascii="Times New Roman" w:hAnsi="Times New Roman" w:cs="Times New Roman"/>
          <w:sz w:val="24"/>
          <w:szCs w:val="24"/>
        </w:rPr>
        <w:t>property,</w:t>
      </w:r>
      <w:r w:rsidR="00ED6E5B">
        <w:rPr>
          <w:rFonts w:ascii="Times New Roman" w:hAnsi="Times New Roman" w:cs="Times New Roman"/>
          <w:sz w:val="24"/>
          <w:szCs w:val="24"/>
        </w:rPr>
        <w:t xml:space="preserve"> </w:t>
      </w:r>
      <w:r w:rsidR="0067326B">
        <w:rPr>
          <w:rFonts w:ascii="Times New Roman" w:hAnsi="Times New Roman" w:cs="Times New Roman"/>
          <w:sz w:val="24"/>
          <w:szCs w:val="24"/>
        </w:rPr>
        <w:t>which is an</w:t>
      </w:r>
      <w:r w:rsidRPr="0023547C">
        <w:rPr>
          <w:rFonts w:ascii="Times New Roman" w:hAnsi="Times New Roman" w:cs="Times New Roman"/>
          <w:sz w:val="24"/>
          <w:szCs w:val="24"/>
        </w:rPr>
        <w:t xml:space="preserve"> addition</w:t>
      </w:r>
      <w:r w:rsidR="00ED6E5B">
        <w:rPr>
          <w:rFonts w:ascii="Times New Roman" w:hAnsi="Times New Roman" w:cs="Times New Roman"/>
          <w:sz w:val="24"/>
          <w:szCs w:val="24"/>
        </w:rPr>
        <w:t>,</w:t>
      </w:r>
      <w:r w:rsidRPr="0023547C">
        <w:rPr>
          <w:rFonts w:ascii="Times New Roman" w:hAnsi="Times New Roman" w:cs="Times New Roman"/>
          <w:sz w:val="24"/>
          <w:szCs w:val="24"/>
        </w:rPr>
        <w:t xml:space="preserve"> the CNA will only identify future needs.  Future needs </w:t>
      </w:r>
      <w:r w:rsidR="0067326B">
        <w:rPr>
          <w:rFonts w:ascii="Times New Roman" w:hAnsi="Times New Roman" w:cs="Times New Roman"/>
          <w:sz w:val="24"/>
          <w:szCs w:val="24"/>
        </w:rPr>
        <w:t xml:space="preserve">for </w:t>
      </w:r>
      <w:r w:rsidR="00F45B10">
        <w:rPr>
          <w:rFonts w:ascii="Times New Roman" w:hAnsi="Times New Roman" w:cs="Times New Roman"/>
          <w:sz w:val="24"/>
          <w:szCs w:val="24"/>
        </w:rPr>
        <w:t xml:space="preserve">any </w:t>
      </w:r>
      <w:r w:rsidR="0067326B">
        <w:rPr>
          <w:rFonts w:ascii="Times New Roman" w:hAnsi="Times New Roman" w:cs="Times New Roman"/>
          <w:sz w:val="24"/>
          <w:szCs w:val="24"/>
        </w:rPr>
        <w:t>substantia</w:t>
      </w:r>
      <w:r w:rsidR="00F45B10">
        <w:rPr>
          <w:rFonts w:ascii="Times New Roman" w:hAnsi="Times New Roman" w:cs="Times New Roman"/>
          <w:sz w:val="24"/>
          <w:szCs w:val="24"/>
        </w:rPr>
        <w:t>l rehabilitation portion of the property</w:t>
      </w:r>
      <w:r w:rsidR="0067326B">
        <w:rPr>
          <w:rFonts w:ascii="Times New Roman" w:hAnsi="Times New Roman" w:cs="Times New Roman"/>
          <w:sz w:val="24"/>
          <w:szCs w:val="24"/>
        </w:rPr>
        <w:t xml:space="preserve"> and additions </w:t>
      </w:r>
      <w:r w:rsidRPr="0023547C">
        <w:rPr>
          <w:rFonts w:ascii="Times New Roman" w:hAnsi="Times New Roman" w:cs="Times New Roman"/>
          <w:sz w:val="24"/>
          <w:szCs w:val="24"/>
        </w:rPr>
        <w:t>are based on proposed drawings and specifications</w:t>
      </w:r>
      <w:r w:rsidR="0067326B">
        <w:rPr>
          <w:rFonts w:ascii="Times New Roman" w:hAnsi="Times New Roman" w:cs="Times New Roman"/>
          <w:sz w:val="24"/>
          <w:szCs w:val="24"/>
        </w:rPr>
        <w:t xml:space="preserve"> while future needs for other portions of the property are based on inspected conditions.  </w:t>
      </w:r>
      <w:r w:rsidR="00F45B10">
        <w:rPr>
          <w:rFonts w:ascii="Times New Roman" w:hAnsi="Times New Roman" w:cs="Times New Roman"/>
          <w:sz w:val="24"/>
          <w:szCs w:val="24"/>
        </w:rPr>
        <w:t xml:space="preserve">The cost of </w:t>
      </w:r>
      <w:r w:rsidR="009362CA">
        <w:rPr>
          <w:rFonts w:ascii="Times New Roman" w:hAnsi="Times New Roman" w:cs="Times New Roman"/>
          <w:sz w:val="24"/>
          <w:szCs w:val="24"/>
        </w:rPr>
        <w:t xml:space="preserve">all </w:t>
      </w:r>
      <w:r w:rsidR="00F45B10">
        <w:rPr>
          <w:rFonts w:ascii="Times New Roman" w:hAnsi="Times New Roman" w:cs="Times New Roman"/>
          <w:sz w:val="24"/>
          <w:szCs w:val="24"/>
        </w:rPr>
        <w:t xml:space="preserve">future </w:t>
      </w:r>
      <w:r w:rsidR="00DE5477">
        <w:rPr>
          <w:rFonts w:ascii="Times New Roman" w:hAnsi="Times New Roman" w:cs="Times New Roman"/>
          <w:sz w:val="24"/>
          <w:szCs w:val="24"/>
        </w:rPr>
        <w:t xml:space="preserve">capital </w:t>
      </w:r>
      <w:r w:rsidR="00F45B10">
        <w:rPr>
          <w:rFonts w:ascii="Times New Roman" w:hAnsi="Times New Roman" w:cs="Times New Roman"/>
          <w:sz w:val="24"/>
          <w:szCs w:val="24"/>
        </w:rPr>
        <w:t xml:space="preserve">needs </w:t>
      </w:r>
      <w:r w:rsidR="002215BE">
        <w:rPr>
          <w:rFonts w:ascii="Times New Roman" w:hAnsi="Times New Roman" w:cs="Times New Roman"/>
          <w:sz w:val="24"/>
          <w:szCs w:val="24"/>
        </w:rPr>
        <w:t>is</w:t>
      </w:r>
      <w:r w:rsidR="00F45B10">
        <w:rPr>
          <w:rFonts w:ascii="Times New Roman" w:hAnsi="Times New Roman" w:cs="Times New Roman"/>
          <w:sz w:val="24"/>
          <w:szCs w:val="24"/>
        </w:rPr>
        <w:t xml:space="preserve"> </w:t>
      </w:r>
      <w:r w:rsidRPr="005803D2" w:rsidR="0067326B">
        <w:rPr>
          <w:rFonts w:ascii="Times New Roman" w:hAnsi="Times New Roman" w:cs="Times New Roman"/>
          <w:sz w:val="24"/>
          <w:szCs w:val="24"/>
        </w:rPr>
        <w:t xml:space="preserve">used to size the Reserve for Replacement escrow.  </w:t>
      </w:r>
    </w:p>
    <w:p w:rsidR="005871A0" w:rsidP="005871A0" w:rsidRDefault="005871A0" w14:paraId="6314E00E" w14:textId="77777777">
      <w:pPr>
        <w:pStyle w:val="ListParagraph"/>
        <w:ind w:left="360"/>
        <w:jc w:val="both"/>
        <w:rPr>
          <w:rFonts w:ascii="Times New Roman" w:hAnsi="Times New Roman" w:cs="Times New Roman"/>
          <w:sz w:val="24"/>
          <w:szCs w:val="24"/>
        </w:rPr>
      </w:pPr>
    </w:p>
    <w:p w:rsidR="005871A0" w:rsidP="005871A0" w:rsidRDefault="00A4607C" w14:paraId="59840F40" w14:textId="731BC809">
      <w:pPr>
        <w:pStyle w:val="ListParagraph"/>
        <w:ind w:left="360"/>
        <w:jc w:val="both"/>
        <w:rPr>
          <w:rFonts w:ascii="Times New Roman" w:hAnsi="Times New Roman" w:cs="Times New Roman"/>
          <w:sz w:val="24"/>
          <w:szCs w:val="24"/>
        </w:rPr>
      </w:pPr>
      <w:r w:rsidRPr="00A4607C">
        <w:rPr>
          <w:rFonts w:ascii="Times New Roman" w:hAnsi="Times New Roman" w:cs="Times New Roman"/>
          <w:sz w:val="24"/>
          <w:szCs w:val="24"/>
        </w:rPr>
        <w:t xml:space="preserve">Plans, Specifications, and Architecture and Cost Analysis reports </w:t>
      </w:r>
      <w:r w:rsidR="00F45B10">
        <w:rPr>
          <w:rFonts w:ascii="Times New Roman" w:hAnsi="Times New Roman" w:cs="Times New Roman"/>
          <w:sz w:val="24"/>
          <w:szCs w:val="24"/>
        </w:rPr>
        <w:t xml:space="preserve">for portions of the property </w:t>
      </w:r>
      <w:r w:rsidR="00B22478">
        <w:rPr>
          <w:rFonts w:ascii="Times New Roman" w:hAnsi="Times New Roman" w:cs="Times New Roman"/>
          <w:sz w:val="24"/>
          <w:szCs w:val="24"/>
        </w:rPr>
        <w:t xml:space="preserve">that </w:t>
      </w:r>
      <w:r w:rsidR="00F45B10">
        <w:rPr>
          <w:rFonts w:ascii="Times New Roman" w:hAnsi="Times New Roman" w:cs="Times New Roman"/>
          <w:sz w:val="24"/>
          <w:szCs w:val="24"/>
        </w:rPr>
        <w:t xml:space="preserve">are substantial rehabilitation or additions must be completed consistent </w:t>
      </w:r>
      <w:r w:rsidR="006801F6">
        <w:rPr>
          <w:rFonts w:ascii="Times New Roman" w:hAnsi="Times New Roman" w:cs="Times New Roman"/>
          <w:sz w:val="24"/>
          <w:szCs w:val="24"/>
        </w:rPr>
        <w:t xml:space="preserve">with </w:t>
      </w:r>
      <w:r w:rsidRPr="00A4607C" w:rsidR="006801F6">
        <w:rPr>
          <w:rFonts w:ascii="Times New Roman" w:hAnsi="Times New Roman" w:cs="Times New Roman"/>
          <w:sz w:val="24"/>
          <w:szCs w:val="24"/>
        </w:rPr>
        <w:t>requirements</w:t>
      </w:r>
      <w:r w:rsidRPr="00A4607C">
        <w:rPr>
          <w:rFonts w:ascii="Times New Roman" w:hAnsi="Times New Roman" w:cs="Times New Roman"/>
          <w:sz w:val="24"/>
          <w:szCs w:val="24"/>
        </w:rPr>
        <w:t xml:space="preserve"> for Section 221(d)(4) or other new construction or substantial rehabilitation loan programs</w:t>
      </w:r>
      <w:r w:rsidR="00C13F5A">
        <w:rPr>
          <w:rFonts w:ascii="Times New Roman" w:hAnsi="Times New Roman" w:cs="Times New Roman"/>
          <w:sz w:val="24"/>
          <w:szCs w:val="24"/>
        </w:rPr>
        <w:t xml:space="preserve"> as described in Chapter 5.</w:t>
      </w:r>
      <w:r w:rsidR="00831601">
        <w:rPr>
          <w:rFonts w:ascii="Times New Roman" w:hAnsi="Times New Roman" w:cs="Times New Roman"/>
          <w:sz w:val="24"/>
          <w:szCs w:val="24"/>
        </w:rPr>
        <w:t>11</w:t>
      </w:r>
      <w:r w:rsidR="007204D7">
        <w:rPr>
          <w:rFonts w:ascii="Times New Roman" w:hAnsi="Times New Roman" w:cs="Times New Roman"/>
          <w:sz w:val="24"/>
          <w:szCs w:val="24"/>
        </w:rPr>
        <w:t xml:space="preserve">.  </w:t>
      </w:r>
      <w:r w:rsidR="00C13F5A">
        <w:rPr>
          <w:rFonts w:ascii="Times New Roman" w:hAnsi="Times New Roman" w:cs="Times New Roman"/>
          <w:sz w:val="24"/>
          <w:szCs w:val="24"/>
        </w:rPr>
        <w:t xml:space="preserve"> </w:t>
      </w:r>
    </w:p>
    <w:p w:rsidR="005871A0" w:rsidP="005871A0" w:rsidRDefault="005871A0" w14:paraId="40A33C32" w14:textId="77777777">
      <w:pPr>
        <w:pStyle w:val="ListParagraph"/>
        <w:ind w:left="360"/>
        <w:jc w:val="both"/>
        <w:rPr>
          <w:rFonts w:ascii="Times New Roman" w:hAnsi="Times New Roman" w:cs="Times New Roman"/>
          <w:sz w:val="24"/>
          <w:szCs w:val="24"/>
        </w:rPr>
      </w:pPr>
    </w:p>
    <w:p w:rsidRPr="00355C65" w:rsidR="00F45B10" w:rsidP="00D50141" w:rsidRDefault="00F45B10" w14:paraId="241A897E" w14:textId="2962AEF8">
      <w:pPr>
        <w:pStyle w:val="ListParagraph"/>
        <w:ind w:left="360"/>
        <w:jc w:val="both"/>
        <w:rPr>
          <w:rFonts w:ascii="Times New Roman" w:hAnsi="Times New Roman" w:cs="Times New Roman"/>
          <w:sz w:val="24"/>
          <w:szCs w:val="24"/>
        </w:rPr>
      </w:pPr>
      <w:r w:rsidRPr="00A4607C">
        <w:rPr>
          <w:rFonts w:ascii="Times New Roman" w:hAnsi="Times New Roman" w:cs="Times New Roman"/>
          <w:sz w:val="24"/>
          <w:szCs w:val="24"/>
        </w:rPr>
        <w:t xml:space="preserve">The Section 241(a) loan combined with the original first mortgage shall be considered one project and the CNA must produce one </w:t>
      </w:r>
      <w:r>
        <w:rPr>
          <w:rFonts w:ascii="Times New Roman" w:hAnsi="Times New Roman" w:cs="Times New Roman"/>
          <w:sz w:val="24"/>
          <w:szCs w:val="24"/>
        </w:rPr>
        <w:t>Reserve for Replacement</w:t>
      </w:r>
      <w:r w:rsidRPr="00A4607C">
        <w:rPr>
          <w:rFonts w:ascii="Times New Roman" w:hAnsi="Times New Roman" w:cs="Times New Roman"/>
          <w:sz w:val="24"/>
          <w:szCs w:val="24"/>
        </w:rPr>
        <w:t xml:space="preserve"> schedule and budget </w:t>
      </w:r>
      <w:r>
        <w:rPr>
          <w:rFonts w:ascii="Times New Roman" w:hAnsi="Times New Roman" w:cs="Times New Roman"/>
          <w:sz w:val="24"/>
          <w:szCs w:val="24"/>
        </w:rPr>
        <w:t xml:space="preserve">for future </w:t>
      </w:r>
      <w:r w:rsidR="00C96A1E">
        <w:rPr>
          <w:rFonts w:ascii="Times New Roman" w:hAnsi="Times New Roman" w:cs="Times New Roman"/>
          <w:sz w:val="24"/>
          <w:szCs w:val="24"/>
        </w:rPr>
        <w:t xml:space="preserve">capital </w:t>
      </w:r>
      <w:r>
        <w:rPr>
          <w:rFonts w:ascii="Times New Roman" w:hAnsi="Times New Roman" w:cs="Times New Roman"/>
          <w:sz w:val="24"/>
          <w:szCs w:val="24"/>
        </w:rPr>
        <w:t xml:space="preserve">needs </w:t>
      </w:r>
      <w:r w:rsidRPr="00A4607C">
        <w:rPr>
          <w:rFonts w:ascii="Times New Roman" w:hAnsi="Times New Roman" w:cs="Times New Roman"/>
          <w:sz w:val="24"/>
          <w:szCs w:val="24"/>
        </w:rPr>
        <w:t xml:space="preserve">inclusive of the existing improvements as well as </w:t>
      </w:r>
      <w:r>
        <w:rPr>
          <w:rFonts w:ascii="Times New Roman" w:hAnsi="Times New Roman" w:cs="Times New Roman"/>
          <w:sz w:val="24"/>
          <w:szCs w:val="24"/>
        </w:rPr>
        <w:t>any</w:t>
      </w:r>
      <w:r w:rsidRPr="00A4607C">
        <w:rPr>
          <w:rFonts w:ascii="Times New Roman" w:hAnsi="Times New Roman" w:cs="Times New Roman"/>
          <w:sz w:val="24"/>
          <w:szCs w:val="24"/>
        </w:rPr>
        <w:t xml:space="preserve"> proposed </w:t>
      </w:r>
      <w:r>
        <w:rPr>
          <w:rFonts w:ascii="Times New Roman" w:hAnsi="Times New Roman" w:cs="Times New Roman"/>
          <w:sz w:val="24"/>
          <w:szCs w:val="24"/>
        </w:rPr>
        <w:t>substantial rehabilitation or addition</w:t>
      </w:r>
      <w:r w:rsidRPr="00A4607C">
        <w:rPr>
          <w:rFonts w:ascii="Times New Roman" w:hAnsi="Times New Roman" w:cs="Times New Roman"/>
          <w:sz w:val="24"/>
          <w:szCs w:val="24"/>
        </w:rPr>
        <w:t xml:space="preserve">. </w:t>
      </w:r>
    </w:p>
    <w:p w:rsidRPr="00355C65" w:rsidR="006E573A" w:rsidP="006E573A" w:rsidRDefault="006E573A" w14:paraId="5B855541" w14:textId="77777777">
      <w:pPr>
        <w:jc w:val="both"/>
        <w:rPr>
          <w:rFonts w:ascii="Times New Roman" w:hAnsi="Times New Roman" w:cs="Times New Roman"/>
          <w:sz w:val="24"/>
          <w:szCs w:val="24"/>
        </w:rPr>
      </w:pPr>
    </w:p>
    <w:p w:rsidRPr="00355C65" w:rsidR="006E573A" w:rsidP="006E573A" w:rsidRDefault="006E573A" w14:paraId="5B855543" w14:textId="141AE326">
      <w:pPr>
        <w:ind w:left="360" w:hanging="360"/>
        <w:jc w:val="both"/>
        <w:rPr>
          <w:rFonts w:ascii="Times New Roman" w:hAnsi="Times New Roman" w:cs="Times New Roman"/>
          <w:sz w:val="24"/>
          <w:szCs w:val="24"/>
        </w:rPr>
      </w:pPr>
      <w:r w:rsidRPr="00355C65">
        <w:rPr>
          <w:rFonts w:ascii="Times New Roman" w:hAnsi="Times New Roman" w:cs="Times New Roman"/>
          <w:sz w:val="24"/>
          <w:szCs w:val="24"/>
        </w:rPr>
        <w:t>E.</w:t>
      </w:r>
      <w:r w:rsidR="0092651E">
        <w:rPr>
          <w:rFonts w:ascii="Times New Roman" w:hAnsi="Times New Roman" w:cs="Times New Roman"/>
          <w:sz w:val="24"/>
          <w:szCs w:val="24"/>
        </w:rPr>
        <w:tab/>
      </w:r>
      <w:r w:rsidRPr="00355C65">
        <w:rPr>
          <w:rFonts w:ascii="Times New Roman" w:hAnsi="Times New Roman" w:cs="Times New Roman"/>
          <w:sz w:val="24"/>
          <w:szCs w:val="24"/>
        </w:rPr>
        <w:t>Davis-Bacon Act applicability.</w:t>
      </w:r>
      <w:r w:rsidR="00610922">
        <w:rPr>
          <w:rFonts w:ascii="Times New Roman" w:hAnsi="Times New Roman" w:cs="Times New Roman"/>
          <w:sz w:val="24"/>
          <w:szCs w:val="24"/>
        </w:rPr>
        <w:t xml:space="preserve">  </w:t>
      </w:r>
      <w:r w:rsidR="00C9351C">
        <w:rPr>
          <w:rFonts w:ascii="Times New Roman" w:hAnsi="Times New Roman" w:cs="Times New Roman"/>
          <w:sz w:val="24"/>
          <w:szCs w:val="24"/>
        </w:rPr>
        <w:t>(</w:t>
      </w:r>
      <w:r w:rsidR="00610922">
        <w:rPr>
          <w:rFonts w:ascii="Times New Roman" w:hAnsi="Times New Roman" w:cs="Times New Roman"/>
          <w:sz w:val="24"/>
          <w:szCs w:val="24"/>
        </w:rPr>
        <w:t xml:space="preserve">See </w:t>
      </w:r>
      <w:r w:rsidR="00534465">
        <w:rPr>
          <w:rFonts w:ascii="Times New Roman" w:hAnsi="Times New Roman" w:cs="Times New Roman"/>
          <w:sz w:val="24"/>
          <w:szCs w:val="24"/>
        </w:rPr>
        <w:t xml:space="preserve">Chapter </w:t>
      </w:r>
      <w:r w:rsidR="00E63715">
        <w:rPr>
          <w:rFonts w:ascii="Times New Roman" w:hAnsi="Times New Roman" w:cs="Times New Roman"/>
          <w:sz w:val="24"/>
          <w:szCs w:val="24"/>
        </w:rPr>
        <w:t>3.2</w:t>
      </w:r>
      <w:r w:rsidR="00534465">
        <w:rPr>
          <w:rFonts w:ascii="Times New Roman" w:hAnsi="Times New Roman" w:cs="Times New Roman"/>
          <w:sz w:val="24"/>
          <w:szCs w:val="24"/>
        </w:rPr>
        <w:t xml:space="preserve"> Section </w:t>
      </w:r>
      <w:r w:rsidR="00E63715">
        <w:rPr>
          <w:rFonts w:ascii="Times New Roman" w:hAnsi="Times New Roman" w:cs="Times New Roman"/>
          <w:sz w:val="24"/>
          <w:szCs w:val="24"/>
        </w:rPr>
        <w:t>F for Davis-Bacon Wage applicability.</w:t>
      </w:r>
      <w:r w:rsidR="00C9351C">
        <w:rPr>
          <w:rFonts w:ascii="Times New Roman" w:hAnsi="Times New Roman" w:cs="Times New Roman"/>
          <w:sz w:val="24"/>
          <w:szCs w:val="24"/>
        </w:rPr>
        <w:t>)</w:t>
      </w:r>
      <w:r w:rsidR="000303F7">
        <w:rPr>
          <w:rFonts w:ascii="Times New Roman" w:hAnsi="Times New Roman" w:cs="Times New Roman"/>
          <w:sz w:val="24"/>
          <w:szCs w:val="24"/>
        </w:rPr>
        <w:t xml:space="preserve"> </w:t>
      </w:r>
      <w:r w:rsidR="009519C7">
        <w:rPr>
          <w:rFonts w:ascii="Times New Roman" w:hAnsi="Times New Roman" w:cs="Times New Roman"/>
          <w:sz w:val="24"/>
          <w:szCs w:val="24"/>
        </w:rPr>
        <w:t xml:space="preserve">(See Chapter </w:t>
      </w:r>
      <w:r w:rsidR="00D6022B">
        <w:rPr>
          <w:rFonts w:ascii="Times New Roman" w:hAnsi="Times New Roman" w:cs="Times New Roman"/>
          <w:sz w:val="24"/>
          <w:szCs w:val="24"/>
        </w:rPr>
        <w:t>19 for closing guidance</w:t>
      </w:r>
      <w:r w:rsidR="00482A63">
        <w:rPr>
          <w:rFonts w:ascii="Times New Roman" w:hAnsi="Times New Roman" w:cs="Times New Roman"/>
          <w:sz w:val="24"/>
          <w:szCs w:val="24"/>
        </w:rPr>
        <w:t>.</w:t>
      </w:r>
      <w:r w:rsidR="00EC2958">
        <w:rPr>
          <w:rFonts w:ascii="Times New Roman" w:hAnsi="Times New Roman" w:cs="Times New Roman"/>
          <w:sz w:val="24"/>
          <w:szCs w:val="24"/>
        </w:rPr>
        <w:t>)</w:t>
      </w:r>
    </w:p>
    <w:p w:rsidRPr="00355C65" w:rsidR="006E573A" w:rsidP="006E573A" w:rsidRDefault="006E573A" w14:paraId="5B855544" w14:textId="77777777">
      <w:pPr>
        <w:jc w:val="both"/>
        <w:rPr>
          <w:rFonts w:ascii="Times New Roman" w:hAnsi="Times New Roman" w:cs="Times New Roman"/>
          <w:sz w:val="24"/>
          <w:szCs w:val="24"/>
        </w:rPr>
      </w:pPr>
    </w:p>
    <w:p w:rsidRPr="00355C65" w:rsidR="006E573A" w:rsidP="006E573A" w:rsidRDefault="006E573A" w14:paraId="5B855545" w14:textId="13B3C9B2">
      <w:pPr>
        <w:ind w:left="360" w:hanging="360"/>
        <w:jc w:val="both"/>
        <w:rPr>
          <w:rFonts w:ascii="Times New Roman" w:hAnsi="Times New Roman" w:cs="Times New Roman"/>
          <w:sz w:val="24"/>
          <w:szCs w:val="24"/>
        </w:rPr>
      </w:pPr>
      <w:r w:rsidRPr="00355C65">
        <w:rPr>
          <w:rFonts w:ascii="Times New Roman" w:hAnsi="Times New Roman" w:cs="Times New Roman"/>
          <w:sz w:val="24"/>
          <w:szCs w:val="24"/>
        </w:rPr>
        <w:t xml:space="preserve">F. </w:t>
      </w:r>
      <w:r w:rsidR="0092651E">
        <w:rPr>
          <w:rFonts w:ascii="Times New Roman" w:hAnsi="Times New Roman" w:cs="Times New Roman"/>
          <w:sz w:val="24"/>
          <w:szCs w:val="24"/>
        </w:rPr>
        <w:tab/>
      </w:r>
      <w:r w:rsidRPr="00355C65">
        <w:rPr>
          <w:rFonts w:ascii="Times New Roman" w:hAnsi="Times New Roman" w:cs="Times New Roman"/>
          <w:sz w:val="24"/>
          <w:szCs w:val="24"/>
        </w:rPr>
        <w:t>Insurance of Advances or Insurance upon Completion.  Either approach is acceptable.  Construction advances for any Supplemental Loan may be insured; the minimum amount of advance that may be insured is $200,000.  Mortgageable contingency and construction draw retainage are subject to the same requirements as other New Construction / Substantial Rehabilitation programs.</w:t>
      </w:r>
    </w:p>
    <w:p w:rsidRPr="00355C65" w:rsidR="006E573A" w:rsidP="006E573A" w:rsidRDefault="006E573A" w14:paraId="5B855546" w14:textId="77777777">
      <w:pPr>
        <w:jc w:val="both"/>
        <w:rPr>
          <w:rFonts w:ascii="Times New Roman" w:hAnsi="Times New Roman" w:cs="Times New Roman"/>
          <w:sz w:val="24"/>
          <w:szCs w:val="24"/>
        </w:rPr>
      </w:pPr>
    </w:p>
    <w:p w:rsidRPr="00355C65" w:rsidR="006E573A" w:rsidP="006E573A" w:rsidRDefault="006E573A" w14:paraId="5B855547" w14:textId="2D2C332B">
      <w:pPr>
        <w:ind w:left="360" w:hanging="360"/>
        <w:jc w:val="both"/>
        <w:rPr>
          <w:rFonts w:ascii="Times New Roman" w:hAnsi="Times New Roman" w:cs="Times New Roman"/>
          <w:sz w:val="24"/>
          <w:szCs w:val="24"/>
        </w:rPr>
      </w:pPr>
      <w:r w:rsidRPr="00355C65">
        <w:rPr>
          <w:rFonts w:ascii="Times New Roman" w:hAnsi="Times New Roman" w:cs="Times New Roman"/>
          <w:sz w:val="24"/>
          <w:szCs w:val="24"/>
        </w:rPr>
        <w:t xml:space="preserve">G. </w:t>
      </w:r>
      <w:r w:rsidR="0092651E">
        <w:rPr>
          <w:rFonts w:ascii="Times New Roman" w:hAnsi="Times New Roman" w:cs="Times New Roman"/>
          <w:sz w:val="24"/>
          <w:szCs w:val="24"/>
        </w:rPr>
        <w:tab/>
      </w:r>
      <w:r w:rsidRPr="00355C65">
        <w:rPr>
          <w:rFonts w:ascii="Times New Roman" w:hAnsi="Times New Roman" w:cs="Times New Roman"/>
          <w:sz w:val="24"/>
          <w:szCs w:val="24"/>
        </w:rPr>
        <w:t xml:space="preserve">Environmental </w:t>
      </w:r>
      <w:r w:rsidR="00765F5E">
        <w:rPr>
          <w:rFonts w:ascii="Times New Roman" w:hAnsi="Times New Roman" w:cs="Times New Roman"/>
          <w:sz w:val="24"/>
          <w:szCs w:val="24"/>
        </w:rPr>
        <w:t>Review.</w:t>
      </w:r>
      <w:r w:rsidRPr="00355C65">
        <w:rPr>
          <w:rFonts w:ascii="Times New Roman" w:hAnsi="Times New Roman" w:cs="Times New Roman"/>
          <w:sz w:val="24"/>
          <w:szCs w:val="24"/>
        </w:rPr>
        <w:t xml:space="preserve">  A</w:t>
      </w:r>
      <w:r w:rsidR="00765F5E">
        <w:rPr>
          <w:rFonts w:ascii="Times New Roman" w:hAnsi="Times New Roman" w:cs="Times New Roman"/>
          <w:sz w:val="24"/>
          <w:szCs w:val="24"/>
        </w:rPr>
        <w:t xml:space="preserve"> HEROS </w:t>
      </w:r>
      <w:r w:rsidRPr="00355C65">
        <w:rPr>
          <w:rFonts w:ascii="Times New Roman" w:hAnsi="Times New Roman" w:cs="Times New Roman"/>
          <w:sz w:val="24"/>
          <w:szCs w:val="24"/>
        </w:rPr>
        <w:t xml:space="preserve">environmental </w:t>
      </w:r>
      <w:r w:rsidR="00765F5E">
        <w:rPr>
          <w:rFonts w:ascii="Times New Roman" w:hAnsi="Times New Roman" w:cs="Times New Roman"/>
          <w:sz w:val="24"/>
          <w:szCs w:val="24"/>
        </w:rPr>
        <w:t>review</w:t>
      </w:r>
      <w:r w:rsidRPr="00355C65" w:rsidR="00765F5E">
        <w:rPr>
          <w:rFonts w:ascii="Times New Roman" w:hAnsi="Times New Roman" w:cs="Times New Roman"/>
          <w:sz w:val="24"/>
          <w:szCs w:val="24"/>
        </w:rPr>
        <w:t xml:space="preserve"> </w:t>
      </w:r>
      <w:r w:rsidRPr="00355C65">
        <w:rPr>
          <w:rFonts w:ascii="Times New Roman" w:hAnsi="Times New Roman" w:cs="Times New Roman"/>
          <w:sz w:val="24"/>
          <w:szCs w:val="24"/>
        </w:rPr>
        <w:t xml:space="preserve">per </w:t>
      </w:r>
      <w:r w:rsidR="000B0CE9">
        <w:rPr>
          <w:rFonts w:ascii="Times New Roman" w:hAnsi="Times New Roman" w:cs="Times New Roman"/>
          <w:sz w:val="24"/>
          <w:szCs w:val="24"/>
        </w:rPr>
        <w:t xml:space="preserve">the requirements of </w:t>
      </w:r>
      <w:r w:rsidRPr="00355C65">
        <w:rPr>
          <w:rFonts w:ascii="Times New Roman" w:hAnsi="Times New Roman" w:cs="Times New Roman"/>
          <w:sz w:val="24"/>
          <w:szCs w:val="24"/>
        </w:rPr>
        <w:t>Chapter 9 is required for Section 241(a) loans</w:t>
      </w:r>
      <w:r w:rsidR="004948DF">
        <w:rPr>
          <w:rFonts w:ascii="Times New Roman" w:hAnsi="Times New Roman" w:cs="Times New Roman"/>
          <w:sz w:val="24"/>
          <w:szCs w:val="24"/>
        </w:rPr>
        <w:t xml:space="preserve">. Chapter 9.2 provides guidance </w:t>
      </w:r>
      <w:r w:rsidR="00812BA0">
        <w:rPr>
          <w:rFonts w:ascii="Times New Roman" w:hAnsi="Times New Roman" w:cs="Times New Roman"/>
          <w:sz w:val="24"/>
          <w:szCs w:val="24"/>
        </w:rPr>
        <w:t xml:space="preserve">in determining </w:t>
      </w:r>
      <w:r w:rsidR="00765F5E">
        <w:rPr>
          <w:rFonts w:ascii="Times New Roman" w:hAnsi="Times New Roman" w:cs="Times New Roman"/>
          <w:sz w:val="24"/>
          <w:szCs w:val="24"/>
        </w:rPr>
        <w:t xml:space="preserve">whether </w:t>
      </w:r>
      <w:r w:rsidR="00812BA0">
        <w:rPr>
          <w:rFonts w:ascii="Times New Roman" w:hAnsi="Times New Roman" w:cs="Times New Roman"/>
          <w:sz w:val="24"/>
          <w:szCs w:val="24"/>
        </w:rPr>
        <w:t>the correct level of review</w:t>
      </w:r>
      <w:r w:rsidR="00765F5E">
        <w:rPr>
          <w:rFonts w:ascii="Times New Roman" w:hAnsi="Times New Roman" w:cs="Times New Roman"/>
          <w:sz w:val="24"/>
          <w:szCs w:val="24"/>
        </w:rPr>
        <w:t xml:space="preserve"> is Categorically </w:t>
      </w:r>
      <w:r w:rsidR="008A32E2">
        <w:rPr>
          <w:rFonts w:ascii="Times New Roman" w:hAnsi="Times New Roman" w:cs="Times New Roman"/>
          <w:sz w:val="24"/>
          <w:szCs w:val="24"/>
        </w:rPr>
        <w:t>Excluded,</w:t>
      </w:r>
      <w:r w:rsidR="00765F5E">
        <w:rPr>
          <w:rFonts w:ascii="Times New Roman" w:hAnsi="Times New Roman" w:cs="Times New Roman"/>
          <w:sz w:val="24"/>
          <w:szCs w:val="24"/>
        </w:rPr>
        <w:t xml:space="preserve"> or Environmental Assessment</w:t>
      </w:r>
      <w:r w:rsidR="009A4857">
        <w:rPr>
          <w:rFonts w:ascii="Times New Roman" w:hAnsi="Times New Roman" w:cs="Times New Roman"/>
          <w:sz w:val="24"/>
          <w:szCs w:val="24"/>
        </w:rPr>
        <w:t xml:space="preserve"> is </w:t>
      </w:r>
      <w:r w:rsidR="006801F6">
        <w:rPr>
          <w:rFonts w:ascii="Times New Roman" w:hAnsi="Times New Roman" w:cs="Times New Roman"/>
          <w:sz w:val="24"/>
          <w:szCs w:val="24"/>
        </w:rPr>
        <w:t>required.</w:t>
      </w:r>
    </w:p>
    <w:p w:rsidRPr="00355C65" w:rsidR="006E573A" w:rsidP="006E573A" w:rsidRDefault="006E573A" w14:paraId="5B855548" w14:textId="77777777">
      <w:pPr>
        <w:jc w:val="both"/>
        <w:rPr>
          <w:rFonts w:ascii="Times New Roman" w:hAnsi="Times New Roman" w:cs="Times New Roman"/>
          <w:sz w:val="24"/>
          <w:szCs w:val="24"/>
        </w:rPr>
      </w:pPr>
    </w:p>
    <w:p w:rsidR="006E573A" w:rsidP="000303F7" w:rsidRDefault="006E573A" w14:paraId="5B855549" w14:textId="1CA7D815">
      <w:pPr>
        <w:ind w:left="360" w:hanging="360"/>
        <w:jc w:val="both"/>
        <w:rPr>
          <w:rFonts w:ascii="Times New Roman" w:hAnsi="Times New Roman" w:cs="Times New Roman"/>
          <w:sz w:val="24"/>
          <w:szCs w:val="24"/>
        </w:rPr>
      </w:pPr>
      <w:r w:rsidRPr="00355C65">
        <w:rPr>
          <w:rFonts w:ascii="Times New Roman" w:hAnsi="Times New Roman" w:cs="Times New Roman"/>
          <w:sz w:val="24"/>
          <w:szCs w:val="24"/>
        </w:rPr>
        <w:t>H.  Working Capital and Operating Deficit Reserves.  The working capital and operating deficit reserves requirements are the same as those of the Section 221(d)(4) program.  The lender can recommend, and HUD may approve, waiving the requirements when appropriate on specific cases.   A default under the first mortgage will constitute a default under the Section 241(a) loan.</w:t>
      </w:r>
    </w:p>
    <w:p w:rsidRPr="003A306C" w:rsidR="7A371C5A" w:rsidP="000303F7" w:rsidRDefault="7A371C5A" w14:paraId="38A66F3B" w14:textId="32FF8888">
      <w:pPr>
        <w:ind w:left="360" w:hanging="360"/>
        <w:jc w:val="both"/>
        <w:rPr>
          <w:rFonts w:ascii="Times New Roman" w:hAnsi="Times New Roman" w:cs="Times New Roman"/>
          <w:sz w:val="24"/>
          <w:szCs w:val="24"/>
        </w:rPr>
      </w:pPr>
    </w:p>
    <w:p w:rsidR="00470EB3" w:rsidP="000303F7" w:rsidRDefault="005655CD" w14:paraId="7BE18A89" w14:textId="0DA279ED">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I. </w:t>
      </w:r>
      <w:r w:rsidR="0092651E">
        <w:rPr>
          <w:rFonts w:ascii="Times New Roman" w:hAnsi="Times New Roman" w:cs="Times New Roman"/>
          <w:sz w:val="24"/>
          <w:szCs w:val="24"/>
        </w:rPr>
        <w:tab/>
      </w:r>
      <w:r>
        <w:rPr>
          <w:rFonts w:ascii="Times New Roman" w:hAnsi="Times New Roman" w:cs="Times New Roman"/>
          <w:sz w:val="24"/>
          <w:szCs w:val="24"/>
        </w:rPr>
        <w:t xml:space="preserve">Management Exhibits </w:t>
      </w:r>
      <w:r w:rsidR="00BD7C06">
        <w:rPr>
          <w:rFonts w:ascii="Times New Roman" w:hAnsi="Times New Roman" w:cs="Times New Roman"/>
          <w:sz w:val="24"/>
          <w:szCs w:val="24"/>
        </w:rPr>
        <w:t>–</w:t>
      </w:r>
      <w:r>
        <w:rPr>
          <w:rFonts w:ascii="Times New Roman" w:hAnsi="Times New Roman" w:cs="Times New Roman"/>
          <w:sz w:val="24"/>
          <w:szCs w:val="24"/>
        </w:rPr>
        <w:t xml:space="preserve"> </w:t>
      </w:r>
      <w:r w:rsidRPr="00B16DD8" w:rsidR="00B16DD8">
        <w:rPr>
          <w:rFonts w:ascii="Times New Roman" w:hAnsi="Times New Roman" w:cs="Times New Roman"/>
          <w:sz w:val="24"/>
          <w:szCs w:val="24"/>
        </w:rPr>
        <w:t xml:space="preserve">Management exhibits </w:t>
      </w:r>
      <w:r w:rsidR="006E113E">
        <w:rPr>
          <w:rFonts w:ascii="Times New Roman" w:hAnsi="Times New Roman" w:cs="Times New Roman"/>
          <w:sz w:val="24"/>
          <w:szCs w:val="24"/>
        </w:rPr>
        <w:t xml:space="preserve">identified in Section 3 of the </w:t>
      </w:r>
      <w:r w:rsidR="002212C1">
        <w:rPr>
          <w:rFonts w:ascii="Times New Roman" w:hAnsi="Times New Roman" w:cs="Times New Roman"/>
          <w:sz w:val="24"/>
          <w:szCs w:val="24"/>
        </w:rPr>
        <w:t xml:space="preserve">application exhibits </w:t>
      </w:r>
      <w:r w:rsidRPr="00B16DD8" w:rsidR="00B16DD8">
        <w:rPr>
          <w:rFonts w:ascii="Times New Roman" w:hAnsi="Times New Roman" w:cs="Times New Roman"/>
          <w:sz w:val="24"/>
          <w:szCs w:val="24"/>
        </w:rPr>
        <w:t>are not required if the Management Agent’s operations have not materially</w:t>
      </w:r>
      <w:r w:rsidR="00B16DD8">
        <w:rPr>
          <w:rFonts w:ascii="Times New Roman" w:hAnsi="Times New Roman" w:cs="Times New Roman"/>
          <w:sz w:val="24"/>
          <w:szCs w:val="24"/>
        </w:rPr>
        <w:t>,</w:t>
      </w:r>
      <w:r w:rsidRPr="00B16DD8" w:rsidR="00B16DD8">
        <w:rPr>
          <w:rFonts w:ascii="Times New Roman" w:hAnsi="Times New Roman" w:cs="Times New Roman"/>
          <w:sz w:val="24"/>
          <w:szCs w:val="24"/>
        </w:rPr>
        <w:t xml:space="preserve"> negatively changed since approval </w:t>
      </w:r>
      <w:r w:rsidR="00B16DD8">
        <w:rPr>
          <w:rFonts w:ascii="Times New Roman" w:hAnsi="Times New Roman" w:cs="Times New Roman"/>
          <w:sz w:val="24"/>
          <w:szCs w:val="24"/>
        </w:rPr>
        <w:t>of</w:t>
      </w:r>
      <w:r w:rsidRPr="00B16DD8" w:rsidR="00B16DD8">
        <w:rPr>
          <w:rFonts w:ascii="Times New Roman" w:hAnsi="Times New Roman" w:cs="Times New Roman"/>
          <w:sz w:val="24"/>
          <w:szCs w:val="24"/>
        </w:rPr>
        <w:t xml:space="preserve"> the HUD-insured first mortgage.  If operations have materially</w:t>
      </w:r>
      <w:r w:rsidR="00B16DD8">
        <w:rPr>
          <w:rFonts w:ascii="Times New Roman" w:hAnsi="Times New Roman" w:cs="Times New Roman"/>
          <w:sz w:val="24"/>
          <w:szCs w:val="24"/>
        </w:rPr>
        <w:t>,</w:t>
      </w:r>
      <w:r w:rsidRPr="00B16DD8" w:rsidR="00B16DD8">
        <w:rPr>
          <w:rFonts w:ascii="Times New Roman" w:hAnsi="Times New Roman" w:cs="Times New Roman"/>
          <w:sz w:val="24"/>
          <w:szCs w:val="24"/>
        </w:rPr>
        <w:t xml:space="preserve"> negatively changed, Management Agent documentation is required.</w:t>
      </w:r>
    </w:p>
    <w:p w:rsidRPr="003A306C" w:rsidR="39558550" w:rsidP="000303F7" w:rsidRDefault="39558550" w14:paraId="4F2E7CE8" w14:textId="28744C8B">
      <w:pPr>
        <w:ind w:left="360" w:hanging="360"/>
        <w:jc w:val="both"/>
        <w:rPr>
          <w:rFonts w:ascii="Times New Roman" w:hAnsi="Times New Roman" w:cs="Times New Roman"/>
          <w:sz w:val="24"/>
          <w:szCs w:val="24"/>
        </w:rPr>
      </w:pPr>
    </w:p>
    <w:p w:rsidR="00470EB3" w:rsidP="000303F7" w:rsidRDefault="006973AE" w14:paraId="2BF75780" w14:textId="5933537B">
      <w:pPr>
        <w:ind w:left="360" w:hanging="360"/>
        <w:jc w:val="both"/>
        <w:rPr>
          <w:rFonts w:ascii="Times New Roman" w:hAnsi="Times New Roman" w:cs="Times New Roman"/>
          <w:sz w:val="24"/>
          <w:szCs w:val="24"/>
        </w:rPr>
      </w:pPr>
      <w:r>
        <w:rPr>
          <w:rFonts w:ascii="Times New Roman" w:hAnsi="Times New Roman" w:cs="Times New Roman"/>
          <w:sz w:val="24"/>
          <w:szCs w:val="24"/>
        </w:rPr>
        <w:t>J</w:t>
      </w:r>
      <w:r w:rsidRPr="00470EB3" w:rsidR="00470EB3">
        <w:rPr>
          <w:rFonts w:ascii="Times New Roman" w:hAnsi="Times New Roman" w:cs="Times New Roman"/>
          <w:sz w:val="24"/>
          <w:szCs w:val="24"/>
        </w:rPr>
        <w:t xml:space="preserve">.  </w:t>
      </w:r>
      <w:r w:rsidR="00C35BB9">
        <w:rPr>
          <w:rFonts w:ascii="Times New Roman" w:hAnsi="Times New Roman" w:cs="Times New Roman"/>
          <w:sz w:val="24"/>
          <w:szCs w:val="24"/>
        </w:rPr>
        <w:t>Multiple Lenders.</w:t>
      </w:r>
      <w:r w:rsidR="0015042D">
        <w:rPr>
          <w:rFonts w:ascii="Times New Roman" w:hAnsi="Times New Roman" w:cs="Times New Roman"/>
          <w:sz w:val="24"/>
          <w:szCs w:val="24"/>
        </w:rPr>
        <w:t xml:space="preserve"> A new Section 241(a) insured loan may be </w:t>
      </w:r>
      <w:r w:rsidR="00CF451B">
        <w:rPr>
          <w:rFonts w:ascii="Times New Roman" w:hAnsi="Times New Roman" w:cs="Times New Roman"/>
          <w:sz w:val="24"/>
          <w:szCs w:val="24"/>
        </w:rPr>
        <w:t xml:space="preserve">originated by the first FHA lienholder or a new </w:t>
      </w:r>
      <w:r w:rsidR="00286AA5">
        <w:rPr>
          <w:rFonts w:ascii="Times New Roman" w:hAnsi="Times New Roman" w:cs="Times New Roman"/>
          <w:sz w:val="24"/>
          <w:szCs w:val="24"/>
        </w:rPr>
        <w:t>lender</w:t>
      </w:r>
      <w:r w:rsidR="00134E56">
        <w:rPr>
          <w:rFonts w:ascii="Times New Roman" w:hAnsi="Times New Roman" w:cs="Times New Roman"/>
          <w:sz w:val="24"/>
          <w:szCs w:val="24"/>
        </w:rPr>
        <w:t xml:space="preserve">.  The lender processing the </w:t>
      </w:r>
      <w:r w:rsidR="003C5824">
        <w:rPr>
          <w:rFonts w:ascii="Times New Roman" w:hAnsi="Times New Roman" w:cs="Times New Roman"/>
          <w:sz w:val="24"/>
          <w:szCs w:val="24"/>
        </w:rPr>
        <w:t>Section 241(a) FHA insured loan shall create one Reserve for Replacement Account (RfR) in</w:t>
      </w:r>
      <w:r w:rsidR="00886C90">
        <w:rPr>
          <w:rFonts w:ascii="Times New Roman" w:hAnsi="Times New Roman" w:cs="Times New Roman"/>
          <w:sz w:val="24"/>
          <w:szCs w:val="24"/>
        </w:rPr>
        <w:t>corporating both escrow account requir</w:t>
      </w:r>
      <w:r w:rsidR="00E226E4">
        <w:rPr>
          <w:rFonts w:ascii="Times New Roman" w:hAnsi="Times New Roman" w:cs="Times New Roman"/>
          <w:sz w:val="24"/>
          <w:szCs w:val="24"/>
        </w:rPr>
        <w:t>e</w:t>
      </w:r>
      <w:r w:rsidR="00886C90">
        <w:rPr>
          <w:rFonts w:ascii="Times New Roman" w:hAnsi="Times New Roman" w:cs="Times New Roman"/>
          <w:sz w:val="24"/>
          <w:szCs w:val="24"/>
        </w:rPr>
        <w:t>ments</w:t>
      </w:r>
      <w:r w:rsidR="009D1659">
        <w:rPr>
          <w:rFonts w:ascii="Times New Roman" w:hAnsi="Times New Roman" w:cs="Times New Roman"/>
          <w:sz w:val="24"/>
          <w:szCs w:val="24"/>
        </w:rPr>
        <w:t xml:space="preserve"> into a single reserve account.  If the holder of the first lien is not the same entity as the proposed</w:t>
      </w:r>
      <w:r w:rsidR="00B2494F">
        <w:rPr>
          <w:rFonts w:ascii="Times New Roman" w:hAnsi="Times New Roman" w:cs="Times New Roman"/>
          <w:sz w:val="24"/>
          <w:szCs w:val="24"/>
        </w:rPr>
        <w:t xml:space="preserve"> secondary debt lender (See Se. 3.6.A.4), the two lenders shall d</w:t>
      </w:r>
      <w:r w:rsidR="00E37F24">
        <w:rPr>
          <w:rFonts w:ascii="Times New Roman" w:hAnsi="Times New Roman" w:cs="Times New Roman"/>
          <w:sz w:val="24"/>
          <w:szCs w:val="24"/>
        </w:rPr>
        <w:t xml:space="preserve">esignate one </w:t>
      </w:r>
      <w:r w:rsidR="00352D54">
        <w:rPr>
          <w:rFonts w:ascii="Times New Roman" w:hAnsi="Times New Roman" w:cs="Times New Roman"/>
          <w:sz w:val="24"/>
          <w:szCs w:val="24"/>
        </w:rPr>
        <w:t>as the depository holder of the CN</w:t>
      </w:r>
      <w:r w:rsidR="00B823BE">
        <w:rPr>
          <w:rFonts w:ascii="Times New Roman" w:hAnsi="Times New Roman" w:cs="Times New Roman"/>
          <w:sz w:val="24"/>
          <w:szCs w:val="24"/>
        </w:rPr>
        <w:t>A</w:t>
      </w:r>
      <w:r w:rsidR="00352D54">
        <w:rPr>
          <w:rFonts w:ascii="Times New Roman" w:hAnsi="Times New Roman" w:cs="Times New Roman"/>
          <w:sz w:val="24"/>
          <w:szCs w:val="24"/>
        </w:rPr>
        <w:t xml:space="preserve"> e-tool</w:t>
      </w:r>
      <w:r w:rsidR="00BA7E3F">
        <w:rPr>
          <w:rFonts w:ascii="Times New Roman" w:hAnsi="Times New Roman" w:cs="Times New Roman"/>
          <w:sz w:val="24"/>
          <w:szCs w:val="24"/>
        </w:rPr>
        <w:t xml:space="preserve"> and the RfR accounts.</w:t>
      </w:r>
      <w:r w:rsidR="000643BC">
        <w:rPr>
          <w:rFonts w:ascii="Times New Roman" w:hAnsi="Times New Roman" w:cs="Times New Roman"/>
          <w:sz w:val="24"/>
          <w:szCs w:val="24"/>
        </w:rPr>
        <w:t xml:space="preserve">  This decision shall be determined before the Section 241(a) application is submitted to HUD.  The designated lender shall maintain the updated</w:t>
      </w:r>
      <w:r w:rsidR="00C46058">
        <w:rPr>
          <w:rFonts w:ascii="Times New Roman" w:hAnsi="Times New Roman" w:cs="Times New Roman"/>
          <w:sz w:val="24"/>
          <w:szCs w:val="24"/>
        </w:rPr>
        <w:t xml:space="preserve"> CN</w:t>
      </w:r>
      <w:r w:rsidR="00B823BE">
        <w:rPr>
          <w:rFonts w:ascii="Times New Roman" w:hAnsi="Times New Roman" w:cs="Times New Roman"/>
          <w:sz w:val="24"/>
          <w:szCs w:val="24"/>
        </w:rPr>
        <w:t>A</w:t>
      </w:r>
      <w:r w:rsidR="00D50141">
        <w:rPr>
          <w:rFonts w:ascii="Times New Roman" w:hAnsi="Times New Roman" w:cs="Times New Roman"/>
          <w:sz w:val="24"/>
          <w:szCs w:val="24"/>
        </w:rPr>
        <w:t xml:space="preserve"> </w:t>
      </w:r>
      <w:r w:rsidR="00C46058">
        <w:rPr>
          <w:rFonts w:ascii="Times New Roman" w:hAnsi="Times New Roman" w:cs="Times New Roman"/>
          <w:sz w:val="24"/>
          <w:szCs w:val="24"/>
        </w:rPr>
        <w:t>e-tool report and Reserve for Repla</w:t>
      </w:r>
      <w:r w:rsidR="001C4527">
        <w:rPr>
          <w:rFonts w:ascii="Times New Roman" w:hAnsi="Times New Roman" w:cs="Times New Roman"/>
          <w:sz w:val="24"/>
          <w:szCs w:val="24"/>
        </w:rPr>
        <w:t xml:space="preserve">cement Account </w:t>
      </w:r>
      <w:r w:rsidR="00DE011E">
        <w:rPr>
          <w:rFonts w:ascii="Times New Roman" w:hAnsi="Times New Roman" w:cs="Times New Roman"/>
          <w:sz w:val="24"/>
          <w:szCs w:val="24"/>
        </w:rPr>
        <w:t>incorporating both loans.</w:t>
      </w:r>
      <w:r w:rsidRPr="00470EB3" w:rsidR="00470EB3">
        <w:rPr>
          <w:rFonts w:ascii="Times New Roman" w:hAnsi="Times New Roman" w:cs="Times New Roman"/>
          <w:sz w:val="24"/>
          <w:szCs w:val="24"/>
        </w:rPr>
        <w:t xml:space="preserve">  </w:t>
      </w:r>
      <w:r w:rsidR="00A940E6">
        <w:rPr>
          <w:rFonts w:ascii="Times New Roman" w:hAnsi="Times New Roman" w:cs="Times New Roman"/>
          <w:sz w:val="24"/>
          <w:szCs w:val="24"/>
        </w:rPr>
        <w:t xml:space="preserve">The processing 241(a) lender must agree and certify to obtain an updated </w:t>
      </w:r>
      <w:r w:rsidR="001B3A76">
        <w:rPr>
          <w:rFonts w:ascii="Times New Roman" w:hAnsi="Times New Roman" w:cs="Times New Roman"/>
          <w:sz w:val="24"/>
          <w:szCs w:val="24"/>
        </w:rPr>
        <w:t>C</w:t>
      </w:r>
      <w:r w:rsidR="006426EC">
        <w:rPr>
          <w:rFonts w:ascii="Times New Roman" w:hAnsi="Times New Roman" w:cs="Times New Roman"/>
          <w:sz w:val="24"/>
          <w:szCs w:val="24"/>
        </w:rPr>
        <w:t>NA</w:t>
      </w:r>
      <w:r w:rsidR="001B3A76">
        <w:rPr>
          <w:rFonts w:ascii="Times New Roman" w:hAnsi="Times New Roman" w:cs="Times New Roman"/>
          <w:sz w:val="24"/>
          <w:szCs w:val="24"/>
        </w:rPr>
        <w:t xml:space="preserve"> e-tool report, </w:t>
      </w:r>
      <w:r w:rsidR="006426EC">
        <w:rPr>
          <w:rFonts w:ascii="Times New Roman" w:hAnsi="Times New Roman" w:cs="Times New Roman"/>
          <w:sz w:val="24"/>
          <w:szCs w:val="24"/>
        </w:rPr>
        <w:t>fund</w:t>
      </w:r>
      <w:r w:rsidR="001B3A76">
        <w:rPr>
          <w:rFonts w:ascii="Times New Roman" w:hAnsi="Times New Roman" w:cs="Times New Roman"/>
          <w:sz w:val="24"/>
          <w:szCs w:val="24"/>
        </w:rPr>
        <w:t>ing for a new Reserve for Replacement Account and other pertinent information required by the Section 241(a)</w:t>
      </w:r>
      <w:r w:rsidR="00BF6570">
        <w:rPr>
          <w:rFonts w:ascii="Times New Roman" w:hAnsi="Times New Roman" w:cs="Times New Roman"/>
          <w:sz w:val="24"/>
          <w:szCs w:val="24"/>
        </w:rPr>
        <w:t xml:space="preserve"> insured loan.</w:t>
      </w:r>
      <w:r w:rsidRPr="00470EB3" w:rsidR="00470EB3">
        <w:rPr>
          <w:rFonts w:ascii="Times New Roman" w:hAnsi="Times New Roman" w:cs="Times New Roman"/>
          <w:sz w:val="24"/>
          <w:szCs w:val="24"/>
        </w:rPr>
        <w:t xml:space="preserve">  </w:t>
      </w:r>
      <w:r w:rsidR="006667A6">
        <w:rPr>
          <w:rFonts w:ascii="Times New Roman" w:hAnsi="Times New Roman" w:cs="Times New Roman"/>
          <w:sz w:val="24"/>
          <w:szCs w:val="24"/>
        </w:rPr>
        <w:t xml:space="preserve">If different </w:t>
      </w:r>
      <w:r w:rsidR="0050539A">
        <w:rPr>
          <w:rFonts w:ascii="Times New Roman" w:hAnsi="Times New Roman" w:cs="Times New Roman"/>
          <w:sz w:val="24"/>
          <w:szCs w:val="24"/>
        </w:rPr>
        <w:t>from</w:t>
      </w:r>
      <w:r w:rsidR="006667A6">
        <w:rPr>
          <w:rFonts w:ascii="Times New Roman" w:hAnsi="Times New Roman" w:cs="Times New Roman"/>
          <w:sz w:val="24"/>
          <w:szCs w:val="24"/>
        </w:rPr>
        <w:t xml:space="preserve"> the first lien holder, Section 241(a)</w:t>
      </w:r>
      <w:r w:rsidR="00BB26DA">
        <w:rPr>
          <w:rFonts w:ascii="Times New Roman" w:hAnsi="Times New Roman" w:cs="Times New Roman"/>
          <w:sz w:val="24"/>
          <w:szCs w:val="24"/>
        </w:rPr>
        <w:t xml:space="preserve"> pro</w:t>
      </w:r>
      <w:r w:rsidR="00C81AEE">
        <w:rPr>
          <w:rFonts w:ascii="Times New Roman" w:hAnsi="Times New Roman" w:cs="Times New Roman"/>
          <w:sz w:val="24"/>
          <w:szCs w:val="24"/>
        </w:rPr>
        <w:t>cessing</w:t>
      </w:r>
      <w:r w:rsidR="00BB26DA">
        <w:rPr>
          <w:rFonts w:ascii="Times New Roman" w:hAnsi="Times New Roman" w:cs="Times New Roman"/>
          <w:sz w:val="24"/>
          <w:szCs w:val="24"/>
        </w:rPr>
        <w:t xml:space="preserve"> lender shall submit the updated information to the </w:t>
      </w:r>
      <w:r w:rsidR="00751D5E">
        <w:rPr>
          <w:rFonts w:ascii="Times New Roman" w:hAnsi="Times New Roman" w:cs="Times New Roman"/>
          <w:sz w:val="24"/>
          <w:szCs w:val="24"/>
        </w:rPr>
        <w:t>first lien holder</w:t>
      </w:r>
      <w:r w:rsidR="00334684">
        <w:rPr>
          <w:rFonts w:ascii="Times New Roman" w:hAnsi="Times New Roman" w:cs="Times New Roman"/>
          <w:sz w:val="24"/>
          <w:szCs w:val="24"/>
        </w:rPr>
        <w:t xml:space="preserve"> for review and approval based on HUD’s program requirements</w:t>
      </w:r>
      <w:r w:rsidR="00C344D1">
        <w:rPr>
          <w:rFonts w:ascii="Times New Roman" w:hAnsi="Times New Roman" w:cs="Times New Roman"/>
          <w:sz w:val="24"/>
          <w:szCs w:val="24"/>
        </w:rPr>
        <w:t>.  The designated lender, if different that the Section 241(a) l</w:t>
      </w:r>
      <w:r w:rsidR="004433F5">
        <w:rPr>
          <w:rFonts w:ascii="Times New Roman" w:hAnsi="Times New Roman" w:cs="Times New Roman"/>
          <w:sz w:val="24"/>
          <w:szCs w:val="24"/>
        </w:rPr>
        <w:t>e</w:t>
      </w:r>
      <w:r w:rsidR="00C344D1">
        <w:rPr>
          <w:rFonts w:ascii="Times New Roman" w:hAnsi="Times New Roman" w:cs="Times New Roman"/>
          <w:sz w:val="24"/>
          <w:szCs w:val="24"/>
        </w:rPr>
        <w:t xml:space="preserve">nder shall </w:t>
      </w:r>
      <w:r w:rsidR="00DD2A32">
        <w:rPr>
          <w:rFonts w:ascii="Times New Roman" w:hAnsi="Times New Roman" w:cs="Times New Roman"/>
          <w:sz w:val="24"/>
          <w:szCs w:val="24"/>
        </w:rPr>
        <w:t>submit a written acceptance</w:t>
      </w:r>
      <w:r w:rsidR="00CE6631">
        <w:rPr>
          <w:rFonts w:ascii="Times New Roman" w:hAnsi="Times New Roman" w:cs="Times New Roman"/>
          <w:sz w:val="24"/>
          <w:szCs w:val="24"/>
        </w:rPr>
        <w:t xml:space="preserve"> of the updated C</w:t>
      </w:r>
      <w:r w:rsidR="00C81AEE">
        <w:rPr>
          <w:rFonts w:ascii="Times New Roman" w:hAnsi="Times New Roman" w:cs="Times New Roman"/>
          <w:sz w:val="24"/>
          <w:szCs w:val="24"/>
        </w:rPr>
        <w:t>NA</w:t>
      </w:r>
      <w:r w:rsidR="00CE6631">
        <w:rPr>
          <w:rFonts w:ascii="Times New Roman" w:hAnsi="Times New Roman" w:cs="Times New Roman"/>
          <w:sz w:val="24"/>
          <w:szCs w:val="24"/>
        </w:rPr>
        <w:t xml:space="preserve"> report and Reserve for Replacement Account at the time of the insured Section 241(a) application</w:t>
      </w:r>
      <w:r w:rsidR="00C21A7B">
        <w:rPr>
          <w:rFonts w:ascii="Times New Roman" w:hAnsi="Times New Roman" w:cs="Times New Roman"/>
          <w:sz w:val="24"/>
          <w:szCs w:val="24"/>
        </w:rPr>
        <w:t xml:space="preserve"> submission.  The designated lender shall have the author</w:t>
      </w:r>
      <w:r w:rsidR="00A8480C">
        <w:rPr>
          <w:rFonts w:ascii="Times New Roman" w:hAnsi="Times New Roman" w:cs="Times New Roman"/>
          <w:sz w:val="24"/>
          <w:szCs w:val="24"/>
        </w:rPr>
        <w:t>ity over all the Reserve for R</w:t>
      </w:r>
      <w:r w:rsidR="00735D87">
        <w:rPr>
          <w:rFonts w:ascii="Times New Roman" w:hAnsi="Times New Roman" w:cs="Times New Roman"/>
          <w:sz w:val="24"/>
          <w:szCs w:val="24"/>
        </w:rPr>
        <w:t>eplacement account</w:t>
      </w:r>
      <w:r w:rsidR="00C81AEE">
        <w:rPr>
          <w:rFonts w:ascii="Times New Roman" w:hAnsi="Times New Roman" w:cs="Times New Roman"/>
          <w:sz w:val="24"/>
          <w:szCs w:val="24"/>
        </w:rPr>
        <w:t>s</w:t>
      </w:r>
      <w:r w:rsidR="00735D87">
        <w:rPr>
          <w:rFonts w:ascii="Times New Roman" w:hAnsi="Times New Roman" w:cs="Times New Roman"/>
          <w:sz w:val="24"/>
          <w:szCs w:val="24"/>
        </w:rPr>
        <w:t xml:space="preserve"> </w:t>
      </w:r>
      <w:r w:rsidR="0094052D">
        <w:rPr>
          <w:rFonts w:ascii="Times New Roman" w:hAnsi="Times New Roman" w:cs="Times New Roman"/>
          <w:sz w:val="24"/>
          <w:szCs w:val="24"/>
        </w:rPr>
        <w:t>and C</w:t>
      </w:r>
      <w:r w:rsidR="00C81AEE">
        <w:rPr>
          <w:rFonts w:ascii="Times New Roman" w:hAnsi="Times New Roman" w:cs="Times New Roman"/>
          <w:sz w:val="24"/>
          <w:szCs w:val="24"/>
        </w:rPr>
        <w:t>NA</w:t>
      </w:r>
      <w:r w:rsidR="0094052D">
        <w:rPr>
          <w:rFonts w:ascii="Times New Roman" w:hAnsi="Times New Roman" w:cs="Times New Roman"/>
          <w:sz w:val="24"/>
          <w:szCs w:val="24"/>
        </w:rPr>
        <w:t xml:space="preserve"> e-tool reimbursements </w:t>
      </w:r>
      <w:r w:rsidR="002B27DF">
        <w:rPr>
          <w:rFonts w:ascii="Times New Roman" w:hAnsi="Times New Roman" w:cs="Times New Roman"/>
          <w:sz w:val="24"/>
          <w:szCs w:val="24"/>
        </w:rPr>
        <w:t xml:space="preserve">and future requirements once </w:t>
      </w:r>
      <w:r w:rsidR="00C81AEE">
        <w:rPr>
          <w:rFonts w:ascii="Times New Roman" w:hAnsi="Times New Roman" w:cs="Times New Roman"/>
          <w:sz w:val="24"/>
          <w:szCs w:val="24"/>
        </w:rPr>
        <w:t>I</w:t>
      </w:r>
      <w:r w:rsidR="002B27DF">
        <w:rPr>
          <w:rFonts w:ascii="Times New Roman" w:hAnsi="Times New Roman" w:cs="Times New Roman"/>
          <w:sz w:val="24"/>
          <w:szCs w:val="24"/>
        </w:rPr>
        <w:t xml:space="preserve">nitial Endorsement has occurred and all other terms and conditions of the FHA Firm Commitment </w:t>
      </w:r>
      <w:r w:rsidR="00F84AB6">
        <w:rPr>
          <w:rFonts w:ascii="Times New Roman" w:hAnsi="Times New Roman" w:cs="Times New Roman"/>
          <w:sz w:val="24"/>
          <w:szCs w:val="24"/>
        </w:rPr>
        <w:t>have been satisfied.</w:t>
      </w:r>
    </w:p>
    <w:p w:rsidR="00EE3A4A" w:rsidP="006E573A" w:rsidRDefault="00EE3A4A" w14:paraId="2328C970" w14:textId="6EC48A87">
      <w:pPr>
        <w:ind w:left="360" w:hanging="360"/>
        <w:rPr>
          <w:rFonts w:ascii="Times New Roman" w:hAnsi="Times New Roman" w:cs="Times New Roman"/>
          <w:sz w:val="24"/>
          <w:szCs w:val="24"/>
        </w:rPr>
      </w:pPr>
    </w:p>
    <w:p w:rsidRPr="00355C65" w:rsidR="00EE3A4A" w:rsidP="006E573A" w:rsidRDefault="006973AE" w14:paraId="050349C5" w14:textId="7A2057A1">
      <w:pPr>
        <w:ind w:left="360" w:hanging="360"/>
        <w:rPr>
          <w:rFonts w:ascii="Times New Roman" w:hAnsi="Times New Roman" w:cs="Times New Roman"/>
          <w:sz w:val="24"/>
          <w:szCs w:val="24"/>
        </w:rPr>
      </w:pPr>
      <w:r>
        <w:rPr>
          <w:rFonts w:ascii="Times New Roman" w:hAnsi="Times New Roman" w:cs="Times New Roman"/>
          <w:sz w:val="24"/>
          <w:szCs w:val="24"/>
        </w:rPr>
        <w:t>K</w:t>
      </w:r>
      <w:r w:rsidRPr="00EE3A4A" w:rsidR="00EE3A4A">
        <w:rPr>
          <w:rFonts w:ascii="Times New Roman" w:hAnsi="Times New Roman" w:cs="Times New Roman"/>
          <w:sz w:val="24"/>
          <w:szCs w:val="24"/>
        </w:rPr>
        <w:t xml:space="preserve">.  MIP premium. Section 241(a) may apply for reduced initial and annual MIP premiums based on Green and Energy Efficient Housing qualifications.  Both the existing improvements and the proposed improvements must be evaluated as one property for energy performance analysis and as a whole achieve the </w:t>
      </w:r>
      <w:r w:rsidR="009B3EFA">
        <w:rPr>
          <w:rFonts w:ascii="Times New Roman" w:hAnsi="Times New Roman" w:cs="Times New Roman"/>
          <w:sz w:val="24"/>
          <w:szCs w:val="24"/>
        </w:rPr>
        <w:t>selected</w:t>
      </w:r>
      <w:r w:rsidRPr="00EE3A4A" w:rsidR="00EE3A4A">
        <w:rPr>
          <w:rFonts w:ascii="Times New Roman" w:hAnsi="Times New Roman" w:cs="Times New Roman"/>
          <w:sz w:val="24"/>
          <w:szCs w:val="24"/>
        </w:rPr>
        <w:t xml:space="preserve"> Green Certification.  Upon qualification, the reduced initial and annual MIP will apply </w:t>
      </w:r>
      <w:r w:rsidR="00B77789">
        <w:rPr>
          <w:rFonts w:ascii="Times New Roman" w:hAnsi="Times New Roman" w:cs="Times New Roman"/>
          <w:sz w:val="24"/>
          <w:szCs w:val="24"/>
        </w:rPr>
        <w:t xml:space="preserve">only </w:t>
      </w:r>
      <w:r w:rsidRPr="00EE3A4A" w:rsidR="00EE3A4A">
        <w:rPr>
          <w:rFonts w:ascii="Times New Roman" w:hAnsi="Times New Roman" w:cs="Times New Roman"/>
          <w:sz w:val="24"/>
          <w:szCs w:val="24"/>
        </w:rPr>
        <w:t xml:space="preserve">to the secondary loan processed under Section 241(a) transaction. </w:t>
      </w:r>
      <w:r w:rsidR="00BF65BA">
        <w:rPr>
          <w:rFonts w:ascii="Times New Roman" w:hAnsi="Times New Roman" w:cs="Times New Roman"/>
          <w:sz w:val="24"/>
          <w:szCs w:val="24"/>
        </w:rPr>
        <w:t>See Chapter 6 and particularly Chapter 6.8.</w:t>
      </w:r>
      <w:r w:rsidRPr="00EE3A4A" w:rsidR="00EE3A4A">
        <w:rPr>
          <w:rFonts w:ascii="Times New Roman" w:hAnsi="Times New Roman" w:cs="Times New Roman"/>
          <w:sz w:val="24"/>
          <w:szCs w:val="24"/>
        </w:rPr>
        <w:t xml:space="preserve"> </w:t>
      </w:r>
    </w:p>
    <w:p w:rsidRPr="00355C65" w:rsidR="006E573A" w:rsidP="006E573A" w:rsidRDefault="006E573A" w14:paraId="5B85554A" w14:textId="77777777">
      <w:pPr>
        <w:rPr>
          <w:rFonts w:ascii="Times New Roman" w:hAnsi="Times New Roman" w:cs="Times New Roman"/>
          <w:sz w:val="24"/>
          <w:szCs w:val="24"/>
        </w:rPr>
      </w:pPr>
    </w:p>
    <w:p w:rsidRPr="00355C65" w:rsidR="006E573A" w:rsidP="006E573A" w:rsidRDefault="006E573A" w14:paraId="5B85554B" w14:textId="77777777">
      <w:pPr>
        <w:ind w:firstLine="180"/>
        <w:rPr>
          <w:rFonts w:ascii="Times New Roman" w:hAnsi="Times New Roman" w:cs="Times New Roman"/>
          <w:b/>
          <w:sz w:val="24"/>
          <w:szCs w:val="24"/>
        </w:rPr>
      </w:pPr>
    </w:p>
    <w:p w:rsidRPr="00355C65" w:rsidR="006E573A" w:rsidP="006E573A" w:rsidRDefault="006E573A" w14:paraId="5B85554C" w14:textId="77777777">
      <w:pPr>
        <w:overflowPunct w:val="0"/>
        <w:autoSpaceDE w:val="0"/>
        <w:autoSpaceDN w:val="0"/>
        <w:adjustRightInd w:val="0"/>
        <w:spacing w:before="80" w:after="80"/>
        <w:ind w:left="1437" w:hanging="1275"/>
        <w:textAlignment w:val="baseline"/>
        <w:rPr>
          <w:rFonts w:ascii="Arial" w:hAnsi="Arial" w:eastAsia="Times New Roman" w:cs="Arial"/>
          <w:sz w:val="28"/>
          <w:szCs w:val="20"/>
        </w:rPr>
      </w:pPr>
      <w:r w:rsidRPr="00355C65">
        <w:rPr>
          <w:rFonts w:ascii="Arial" w:hAnsi="Arial" w:eastAsia="Times New Roman" w:cs="Arial"/>
          <w:b/>
          <w:sz w:val="28"/>
          <w:szCs w:val="20"/>
        </w:rPr>
        <w:t>3.7</w:t>
      </w:r>
      <w:r w:rsidRPr="00355C65">
        <w:rPr>
          <w:rFonts w:ascii="Arial" w:hAnsi="Arial" w:eastAsia="Times New Roman" w:cs="Arial"/>
          <w:b/>
          <w:sz w:val="28"/>
          <w:szCs w:val="20"/>
        </w:rPr>
        <w:tab/>
      </w:r>
      <w:r w:rsidRPr="00355C65">
        <w:rPr>
          <w:rFonts w:ascii="Arial" w:hAnsi="Arial" w:eastAsia="Times New Roman" w:cs="Arial"/>
          <w:b/>
          <w:sz w:val="28"/>
          <w:szCs w:val="20"/>
        </w:rPr>
        <w:tab/>
        <w:t>Section 207/223(f) Mortgage Insurance for Purchase or Refinancing of Existing Multifamily Rental Housing</w:t>
      </w:r>
    </w:p>
    <w:p w:rsidRPr="00355C65" w:rsidR="006E573A" w:rsidP="006E573A" w:rsidRDefault="006E573A" w14:paraId="5B85554F" w14:textId="77777777">
      <w:pPr>
        <w:spacing w:line="276" w:lineRule="auto"/>
        <w:jc w:val="both"/>
        <w:rPr>
          <w:rFonts w:ascii="Times New Roman" w:hAnsi="Times New Roman" w:cs="Times New Roman"/>
          <w:color w:val="000000" w:themeColor="text1"/>
          <w:sz w:val="24"/>
          <w:szCs w:val="24"/>
        </w:rPr>
      </w:pPr>
    </w:p>
    <w:p w:rsidR="007B098D" w:rsidP="006E573A" w:rsidRDefault="00CE1A67" w14:paraId="7F38DB85" w14:textId="734D950C">
      <w:pPr>
        <w:numPr>
          <w:ilvl w:val="0"/>
          <w:numId w:val="5"/>
        </w:numPr>
        <w:spacing w:after="200" w:line="276"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General</w:t>
      </w:r>
      <w:r w:rsidR="00401AD3">
        <w:rPr>
          <w:rFonts w:ascii="Times New Roman" w:hAnsi="Times New Roman" w:cs="Times New Roman"/>
          <w:color w:val="000000" w:themeColor="text1"/>
          <w:sz w:val="24"/>
          <w:szCs w:val="24"/>
        </w:rPr>
        <w:t xml:space="preserve"> </w:t>
      </w:r>
      <w:r w:rsidR="00CF3A82">
        <w:rPr>
          <w:rFonts w:ascii="Times New Roman" w:hAnsi="Times New Roman" w:cs="Times New Roman"/>
          <w:color w:val="000000" w:themeColor="text1"/>
          <w:sz w:val="24"/>
          <w:szCs w:val="24"/>
        </w:rPr>
        <w:t>Requirements</w:t>
      </w:r>
    </w:p>
    <w:p w:rsidR="00CF3A82" w:rsidP="00CF3A82" w:rsidRDefault="00CF3A82" w14:paraId="68A306BE" w14:textId="15861EFE">
      <w:pPr>
        <w:spacing w:after="200" w:line="276" w:lineRule="auto"/>
        <w:ind w:left="360"/>
        <w:jc w:val="both"/>
        <w:rPr>
          <w:rFonts w:ascii="Times New Roman" w:hAnsi="Times New Roman" w:cs="Times New Roman"/>
          <w:color w:val="000000" w:themeColor="text1"/>
          <w:sz w:val="24"/>
          <w:szCs w:val="24"/>
        </w:rPr>
      </w:pPr>
      <w:r w:rsidRPr="00355C65">
        <w:rPr>
          <w:rFonts w:ascii="Times New Roman" w:hAnsi="Times New Roman" w:cs="Times New Roman"/>
          <w:sz w:val="24"/>
          <w:szCs w:val="24"/>
        </w:rPr>
        <w:t xml:space="preserve">Section 207/223(f) insures mortgages for the purchase or refinancing of existing rental housing </w:t>
      </w:r>
      <w:r>
        <w:rPr>
          <w:rFonts w:ascii="Times New Roman" w:hAnsi="Times New Roman" w:cs="Times New Roman"/>
          <w:sz w:val="24"/>
          <w:szCs w:val="24"/>
        </w:rPr>
        <w:t>that</w:t>
      </w:r>
      <w:r w:rsidRPr="00355C65">
        <w:rPr>
          <w:rFonts w:ascii="Times New Roman" w:hAnsi="Times New Roman" w:cs="Times New Roman"/>
          <w:sz w:val="24"/>
          <w:szCs w:val="24"/>
        </w:rPr>
        <w:t xml:space="preserve"> may have been financed originally with conventional mortgages</w:t>
      </w:r>
      <w:r>
        <w:rPr>
          <w:rFonts w:ascii="Times New Roman" w:hAnsi="Times New Roman" w:cs="Times New Roman"/>
          <w:sz w:val="24"/>
          <w:szCs w:val="24"/>
        </w:rPr>
        <w:t xml:space="preserve">, </w:t>
      </w:r>
      <w:r w:rsidRPr="00355C65">
        <w:rPr>
          <w:rFonts w:ascii="Times New Roman" w:hAnsi="Times New Roman" w:cs="Times New Roman"/>
          <w:sz w:val="24"/>
          <w:szCs w:val="24"/>
        </w:rPr>
        <w:t>equity</w:t>
      </w:r>
      <w:r>
        <w:rPr>
          <w:rFonts w:ascii="Times New Roman" w:hAnsi="Times New Roman" w:cs="Times New Roman"/>
          <w:sz w:val="24"/>
          <w:szCs w:val="24"/>
        </w:rPr>
        <w:t>, or with a HUD-insured loan</w:t>
      </w:r>
      <w:r w:rsidRPr="00355C65">
        <w:rPr>
          <w:rFonts w:ascii="Times New Roman" w:hAnsi="Times New Roman" w:cs="Times New Roman"/>
          <w:sz w:val="24"/>
          <w:szCs w:val="24"/>
        </w:rPr>
        <w:t>. The use of Section 223(f) for Cooperative Multifamily Housing is described in Chapter 17.  Properties requiring substantial rehabilitation are not eligible for this program.  HUD requires completion of critical</w:t>
      </w:r>
      <w:r w:rsidR="00CF45BA">
        <w:rPr>
          <w:rFonts w:ascii="Times New Roman" w:hAnsi="Times New Roman" w:cs="Times New Roman"/>
          <w:sz w:val="24"/>
          <w:szCs w:val="24"/>
        </w:rPr>
        <w:t>-life safety</w:t>
      </w:r>
      <w:r w:rsidRPr="00355C65">
        <w:rPr>
          <w:rFonts w:ascii="Times New Roman" w:hAnsi="Times New Roman" w:cs="Times New Roman"/>
          <w:sz w:val="24"/>
          <w:szCs w:val="24"/>
        </w:rPr>
        <w:t xml:space="preserve"> repairs before endorsement of the mortgage</w:t>
      </w:r>
      <w:r w:rsidR="00EF2C44">
        <w:rPr>
          <w:rFonts w:ascii="Times New Roman" w:hAnsi="Times New Roman" w:cs="Times New Roman"/>
          <w:sz w:val="24"/>
          <w:szCs w:val="24"/>
        </w:rPr>
        <w:t>.  Critical-accessibility</w:t>
      </w:r>
      <w:r w:rsidR="005711D9">
        <w:rPr>
          <w:rFonts w:ascii="Times New Roman" w:hAnsi="Times New Roman" w:cs="Times New Roman"/>
          <w:sz w:val="24"/>
          <w:szCs w:val="24"/>
        </w:rPr>
        <w:t xml:space="preserve"> repairs must be completed as soon as possible</w:t>
      </w:r>
      <w:r w:rsidRPr="00355C65">
        <w:rPr>
          <w:rFonts w:ascii="Times New Roman" w:hAnsi="Times New Roman" w:cs="Times New Roman"/>
          <w:sz w:val="24"/>
          <w:szCs w:val="24"/>
        </w:rPr>
        <w:t xml:space="preserve"> </w:t>
      </w:r>
      <w:r w:rsidR="00171763">
        <w:rPr>
          <w:rFonts w:ascii="Times New Roman" w:hAnsi="Times New Roman" w:cs="Times New Roman"/>
          <w:sz w:val="24"/>
          <w:szCs w:val="24"/>
        </w:rPr>
        <w:t xml:space="preserve">although </w:t>
      </w:r>
      <w:r w:rsidR="00CA477C">
        <w:rPr>
          <w:rFonts w:ascii="Times New Roman" w:hAnsi="Times New Roman" w:cs="Times New Roman"/>
          <w:sz w:val="24"/>
          <w:szCs w:val="24"/>
        </w:rPr>
        <w:t xml:space="preserve">such repairs can be deferred until after </w:t>
      </w:r>
      <w:r w:rsidR="0008289E">
        <w:rPr>
          <w:rFonts w:ascii="Times New Roman" w:hAnsi="Times New Roman" w:cs="Times New Roman"/>
          <w:sz w:val="24"/>
          <w:szCs w:val="24"/>
        </w:rPr>
        <w:t xml:space="preserve">endorsement </w:t>
      </w:r>
      <w:r w:rsidR="009E2EC9">
        <w:rPr>
          <w:rFonts w:ascii="Times New Roman" w:hAnsi="Times New Roman" w:cs="Times New Roman"/>
          <w:sz w:val="24"/>
          <w:szCs w:val="24"/>
        </w:rPr>
        <w:t xml:space="preserve">when </w:t>
      </w:r>
      <w:r w:rsidR="00147A10">
        <w:rPr>
          <w:rFonts w:ascii="Times New Roman" w:hAnsi="Times New Roman" w:cs="Times New Roman"/>
          <w:sz w:val="24"/>
          <w:szCs w:val="24"/>
        </w:rPr>
        <w:t xml:space="preserve">earlier completion is not possible. </w:t>
      </w:r>
      <w:r w:rsidR="001B68EB">
        <w:rPr>
          <w:rFonts w:ascii="Times New Roman" w:hAnsi="Times New Roman" w:cs="Times New Roman"/>
          <w:sz w:val="24"/>
          <w:szCs w:val="24"/>
        </w:rPr>
        <w:t>Non</w:t>
      </w:r>
      <w:r w:rsidR="000511DD">
        <w:rPr>
          <w:rFonts w:ascii="Times New Roman" w:hAnsi="Times New Roman" w:cs="Times New Roman"/>
          <w:sz w:val="24"/>
          <w:szCs w:val="24"/>
        </w:rPr>
        <w:t xml:space="preserve">-critical repairs may be </w:t>
      </w:r>
      <w:r w:rsidR="000E3311">
        <w:rPr>
          <w:rFonts w:ascii="Times New Roman" w:hAnsi="Times New Roman" w:cs="Times New Roman"/>
          <w:sz w:val="24"/>
          <w:szCs w:val="24"/>
        </w:rPr>
        <w:t>deferred until</w:t>
      </w:r>
      <w:r w:rsidRPr="00355C65">
        <w:rPr>
          <w:rFonts w:ascii="Times New Roman" w:hAnsi="Times New Roman" w:cs="Times New Roman"/>
          <w:sz w:val="24"/>
          <w:szCs w:val="24"/>
        </w:rPr>
        <w:t xml:space="preserve"> after endorsement.</w:t>
      </w:r>
      <w:r w:rsidR="00937B9A">
        <w:rPr>
          <w:rFonts w:ascii="Times New Roman" w:hAnsi="Times New Roman" w:cs="Times New Roman"/>
          <w:sz w:val="24"/>
          <w:szCs w:val="24"/>
        </w:rPr>
        <w:t xml:space="preserve"> See Chapter 5</w:t>
      </w:r>
      <w:r w:rsidR="007753B2">
        <w:rPr>
          <w:rFonts w:ascii="Times New Roman" w:hAnsi="Times New Roman" w:cs="Times New Roman"/>
          <w:sz w:val="24"/>
          <w:szCs w:val="24"/>
        </w:rPr>
        <w:t>.1</w:t>
      </w:r>
      <w:r w:rsidR="00937B9A">
        <w:rPr>
          <w:rFonts w:ascii="Times New Roman" w:hAnsi="Times New Roman" w:cs="Times New Roman"/>
          <w:sz w:val="24"/>
          <w:szCs w:val="24"/>
        </w:rPr>
        <w:t xml:space="preserve"> for </w:t>
      </w:r>
      <w:r w:rsidR="00676A4A">
        <w:rPr>
          <w:rFonts w:ascii="Times New Roman" w:hAnsi="Times New Roman" w:cs="Times New Roman"/>
          <w:sz w:val="24"/>
          <w:szCs w:val="24"/>
        </w:rPr>
        <w:t xml:space="preserve">the definition of substantial rehabilitation and </w:t>
      </w:r>
      <w:r w:rsidR="000C0A28">
        <w:rPr>
          <w:rFonts w:ascii="Times New Roman" w:hAnsi="Times New Roman" w:cs="Times New Roman"/>
          <w:sz w:val="24"/>
          <w:szCs w:val="24"/>
        </w:rPr>
        <w:t>detailed requirements concerning repairs.</w:t>
      </w:r>
      <w:r w:rsidR="00185D92">
        <w:rPr>
          <w:rFonts w:ascii="Times New Roman" w:hAnsi="Times New Roman" w:cs="Times New Roman"/>
          <w:sz w:val="24"/>
          <w:szCs w:val="24"/>
        </w:rPr>
        <w:t xml:space="preserve"> </w:t>
      </w:r>
      <w:r w:rsidRPr="00355C65" w:rsidR="00185D92">
        <w:rPr>
          <w:rFonts w:ascii="Times New Roman" w:hAnsi="Times New Roman" w:cs="Times New Roman"/>
          <w:color w:val="000000" w:themeColor="text1"/>
          <w:sz w:val="24"/>
          <w:szCs w:val="24"/>
        </w:rPr>
        <w:t>The property must contain at least 5 residential units.</w:t>
      </w:r>
    </w:p>
    <w:p w:rsidRPr="00355C65" w:rsidR="006E573A" w:rsidP="006E573A" w:rsidRDefault="006E573A" w14:paraId="5B855550" w14:textId="3B580B88">
      <w:pPr>
        <w:numPr>
          <w:ilvl w:val="0"/>
          <w:numId w:val="5"/>
        </w:numPr>
        <w:spacing w:after="200" w:line="276" w:lineRule="auto"/>
        <w:ind w:left="360"/>
        <w:jc w:val="both"/>
        <w:rPr>
          <w:rFonts w:ascii="Times New Roman" w:hAnsi="Times New Roman" w:cs="Times New Roman"/>
          <w:color w:val="000000" w:themeColor="text1"/>
          <w:sz w:val="24"/>
          <w:szCs w:val="24"/>
        </w:rPr>
      </w:pPr>
      <w:r w:rsidRPr="00355C65">
        <w:rPr>
          <w:rFonts w:ascii="Times New Roman" w:hAnsi="Times New Roman" w:cs="Times New Roman"/>
          <w:color w:val="000000" w:themeColor="text1"/>
          <w:sz w:val="24"/>
          <w:szCs w:val="24"/>
        </w:rPr>
        <w:t xml:space="preserve">Eligible Properties.    </w:t>
      </w:r>
    </w:p>
    <w:p w:rsidR="00CC14F2" w:rsidP="00646839" w:rsidRDefault="00676305" w14:paraId="7853241D" w14:textId="4794A094">
      <w:pPr>
        <w:ind w:left="72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ab/>
      </w:r>
      <w:r w:rsidRPr="00824319" w:rsidR="00824319">
        <w:rPr>
          <w:rFonts w:ascii="Times New Roman" w:hAnsi="Times New Roman" w:cs="Times New Roman"/>
          <w:bCs/>
          <w:color w:val="000000" w:themeColor="text1"/>
          <w:sz w:val="24"/>
          <w:szCs w:val="24"/>
        </w:rPr>
        <w:t xml:space="preserve">Applications for refinancing of </w:t>
      </w:r>
      <w:r w:rsidR="00FA41D4">
        <w:rPr>
          <w:rFonts w:ascii="Times New Roman" w:hAnsi="Times New Roman" w:cs="Times New Roman"/>
          <w:bCs/>
          <w:color w:val="000000" w:themeColor="text1"/>
          <w:sz w:val="24"/>
          <w:szCs w:val="24"/>
        </w:rPr>
        <w:t xml:space="preserve">property with certificates of occupancy issued </w:t>
      </w:r>
      <w:r w:rsidR="001B1363">
        <w:rPr>
          <w:rFonts w:ascii="Times New Roman" w:hAnsi="Times New Roman" w:cs="Times New Roman"/>
          <w:bCs/>
          <w:color w:val="000000" w:themeColor="text1"/>
          <w:sz w:val="24"/>
          <w:szCs w:val="24"/>
        </w:rPr>
        <w:t>3 or more years prior to application</w:t>
      </w:r>
      <w:r w:rsidRPr="00824319" w:rsidR="00824319">
        <w:rPr>
          <w:rFonts w:ascii="Times New Roman" w:hAnsi="Times New Roman" w:cs="Times New Roman"/>
          <w:bCs/>
          <w:color w:val="000000" w:themeColor="text1"/>
          <w:sz w:val="24"/>
          <w:szCs w:val="24"/>
        </w:rPr>
        <w:t xml:space="preserve"> </w:t>
      </w:r>
      <w:r w:rsidR="00D60744">
        <w:rPr>
          <w:rFonts w:ascii="Times New Roman" w:hAnsi="Times New Roman" w:cs="Times New Roman"/>
          <w:bCs/>
          <w:color w:val="000000" w:themeColor="text1"/>
          <w:sz w:val="24"/>
          <w:szCs w:val="24"/>
        </w:rPr>
        <w:t>are eligible</w:t>
      </w:r>
      <w:r w:rsidR="007D5487">
        <w:rPr>
          <w:rFonts w:ascii="Times New Roman" w:hAnsi="Times New Roman" w:cs="Times New Roman"/>
          <w:bCs/>
          <w:color w:val="000000" w:themeColor="text1"/>
          <w:sz w:val="24"/>
          <w:szCs w:val="24"/>
        </w:rPr>
        <w:t xml:space="preserve"> and will be underwritten consistent with </w:t>
      </w:r>
      <w:r w:rsidR="00EB2AF5">
        <w:rPr>
          <w:rFonts w:ascii="Times New Roman" w:hAnsi="Times New Roman" w:cs="Times New Roman"/>
          <w:bCs/>
          <w:color w:val="000000" w:themeColor="text1"/>
          <w:sz w:val="24"/>
          <w:szCs w:val="24"/>
        </w:rPr>
        <w:t xml:space="preserve">the </w:t>
      </w:r>
      <w:r w:rsidR="00BC1F8C">
        <w:rPr>
          <w:rFonts w:ascii="Times New Roman" w:hAnsi="Times New Roman" w:cs="Times New Roman"/>
          <w:bCs/>
          <w:color w:val="000000" w:themeColor="text1"/>
          <w:sz w:val="24"/>
          <w:szCs w:val="24"/>
        </w:rPr>
        <w:t xml:space="preserve">loan sizing ratios described in </w:t>
      </w:r>
      <w:r w:rsidR="00272A54">
        <w:rPr>
          <w:rFonts w:ascii="Times New Roman" w:hAnsi="Times New Roman" w:cs="Times New Roman"/>
          <w:bCs/>
          <w:color w:val="000000" w:themeColor="text1"/>
          <w:sz w:val="24"/>
          <w:szCs w:val="24"/>
        </w:rPr>
        <w:t>3.7.J below</w:t>
      </w:r>
      <w:r w:rsidR="00F72B54">
        <w:rPr>
          <w:rFonts w:ascii="Times New Roman" w:hAnsi="Times New Roman" w:cs="Times New Roman"/>
          <w:bCs/>
          <w:color w:val="000000" w:themeColor="text1"/>
          <w:sz w:val="24"/>
          <w:szCs w:val="24"/>
        </w:rPr>
        <w:t xml:space="preserve">.  </w:t>
      </w:r>
      <w:r w:rsidR="00C03E6A">
        <w:rPr>
          <w:rFonts w:ascii="Times New Roman" w:hAnsi="Times New Roman" w:cs="Times New Roman"/>
          <w:bCs/>
          <w:color w:val="000000" w:themeColor="text1"/>
          <w:sz w:val="24"/>
          <w:szCs w:val="24"/>
        </w:rPr>
        <w:t>Applications for t</w:t>
      </w:r>
      <w:r w:rsidR="0088063D">
        <w:rPr>
          <w:rFonts w:ascii="Times New Roman" w:hAnsi="Times New Roman" w:cs="Times New Roman"/>
          <w:bCs/>
          <w:color w:val="000000" w:themeColor="text1"/>
          <w:sz w:val="24"/>
          <w:szCs w:val="24"/>
        </w:rPr>
        <w:t xml:space="preserve">hese properties </w:t>
      </w:r>
      <w:r w:rsidR="00745534">
        <w:rPr>
          <w:rFonts w:ascii="Times New Roman" w:hAnsi="Times New Roman" w:cs="Times New Roman"/>
          <w:bCs/>
          <w:color w:val="000000" w:themeColor="text1"/>
          <w:sz w:val="24"/>
          <w:szCs w:val="24"/>
        </w:rPr>
        <w:t>must</w:t>
      </w:r>
      <w:r w:rsidR="00AB44EE">
        <w:rPr>
          <w:rFonts w:ascii="Times New Roman" w:hAnsi="Times New Roman" w:cs="Times New Roman"/>
          <w:bCs/>
          <w:color w:val="000000" w:themeColor="text1"/>
          <w:sz w:val="24"/>
          <w:szCs w:val="24"/>
        </w:rPr>
        <w:t xml:space="preserve"> </w:t>
      </w:r>
      <w:r w:rsidR="0080228F">
        <w:rPr>
          <w:rFonts w:ascii="Times New Roman" w:hAnsi="Times New Roman" w:cs="Times New Roman"/>
          <w:bCs/>
          <w:color w:val="000000" w:themeColor="text1"/>
          <w:sz w:val="24"/>
          <w:szCs w:val="24"/>
        </w:rPr>
        <w:t>d</w:t>
      </w:r>
      <w:r w:rsidR="00C03E6A">
        <w:rPr>
          <w:rFonts w:ascii="Times New Roman" w:hAnsi="Times New Roman" w:cs="Times New Roman"/>
          <w:bCs/>
          <w:color w:val="000000" w:themeColor="text1"/>
          <w:sz w:val="24"/>
          <w:szCs w:val="24"/>
        </w:rPr>
        <w:t>ocument</w:t>
      </w:r>
      <w:r w:rsidR="0080228F">
        <w:rPr>
          <w:rFonts w:ascii="Times New Roman" w:hAnsi="Times New Roman" w:cs="Times New Roman"/>
          <w:bCs/>
          <w:color w:val="000000" w:themeColor="text1"/>
          <w:sz w:val="24"/>
          <w:szCs w:val="24"/>
        </w:rPr>
        <w:t xml:space="preserve"> </w:t>
      </w:r>
      <w:r w:rsidR="009C7D84">
        <w:rPr>
          <w:rFonts w:ascii="Times New Roman" w:hAnsi="Times New Roman" w:cs="Times New Roman"/>
          <w:bCs/>
          <w:color w:val="000000" w:themeColor="text1"/>
          <w:sz w:val="24"/>
          <w:szCs w:val="24"/>
        </w:rPr>
        <w:t>a pattern</w:t>
      </w:r>
      <w:r w:rsidR="00AD73DF">
        <w:rPr>
          <w:rFonts w:ascii="Times New Roman" w:hAnsi="Times New Roman" w:cs="Times New Roman"/>
          <w:bCs/>
          <w:color w:val="000000" w:themeColor="text1"/>
          <w:sz w:val="24"/>
          <w:szCs w:val="24"/>
        </w:rPr>
        <w:t xml:space="preserve"> of stable</w:t>
      </w:r>
      <w:r w:rsidR="008C5035">
        <w:rPr>
          <w:rFonts w:ascii="Times New Roman" w:hAnsi="Times New Roman" w:cs="Times New Roman"/>
          <w:bCs/>
          <w:color w:val="000000" w:themeColor="text1"/>
          <w:sz w:val="24"/>
          <w:szCs w:val="24"/>
        </w:rPr>
        <w:t xml:space="preserve"> occupancy </w:t>
      </w:r>
      <w:r w:rsidR="00953756">
        <w:rPr>
          <w:rFonts w:ascii="Times New Roman" w:hAnsi="Times New Roman" w:cs="Times New Roman"/>
          <w:bCs/>
          <w:color w:val="000000" w:themeColor="text1"/>
          <w:sz w:val="24"/>
          <w:szCs w:val="24"/>
        </w:rPr>
        <w:t xml:space="preserve">at not less than </w:t>
      </w:r>
      <w:r w:rsidR="000816E5">
        <w:rPr>
          <w:rFonts w:ascii="Times New Roman" w:hAnsi="Times New Roman" w:cs="Times New Roman"/>
          <w:bCs/>
          <w:color w:val="000000" w:themeColor="text1"/>
          <w:sz w:val="24"/>
          <w:szCs w:val="24"/>
        </w:rPr>
        <w:t>85%</w:t>
      </w:r>
      <w:r w:rsidR="00627006">
        <w:rPr>
          <w:rFonts w:ascii="Times New Roman" w:hAnsi="Times New Roman" w:cs="Times New Roman"/>
          <w:bCs/>
          <w:color w:val="000000" w:themeColor="text1"/>
          <w:sz w:val="24"/>
          <w:szCs w:val="24"/>
        </w:rPr>
        <w:t xml:space="preserve"> and </w:t>
      </w:r>
      <w:r w:rsidR="006338A2">
        <w:rPr>
          <w:rFonts w:ascii="Times New Roman" w:hAnsi="Times New Roman" w:cs="Times New Roman"/>
          <w:bCs/>
          <w:color w:val="000000" w:themeColor="text1"/>
          <w:sz w:val="24"/>
          <w:szCs w:val="24"/>
        </w:rPr>
        <w:t xml:space="preserve">stable </w:t>
      </w:r>
      <w:r w:rsidR="00627006">
        <w:rPr>
          <w:rFonts w:ascii="Times New Roman" w:hAnsi="Times New Roman" w:cs="Times New Roman"/>
          <w:bCs/>
          <w:color w:val="000000" w:themeColor="text1"/>
          <w:sz w:val="24"/>
          <w:szCs w:val="24"/>
        </w:rPr>
        <w:t>operat</w:t>
      </w:r>
      <w:r w:rsidR="00297155">
        <w:rPr>
          <w:rFonts w:ascii="Times New Roman" w:hAnsi="Times New Roman" w:cs="Times New Roman"/>
          <w:bCs/>
          <w:color w:val="000000" w:themeColor="text1"/>
          <w:sz w:val="24"/>
          <w:szCs w:val="24"/>
        </w:rPr>
        <w:t>ing results</w:t>
      </w:r>
      <w:r w:rsidR="00BF0526">
        <w:rPr>
          <w:rFonts w:ascii="Times New Roman" w:hAnsi="Times New Roman" w:cs="Times New Roman"/>
          <w:bCs/>
          <w:color w:val="000000" w:themeColor="text1"/>
          <w:sz w:val="24"/>
          <w:szCs w:val="24"/>
        </w:rPr>
        <w:t>.</w:t>
      </w:r>
      <w:r w:rsidR="00565953">
        <w:rPr>
          <w:rFonts w:ascii="Times New Roman" w:hAnsi="Times New Roman" w:cs="Times New Roman"/>
          <w:bCs/>
          <w:color w:val="000000" w:themeColor="text1"/>
          <w:sz w:val="24"/>
          <w:szCs w:val="24"/>
        </w:rPr>
        <w:t xml:space="preserve">  </w:t>
      </w:r>
      <w:r w:rsidR="00D03257">
        <w:rPr>
          <w:rFonts w:ascii="Times New Roman" w:hAnsi="Times New Roman" w:cs="Times New Roman"/>
          <w:bCs/>
          <w:color w:val="000000" w:themeColor="text1"/>
          <w:sz w:val="24"/>
          <w:szCs w:val="24"/>
        </w:rPr>
        <w:t xml:space="preserve">Deficit reserves </w:t>
      </w:r>
      <w:r w:rsidR="00122526">
        <w:rPr>
          <w:rFonts w:ascii="Times New Roman" w:hAnsi="Times New Roman" w:cs="Times New Roman"/>
          <w:bCs/>
          <w:color w:val="000000" w:themeColor="text1"/>
          <w:sz w:val="24"/>
          <w:szCs w:val="24"/>
        </w:rPr>
        <w:t>are generally not require</w:t>
      </w:r>
      <w:r w:rsidR="00D40AC7">
        <w:rPr>
          <w:rFonts w:ascii="Times New Roman" w:hAnsi="Times New Roman" w:cs="Times New Roman"/>
          <w:bCs/>
          <w:color w:val="000000" w:themeColor="text1"/>
          <w:sz w:val="24"/>
          <w:szCs w:val="24"/>
        </w:rPr>
        <w:t>d</w:t>
      </w:r>
      <w:r w:rsidR="00122526">
        <w:rPr>
          <w:rFonts w:ascii="Times New Roman" w:hAnsi="Times New Roman" w:cs="Times New Roman"/>
          <w:bCs/>
          <w:color w:val="000000" w:themeColor="text1"/>
          <w:sz w:val="24"/>
          <w:szCs w:val="24"/>
        </w:rPr>
        <w:t xml:space="preserve"> but may </w:t>
      </w:r>
      <w:r w:rsidR="00B06B8D">
        <w:rPr>
          <w:rFonts w:ascii="Times New Roman" w:hAnsi="Times New Roman" w:cs="Times New Roman"/>
          <w:bCs/>
          <w:color w:val="000000" w:themeColor="text1"/>
          <w:sz w:val="24"/>
          <w:szCs w:val="24"/>
        </w:rPr>
        <w:t xml:space="preserve">be </w:t>
      </w:r>
      <w:r w:rsidR="00BB428A">
        <w:rPr>
          <w:rFonts w:ascii="Times New Roman" w:hAnsi="Times New Roman" w:cs="Times New Roman"/>
          <w:bCs/>
          <w:color w:val="000000" w:themeColor="text1"/>
          <w:sz w:val="24"/>
          <w:szCs w:val="24"/>
        </w:rPr>
        <w:t xml:space="preserve">imposed </w:t>
      </w:r>
      <w:r w:rsidR="00EB6A04">
        <w:rPr>
          <w:rFonts w:ascii="Times New Roman" w:hAnsi="Times New Roman" w:cs="Times New Roman"/>
          <w:bCs/>
          <w:color w:val="000000" w:themeColor="text1"/>
          <w:sz w:val="24"/>
          <w:szCs w:val="24"/>
        </w:rPr>
        <w:t xml:space="preserve">where </w:t>
      </w:r>
      <w:r w:rsidR="00BA5649">
        <w:rPr>
          <w:rFonts w:ascii="Times New Roman" w:hAnsi="Times New Roman" w:cs="Times New Roman"/>
          <w:bCs/>
          <w:color w:val="000000" w:themeColor="text1"/>
          <w:sz w:val="24"/>
          <w:szCs w:val="24"/>
        </w:rPr>
        <w:t>extensi</w:t>
      </w:r>
      <w:r w:rsidR="0065305D">
        <w:rPr>
          <w:rFonts w:ascii="Times New Roman" w:hAnsi="Times New Roman" w:cs="Times New Roman"/>
          <w:bCs/>
          <w:color w:val="000000" w:themeColor="text1"/>
          <w:sz w:val="24"/>
          <w:szCs w:val="24"/>
        </w:rPr>
        <w:t>ve repairs</w:t>
      </w:r>
      <w:r w:rsidR="002F0E82">
        <w:rPr>
          <w:rFonts w:ascii="Times New Roman" w:hAnsi="Times New Roman" w:cs="Times New Roman"/>
          <w:bCs/>
          <w:color w:val="000000" w:themeColor="text1"/>
          <w:sz w:val="24"/>
          <w:szCs w:val="24"/>
        </w:rPr>
        <w:t>,</w:t>
      </w:r>
      <w:r w:rsidR="0065305D">
        <w:rPr>
          <w:rFonts w:ascii="Times New Roman" w:hAnsi="Times New Roman" w:cs="Times New Roman"/>
          <w:bCs/>
          <w:color w:val="000000" w:themeColor="text1"/>
          <w:sz w:val="24"/>
          <w:szCs w:val="24"/>
        </w:rPr>
        <w:t xml:space="preserve"> </w:t>
      </w:r>
      <w:r w:rsidR="006B4D68">
        <w:rPr>
          <w:rFonts w:ascii="Times New Roman" w:hAnsi="Times New Roman" w:cs="Times New Roman"/>
          <w:bCs/>
          <w:color w:val="000000" w:themeColor="text1"/>
          <w:sz w:val="24"/>
          <w:szCs w:val="24"/>
        </w:rPr>
        <w:t>re-pricing of units</w:t>
      </w:r>
      <w:r w:rsidR="002F0E82">
        <w:rPr>
          <w:rFonts w:ascii="Times New Roman" w:hAnsi="Times New Roman" w:cs="Times New Roman"/>
          <w:bCs/>
          <w:color w:val="000000" w:themeColor="text1"/>
          <w:sz w:val="24"/>
          <w:szCs w:val="24"/>
        </w:rPr>
        <w:t xml:space="preserve"> or market instability</w:t>
      </w:r>
      <w:r w:rsidR="00D03257">
        <w:rPr>
          <w:rFonts w:ascii="Times New Roman" w:hAnsi="Times New Roman" w:cs="Times New Roman"/>
          <w:bCs/>
          <w:color w:val="000000" w:themeColor="text1"/>
          <w:sz w:val="24"/>
          <w:szCs w:val="24"/>
        </w:rPr>
        <w:t xml:space="preserve"> </w:t>
      </w:r>
      <w:r w:rsidR="00546704">
        <w:rPr>
          <w:rFonts w:ascii="Times New Roman" w:hAnsi="Times New Roman" w:cs="Times New Roman"/>
          <w:bCs/>
          <w:color w:val="000000" w:themeColor="text1"/>
          <w:sz w:val="24"/>
          <w:szCs w:val="24"/>
        </w:rPr>
        <w:t>require mitigation of such risks.</w:t>
      </w:r>
    </w:p>
    <w:p w:rsidR="00CC14F2" w:rsidP="00646839" w:rsidRDefault="00CC14F2" w14:paraId="37A3FFF7" w14:textId="77777777">
      <w:pPr>
        <w:ind w:left="720" w:hanging="360"/>
        <w:jc w:val="both"/>
        <w:rPr>
          <w:rFonts w:ascii="Times New Roman" w:hAnsi="Times New Roman" w:cs="Times New Roman"/>
          <w:bCs/>
          <w:color w:val="000000" w:themeColor="text1"/>
          <w:sz w:val="24"/>
          <w:szCs w:val="24"/>
        </w:rPr>
      </w:pPr>
    </w:p>
    <w:p w:rsidR="00C96456" w:rsidP="00646839" w:rsidRDefault="00245905" w14:paraId="284DDFB2" w14:textId="2C1CC35A">
      <w:pPr>
        <w:ind w:left="72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ab/>
      </w:r>
      <w:r w:rsidR="00F41F25">
        <w:rPr>
          <w:rFonts w:ascii="Times New Roman" w:hAnsi="Times New Roman" w:cs="Times New Roman"/>
          <w:bCs/>
          <w:color w:val="000000" w:themeColor="text1"/>
          <w:sz w:val="24"/>
          <w:szCs w:val="24"/>
        </w:rPr>
        <w:t>Newly built</w:t>
      </w:r>
      <w:r w:rsidR="008A40E3">
        <w:rPr>
          <w:rFonts w:ascii="Times New Roman" w:hAnsi="Times New Roman" w:cs="Times New Roman"/>
          <w:bCs/>
          <w:color w:val="000000" w:themeColor="text1"/>
          <w:sz w:val="24"/>
          <w:szCs w:val="24"/>
        </w:rPr>
        <w:t xml:space="preserve"> </w:t>
      </w:r>
      <w:r w:rsidRPr="00824319" w:rsidR="00824319">
        <w:rPr>
          <w:rFonts w:ascii="Times New Roman" w:hAnsi="Times New Roman" w:cs="Times New Roman"/>
          <w:bCs/>
          <w:color w:val="000000" w:themeColor="text1"/>
          <w:sz w:val="24"/>
          <w:szCs w:val="24"/>
        </w:rPr>
        <w:t>or substantially rehabilitated properties</w:t>
      </w:r>
      <w:r w:rsidR="0021103A">
        <w:rPr>
          <w:rFonts w:ascii="Times New Roman" w:hAnsi="Times New Roman" w:cs="Times New Roman"/>
          <w:bCs/>
          <w:color w:val="000000" w:themeColor="text1"/>
          <w:sz w:val="24"/>
          <w:szCs w:val="24"/>
        </w:rPr>
        <w:t xml:space="preserve"> (certificates of occupancy less than 3 years prior to application)</w:t>
      </w:r>
      <w:r w:rsidRPr="00824319" w:rsidR="00824319">
        <w:rPr>
          <w:rFonts w:ascii="Times New Roman" w:hAnsi="Times New Roman" w:cs="Times New Roman"/>
          <w:bCs/>
          <w:color w:val="000000" w:themeColor="text1"/>
          <w:sz w:val="24"/>
          <w:szCs w:val="24"/>
        </w:rPr>
        <w:t xml:space="preserve"> will be accepted as soon as properties achieve the applicable programmatic </w:t>
      </w:r>
      <w:r w:rsidR="005F6449">
        <w:rPr>
          <w:rFonts w:ascii="Times New Roman" w:hAnsi="Times New Roman" w:cs="Times New Roman"/>
          <w:bCs/>
          <w:color w:val="000000" w:themeColor="text1"/>
          <w:sz w:val="24"/>
          <w:szCs w:val="24"/>
        </w:rPr>
        <w:t>d</w:t>
      </w:r>
      <w:r w:rsidRPr="00824319" w:rsidR="005F6449">
        <w:rPr>
          <w:rFonts w:ascii="Times New Roman" w:hAnsi="Times New Roman" w:cs="Times New Roman"/>
          <w:bCs/>
          <w:color w:val="000000" w:themeColor="text1"/>
          <w:sz w:val="24"/>
          <w:szCs w:val="24"/>
        </w:rPr>
        <w:t xml:space="preserve">ebt </w:t>
      </w:r>
      <w:r w:rsidR="005F6449">
        <w:rPr>
          <w:rFonts w:ascii="Times New Roman" w:hAnsi="Times New Roman" w:cs="Times New Roman"/>
          <w:bCs/>
          <w:color w:val="000000" w:themeColor="text1"/>
          <w:sz w:val="24"/>
          <w:szCs w:val="24"/>
        </w:rPr>
        <w:t>s</w:t>
      </w:r>
      <w:r w:rsidRPr="00824319" w:rsidR="00824319">
        <w:rPr>
          <w:rFonts w:ascii="Times New Roman" w:hAnsi="Times New Roman" w:cs="Times New Roman"/>
          <w:bCs/>
          <w:color w:val="000000" w:themeColor="text1"/>
          <w:sz w:val="24"/>
          <w:szCs w:val="24"/>
        </w:rPr>
        <w:t xml:space="preserve">ervice </w:t>
      </w:r>
      <w:r w:rsidR="005F6449">
        <w:rPr>
          <w:rFonts w:ascii="Times New Roman" w:hAnsi="Times New Roman" w:cs="Times New Roman"/>
          <w:bCs/>
          <w:color w:val="000000" w:themeColor="text1"/>
          <w:sz w:val="24"/>
          <w:szCs w:val="24"/>
        </w:rPr>
        <w:t>c</w:t>
      </w:r>
      <w:r w:rsidRPr="00824319" w:rsidR="00824319">
        <w:rPr>
          <w:rFonts w:ascii="Times New Roman" w:hAnsi="Times New Roman" w:cs="Times New Roman"/>
          <w:bCs/>
          <w:color w:val="000000" w:themeColor="text1"/>
          <w:sz w:val="24"/>
          <w:szCs w:val="24"/>
        </w:rPr>
        <w:t xml:space="preserve">overage </w:t>
      </w:r>
      <w:r w:rsidR="005F6449">
        <w:rPr>
          <w:rFonts w:ascii="Times New Roman" w:hAnsi="Times New Roman" w:cs="Times New Roman"/>
          <w:bCs/>
          <w:color w:val="000000" w:themeColor="text1"/>
          <w:sz w:val="24"/>
          <w:szCs w:val="24"/>
        </w:rPr>
        <w:t>r</w:t>
      </w:r>
      <w:r w:rsidRPr="00824319" w:rsidR="00824319">
        <w:rPr>
          <w:rFonts w:ascii="Times New Roman" w:hAnsi="Times New Roman" w:cs="Times New Roman"/>
          <w:bCs/>
          <w:color w:val="000000" w:themeColor="text1"/>
          <w:sz w:val="24"/>
          <w:szCs w:val="24"/>
        </w:rPr>
        <w:t>atio (</w:t>
      </w:r>
      <w:r w:rsidRPr="00824319" w:rsidR="00580FC3">
        <w:rPr>
          <w:rFonts w:ascii="Times New Roman" w:hAnsi="Times New Roman" w:cs="Times New Roman"/>
          <w:bCs/>
          <w:color w:val="000000" w:themeColor="text1"/>
          <w:sz w:val="24"/>
          <w:szCs w:val="24"/>
        </w:rPr>
        <w:t>DSCR) for</w:t>
      </w:r>
      <w:r w:rsidRPr="00824319" w:rsidR="00824319">
        <w:rPr>
          <w:rFonts w:ascii="Times New Roman" w:hAnsi="Times New Roman" w:cs="Times New Roman"/>
          <w:bCs/>
          <w:color w:val="000000" w:themeColor="text1"/>
          <w:sz w:val="24"/>
          <w:szCs w:val="24"/>
        </w:rPr>
        <w:t xml:space="preserve"> not less than </w:t>
      </w:r>
      <w:r w:rsidR="00873958">
        <w:rPr>
          <w:rFonts w:ascii="Times New Roman" w:hAnsi="Times New Roman" w:cs="Times New Roman"/>
          <w:bCs/>
          <w:color w:val="000000" w:themeColor="text1"/>
          <w:sz w:val="24"/>
          <w:szCs w:val="24"/>
        </w:rPr>
        <w:t>one full month</w:t>
      </w:r>
      <w:r w:rsidRPr="00824319" w:rsidR="00824319">
        <w:rPr>
          <w:rFonts w:ascii="Times New Roman" w:hAnsi="Times New Roman" w:cs="Times New Roman"/>
          <w:bCs/>
          <w:color w:val="000000" w:themeColor="text1"/>
          <w:sz w:val="24"/>
          <w:szCs w:val="24"/>
        </w:rPr>
        <w:t xml:space="preserve">. </w:t>
      </w:r>
      <w:r w:rsidR="00F676A5">
        <w:rPr>
          <w:rFonts w:ascii="Times New Roman" w:hAnsi="Times New Roman" w:cs="Times New Roman"/>
          <w:bCs/>
          <w:color w:val="000000" w:themeColor="text1"/>
          <w:sz w:val="24"/>
          <w:szCs w:val="24"/>
        </w:rPr>
        <w:t>However, and notwithstanding this allowance, MAP lenders</w:t>
      </w:r>
      <w:r w:rsidR="000B18E9">
        <w:rPr>
          <w:rFonts w:ascii="Times New Roman" w:hAnsi="Times New Roman" w:cs="Times New Roman"/>
          <w:bCs/>
          <w:color w:val="000000" w:themeColor="text1"/>
          <w:sz w:val="24"/>
          <w:szCs w:val="24"/>
        </w:rPr>
        <w:t xml:space="preserve"> should be careful to submit only those</w:t>
      </w:r>
      <w:r w:rsidR="00F676A5">
        <w:rPr>
          <w:rFonts w:ascii="Times New Roman" w:hAnsi="Times New Roman" w:cs="Times New Roman"/>
          <w:bCs/>
          <w:color w:val="000000" w:themeColor="text1"/>
          <w:sz w:val="24"/>
          <w:szCs w:val="24"/>
        </w:rPr>
        <w:t xml:space="preserve"> applications for mortgage insurance that </w:t>
      </w:r>
      <w:r w:rsidR="00A8425D">
        <w:rPr>
          <w:rFonts w:ascii="Times New Roman" w:hAnsi="Times New Roman" w:cs="Times New Roman"/>
          <w:bCs/>
          <w:color w:val="000000" w:themeColor="text1"/>
          <w:sz w:val="24"/>
          <w:szCs w:val="24"/>
        </w:rPr>
        <w:t xml:space="preserve">will </w:t>
      </w:r>
      <w:r w:rsidR="00F676A5">
        <w:rPr>
          <w:rFonts w:ascii="Times New Roman" w:hAnsi="Times New Roman" w:cs="Times New Roman"/>
          <w:bCs/>
          <w:color w:val="000000" w:themeColor="text1"/>
          <w:sz w:val="24"/>
          <w:szCs w:val="24"/>
        </w:rPr>
        <w:t xml:space="preserve">meet the underwriting requirements set forth below such that endorsement can </w:t>
      </w:r>
      <w:r w:rsidR="000B18E9">
        <w:rPr>
          <w:rFonts w:ascii="Times New Roman" w:hAnsi="Times New Roman" w:cs="Times New Roman"/>
          <w:bCs/>
          <w:color w:val="000000" w:themeColor="text1"/>
          <w:sz w:val="24"/>
          <w:szCs w:val="24"/>
        </w:rPr>
        <w:t xml:space="preserve">reasonably </w:t>
      </w:r>
      <w:r w:rsidR="00F676A5">
        <w:rPr>
          <w:rFonts w:ascii="Times New Roman" w:hAnsi="Times New Roman" w:cs="Times New Roman"/>
          <w:bCs/>
          <w:color w:val="000000" w:themeColor="text1"/>
          <w:sz w:val="24"/>
          <w:szCs w:val="24"/>
        </w:rPr>
        <w:t xml:space="preserve">take place no more than sixty days after issuance of the firm commitment. </w:t>
      </w:r>
      <w:r w:rsidRPr="0023547C" w:rsidR="00F70E02">
        <w:rPr>
          <w:rFonts w:ascii="Times New Roman" w:hAnsi="Times New Roman" w:cs="Times New Roman"/>
          <w:bCs/>
          <w:color w:val="000000" w:themeColor="text1"/>
          <w:sz w:val="24"/>
          <w:szCs w:val="24"/>
        </w:rPr>
        <w:t xml:space="preserve">All projects submitted to HUD for mortgage insurance within three years of issuance of the final Certificate of Occupancy must </w:t>
      </w:r>
      <w:r w:rsidR="00E460F0">
        <w:rPr>
          <w:rFonts w:ascii="Times New Roman" w:hAnsi="Times New Roman" w:cs="Times New Roman"/>
          <w:bCs/>
          <w:color w:val="000000" w:themeColor="text1"/>
          <w:sz w:val="24"/>
          <w:szCs w:val="24"/>
        </w:rPr>
        <w:t xml:space="preserve">meet </w:t>
      </w:r>
      <w:r w:rsidRPr="00C96456" w:rsidR="00C96456">
        <w:rPr>
          <w:rFonts w:ascii="Times New Roman" w:hAnsi="Times New Roman" w:cs="Times New Roman"/>
          <w:bCs/>
          <w:color w:val="000000" w:themeColor="text1"/>
          <w:sz w:val="24"/>
          <w:szCs w:val="24"/>
        </w:rPr>
        <w:t xml:space="preserve">the </w:t>
      </w:r>
      <w:r w:rsidRPr="00C96456" w:rsidR="00580FC3">
        <w:rPr>
          <w:rFonts w:ascii="Times New Roman" w:hAnsi="Times New Roman" w:cs="Times New Roman"/>
          <w:bCs/>
          <w:color w:val="000000" w:themeColor="text1"/>
          <w:sz w:val="24"/>
          <w:szCs w:val="24"/>
        </w:rPr>
        <w:t>following underwriting</w:t>
      </w:r>
      <w:r w:rsidRPr="00C96456" w:rsidR="00C96456">
        <w:rPr>
          <w:rFonts w:ascii="Times New Roman" w:hAnsi="Times New Roman" w:cs="Times New Roman"/>
          <w:bCs/>
          <w:color w:val="000000" w:themeColor="text1"/>
          <w:sz w:val="24"/>
          <w:szCs w:val="24"/>
        </w:rPr>
        <w:t xml:space="preserve"> conditions, in addition to those currently set forth in the MAP Guide as part of an application for mortgage insurance</w:t>
      </w:r>
      <w:r w:rsidR="0062121F">
        <w:rPr>
          <w:rFonts w:ascii="Times New Roman" w:hAnsi="Times New Roman" w:cs="Times New Roman"/>
          <w:bCs/>
          <w:color w:val="000000" w:themeColor="text1"/>
          <w:sz w:val="24"/>
          <w:szCs w:val="24"/>
        </w:rPr>
        <w:t>.</w:t>
      </w:r>
      <w:r w:rsidRPr="00C96456" w:rsidR="00C96456">
        <w:rPr>
          <w:rFonts w:ascii="Times New Roman" w:hAnsi="Times New Roman" w:cs="Times New Roman"/>
          <w:bCs/>
          <w:color w:val="000000" w:themeColor="text1"/>
          <w:sz w:val="24"/>
          <w:szCs w:val="24"/>
        </w:rPr>
        <w:t xml:space="preserve">  </w:t>
      </w:r>
    </w:p>
    <w:p w:rsidRPr="00C96456" w:rsidR="00824319" w:rsidP="003A306C" w:rsidRDefault="00824319" w14:paraId="320B4B52" w14:textId="77777777">
      <w:pPr>
        <w:ind w:left="360"/>
        <w:rPr>
          <w:rFonts w:ascii="Times New Roman" w:hAnsi="Times New Roman" w:cs="Times New Roman"/>
          <w:bCs/>
          <w:color w:val="000000" w:themeColor="text1"/>
          <w:sz w:val="24"/>
          <w:szCs w:val="24"/>
        </w:rPr>
      </w:pPr>
    </w:p>
    <w:p w:rsidRPr="00316960" w:rsidR="00F70E02" w:rsidP="00C50C64" w:rsidRDefault="00BE05B3" w14:paraId="3770628F" w14:textId="692648ED">
      <w:pPr>
        <w:spacing w:line="276" w:lineRule="auto"/>
        <w:ind w:left="108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ab/>
      </w:r>
      <w:r w:rsidRPr="00316960" w:rsidR="006C6B02">
        <w:rPr>
          <w:rFonts w:ascii="Times New Roman" w:hAnsi="Times New Roman" w:cs="Times New Roman"/>
          <w:bCs/>
          <w:color w:val="000000" w:themeColor="text1"/>
          <w:sz w:val="24"/>
          <w:szCs w:val="24"/>
        </w:rPr>
        <w:t>The project m</w:t>
      </w:r>
      <w:r w:rsidRPr="00316960" w:rsidR="00C80F1C">
        <w:rPr>
          <w:rFonts w:ascii="Times New Roman" w:hAnsi="Times New Roman" w:cs="Times New Roman"/>
          <w:bCs/>
          <w:color w:val="000000" w:themeColor="text1"/>
          <w:sz w:val="24"/>
          <w:szCs w:val="24"/>
        </w:rPr>
        <w:t xml:space="preserve">ust </w:t>
      </w:r>
      <w:r w:rsidRPr="00316960" w:rsidR="00F70E02">
        <w:rPr>
          <w:rFonts w:ascii="Times New Roman" w:hAnsi="Times New Roman" w:cs="Times New Roman"/>
          <w:bCs/>
          <w:color w:val="000000" w:themeColor="text1"/>
          <w:sz w:val="24"/>
          <w:szCs w:val="24"/>
        </w:rPr>
        <w:t xml:space="preserve">evidence a minimum </w:t>
      </w:r>
      <w:r w:rsidR="0062121F">
        <w:rPr>
          <w:rFonts w:ascii="Times New Roman" w:hAnsi="Times New Roman" w:cs="Times New Roman"/>
          <w:bCs/>
          <w:color w:val="000000" w:themeColor="text1"/>
          <w:sz w:val="24"/>
          <w:szCs w:val="24"/>
        </w:rPr>
        <w:t>d</w:t>
      </w:r>
      <w:r w:rsidRPr="00BE05B3" w:rsidR="00F70E02">
        <w:rPr>
          <w:rFonts w:ascii="Times New Roman" w:hAnsi="Times New Roman" w:cs="Times New Roman"/>
          <w:bCs/>
          <w:color w:val="000000" w:themeColor="text1"/>
          <w:sz w:val="24"/>
          <w:szCs w:val="24"/>
        </w:rPr>
        <w:t xml:space="preserve">ebt </w:t>
      </w:r>
      <w:r w:rsidR="0062121F">
        <w:rPr>
          <w:rFonts w:ascii="Times New Roman" w:hAnsi="Times New Roman" w:cs="Times New Roman"/>
          <w:bCs/>
          <w:color w:val="000000" w:themeColor="text1"/>
          <w:sz w:val="24"/>
          <w:szCs w:val="24"/>
        </w:rPr>
        <w:t>s</w:t>
      </w:r>
      <w:r w:rsidRPr="00BE05B3" w:rsidR="00F70E02">
        <w:rPr>
          <w:rFonts w:ascii="Times New Roman" w:hAnsi="Times New Roman" w:cs="Times New Roman"/>
          <w:bCs/>
          <w:color w:val="000000" w:themeColor="text1"/>
          <w:sz w:val="24"/>
          <w:szCs w:val="24"/>
        </w:rPr>
        <w:t xml:space="preserve">ervice </w:t>
      </w:r>
      <w:r w:rsidR="0062121F">
        <w:rPr>
          <w:rFonts w:ascii="Times New Roman" w:hAnsi="Times New Roman" w:cs="Times New Roman"/>
          <w:bCs/>
          <w:color w:val="000000" w:themeColor="text1"/>
          <w:sz w:val="24"/>
          <w:szCs w:val="24"/>
        </w:rPr>
        <w:t>c</w:t>
      </w:r>
      <w:r w:rsidRPr="00BE05B3" w:rsidR="00F70E02">
        <w:rPr>
          <w:rFonts w:ascii="Times New Roman" w:hAnsi="Times New Roman" w:cs="Times New Roman"/>
          <w:bCs/>
          <w:color w:val="000000" w:themeColor="text1"/>
          <w:sz w:val="24"/>
          <w:szCs w:val="24"/>
        </w:rPr>
        <w:t xml:space="preserve">overage </w:t>
      </w:r>
      <w:r w:rsidR="0062121F">
        <w:rPr>
          <w:rFonts w:ascii="Times New Roman" w:hAnsi="Times New Roman" w:cs="Times New Roman"/>
          <w:bCs/>
          <w:color w:val="000000" w:themeColor="text1"/>
          <w:sz w:val="24"/>
          <w:szCs w:val="24"/>
        </w:rPr>
        <w:t>r</w:t>
      </w:r>
      <w:r w:rsidRPr="00BE05B3" w:rsidR="00323D32">
        <w:rPr>
          <w:rFonts w:ascii="Times New Roman" w:hAnsi="Times New Roman" w:cs="Times New Roman"/>
          <w:bCs/>
          <w:color w:val="000000" w:themeColor="text1"/>
          <w:sz w:val="24"/>
          <w:szCs w:val="24"/>
        </w:rPr>
        <w:t>atio</w:t>
      </w:r>
      <w:r w:rsidRPr="00316960" w:rsidR="00323D32">
        <w:rPr>
          <w:rFonts w:ascii="Times New Roman" w:hAnsi="Times New Roman" w:cs="Times New Roman"/>
          <w:bCs/>
          <w:color w:val="000000" w:themeColor="text1"/>
          <w:sz w:val="24"/>
          <w:szCs w:val="24"/>
        </w:rPr>
        <w:t xml:space="preserve"> </w:t>
      </w:r>
      <w:r w:rsidRPr="00316960" w:rsidR="00F70E02">
        <w:rPr>
          <w:rFonts w:ascii="Times New Roman" w:hAnsi="Times New Roman" w:cs="Times New Roman"/>
          <w:bCs/>
          <w:color w:val="000000" w:themeColor="text1"/>
          <w:sz w:val="24"/>
          <w:szCs w:val="24"/>
        </w:rPr>
        <w:t>(DSC</w:t>
      </w:r>
      <w:r w:rsidRPr="00316960" w:rsidR="00323D32">
        <w:rPr>
          <w:rFonts w:ascii="Times New Roman" w:hAnsi="Times New Roman" w:cs="Times New Roman"/>
          <w:bCs/>
          <w:color w:val="000000" w:themeColor="text1"/>
          <w:sz w:val="24"/>
          <w:szCs w:val="24"/>
        </w:rPr>
        <w:t>R</w:t>
      </w:r>
      <w:r w:rsidRPr="00316960" w:rsidR="00F70E02">
        <w:rPr>
          <w:rFonts w:ascii="Times New Roman" w:hAnsi="Times New Roman" w:cs="Times New Roman"/>
          <w:bCs/>
          <w:color w:val="000000" w:themeColor="text1"/>
          <w:sz w:val="24"/>
          <w:szCs w:val="24"/>
        </w:rPr>
        <w:t xml:space="preserve">) </w:t>
      </w:r>
      <w:r w:rsidR="00343AA0">
        <w:rPr>
          <w:rFonts w:ascii="Times New Roman" w:hAnsi="Times New Roman" w:cs="Times New Roman"/>
          <w:bCs/>
          <w:color w:val="000000" w:themeColor="text1"/>
          <w:sz w:val="24"/>
          <w:szCs w:val="24"/>
        </w:rPr>
        <w:t>con</w:t>
      </w:r>
      <w:r w:rsidR="00642E0C">
        <w:rPr>
          <w:rFonts w:ascii="Times New Roman" w:hAnsi="Times New Roman" w:cs="Times New Roman"/>
          <w:bCs/>
          <w:color w:val="000000" w:themeColor="text1"/>
          <w:sz w:val="24"/>
          <w:szCs w:val="24"/>
        </w:rPr>
        <w:t xml:space="preserve">sistent with the requirements for Criterion 5 as </w:t>
      </w:r>
      <w:r w:rsidR="003F0720">
        <w:rPr>
          <w:rFonts w:ascii="Times New Roman" w:hAnsi="Times New Roman" w:cs="Times New Roman"/>
          <w:bCs/>
          <w:color w:val="000000" w:themeColor="text1"/>
          <w:sz w:val="24"/>
          <w:szCs w:val="24"/>
        </w:rPr>
        <w:t>stated in Chapter 3.7.J below</w:t>
      </w:r>
      <w:r w:rsidRPr="00316960" w:rsidR="00F70E02">
        <w:rPr>
          <w:rFonts w:ascii="Times New Roman" w:hAnsi="Times New Roman" w:cs="Times New Roman"/>
          <w:bCs/>
          <w:color w:val="000000" w:themeColor="text1"/>
          <w:sz w:val="24"/>
          <w:szCs w:val="24"/>
        </w:rPr>
        <w:t xml:space="preserve"> for a period of </w:t>
      </w:r>
      <w:r w:rsidRPr="00316960" w:rsidR="00873958">
        <w:rPr>
          <w:rFonts w:ascii="Times New Roman" w:hAnsi="Times New Roman" w:cs="Times New Roman"/>
          <w:bCs/>
          <w:color w:val="000000" w:themeColor="text1"/>
          <w:sz w:val="24"/>
          <w:szCs w:val="24"/>
        </w:rPr>
        <w:t>three consecutive months</w:t>
      </w:r>
      <w:r w:rsidRPr="00316960" w:rsidR="00F70E02">
        <w:rPr>
          <w:rFonts w:ascii="Times New Roman" w:hAnsi="Times New Roman" w:cs="Times New Roman"/>
          <w:bCs/>
          <w:color w:val="000000" w:themeColor="text1"/>
          <w:sz w:val="24"/>
          <w:szCs w:val="24"/>
        </w:rPr>
        <w:t xml:space="preserve"> prior to loan endorsement.  </w:t>
      </w:r>
    </w:p>
    <w:p w:rsidRPr="003A306C" w:rsidR="00F70E02" w:rsidP="00F70E02" w:rsidRDefault="00F70E02" w14:paraId="6D81CF5A" w14:textId="77777777">
      <w:pPr>
        <w:spacing w:line="276" w:lineRule="auto"/>
        <w:ind w:left="360"/>
        <w:jc w:val="both"/>
        <w:rPr>
          <w:rFonts w:ascii="Times New Roman" w:hAnsi="Times New Roman" w:cs="Times New Roman"/>
          <w:bCs/>
          <w:color w:val="000000" w:themeColor="text1"/>
          <w:sz w:val="24"/>
          <w:szCs w:val="24"/>
        </w:rPr>
      </w:pPr>
    </w:p>
    <w:p w:rsidRPr="00316960" w:rsidR="00F70E02" w:rsidP="00931035" w:rsidRDefault="00385A3C" w14:paraId="27FCB3DF" w14:textId="2E6374E7">
      <w:pPr>
        <w:spacing w:line="276" w:lineRule="auto"/>
        <w:ind w:left="108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w:t>
      </w:r>
      <w:r w:rsidR="00931035">
        <w:rPr>
          <w:rFonts w:ascii="Times New Roman" w:hAnsi="Times New Roman" w:cs="Times New Roman"/>
          <w:bCs/>
          <w:color w:val="000000" w:themeColor="text1"/>
          <w:sz w:val="24"/>
          <w:szCs w:val="24"/>
        </w:rPr>
        <w:t>.</w:t>
      </w:r>
      <w:r w:rsidR="00931035">
        <w:rPr>
          <w:rFonts w:ascii="Times New Roman" w:hAnsi="Times New Roman" w:cs="Times New Roman"/>
          <w:bCs/>
          <w:color w:val="000000" w:themeColor="text1"/>
          <w:sz w:val="24"/>
          <w:szCs w:val="24"/>
        </w:rPr>
        <w:tab/>
      </w:r>
      <w:r w:rsidRPr="00385A3C" w:rsidR="00F70E02">
        <w:rPr>
          <w:rFonts w:ascii="Times New Roman" w:hAnsi="Times New Roman" w:cs="Times New Roman"/>
          <w:bCs/>
          <w:color w:val="000000" w:themeColor="text1"/>
          <w:sz w:val="24"/>
          <w:szCs w:val="24"/>
        </w:rPr>
        <w:t>An</w:t>
      </w:r>
      <w:r w:rsidRPr="00316960" w:rsidR="00F70E02">
        <w:rPr>
          <w:rFonts w:ascii="Times New Roman" w:hAnsi="Times New Roman" w:cs="Times New Roman"/>
          <w:bCs/>
          <w:color w:val="000000" w:themeColor="text1"/>
          <w:sz w:val="24"/>
          <w:szCs w:val="24"/>
        </w:rPr>
        <w:t xml:space="preserve"> income and expense statement commencing </w:t>
      </w:r>
      <w:r w:rsidRPr="00316960" w:rsidR="006C6B02">
        <w:rPr>
          <w:rFonts w:ascii="Times New Roman" w:hAnsi="Times New Roman" w:cs="Times New Roman"/>
          <w:bCs/>
          <w:color w:val="000000" w:themeColor="text1"/>
          <w:sz w:val="24"/>
          <w:szCs w:val="24"/>
        </w:rPr>
        <w:t>with</w:t>
      </w:r>
      <w:r w:rsidRPr="00316960" w:rsidR="00F70E02">
        <w:rPr>
          <w:rFonts w:ascii="Times New Roman" w:hAnsi="Times New Roman" w:cs="Times New Roman"/>
          <w:bCs/>
          <w:color w:val="000000" w:themeColor="text1"/>
          <w:sz w:val="24"/>
          <w:szCs w:val="24"/>
        </w:rPr>
        <w:t xml:space="preserve"> initial occupancy to application submission, as well as a projection of income and expense for the succeeding twelve months. </w:t>
      </w:r>
    </w:p>
    <w:p w:rsidRPr="003A306C" w:rsidR="00F70E02" w:rsidP="00F70E02" w:rsidRDefault="00F70E02" w14:paraId="248D3560" w14:textId="77777777">
      <w:pPr>
        <w:spacing w:line="276" w:lineRule="auto"/>
        <w:ind w:left="360"/>
        <w:jc w:val="both"/>
        <w:rPr>
          <w:rFonts w:ascii="Times New Roman" w:hAnsi="Times New Roman" w:cs="Times New Roman"/>
          <w:bCs/>
          <w:color w:val="000000" w:themeColor="text1"/>
          <w:sz w:val="24"/>
          <w:szCs w:val="24"/>
        </w:rPr>
      </w:pPr>
    </w:p>
    <w:p w:rsidRPr="00316960" w:rsidR="00F70E02" w:rsidP="00931035" w:rsidRDefault="00931035" w14:paraId="584562AA" w14:textId="3AF56971">
      <w:pPr>
        <w:spacing w:line="276" w:lineRule="auto"/>
        <w:ind w:left="108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w:t>
      </w:r>
      <w:r>
        <w:rPr>
          <w:rFonts w:ascii="Times New Roman" w:hAnsi="Times New Roman" w:cs="Times New Roman"/>
          <w:bCs/>
          <w:color w:val="000000" w:themeColor="text1"/>
          <w:sz w:val="24"/>
          <w:szCs w:val="24"/>
        </w:rPr>
        <w:tab/>
      </w:r>
      <w:r w:rsidRPr="00316960" w:rsidR="00F70E02">
        <w:rPr>
          <w:rFonts w:ascii="Times New Roman" w:hAnsi="Times New Roman" w:cs="Times New Roman"/>
          <w:bCs/>
          <w:color w:val="000000" w:themeColor="text1"/>
          <w:sz w:val="24"/>
          <w:szCs w:val="24"/>
        </w:rPr>
        <w:t xml:space="preserve">A current rent roll evidencing existing, achieved rents as well rents that were used to underwrite the existing first mortgage. </w:t>
      </w:r>
    </w:p>
    <w:p w:rsidRPr="003A306C" w:rsidR="00F70E02" w:rsidP="00F70E02" w:rsidRDefault="00F70E02" w14:paraId="78E6F5D6" w14:textId="77777777">
      <w:pPr>
        <w:spacing w:line="276" w:lineRule="auto"/>
        <w:ind w:left="360"/>
        <w:jc w:val="both"/>
        <w:rPr>
          <w:rFonts w:ascii="Times New Roman" w:hAnsi="Times New Roman" w:cs="Times New Roman"/>
          <w:bCs/>
          <w:color w:val="000000" w:themeColor="text1"/>
          <w:sz w:val="24"/>
          <w:szCs w:val="24"/>
        </w:rPr>
      </w:pPr>
    </w:p>
    <w:p w:rsidRPr="00316960" w:rsidR="00F70E02" w:rsidP="00931035" w:rsidRDefault="00931035" w14:paraId="4F720A07" w14:textId="30BE040D">
      <w:pPr>
        <w:spacing w:line="276" w:lineRule="auto"/>
        <w:ind w:left="108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w:t>
      </w:r>
      <w:r>
        <w:rPr>
          <w:rFonts w:ascii="Times New Roman" w:hAnsi="Times New Roman" w:cs="Times New Roman"/>
          <w:bCs/>
          <w:color w:val="000000" w:themeColor="text1"/>
          <w:sz w:val="24"/>
          <w:szCs w:val="24"/>
        </w:rPr>
        <w:tab/>
      </w:r>
      <w:r w:rsidRPr="00316960" w:rsidR="00F70E02">
        <w:rPr>
          <w:rFonts w:ascii="Times New Roman" w:hAnsi="Times New Roman" w:cs="Times New Roman"/>
          <w:bCs/>
          <w:color w:val="000000" w:themeColor="text1"/>
          <w:sz w:val="24"/>
          <w:szCs w:val="24"/>
        </w:rPr>
        <w:t xml:space="preserve">A leasing history of the project commencing from initial occupancy to application </w:t>
      </w:r>
      <w:r w:rsidRPr="00316960" w:rsidR="0097112B">
        <w:rPr>
          <w:rFonts w:ascii="Times New Roman" w:hAnsi="Times New Roman" w:cs="Times New Roman"/>
          <w:bCs/>
          <w:color w:val="000000" w:themeColor="text1"/>
          <w:sz w:val="24"/>
          <w:szCs w:val="24"/>
        </w:rPr>
        <w:t>submission,</w:t>
      </w:r>
      <w:r w:rsidRPr="00316960" w:rsidR="00F70E02">
        <w:rPr>
          <w:rFonts w:ascii="Times New Roman" w:hAnsi="Times New Roman" w:cs="Times New Roman"/>
          <w:bCs/>
          <w:color w:val="000000" w:themeColor="text1"/>
          <w:sz w:val="24"/>
          <w:szCs w:val="24"/>
        </w:rPr>
        <w:t xml:space="preserve"> as well as </w:t>
      </w:r>
      <w:r w:rsidRPr="00316960" w:rsidR="001D5B24">
        <w:rPr>
          <w:rFonts w:ascii="Times New Roman" w:hAnsi="Times New Roman" w:cs="Times New Roman"/>
          <w:bCs/>
          <w:color w:val="000000" w:themeColor="text1"/>
          <w:sz w:val="24"/>
          <w:szCs w:val="24"/>
        </w:rPr>
        <w:t>the lease</w:t>
      </w:r>
      <w:r w:rsidRPr="00316960" w:rsidR="00F70E02">
        <w:rPr>
          <w:rFonts w:ascii="Times New Roman" w:hAnsi="Times New Roman" w:cs="Times New Roman"/>
          <w:bCs/>
          <w:color w:val="000000" w:themeColor="text1"/>
          <w:sz w:val="24"/>
          <w:szCs w:val="24"/>
        </w:rPr>
        <w:t>-up projection used to underwrite the existing first mortgage.</w:t>
      </w:r>
    </w:p>
    <w:p w:rsidRPr="003A306C" w:rsidR="00F70E02" w:rsidP="00F70E02" w:rsidRDefault="00F70E02" w14:paraId="64F78EF9" w14:textId="77777777">
      <w:pPr>
        <w:spacing w:line="276" w:lineRule="auto"/>
        <w:ind w:left="360"/>
        <w:jc w:val="both"/>
        <w:rPr>
          <w:rFonts w:ascii="Times New Roman" w:hAnsi="Times New Roman" w:cs="Times New Roman"/>
          <w:bCs/>
          <w:color w:val="000000" w:themeColor="text1"/>
          <w:sz w:val="24"/>
          <w:szCs w:val="24"/>
        </w:rPr>
      </w:pPr>
    </w:p>
    <w:p w:rsidRPr="00316960" w:rsidR="00F70E02" w:rsidP="009732EB" w:rsidRDefault="009732EB" w14:paraId="0834DDE5" w14:textId="3A1F1BFA">
      <w:pPr>
        <w:spacing w:line="276" w:lineRule="auto"/>
        <w:ind w:left="108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w:t>
      </w:r>
      <w:r>
        <w:rPr>
          <w:rFonts w:ascii="Times New Roman" w:hAnsi="Times New Roman" w:cs="Times New Roman"/>
          <w:bCs/>
          <w:color w:val="000000" w:themeColor="text1"/>
          <w:sz w:val="24"/>
          <w:szCs w:val="24"/>
        </w:rPr>
        <w:tab/>
      </w:r>
      <w:r w:rsidRPr="00316960" w:rsidR="00F70E02">
        <w:rPr>
          <w:rFonts w:ascii="Times New Roman" w:hAnsi="Times New Roman" w:cs="Times New Roman"/>
          <w:bCs/>
          <w:color w:val="000000" w:themeColor="text1"/>
          <w:sz w:val="24"/>
          <w:szCs w:val="24"/>
        </w:rPr>
        <w:t xml:space="preserve">Rent concessions, other discounts and </w:t>
      </w:r>
      <w:r w:rsidRPr="00316960" w:rsidR="001D5B24">
        <w:rPr>
          <w:rFonts w:ascii="Times New Roman" w:hAnsi="Times New Roman" w:cs="Times New Roman"/>
          <w:bCs/>
          <w:color w:val="000000" w:themeColor="text1"/>
          <w:sz w:val="24"/>
          <w:szCs w:val="24"/>
        </w:rPr>
        <w:t>short-term</w:t>
      </w:r>
      <w:r w:rsidRPr="00316960" w:rsidR="00F70E02">
        <w:rPr>
          <w:rFonts w:ascii="Times New Roman" w:hAnsi="Times New Roman" w:cs="Times New Roman"/>
          <w:bCs/>
          <w:color w:val="000000" w:themeColor="text1"/>
          <w:sz w:val="24"/>
          <w:szCs w:val="24"/>
        </w:rPr>
        <w:t xml:space="preserve"> leases (less than 12 months) that are offered </w:t>
      </w:r>
      <w:r w:rsidRPr="00316960" w:rsidR="0097112B">
        <w:rPr>
          <w:rFonts w:ascii="Times New Roman" w:hAnsi="Times New Roman" w:cs="Times New Roman"/>
          <w:bCs/>
          <w:color w:val="000000" w:themeColor="text1"/>
          <w:sz w:val="24"/>
          <w:szCs w:val="24"/>
        </w:rPr>
        <w:t>by the</w:t>
      </w:r>
      <w:r w:rsidRPr="00316960" w:rsidR="00F70E02">
        <w:rPr>
          <w:rFonts w:ascii="Times New Roman" w:hAnsi="Times New Roman" w:cs="Times New Roman"/>
          <w:bCs/>
          <w:color w:val="000000" w:themeColor="text1"/>
          <w:sz w:val="24"/>
          <w:szCs w:val="24"/>
        </w:rPr>
        <w:t xml:space="preserve"> owner to induce a prospective tenant to enter into a lease must be disclosed and discussed in the Lender's Narrative.</w:t>
      </w:r>
    </w:p>
    <w:p w:rsidRPr="003A306C" w:rsidR="00F70E02" w:rsidP="00F70E02" w:rsidRDefault="00F70E02" w14:paraId="6F316232" w14:textId="77777777">
      <w:pPr>
        <w:spacing w:line="276" w:lineRule="auto"/>
        <w:ind w:left="360"/>
        <w:jc w:val="both"/>
        <w:rPr>
          <w:rFonts w:ascii="Times New Roman" w:hAnsi="Times New Roman" w:cs="Times New Roman"/>
          <w:bCs/>
          <w:color w:val="000000" w:themeColor="text1"/>
          <w:sz w:val="24"/>
          <w:szCs w:val="24"/>
        </w:rPr>
      </w:pPr>
    </w:p>
    <w:p w:rsidRPr="00316960" w:rsidR="00F70E02" w:rsidP="009732EB" w:rsidRDefault="009732EB" w14:paraId="5491075B" w14:textId="409851C0">
      <w:pPr>
        <w:spacing w:line="276" w:lineRule="auto"/>
        <w:ind w:left="108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w:t>
      </w:r>
      <w:r>
        <w:rPr>
          <w:rFonts w:ascii="Times New Roman" w:hAnsi="Times New Roman" w:cs="Times New Roman"/>
          <w:bCs/>
          <w:color w:val="000000" w:themeColor="text1"/>
          <w:sz w:val="24"/>
          <w:szCs w:val="24"/>
        </w:rPr>
        <w:tab/>
      </w:r>
      <w:r w:rsidRPr="00316960" w:rsidR="00F70E02">
        <w:rPr>
          <w:rFonts w:ascii="Times New Roman" w:hAnsi="Times New Roman" w:cs="Times New Roman"/>
          <w:bCs/>
          <w:color w:val="000000" w:themeColor="text1"/>
          <w:sz w:val="24"/>
          <w:szCs w:val="24"/>
        </w:rPr>
        <w:t xml:space="preserve">HUD will underwrite to actual revenue collected less normalized operating expenses in order to determine when and if the required programmatic DSCR has been achieved.  </w:t>
      </w:r>
    </w:p>
    <w:p w:rsidRPr="003A306C" w:rsidR="00F70E02" w:rsidP="00F70E02" w:rsidRDefault="00F70E02" w14:paraId="5AD41D2D" w14:textId="77777777">
      <w:pPr>
        <w:spacing w:line="276" w:lineRule="auto"/>
        <w:ind w:left="360"/>
        <w:jc w:val="both"/>
        <w:rPr>
          <w:rFonts w:ascii="Times New Roman" w:hAnsi="Times New Roman" w:cs="Times New Roman"/>
          <w:bCs/>
          <w:color w:val="000000" w:themeColor="text1"/>
          <w:sz w:val="24"/>
          <w:szCs w:val="24"/>
        </w:rPr>
      </w:pPr>
    </w:p>
    <w:p w:rsidR="00F676A5" w:rsidP="006A0032" w:rsidRDefault="009732EB" w14:paraId="77D6DB6E" w14:textId="29E7ECB2">
      <w:pPr>
        <w:spacing w:line="276" w:lineRule="auto"/>
        <w:ind w:left="108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w:t>
      </w:r>
      <w:r w:rsidR="004C7BB6">
        <w:rPr>
          <w:rFonts w:ascii="Times New Roman" w:hAnsi="Times New Roman" w:cs="Times New Roman"/>
          <w:bCs/>
          <w:color w:val="000000" w:themeColor="text1"/>
          <w:sz w:val="24"/>
          <w:szCs w:val="24"/>
        </w:rPr>
        <w:t>.</w:t>
      </w:r>
      <w:r w:rsidR="004C7BB6">
        <w:rPr>
          <w:rFonts w:ascii="Times New Roman" w:hAnsi="Times New Roman" w:cs="Times New Roman"/>
          <w:bCs/>
          <w:color w:val="000000" w:themeColor="text1"/>
          <w:sz w:val="24"/>
          <w:szCs w:val="24"/>
        </w:rPr>
        <w:tab/>
      </w:r>
      <w:r w:rsidRPr="003A306C" w:rsidR="00F70E02">
        <w:rPr>
          <w:rFonts w:ascii="Times New Roman" w:hAnsi="Times New Roman" w:cs="Times New Roman"/>
          <w:bCs/>
          <w:color w:val="000000" w:themeColor="text1"/>
          <w:sz w:val="24"/>
          <w:szCs w:val="24"/>
        </w:rPr>
        <w:t xml:space="preserve">A request for cash out </w:t>
      </w:r>
      <w:r w:rsidR="008D06E2">
        <w:rPr>
          <w:rFonts w:ascii="Times New Roman" w:hAnsi="Times New Roman" w:cs="Times New Roman"/>
          <w:bCs/>
          <w:color w:val="000000" w:themeColor="text1"/>
          <w:sz w:val="24"/>
          <w:szCs w:val="24"/>
        </w:rPr>
        <w:t>is</w:t>
      </w:r>
      <w:r w:rsidRPr="003A306C" w:rsidR="00F70E02">
        <w:rPr>
          <w:rFonts w:ascii="Times New Roman" w:hAnsi="Times New Roman" w:cs="Times New Roman"/>
          <w:bCs/>
          <w:color w:val="000000" w:themeColor="text1"/>
          <w:sz w:val="24"/>
          <w:szCs w:val="24"/>
        </w:rPr>
        <w:t xml:space="preserve"> permitted</w:t>
      </w:r>
      <w:r w:rsidR="002277AE">
        <w:rPr>
          <w:rFonts w:ascii="Times New Roman" w:hAnsi="Times New Roman" w:cs="Times New Roman"/>
          <w:bCs/>
          <w:color w:val="000000" w:themeColor="text1"/>
          <w:sz w:val="24"/>
          <w:szCs w:val="24"/>
        </w:rPr>
        <w:t xml:space="preserve"> subject to </w:t>
      </w:r>
      <w:r w:rsidR="00C527ED">
        <w:rPr>
          <w:rFonts w:ascii="Times New Roman" w:hAnsi="Times New Roman" w:cs="Times New Roman"/>
          <w:bCs/>
          <w:color w:val="000000" w:themeColor="text1"/>
          <w:sz w:val="24"/>
          <w:szCs w:val="24"/>
        </w:rPr>
        <w:t xml:space="preserve">the </w:t>
      </w:r>
      <w:r w:rsidR="00F07236">
        <w:rPr>
          <w:rFonts w:ascii="Times New Roman" w:hAnsi="Times New Roman" w:cs="Times New Roman"/>
          <w:bCs/>
          <w:color w:val="000000" w:themeColor="text1"/>
          <w:sz w:val="24"/>
          <w:szCs w:val="24"/>
        </w:rPr>
        <w:t xml:space="preserve">maximum loan to value ratio for Criterion 10 </w:t>
      </w:r>
      <w:r w:rsidR="00FB11A8">
        <w:rPr>
          <w:rFonts w:ascii="Times New Roman" w:hAnsi="Times New Roman" w:cs="Times New Roman"/>
          <w:bCs/>
          <w:color w:val="000000" w:themeColor="text1"/>
          <w:sz w:val="24"/>
          <w:szCs w:val="24"/>
        </w:rPr>
        <w:t xml:space="preserve">described in </w:t>
      </w:r>
      <w:r w:rsidR="00DA3D7A">
        <w:rPr>
          <w:rFonts w:ascii="Times New Roman" w:hAnsi="Times New Roman" w:cs="Times New Roman"/>
          <w:bCs/>
          <w:color w:val="000000" w:themeColor="text1"/>
          <w:sz w:val="24"/>
          <w:szCs w:val="24"/>
        </w:rPr>
        <w:t>3.7.J below</w:t>
      </w:r>
      <w:r w:rsidR="008D06E2">
        <w:rPr>
          <w:rFonts w:ascii="Times New Roman" w:hAnsi="Times New Roman" w:cs="Times New Roman"/>
          <w:bCs/>
          <w:color w:val="000000" w:themeColor="text1"/>
          <w:sz w:val="24"/>
          <w:szCs w:val="24"/>
        </w:rPr>
        <w:t>. H</w:t>
      </w:r>
      <w:r w:rsidRPr="003A306C" w:rsidR="003D201C">
        <w:rPr>
          <w:rFonts w:ascii="Times New Roman" w:hAnsi="Times New Roman" w:cs="Times New Roman"/>
          <w:bCs/>
          <w:color w:val="000000" w:themeColor="text1"/>
          <w:sz w:val="24"/>
          <w:szCs w:val="24"/>
        </w:rPr>
        <w:t>owever,</w:t>
      </w:r>
      <w:r w:rsidRPr="003A306C" w:rsidR="00F70E02">
        <w:rPr>
          <w:rFonts w:ascii="Times New Roman" w:hAnsi="Times New Roman" w:cs="Times New Roman"/>
          <w:bCs/>
          <w:color w:val="000000" w:themeColor="text1"/>
          <w:sz w:val="24"/>
          <w:szCs w:val="24"/>
        </w:rPr>
        <w:t xml:space="preserve"> 50% of the available cash </w:t>
      </w:r>
      <w:r w:rsidR="00A02288">
        <w:rPr>
          <w:rFonts w:ascii="Times New Roman" w:hAnsi="Times New Roman" w:cs="Times New Roman"/>
          <w:bCs/>
          <w:color w:val="000000" w:themeColor="text1"/>
          <w:sz w:val="24"/>
          <w:szCs w:val="24"/>
        </w:rPr>
        <w:t>must</w:t>
      </w:r>
      <w:r w:rsidRPr="003A306C" w:rsidR="00A02288">
        <w:rPr>
          <w:rFonts w:ascii="Times New Roman" w:hAnsi="Times New Roman" w:cs="Times New Roman"/>
          <w:bCs/>
          <w:color w:val="000000" w:themeColor="text1"/>
          <w:sz w:val="24"/>
          <w:szCs w:val="24"/>
        </w:rPr>
        <w:t xml:space="preserve"> </w:t>
      </w:r>
      <w:r w:rsidRPr="003A306C" w:rsidR="00F70E02">
        <w:rPr>
          <w:rFonts w:ascii="Times New Roman" w:hAnsi="Times New Roman" w:cs="Times New Roman"/>
          <w:bCs/>
          <w:color w:val="000000" w:themeColor="text1"/>
          <w:sz w:val="24"/>
          <w:szCs w:val="24"/>
        </w:rPr>
        <w:t xml:space="preserve">be held by the lender </w:t>
      </w:r>
      <w:r w:rsidR="00A02288">
        <w:rPr>
          <w:rFonts w:ascii="Times New Roman" w:hAnsi="Times New Roman" w:cs="Times New Roman"/>
          <w:bCs/>
          <w:color w:val="000000" w:themeColor="text1"/>
          <w:sz w:val="24"/>
          <w:szCs w:val="24"/>
        </w:rPr>
        <w:t>as a</w:t>
      </w:r>
      <w:r w:rsidR="00FD34D7">
        <w:rPr>
          <w:rFonts w:ascii="Times New Roman" w:hAnsi="Times New Roman" w:cs="Times New Roman"/>
          <w:bCs/>
          <w:color w:val="000000" w:themeColor="text1"/>
          <w:sz w:val="24"/>
          <w:szCs w:val="24"/>
        </w:rPr>
        <w:t xml:space="preserve"> debt service reserve</w:t>
      </w:r>
      <w:r w:rsidR="00A02288">
        <w:rPr>
          <w:rFonts w:ascii="Times New Roman" w:hAnsi="Times New Roman" w:cs="Times New Roman"/>
          <w:bCs/>
          <w:color w:val="000000" w:themeColor="text1"/>
          <w:sz w:val="24"/>
          <w:szCs w:val="24"/>
        </w:rPr>
        <w:t xml:space="preserve"> </w:t>
      </w:r>
      <w:r w:rsidRPr="003A306C" w:rsidR="00F70E02">
        <w:rPr>
          <w:rFonts w:ascii="Times New Roman" w:hAnsi="Times New Roman" w:cs="Times New Roman"/>
          <w:bCs/>
          <w:color w:val="000000" w:themeColor="text1"/>
          <w:sz w:val="24"/>
          <w:szCs w:val="24"/>
        </w:rPr>
        <w:t xml:space="preserve">until such time as the property achieves the </w:t>
      </w:r>
      <w:r w:rsidR="00DC34C1">
        <w:rPr>
          <w:rFonts w:ascii="Times New Roman" w:hAnsi="Times New Roman" w:cs="Times New Roman"/>
          <w:bCs/>
          <w:color w:val="000000" w:themeColor="text1"/>
          <w:sz w:val="24"/>
          <w:szCs w:val="24"/>
        </w:rPr>
        <w:t xml:space="preserve">applicable </w:t>
      </w:r>
      <w:r w:rsidR="003E4BAB">
        <w:rPr>
          <w:rFonts w:ascii="Times New Roman" w:hAnsi="Times New Roman" w:cs="Times New Roman"/>
          <w:bCs/>
          <w:color w:val="000000" w:themeColor="text1"/>
          <w:sz w:val="24"/>
          <w:szCs w:val="24"/>
        </w:rPr>
        <w:t xml:space="preserve">minimum </w:t>
      </w:r>
      <w:r w:rsidRPr="003A306C" w:rsidR="00F70E02">
        <w:rPr>
          <w:rFonts w:ascii="Times New Roman" w:hAnsi="Times New Roman" w:cs="Times New Roman"/>
          <w:bCs/>
          <w:color w:val="000000" w:themeColor="text1"/>
          <w:sz w:val="24"/>
          <w:szCs w:val="24"/>
        </w:rPr>
        <w:t>debt service coverage</w:t>
      </w:r>
      <w:r w:rsidR="003E4BAB">
        <w:rPr>
          <w:rFonts w:ascii="Times New Roman" w:hAnsi="Times New Roman" w:cs="Times New Roman"/>
          <w:bCs/>
          <w:color w:val="000000" w:themeColor="text1"/>
          <w:sz w:val="24"/>
          <w:szCs w:val="24"/>
        </w:rPr>
        <w:t xml:space="preserve"> for</w:t>
      </w:r>
      <w:r w:rsidRPr="003E4BAB" w:rsidR="003E4BAB">
        <w:rPr>
          <w:rFonts w:ascii="Times New Roman" w:hAnsi="Times New Roman" w:cs="Times New Roman"/>
          <w:bCs/>
          <w:color w:val="000000" w:themeColor="text1"/>
          <w:sz w:val="24"/>
          <w:szCs w:val="24"/>
        </w:rPr>
        <w:t xml:space="preserve"> six consecutive months</w:t>
      </w:r>
      <w:r w:rsidRPr="003A306C" w:rsidR="00F70E02">
        <w:rPr>
          <w:rFonts w:ascii="Times New Roman" w:hAnsi="Times New Roman" w:cs="Times New Roman"/>
          <w:bCs/>
          <w:color w:val="000000" w:themeColor="text1"/>
          <w:sz w:val="24"/>
          <w:szCs w:val="24"/>
        </w:rPr>
        <w:t>.</w:t>
      </w:r>
    </w:p>
    <w:p w:rsidRPr="00F70E02" w:rsidR="006E573A" w:rsidP="006E573A" w:rsidRDefault="006E573A" w14:paraId="5B855552" w14:textId="77777777">
      <w:pPr>
        <w:spacing w:line="276" w:lineRule="auto"/>
        <w:jc w:val="both"/>
        <w:rPr>
          <w:rFonts w:ascii="Times New Roman" w:hAnsi="Times New Roman" w:cs="Times New Roman"/>
          <w:bCs/>
          <w:color w:val="000000" w:themeColor="text1"/>
          <w:sz w:val="24"/>
          <w:szCs w:val="24"/>
        </w:rPr>
      </w:pPr>
    </w:p>
    <w:p w:rsidRPr="00355C65" w:rsidR="006E573A" w:rsidP="006E573A" w:rsidRDefault="006E573A" w14:paraId="5B855553" w14:textId="77777777">
      <w:pPr>
        <w:numPr>
          <w:ilvl w:val="0"/>
          <w:numId w:val="5"/>
        </w:numPr>
        <w:spacing w:after="200" w:line="276" w:lineRule="auto"/>
        <w:ind w:left="360"/>
        <w:contextualSpacing/>
        <w:jc w:val="both"/>
        <w:rPr>
          <w:rFonts w:ascii="Times New Roman" w:hAnsi="Times New Roman" w:cs="Times New Roman"/>
          <w:color w:val="000000" w:themeColor="text1"/>
          <w:sz w:val="24"/>
          <w:szCs w:val="24"/>
        </w:rPr>
      </w:pPr>
      <w:r w:rsidRPr="00355C65">
        <w:rPr>
          <w:rFonts w:ascii="Times New Roman" w:hAnsi="Times New Roman" w:cs="Times New Roman"/>
          <w:color w:val="000000" w:themeColor="text1"/>
          <w:sz w:val="24"/>
          <w:szCs w:val="24"/>
        </w:rPr>
        <w:t>Ineligible properties.</w:t>
      </w:r>
    </w:p>
    <w:p w:rsidRPr="00355C65" w:rsidR="006E573A" w:rsidP="006E573A" w:rsidRDefault="006E573A" w14:paraId="5B855554" w14:textId="77777777">
      <w:pPr>
        <w:spacing w:after="200" w:line="276" w:lineRule="auto"/>
        <w:ind w:left="840"/>
        <w:contextualSpacing/>
        <w:jc w:val="both"/>
        <w:rPr>
          <w:rFonts w:ascii="Times New Roman" w:hAnsi="Times New Roman" w:cs="Times New Roman"/>
          <w:color w:val="000000" w:themeColor="text1"/>
          <w:sz w:val="24"/>
          <w:szCs w:val="24"/>
        </w:rPr>
      </w:pPr>
    </w:p>
    <w:p w:rsidRPr="00355C65" w:rsidR="006E573A" w:rsidP="006E573A" w:rsidRDefault="006E573A" w14:paraId="5B855555" w14:textId="0D87B6F5">
      <w:pPr>
        <w:spacing w:line="276" w:lineRule="auto"/>
        <w:ind w:left="720" w:hanging="360"/>
        <w:jc w:val="both"/>
        <w:rPr>
          <w:rFonts w:ascii="Times New Roman" w:hAnsi="Times New Roman" w:cs="Times New Roman"/>
          <w:b/>
          <w:strike/>
          <w:color w:val="000000" w:themeColor="text1"/>
          <w:sz w:val="24"/>
          <w:szCs w:val="24"/>
        </w:rPr>
      </w:pPr>
      <w:r w:rsidRPr="00355C65">
        <w:rPr>
          <w:rFonts w:ascii="Times New Roman" w:hAnsi="Times New Roman" w:cs="Times New Roman"/>
          <w:color w:val="000000" w:themeColor="text1"/>
          <w:sz w:val="24"/>
          <w:szCs w:val="24"/>
        </w:rPr>
        <w:t>1.</w:t>
      </w:r>
      <w:r w:rsidR="008B05E0">
        <w:rPr>
          <w:rFonts w:ascii="Times New Roman" w:hAnsi="Times New Roman" w:cs="Times New Roman"/>
          <w:color w:val="000000" w:themeColor="text1"/>
          <w:sz w:val="24"/>
          <w:szCs w:val="24"/>
        </w:rPr>
        <w:tab/>
      </w:r>
      <w:r w:rsidRPr="00355C65">
        <w:rPr>
          <w:rFonts w:ascii="Times New Roman" w:hAnsi="Times New Roman" w:cs="Times New Roman"/>
          <w:color w:val="000000" w:themeColor="text1"/>
          <w:sz w:val="24"/>
          <w:szCs w:val="24"/>
        </w:rPr>
        <w:t>Manufactured home parks and group homes are not eligible under this Section.</w:t>
      </w:r>
    </w:p>
    <w:p w:rsidRPr="00355C65" w:rsidR="006E573A" w:rsidP="006E573A" w:rsidRDefault="006E573A" w14:paraId="5B855556" w14:textId="0876B796">
      <w:pPr>
        <w:spacing w:line="276" w:lineRule="auto"/>
        <w:ind w:left="720" w:hanging="360"/>
        <w:jc w:val="both"/>
        <w:rPr>
          <w:rFonts w:ascii="Times New Roman" w:hAnsi="Times New Roman" w:cs="Times New Roman"/>
          <w:color w:val="000000" w:themeColor="text1"/>
          <w:sz w:val="24"/>
          <w:szCs w:val="24"/>
        </w:rPr>
      </w:pPr>
      <w:r w:rsidRPr="00355C65">
        <w:rPr>
          <w:rFonts w:ascii="Times New Roman" w:hAnsi="Times New Roman" w:cs="Times New Roman"/>
          <w:color w:val="000000" w:themeColor="text1"/>
          <w:sz w:val="24"/>
          <w:szCs w:val="24"/>
        </w:rPr>
        <w:t>2.</w:t>
      </w:r>
      <w:r w:rsidR="008B05E0">
        <w:rPr>
          <w:rFonts w:ascii="Times New Roman" w:hAnsi="Times New Roman" w:cs="Times New Roman"/>
          <w:color w:val="000000" w:themeColor="text1"/>
          <w:sz w:val="24"/>
          <w:szCs w:val="24"/>
        </w:rPr>
        <w:tab/>
      </w:r>
      <w:r w:rsidRPr="00355C65">
        <w:rPr>
          <w:rFonts w:ascii="Times New Roman" w:hAnsi="Times New Roman" w:cs="Times New Roman"/>
          <w:color w:val="000000" w:themeColor="text1"/>
          <w:sz w:val="24"/>
          <w:szCs w:val="24"/>
        </w:rPr>
        <w:t>Properties whose required repairs are so extensive that they meet the threshold for substantial rehabilitation are not eligible under this Section.</w:t>
      </w:r>
    </w:p>
    <w:p w:rsidRPr="00355C65" w:rsidR="006E573A" w:rsidP="006E573A" w:rsidRDefault="006E573A" w14:paraId="5B855557" w14:textId="2AC40C12">
      <w:pPr>
        <w:spacing w:line="276" w:lineRule="auto"/>
        <w:ind w:left="720" w:hanging="360"/>
        <w:jc w:val="both"/>
        <w:rPr>
          <w:rFonts w:ascii="Times New Roman" w:hAnsi="Times New Roman" w:cs="Times New Roman"/>
          <w:b/>
          <w:color w:val="000000" w:themeColor="text1"/>
          <w:sz w:val="24"/>
          <w:szCs w:val="24"/>
        </w:rPr>
      </w:pPr>
      <w:r w:rsidRPr="00355C65">
        <w:rPr>
          <w:rFonts w:ascii="Times New Roman" w:hAnsi="Times New Roman" w:cs="Times New Roman"/>
          <w:color w:val="000000" w:themeColor="text1"/>
          <w:sz w:val="24"/>
          <w:szCs w:val="24"/>
        </w:rPr>
        <w:t>3.</w:t>
      </w:r>
      <w:r w:rsidR="008B05E0">
        <w:rPr>
          <w:rFonts w:ascii="Times New Roman" w:hAnsi="Times New Roman" w:cs="Times New Roman"/>
          <w:color w:val="000000" w:themeColor="text1"/>
          <w:sz w:val="24"/>
          <w:szCs w:val="24"/>
        </w:rPr>
        <w:tab/>
      </w:r>
      <w:r w:rsidRPr="00355C65">
        <w:rPr>
          <w:rFonts w:ascii="Times New Roman" w:hAnsi="Times New Roman" w:cs="Times New Roman"/>
          <w:color w:val="000000" w:themeColor="text1"/>
          <w:sz w:val="24"/>
          <w:szCs w:val="24"/>
        </w:rPr>
        <w:t xml:space="preserve">Properties with meal services or other features typical of or unique to Retirement Service Centers. Although, there is a potential exception to allow otherwise prohibited services for refinancing Section 202 properties or </w:t>
      </w:r>
      <w:r w:rsidR="004959FE">
        <w:rPr>
          <w:rFonts w:ascii="Times New Roman" w:hAnsi="Times New Roman" w:cs="Times New Roman"/>
          <w:color w:val="000000" w:themeColor="text1"/>
          <w:sz w:val="24"/>
          <w:szCs w:val="24"/>
        </w:rPr>
        <w:t>FHA</w:t>
      </w:r>
      <w:r w:rsidRPr="00355C65">
        <w:rPr>
          <w:rFonts w:ascii="Times New Roman" w:hAnsi="Times New Roman" w:cs="Times New Roman"/>
          <w:color w:val="000000" w:themeColor="text1"/>
          <w:sz w:val="24"/>
          <w:szCs w:val="24"/>
        </w:rPr>
        <w:t>-insured properties with Project-Based rental assistance so long as they are offered on an optional basis, projects with mandatory meal service are not eligible.</w:t>
      </w:r>
    </w:p>
    <w:p w:rsidRPr="00355C65" w:rsidR="006E573A" w:rsidP="006E573A" w:rsidRDefault="006E573A" w14:paraId="5B855558" w14:textId="77777777">
      <w:pPr>
        <w:spacing w:line="276" w:lineRule="auto"/>
        <w:jc w:val="both"/>
        <w:rPr>
          <w:rFonts w:ascii="Times New Roman" w:hAnsi="Times New Roman" w:cs="Times New Roman"/>
          <w:sz w:val="24"/>
          <w:szCs w:val="24"/>
        </w:rPr>
      </w:pPr>
    </w:p>
    <w:p w:rsidRPr="00355C65" w:rsidR="006E573A" w:rsidP="006E573A" w:rsidRDefault="006E573A" w14:paraId="5B855559" w14:textId="0E276B4A">
      <w:pPr>
        <w:spacing w:line="276" w:lineRule="auto"/>
        <w:ind w:left="360" w:hanging="360"/>
        <w:jc w:val="both"/>
        <w:rPr>
          <w:rFonts w:ascii="Times New Roman" w:hAnsi="Times New Roman" w:cs="Times New Roman"/>
          <w:sz w:val="24"/>
          <w:szCs w:val="24"/>
        </w:rPr>
      </w:pPr>
      <w:r w:rsidRPr="00355C65">
        <w:rPr>
          <w:rFonts w:ascii="Times New Roman" w:hAnsi="Times New Roman" w:cs="Times New Roman"/>
          <w:sz w:val="24"/>
          <w:szCs w:val="24"/>
        </w:rPr>
        <w:t>C.</w:t>
      </w:r>
      <w:r w:rsidR="0040032C">
        <w:rPr>
          <w:rFonts w:ascii="Times New Roman" w:hAnsi="Times New Roman" w:cs="Times New Roman"/>
          <w:sz w:val="24"/>
          <w:szCs w:val="24"/>
        </w:rPr>
        <w:tab/>
      </w:r>
      <w:r w:rsidRPr="00355C65">
        <w:rPr>
          <w:rFonts w:ascii="Times New Roman" w:hAnsi="Times New Roman" w:cs="Times New Roman"/>
          <w:sz w:val="24"/>
          <w:szCs w:val="24"/>
        </w:rPr>
        <w:t xml:space="preserve">In addition to the general requirements in Section 3.1, the following requirements apply to Section 223(f) when used for acquisition or refinancing: </w:t>
      </w:r>
    </w:p>
    <w:p w:rsidRPr="00355C65" w:rsidR="006E573A" w:rsidP="006E573A" w:rsidRDefault="006E573A" w14:paraId="5B85555A" w14:textId="77777777">
      <w:pPr>
        <w:spacing w:line="276" w:lineRule="auto"/>
        <w:ind w:left="360" w:hanging="360"/>
        <w:jc w:val="both"/>
        <w:rPr>
          <w:rFonts w:ascii="Times New Roman" w:hAnsi="Times New Roman" w:cs="Times New Roman"/>
          <w:sz w:val="24"/>
          <w:szCs w:val="24"/>
        </w:rPr>
      </w:pPr>
      <w:r w:rsidRPr="00355C65">
        <w:rPr>
          <w:rFonts w:ascii="Times New Roman" w:hAnsi="Times New Roman" w:cs="Times New Roman"/>
          <w:sz w:val="24"/>
          <w:szCs w:val="24"/>
        </w:rPr>
        <w:t xml:space="preserve"> </w:t>
      </w:r>
    </w:p>
    <w:p w:rsidRPr="00355C65" w:rsidR="006E573A" w:rsidP="006E573A" w:rsidRDefault="006E573A" w14:paraId="5B85555B" w14:textId="47FB9A46">
      <w:pPr>
        <w:spacing w:line="276" w:lineRule="auto"/>
        <w:ind w:left="720" w:hanging="360"/>
        <w:jc w:val="both"/>
        <w:rPr>
          <w:rFonts w:ascii="Times New Roman" w:hAnsi="Times New Roman" w:cs="Times New Roman"/>
          <w:sz w:val="24"/>
          <w:szCs w:val="24"/>
        </w:rPr>
      </w:pPr>
      <w:r w:rsidRPr="00355C65">
        <w:rPr>
          <w:rFonts w:ascii="Times New Roman" w:hAnsi="Times New Roman" w:cs="Times New Roman"/>
          <w:sz w:val="24"/>
          <w:szCs w:val="24"/>
        </w:rPr>
        <w:t>1</w:t>
      </w:r>
      <w:r w:rsidR="008F6B94">
        <w:rPr>
          <w:rFonts w:ascii="Times New Roman" w:hAnsi="Times New Roman" w:cs="Times New Roman"/>
          <w:sz w:val="24"/>
          <w:szCs w:val="24"/>
        </w:rPr>
        <w:t>.</w:t>
      </w:r>
      <w:r w:rsidR="008F6B94">
        <w:rPr>
          <w:rFonts w:ascii="Times New Roman" w:hAnsi="Times New Roman" w:cs="Times New Roman"/>
          <w:sz w:val="24"/>
          <w:szCs w:val="24"/>
        </w:rPr>
        <w:tab/>
      </w:r>
      <w:r w:rsidRPr="00355C65">
        <w:rPr>
          <w:rFonts w:ascii="Times New Roman" w:hAnsi="Times New Roman" w:cs="Times New Roman"/>
          <w:sz w:val="24"/>
          <w:szCs w:val="24"/>
        </w:rPr>
        <w:t xml:space="preserve">Any property acquired by the borrower before the date of the mortgage insurance application shall be treated as a refinance </w:t>
      </w:r>
      <w:r w:rsidRPr="00355C65" w:rsidR="008A32E2">
        <w:rPr>
          <w:rFonts w:ascii="Times New Roman" w:hAnsi="Times New Roman" w:cs="Times New Roman"/>
          <w:sz w:val="24"/>
          <w:szCs w:val="24"/>
        </w:rPr>
        <w:t>transaction.</w:t>
      </w:r>
      <w:r w:rsidRPr="00355C65">
        <w:rPr>
          <w:rFonts w:ascii="Times New Roman" w:hAnsi="Times New Roman" w:cs="Times New Roman"/>
          <w:sz w:val="24"/>
          <w:szCs w:val="24"/>
        </w:rPr>
        <w:t xml:space="preserve">  </w:t>
      </w:r>
    </w:p>
    <w:p w:rsidRPr="00355C65" w:rsidR="006E573A" w:rsidP="006E573A" w:rsidRDefault="006E573A" w14:paraId="5B85555C" w14:textId="12DFD6D2">
      <w:pPr>
        <w:spacing w:line="276" w:lineRule="auto"/>
        <w:ind w:left="720" w:hanging="360"/>
        <w:jc w:val="both"/>
        <w:rPr>
          <w:rFonts w:ascii="Times New Roman" w:hAnsi="Times New Roman" w:cs="Times New Roman"/>
          <w:sz w:val="24"/>
          <w:szCs w:val="24"/>
        </w:rPr>
      </w:pPr>
      <w:r w:rsidRPr="00355C65">
        <w:rPr>
          <w:rFonts w:ascii="Times New Roman" w:hAnsi="Times New Roman" w:cs="Times New Roman"/>
          <w:sz w:val="24"/>
          <w:szCs w:val="24"/>
        </w:rPr>
        <w:t>2</w:t>
      </w:r>
      <w:r w:rsidR="008F6B94">
        <w:rPr>
          <w:rFonts w:ascii="Times New Roman" w:hAnsi="Times New Roman" w:cs="Times New Roman"/>
          <w:sz w:val="24"/>
          <w:szCs w:val="24"/>
        </w:rPr>
        <w:t>.</w:t>
      </w:r>
      <w:r w:rsidR="008F6B94">
        <w:rPr>
          <w:rFonts w:ascii="Times New Roman" w:hAnsi="Times New Roman" w:cs="Times New Roman"/>
          <w:sz w:val="24"/>
          <w:szCs w:val="24"/>
        </w:rPr>
        <w:tab/>
      </w:r>
      <w:r w:rsidRPr="00355C65">
        <w:rPr>
          <w:rFonts w:ascii="Times New Roman" w:hAnsi="Times New Roman" w:cs="Times New Roman"/>
          <w:sz w:val="24"/>
          <w:szCs w:val="24"/>
        </w:rPr>
        <w:t xml:space="preserve">Any property acquired </w:t>
      </w:r>
      <w:r w:rsidR="005941F9">
        <w:rPr>
          <w:rFonts w:ascii="Times New Roman" w:hAnsi="Times New Roman" w:cs="Times New Roman"/>
          <w:sz w:val="24"/>
          <w:szCs w:val="24"/>
        </w:rPr>
        <w:t xml:space="preserve">by </w:t>
      </w:r>
      <w:r w:rsidRPr="00355C65">
        <w:rPr>
          <w:rFonts w:ascii="Times New Roman" w:hAnsi="Times New Roman" w:cs="Times New Roman"/>
          <w:sz w:val="24"/>
          <w:szCs w:val="24"/>
        </w:rPr>
        <w:t xml:space="preserve">the borrower after the date of the mortgage insurance application shall be treated as a purchase; and  </w:t>
      </w:r>
      <w:r w:rsidRPr="00355C65">
        <w:rPr>
          <w:rFonts w:ascii="Times New Roman" w:hAnsi="Times New Roman" w:cs="Times New Roman"/>
          <w:sz w:val="24"/>
          <w:szCs w:val="24"/>
        </w:rPr>
        <w:tab/>
      </w:r>
    </w:p>
    <w:p w:rsidR="006634FE" w:rsidP="006634FE" w:rsidRDefault="006E573A" w14:paraId="4CEB2DA1" w14:textId="4DE61FE2">
      <w:pPr>
        <w:spacing w:line="276" w:lineRule="auto"/>
        <w:ind w:left="720" w:hanging="360"/>
        <w:jc w:val="both"/>
        <w:rPr>
          <w:rFonts w:ascii="Times New Roman" w:hAnsi="Times New Roman" w:cs="Times New Roman"/>
          <w:sz w:val="24"/>
          <w:szCs w:val="24"/>
        </w:rPr>
      </w:pPr>
      <w:r w:rsidRPr="00355C65">
        <w:rPr>
          <w:rFonts w:ascii="Times New Roman" w:hAnsi="Times New Roman" w:cs="Times New Roman"/>
          <w:sz w:val="24"/>
          <w:szCs w:val="24"/>
        </w:rPr>
        <w:t>3</w:t>
      </w:r>
      <w:r w:rsidR="008F6B94">
        <w:rPr>
          <w:rFonts w:ascii="Times New Roman" w:hAnsi="Times New Roman" w:cs="Times New Roman"/>
          <w:sz w:val="24"/>
          <w:szCs w:val="24"/>
        </w:rPr>
        <w:t>.</w:t>
      </w:r>
      <w:r w:rsidR="008F6B94">
        <w:rPr>
          <w:rFonts w:ascii="Times New Roman" w:hAnsi="Times New Roman" w:cs="Times New Roman"/>
          <w:sz w:val="24"/>
          <w:szCs w:val="24"/>
        </w:rPr>
        <w:tab/>
      </w:r>
      <w:r w:rsidRPr="00355C65">
        <w:rPr>
          <w:rFonts w:ascii="Times New Roman" w:hAnsi="Times New Roman" w:cs="Times New Roman"/>
          <w:sz w:val="24"/>
          <w:szCs w:val="24"/>
        </w:rPr>
        <w:t xml:space="preserve">In a purchase transaction, any identity of interest, however minor an interest, between seller and purchaser requires the application to be processed as a refinance. (Acquisitions to facilitate </w:t>
      </w:r>
      <w:r w:rsidR="00EC15A3">
        <w:rPr>
          <w:rFonts w:ascii="Times New Roman" w:hAnsi="Times New Roman" w:cs="Times New Roman"/>
          <w:sz w:val="24"/>
          <w:szCs w:val="24"/>
        </w:rPr>
        <w:t xml:space="preserve">Affordable </w:t>
      </w:r>
      <w:r w:rsidRPr="00355C65">
        <w:rPr>
          <w:rFonts w:ascii="Times New Roman" w:hAnsi="Times New Roman" w:cs="Times New Roman"/>
          <w:sz w:val="24"/>
          <w:szCs w:val="24"/>
        </w:rPr>
        <w:t>transactions</w:t>
      </w:r>
      <w:r w:rsidR="00EC15A3">
        <w:rPr>
          <w:rFonts w:ascii="Times New Roman" w:hAnsi="Times New Roman" w:cs="Times New Roman"/>
          <w:sz w:val="24"/>
          <w:szCs w:val="24"/>
        </w:rPr>
        <w:t xml:space="preserve"> as defined in Section </w:t>
      </w:r>
      <w:r w:rsidR="006952CF">
        <w:rPr>
          <w:rFonts w:ascii="Times New Roman" w:hAnsi="Times New Roman" w:cs="Times New Roman"/>
          <w:sz w:val="24"/>
          <w:szCs w:val="24"/>
        </w:rPr>
        <w:t>3.1.L of the MAP Guide</w:t>
      </w:r>
      <w:r w:rsidRPr="00355C65">
        <w:rPr>
          <w:rFonts w:ascii="Times New Roman" w:hAnsi="Times New Roman" w:cs="Times New Roman"/>
          <w:sz w:val="24"/>
          <w:szCs w:val="24"/>
        </w:rPr>
        <w:t xml:space="preserve"> are an exception to this requirement.)</w:t>
      </w:r>
    </w:p>
    <w:p w:rsidR="0099127A" w:rsidP="006634FE" w:rsidRDefault="0099127A" w14:paraId="2A3665EA" w14:textId="096C292D">
      <w:pPr>
        <w:spacing w:line="276" w:lineRule="auto"/>
        <w:ind w:left="720" w:hanging="360"/>
        <w:jc w:val="both"/>
        <w:rPr>
          <w:rFonts w:ascii="Times New Roman" w:hAnsi="Times New Roman" w:cs="Times New Roman"/>
          <w:color w:val="000000" w:themeColor="text1"/>
          <w:sz w:val="24"/>
          <w:szCs w:val="24"/>
        </w:rPr>
      </w:pPr>
      <w:r>
        <w:rPr>
          <w:rFonts w:ascii="Times New Roman" w:hAnsi="Times New Roman" w:cs="Times New Roman"/>
          <w:sz w:val="24"/>
          <w:szCs w:val="24"/>
        </w:rPr>
        <w:t>4.</w:t>
      </w:r>
      <w:r w:rsidRPr="0099127A">
        <w:t xml:space="preserve"> </w:t>
      </w:r>
      <w:r w:rsidR="00C93743">
        <w:t xml:space="preserve">  </w:t>
      </w:r>
      <w:r w:rsidRPr="0099127A">
        <w:rPr>
          <w:rFonts w:ascii="Times New Roman" w:hAnsi="Times New Roman" w:cs="Times New Roman"/>
          <w:sz w:val="24"/>
          <w:szCs w:val="24"/>
        </w:rPr>
        <w:t>Borrowers with no experience operating multifamily rental housing will not be considered for acquisition financing under Section 223(f) unless there are significant mitigants (e.g. the principals have clean credit, strong diversified financial capacity, a conservative valuation and  the property will be managed by an experienced HUD  third party management agent</w:t>
      </w:r>
      <w:r w:rsidR="00C93743">
        <w:rPr>
          <w:rFonts w:ascii="Times New Roman" w:hAnsi="Times New Roman" w:cs="Times New Roman"/>
          <w:sz w:val="24"/>
          <w:szCs w:val="24"/>
        </w:rPr>
        <w:t>.</w:t>
      </w:r>
    </w:p>
    <w:p w:rsidR="00106BF4" w:rsidP="006634FE" w:rsidRDefault="00106BF4" w14:paraId="3AF26ADE" w14:textId="77777777">
      <w:pPr>
        <w:spacing w:line="276" w:lineRule="auto"/>
        <w:ind w:left="720" w:hanging="360"/>
        <w:jc w:val="both"/>
        <w:rPr>
          <w:rFonts w:ascii="Times New Roman" w:hAnsi="Times New Roman" w:cs="Times New Roman"/>
          <w:color w:val="000000" w:themeColor="text1"/>
          <w:sz w:val="24"/>
          <w:szCs w:val="24"/>
        </w:rPr>
      </w:pPr>
    </w:p>
    <w:p w:rsidRPr="00F24B50" w:rsidR="006E573A" w:rsidP="00636723" w:rsidRDefault="00106BF4" w14:paraId="5B85555F" w14:textId="371BA76A">
      <w:pPr>
        <w:spacing w:line="276"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Pr="00F24B50" w:rsidR="006E573A">
        <w:rPr>
          <w:rFonts w:ascii="Times New Roman" w:hAnsi="Times New Roman" w:cs="Times New Roman"/>
          <w:color w:val="000000" w:themeColor="text1"/>
          <w:sz w:val="24"/>
          <w:szCs w:val="24"/>
        </w:rPr>
        <w:t xml:space="preserve">Repairs. </w:t>
      </w:r>
    </w:p>
    <w:p w:rsidR="006E573A" w:rsidP="00636723" w:rsidRDefault="006E573A" w14:paraId="5B855560" w14:textId="14E315BD">
      <w:pPr>
        <w:spacing w:line="276" w:lineRule="auto"/>
        <w:ind w:left="720" w:hanging="360"/>
        <w:jc w:val="both"/>
        <w:rPr>
          <w:rFonts w:ascii="Times New Roman" w:hAnsi="Times New Roman" w:cs="Times New Roman"/>
          <w:color w:val="000000" w:themeColor="text1"/>
          <w:sz w:val="24"/>
          <w:szCs w:val="24"/>
        </w:rPr>
      </w:pPr>
      <w:r w:rsidRPr="00355C65">
        <w:rPr>
          <w:rFonts w:ascii="Times New Roman" w:hAnsi="Times New Roman" w:cs="Times New Roman"/>
          <w:color w:val="000000" w:themeColor="text1"/>
          <w:sz w:val="24"/>
          <w:szCs w:val="24"/>
        </w:rPr>
        <w:t>1.</w:t>
      </w:r>
      <w:r w:rsidR="00636723">
        <w:rPr>
          <w:rFonts w:ascii="Times New Roman" w:hAnsi="Times New Roman" w:cs="Times New Roman"/>
          <w:color w:val="000000" w:themeColor="text1"/>
          <w:sz w:val="24"/>
          <w:szCs w:val="24"/>
        </w:rPr>
        <w:tab/>
      </w:r>
      <w:r w:rsidRPr="00355C65">
        <w:rPr>
          <w:rFonts w:ascii="Times New Roman" w:hAnsi="Times New Roman" w:cs="Times New Roman"/>
          <w:color w:val="000000" w:themeColor="text1"/>
          <w:sz w:val="24"/>
          <w:szCs w:val="24"/>
        </w:rPr>
        <w:t>Critical</w:t>
      </w:r>
      <w:r w:rsidR="00EB72BA">
        <w:rPr>
          <w:rFonts w:ascii="Times New Roman" w:hAnsi="Times New Roman" w:cs="Times New Roman"/>
          <w:color w:val="000000" w:themeColor="text1"/>
          <w:sz w:val="24"/>
          <w:szCs w:val="24"/>
        </w:rPr>
        <w:t>-life safety</w:t>
      </w:r>
      <w:r w:rsidRPr="00355C65">
        <w:rPr>
          <w:rFonts w:ascii="Times New Roman" w:hAnsi="Times New Roman" w:cs="Times New Roman"/>
          <w:color w:val="000000" w:themeColor="text1"/>
          <w:sz w:val="24"/>
          <w:szCs w:val="24"/>
        </w:rPr>
        <w:t xml:space="preserve"> repairs must be performed prior to endorsement.</w:t>
      </w:r>
      <w:r w:rsidR="00ED74CE">
        <w:rPr>
          <w:rFonts w:ascii="Times New Roman" w:hAnsi="Times New Roman" w:cs="Times New Roman"/>
          <w:color w:val="000000" w:themeColor="text1"/>
          <w:sz w:val="24"/>
          <w:szCs w:val="24"/>
        </w:rPr>
        <w:t xml:space="preserve"> Critical-accessibility repairs </w:t>
      </w:r>
      <w:r w:rsidR="002F750A">
        <w:rPr>
          <w:rFonts w:ascii="Times New Roman" w:hAnsi="Times New Roman" w:cs="Times New Roman"/>
          <w:color w:val="000000" w:themeColor="text1"/>
          <w:sz w:val="24"/>
          <w:szCs w:val="24"/>
        </w:rPr>
        <w:t>must be completed as soon as possible</w:t>
      </w:r>
      <w:r w:rsidR="0070331E">
        <w:rPr>
          <w:rFonts w:ascii="Times New Roman" w:hAnsi="Times New Roman" w:cs="Times New Roman"/>
          <w:color w:val="000000" w:themeColor="text1"/>
          <w:sz w:val="24"/>
          <w:szCs w:val="24"/>
        </w:rPr>
        <w:t xml:space="preserve"> but may be deferred </w:t>
      </w:r>
      <w:r w:rsidR="00467D6E">
        <w:rPr>
          <w:rFonts w:ascii="Times New Roman" w:hAnsi="Times New Roman" w:cs="Times New Roman"/>
          <w:color w:val="000000" w:themeColor="text1"/>
          <w:sz w:val="24"/>
          <w:szCs w:val="24"/>
        </w:rPr>
        <w:t xml:space="preserve">to after endorsement </w:t>
      </w:r>
      <w:r w:rsidR="00A1550E">
        <w:rPr>
          <w:rFonts w:ascii="Times New Roman" w:hAnsi="Times New Roman" w:cs="Times New Roman"/>
          <w:color w:val="000000" w:themeColor="text1"/>
          <w:sz w:val="24"/>
          <w:szCs w:val="24"/>
        </w:rPr>
        <w:t>when completion prior to endorsement is not possible.</w:t>
      </w:r>
      <w:r w:rsidR="001D0F04">
        <w:rPr>
          <w:rFonts w:ascii="Times New Roman" w:hAnsi="Times New Roman" w:cs="Times New Roman"/>
          <w:color w:val="000000" w:themeColor="text1"/>
          <w:sz w:val="24"/>
          <w:szCs w:val="24"/>
        </w:rPr>
        <w:t xml:space="preserve">  See Chapter 5.3</w:t>
      </w:r>
      <w:r w:rsidR="005021C6">
        <w:rPr>
          <w:rFonts w:ascii="Times New Roman" w:hAnsi="Times New Roman" w:cs="Times New Roman"/>
          <w:color w:val="000000" w:themeColor="text1"/>
          <w:sz w:val="24"/>
          <w:szCs w:val="24"/>
        </w:rPr>
        <w:t xml:space="preserve"> and </w:t>
      </w:r>
      <w:r w:rsidR="008C352C">
        <w:rPr>
          <w:rFonts w:ascii="Times New Roman" w:hAnsi="Times New Roman" w:cs="Times New Roman"/>
          <w:color w:val="000000" w:themeColor="text1"/>
          <w:sz w:val="24"/>
          <w:szCs w:val="24"/>
        </w:rPr>
        <w:t>5.</w:t>
      </w:r>
      <w:r w:rsidR="00E44D0B">
        <w:rPr>
          <w:rFonts w:ascii="Times New Roman" w:hAnsi="Times New Roman" w:cs="Times New Roman"/>
          <w:color w:val="000000" w:themeColor="text1"/>
          <w:sz w:val="24"/>
          <w:szCs w:val="24"/>
        </w:rPr>
        <w:t xml:space="preserve">10 </w:t>
      </w:r>
      <w:r w:rsidR="006F5D07">
        <w:rPr>
          <w:rFonts w:ascii="Times New Roman" w:hAnsi="Times New Roman" w:cs="Times New Roman"/>
          <w:color w:val="000000" w:themeColor="text1"/>
          <w:sz w:val="24"/>
          <w:szCs w:val="24"/>
        </w:rPr>
        <w:t xml:space="preserve">concerning repairs and </w:t>
      </w:r>
      <w:r w:rsidR="00E66663">
        <w:rPr>
          <w:rFonts w:ascii="Times New Roman" w:hAnsi="Times New Roman" w:cs="Times New Roman"/>
          <w:color w:val="000000" w:themeColor="text1"/>
          <w:sz w:val="24"/>
          <w:szCs w:val="24"/>
        </w:rPr>
        <w:t>alterations in</w:t>
      </w:r>
      <w:r w:rsidR="00E44D0B">
        <w:rPr>
          <w:rFonts w:ascii="Times New Roman" w:hAnsi="Times New Roman" w:cs="Times New Roman"/>
          <w:color w:val="000000" w:themeColor="text1"/>
          <w:sz w:val="24"/>
          <w:szCs w:val="24"/>
        </w:rPr>
        <w:t xml:space="preserve"> </w:t>
      </w:r>
      <w:r w:rsidR="00AE08DC">
        <w:rPr>
          <w:rFonts w:ascii="Times New Roman" w:hAnsi="Times New Roman" w:cs="Times New Roman"/>
          <w:color w:val="000000" w:themeColor="text1"/>
          <w:sz w:val="24"/>
          <w:szCs w:val="24"/>
        </w:rPr>
        <w:t>Section 223(f)</w:t>
      </w:r>
      <w:r w:rsidR="009E4768">
        <w:rPr>
          <w:rFonts w:ascii="Times New Roman" w:hAnsi="Times New Roman" w:cs="Times New Roman"/>
          <w:color w:val="000000" w:themeColor="text1"/>
          <w:sz w:val="24"/>
          <w:szCs w:val="24"/>
        </w:rPr>
        <w:t xml:space="preserve"> transactions.</w:t>
      </w:r>
    </w:p>
    <w:p w:rsidRPr="00355C65" w:rsidR="003D6BC1" w:rsidP="00636723" w:rsidRDefault="003D6BC1" w14:paraId="385B9B44" w14:textId="77777777">
      <w:pPr>
        <w:spacing w:line="276" w:lineRule="auto"/>
        <w:ind w:left="720" w:hanging="360"/>
        <w:jc w:val="both"/>
        <w:rPr>
          <w:rFonts w:ascii="Times New Roman" w:hAnsi="Times New Roman" w:cs="Times New Roman"/>
          <w:b/>
          <w:color w:val="000000" w:themeColor="text1"/>
          <w:sz w:val="24"/>
          <w:szCs w:val="24"/>
        </w:rPr>
      </w:pPr>
    </w:p>
    <w:p w:rsidR="006E573A" w:rsidP="00636723" w:rsidRDefault="006E573A" w14:paraId="5B855561" w14:textId="25703C0E">
      <w:pPr>
        <w:spacing w:line="276" w:lineRule="auto"/>
        <w:ind w:left="720" w:hanging="360"/>
        <w:jc w:val="both"/>
        <w:rPr>
          <w:rFonts w:ascii="Times New Roman" w:hAnsi="Times New Roman" w:cs="Times New Roman"/>
          <w:color w:val="000000" w:themeColor="text1"/>
          <w:sz w:val="24"/>
          <w:szCs w:val="24"/>
        </w:rPr>
      </w:pPr>
      <w:r w:rsidRPr="00355C65">
        <w:rPr>
          <w:rFonts w:ascii="Times New Roman" w:hAnsi="Times New Roman" w:cs="Times New Roman"/>
          <w:color w:val="000000" w:themeColor="text1"/>
          <w:sz w:val="24"/>
          <w:szCs w:val="24"/>
        </w:rPr>
        <w:t>2.</w:t>
      </w:r>
      <w:r w:rsidR="00636723">
        <w:rPr>
          <w:rFonts w:ascii="Times New Roman" w:hAnsi="Times New Roman" w:cs="Times New Roman"/>
          <w:color w:val="000000" w:themeColor="text1"/>
          <w:sz w:val="24"/>
          <w:szCs w:val="24"/>
        </w:rPr>
        <w:tab/>
      </w:r>
      <w:r w:rsidRPr="00355C65">
        <w:rPr>
          <w:rFonts w:ascii="Times New Roman" w:hAnsi="Times New Roman" w:cs="Times New Roman"/>
          <w:color w:val="000000" w:themeColor="text1"/>
          <w:sz w:val="24"/>
          <w:szCs w:val="24"/>
        </w:rPr>
        <w:t>Non-critical repairs approved by HUD may be completed after endorsement</w:t>
      </w:r>
      <w:r w:rsidR="002E6C92">
        <w:rPr>
          <w:rFonts w:ascii="Times New Roman" w:hAnsi="Times New Roman" w:cs="Times New Roman"/>
          <w:color w:val="000000" w:themeColor="text1"/>
          <w:sz w:val="24"/>
          <w:szCs w:val="24"/>
        </w:rPr>
        <w:t>.</w:t>
      </w:r>
      <w:r w:rsidR="00FA3413">
        <w:rPr>
          <w:rFonts w:ascii="Times New Roman" w:hAnsi="Times New Roman" w:cs="Times New Roman"/>
          <w:color w:val="000000" w:themeColor="text1"/>
          <w:sz w:val="24"/>
          <w:szCs w:val="24"/>
        </w:rPr>
        <w:t xml:space="preserve">  These repairs,</w:t>
      </w:r>
      <w:r w:rsidRPr="00355C65">
        <w:rPr>
          <w:rFonts w:ascii="Times New Roman" w:hAnsi="Times New Roman" w:cs="Times New Roman"/>
          <w:color w:val="000000" w:themeColor="text1"/>
          <w:sz w:val="24"/>
          <w:szCs w:val="24"/>
        </w:rPr>
        <w:t xml:space="preserve"> </w:t>
      </w:r>
      <w:r w:rsidR="00537E55">
        <w:rPr>
          <w:rFonts w:ascii="Times New Roman" w:hAnsi="Times New Roman" w:cs="Times New Roman"/>
          <w:color w:val="000000" w:themeColor="text1"/>
          <w:sz w:val="24"/>
          <w:szCs w:val="24"/>
        </w:rPr>
        <w:t>and together with any deferred critical-accessibil</w:t>
      </w:r>
      <w:r w:rsidR="0001020E">
        <w:rPr>
          <w:rFonts w:ascii="Times New Roman" w:hAnsi="Times New Roman" w:cs="Times New Roman"/>
          <w:color w:val="000000" w:themeColor="text1"/>
          <w:sz w:val="24"/>
          <w:szCs w:val="24"/>
        </w:rPr>
        <w:t>i</w:t>
      </w:r>
      <w:r w:rsidR="00537E55">
        <w:rPr>
          <w:rFonts w:ascii="Times New Roman" w:hAnsi="Times New Roman" w:cs="Times New Roman"/>
          <w:color w:val="000000" w:themeColor="text1"/>
          <w:sz w:val="24"/>
          <w:szCs w:val="24"/>
        </w:rPr>
        <w:t xml:space="preserve">ty </w:t>
      </w:r>
      <w:r w:rsidR="00495AE9">
        <w:rPr>
          <w:rFonts w:ascii="Times New Roman" w:hAnsi="Times New Roman" w:cs="Times New Roman"/>
          <w:color w:val="000000" w:themeColor="text1"/>
          <w:sz w:val="24"/>
          <w:szCs w:val="24"/>
        </w:rPr>
        <w:t>remedies</w:t>
      </w:r>
      <w:r w:rsidR="00CD02F5">
        <w:rPr>
          <w:rFonts w:ascii="Times New Roman" w:hAnsi="Times New Roman" w:cs="Times New Roman"/>
          <w:color w:val="000000" w:themeColor="text1"/>
          <w:sz w:val="24"/>
          <w:szCs w:val="24"/>
        </w:rPr>
        <w:t>,</w:t>
      </w:r>
      <w:r w:rsidR="00495AE9">
        <w:rPr>
          <w:rFonts w:ascii="Times New Roman" w:hAnsi="Times New Roman" w:cs="Times New Roman"/>
          <w:color w:val="000000" w:themeColor="text1"/>
          <w:sz w:val="24"/>
          <w:szCs w:val="24"/>
        </w:rPr>
        <w:t xml:space="preserve"> </w:t>
      </w:r>
      <w:r w:rsidR="00C75E20">
        <w:rPr>
          <w:rFonts w:ascii="Times New Roman" w:hAnsi="Times New Roman" w:cs="Times New Roman"/>
          <w:color w:val="000000" w:themeColor="text1"/>
          <w:sz w:val="24"/>
          <w:szCs w:val="24"/>
        </w:rPr>
        <w:t xml:space="preserve">must be described </w:t>
      </w:r>
      <w:r w:rsidRPr="00355C65">
        <w:rPr>
          <w:rFonts w:ascii="Times New Roman" w:hAnsi="Times New Roman" w:cs="Times New Roman"/>
          <w:color w:val="000000" w:themeColor="text1"/>
          <w:sz w:val="24"/>
          <w:szCs w:val="24"/>
        </w:rPr>
        <w:t xml:space="preserve">with work write-ups sufficiently detailed to facilitate inspections, schedules for completion of repairs, </w:t>
      </w:r>
      <w:r w:rsidR="00B30FB0">
        <w:rPr>
          <w:rFonts w:ascii="Times New Roman" w:hAnsi="Times New Roman" w:cs="Times New Roman"/>
          <w:color w:val="000000" w:themeColor="text1"/>
          <w:sz w:val="24"/>
          <w:szCs w:val="24"/>
        </w:rPr>
        <w:t xml:space="preserve">credible </w:t>
      </w:r>
      <w:r w:rsidRPr="00355C65">
        <w:rPr>
          <w:rFonts w:ascii="Times New Roman" w:hAnsi="Times New Roman" w:cs="Times New Roman"/>
          <w:color w:val="000000" w:themeColor="text1"/>
          <w:sz w:val="24"/>
          <w:szCs w:val="24"/>
        </w:rPr>
        <w:t>bids on work items greater than $</w:t>
      </w:r>
      <w:r w:rsidR="004523A5">
        <w:rPr>
          <w:rFonts w:ascii="Times New Roman" w:hAnsi="Times New Roman" w:cs="Times New Roman"/>
          <w:color w:val="000000" w:themeColor="text1"/>
          <w:sz w:val="24"/>
          <w:szCs w:val="24"/>
        </w:rPr>
        <w:t>3</w:t>
      </w:r>
      <w:r w:rsidRPr="00355C65">
        <w:rPr>
          <w:rFonts w:ascii="Times New Roman" w:hAnsi="Times New Roman" w:cs="Times New Roman"/>
          <w:color w:val="000000" w:themeColor="text1"/>
          <w:sz w:val="24"/>
          <w:szCs w:val="24"/>
        </w:rPr>
        <w:t xml:space="preserve">5,000, and a financial escrow equal to 120% of the  </w:t>
      </w:r>
      <w:r w:rsidR="00EC2CCD">
        <w:rPr>
          <w:rFonts w:ascii="Times New Roman" w:hAnsi="Times New Roman" w:cs="Times New Roman"/>
          <w:color w:val="000000" w:themeColor="text1"/>
          <w:sz w:val="24"/>
          <w:szCs w:val="24"/>
        </w:rPr>
        <w:t xml:space="preserve">cost of deferred </w:t>
      </w:r>
      <w:r w:rsidRPr="00355C65">
        <w:rPr>
          <w:rFonts w:ascii="Times New Roman" w:hAnsi="Times New Roman" w:cs="Times New Roman"/>
          <w:color w:val="000000" w:themeColor="text1"/>
          <w:sz w:val="24"/>
          <w:szCs w:val="24"/>
        </w:rPr>
        <w:t>repair</w:t>
      </w:r>
      <w:r w:rsidR="00EC2CCD">
        <w:rPr>
          <w:rFonts w:ascii="Times New Roman" w:hAnsi="Times New Roman" w:cs="Times New Roman"/>
          <w:color w:val="000000" w:themeColor="text1"/>
          <w:sz w:val="24"/>
          <w:szCs w:val="24"/>
        </w:rPr>
        <w:t>s</w:t>
      </w:r>
      <w:r w:rsidRPr="00355C65">
        <w:rPr>
          <w:rFonts w:ascii="Times New Roman" w:hAnsi="Times New Roman" w:cs="Times New Roman"/>
          <w:color w:val="000000" w:themeColor="text1"/>
          <w:sz w:val="24"/>
          <w:szCs w:val="24"/>
        </w:rPr>
        <w:t xml:space="preserve"> </w:t>
      </w:r>
      <w:r w:rsidR="00895F52">
        <w:rPr>
          <w:rFonts w:ascii="Times New Roman" w:hAnsi="Times New Roman" w:cs="Times New Roman"/>
          <w:color w:val="000000" w:themeColor="text1"/>
          <w:sz w:val="24"/>
          <w:szCs w:val="24"/>
        </w:rPr>
        <w:t>w</w:t>
      </w:r>
      <w:r w:rsidR="00220F16">
        <w:rPr>
          <w:rFonts w:ascii="Times New Roman" w:hAnsi="Times New Roman" w:cs="Times New Roman"/>
          <w:color w:val="000000" w:themeColor="text1"/>
          <w:sz w:val="24"/>
          <w:szCs w:val="24"/>
        </w:rPr>
        <w:t xml:space="preserve">hich escrow </w:t>
      </w:r>
      <w:r w:rsidRPr="00355C65">
        <w:rPr>
          <w:rFonts w:ascii="Times New Roman" w:hAnsi="Times New Roman" w:cs="Times New Roman"/>
          <w:color w:val="000000" w:themeColor="text1"/>
          <w:sz w:val="24"/>
          <w:szCs w:val="24"/>
        </w:rPr>
        <w:t xml:space="preserve">must be established at closing. The 20% </w:t>
      </w:r>
      <w:r w:rsidR="00722725">
        <w:rPr>
          <w:rFonts w:ascii="Times New Roman" w:hAnsi="Times New Roman" w:cs="Times New Roman"/>
          <w:color w:val="000000" w:themeColor="text1"/>
          <w:sz w:val="24"/>
          <w:szCs w:val="24"/>
        </w:rPr>
        <w:t xml:space="preserve">portion of the </w:t>
      </w:r>
      <w:r w:rsidRPr="00355C65">
        <w:rPr>
          <w:rFonts w:ascii="Times New Roman" w:hAnsi="Times New Roman" w:cs="Times New Roman"/>
          <w:color w:val="000000" w:themeColor="text1"/>
          <w:sz w:val="24"/>
          <w:szCs w:val="24"/>
        </w:rPr>
        <w:t xml:space="preserve">escrow above the 100% of </w:t>
      </w:r>
      <w:r w:rsidR="00722725">
        <w:rPr>
          <w:rFonts w:ascii="Times New Roman" w:hAnsi="Times New Roman" w:cs="Times New Roman"/>
          <w:color w:val="000000" w:themeColor="text1"/>
          <w:sz w:val="24"/>
          <w:szCs w:val="24"/>
        </w:rPr>
        <w:t>deferred</w:t>
      </w:r>
      <w:r w:rsidRPr="00355C65">
        <w:rPr>
          <w:rFonts w:ascii="Times New Roman" w:hAnsi="Times New Roman" w:cs="Times New Roman"/>
          <w:color w:val="000000" w:themeColor="text1"/>
          <w:sz w:val="24"/>
          <w:szCs w:val="24"/>
        </w:rPr>
        <w:t xml:space="preserve"> repair cost is non-mortgageable and may be reduced to 10% for </w:t>
      </w:r>
      <w:r w:rsidRPr="00355C65" w:rsidR="00442431">
        <w:rPr>
          <w:rFonts w:ascii="Times New Roman" w:hAnsi="Times New Roman" w:cs="Times New Roman"/>
          <w:color w:val="000000" w:themeColor="text1"/>
          <w:sz w:val="24"/>
          <w:szCs w:val="24"/>
        </w:rPr>
        <w:t xml:space="preserve">affordable </w:t>
      </w:r>
      <w:r w:rsidR="00442431">
        <w:rPr>
          <w:rFonts w:ascii="Times New Roman" w:hAnsi="Times New Roman" w:cs="Times New Roman"/>
          <w:color w:val="000000" w:themeColor="text1"/>
          <w:sz w:val="24"/>
          <w:szCs w:val="24"/>
        </w:rPr>
        <w:t>and</w:t>
      </w:r>
      <w:r w:rsidR="006D280D">
        <w:rPr>
          <w:rFonts w:ascii="Times New Roman" w:hAnsi="Times New Roman" w:cs="Times New Roman"/>
          <w:color w:val="000000" w:themeColor="text1"/>
          <w:sz w:val="24"/>
          <w:szCs w:val="24"/>
        </w:rPr>
        <w:t xml:space="preserve"> </w:t>
      </w:r>
      <w:r w:rsidR="002A3C3B">
        <w:rPr>
          <w:rFonts w:ascii="Times New Roman" w:hAnsi="Times New Roman" w:cs="Times New Roman"/>
          <w:color w:val="000000" w:themeColor="text1"/>
          <w:sz w:val="24"/>
          <w:szCs w:val="24"/>
        </w:rPr>
        <w:t xml:space="preserve">Section 223(a)(7) </w:t>
      </w:r>
      <w:r w:rsidRPr="00355C65">
        <w:rPr>
          <w:rFonts w:ascii="Times New Roman" w:hAnsi="Times New Roman" w:cs="Times New Roman"/>
          <w:color w:val="000000" w:themeColor="text1"/>
          <w:sz w:val="24"/>
          <w:szCs w:val="24"/>
        </w:rPr>
        <w:t>transactions.</w:t>
      </w:r>
      <w:r w:rsidR="009E4768">
        <w:rPr>
          <w:rFonts w:ascii="Times New Roman" w:hAnsi="Times New Roman" w:cs="Times New Roman"/>
          <w:color w:val="000000" w:themeColor="text1"/>
          <w:sz w:val="24"/>
          <w:szCs w:val="24"/>
        </w:rPr>
        <w:t xml:space="preserve"> </w:t>
      </w:r>
      <w:r w:rsidR="0057173D">
        <w:rPr>
          <w:rFonts w:ascii="Times New Roman" w:hAnsi="Times New Roman" w:cs="Times New Roman"/>
          <w:color w:val="000000" w:themeColor="text1"/>
          <w:sz w:val="24"/>
          <w:szCs w:val="24"/>
        </w:rPr>
        <w:t xml:space="preserve"> See Chapter 5.3 and 5.10 concerning repairs and alterations in Section 223(f) transactions.</w:t>
      </w:r>
    </w:p>
    <w:p w:rsidR="00DB75FB" w:rsidP="006E573A" w:rsidRDefault="00DB75FB" w14:paraId="1046F38B" w14:textId="77777777">
      <w:pPr>
        <w:spacing w:line="276" w:lineRule="auto"/>
        <w:ind w:left="720" w:hanging="360"/>
        <w:jc w:val="both"/>
        <w:rPr>
          <w:rFonts w:ascii="Times New Roman" w:hAnsi="Times New Roman" w:cs="Times New Roman"/>
          <w:color w:val="000000" w:themeColor="text1"/>
          <w:sz w:val="24"/>
          <w:szCs w:val="24"/>
        </w:rPr>
      </w:pPr>
    </w:p>
    <w:p w:rsidRPr="00355C65" w:rsidR="00913E4D" w:rsidP="006E573A" w:rsidRDefault="00913E4D" w14:paraId="0B6041EB" w14:textId="0B3C0963">
      <w:pPr>
        <w:spacing w:line="276" w:lineRule="auto"/>
        <w:ind w:left="720" w:hanging="36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3. </w:t>
      </w:r>
      <w:bookmarkStart w:name="_Hlk21526811" w:id="2"/>
      <w:r w:rsidR="00636723">
        <w:rPr>
          <w:rFonts w:ascii="Times New Roman" w:hAnsi="Times New Roman" w:cs="Times New Roman"/>
          <w:color w:val="000000" w:themeColor="text1"/>
          <w:sz w:val="24"/>
          <w:szCs w:val="24"/>
        </w:rPr>
        <w:tab/>
      </w:r>
      <w:r w:rsidR="00B87F00">
        <w:rPr>
          <w:rFonts w:ascii="Times New Roman" w:hAnsi="Times New Roman" w:cs="Times New Roman"/>
          <w:color w:val="000000" w:themeColor="text1"/>
          <w:sz w:val="24"/>
          <w:szCs w:val="24"/>
        </w:rPr>
        <w:t xml:space="preserve">Construction of additional units is not permitted under the Section 223(f) program. </w:t>
      </w:r>
      <w:r w:rsidR="007B7656">
        <w:rPr>
          <w:rFonts w:ascii="Times New Roman" w:hAnsi="Times New Roman" w:cs="Times New Roman"/>
          <w:color w:val="000000" w:themeColor="text1"/>
          <w:sz w:val="24"/>
          <w:szCs w:val="24"/>
        </w:rPr>
        <w:t xml:space="preserve">Ancillary </w:t>
      </w:r>
      <w:r w:rsidR="00765DC8">
        <w:rPr>
          <w:rFonts w:ascii="Times New Roman" w:hAnsi="Times New Roman" w:cs="Times New Roman"/>
          <w:color w:val="000000" w:themeColor="text1"/>
          <w:sz w:val="24"/>
          <w:szCs w:val="24"/>
        </w:rPr>
        <w:t xml:space="preserve">improvements such as community buildings and leasing offices </w:t>
      </w:r>
      <w:r w:rsidR="00DA045B">
        <w:rPr>
          <w:rFonts w:ascii="Times New Roman" w:hAnsi="Times New Roman" w:cs="Times New Roman"/>
          <w:color w:val="000000" w:themeColor="text1"/>
          <w:sz w:val="24"/>
          <w:szCs w:val="24"/>
        </w:rPr>
        <w:t>or amenities such as swimming pools or other, similar revenue</w:t>
      </w:r>
      <w:r w:rsidR="00EE3333">
        <w:rPr>
          <w:rFonts w:ascii="Times New Roman" w:hAnsi="Times New Roman" w:cs="Times New Roman"/>
          <w:color w:val="000000" w:themeColor="text1"/>
          <w:sz w:val="24"/>
          <w:szCs w:val="24"/>
        </w:rPr>
        <w:t>-</w:t>
      </w:r>
      <w:r w:rsidR="00DA045B">
        <w:rPr>
          <w:rFonts w:ascii="Times New Roman" w:hAnsi="Times New Roman" w:cs="Times New Roman"/>
          <w:color w:val="000000" w:themeColor="text1"/>
          <w:sz w:val="24"/>
          <w:szCs w:val="24"/>
        </w:rPr>
        <w:t xml:space="preserve">enhancing improvements are permitted, </w:t>
      </w:r>
      <w:r w:rsidR="004C34D8">
        <w:rPr>
          <w:rFonts w:ascii="Times New Roman" w:hAnsi="Times New Roman" w:cs="Times New Roman"/>
          <w:color w:val="000000" w:themeColor="text1"/>
          <w:sz w:val="24"/>
          <w:szCs w:val="24"/>
        </w:rPr>
        <w:t xml:space="preserve">so long as the total </w:t>
      </w:r>
      <w:r w:rsidR="00932336">
        <w:rPr>
          <w:rFonts w:ascii="Times New Roman" w:hAnsi="Times New Roman" w:cs="Times New Roman"/>
          <w:color w:val="000000" w:themeColor="text1"/>
          <w:sz w:val="24"/>
          <w:szCs w:val="24"/>
        </w:rPr>
        <w:t xml:space="preserve">size </w:t>
      </w:r>
      <w:r w:rsidR="004C34D8">
        <w:rPr>
          <w:rFonts w:ascii="Times New Roman" w:hAnsi="Times New Roman" w:cs="Times New Roman"/>
          <w:color w:val="000000" w:themeColor="text1"/>
          <w:sz w:val="24"/>
          <w:szCs w:val="24"/>
        </w:rPr>
        <w:t xml:space="preserve">of improvements do not exceed </w:t>
      </w:r>
      <w:r w:rsidR="002E1044">
        <w:rPr>
          <w:rFonts w:ascii="Times New Roman" w:hAnsi="Times New Roman" w:cs="Times New Roman"/>
          <w:color w:val="000000" w:themeColor="text1"/>
          <w:sz w:val="24"/>
          <w:szCs w:val="24"/>
        </w:rPr>
        <w:t>a gross floor area of 5,000 square feet.</w:t>
      </w:r>
      <w:r w:rsidR="004C34D8">
        <w:rPr>
          <w:rFonts w:ascii="Times New Roman" w:hAnsi="Times New Roman" w:cs="Times New Roman"/>
          <w:color w:val="000000" w:themeColor="text1"/>
          <w:sz w:val="24"/>
          <w:szCs w:val="24"/>
        </w:rPr>
        <w:t xml:space="preserve"> Additionally, if new improvements are proposed, </w:t>
      </w:r>
      <w:r w:rsidR="004146BA">
        <w:rPr>
          <w:rFonts w:ascii="Times New Roman" w:hAnsi="Times New Roman" w:cs="Times New Roman"/>
          <w:color w:val="000000" w:themeColor="text1"/>
          <w:sz w:val="24"/>
          <w:szCs w:val="24"/>
        </w:rPr>
        <w:t xml:space="preserve">refer to </w:t>
      </w:r>
      <w:r w:rsidR="00826FC0">
        <w:rPr>
          <w:rFonts w:ascii="Times New Roman" w:hAnsi="Times New Roman" w:cs="Times New Roman"/>
          <w:color w:val="000000" w:themeColor="text1"/>
          <w:sz w:val="24"/>
          <w:szCs w:val="24"/>
        </w:rPr>
        <w:t xml:space="preserve">Section </w:t>
      </w:r>
      <w:r w:rsidRPr="009A5DAD" w:rsidR="00826FC0">
        <w:rPr>
          <w:rFonts w:ascii="Times New Roman" w:hAnsi="Times New Roman" w:cs="Times New Roman"/>
          <w:color w:val="000000" w:themeColor="text1"/>
          <w:sz w:val="24"/>
          <w:szCs w:val="24"/>
        </w:rPr>
        <w:t>9.</w:t>
      </w:r>
      <w:r w:rsidRPr="00DB75FB" w:rsidR="009A5DAD">
        <w:rPr>
          <w:rFonts w:ascii="Times New Roman" w:hAnsi="Times New Roman" w:cs="Times New Roman"/>
          <w:color w:val="000000" w:themeColor="text1"/>
          <w:sz w:val="24"/>
          <w:szCs w:val="24"/>
        </w:rPr>
        <w:t>1</w:t>
      </w:r>
      <w:r w:rsidR="009A5DAD">
        <w:rPr>
          <w:rFonts w:ascii="Times New Roman" w:hAnsi="Times New Roman" w:cs="Times New Roman"/>
          <w:color w:val="000000" w:themeColor="text1"/>
          <w:sz w:val="24"/>
          <w:szCs w:val="24"/>
        </w:rPr>
        <w:t>.C.3</w:t>
      </w:r>
      <w:r w:rsidR="00826FC0">
        <w:rPr>
          <w:rFonts w:ascii="Times New Roman" w:hAnsi="Times New Roman" w:cs="Times New Roman"/>
          <w:color w:val="000000" w:themeColor="text1"/>
          <w:sz w:val="24"/>
          <w:szCs w:val="24"/>
        </w:rPr>
        <w:t xml:space="preserve"> for information on environmental reporting</w:t>
      </w:r>
      <w:r w:rsidR="004146BA">
        <w:rPr>
          <w:rFonts w:ascii="Times New Roman" w:hAnsi="Times New Roman" w:cs="Times New Roman"/>
          <w:color w:val="000000" w:themeColor="text1"/>
          <w:sz w:val="24"/>
          <w:szCs w:val="24"/>
        </w:rPr>
        <w:t xml:space="preserve">. </w:t>
      </w:r>
    </w:p>
    <w:p w:rsidRPr="00355C65" w:rsidR="006E573A" w:rsidP="006E573A" w:rsidRDefault="006E573A" w14:paraId="5B855562" w14:textId="77777777">
      <w:pPr>
        <w:spacing w:line="276" w:lineRule="auto"/>
        <w:jc w:val="both"/>
        <w:rPr>
          <w:rFonts w:ascii="Times New Roman" w:hAnsi="Times New Roman" w:cs="Times New Roman"/>
          <w:color w:val="000000" w:themeColor="text1"/>
          <w:sz w:val="24"/>
          <w:szCs w:val="24"/>
          <w:shd w:val="clear" w:color="auto" w:fill="FFFFFF"/>
        </w:rPr>
      </w:pPr>
    </w:p>
    <w:bookmarkEnd w:id="2"/>
    <w:p w:rsidR="006E0931" w:rsidP="006E0931" w:rsidRDefault="00106BF4" w14:paraId="7B109A1B" w14:textId="21A58901">
      <w:pPr>
        <w:spacing w:after="200" w:line="276" w:lineRule="auto"/>
        <w:ind w:left="360" w:hanging="360"/>
        <w:contextual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w:t>
      </w:r>
      <w:r>
        <w:rPr>
          <w:rFonts w:ascii="Times New Roman" w:hAnsi="Times New Roman" w:cs="Times New Roman"/>
          <w:color w:val="000000" w:themeColor="text1"/>
          <w:sz w:val="24"/>
          <w:szCs w:val="24"/>
          <w:shd w:val="clear" w:color="auto" w:fill="FFFFFF"/>
        </w:rPr>
        <w:tab/>
      </w:r>
      <w:r w:rsidR="0067067B">
        <w:rPr>
          <w:rFonts w:ascii="Times New Roman" w:hAnsi="Times New Roman" w:cs="Times New Roman"/>
          <w:color w:val="000000" w:themeColor="text1"/>
          <w:sz w:val="24"/>
          <w:szCs w:val="24"/>
          <w:shd w:val="clear" w:color="auto" w:fill="FFFFFF"/>
        </w:rPr>
        <w:t xml:space="preserve">Failure </w:t>
      </w:r>
      <w:r w:rsidR="00876EE6">
        <w:rPr>
          <w:rFonts w:ascii="Times New Roman" w:hAnsi="Times New Roman" w:cs="Times New Roman"/>
          <w:color w:val="000000" w:themeColor="text1"/>
          <w:sz w:val="24"/>
          <w:szCs w:val="24"/>
          <w:shd w:val="clear" w:color="auto" w:fill="FFFFFF"/>
        </w:rPr>
        <w:t xml:space="preserve">to </w:t>
      </w:r>
      <w:r w:rsidR="009360E4">
        <w:rPr>
          <w:rFonts w:ascii="Times New Roman" w:hAnsi="Times New Roman" w:cs="Times New Roman"/>
          <w:color w:val="000000" w:themeColor="text1"/>
          <w:sz w:val="24"/>
          <w:szCs w:val="24"/>
          <w:shd w:val="clear" w:color="auto" w:fill="FFFFFF"/>
        </w:rPr>
        <w:t xml:space="preserve">meet </w:t>
      </w:r>
      <w:r w:rsidR="00876EE6">
        <w:rPr>
          <w:rFonts w:ascii="Times New Roman" w:hAnsi="Times New Roman" w:cs="Times New Roman"/>
          <w:color w:val="000000" w:themeColor="text1"/>
          <w:sz w:val="24"/>
          <w:szCs w:val="24"/>
          <w:shd w:val="clear" w:color="auto" w:fill="FFFFFF"/>
        </w:rPr>
        <w:t xml:space="preserve">requirements </w:t>
      </w:r>
      <w:r w:rsidR="008D430B">
        <w:rPr>
          <w:rFonts w:ascii="Times New Roman" w:hAnsi="Times New Roman" w:cs="Times New Roman"/>
          <w:color w:val="000000" w:themeColor="text1"/>
          <w:sz w:val="24"/>
          <w:szCs w:val="24"/>
          <w:shd w:val="clear" w:color="auto" w:fill="FFFFFF"/>
        </w:rPr>
        <w:t>for accessibility for persons with disabilities</w:t>
      </w:r>
      <w:r w:rsidRPr="00355C65" w:rsidR="006E573A">
        <w:rPr>
          <w:rFonts w:ascii="Times New Roman" w:hAnsi="Times New Roman" w:cs="Times New Roman"/>
          <w:color w:val="000000" w:themeColor="text1"/>
          <w:sz w:val="24"/>
          <w:szCs w:val="24"/>
          <w:shd w:val="clear" w:color="auto" w:fill="FFFFFF"/>
        </w:rPr>
        <w:t xml:space="preserve">.  Any property available for first occupancy after March 13, 1991, that </w:t>
      </w:r>
      <w:r w:rsidR="00D05319">
        <w:rPr>
          <w:rFonts w:ascii="Times New Roman" w:hAnsi="Times New Roman" w:cs="Times New Roman"/>
          <w:color w:val="000000" w:themeColor="text1"/>
          <w:sz w:val="24"/>
          <w:szCs w:val="24"/>
          <w:shd w:val="clear" w:color="auto" w:fill="FFFFFF"/>
        </w:rPr>
        <w:t xml:space="preserve">does not </w:t>
      </w:r>
      <w:r w:rsidRPr="00355C65" w:rsidR="006E573A">
        <w:rPr>
          <w:rFonts w:ascii="Times New Roman" w:hAnsi="Times New Roman" w:cs="Times New Roman"/>
          <w:color w:val="000000" w:themeColor="text1"/>
          <w:sz w:val="24"/>
          <w:szCs w:val="24"/>
          <w:shd w:val="clear" w:color="auto" w:fill="FFFFFF"/>
        </w:rPr>
        <w:t>compl</w:t>
      </w:r>
      <w:r w:rsidR="00D05319">
        <w:rPr>
          <w:rFonts w:ascii="Times New Roman" w:hAnsi="Times New Roman" w:cs="Times New Roman"/>
          <w:color w:val="000000" w:themeColor="text1"/>
          <w:sz w:val="24"/>
          <w:szCs w:val="24"/>
          <w:shd w:val="clear" w:color="auto" w:fill="FFFFFF"/>
        </w:rPr>
        <w:t>y</w:t>
      </w:r>
      <w:r w:rsidRPr="00355C65" w:rsidR="006E573A">
        <w:rPr>
          <w:rFonts w:ascii="Times New Roman" w:hAnsi="Times New Roman" w:cs="Times New Roman"/>
          <w:color w:val="000000" w:themeColor="text1"/>
          <w:sz w:val="24"/>
          <w:szCs w:val="24"/>
          <w:shd w:val="clear" w:color="auto" w:fill="FFFFFF"/>
        </w:rPr>
        <w:t xml:space="preserve"> with </w:t>
      </w:r>
      <w:r w:rsidR="00D05319">
        <w:rPr>
          <w:rFonts w:ascii="Times New Roman" w:hAnsi="Times New Roman" w:cs="Times New Roman"/>
          <w:color w:val="000000" w:themeColor="text1"/>
          <w:sz w:val="24"/>
          <w:szCs w:val="24"/>
          <w:shd w:val="clear" w:color="auto" w:fill="FFFFFF"/>
        </w:rPr>
        <w:t>the</w:t>
      </w:r>
      <w:r w:rsidRPr="00355C65" w:rsidR="006E573A">
        <w:rPr>
          <w:rFonts w:ascii="Times New Roman" w:hAnsi="Times New Roman" w:cs="Times New Roman"/>
          <w:color w:val="000000" w:themeColor="text1"/>
          <w:sz w:val="24"/>
          <w:szCs w:val="24"/>
          <w:shd w:val="clear" w:color="auto" w:fill="FFFFFF"/>
        </w:rPr>
        <w:t xml:space="preserve"> Fair Housing Act design and construction requirements, must, as a condition of insurance, be modified/retrofitted to comply with Fair Housing Act accessibility guidelines. </w:t>
      </w:r>
      <w:r w:rsidR="00936CCF">
        <w:rPr>
          <w:rFonts w:ascii="Times New Roman" w:hAnsi="Times New Roman" w:cs="Times New Roman"/>
          <w:color w:val="000000" w:themeColor="text1"/>
          <w:sz w:val="24"/>
          <w:szCs w:val="24"/>
          <w:shd w:val="clear" w:color="auto" w:fill="FFFFFF"/>
        </w:rPr>
        <w:t>Similar, but distinct requirements exist for a</w:t>
      </w:r>
      <w:r w:rsidR="00895B74">
        <w:rPr>
          <w:rFonts w:ascii="Times New Roman" w:hAnsi="Times New Roman" w:cs="Times New Roman"/>
          <w:color w:val="000000" w:themeColor="text1"/>
          <w:sz w:val="24"/>
          <w:szCs w:val="24"/>
          <w:shd w:val="clear" w:color="auto" w:fill="FFFFFF"/>
        </w:rPr>
        <w:t>ny property</w:t>
      </w:r>
      <w:r w:rsidR="00936CCF">
        <w:rPr>
          <w:rFonts w:ascii="Times New Roman" w:hAnsi="Times New Roman" w:cs="Times New Roman"/>
          <w:color w:val="000000" w:themeColor="text1"/>
          <w:sz w:val="24"/>
          <w:szCs w:val="24"/>
          <w:shd w:val="clear" w:color="auto" w:fill="FFFFFF"/>
        </w:rPr>
        <w:t xml:space="preserve"> </w:t>
      </w:r>
      <w:r w:rsidR="002E3B08">
        <w:rPr>
          <w:rFonts w:ascii="Times New Roman" w:hAnsi="Times New Roman" w:cs="Times New Roman"/>
          <w:color w:val="000000" w:themeColor="text1"/>
          <w:sz w:val="24"/>
          <w:szCs w:val="24"/>
          <w:shd w:val="clear" w:color="auto" w:fill="FFFFFF"/>
        </w:rPr>
        <w:t xml:space="preserve">now or ever </w:t>
      </w:r>
      <w:r w:rsidR="004F5B27">
        <w:rPr>
          <w:rFonts w:ascii="Times New Roman" w:hAnsi="Times New Roman" w:cs="Times New Roman"/>
          <w:color w:val="000000" w:themeColor="text1"/>
          <w:sz w:val="24"/>
          <w:szCs w:val="24"/>
          <w:shd w:val="clear" w:color="auto" w:fill="FFFFFF"/>
        </w:rPr>
        <w:t>federally assisted</w:t>
      </w:r>
      <w:r w:rsidR="0028489D">
        <w:rPr>
          <w:rFonts w:ascii="Times New Roman" w:hAnsi="Times New Roman" w:cs="Times New Roman"/>
          <w:color w:val="000000" w:themeColor="text1"/>
          <w:sz w:val="24"/>
          <w:szCs w:val="24"/>
          <w:shd w:val="clear" w:color="auto" w:fill="FFFFFF"/>
        </w:rPr>
        <w:t xml:space="preserve"> (per Section 504 of the National Rehabilitation Act of 1973</w:t>
      </w:r>
      <w:r w:rsidR="00E37F41">
        <w:rPr>
          <w:rFonts w:ascii="Times New Roman" w:hAnsi="Times New Roman" w:cs="Times New Roman"/>
          <w:color w:val="000000" w:themeColor="text1"/>
          <w:sz w:val="24"/>
          <w:szCs w:val="24"/>
          <w:shd w:val="clear" w:color="auto" w:fill="FFFFFF"/>
        </w:rPr>
        <w:t>)</w:t>
      </w:r>
      <w:r w:rsidR="00086726">
        <w:rPr>
          <w:rFonts w:ascii="Times New Roman" w:hAnsi="Times New Roman" w:cs="Times New Roman"/>
          <w:color w:val="000000" w:themeColor="text1"/>
          <w:sz w:val="24"/>
          <w:szCs w:val="24"/>
          <w:shd w:val="clear" w:color="auto" w:fill="FFFFFF"/>
        </w:rPr>
        <w:t xml:space="preserve">. </w:t>
      </w:r>
      <w:r w:rsidR="00C77332">
        <w:rPr>
          <w:rFonts w:ascii="Times New Roman" w:hAnsi="Times New Roman" w:cs="Times New Roman"/>
          <w:color w:val="000000" w:themeColor="text1"/>
          <w:sz w:val="24"/>
          <w:szCs w:val="24"/>
          <w:shd w:val="clear" w:color="auto" w:fill="FFFFFF"/>
        </w:rPr>
        <w:t>The Americans with Disabilities Act may also apply</w:t>
      </w:r>
      <w:r w:rsidR="00847A41">
        <w:rPr>
          <w:rFonts w:ascii="Times New Roman" w:hAnsi="Times New Roman" w:cs="Times New Roman"/>
          <w:color w:val="000000" w:themeColor="text1"/>
          <w:sz w:val="24"/>
          <w:szCs w:val="24"/>
          <w:shd w:val="clear" w:color="auto" w:fill="FFFFFF"/>
        </w:rPr>
        <w:t xml:space="preserve"> to portions of a property. </w:t>
      </w:r>
      <w:r w:rsidRPr="00355C65" w:rsidR="006E573A">
        <w:rPr>
          <w:rFonts w:ascii="Times New Roman" w:hAnsi="Times New Roman" w:cs="Times New Roman"/>
          <w:color w:val="000000" w:themeColor="text1"/>
          <w:sz w:val="24"/>
          <w:szCs w:val="24"/>
          <w:shd w:val="clear" w:color="auto" w:fill="FFFFFF"/>
        </w:rPr>
        <w:t xml:space="preserve">HUD may approve the modifications/retrofits to be completed after endorsement with appropriate financial escrows at closing, and the work must be performed in accordance with instructions in </w:t>
      </w:r>
      <w:r w:rsidR="006E573A">
        <w:rPr>
          <w:rFonts w:ascii="Times New Roman" w:hAnsi="Times New Roman" w:cs="Times New Roman"/>
          <w:color w:val="000000" w:themeColor="text1"/>
          <w:sz w:val="24"/>
          <w:szCs w:val="24"/>
          <w:shd w:val="clear" w:color="auto" w:fill="FFFFFF"/>
        </w:rPr>
        <w:t>Section 5B “</w:t>
      </w:r>
      <w:r w:rsidRPr="000611DE" w:rsidR="006E573A">
        <w:rPr>
          <w:rFonts w:ascii="Times New Roman" w:hAnsi="Times New Roman" w:cs="Times New Roman"/>
          <w:color w:val="000000" w:themeColor="text1"/>
          <w:sz w:val="24"/>
          <w:szCs w:val="24"/>
          <w:shd w:val="clear" w:color="auto" w:fill="FFFFFF"/>
        </w:rPr>
        <w:t>Accessibility for Persons with Disabilities</w:t>
      </w:r>
      <w:r w:rsidRPr="00355C65" w:rsidR="006E573A">
        <w:rPr>
          <w:rFonts w:ascii="Times New Roman" w:hAnsi="Times New Roman" w:cs="Times New Roman"/>
          <w:color w:val="000000" w:themeColor="text1"/>
          <w:sz w:val="24"/>
          <w:szCs w:val="24"/>
          <w:shd w:val="clear" w:color="auto" w:fill="FFFFFF"/>
        </w:rPr>
        <w:t>.</w:t>
      </w:r>
      <w:r w:rsidR="006E573A">
        <w:rPr>
          <w:rFonts w:ascii="Times New Roman" w:hAnsi="Times New Roman" w:cs="Times New Roman"/>
          <w:color w:val="000000" w:themeColor="text1"/>
          <w:sz w:val="24"/>
          <w:szCs w:val="24"/>
          <w:shd w:val="clear" w:color="auto" w:fill="FFFFFF"/>
        </w:rPr>
        <w:t>”</w:t>
      </w:r>
    </w:p>
    <w:p w:rsidR="001A7954" w:rsidP="006E0931" w:rsidRDefault="001A7954" w14:paraId="6D87BECE" w14:textId="77777777">
      <w:pPr>
        <w:spacing w:after="200" w:line="276" w:lineRule="auto"/>
        <w:ind w:left="360" w:hanging="360"/>
        <w:contextualSpacing/>
        <w:jc w:val="both"/>
        <w:rPr>
          <w:rFonts w:ascii="Times New Roman" w:hAnsi="Times New Roman" w:cs="Times New Roman"/>
          <w:b/>
          <w:color w:val="000000" w:themeColor="text1"/>
          <w:sz w:val="24"/>
          <w:szCs w:val="24"/>
        </w:rPr>
      </w:pPr>
    </w:p>
    <w:p w:rsidRPr="00355C65" w:rsidR="006E573A" w:rsidP="006E0931" w:rsidRDefault="00432342" w14:paraId="5B855565" w14:textId="6685C1E7">
      <w:pPr>
        <w:spacing w:after="200" w:line="276" w:lineRule="auto"/>
        <w:ind w:left="360" w:hanging="360"/>
        <w:contextualSpacing/>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F.</w:t>
      </w:r>
      <w:r w:rsidR="007C4E34">
        <w:rPr>
          <w:rFonts w:ascii="Times New Roman" w:hAnsi="Times New Roman" w:cs="Times New Roman"/>
          <w:color w:val="000000" w:themeColor="text1"/>
          <w:sz w:val="24"/>
          <w:szCs w:val="24"/>
        </w:rPr>
        <w:tab/>
      </w:r>
      <w:r w:rsidRPr="00355C65" w:rsidR="006E573A">
        <w:rPr>
          <w:rFonts w:ascii="Times New Roman" w:hAnsi="Times New Roman" w:cs="Times New Roman"/>
          <w:color w:val="000000" w:themeColor="text1"/>
          <w:sz w:val="24"/>
          <w:szCs w:val="24"/>
        </w:rPr>
        <w:t>Elderly or Age Restricted developments.  Projects with existing elderly occupancy or age restrictions are eligible for refinancing under Section 223(f) as long as the property meets the requirements of Section 3.1</w:t>
      </w:r>
      <w:r w:rsidR="009B72B6">
        <w:rPr>
          <w:rFonts w:ascii="Times New Roman" w:hAnsi="Times New Roman" w:cs="Times New Roman"/>
          <w:color w:val="000000" w:themeColor="text1"/>
          <w:sz w:val="24"/>
          <w:szCs w:val="24"/>
        </w:rPr>
        <w:t>1</w:t>
      </w:r>
      <w:r w:rsidRPr="00355C65" w:rsidR="006E573A">
        <w:rPr>
          <w:rFonts w:ascii="Times New Roman" w:hAnsi="Times New Roman" w:cs="Times New Roman"/>
          <w:color w:val="000000" w:themeColor="text1"/>
          <w:sz w:val="24"/>
          <w:szCs w:val="24"/>
        </w:rPr>
        <w:t xml:space="preserve"> and does not contain the features of the Section 232 program.</w:t>
      </w:r>
      <w:r w:rsidR="00B97750">
        <w:rPr>
          <w:rFonts w:ascii="Times New Roman" w:hAnsi="Times New Roman" w:cs="Times New Roman"/>
          <w:color w:val="000000" w:themeColor="text1"/>
          <w:sz w:val="24"/>
          <w:szCs w:val="24"/>
        </w:rPr>
        <w:t xml:space="preserve"> </w:t>
      </w:r>
    </w:p>
    <w:p w:rsidRPr="00355C65" w:rsidR="006E573A" w:rsidP="006E573A" w:rsidRDefault="006E573A" w14:paraId="5B855566" w14:textId="77777777">
      <w:pPr>
        <w:spacing w:line="276" w:lineRule="auto"/>
        <w:jc w:val="both"/>
        <w:rPr>
          <w:rFonts w:ascii="Times New Roman" w:hAnsi="Times New Roman" w:cs="Times New Roman"/>
          <w:color w:val="000000" w:themeColor="text1"/>
          <w:sz w:val="24"/>
          <w:szCs w:val="24"/>
        </w:rPr>
      </w:pPr>
    </w:p>
    <w:p w:rsidR="008D7EF7" w:rsidP="008D7EF7" w:rsidRDefault="008D7EF7" w14:paraId="409ADB97" w14:textId="4198ECB2">
      <w:pPr>
        <w:overflowPunct w:val="0"/>
        <w:autoSpaceDE w:val="0"/>
        <w:autoSpaceDN w:val="0"/>
        <w:adjustRightInd w:val="0"/>
        <w:spacing w:before="240" w:after="120" w:line="276" w:lineRule="auto"/>
        <w:ind w:left="360" w:hanging="360"/>
        <w:contextualSpacing/>
        <w:jc w:val="both"/>
        <w:textAlignment w:val="baseline"/>
        <w:outlineLvl w:val="1"/>
        <w:rPr>
          <w:rFonts w:ascii="Times New Roman" w:hAnsi="Times New Roman" w:eastAsia="Times New Roman" w:cs="Times New Roman"/>
          <w:sz w:val="24"/>
          <w:szCs w:val="24"/>
        </w:rPr>
      </w:pP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ab/>
      </w:r>
      <w:r w:rsidRPr="00355C65" w:rsidR="006E573A">
        <w:rPr>
          <w:rFonts w:ascii="Times New Roman" w:hAnsi="Times New Roman" w:cs="Times New Roman"/>
          <w:color w:val="000000" w:themeColor="text1"/>
          <w:sz w:val="24"/>
          <w:szCs w:val="24"/>
        </w:rPr>
        <w:t xml:space="preserve">Prior Defaults/Claims or Departmental Enforcement Center Referrals. HUD does not prohibit applications for mortgage insurance for </w:t>
      </w:r>
      <w:r w:rsidR="009570BE">
        <w:rPr>
          <w:rFonts w:ascii="Times New Roman" w:hAnsi="Times New Roman" w:cs="Times New Roman"/>
          <w:color w:val="000000" w:themeColor="text1"/>
          <w:sz w:val="24"/>
          <w:szCs w:val="24"/>
        </w:rPr>
        <w:t>projects that have previously experienced default,</w:t>
      </w:r>
      <w:r w:rsidR="00756000">
        <w:rPr>
          <w:rFonts w:ascii="Times New Roman" w:hAnsi="Times New Roman" w:cs="Times New Roman"/>
          <w:color w:val="000000" w:themeColor="text1"/>
          <w:sz w:val="24"/>
          <w:szCs w:val="24"/>
        </w:rPr>
        <w:t xml:space="preserve"> </w:t>
      </w:r>
      <w:r w:rsidR="00241568">
        <w:rPr>
          <w:rFonts w:ascii="Times New Roman" w:hAnsi="Times New Roman" w:cs="Times New Roman"/>
          <w:color w:val="000000" w:themeColor="text1"/>
          <w:sz w:val="24"/>
          <w:szCs w:val="24"/>
        </w:rPr>
        <w:t xml:space="preserve">assignment or were </w:t>
      </w:r>
      <w:r w:rsidRPr="00355C65" w:rsidR="006E573A">
        <w:rPr>
          <w:rFonts w:ascii="Times New Roman" w:hAnsi="Times New Roman" w:cs="Times New Roman"/>
          <w:color w:val="000000" w:themeColor="text1"/>
          <w:sz w:val="24"/>
          <w:szCs w:val="24"/>
        </w:rPr>
        <w:t>formerly HUD-held loans</w:t>
      </w:r>
      <w:r w:rsidR="00241568">
        <w:rPr>
          <w:rFonts w:ascii="Times New Roman" w:hAnsi="Times New Roman" w:cs="Times New Roman"/>
          <w:color w:val="000000" w:themeColor="text1"/>
          <w:sz w:val="24"/>
          <w:szCs w:val="24"/>
        </w:rPr>
        <w:t xml:space="preserve">, </w:t>
      </w:r>
      <w:r w:rsidRPr="00355C65" w:rsidR="006E573A">
        <w:rPr>
          <w:rFonts w:ascii="Times New Roman" w:hAnsi="Times New Roman" w:cs="Times New Roman"/>
          <w:color w:val="000000" w:themeColor="text1"/>
          <w:sz w:val="24"/>
          <w:szCs w:val="24"/>
        </w:rPr>
        <w:t xml:space="preserve"> but will not accept any application from a borrower/principal who has had a previous loan or other financial relationship with HUD and not proven to be a good business partner, or for a property which has proven to be unsuccessful</w:t>
      </w:r>
      <w:r w:rsidR="00384ABA">
        <w:rPr>
          <w:rFonts w:ascii="Times New Roman" w:hAnsi="Times New Roman" w:cs="Times New Roman"/>
          <w:color w:val="000000" w:themeColor="text1"/>
          <w:sz w:val="24"/>
          <w:szCs w:val="24"/>
        </w:rPr>
        <w:t xml:space="preserve"> or infeasible </w:t>
      </w:r>
      <w:r w:rsidRPr="00355C65" w:rsidR="006E573A">
        <w:rPr>
          <w:rFonts w:ascii="Times New Roman" w:hAnsi="Times New Roman" w:cs="Times New Roman"/>
          <w:color w:val="000000" w:themeColor="text1"/>
          <w:sz w:val="24"/>
          <w:szCs w:val="24"/>
        </w:rPr>
        <w:t xml:space="preserve"> in the past</w:t>
      </w:r>
      <w:r w:rsidR="00C7768A">
        <w:rPr>
          <w:rFonts w:ascii="Times New Roman" w:hAnsi="Times New Roman" w:cs="Times New Roman"/>
          <w:color w:val="000000" w:themeColor="text1"/>
          <w:sz w:val="24"/>
          <w:szCs w:val="24"/>
        </w:rPr>
        <w:t xml:space="preserve">, </w:t>
      </w:r>
      <w:r w:rsidR="009A08D9">
        <w:rPr>
          <w:rFonts w:ascii="Times New Roman" w:hAnsi="Times New Roman" w:cs="Times New Roman"/>
          <w:color w:val="000000" w:themeColor="text1"/>
          <w:sz w:val="24"/>
          <w:szCs w:val="24"/>
        </w:rPr>
        <w:t>especially</w:t>
      </w:r>
      <w:r w:rsidR="00C7768A">
        <w:rPr>
          <w:rFonts w:ascii="Times New Roman" w:hAnsi="Times New Roman" w:cs="Times New Roman"/>
          <w:color w:val="000000" w:themeColor="text1"/>
          <w:sz w:val="24"/>
          <w:szCs w:val="24"/>
        </w:rPr>
        <w:t xml:space="preserve"> if</w:t>
      </w:r>
      <w:r w:rsidR="00B009F9">
        <w:rPr>
          <w:rFonts w:ascii="Times New Roman" w:hAnsi="Times New Roman" w:cs="Times New Roman"/>
          <w:color w:val="000000" w:themeColor="text1"/>
          <w:sz w:val="24"/>
          <w:szCs w:val="24"/>
        </w:rPr>
        <w:t xml:space="preserve"> </w:t>
      </w:r>
      <w:r w:rsidR="00AA51C3">
        <w:rPr>
          <w:rFonts w:ascii="Times New Roman" w:hAnsi="Times New Roman" w:cs="Times New Roman"/>
          <w:color w:val="000000" w:themeColor="text1"/>
          <w:sz w:val="24"/>
          <w:szCs w:val="24"/>
        </w:rPr>
        <w:t>any inherent</w:t>
      </w:r>
      <w:r w:rsidR="00384ABA">
        <w:rPr>
          <w:rFonts w:ascii="Times New Roman" w:hAnsi="Times New Roman" w:cs="Times New Roman"/>
          <w:color w:val="000000" w:themeColor="text1"/>
          <w:sz w:val="24"/>
          <w:szCs w:val="24"/>
        </w:rPr>
        <w:t xml:space="preserve"> negative </w:t>
      </w:r>
      <w:r w:rsidR="00465705">
        <w:rPr>
          <w:rFonts w:ascii="Times New Roman" w:hAnsi="Times New Roman" w:cs="Times New Roman"/>
          <w:color w:val="000000" w:themeColor="text1"/>
          <w:sz w:val="24"/>
          <w:szCs w:val="24"/>
        </w:rPr>
        <w:t xml:space="preserve">attributes </w:t>
      </w:r>
      <w:r w:rsidR="00E51000">
        <w:rPr>
          <w:rFonts w:ascii="Times New Roman" w:hAnsi="Times New Roman" w:cs="Times New Roman"/>
          <w:color w:val="000000" w:themeColor="text1"/>
          <w:sz w:val="24"/>
          <w:szCs w:val="24"/>
        </w:rPr>
        <w:t>remain</w:t>
      </w:r>
      <w:r w:rsidR="00465705">
        <w:rPr>
          <w:rFonts w:ascii="Times New Roman" w:hAnsi="Times New Roman" w:cs="Times New Roman"/>
          <w:color w:val="000000" w:themeColor="text1"/>
          <w:sz w:val="24"/>
          <w:szCs w:val="24"/>
        </w:rPr>
        <w:t xml:space="preserve"> </w:t>
      </w:r>
      <w:r w:rsidR="00E51000">
        <w:rPr>
          <w:rFonts w:ascii="Times New Roman" w:hAnsi="Times New Roman" w:cs="Times New Roman"/>
          <w:color w:val="000000" w:themeColor="text1"/>
          <w:sz w:val="24"/>
          <w:szCs w:val="24"/>
        </w:rPr>
        <w:t>un</w:t>
      </w:r>
      <w:r w:rsidR="00465705">
        <w:rPr>
          <w:rFonts w:ascii="Times New Roman" w:hAnsi="Times New Roman" w:cs="Times New Roman"/>
          <w:color w:val="000000" w:themeColor="text1"/>
          <w:sz w:val="24"/>
          <w:szCs w:val="24"/>
        </w:rPr>
        <w:t>corrected</w:t>
      </w:r>
      <w:r w:rsidRPr="00355C65" w:rsidR="006E573A">
        <w:rPr>
          <w:rFonts w:ascii="Times New Roman" w:hAnsi="Times New Roman" w:cs="Times New Roman"/>
          <w:color w:val="000000" w:themeColor="text1"/>
          <w:sz w:val="24"/>
          <w:szCs w:val="24"/>
        </w:rPr>
        <w:t xml:space="preserve">.  The lender should accept such applications only after they have documented the economic, physical, operational or management changes that have occurred </w:t>
      </w:r>
      <w:r w:rsidR="00251285">
        <w:rPr>
          <w:rFonts w:ascii="Times New Roman" w:hAnsi="Times New Roman" w:cs="Times New Roman"/>
          <w:color w:val="000000" w:themeColor="text1"/>
          <w:sz w:val="24"/>
          <w:szCs w:val="24"/>
        </w:rPr>
        <w:t>thereby</w:t>
      </w:r>
      <w:r w:rsidRPr="00355C65" w:rsidR="006E573A">
        <w:rPr>
          <w:rFonts w:ascii="Times New Roman" w:hAnsi="Times New Roman" w:cs="Times New Roman"/>
          <w:color w:val="000000" w:themeColor="text1"/>
          <w:sz w:val="24"/>
          <w:szCs w:val="24"/>
        </w:rPr>
        <w:t xml:space="preserve"> justify</w:t>
      </w:r>
      <w:r w:rsidR="00617832">
        <w:rPr>
          <w:rFonts w:ascii="Times New Roman" w:hAnsi="Times New Roman" w:cs="Times New Roman"/>
          <w:color w:val="000000" w:themeColor="text1"/>
          <w:sz w:val="24"/>
          <w:szCs w:val="24"/>
        </w:rPr>
        <w:t>ing</w:t>
      </w:r>
      <w:r w:rsidRPr="00355C65" w:rsidR="006E573A">
        <w:rPr>
          <w:rFonts w:ascii="Times New Roman" w:hAnsi="Times New Roman" w:cs="Times New Roman"/>
          <w:color w:val="000000" w:themeColor="text1"/>
          <w:sz w:val="24"/>
          <w:szCs w:val="24"/>
        </w:rPr>
        <w:t xml:space="preserve"> an application for new insurance.  A concept meeting prior to submission is required to address the </w:t>
      </w:r>
      <w:r w:rsidR="00F824AA">
        <w:rPr>
          <w:rFonts w:ascii="Times New Roman" w:hAnsi="Times New Roman" w:cs="Times New Roman"/>
          <w:color w:val="000000" w:themeColor="text1"/>
          <w:sz w:val="24"/>
          <w:szCs w:val="24"/>
        </w:rPr>
        <w:t>histor</w:t>
      </w:r>
      <w:r w:rsidR="00615226">
        <w:rPr>
          <w:rFonts w:ascii="Times New Roman" w:hAnsi="Times New Roman" w:cs="Times New Roman"/>
          <w:color w:val="000000" w:themeColor="text1"/>
          <w:sz w:val="24"/>
          <w:szCs w:val="24"/>
        </w:rPr>
        <w:t>y</w:t>
      </w:r>
      <w:r w:rsidRPr="00355C65" w:rsidR="006E573A">
        <w:rPr>
          <w:rFonts w:ascii="Times New Roman" w:hAnsi="Times New Roman" w:cs="Times New Roman"/>
          <w:color w:val="000000" w:themeColor="text1"/>
          <w:sz w:val="24"/>
          <w:szCs w:val="24"/>
        </w:rPr>
        <w:t xml:space="preserve"> of the loan and of the borrower/principal including past Regulatory Agreement compliance.  Similarly, t</w:t>
      </w:r>
      <w:r w:rsidRPr="00355C65" w:rsidR="006E573A">
        <w:rPr>
          <w:rFonts w:ascii="Times New Roman" w:hAnsi="Times New Roman" w:eastAsia="Times New Roman" w:cs="Times New Roman"/>
          <w:sz w:val="24"/>
          <w:szCs w:val="24"/>
        </w:rPr>
        <w:t>he lender should ensure that the borrower, the proposed management agent, and/or the Project have not been referred to HUD’s Departmental Enforcement Center (DEC), or if such a referral has been made, that all issues have been or will be resolved.</w:t>
      </w:r>
    </w:p>
    <w:p w:rsidR="008D7EF7" w:rsidP="008D7EF7" w:rsidRDefault="008D7EF7" w14:paraId="2DBF1F96" w14:textId="77777777">
      <w:pPr>
        <w:overflowPunct w:val="0"/>
        <w:autoSpaceDE w:val="0"/>
        <w:autoSpaceDN w:val="0"/>
        <w:adjustRightInd w:val="0"/>
        <w:spacing w:before="240" w:after="120" w:line="276" w:lineRule="auto"/>
        <w:ind w:left="360" w:hanging="360"/>
        <w:contextualSpacing/>
        <w:jc w:val="both"/>
        <w:textAlignment w:val="baseline"/>
        <w:outlineLvl w:val="1"/>
        <w:rPr>
          <w:rFonts w:ascii="Times New Roman" w:hAnsi="Times New Roman" w:cs="Times New Roman"/>
          <w:color w:val="000000" w:themeColor="text1"/>
          <w:sz w:val="24"/>
          <w:szCs w:val="24"/>
        </w:rPr>
      </w:pPr>
    </w:p>
    <w:p w:rsidRPr="008D7EF7" w:rsidR="006E573A" w:rsidP="008D7EF7" w:rsidRDefault="00487281" w14:paraId="5B85556A" w14:textId="386E9B2B">
      <w:pPr>
        <w:overflowPunct w:val="0"/>
        <w:autoSpaceDE w:val="0"/>
        <w:autoSpaceDN w:val="0"/>
        <w:adjustRightInd w:val="0"/>
        <w:spacing w:before="240" w:after="120" w:line="276" w:lineRule="auto"/>
        <w:ind w:left="360" w:hanging="360"/>
        <w:contextualSpacing/>
        <w:jc w:val="both"/>
        <w:textAlignment w:val="baseline"/>
        <w:outlineLvl w:val="1"/>
        <w:rPr>
          <w:rFonts w:ascii="Times New Roman" w:hAnsi="Times New Roman" w:eastAsia="Times New Roman" w:cs="Times New Roman"/>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ab/>
      </w:r>
      <w:r w:rsidRPr="00355C65" w:rsidR="006E573A">
        <w:rPr>
          <w:rFonts w:ascii="Times New Roman" w:hAnsi="Times New Roman" w:cs="Times New Roman"/>
          <w:color w:val="000000" w:themeColor="text1"/>
          <w:sz w:val="24"/>
          <w:szCs w:val="24"/>
        </w:rPr>
        <w:t>Labor standards.  Davis-Bacon prevailing wage requirements do not apply to Section 207/223(f).</w:t>
      </w:r>
    </w:p>
    <w:p w:rsidRPr="00355C65" w:rsidR="006E573A" w:rsidP="006E573A" w:rsidRDefault="006E573A" w14:paraId="5B85556B" w14:textId="77777777">
      <w:pPr>
        <w:spacing w:line="276" w:lineRule="auto"/>
        <w:jc w:val="both"/>
        <w:rPr>
          <w:rFonts w:ascii="Times New Roman" w:hAnsi="Times New Roman" w:cs="Times New Roman"/>
          <w:color w:val="000000" w:themeColor="text1"/>
          <w:spacing w:val="-4"/>
          <w:sz w:val="24"/>
          <w:szCs w:val="24"/>
        </w:rPr>
      </w:pPr>
    </w:p>
    <w:p w:rsidR="006E573A" w:rsidP="00332985" w:rsidRDefault="00332985" w14:paraId="5B85556C" w14:textId="3C831321">
      <w:pPr>
        <w:spacing w:after="200" w:line="276" w:lineRule="auto"/>
        <w:ind w:left="360" w:hanging="36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ab/>
      </w:r>
      <w:r w:rsidRPr="00355C65" w:rsidR="006E573A">
        <w:rPr>
          <w:rFonts w:ascii="Times New Roman" w:hAnsi="Times New Roman" w:cs="Times New Roman"/>
          <w:color w:val="000000" w:themeColor="text1"/>
          <w:sz w:val="24"/>
          <w:szCs w:val="24"/>
        </w:rPr>
        <w:t>Prepayment Provisions and Prohibition.  The National Housing Act prohibits prepayment of loans insured under Section 223(f) for 5 years from the date of endorsement for insurance except where at the time of prepayment:</w:t>
      </w:r>
    </w:p>
    <w:p w:rsidRPr="00355C65" w:rsidR="00383E33" w:rsidP="00332985" w:rsidRDefault="00383E33" w14:paraId="7C1F1172" w14:textId="77777777">
      <w:pPr>
        <w:spacing w:after="200" w:line="276" w:lineRule="auto"/>
        <w:ind w:left="360" w:hanging="360"/>
        <w:contextualSpacing/>
        <w:jc w:val="both"/>
        <w:rPr>
          <w:rFonts w:ascii="Times New Roman" w:hAnsi="Times New Roman" w:cs="Times New Roman"/>
          <w:b/>
          <w:color w:val="000000" w:themeColor="text1"/>
          <w:sz w:val="24"/>
          <w:szCs w:val="24"/>
        </w:rPr>
      </w:pPr>
    </w:p>
    <w:p w:rsidRPr="00355C65" w:rsidR="006E573A" w:rsidP="006E573A" w:rsidRDefault="006E573A" w14:paraId="5B85556D" w14:textId="5D5AFCF5">
      <w:pPr>
        <w:tabs>
          <w:tab w:val="left" w:pos="630"/>
        </w:tabs>
        <w:spacing w:line="276" w:lineRule="auto"/>
        <w:ind w:left="720" w:hanging="360"/>
        <w:jc w:val="both"/>
        <w:rPr>
          <w:rFonts w:ascii="Times New Roman" w:hAnsi="Times New Roman" w:cs="Times New Roman"/>
          <w:b/>
          <w:color w:val="000000" w:themeColor="text1"/>
          <w:sz w:val="24"/>
          <w:szCs w:val="24"/>
        </w:rPr>
      </w:pPr>
      <w:r w:rsidRPr="00355C65">
        <w:rPr>
          <w:rFonts w:ascii="Times New Roman" w:hAnsi="Times New Roman" w:cs="Times New Roman"/>
          <w:color w:val="000000" w:themeColor="text1"/>
          <w:sz w:val="24"/>
          <w:szCs w:val="24"/>
        </w:rPr>
        <w:t>1.</w:t>
      </w:r>
      <w:r w:rsidR="00636723">
        <w:rPr>
          <w:rFonts w:ascii="Times New Roman" w:hAnsi="Times New Roman" w:cs="Times New Roman"/>
          <w:color w:val="000000" w:themeColor="text1"/>
          <w:sz w:val="24"/>
          <w:szCs w:val="24"/>
        </w:rPr>
        <w:tab/>
      </w:r>
      <w:r w:rsidRPr="00355C65">
        <w:rPr>
          <w:rFonts w:ascii="Times New Roman" w:hAnsi="Times New Roman" w:cs="Times New Roman"/>
          <w:color w:val="000000" w:themeColor="text1"/>
          <w:sz w:val="24"/>
          <w:szCs w:val="24"/>
        </w:rPr>
        <w:t xml:space="preserve"> The borrower enters into an agreement with HUD to maintain the property as rental housing for the remainder of the specified </w:t>
      </w:r>
      <w:r w:rsidRPr="00355C65" w:rsidR="00614E67">
        <w:rPr>
          <w:rFonts w:ascii="Times New Roman" w:hAnsi="Times New Roman" w:cs="Times New Roman"/>
          <w:color w:val="000000" w:themeColor="text1"/>
          <w:sz w:val="24"/>
          <w:szCs w:val="24"/>
        </w:rPr>
        <w:t>5-year</w:t>
      </w:r>
      <w:r w:rsidRPr="00355C65">
        <w:rPr>
          <w:rFonts w:ascii="Times New Roman" w:hAnsi="Times New Roman" w:cs="Times New Roman"/>
          <w:color w:val="000000" w:themeColor="text1"/>
          <w:sz w:val="24"/>
          <w:szCs w:val="24"/>
        </w:rPr>
        <w:t xml:space="preserve"> term;</w:t>
      </w:r>
    </w:p>
    <w:p w:rsidRPr="00355C65" w:rsidR="006E573A" w:rsidP="006E573A" w:rsidRDefault="006E573A" w14:paraId="5B85556E" w14:textId="6EB8BECE">
      <w:pPr>
        <w:tabs>
          <w:tab w:val="left" w:pos="630"/>
        </w:tabs>
        <w:spacing w:line="276" w:lineRule="auto"/>
        <w:ind w:left="720" w:hanging="360"/>
        <w:jc w:val="both"/>
        <w:rPr>
          <w:rFonts w:ascii="Times New Roman" w:hAnsi="Times New Roman" w:cs="Times New Roman"/>
          <w:b/>
          <w:color w:val="000000" w:themeColor="text1"/>
          <w:sz w:val="24"/>
          <w:szCs w:val="24"/>
        </w:rPr>
      </w:pPr>
      <w:r w:rsidRPr="00355C65">
        <w:rPr>
          <w:rFonts w:ascii="Times New Roman" w:hAnsi="Times New Roman" w:cs="Times New Roman"/>
          <w:color w:val="000000" w:themeColor="text1"/>
          <w:sz w:val="24"/>
          <w:szCs w:val="24"/>
        </w:rPr>
        <w:t>2.</w:t>
      </w:r>
      <w:r w:rsidR="00636723">
        <w:rPr>
          <w:rFonts w:ascii="Times New Roman" w:hAnsi="Times New Roman" w:cs="Times New Roman"/>
          <w:color w:val="000000" w:themeColor="text1"/>
          <w:sz w:val="24"/>
          <w:szCs w:val="24"/>
        </w:rPr>
        <w:tab/>
      </w:r>
      <w:r w:rsidR="00636723">
        <w:rPr>
          <w:rFonts w:ascii="Times New Roman" w:hAnsi="Times New Roman" w:cs="Times New Roman"/>
          <w:color w:val="000000" w:themeColor="text1"/>
          <w:sz w:val="24"/>
          <w:szCs w:val="24"/>
        </w:rPr>
        <w:tab/>
      </w:r>
      <w:r w:rsidRPr="00355C65">
        <w:rPr>
          <w:rFonts w:ascii="Times New Roman" w:hAnsi="Times New Roman" w:cs="Times New Roman"/>
          <w:color w:val="000000" w:themeColor="text1"/>
          <w:sz w:val="24"/>
          <w:szCs w:val="24"/>
        </w:rPr>
        <w:t>HUD determines that the conversion of the property to a cooperative or condominium ownership is sponsored by a bona fide resident organization representing the majority of households in the project;</w:t>
      </w:r>
    </w:p>
    <w:p w:rsidRPr="00355C65" w:rsidR="006E573A" w:rsidP="006E573A" w:rsidRDefault="006E573A" w14:paraId="5B85556F" w14:textId="7AF125A1">
      <w:pPr>
        <w:tabs>
          <w:tab w:val="left" w:pos="630"/>
          <w:tab w:val="left" w:pos="990"/>
        </w:tabs>
        <w:spacing w:line="276" w:lineRule="auto"/>
        <w:ind w:left="720" w:hanging="360"/>
        <w:jc w:val="both"/>
        <w:rPr>
          <w:rFonts w:ascii="Times New Roman" w:hAnsi="Times New Roman" w:cs="Times New Roman"/>
          <w:b/>
          <w:color w:val="000000" w:themeColor="text1"/>
          <w:sz w:val="24"/>
          <w:szCs w:val="24"/>
        </w:rPr>
      </w:pPr>
      <w:r w:rsidRPr="00355C65">
        <w:rPr>
          <w:rFonts w:ascii="Times New Roman" w:hAnsi="Times New Roman" w:cs="Times New Roman"/>
          <w:color w:val="000000" w:themeColor="text1"/>
          <w:sz w:val="24"/>
          <w:szCs w:val="24"/>
        </w:rPr>
        <w:t>3.</w:t>
      </w:r>
      <w:r w:rsidR="00636723">
        <w:rPr>
          <w:rFonts w:ascii="Times New Roman" w:hAnsi="Times New Roman" w:cs="Times New Roman"/>
          <w:color w:val="000000" w:themeColor="text1"/>
          <w:sz w:val="24"/>
          <w:szCs w:val="24"/>
        </w:rPr>
        <w:tab/>
      </w:r>
      <w:r w:rsidR="00636723">
        <w:rPr>
          <w:rFonts w:ascii="Times New Roman" w:hAnsi="Times New Roman" w:cs="Times New Roman"/>
          <w:color w:val="000000" w:themeColor="text1"/>
          <w:sz w:val="24"/>
          <w:szCs w:val="24"/>
        </w:rPr>
        <w:tab/>
      </w:r>
      <w:r w:rsidRPr="00355C65">
        <w:rPr>
          <w:rFonts w:ascii="Times New Roman" w:hAnsi="Times New Roman" w:cs="Times New Roman"/>
          <w:color w:val="000000" w:themeColor="text1"/>
          <w:sz w:val="24"/>
          <w:szCs w:val="24"/>
        </w:rPr>
        <w:t xml:space="preserve">HUD determines that continuation of the property as rental housing is unnecessary to assure adequate rental housing for </w:t>
      </w:r>
      <w:r w:rsidRPr="00355C65" w:rsidR="00614E67">
        <w:rPr>
          <w:rFonts w:ascii="Times New Roman" w:hAnsi="Times New Roman" w:cs="Times New Roman"/>
          <w:color w:val="000000" w:themeColor="text1"/>
          <w:sz w:val="24"/>
          <w:szCs w:val="24"/>
        </w:rPr>
        <w:t>low- and moderate-income</w:t>
      </w:r>
      <w:r w:rsidRPr="00355C65">
        <w:rPr>
          <w:rFonts w:ascii="Times New Roman" w:hAnsi="Times New Roman" w:cs="Times New Roman"/>
          <w:color w:val="000000" w:themeColor="text1"/>
          <w:sz w:val="24"/>
          <w:szCs w:val="24"/>
        </w:rPr>
        <w:t xml:space="preserve"> residents of the community; or</w:t>
      </w:r>
    </w:p>
    <w:p w:rsidRPr="00355C65" w:rsidR="006E573A" w:rsidP="006E573A" w:rsidRDefault="006E573A" w14:paraId="5B855570" w14:textId="395C30DC">
      <w:pPr>
        <w:tabs>
          <w:tab w:val="left" w:pos="630"/>
        </w:tabs>
        <w:spacing w:line="276" w:lineRule="auto"/>
        <w:ind w:left="720" w:hanging="360"/>
        <w:jc w:val="both"/>
        <w:rPr>
          <w:rFonts w:ascii="Times New Roman" w:hAnsi="Times New Roman" w:cs="Times New Roman"/>
          <w:color w:val="000000" w:themeColor="text1"/>
          <w:sz w:val="24"/>
          <w:szCs w:val="24"/>
        </w:rPr>
      </w:pPr>
      <w:r w:rsidRPr="00355C65">
        <w:rPr>
          <w:rFonts w:ascii="Times New Roman" w:hAnsi="Times New Roman" w:cs="Times New Roman"/>
          <w:color w:val="000000" w:themeColor="text1"/>
          <w:sz w:val="24"/>
          <w:szCs w:val="24"/>
        </w:rPr>
        <w:t>4.</w:t>
      </w:r>
      <w:r w:rsidR="00636723">
        <w:rPr>
          <w:rFonts w:ascii="Times New Roman" w:hAnsi="Times New Roman" w:cs="Times New Roman"/>
          <w:color w:val="000000" w:themeColor="text1"/>
          <w:sz w:val="24"/>
          <w:szCs w:val="24"/>
        </w:rPr>
        <w:tab/>
      </w:r>
      <w:r w:rsidR="00636723">
        <w:rPr>
          <w:rFonts w:ascii="Times New Roman" w:hAnsi="Times New Roman" w:cs="Times New Roman"/>
          <w:color w:val="000000" w:themeColor="text1"/>
          <w:sz w:val="24"/>
          <w:szCs w:val="24"/>
        </w:rPr>
        <w:tab/>
      </w:r>
      <w:r w:rsidRPr="00355C65">
        <w:rPr>
          <w:rFonts w:ascii="Times New Roman" w:hAnsi="Times New Roman" w:cs="Times New Roman"/>
          <w:color w:val="000000" w:themeColor="text1"/>
          <w:sz w:val="24"/>
          <w:szCs w:val="24"/>
        </w:rPr>
        <w:t>HUD determines that continuation of the property as rental housing would have an undesirable and deleterious effect on the community.</w:t>
      </w:r>
    </w:p>
    <w:p w:rsidRPr="00355C65" w:rsidR="006E573A" w:rsidP="006E573A" w:rsidRDefault="006E573A" w14:paraId="5B855571" w14:textId="77777777">
      <w:pPr>
        <w:spacing w:line="276" w:lineRule="auto"/>
        <w:ind w:left="720"/>
        <w:jc w:val="both"/>
        <w:rPr>
          <w:rFonts w:ascii="Times New Roman" w:hAnsi="Times New Roman" w:cs="Times New Roman"/>
          <w:b/>
          <w:color w:val="000000" w:themeColor="text1"/>
          <w:sz w:val="24"/>
          <w:szCs w:val="24"/>
        </w:rPr>
      </w:pPr>
    </w:p>
    <w:p w:rsidRPr="00355C65" w:rsidR="006E573A" w:rsidP="00692145" w:rsidRDefault="006E573A" w14:paraId="5B855573" w14:textId="22BD35EB">
      <w:pPr>
        <w:spacing w:line="276" w:lineRule="auto"/>
        <w:ind w:left="360"/>
        <w:jc w:val="both"/>
        <w:rPr>
          <w:rFonts w:ascii="Times New Roman" w:hAnsi="Times New Roman" w:cs="Times New Roman"/>
          <w:color w:val="000000" w:themeColor="text1"/>
          <w:spacing w:val="-2"/>
          <w:sz w:val="24"/>
          <w:szCs w:val="24"/>
        </w:rPr>
      </w:pPr>
      <w:r w:rsidRPr="00355C65">
        <w:rPr>
          <w:rFonts w:ascii="Times New Roman" w:hAnsi="Times New Roman" w:cs="Times New Roman"/>
          <w:color w:val="000000" w:themeColor="text1"/>
          <w:sz w:val="24"/>
          <w:szCs w:val="24"/>
        </w:rPr>
        <w:t>The statutorily imposed prepayment restriction is not intended to prohibit refinancing under Section 223(a)(7) though the terms of a Ginnie Mae or other mortgage backed security or bond financing may restrict prepayment. A Section 223(f) Use Agreement is required for a refinancing of an existing Section 207 insured loan pursuant to Section 223(f)/ 223(a)(7) if the mortgage is aged less than five years from the Final Endorsement date.</w:t>
      </w:r>
    </w:p>
    <w:p w:rsidRPr="00355C65" w:rsidR="006E573A" w:rsidP="006E573A" w:rsidRDefault="006E573A" w14:paraId="5B855575" w14:textId="77777777">
      <w:pPr>
        <w:spacing w:line="276" w:lineRule="auto"/>
        <w:jc w:val="both"/>
        <w:rPr>
          <w:rFonts w:ascii="Times New Roman" w:hAnsi="Times New Roman" w:cs="Times New Roman"/>
          <w:color w:val="000000" w:themeColor="text1"/>
          <w:sz w:val="24"/>
          <w:szCs w:val="24"/>
        </w:rPr>
      </w:pPr>
    </w:p>
    <w:p w:rsidRPr="00B67E12" w:rsidR="006E573A" w:rsidP="006801F6" w:rsidRDefault="006E573A" w14:paraId="5B855576" w14:textId="4FCA3643">
      <w:pPr>
        <w:pStyle w:val="ListParagraph"/>
        <w:numPr>
          <w:ilvl w:val="0"/>
          <w:numId w:val="49"/>
        </w:numPr>
        <w:spacing w:after="200" w:line="276" w:lineRule="auto"/>
        <w:ind w:left="360"/>
        <w:jc w:val="both"/>
        <w:rPr>
          <w:rFonts w:ascii="Times New Roman" w:hAnsi="Times New Roman" w:cs="Times New Roman"/>
          <w:b/>
          <w:iCs/>
          <w:color w:val="000000" w:themeColor="text1"/>
          <w:sz w:val="24"/>
          <w:szCs w:val="24"/>
        </w:rPr>
      </w:pPr>
      <w:r w:rsidRPr="00B67E12">
        <w:rPr>
          <w:rFonts w:ascii="Times New Roman" w:hAnsi="Times New Roman" w:cs="Times New Roman"/>
          <w:color w:val="000000" w:themeColor="text1"/>
          <w:sz w:val="24"/>
          <w:szCs w:val="24"/>
        </w:rPr>
        <w:t xml:space="preserve">Maximum Loan Ratios and Debt Service Coverage Ratios.  </w:t>
      </w:r>
      <w:r w:rsidRPr="00B67E12">
        <w:rPr>
          <w:rFonts w:ascii="Times New Roman" w:hAnsi="Times New Roman" w:cs="Times New Roman"/>
          <w:iCs/>
          <w:color w:val="000000" w:themeColor="text1"/>
          <w:sz w:val="24"/>
          <w:szCs w:val="24"/>
        </w:rPr>
        <w:t>The following loan ratios and percentages control the loan amount and are detailed on the Form HUD-92264-A, Supplement to Project Analysis, mortgage criteria.  The lowest mortgage criterion controls the loan amount</w:t>
      </w:r>
      <w:r w:rsidRPr="00B67E12">
        <w:rPr>
          <w:rFonts w:ascii="Times New Roman" w:hAnsi="Times New Roman" w:cs="Times New Roman"/>
          <w:b/>
          <w:iCs/>
          <w:color w:val="000000" w:themeColor="text1"/>
          <w:sz w:val="24"/>
          <w:szCs w:val="24"/>
        </w:rPr>
        <w:t>.</w:t>
      </w:r>
    </w:p>
    <w:p w:rsidR="006E573A" w:rsidP="006E573A" w:rsidRDefault="006E573A" w14:paraId="5B855579" w14:textId="77777777">
      <w:pPr>
        <w:spacing w:after="200" w:line="276" w:lineRule="auto"/>
        <w:ind w:left="360"/>
        <w:contextualSpacing/>
        <w:jc w:val="center"/>
        <w:rPr>
          <w:rFonts w:ascii="Times New Roman" w:hAnsi="Times New Roman" w:cs="Times New Roman"/>
          <w:bCs/>
          <w:iCs/>
          <w:color w:val="000000" w:themeColor="text1"/>
          <w:sz w:val="24"/>
          <w:szCs w:val="24"/>
          <w:u w:val="single"/>
        </w:rPr>
      </w:pPr>
    </w:p>
    <w:p w:rsidRPr="00355C65" w:rsidR="006E573A" w:rsidP="006E573A" w:rsidRDefault="006E573A" w14:paraId="5B85557A" w14:textId="77777777">
      <w:pPr>
        <w:spacing w:after="200" w:line="276" w:lineRule="auto"/>
        <w:ind w:left="360"/>
        <w:contextualSpacing/>
        <w:jc w:val="center"/>
        <w:rPr>
          <w:rFonts w:ascii="Times New Roman" w:hAnsi="Times New Roman" w:cs="Times New Roman"/>
          <w:bCs/>
          <w:iCs/>
          <w:color w:val="000000" w:themeColor="text1"/>
          <w:sz w:val="24"/>
          <w:szCs w:val="24"/>
          <w:u w:val="single"/>
        </w:rPr>
      </w:pPr>
      <w:r w:rsidRPr="00355C65">
        <w:rPr>
          <w:rFonts w:ascii="Times New Roman" w:hAnsi="Times New Roman" w:cs="Times New Roman"/>
          <w:bCs/>
          <w:iCs/>
          <w:color w:val="000000" w:themeColor="text1"/>
          <w:sz w:val="24"/>
          <w:szCs w:val="24"/>
          <w:u w:val="single"/>
        </w:rPr>
        <w:t>Section 223(f)</w:t>
      </w:r>
    </w:p>
    <w:p w:rsidRPr="00355C65" w:rsidR="006E573A" w:rsidP="006E573A" w:rsidRDefault="006E573A" w14:paraId="5B85557B" w14:textId="77777777">
      <w:pPr>
        <w:spacing w:after="200" w:line="276" w:lineRule="auto"/>
        <w:ind w:left="360"/>
        <w:contextualSpacing/>
        <w:jc w:val="center"/>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u w:val="single"/>
        </w:rPr>
        <w:t>Refinance and Acquisition Processing</w:t>
      </w:r>
    </w:p>
    <w:p w:rsidRPr="00355C65" w:rsidR="006E573A" w:rsidP="006E573A" w:rsidRDefault="006E573A" w14:paraId="5B85557C" w14:textId="77777777">
      <w:pPr>
        <w:spacing w:after="200" w:line="276" w:lineRule="auto"/>
        <w:ind w:left="720"/>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u w:val="single"/>
        </w:rPr>
        <w:t>Criterion 1</w:t>
      </w:r>
      <w:r w:rsidRPr="00355C65">
        <w:rPr>
          <w:rFonts w:ascii="Times New Roman" w:hAnsi="Times New Roman" w:cs="Times New Roman"/>
          <w:bCs/>
          <w:iCs/>
          <w:color w:val="000000" w:themeColor="text1"/>
          <w:sz w:val="24"/>
          <w:szCs w:val="24"/>
        </w:rPr>
        <w:t>:</w:t>
      </w:r>
    </w:p>
    <w:p w:rsidRPr="00355C65" w:rsidR="006E573A" w:rsidP="006E573A" w:rsidRDefault="006E573A" w14:paraId="5B85557D" w14:textId="77777777">
      <w:pPr>
        <w:spacing w:after="200" w:line="276" w:lineRule="auto"/>
        <w:ind w:left="360"/>
        <w:contextualSpacing/>
        <w:jc w:val="both"/>
        <w:rPr>
          <w:rFonts w:ascii="Times New Roman" w:hAnsi="Times New Roman" w:cs="Times New Roman"/>
          <w:bCs/>
          <w:iCs/>
          <w:color w:val="000000" w:themeColor="text1"/>
          <w:sz w:val="24"/>
          <w:szCs w:val="24"/>
        </w:rPr>
      </w:pPr>
    </w:p>
    <w:p w:rsidRPr="00355C65" w:rsidR="006E573A" w:rsidP="006E573A" w:rsidRDefault="006E573A" w14:paraId="5B85557E" w14:textId="77777777">
      <w:pPr>
        <w:spacing w:after="200" w:line="276" w:lineRule="auto"/>
        <w:ind w:left="720"/>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Loan Amount Requested on Application.  The requested application amount may be amended when appropriate.</w:t>
      </w:r>
    </w:p>
    <w:p w:rsidRPr="00355C65" w:rsidR="006E573A" w:rsidP="006E573A" w:rsidRDefault="006E573A" w14:paraId="5B85557F" w14:textId="77777777">
      <w:pPr>
        <w:spacing w:after="200" w:line="276" w:lineRule="auto"/>
        <w:ind w:left="720"/>
        <w:contextualSpacing/>
        <w:jc w:val="both"/>
        <w:rPr>
          <w:rFonts w:ascii="Times New Roman" w:hAnsi="Times New Roman" w:cs="Times New Roman"/>
          <w:bCs/>
          <w:iCs/>
          <w:color w:val="000000" w:themeColor="text1"/>
          <w:sz w:val="24"/>
          <w:szCs w:val="24"/>
        </w:rPr>
      </w:pPr>
    </w:p>
    <w:p w:rsidRPr="00355C65" w:rsidR="006E573A" w:rsidP="006E573A" w:rsidRDefault="006E573A" w14:paraId="5B855580" w14:textId="77777777">
      <w:pPr>
        <w:spacing w:after="200" w:line="276" w:lineRule="auto"/>
        <w:ind w:left="720"/>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u w:val="single"/>
        </w:rPr>
        <w:t>Criterion 3</w:t>
      </w:r>
      <w:r w:rsidRPr="00355C65">
        <w:rPr>
          <w:rFonts w:ascii="Times New Roman" w:hAnsi="Times New Roman" w:cs="Times New Roman"/>
          <w:bCs/>
          <w:iCs/>
          <w:color w:val="000000" w:themeColor="text1"/>
          <w:sz w:val="24"/>
          <w:szCs w:val="24"/>
        </w:rPr>
        <w:t>:</w:t>
      </w:r>
    </w:p>
    <w:p w:rsidRPr="00355C65" w:rsidR="006E573A" w:rsidP="006E573A" w:rsidRDefault="006E573A" w14:paraId="5B855581" w14:textId="77777777">
      <w:pPr>
        <w:spacing w:after="200" w:line="276" w:lineRule="auto"/>
        <w:ind w:left="720"/>
        <w:contextualSpacing/>
        <w:jc w:val="both"/>
        <w:rPr>
          <w:rFonts w:ascii="Times New Roman" w:hAnsi="Times New Roman" w:cs="Times New Roman"/>
          <w:bCs/>
          <w:iCs/>
          <w:color w:val="000000" w:themeColor="text1"/>
          <w:sz w:val="24"/>
          <w:szCs w:val="24"/>
        </w:rPr>
      </w:pPr>
    </w:p>
    <w:p w:rsidRPr="00355C65" w:rsidR="006E573A" w:rsidP="006E573A" w:rsidRDefault="006E573A" w14:paraId="5B855582" w14:textId="77777777">
      <w:pPr>
        <w:spacing w:after="200" w:line="276" w:lineRule="auto"/>
        <w:ind w:left="720"/>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 xml:space="preserve">Amount Based on </w:t>
      </w:r>
      <w:r w:rsidRPr="00355C65">
        <w:rPr>
          <w:rFonts w:ascii="Times New Roman" w:hAnsi="Times New Roman" w:cs="Times New Roman"/>
          <w:bCs/>
          <w:iCs/>
          <w:color w:val="000000" w:themeColor="text1"/>
          <w:sz w:val="24"/>
          <w:szCs w:val="24"/>
          <w:u w:val="single"/>
        </w:rPr>
        <w:t>Value</w:t>
      </w:r>
      <w:r w:rsidRPr="00355C65">
        <w:rPr>
          <w:rFonts w:ascii="Times New Roman" w:hAnsi="Times New Roman" w:cs="Times New Roman"/>
          <w:bCs/>
          <w:iCs/>
          <w:color w:val="000000" w:themeColor="text1"/>
          <w:sz w:val="24"/>
          <w:szCs w:val="24"/>
        </w:rPr>
        <w:t>:  The applicable percentage of the estimated value of the property after completion of repairs and improvements.</w:t>
      </w:r>
    </w:p>
    <w:p w:rsidRPr="00355C65" w:rsidR="006E573A" w:rsidP="006E573A" w:rsidRDefault="006E573A" w14:paraId="5B855583" w14:textId="77777777">
      <w:pPr>
        <w:spacing w:after="200" w:line="276" w:lineRule="auto"/>
        <w:ind w:left="720"/>
        <w:contextualSpacing/>
        <w:jc w:val="both"/>
        <w:rPr>
          <w:rFonts w:ascii="Times New Roman" w:hAnsi="Times New Roman" w:cs="Times New Roman"/>
          <w:bCs/>
          <w:iCs/>
          <w:color w:val="000000" w:themeColor="text1"/>
          <w:sz w:val="24"/>
          <w:szCs w:val="24"/>
        </w:rPr>
      </w:pPr>
    </w:p>
    <w:p w:rsidRPr="00355C65" w:rsidR="006E573A" w:rsidP="006E573A" w:rsidRDefault="006E573A" w14:paraId="5B855584" w14:textId="5DBCB542">
      <w:pPr>
        <w:numPr>
          <w:ilvl w:val="0"/>
          <w:numId w:val="20"/>
        </w:numPr>
        <w:spacing w:after="200" w:line="276" w:lineRule="auto"/>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90% - for projects with 90% or greater rental assistance</w:t>
      </w:r>
    </w:p>
    <w:p w:rsidRPr="00355C65" w:rsidR="006E573A" w:rsidP="006E573A" w:rsidRDefault="006E573A" w14:paraId="5B855585" w14:textId="77777777">
      <w:pPr>
        <w:numPr>
          <w:ilvl w:val="0"/>
          <w:numId w:val="20"/>
        </w:numPr>
        <w:spacing w:after="200" w:line="276" w:lineRule="auto"/>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87% - for projects that meet the definition of Affordable Housing and for which the achievable Tax Credit rents are at least 10% below market rents; or</w:t>
      </w:r>
    </w:p>
    <w:p w:rsidRPr="00355C65" w:rsidR="006E573A" w:rsidP="006E573A" w:rsidRDefault="006E573A" w14:paraId="5B855586" w14:textId="5C2AEFE7">
      <w:pPr>
        <w:numPr>
          <w:ilvl w:val="0"/>
          <w:numId w:val="20"/>
        </w:numPr>
        <w:spacing w:after="200" w:line="276" w:lineRule="auto"/>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 xml:space="preserve">85% - for market rate projects or Tax Credit projects without a significant rent advantage (i.e. the achievable rents are </w:t>
      </w:r>
      <w:r w:rsidR="002F3C71">
        <w:rPr>
          <w:rFonts w:ascii="Times New Roman" w:hAnsi="Times New Roman" w:cs="Times New Roman"/>
          <w:bCs/>
          <w:iCs/>
          <w:color w:val="000000" w:themeColor="text1"/>
          <w:sz w:val="24"/>
          <w:szCs w:val="24"/>
        </w:rPr>
        <w:t xml:space="preserve">not </w:t>
      </w:r>
      <w:r w:rsidRPr="00355C65">
        <w:rPr>
          <w:rFonts w:ascii="Times New Roman" w:hAnsi="Times New Roman" w:cs="Times New Roman"/>
          <w:bCs/>
          <w:iCs/>
          <w:color w:val="000000" w:themeColor="text1"/>
          <w:sz w:val="24"/>
          <w:szCs w:val="24"/>
        </w:rPr>
        <w:t>at least 10% below market.)</w:t>
      </w:r>
    </w:p>
    <w:p w:rsidRPr="00355C65" w:rsidR="006E573A" w:rsidP="006E573A" w:rsidRDefault="006E573A" w14:paraId="5B855587" w14:textId="77777777">
      <w:pPr>
        <w:spacing w:after="200" w:line="276" w:lineRule="auto"/>
        <w:ind w:left="360"/>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ab/>
      </w:r>
    </w:p>
    <w:p w:rsidRPr="00355C65" w:rsidR="006E573A" w:rsidP="006E573A" w:rsidRDefault="006E573A" w14:paraId="5B855588" w14:textId="77777777">
      <w:pPr>
        <w:spacing w:after="200" w:line="276" w:lineRule="auto"/>
        <w:ind w:left="720"/>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u w:val="single"/>
        </w:rPr>
        <w:t>Criterion 4</w:t>
      </w:r>
      <w:r w:rsidRPr="00355C65">
        <w:rPr>
          <w:rFonts w:ascii="Times New Roman" w:hAnsi="Times New Roman" w:cs="Times New Roman"/>
          <w:bCs/>
          <w:iCs/>
          <w:color w:val="000000" w:themeColor="text1"/>
          <w:sz w:val="24"/>
          <w:szCs w:val="24"/>
        </w:rPr>
        <w:t>:</w:t>
      </w:r>
    </w:p>
    <w:p w:rsidRPr="00355C65" w:rsidR="006E573A" w:rsidP="006E573A" w:rsidRDefault="006E573A" w14:paraId="5B855589" w14:textId="77777777">
      <w:pPr>
        <w:spacing w:after="200" w:line="276" w:lineRule="auto"/>
        <w:ind w:left="720"/>
        <w:contextualSpacing/>
        <w:jc w:val="both"/>
        <w:rPr>
          <w:rFonts w:ascii="Times New Roman" w:hAnsi="Times New Roman" w:cs="Times New Roman"/>
          <w:bCs/>
          <w:iCs/>
          <w:color w:val="000000" w:themeColor="text1"/>
          <w:sz w:val="24"/>
          <w:szCs w:val="24"/>
        </w:rPr>
      </w:pPr>
    </w:p>
    <w:p w:rsidRPr="00355C65" w:rsidR="006E573A" w:rsidP="006801F6" w:rsidRDefault="006E573A" w14:paraId="5B85558A" w14:textId="7E272CD7">
      <w:pPr>
        <w:spacing w:after="200" w:line="276" w:lineRule="auto"/>
        <w:ind w:left="720"/>
        <w:contextualSpacing/>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 xml:space="preserve">Amount Based on Limitations per Family Unit:  Where percentages are required, enter the same percentage applied under Criterion 3.  See Chapter 8 for complete details and the MF Housing website:  </w:t>
      </w:r>
      <w:hyperlink w:history="1" r:id="rId16">
        <w:hyperlink w:history="1" r:id="rId17">
          <w:r w:rsidRPr="005803D2" w:rsidR="00323D32">
            <w:rPr>
              <w:rStyle w:val="Hyperlink"/>
              <w:rFonts w:ascii="Times New Roman" w:hAnsi="Times New Roman" w:eastAsia="Cambria" w:cs="Times New Roman"/>
              <w:sz w:val="24"/>
              <w:szCs w:val="24"/>
            </w:rPr>
            <w:t>https://www.hud.gov/program_offices/administration/hudclips/notices/hsg</w:t>
          </w:r>
        </w:hyperlink>
      </w:hyperlink>
      <w:r w:rsidRPr="006D0962" w:rsidR="00323D32">
        <w:rPr>
          <w:rFonts w:ascii="Times New Roman" w:hAnsi="Times New Roman" w:cs="Times New Roman"/>
          <w:bCs/>
          <w:iCs/>
          <w:color w:val="000000" w:themeColor="text1"/>
          <w:sz w:val="24"/>
          <w:szCs w:val="24"/>
        </w:rPr>
        <w:t xml:space="preserve"> </w:t>
      </w:r>
      <w:r w:rsidRPr="00355C65">
        <w:rPr>
          <w:rFonts w:ascii="Times New Roman" w:hAnsi="Times New Roman" w:cs="Times New Roman"/>
          <w:bCs/>
          <w:iCs/>
          <w:color w:val="000000" w:themeColor="text1"/>
          <w:sz w:val="24"/>
          <w:szCs w:val="24"/>
        </w:rPr>
        <w:t>on information for per family unit limitations and the High Cost Percentage by jurisdiction.</w:t>
      </w:r>
    </w:p>
    <w:p w:rsidRPr="00355C65" w:rsidR="006E573A" w:rsidP="006E573A" w:rsidRDefault="006E573A" w14:paraId="5B85558B" w14:textId="77777777">
      <w:pPr>
        <w:spacing w:after="200" w:line="276" w:lineRule="auto"/>
        <w:ind w:left="720"/>
        <w:contextualSpacing/>
        <w:jc w:val="both"/>
        <w:rPr>
          <w:rFonts w:ascii="Times New Roman" w:hAnsi="Times New Roman" w:cs="Times New Roman"/>
          <w:bCs/>
          <w:iCs/>
          <w:color w:val="000000" w:themeColor="text1"/>
          <w:sz w:val="24"/>
          <w:szCs w:val="24"/>
        </w:rPr>
      </w:pPr>
    </w:p>
    <w:p w:rsidRPr="00355C65" w:rsidR="006E573A" w:rsidP="006E573A" w:rsidRDefault="006E573A" w14:paraId="5B85558C" w14:textId="77777777">
      <w:pPr>
        <w:spacing w:after="200" w:line="276" w:lineRule="auto"/>
        <w:ind w:left="720"/>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u w:val="single"/>
        </w:rPr>
        <w:t>Criterion 5</w:t>
      </w:r>
      <w:r w:rsidRPr="00355C65">
        <w:rPr>
          <w:rFonts w:ascii="Times New Roman" w:hAnsi="Times New Roman" w:cs="Times New Roman"/>
          <w:bCs/>
          <w:iCs/>
          <w:color w:val="000000" w:themeColor="text1"/>
          <w:sz w:val="24"/>
          <w:szCs w:val="24"/>
        </w:rPr>
        <w:t>:</w:t>
      </w:r>
    </w:p>
    <w:p w:rsidRPr="00355C65" w:rsidR="006E573A" w:rsidP="006E573A" w:rsidRDefault="006E573A" w14:paraId="5B85558D" w14:textId="77777777">
      <w:pPr>
        <w:spacing w:after="200" w:line="276" w:lineRule="auto"/>
        <w:ind w:left="360"/>
        <w:contextualSpacing/>
        <w:jc w:val="both"/>
        <w:rPr>
          <w:rFonts w:ascii="Times New Roman" w:hAnsi="Times New Roman" w:cs="Times New Roman"/>
          <w:bCs/>
          <w:iCs/>
          <w:color w:val="000000" w:themeColor="text1"/>
          <w:sz w:val="24"/>
          <w:szCs w:val="24"/>
        </w:rPr>
      </w:pPr>
    </w:p>
    <w:p w:rsidRPr="00355C65" w:rsidR="006E573A" w:rsidP="006E573A" w:rsidRDefault="006E573A" w14:paraId="5B85558E" w14:textId="140F1B2B">
      <w:pPr>
        <w:spacing w:after="200" w:line="276" w:lineRule="auto"/>
        <w:ind w:left="720"/>
        <w:contextualSpacing/>
        <w:jc w:val="both"/>
        <w:rPr>
          <w:rFonts w:ascii="Times New Roman" w:hAnsi="Times New Roman" w:cs="Times New Roman"/>
          <w:bCs/>
          <w:iCs/>
          <w:color w:val="000000" w:themeColor="text1"/>
          <w:sz w:val="24"/>
          <w:szCs w:val="24"/>
          <w:u w:val="single"/>
        </w:rPr>
      </w:pPr>
      <w:r w:rsidRPr="00355C65">
        <w:rPr>
          <w:rFonts w:ascii="Times New Roman" w:hAnsi="Times New Roman" w:cs="Times New Roman"/>
          <w:bCs/>
          <w:iCs/>
          <w:color w:val="000000" w:themeColor="text1"/>
          <w:sz w:val="24"/>
          <w:szCs w:val="24"/>
        </w:rPr>
        <w:t>Amount Based on D</w:t>
      </w:r>
      <w:r w:rsidR="00323D32">
        <w:rPr>
          <w:rFonts w:ascii="Times New Roman" w:hAnsi="Times New Roman" w:cs="Times New Roman"/>
          <w:bCs/>
          <w:iCs/>
          <w:color w:val="000000" w:themeColor="text1"/>
          <w:sz w:val="24"/>
          <w:szCs w:val="24"/>
        </w:rPr>
        <w:t>S</w:t>
      </w:r>
      <w:r w:rsidRPr="00355C65">
        <w:rPr>
          <w:rFonts w:ascii="Times New Roman" w:hAnsi="Times New Roman" w:cs="Times New Roman"/>
          <w:bCs/>
          <w:iCs/>
          <w:color w:val="000000" w:themeColor="text1"/>
          <w:sz w:val="24"/>
          <w:szCs w:val="24"/>
        </w:rPr>
        <w:t xml:space="preserve">CR </w:t>
      </w:r>
      <w:r w:rsidRPr="00355C65" w:rsidR="006801F6">
        <w:rPr>
          <w:rFonts w:ascii="Times New Roman" w:hAnsi="Times New Roman" w:cs="Times New Roman"/>
          <w:bCs/>
          <w:iCs/>
          <w:color w:val="000000" w:themeColor="text1"/>
          <w:sz w:val="24"/>
          <w:szCs w:val="24"/>
        </w:rPr>
        <w:t>(</w:t>
      </w:r>
      <w:r w:rsidRPr="00355C65" w:rsidR="006801F6">
        <w:rPr>
          <w:rFonts w:ascii="Times New Roman" w:hAnsi="Times New Roman" w:cs="Times New Roman"/>
          <w:bCs/>
          <w:iCs/>
          <w:color w:val="000000" w:themeColor="text1"/>
          <w:sz w:val="24"/>
          <w:szCs w:val="24"/>
          <w:u w:val="single"/>
        </w:rPr>
        <w:t>ratios</w:t>
      </w:r>
      <w:r w:rsidRPr="00355C65">
        <w:rPr>
          <w:rFonts w:ascii="Times New Roman" w:hAnsi="Times New Roman" w:cs="Times New Roman"/>
          <w:bCs/>
          <w:iCs/>
          <w:color w:val="000000" w:themeColor="text1"/>
          <w:sz w:val="24"/>
          <w:szCs w:val="24"/>
          <w:u w:val="single"/>
        </w:rPr>
        <w:t xml:space="preserve"> are rounded for presentation purposes):</w:t>
      </w:r>
    </w:p>
    <w:p w:rsidRPr="00355C65" w:rsidR="006E573A" w:rsidP="006E573A" w:rsidRDefault="006E573A" w14:paraId="5B85558F" w14:textId="77777777">
      <w:pPr>
        <w:spacing w:after="200" w:line="276" w:lineRule="auto"/>
        <w:ind w:left="720"/>
        <w:contextualSpacing/>
        <w:jc w:val="both"/>
        <w:rPr>
          <w:rFonts w:ascii="Times New Roman" w:hAnsi="Times New Roman" w:cs="Times New Roman"/>
          <w:bCs/>
          <w:iCs/>
          <w:color w:val="000000" w:themeColor="text1"/>
          <w:sz w:val="24"/>
          <w:szCs w:val="24"/>
          <w:u w:val="single"/>
        </w:rPr>
      </w:pPr>
    </w:p>
    <w:p w:rsidRPr="00355C65" w:rsidR="006E573A" w:rsidP="006E573A" w:rsidRDefault="006E573A" w14:paraId="5B855590" w14:textId="6FE8B412">
      <w:pPr>
        <w:numPr>
          <w:ilvl w:val="0"/>
          <w:numId w:val="21"/>
        </w:numPr>
        <w:spacing w:after="200" w:line="276" w:lineRule="auto"/>
        <w:ind w:left="1800"/>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90% of NOI (1.11 D</w:t>
      </w:r>
      <w:r w:rsidR="00323D32">
        <w:rPr>
          <w:rFonts w:ascii="Times New Roman" w:hAnsi="Times New Roman" w:cs="Times New Roman"/>
          <w:bCs/>
          <w:iCs/>
          <w:color w:val="000000" w:themeColor="text1"/>
          <w:sz w:val="24"/>
          <w:szCs w:val="24"/>
        </w:rPr>
        <w:t>S</w:t>
      </w:r>
      <w:r w:rsidRPr="00355C65">
        <w:rPr>
          <w:rFonts w:ascii="Times New Roman" w:hAnsi="Times New Roman" w:cs="Times New Roman"/>
          <w:bCs/>
          <w:iCs/>
          <w:color w:val="000000" w:themeColor="text1"/>
          <w:sz w:val="24"/>
          <w:szCs w:val="24"/>
        </w:rPr>
        <w:t>CR) - for  projects with 90% or greater rental assistance</w:t>
      </w:r>
    </w:p>
    <w:p w:rsidRPr="00355C65" w:rsidR="006E573A" w:rsidP="006E573A" w:rsidRDefault="006E573A" w14:paraId="5B855591" w14:textId="1B908388">
      <w:pPr>
        <w:numPr>
          <w:ilvl w:val="0"/>
          <w:numId w:val="21"/>
        </w:numPr>
        <w:spacing w:after="200" w:line="276" w:lineRule="auto"/>
        <w:ind w:left="1800"/>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87% of NOI (1.15 D</w:t>
      </w:r>
      <w:r w:rsidR="00323D32">
        <w:rPr>
          <w:rFonts w:ascii="Times New Roman" w:hAnsi="Times New Roman" w:cs="Times New Roman"/>
          <w:bCs/>
          <w:iCs/>
          <w:color w:val="000000" w:themeColor="text1"/>
          <w:sz w:val="24"/>
          <w:szCs w:val="24"/>
        </w:rPr>
        <w:t>S</w:t>
      </w:r>
      <w:r w:rsidRPr="00355C65">
        <w:rPr>
          <w:rFonts w:ascii="Times New Roman" w:hAnsi="Times New Roman" w:cs="Times New Roman"/>
          <w:bCs/>
          <w:iCs/>
          <w:color w:val="000000" w:themeColor="text1"/>
          <w:sz w:val="24"/>
          <w:szCs w:val="24"/>
        </w:rPr>
        <w:t>CR) - for projects that meet the definition of Affordable Housing and for which the achievable Tax Credit rents are at least 10% below market rents; or</w:t>
      </w:r>
    </w:p>
    <w:p w:rsidRPr="00692145" w:rsidR="006E573A" w:rsidP="00632441" w:rsidRDefault="006E573A" w14:paraId="5B855595" w14:textId="1212AE0F">
      <w:pPr>
        <w:numPr>
          <w:ilvl w:val="0"/>
          <w:numId w:val="21"/>
        </w:numPr>
        <w:spacing w:after="200" w:line="276" w:lineRule="auto"/>
        <w:ind w:left="1800"/>
        <w:contextualSpacing/>
        <w:jc w:val="both"/>
        <w:rPr>
          <w:rFonts w:ascii="Times New Roman" w:hAnsi="Times New Roman" w:cs="Times New Roman"/>
          <w:iCs/>
          <w:color w:val="000000" w:themeColor="text1"/>
          <w:sz w:val="24"/>
          <w:szCs w:val="24"/>
          <w:u w:val="single"/>
        </w:rPr>
      </w:pPr>
      <w:r w:rsidRPr="00692145">
        <w:rPr>
          <w:rFonts w:ascii="Times New Roman" w:hAnsi="Times New Roman" w:cs="Times New Roman"/>
          <w:bCs/>
          <w:iCs/>
          <w:color w:val="000000" w:themeColor="text1"/>
          <w:sz w:val="24"/>
          <w:szCs w:val="24"/>
        </w:rPr>
        <w:t>85% of NOI (1.176 D</w:t>
      </w:r>
      <w:r w:rsidRPr="00692145" w:rsidR="00323D32">
        <w:rPr>
          <w:rFonts w:ascii="Times New Roman" w:hAnsi="Times New Roman" w:cs="Times New Roman"/>
          <w:bCs/>
          <w:iCs/>
          <w:color w:val="000000" w:themeColor="text1"/>
          <w:sz w:val="24"/>
          <w:szCs w:val="24"/>
        </w:rPr>
        <w:t>S</w:t>
      </w:r>
      <w:r w:rsidRPr="00692145">
        <w:rPr>
          <w:rFonts w:ascii="Times New Roman" w:hAnsi="Times New Roman" w:cs="Times New Roman"/>
          <w:bCs/>
          <w:iCs/>
          <w:color w:val="000000" w:themeColor="text1"/>
          <w:sz w:val="24"/>
          <w:szCs w:val="24"/>
        </w:rPr>
        <w:t>CR) - for market rate projects or Tax Credit projects without a significant rent advantage (i.e. the achievable rents are at least 10% below market.)</w:t>
      </w:r>
    </w:p>
    <w:p w:rsidRPr="00355C65" w:rsidR="006E573A" w:rsidP="006E573A" w:rsidRDefault="006E573A" w14:paraId="5B855596" w14:textId="77777777">
      <w:pPr>
        <w:spacing w:after="200" w:line="276" w:lineRule="auto"/>
        <w:ind w:left="720"/>
        <w:contextualSpacing/>
        <w:jc w:val="both"/>
        <w:rPr>
          <w:rFonts w:ascii="Times New Roman" w:hAnsi="Times New Roman" w:cs="Times New Roman"/>
          <w:iCs/>
          <w:color w:val="000000" w:themeColor="text1"/>
          <w:sz w:val="24"/>
          <w:szCs w:val="24"/>
          <w:u w:val="single"/>
        </w:rPr>
      </w:pPr>
    </w:p>
    <w:p w:rsidRPr="00355C65" w:rsidR="006E573A" w:rsidP="006E573A" w:rsidRDefault="006E573A" w14:paraId="5B855597" w14:textId="77777777">
      <w:pPr>
        <w:spacing w:after="200" w:line="276" w:lineRule="auto"/>
        <w:ind w:left="720"/>
        <w:contextualSpacing/>
        <w:jc w:val="both"/>
        <w:rPr>
          <w:rFonts w:ascii="Times New Roman" w:hAnsi="Times New Roman" w:cs="Times New Roman"/>
          <w:iCs/>
          <w:color w:val="000000" w:themeColor="text1"/>
          <w:sz w:val="24"/>
          <w:szCs w:val="24"/>
        </w:rPr>
      </w:pPr>
      <w:r w:rsidRPr="00355C65">
        <w:rPr>
          <w:rFonts w:ascii="Times New Roman" w:hAnsi="Times New Roman" w:cs="Times New Roman"/>
          <w:iCs/>
          <w:color w:val="000000" w:themeColor="text1"/>
          <w:sz w:val="24"/>
          <w:szCs w:val="24"/>
          <w:u w:val="single"/>
        </w:rPr>
        <w:t>Criterion 7:</w:t>
      </w:r>
      <w:r w:rsidRPr="00355C65">
        <w:rPr>
          <w:rFonts w:ascii="Times New Roman" w:hAnsi="Times New Roman" w:cs="Times New Roman"/>
          <w:iCs/>
          <w:color w:val="000000" w:themeColor="text1"/>
          <w:sz w:val="24"/>
          <w:szCs w:val="24"/>
        </w:rPr>
        <w:tab/>
        <w:t>Acquisition Applications</w:t>
      </w:r>
    </w:p>
    <w:p w:rsidRPr="00355C65" w:rsidR="006E573A" w:rsidP="006E573A" w:rsidRDefault="006E573A" w14:paraId="5B855598" w14:textId="77777777">
      <w:pPr>
        <w:spacing w:after="200" w:line="276" w:lineRule="auto"/>
        <w:ind w:left="360"/>
        <w:contextualSpacing/>
        <w:jc w:val="both"/>
        <w:rPr>
          <w:rFonts w:ascii="Times New Roman" w:hAnsi="Times New Roman" w:cs="Times New Roman"/>
          <w:iCs/>
          <w:color w:val="000000" w:themeColor="text1"/>
          <w:sz w:val="24"/>
          <w:szCs w:val="24"/>
          <w:u w:val="single"/>
        </w:rPr>
      </w:pPr>
    </w:p>
    <w:p w:rsidRPr="00355C65" w:rsidR="006E573A" w:rsidP="006E573A" w:rsidRDefault="006E573A" w14:paraId="5B855599" w14:textId="71AC2B05">
      <w:pPr>
        <w:spacing w:after="200" w:line="276" w:lineRule="auto"/>
        <w:ind w:left="720"/>
        <w:contextualSpacing/>
        <w:jc w:val="both"/>
        <w:rPr>
          <w:rFonts w:ascii="Times New Roman" w:hAnsi="Times New Roman" w:cs="Times New Roman"/>
          <w:iCs/>
          <w:color w:val="000000" w:themeColor="text1"/>
          <w:sz w:val="24"/>
          <w:szCs w:val="24"/>
        </w:rPr>
      </w:pPr>
      <w:r w:rsidRPr="00355C65">
        <w:rPr>
          <w:rFonts w:ascii="Times New Roman" w:hAnsi="Times New Roman" w:cs="Times New Roman"/>
          <w:iCs/>
          <w:color w:val="000000" w:themeColor="text1"/>
          <w:sz w:val="24"/>
          <w:szCs w:val="24"/>
        </w:rPr>
        <w:t>Amount Based on Total Cost of Acquisition Section 223(f).  The following percentages apply to Line 7d. (i.e. formula to compute the loan closing charges) and Line 7h:</w:t>
      </w:r>
    </w:p>
    <w:p w:rsidRPr="00355C65" w:rsidR="006E573A" w:rsidP="006E573A" w:rsidRDefault="006E573A" w14:paraId="5B85559A" w14:textId="4D510296">
      <w:pPr>
        <w:numPr>
          <w:ilvl w:val="0"/>
          <w:numId w:val="22"/>
        </w:numPr>
        <w:spacing w:after="200" w:line="276" w:lineRule="auto"/>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90% - for projects with 90% or greater rental assistance</w:t>
      </w:r>
    </w:p>
    <w:p w:rsidRPr="00355C65" w:rsidR="006E573A" w:rsidP="006E573A" w:rsidRDefault="006E573A" w14:paraId="5B85559B" w14:textId="77777777">
      <w:pPr>
        <w:numPr>
          <w:ilvl w:val="0"/>
          <w:numId w:val="22"/>
        </w:numPr>
        <w:spacing w:after="200" w:line="276" w:lineRule="auto"/>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87% - for projects that meet the definition of Affordable Housing and for which the achievable Tax Credit rents are at least 10% below market rents; or</w:t>
      </w:r>
    </w:p>
    <w:p w:rsidRPr="00355C65" w:rsidR="006E573A" w:rsidP="006E573A" w:rsidRDefault="006E573A" w14:paraId="5B85559C" w14:textId="77777777">
      <w:pPr>
        <w:numPr>
          <w:ilvl w:val="0"/>
          <w:numId w:val="22"/>
        </w:numPr>
        <w:spacing w:after="200" w:line="276" w:lineRule="auto"/>
        <w:contextualSpacing/>
        <w:jc w:val="both"/>
        <w:rPr>
          <w:rFonts w:ascii="Times New Roman" w:hAnsi="Times New Roman" w:cs="Times New Roman"/>
          <w:bCs/>
          <w:iCs/>
          <w:color w:val="000000" w:themeColor="text1"/>
          <w:sz w:val="24"/>
          <w:szCs w:val="24"/>
        </w:rPr>
      </w:pPr>
      <w:r w:rsidRPr="00355C65">
        <w:rPr>
          <w:rFonts w:ascii="Times New Roman" w:hAnsi="Times New Roman" w:cs="Times New Roman"/>
          <w:bCs/>
          <w:iCs/>
          <w:color w:val="000000" w:themeColor="text1"/>
          <w:sz w:val="24"/>
          <w:szCs w:val="24"/>
        </w:rPr>
        <w:t xml:space="preserve"> 85% - for market rate projects or Tax Credit projects without a significant rent advantage (i.e. the achievable rents are at least 10% below market.)</w:t>
      </w:r>
    </w:p>
    <w:p w:rsidR="00A6491B" w:rsidP="006E573A" w:rsidRDefault="00A6491B" w14:paraId="5C86FDC6" w14:textId="77777777">
      <w:pPr>
        <w:spacing w:after="200" w:line="276" w:lineRule="auto"/>
        <w:ind w:left="720"/>
        <w:contextualSpacing/>
        <w:jc w:val="both"/>
        <w:rPr>
          <w:rFonts w:ascii="Times New Roman" w:hAnsi="Times New Roman" w:cs="Times New Roman"/>
          <w:bCs/>
          <w:iCs/>
          <w:color w:val="000000" w:themeColor="text1"/>
          <w:sz w:val="24"/>
          <w:szCs w:val="24"/>
          <w:u w:val="single"/>
        </w:rPr>
      </w:pPr>
    </w:p>
    <w:p w:rsidR="00D00DBA" w:rsidP="00D00DBA" w:rsidRDefault="006E573A" w14:paraId="6401EFF3" w14:textId="74FB5A25">
      <w:pPr>
        <w:spacing w:after="200" w:line="276" w:lineRule="auto"/>
        <w:ind w:left="720"/>
        <w:contextualSpacing/>
        <w:jc w:val="both"/>
        <w:rPr>
          <w:rFonts w:ascii="Times New Roman" w:hAnsi="Times New Roman" w:cs="Times New Roman"/>
          <w:sz w:val="24"/>
          <w:szCs w:val="24"/>
        </w:rPr>
      </w:pPr>
      <w:r w:rsidRPr="0023547C">
        <w:rPr>
          <w:rFonts w:ascii="Times New Roman" w:hAnsi="Times New Roman" w:cs="Times New Roman"/>
          <w:bCs/>
          <w:iCs/>
          <w:sz w:val="24"/>
          <w:szCs w:val="24"/>
          <w:u w:val="single"/>
        </w:rPr>
        <w:t>Criterion 10</w:t>
      </w:r>
      <w:r w:rsidRPr="0023547C">
        <w:rPr>
          <w:rFonts w:ascii="Times New Roman" w:hAnsi="Times New Roman" w:cs="Times New Roman"/>
          <w:bCs/>
          <w:iCs/>
          <w:sz w:val="24"/>
          <w:szCs w:val="24"/>
        </w:rPr>
        <w:t>:</w:t>
      </w:r>
      <w:r w:rsidRPr="0023547C" w:rsidR="00D00DBA">
        <w:rPr>
          <w:rFonts w:ascii="Times New Roman" w:hAnsi="Times New Roman" w:cs="Times New Roman"/>
          <w:bCs/>
          <w:iCs/>
          <w:sz w:val="24"/>
          <w:szCs w:val="24"/>
        </w:rPr>
        <w:t xml:space="preserve">  </w:t>
      </w:r>
      <w:r w:rsidRPr="00355C65">
        <w:rPr>
          <w:rFonts w:ascii="Times New Roman" w:hAnsi="Times New Roman" w:cs="Times New Roman"/>
          <w:bCs/>
          <w:iCs/>
          <w:color w:val="000000" w:themeColor="text1"/>
          <w:sz w:val="24"/>
          <w:szCs w:val="24"/>
        </w:rPr>
        <w:t>The greater of 80% of LTV, or the Cost to Refinance.</w:t>
      </w:r>
      <w:r>
        <w:rPr>
          <w:rFonts w:ascii="Times New Roman" w:hAnsi="Times New Roman" w:cs="Times New Roman"/>
          <w:bCs/>
          <w:iCs/>
          <w:color w:val="000000" w:themeColor="text1"/>
          <w:sz w:val="24"/>
          <w:szCs w:val="24"/>
        </w:rPr>
        <w:t xml:space="preserve"> </w:t>
      </w:r>
    </w:p>
    <w:p w:rsidRPr="0052645A" w:rsidR="006E573A" w:rsidP="008B221C" w:rsidRDefault="006E573A" w14:paraId="5B8555A0" w14:textId="4CD79AA8">
      <w:pPr>
        <w:pStyle w:val="ListParagraph"/>
        <w:numPr>
          <w:ilvl w:val="0"/>
          <w:numId w:val="49"/>
        </w:numPr>
        <w:spacing w:after="200" w:line="276" w:lineRule="auto"/>
        <w:ind w:left="360"/>
        <w:jc w:val="both"/>
        <w:rPr>
          <w:rFonts w:ascii="Times New Roman" w:hAnsi="Times New Roman" w:cs="Times New Roman"/>
          <w:sz w:val="24"/>
          <w:szCs w:val="24"/>
        </w:rPr>
      </w:pPr>
      <w:r w:rsidRPr="0023547C">
        <w:rPr>
          <w:rFonts w:ascii="Times New Roman" w:hAnsi="Times New Roman" w:cs="Times New Roman"/>
          <w:sz w:val="24"/>
          <w:szCs w:val="24"/>
        </w:rPr>
        <w:t>Cash Out/Equity Out Proceeds</w:t>
      </w:r>
      <w:r w:rsidR="002C1F5E">
        <w:rPr>
          <w:rFonts w:ascii="Times New Roman" w:hAnsi="Times New Roman" w:cs="Times New Roman"/>
          <w:sz w:val="24"/>
          <w:szCs w:val="24"/>
        </w:rPr>
        <w:t xml:space="preserve"> </w:t>
      </w:r>
      <w:r w:rsidR="001611F0">
        <w:rPr>
          <w:rFonts w:ascii="Times New Roman" w:hAnsi="Times New Roman" w:cs="Times New Roman"/>
          <w:sz w:val="24"/>
          <w:szCs w:val="24"/>
        </w:rPr>
        <w:t xml:space="preserve">When Repairs </w:t>
      </w:r>
      <w:r w:rsidR="00A05B5B">
        <w:rPr>
          <w:rFonts w:ascii="Times New Roman" w:hAnsi="Times New Roman" w:cs="Times New Roman"/>
          <w:sz w:val="24"/>
          <w:szCs w:val="24"/>
        </w:rPr>
        <w:t>Are Deferred</w:t>
      </w:r>
      <w:r w:rsidRPr="0023547C">
        <w:rPr>
          <w:rFonts w:ascii="Times New Roman" w:hAnsi="Times New Roman" w:cs="Times New Roman"/>
          <w:sz w:val="24"/>
          <w:szCs w:val="24"/>
        </w:rPr>
        <w:t>.  Fif</w:t>
      </w:r>
      <w:r w:rsidRPr="0023547C">
        <w:rPr>
          <w:rFonts w:ascii="Times New Roman" w:hAnsi="Times New Roman" w:cs="Times New Roman"/>
          <w:color w:val="000000"/>
          <w:sz w:val="24"/>
          <w:szCs w:val="24"/>
        </w:rPr>
        <w:t xml:space="preserve">ty percent (50%) of any cash out proceeds after funding mortgageable transaction costs and the assurance of completion requirements must be held in an escrow by the lender until the </w:t>
      </w:r>
      <w:r w:rsidR="00667F3E">
        <w:rPr>
          <w:rFonts w:ascii="Times New Roman" w:hAnsi="Times New Roman" w:cs="Times New Roman"/>
          <w:color w:val="000000"/>
          <w:sz w:val="24"/>
          <w:szCs w:val="24"/>
        </w:rPr>
        <w:t>deferred</w:t>
      </w:r>
      <w:r w:rsidRPr="0023547C">
        <w:rPr>
          <w:rFonts w:ascii="Times New Roman" w:hAnsi="Times New Roman" w:cs="Times New Roman"/>
          <w:color w:val="000000"/>
          <w:sz w:val="24"/>
          <w:szCs w:val="24"/>
        </w:rPr>
        <w:t xml:space="preserve"> repairs are completed and HUD approves the release</w:t>
      </w:r>
      <w:r w:rsidR="00082E80">
        <w:rPr>
          <w:rFonts w:ascii="Times New Roman" w:hAnsi="Times New Roman" w:cs="Times New Roman"/>
          <w:color w:val="000000"/>
          <w:sz w:val="24"/>
          <w:szCs w:val="24"/>
        </w:rPr>
        <w:t xml:space="preserve"> of funds remaining in the Repair Escrow</w:t>
      </w:r>
      <w:r w:rsidRPr="0023547C">
        <w:rPr>
          <w:rFonts w:ascii="Times New Roman" w:hAnsi="Times New Roman" w:cs="Times New Roman"/>
          <w:sz w:val="24"/>
          <w:szCs w:val="24"/>
        </w:rPr>
        <w:t>.</w:t>
      </w:r>
      <w:r w:rsidR="004B235B">
        <w:rPr>
          <w:rFonts w:ascii="Times New Roman" w:hAnsi="Times New Roman" w:cs="Times New Roman"/>
          <w:sz w:val="24"/>
          <w:szCs w:val="24"/>
        </w:rPr>
        <w:t xml:space="preserve"> </w:t>
      </w:r>
      <w:r w:rsidRPr="0023547C">
        <w:rPr>
          <w:rFonts w:ascii="Times New Roman" w:hAnsi="Times New Roman" w:cs="Times New Roman"/>
          <w:sz w:val="24"/>
          <w:szCs w:val="24"/>
        </w:rPr>
        <w:t>(See Chapter</w:t>
      </w:r>
      <w:r w:rsidR="00137C1D">
        <w:rPr>
          <w:rFonts w:ascii="Times New Roman" w:hAnsi="Times New Roman" w:cs="Times New Roman"/>
          <w:sz w:val="24"/>
          <w:szCs w:val="24"/>
        </w:rPr>
        <w:t xml:space="preserve"> </w:t>
      </w:r>
      <w:r w:rsidR="008E57CD">
        <w:rPr>
          <w:rFonts w:ascii="Times New Roman" w:hAnsi="Times New Roman" w:cs="Times New Roman"/>
          <w:sz w:val="24"/>
          <w:szCs w:val="24"/>
        </w:rPr>
        <w:t xml:space="preserve">8.11.A.2.c for </w:t>
      </w:r>
      <w:r w:rsidR="00D12E2D">
        <w:rPr>
          <w:rFonts w:ascii="Times New Roman" w:hAnsi="Times New Roman" w:cs="Times New Roman"/>
          <w:sz w:val="24"/>
          <w:szCs w:val="24"/>
        </w:rPr>
        <w:t>exceptions</w:t>
      </w:r>
      <w:r w:rsidRPr="0023547C">
        <w:rPr>
          <w:rFonts w:ascii="Times New Roman" w:hAnsi="Times New Roman" w:cs="Times New Roman"/>
          <w:sz w:val="24"/>
          <w:szCs w:val="24"/>
        </w:rPr>
        <w:t xml:space="preserve"> </w:t>
      </w:r>
      <w:r w:rsidR="004F570D">
        <w:rPr>
          <w:rFonts w:ascii="Times New Roman" w:hAnsi="Times New Roman" w:cs="Times New Roman"/>
          <w:sz w:val="24"/>
          <w:szCs w:val="24"/>
        </w:rPr>
        <w:t>and</w:t>
      </w:r>
      <w:r w:rsidRPr="0023547C">
        <w:rPr>
          <w:rFonts w:ascii="Times New Roman" w:hAnsi="Times New Roman" w:cs="Times New Roman"/>
          <w:sz w:val="24"/>
          <w:szCs w:val="24"/>
        </w:rPr>
        <w:t xml:space="preserve"> </w:t>
      </w:r>
      <w:r w:rsidR="00A970FB">
        <w:rPr>
          <w:rFonts w:ascii="Times New Roman" w:hAnsi="Times New Roman" w:cs="Times New Roman"/>
          <w:sz w:val="24"/>
          <w:szCs w:val="24"/>
        </w:rPr>
        <w:t>12.17</w:t>
      </w:r>
      <w:r w:rsidR="00A66230">
        <w:rPr>
          <w:rFonts w:ascii="Times New Roman" w:hAnsi="Times New Roman" w:cs="Times New Roman"/>
          <w:sz w:val="24"/>
          <w:szCs w:val="24"/>
        </w:rPr>
        <w:t>.A.</w:t>
      </w:r>
      <w:r w:rsidR="00E45E81">
        <w:rPr>
          <w:rFonts w:ascii="Times New Roman" w:hAnsi="Times New Roman" w:cs="Times New Roman"/>
          <w:sz w:val="24"/>
          <w:szCs w:val="24"/>
        </w:rPr>
        <w:t>3</w:t>
      </w:r>
      <w:r w:rsidR="006655D3">
        <w:rPr>
          <w:rFonts w:ascii="Times New Roman" w:hAnsi="Times New Roman" w:cs="Times New Roman"/>
          <w:sz w:val="24"/>
          <w:szCs w:val="24"/>
        </w:rPr>
        <w:t xml:space="preserve"> for</w:t>
      </w:r>
      <w:r w:rsidRPr="0023547C">
        <w:rPr>
          <w:rFonts w:ascii="Times New Roman" w:hAnsi="Times New Roman" w:cs="Times New Roman"/>
          <w:sz w:val="24"/>
          <w:szCs w:val="24"/>
        </w:rPr>
        <w:t xml:space="preserve"> detailed escrow release instructions).  </w:t>
      </w:r>
    </w:p>
    <w:p w:rsidRPr="0023547C" w:rsidR="004146BA" w:rsidP="008B221C" w:rsidRDefault="004146BA" w14:paraId="49EE48FA" w14:textId="77777777">
      <w:pPr>
        <w:pStyle w:val="ListParagraph"/>
        <w:spacing w:after="200" w:line="276" w:lineRule="auto"/>
        <w:ind w:left="360"/>
        <w:jc w:val="both"/>
        <w:rPr>
          <w:rFonts w:ascii="Times New Roman" w:hAnsi="Times New Roman" w:cs="Times New Roman"/>
          <w:sz w:val="24"/>
          <w:szCs w:val="24"/>
        </w:rPr>
      </w:pPr>
    </w:p>
    <w:p w:rsidR="00D56711" w:rsidP="008B221C" w:rsidRDefault="00E93683" w14:paraId="16F4DF20" w14:textId="77777777">
      <w:pPr>
        <w:pStyle w:val="ListParagraph"/>
        <w:numPr>
          <w:ilvl w:val="0"/>
          <w:numId w:val="49"/>
        </w:numPr>
        <w:spacing w:after="200" w:line="276" w:lineRule="auto"/>
        <w:ind w:left="360"/>
        <w:jc w:val="both"/>
        <w:rPr>
          <w:rFonts w:ascii="Times New Roman" w:hAnsi="Times New Roman" w:cs="Times New Roman"/>
          <w:sz w:val="24"/>
          <w:szCs w:val="24"/>
        </w:rPr>
      </w:pPr>
      <w:r w:rsidRPr="00B50B41">
        <w:rPr>
          <w:rFonts w:ascii="Times New Roman" w:hAnsi="Times New Roman" w:cs="Times New Roman"/>
          <w:sz w:val="24"/>
          <w:szCs w:val="24"/>
        </w:rPr>
        <w:t xml:space="preserve">Capitalization Rates and Determination of Value - </w:t>
      </w:r>
      <w:r w:rsidRPr="00B50B41" w:rsidR="004334C3">
        <w:rPr>
          <w:rFonts w:ascii="Times New Roman" w:hAnsi="Times New Roman" w:cs="Times New Roman"/>
          <w:sz w:val="24"/>
          <w:szCs w:val="24"/>
        </w:rPr>
        <w:t>Capitalization rates represent the blended or weighted cost of capital to the investor and the various methods of calculating cap</w:t>
      </w:r>
      <w:r w:rsidRPr="00B50B41" w:rsidR="00497ABA">
        <w:rPr>
          <w:rFonts w:ascii="Times New Roman" w:hAnsi="Times New Roman" w:cs="Times New Roman"/>
          <w:sz w:val="24"/>
          <w:szCs w:val="24"/>
        </w:rPr>
        <w:t>italization</w:t>
      </w:r>
      <w:r w:rsidRPr="00B50B41" w:rsidR="004334C3">
        <w:rPr>
          <w:rFonts w:ascii="Times New Roman" w:hAnsi="Times New Roman" w:cs="Times New Roman"/>
          <w:sz w:val="24"/>
          <w:szCs w:val="24"/>
        </w:rPr>
        <w:t xml:space="preserve"> rates utilize the mortgage constant to represent the debt portion of the cost of capital.  Capitalization rates should </w:t>
      </w:r>
      <w:r w:rsidRPr="00B50B41" w:rsidR="00E1471A">
        <w:rPr>
          <w:rFonts w:ascii="Times New Roman" w:hAnsi="Times New Roman" w:cs="Times New Roman"/>
          <w:sz w:val="24"/>
          <w:szCs w:val="24"/>
        </w:rPr>
        <w:t xml:space="preserve">generally </w:t>
      </w:r>
      <w:r w:rsidRPr="00B50B41" w:rsidR="004334C3">
        <w:rPr>
          <w:rFonts w:ascii="Times New Roman" w:hAnsi="Times New Roman" w:cs="Times New Roman"/>
          <w:sz w:val="24"/>
          <w:szCs w:val="24"/>
        </w:rPr>
        <w:t>exceed the mortgage constant in nearly all cases</w:t>
      </w:r>
      <w:r w:rsidRPr="00B50B41" w:rsidR="0052657D">
        <w:rPr>
          <w:rFonts w:ascii="Times New Roman" w:hAnsi="Times New Roman" w:cs="Times New Roman"/>
          <w:sz w:val="24"/>
          <w:szCs w:val="24"/>
        </w:rPr>
        <w:t>, and t</w:t>
      </w:r>
      <w:r w:rsidRPr="00B50B41" w:rsidR="00CB2C0D">
        <w:rPr>
          <w:rFonts w:ascii="Times New Roman" w:hAnsi="Times New Roman" w:cs="Times New Roman"/>
          <w:sz w:val="24"/>
          <w:szCs w:val="24"/>
        </w:rPr>
        <w:t>he MAP Underwriter</w:t>
      </w:r>
      <w:r w:rsidRPr="00B50B41" w:rsidR="004334C3">
        <w:rPr>
          <w:rFonts w:ascii="Times New Roman" w:hAnsi="Times New Roman" w:cs="Times New Roman"/>
          <w:sz w:val="24"/>
          <w:szCs w:val="24"/>
        </w:rPr>
        <w:t xml:space="preserve"> should </w:t>
      </w:r>
      <w:r w:rsidRPr="00B50B41" w:rsidR="0052657D">
        <w:rPr>
          <w:rFonts w:ascii="Times New Roman" w:hAnsi="Times New Roman" w:cs="Times New Roman"/>
          <w:sz w:val="24"/>
          <w:szCs w:val="24"/>
        </w:rPr>
        <w:t>compare</w:t>
      </w:r>
      <w:r w:rsidRPr="00B50B41" w:rsidR="004334C3">
        <w:rPr>
          <w:rFonts w:ascii="Times New Roman" w:hAnsi="Times New Roman" w:cs="Times New Roman"/>
          <w:sz w:val="24"/>
          <w:szCs w:val="24"/>
        </w:rPr>
        <w:t xml:space="preserve"> the mortgage constant </w:t>
      </w:r>
      <w:r w:rsidRPr="00B50B41" w:rsidR="0052657D">
        <w:rPr>
          <w:rFonts w:ascii="Times New Roman" w:hAnsi="Times New Roman" w:cs="Times New Roman"/>
          <w:sz w:val="24"/>
          <w:szCs w:val="24"/>
        </w:rPr>
        <w:t xml:space="preserve">to the capitalization rate </w:t>
      </w:r>
      <w:r w:rsidRPr="00B50B41" w:rsidR="004334C3">
        <w:rPr>
          <w:rFonts w:ascii="Times New Roman" w:hAnsi="Times New Roman" w:cs="Times New Roman"/>
          <w:sz w:val="24"/>
          <w:szCs w:val="24"/>
        </w:rPr>
        <w:t xml:space="preserve">as a test of reasonableness.  A capitalization rate that is less than this mortgage constant may indicate a market that is over-heated or that that the capitalization rate data in the appraisal is flawed.  </w:t>
      </w:r>
      <w:r w:rsidRPr="00B50B41" w:rsidR="0052657D">
        <w:rPr>
          <w:rFonts w:ascii="Times New Roman" w:hAnsi="Times New Roman" w:cs="Times New Roman"/>
          <w:sz w:val="24"/>
          <w:szCs w:val="24"/>
        </w:rPr>
        <w:t>Regardless</w:t>
      </w:r>
      <w:r w:rsidRPr="00B50B41" w:rsidR="004334C3">
        <w:rPr>
          <w:rFonts w:ascii="Times New Roman" w:hAnsi="Times New Roman" w:cs="Times New Roman"/>
          <w:sz w:val="24"/>
          <w:szCs w:val="24"/>
        </w:rPr>
        <w:t xml:space="preserve">, a capitalization rate that is less than the mortgage constant </w:t>
      </w:r>
      <w:r w:rsidRPr="00B50B41" w:rsidR="0052657D">
        <w:rPr>
          <w:rFonts w:ascii="Times New Roman" w:hAnsi="Times New Roman" w:cs="Times New Roman"/>
          <w:sz w:val="24"/>
          <w:szCs w:val="24"/>
        </w:rPr>
        <w:t xml:space="preserve">may </w:t>
      </w:r>
      <w:r w:rsidRPr="00B50B41" w:rsidR="004334C3">
        <w:rPr>
          <w:rFonts w:ascii="Times New Roman" w:hAnsi="Times New Roman" w:cs="Times New Roman"/>
          <w:sz w:val="24"/>
          <w:szCs w:val="24"/>
        </w:rPr>
        <w:t xml:space="preserve">indicate the need for a more in-depth review. </w:t>
      </w:r>
    </w:p>
    <w:p w:rsidRPr="00B50B41" w:rsidR="004334C3" w:rsidP="00D56711" w:rsidRDefault="004334C3" w14:paraId="28A5059B" w14:textId="4B5BAC7C">
      <w:pPr>
        <w:pStyle w:val="ListParagraph"/>
        <w:spacing w:after="200" w:line="276" w:lineRule="auto"/>
        <w:ind w:left="360"/>
        <w:jc w:val="both"/>
        <w:rPr>
          <w:rFonts w:ascii="Times New Roman" w:hAnsi="Times New Roman" w:cs="Times New Roman"/>
          <w:sz w:val="24"/>
          <w:szCs w:val="24"/>
        </w:rPr>
      </w:pPr>
      <w:r w:rsidRPr="00B50B41">
        <w:rPr>
          <w:rFonts w:ascii="Times New Roman" w:hAnsi="Times New Roman" w:cs="Times New Roman"/>
          <w:sz w:val="24"/>
          <w:szCs w:val="24"/>
        </w:rPr>
        <w:t xml:space="preserve"> </w:t>
      </w:r>
    </w:p>
    <w:p w:rsidRPr="00A53FB5" w:rsidR="00656419" w:rsidP="00632441" w:rsidRDefault="00AA6CCC" w14:paraId="6B90F27E" w14:textId="210BD0DE">
      <w:pPr>
        <w:pStyle w:val="ListParagraph"/>
        <w:numPr>
          <w:ilvl w:val="0"/>
          <w:numId w:val="49"/>
        </w:numPr>
        <w:spacing w:after="200" w:line="276" w:lineRule="auto"/>
        <w:ind w:left="360"/>
        <w:jc w:val="both"/>
        <w:rPr>
          <w:rFonts w:ascii="Times New Roman" w:hAnsi="Times New Roman" w:cs="Times New Roman"/>
          <w:sz w:val="24"/>
          <w:szCs w:val="24"/>
        </w:rPr>
      </w:pPr>
      <w:r w:rsidRPr="00A53FB5">
        <w:rPr>
          <w:rFonts w:ascii="Times New Roman" w:hAnsi="Times New Roman" w:cs="Times New Roman"/>
          <w:sz w:val="24"/>
          <w:szCs w:val="24"/>
        </w:rPr>
        <w:t xml:space="preserve">Statutory Loan Limits. </w:t>
      </w:r>
      <w:r w:rsidR="0013135F">
        <w:rPr>
          <w:rFonts w:ascii="Times New Roman" w:hAnsi="Times New Roman" w:cs="Times New Roman"/>
          <w:sz w:val="24"/>
          <w:szCs w:val="24"/>
        </w:rPr>
        <w:t xml:space="preserve">When approved by the Regional Director, </w:t>
      </w:r>
      <w:r w:rsidR="00E805CD">
        <w:rPr>
          <w:rFonts w:ascii="Times New Roman" w:hAnsi="Times New Roman" w:cs="Times New Roman"/>
          <w:sz w:val="24"/>
          <w:szCs w:val="24"/>
        </w:rPr>
        <w:t>t</w:t>
      </w:r>
      <w:r w:rsidRPr="00A53FB5">
        <w:rPr>
          <w:rFonts w:ascii="Times New Roman" w:hAnsi="Times New Roman" w:cs="Times New Roman"/>
          <w:sz w:val="24"/>
          <w:szCs w:val="24"/>
        </w:rPr>
        <w:t xml:space="preserve">he statutory loan limits may be increased for Section 223(f) projects up to the maximum </w:t>
      </w:r>
      <w:r w:rsidR="00116856">
        <w:rPr>
          <w:rFonts w:ascii="Times New Roman" w:hAnsi="Times New Roman" w:cs="Times New Roman"/>
          <w:sz w:val="24"/>
          <w:szCs w:val="24"/>
        </w:rPr>
        <w:t xml:space="preserve">permitted </w:t>
      </w:r>
      <w:r w:rsidR="009743F0">
        <w:rPr>
          <w:rFonts w:ascii="Times New Roman" w:hAnsi="Times New Roman" w:cs="Times New Roman"/>
          <w:sz w:val="24"/>
          <w:szCs w:val="24"/>
        </w:rPr>
        <w:t xml:space="preserve">factors (270% or </w:t>
      </w:r>
      <w:r w:rsidRPr="00A53FB5">
        <w:rPr>
          <w:rFonts w:ascii="Times New Roman" w:hAnsi="Times New Roman" w:cs="Times New Roman"/>
          <w:sz w:val="24"/>
          <w:szCs w:val="24"/>
        </w:rPr>
        <w:t xml:space="preserve"> 315%</w:t>
      </w:r>
      <w:r w:rsidR="009743F0">
        <w:rPr>
          <w:rFonts w:ascii="Times New Roman" w:hAnsi="Times New Roman" w:cs="Times New Roman"/>
          <w:sz w:val="24"/>
          <w:szCs w:val="24"/>
        </w:rPr>
        <w:t>, as applicable).</w:t>
      </w:r>
      <w:r w:rsidRPr="006C78FE">
        <w:rPr>
          <w:rFonts w:ascii="Times New Roman" w:hAnsi="Times New Roman" w:cs="Times New Roman"/>
          <w:color w:val="FF0000"/>
          <w:sz w:val="24"/>
          <w:szCs w:val="24"/>
        </w:rPr>
        <w:t>.</w:t>
      </w:r>
      <w:r w:rsidRPr="00A53FB5">
        <w:rPr>
          <w:rFonts w:ascii="Times New Roman" w:hAnsi="Times New Roman" w:cs="Times New Roman"/>
          <w:sz w:val="24"/>
          <w:szCs w:val="24"/>
        </w:rPr>
        <w:t xml:space="preserve"> </w:t>
      </w:r>
      <w:r w:rsidR="0013202B">
        <w:rPr>
          <w:rFonts w:ascii="Times New Roman" w:hAnsi="Times New Roman" w:cs="Times New Roman"/>
          <w:sz w:val="24"/>
          <w:szCs w:val="24"/>
        </w:rPr>
        <w:t xml:space="preserve"> But i</w:t>
      </w:r>
      <w:r w:rsidRPr="00A53FB5">
        <w:rPr>
          <w:rFonts w:ascii="Times New Roman" w:hAnsi="Times New Roman" w:cs="Times New Roman"/>
          <w:sz w:val="24"/>
          <w:szCs w:val="24"/>
        </w:rPr>
        <w:t xml:space="preserve">n no event will the statutory loan limits be increased in order to increase the amount of available equity on a cash out transaction controlled by Criterion 10. </w:t>
      </w:r>
    </w:p>
    <w:p w:rsidRPr="0023547C" w:rsidR="00C11250" w:rsidP="00A53FB5" w:rsidRDefault="00AA6CCC" w14:paraId="29A5332B" w14:textId="61D60BC5">
      <w:pPr>
        <w:spacing w:after="200" w:line="276" w:lineRule="auto"/>
        <w:ind w:left="360" w:hanging="360"/>
        <w:jc w:val="both"/>
        <w:rPr>
          <w:rFonts w:ascii="Times New Roman" w:hAnsi="Times New Roman" w:cs="Times New Roman"/>
          <w:sz w:val="24"/>
          <w:szCs w:val="24"/>
        </w:rPr>
      </w:pPr>
      <w:r w:rsidRPr="00AA6CCC">
        <w:rPr>
          <w:rFonts w:ascii="Times New Roman" w:hAnsi="Times New Roman" w:cs="Times New Roman"/>
          <w:sz w:val="24"/>
          <w:szCs w:val="24"/>
        </w:rPr>
        <w:t xml:space="preserve"> </w:t>
      </w:r>
      <w:bookmarkStart w:name="_Hlk21528717" w:id="3"/>
      <w:r w:rsidR="009F5E81">
        <w:rPr>
          <w:rFonts w:ascii="Times New Roman" w:hAnsi="Times New Roman" w:cs="Times New Roman"/>
          <w:sz w:val="24"/>
          <w:szCs w:val="24"/>
        </w:rPr>
        <w:t>N.</w:t>
      </w:r>
      <w:r w:rsidR="009F5E81">
        <w:rPr>
          <w:rFonts w:ascii="Times New Roman" w:hAnsi="Times New Roman" w:cs="Times New Roman"/>
          <w:sz w:val="24"/>
          <w:szCs w:val="24"/>
        </w:rPr>
        <w:tab/>
      </w:r>
      <w:r w:rsidRPr="000624F8" w:rsidR="004146BA">
        <w:rPr>
          <w:rFonts w:ascii="Times New Roman" w:hAnsi="Times New Roman" w:cs="Times New Roman"/>
          <w:sz w:val="24"/>
          <w:szCs w:val="24"/>
        </w:rPr>
        <w:t xml:space="preserve">Cost Not </w:t>
      </w:r>
      <w:r w:rsidRPr="000624F8" w:rsidR="006801F6">
        <w:rPr>
          <w:rFonts w:ascii="Times New Roman" w:hAnsi="Times New Roman" w:cs="Times New Roman"/>
          <w:sz w:val="24"/>
          <w:szCs w:val="24"/>
        </w:rPr>
        <w:t>Attributable to</w:t>
      </w:r>
      <w:r w:rsidRPr="000624F8" w:rsidR="004146BA">
        <w:rPr>
          <w:rFonts w:ascii="Times New Roman" w:hAnsi="Times New Roman" w:cs="Times New Roman"/>
          <w:sz w:val="24"/>
          <w:szCs w:val="24"/>
        </w:rPr>
        <w:t xml:space="preserve"> Dwelling Space. A calculation for cost not attributable for dwelling space may be included </w:t>
      </w:r>
      <w:r w:rsidRPr="000624F8" w:rsidR="001A4D19">
        <w:rPr>
          <w:rFonts w:ascii="Times New Roman" w:hAnsi="Times New Roman" w:cs="Times New Roman"/>
          <w:sz w:val="24"/>
          <w:szCs w:val="24"/>
        </w:rPr>
        <w:t xml:space="preserve">in the determination of final loan amount for purposes of  Criterion 4 </w:t>
      </w:r>
      <w:r w:rsidRPr="000624F8" w:rsidR="004146BA">
        <w:rPr>
          <w:rFonts w:ascii="Times New Roman" w:hAnsi="Times New Roman" w:cs="Times New Roman"/>
          <w:sz w:val="24"/>
          <w:szCs w:val="24"/>
        </w:rPr>
        <w:t>for Section 223(f) projects</w:t>
      </w:r>
      <w:r w:rsidR="000827C6">
        <w:rPr>
          <w:rFonts w:ascii="Times New Roman" w:hAnsi="Times New Roman" w:cs="Times New Roman"/>
          <w:sz w:val="24"/>
          <w:szCs w:val="24"/>
        </w:rPr>
        <w:t>.  (See Chapter 5.12.</w:t>
      </w:r>
      <w:r w:rsidR="001C7BAB">
        <w:rPr>
          <w:rFonts w:ascii="Times New Roman" w:hAnsi="Times New Roman" w:cs="Times New Roman"/>
          <w:sz w:val="24"/>
          <w:szCs w:val="24"/>
        </w:rPr>
        <w:t xml:space="preserve">D.4) </w:t>
      </w:r>
      <w:r w:rsidRPr="000624F8" w:rsidR="004146BA">
        <w:rPr>
          <w:rFonts w:ascii="Times New Roman" w:hAnsi="Times New Roman" w:cs="Times New Roman"/>
          <w:sz w:val="24"/>
          <w:szCs w:val="24"/>
        </w:rPr>
        <w:t xml:space="preserve"> </w:t>
      </w:r>
      <w:bookmarkEnd w:id="3"/>
    </w:p>
    <w:p w:rsidRPr="00C11250" w:rsidR="00EC403D" w:rsidP="00A53FB5" w:rsidRDefault="00610948" w14:paraId="3014FB65" w14:textId="487DFF33">
      <w:pPr>
        <w:spacing w:after="200" w:line="276" w:lineRule="auto"/>
        <w:ind w:left="360" w:hanging="360"/>
        <w:jc w:val="both"/>
        <w:rPr>
          <w:color w:val="000000" w:themeColor="text1"/>
        </w:rPr>
      </w:pPr>
      <w:r>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ab/>
      </w:r>
      <w:r w:rsidRPr="0023547C" w:rsidR="006E573A">
        <w:rPr>
          <w:rFonts w:ascii="Times New Roman" w:hAnsi="Times New Roman" w:cs="Times New Roman"/>
          <w:color w:val="000000" w:themeColor="text1"/>
          <w:sz w:val="24"/>
          <w:szCs w:val="24"/>
        </w:rPr>
        <w:t>Reserve for Replacements</w:t>
      </w:r>
      <w:r w:rsidRPr="009B5655" w:rsidR="00487C10">
        <w:rPr>
          <w:rFonts w:ascii="Times New Roman" w:hAnsi="Times New Roman" w:cs="Times New Roman"/>
          <w:color w:val="000000" w:themeColor="text1"/>
          <w:sz w:val="24"/>
          <w:szCs w:val="24"/>
        </w:rPr>
        <w:t xml:space="preserve"> (RfR)</w:t>
      </w:r>
      <w:r w:rsidRPr="0023547C" w:rsidR="006E573A">
        <w:rPr>
          <w:rFonts w:ascii="Times New Roman" w:hAnsi="Times New Roman" w:cs="Times New Roman"/>
          <w:color w:val="000000" w:themeColor="text1"/>
          <w:sz w:val="24"/>
          <w:szCs w:val="24"/>
        </w:rPr>
        <w:t>.  An Initial Deposit and</w:t>
      </w:r>
      <w:r w:rsidR="00EF77A7">
        <w:rPr>
          <w:rFonts w:ascii="Times New Roman" w:hAnsi="Times New Roman" w:cs="Times New Roman"/>
          <w:color w:val="000000" w:themeColor="text1"/>
          <w:sz w:val="24"/>
          <w:szCs w:val="24"/>
        </w:rPr>
        <w:t>/or</w:t>
      </w:r>
      <w:r w:rsidRPr="0023547C" w:rsidR="006E573A">
        <w:rPr>
          <w:rFonts w:ascii="Times New Roman" w:hAnsi="Times New Roman" w:cs="Times New Roman"/>
          <w:color w:val="000000" w:themeColor="text1"/>
          <w:sz w:val="24"/>
          <w:szCs w:val="24"/>
        </w:rPr>
        <w:t xml:space="preserve"> Annual Deposits must </w:t>
      </w:r>
      <w:r w:rsidRPr="0023547C" w:rsidR="006801F6">
        <w:rPr>
          <w:rFonts w:ascii="Times New Roman" w:hAnsi="Times New Roman" w:cs="Times New Roman"/>
          <w:color w:val="000000" w:themeColor="text1"/>
          <w:sz w:val="24"/>
          <w:szCs w:val="24"/>
        </w:rPr>
        <w:t xml:space="preserve">be </w:t>
      </w:r>
      <w:r w:rsidRPr="00CC19C8" w:rsidR="006801F6">
        <w:rPr>
          <w:rFonts w:ascii="Times New Roman" w:hAnsi="Times New Roman" w:cs="Times New Roman"/>
          <w:color w:val="000000" w:themeColor="text1"/>
          <w:sz w:val="24"/>
          <w:szCs w:val="24"/>
        </w:rPr>
        <w:t>made</w:t>
      </w:r>
      <w:r w:rsidRPr="006E022B" w:rsidR="00CC19C8">
        <w:rPr>
          <w:rFonts w:ascii="Times New Roman" w:hAnsi="Times New Roman" w:cs="Times New Roman"/>
          <w:color w:val="000000" w:themeColor="text1"/>
          <w:sz w:val="24"/>
          <w:szCs w:val="24"/>
        </w:rPr>
        <w:t xml:space="preserve"> to the Reserve for Replacements in accordance with the CNA and underwriting conclusions.   For projects with a recently completed CNA</w:t>
      </w:r>
      <w:r w:rsidR="005A4FB7">
        <w:rPr>
          <w:rFonts w:ascii="Times New Roman" w:hAnsi="Times New Roman" w:cs="Times New Roman"/>
          <w:color w:val="000000" w:themeColor="text1"/>
          <w:sz w:val="24"/>
          <w:szCs w:val="24"/>
        </w:rPr>
        <w:t>,</w:t>
      </w:r>
      <w:r w:rsidRPr="006E022B" w:rsidR="00CC19C8">
        <w:rPr>
          <w:rFonts w:ascii="Times New Roman" w:hAnsi="Times New Roman" w:cs="Times New Roman"/>
          <w:color w:val="000000" w:themeColor="text1"/>
          <w:sz w:val="24"/>
          <w:szCs w:val="24"/>
        </w:rPr>
        <w:t xml:space="preserve"> </w:t>
      </w:r>
      <w:r w:rsidR="00EC403D">
        <w:rPr>
          <w:rFonts w:ascii="Times New Roman" w:hAnsi="Times New Roman" w:cs="Times New Roman"/>
          <w:color w:val="000000" w:themeColor="text1"/>
          <w:sz w:val="24"/>
          <w:szCs w:val="24"/>
        </w:rPr>
        <w:t>(</w:t>
      </w:r>
      <w:r w:rsidR="00CF297E">
        <w:rPr>
          <w:rFonts w:ascii="Times New Roman" w:hAnsi="Times New Roman" w:cs="Times New Roman"/>
          <w:color w:val="000000" w:themeColor="text1"/>
          <w:sz w:val="24"/>
          <w:szCs w:val="24"/>
        </w:rPr>
        <w:t>S</w:t>
      </w:r>
      <w:r w:rsidRPr="006E022B" w:rsidR="00CC19C8">
        <w:rPr>
          <w:rFonts w:ascii="Times New Roman" w:hAnsi="Times New Roman" w:cs="Times New Roman"/>
          <w:color w:val="000000" w:themeColor="text1"/>
          <w:sz w:val="24"/>
          <w:szCs w:val="24"/>
        </w:rPr>
        <w:t>ee Chapter 5.10.D.</w:t>
      </w:r>
      <w:r w:rsidR="003F474A">
        <w:rPr>
          <w:rFonts w:ascii="Times New Roman" w:hAnsi="Times New Roman" w:cs="Times New Roman"/>
          <w:color w:val="000000" w:themeColor="text1"/>
          <w:sz w:val="24"/>
          <w:szCs w:val="24"/>
        </w:rPr>
        <w:t>)</w:t>
      </w:r>
    </w:p>
    <w:p w:rsidR="006E573A" w:rsidP="00A53FB5" w:rsidRDefault="00B77600" w14:paraId="5B8555A5" w14:textId="24B425DD">
      <w:pPr>
        <w:spacing w:after="200" w:line="276" w:lineRule="auto"/>
        <w:ind w:left="360" w:hanging="36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ab/>
      </w:r>
      <w:r w:rsidRPr="00355C65" w:rsidR="006E573A">
        <w:rPr>
          <w:rFonts w:ascii="Times New Roman" w:hAnsi="Times New Roman" w:cs="Times New Roman"/>
          <w:color w:val="000000" w:themeColor="text1"/>
          <w:sz w:val="24"/>
          <w:szCs w:val="24"/>
        </w:rPr>
        <w:t>Secondary Financing.  HUD permits secured secondary financing on Section 223(f) loans up to total debt of 92.5</w:t>
      </w:r>
      <w:r w:rsidR="001146A1">
        <w:rPr>
          <w:rFonts w:ascii="Times New Roman" w:hAnsi="Times New Roman" w:cs="Times New Roman"/>
          <w:color w:val="000000" w:themeColor="text1"/>
          <w:sz w:val="24"/>
          <w:szCs w:val="24"/>
        </w:rPr>
        <w:t xml:space="preserve">% </w:t>
      </w:r>
      <w:r w:rsidRPr="00355C65" w:rsidR="006E573A">
        <w:rPr>
          <w:rFonts w:ascii="Times New Roman" w:hAnsi="Times New Roman" w:cs="Times New Roman"/>
          <w:color w:val="000000" w:themeColor="text1"/>
          <w:sz w:val="24"/>
          <w:szCs w:val="24"/>
        </w:rPr>
        <w:t xml:space="preserve">Loan-to-Value, or as otherwise specified for affordable housing projects.  (See Chapter 8 and </w:t>
      </w:r>
      <w:r w:rsidR="003C4EC1">
        <w:rPr>
          <w:rFonts w:ascii="Times New Roman" w:hAnsi="Times New Roman" w:cs="Times New Roman"/>
          <w:color w:val="000000" w:themeColor="text1"/>
          <w:sz w:val="24"/>
          <w:szCs w:val="24"/>
        </w:rPr>
        <w:t>C</w:t>
      </w:r>
      <w:r w:rsidRPr="00355C65" w:rsidR="006E573A">
        <w:rPr>
          <w:rFonts w:ascii="Times New Roman" w:hAnsi="Times New Roman" w:cs="Times New Roman"/>
          <w:color w:val="000000" w:themeColor="text1"/>
          <w:sz w:val="24"/>
          <w:szCs w:val="24"/>
        </w:rPr>
        <w:t xml:space="preserve">hapter 14 for details.)  </w:t>
      </w:r>
    </w:p>
    <w:p w:rsidRPr="00355C65" w:rsidR="00A53FB5" w:rsidP="00A53FB5" w:rsidRDefault="00A53FB5" w14:paraId="1898A402" w14:textId="77777777">
      <w:pPr>
        <w:spacing w:after="200" w:line="276" w:lineRule="auto"/>
        <w:ind w:left="360" w:hanging="360"/>
        <w:contextualSpacing/>
        <w:jc w:val="both"/>
        <w:rPr>
          <w:rFonts w:ascii="Times New Roman" w:hAnsi="Times New Roman" w:cs="Times New Roman"/>
          <w:color w:val="000000" w:themeColor="text1"/>
          <w:sz w:val="24"/>
          <w:szCs w:val="24"/>
        </w:rPr>
      </w:pPr>
    </w:p>
    <w:p w:rsidRPr="00355C65" w:rsidR="006E573A" w:rsidP="00A53FB5" w:rsidRDefault="00B77600" w14:paraId="5B8555A7" w14:textId="2E1D5D10">
      <w:pPr>
        <w:spacing w:after="200" w:line="276"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w:t>
      </w:r>
      <w:r>
        <w:rPr>
          <w:rFonts w:ascii="Times New Roman" w:hAnsi="Times New Roman" w:cs="Times New Roman"/>
          <w:color w:val="000000" w:themeColor="text1"/>
          <w:sz w:val="24"/>
          <w:szCs w:val="24"/>
        </w:rPr>
        <w:tab/>
      </w:r>
      <w:r w:rsidRPr="00355C65" w:rsidR="006E573A">
        <w:rPr>
          <w:rFonts w:ascii="Times New Roman" w:hAnsi="Times New Roman" w:cs="Times New Roman"/>
          <w:color w:val="000000" w:themeColor="text1"/>
          <w:sz w:val="24"/>
          <w:szCs w:val="24"/>
        </w:rPr>
        <w:t xml:space="preserve">Commercial Space.  Commercial space is limited to 25% of total net rentable area and commercial income to 20% of effective gross project income.  </w:t>
      </w:r>
    </w:p>
    <w:p w:rsidRPr="00355C65" w:rsidR="006E573A" w:rsidP="00B77600" w:rsidRDefault="006E573A" w14:paraId="5B8555A8" w14:textId="4B52BFBD">
      <w:pPr>
        <w:pStyle w:val="ListParagraph"/>
        <w:numPr>
          <w:ilvl w:val="0"/>
          <w:numId w:val="60"/>
        </w:numPr>
        <w:spacing w:after="200" w:line="276" w:lineRule="auto"/>
        <w:ind w:left="360"/>
        <w:jc w:val="both"/>
        <w:rPr>
          <w:rFonts w:ascii="Times New Roman" w:hAnsi="Times New Roman" w:cs="Times New Roman"/>
          <w:b/>
          <w:color w:val="000000" w:themeColor="text1"/>
          <w:sz w:val="24"/>
          <w:szCs w:val="24"/>
        </w:rPr>
      </w:pPr>
      <w:r w:rsidRPr="008B221C">
        <w:rPr>
          <w:rFonts w:ascii="Times New Roman" w:hAnsi="Times New Roman" w:cs="Times New Roman"/>
          <w:bCs/>
          <w:iCs/>
          <w:color w:val="000000" w:themeColor="text1"/>
          <w:sz w:val="24"/>
          <w:szCs w:val="24"/>
        </w:rPr>
        <w:t>Real</w:t>
      </w:r>
      <w:r w:rsidRPr="00355C65">
        <w:rPr>
          <w:rFonts w:ascii="Times New Roman" w:hAnsi="Times New Roman" w:cs="Times New Roman"/>
          <w:color w:val="000000" w:themeColor="text1"/>
          <w:sz w:val="24"/>
          <w:szCs w:val="24"/>
        </w:rPr>
        <w:t xml:space="preserve"> Estate Requirements.  The mortgage must be on real estate held:</w:t>
      </w:r>
    </w:p>
    <w:p w:rsidRPr="00355C65" w:rsidR="006E573A" w:rsidP="00B77600" w:rsidRDefault="006E573A" w14:paraId="5B8555AA" w14:textId="77777777">
      <w:pPr>
        <w:spacing w:line="276" w:lineRule="auto"/>
        <w:ind w:left="720" w:hanging="360"/>
        <w:jc w:val="both"/>
        <w:rPr>
          <w:rFonts w:ascii="Times New Roman" w:hAnsi="Times New Roman" w:cs="Times New Roman"/>
          <w:b/>
          <w:color w:val="000000" w:themeColor="text1"/>
          <w:sz w:val="24"/>
          <w:szCs w:val="24"/>
        </w:rPr>
      </w:pPr>
      <w:r w:rsidRPr="00355C65">
        <w:rPr>
          <w:rFonts w:ascii="Times New Roman" w:hAnsi="Times New Roman" w:cs="Times New Roman"/>
          <w:color w:val="000000" w:themeColor="text1"/>
          <w:sz w:val="24"/>
          <w:szCs w:val="24"/>
        </w:rPr>
        <w:t>1.  In fee simple; or</w:t>
      </w:r>
    </w:p>
    <w:p w:rsidRPr="00355C65" w:rsidR="006E573A" w:rsidP="00B77600" w:rsidRDefault="006E573A" w14:paraId="5B8555AB" w14:textId="0440337A">
      <w:pPr>
        <w:spacing w:line="276" w:lineRule="auto"/>
        <w:ind w:left="720" w:hanging="360"/>
        <w:jc w:val="both"/>
        <w:rPr>
          <w:rFonts w:ascii="Times New Roman" w:hAnsi="Times New Roman" w:cs="Times New Roman"/>
          <w:b/>
          <w:color w:val="000000" w:themeColor="text1"/>
          <w:sz w:val="24"/>
          <w:szCs w:val="24"/>
        </w:rPr>
      </w:pPr>
      <w:r w:rsidRPr="00355C65">
        <w:rPr>
          <w:rFonts w:ascii="Times New Roman" w:hAnsi="Times New Roman" w:cs="Times New Roman"/>
          <w:color w:val="000000" w:themeColor="text1"/>
          <w:sz w:val="24"/>
          <w:szCs w:val="24"/>
        </w:rPr>
        <w:t>2. Under a leasehold estate approved by HUD for not less than ninety-nine years which is renewable or with a minimum term of 50 years from the date the mortgage is executed. Both the land and the improvements may be subject to the leasehold, so long as O</w:t>
      </w:r>
      <w:r w:rsidR="00037179">
        <w:rPr>
          <w:rFonts w:ascii="Times New Roman" w:hAnsi="Times New Roman" w:cs="Times New Roman"/>
          <w:color w:val="000000" w:themeColor="text1"/>
          <w:sz w:val="24"/>
          <w:szCs w:val="24"/>
        </w:rPr>
        <w:t xml:space="preserve">ffice of </w:t>
      </w:r>
      <w:r w:rsidRPr="00355C65">
        <w:rPr>
          <w:rFonts w:ascii="Times New Roman" w:hAnsi="Times New Roman" w:cs="Times New Roman"/>
          <w:color w:val="000000" w:themeColor="text1"/>
          <w:sz w:val="24"/>
          <w:szCs w:val="24"/>
        </w:rPr>
        <w:t>G</w:t>
      </w:r>
      <w:r w:rsidR="00037179">
        <w:rPr>
          <w:rFonts w:ascii="Times New Roman" w:hAnsi="Times New Roman" w:cs="Times New Roman"/>
          <w:color w:val="000000" w:themeColor="text1"/>
          <w:sz w:val="24"/>
          <w:szCs w:val="24"/>
        </w:rPr>
        <w:t xml:space="preserve">eneral </w:t>
      </w:r>
      <w:r w:rsidRPr="00355C65">
        <w:rPr>
          <w:rFonts w:ascii="Times New Roman" w:hAnsi="Times New Roman" w:cs="Times New Roman"/>
          <w:color w:val="000000" w:themeColor="text1"/>
          <w:sz w:val="24"/>
          <w:szCs w:val="24"/>
        </w:rPr>
        <w:t>C</w:t>
      </w:r>
      <w:r w:rsidR="00037179">
        <w:rPr>
          <w:rFonts w:ascii="Times New Roman" w:hAnsi="Times New Roman" w:cs="Times New Roman"/>
          <w:color w:val="000000" w:themeColor="text1"/>
          <w:sz w:val="24"/>
          <w:szCs w:val="24"/>
        </w:rPr>
        <w:t>ounsel</w:t>
      </w:r>
      <w:r w:rsidRPr="00355C65">
        <w:rPr>
          <w:rFonts w:ascii="Times New Roman" w:hAnsi="Times New Roman" w:cs="Times New Roman"/>
          <w:color w:val="000000" w:themeColor="text1"/>
          <w:sz w:val="24"/>
          <w:szCs w:val="24"/>
        </w:rPr>
        <w:t xml:space="preserve"> determines there is adequate security for the loan.</w:t>
      </w:r>
    </w:p>
    <w:p w:rsidRPr="00355C65" w:rsidR="006E573A" w:rsidP="006E573A" w:rsidRDefault="006E573A" w14:paraId="5B8555AC" w14:textId="77777777">
      <w:pPr>
        <w:spacing w:line="276" w:lineRule="auto"/>
        <w:jc w:val="both"/>
        <w:rPr>
          <w:rFonts w:ascii="Times New Roman" w:hAnsi="Times New Roman" w:cs="Times New Roman"/>
          <w:sz w:val="24"/>
          <w:szCs w:val="24"/>
          <w:shd w:val="clear" w:color="auto" w:fill="FFFFFF"/>
        </w:rPr>
      </w:pPr>
    </w:p>
    <w:p w:rsidRPr="00355C65" w:rsidR="006E573A" w:rsidP="00B77600" w:rsidRDefault="006E573A" w14:paraId="5B8555AD" w14:textId="3787F71F">
      <w:pPr>
        <w:pStyle w:val="ListParagraph"/>
        <w:numPr>
          <w:ilvl w:val="0"/>
          <w:numId w:val="60"/>
        </w:numPr>
        <w:spacing w:after="200" w:line="276" w:lineRule="auto"/>
        <w:ind w:left="360"/>
        <w:jc w:val="both"/>
        <w:rPr>
          <w:rFonts w:ascii="Times New Roman" w:hAnsi="Times New Roman" w:cs="Times New Roman"/>
          <w:sz w:val="24"/>
          <w:szCs w:val="24"/>
          <w:shd w:val="clear" w:color="auto" w:fill="FFFFFF"/>
        </w:rPr>
      </w:pPr>
      <w:r w:rsidRPr="00355C65">
        <w:rPr>
          <w:rFonts w:ascii="Times New Roman" w:hAnsi="Times New Roman" w:cs="Times New Roman"/>
          <w:sz w:val="24"/>
          <w:szCs w:val="24"/>
          <w:shd w:val="clear" w:color="auto" w:fill="FFFFFF"/>
        </w:rPr>
        <w:t xml:space="preserve">Mortgage Term.  The maximum term of the mortgage is 35 years or 75% of the remaining economic life of the property, whichever is less, provided that the term may not be less than </w:t>
      </w:r>
      <w:r w:rsidR="00FE4E4D">
        <w:rPr>
          <w:rFonts w:ascii="Times New Roman" w:hAnsi="Times New Roman" w:cs="Times New Roman"/>
          <w:sz w:val="24"/>
          <w:szCs w:val="24"/>
          <w:shd w:val="clear" w:color="auto" w:fill="FFFFFF"/>
        </w:rPr>
        <w:t>1</w:t>
      </w:r>
      <w:r w:rsidRPr="00355C65">
        <w:rPr>
          <w:rFonts w:ascii="Times New Roman" w:hAnsi="Times New Roman" w:cs="Times New Roman"/>
          <w:sz w:val="24"/>
          <w:szCs w:val="24"/>
          <w:shd w:val="clear" w:color="auto" w:fill="FFFFFF"/>
        </w:rPr>
        <w:t xml:space="preserve">0 years. </w:t>
      </w:r>
    </w:p>
    <w:p w:rsidRPr="00355C65" w:rsidR="002C0DD6" w:rsidP="002C0DD6" w:rsidRDefault="002C0DD6" w14:paraId="47165F14" w14:textId="77777777">
      <w:pPr>
        <w:pStyle w:val="ListParagraph"/>
        <w:spacing w:after="200" w:line="276" w:lineRule="auto"/>
        <w:ind w:left="360"/>
        <w:jc w:val="both"/>
        <w:rPr>
          <w:rFonts w:ascii="Times New Roman" w:hAnsi="Times New Roman" w:cs="Times New Roman"/>
          <w:sz w:val="24"/>
          <w:szCs w:val="24"/>
          <w:shd w:val="clear" w:color="auto" w:fill="FFFFFF"/>
        </w:rPr>
      </w:pPr>
    </w:p>
    <w:p w:rsidRPr="00355C65" w:rsidR="006E573A" w:rsidP="00B77600" w:rsidRDefault="006E573A" w14:paraId="5B8555AF" w14:textId="14E19F50">
      <w:pPr>
        <w:pStyle w:val="ListParagraph"/>
        <w:numPr>
          <w:ilvl w:val="0"/>
          <w:numId w:val="60"/>
        </w:numPr>
        <w:spacing w:after="200" w:line="276" w:lineRule="auto"/>
        <w:ind w:left="360"/>
        <w:jc w:val="both"/>
        <w:rPr>
          <w:rFonts w:ascii="Times New Roman" w:hAnsi="Times New Roman" w:cs="Times New Roman"/>
          <w:b/>
          <w:color w:val="000000" w:themeColor="text1"/>
          <w:sz w:val="24"/>
          <w:szCs w:val="24"/>
        </w:rPr>
      </w:pPr>
      <w:r w:rsidRPr="00355C65">
        <w:rPr>
          <w:rFonts w:ascii="Times New Roman" w:hAnsi="Times New Roman" w:cs="Times New Roman"/>
          <w:color w:val="000000" w:themeColor="text1"/>
          <w:sz w:val="24"/>
          <w:szCs w:val="24"/>
        </w:rPr>
        <w:t xml:space="preserve">Firm Commitment Processing Only.  Lenders should participate in a concept meeting with the Regional Center or Satellite Office prior to application submission if there are concerns about marketability, environment, competing proposals or for particularly complex financing structures or projects with </w:t>
      </w:r>
      <w:r w:rsidR="00456E01">
        <w:rPr>
          <w:rFonts w:ascii="Times New Roman" w:hAnsi="Times New Roman" w:cs="Times New Roman"/>
          <w:color w:val="000000" w:themeColor="text1"/>
          <w:sz w:val="24"/>
          <w:szCs w:val="24"/>
        </w:rPr>
        <w:t xml:space="preserve">less than three years operating history, </w:t>
      </w:r>
      <w:r w:rsidRPr="00355C65">
        <w:rPr>
          <w:rFonts w:ascii="Times New Roman" w:hAnsi="Times New Roman" w:cs="Times New Roman"/>
          <w:color w:val="000000" w:themeColor="text1"/>
          <w:sz w:val="24"/>
          <w:szCs w:val="24"/>
        </w:rPr>
        <w:t xml:space="preserve">significant cash out or </w:t>
      </w:r>
      <w:r w:rsidR="00F3461A">
        <w:rPr>
          <w:rFonts w:ascii="Times New Roman" w:hAnsi="Times New Roman" w:cs="Times New Roman"/>
          <w:color w:val="000000" w:themeColor="text1"/>
          <w:sz w:val="24"/>
          <w:szCs w:val="24"/>
        </w:rPr>
        <w:t xml:space="preserve">for </w:t>
      </w:r>
      <w:r w:rsidRPr="00355C65">
        <w:rPr>
          <w:rFonts w:ascii="Times New Roman" w:hAnsi="Times New Roman" w:cs="Times New Roman"/>
          <w:color w:val="000000" w:themeColor="text1"/>
          <w:sz w:val="24"/>
          <w:szCs w:val="24"/>
        </w:rPr>
        <w:t>loans</w:t>
      </w:r>
      <w:r w:rsidR="00FB76CA">
        <w:rPr>
          <w:rFonts w:ascii="Times New Roman" w:hAnsi="Times New Roman" w:cs="Times New Roman"/>
          <w:color w:val="000000" w:themeColor="text1"/>
          <w:sz w:val="24"/>
          <w:szCs w:val="24"/>
        </w:rPr>
        <w:t xml:space="preserve"> over $75M</w:t>
      </w:r>
      <w:r w:rsidRPr="00355C65">
        <w:rPr>
          <w:rFonts w:ascii="Times New Roman" w:hAnsi="Times New Roman" w:cs="Times New Roman"/>
          <w:color w:val="000000" w:themeColor="text1"/>
          <w:sz w:val="24"/>
          <w:szCs w:val="24"/>
        </w:rPr>
        <w:t>.</w:t>
      </w:r>
    </w:p>
    <w:p w:rsidRPr="00355C65" w:rsidR="006E573A" w:rsidP="006E573A" w:rsidRDefault="006E573A" w14:paraId="5B8555B0" w14:textId="77777777">
      <w:pPr>
        <w:spacing w:line="276" w:lineRule="auto"/>
        <w:jc w:val="both"/>
        <w:rPr>
          <w:rFonts w:ascii="Times New Roman" w:hAnsi="Times New Roman" w:cs="Times New Roman"/>
          <w:color w:val="000000" w:themeColor="text1"/>
          <w:sz w:val="24"/>
          <w:szCs w:val="24"/>
        </w:rPr>
      </w:pPr>
    </w:p>
    <w:p w:rsidRPr="00355C65" w:rsidR="006E573A" w:rsidP="00B77600" w:rsidRDefault="006E573A" w14:paraId="5B8555B3" w14:textId="05281026">
      <w:pPr>
        <w:pStyle w:val="ListParagraph"/>
        <w:numPr>
          <w:ilvl w:val="0"/>
          <w:numId w:val="60"/>
        </w:numPr>
        <w:spacing w:after="200" w:line="276" w:lineRule="auto"/>
        <w:ind w:left="360"/>
        <w:jc w:val="both"/>
        <w:rPr>
          <w:rFonts w:ascii="Times New Roman" w:hAnsi="Times New Roman" w:cs="Times New Roman"/>
          <w:b/>
          <w:color w:val="000000" w:themeColor="text1"/>
          <w:sz w:val="24"/>
          <w:szCs w:val="24"/>
        </w:rPr>
      </w:pPr>
      <w:r w:rsidRPr="00355C65">
        <w:rPr>
          <w:rFonts w:ascii="Times New Roman" w:hAnsi="Times New Roman" w:cs="Times New Roman"/>
          <w:color w:val="000000" w:themeColor="text1"/>
          <w:sz w:val="24"/>
          <w:szCs w:val="24"/>
        </w:rPr>
        <w:t xml:space="preserve"> Market Study.  Section 223(f) applications typically do not require a market study separate from that contained in the appraisal.  However, in volatile or declining markets, the lender should consider and may be required to obtain a market study to support the underwriting conclusions of market demand for the property over the loan term.  Regional Center or Satellite Office staff should consult with Economic Market Analysis Division (EMAD) in such cases.  Requirements for market studies are contained in Chapter 7.</w:t>
      </w:r>
    </w:p>
    <w:p w:rsidRPr="00355C65" w:rsidR="006E573A" w:rsidP="006E573A" w:rsidRDefault="006E573A" w14:paraId="5B8555B4" w14:textId="77777777">
      <w:pPr>
        <w:spacing w:line="276" w:lineRule="auto"/>
        <w:jc w:val="both"/>
        <w:rPr>
          <w:rFonts w:ascii="Times New Roman" w:hAnsi="Times New Roman" w:cs="Times New Roman"/>
          <w:sz w:val="24"/>
          <w:szCs w:val="24"/>
        </w:rPr>
      </w:pPr>
    </w:p>
    <w:p w:rsidRPr="00C03760" w:rsidR="006E573A" w:rsidP="00632441" w:rsidRDefault="006E573A" w14:paraId="5B8555B6" w14:textId="76201E99">
      <w:pPr>
        <w:pStyle w:val="ListParagraph"/>
        <w:numPr>
          <w:ilvl w:val="0"/>
          <w:numId w:val="60"/>
        </w:numPr>
        <w:spacing w:after="200" w:line="276" w:lineRule="auto"/>
        <w:ind w:left="360"/>
        <w:jc w:val="both"/>
        <w:rPr>
          <w:rFonts w:ascii="Times New Roman" w:hAnsi="Times New Roman" w:cs="Times New Roman"/>
          <w:sz w:val="24"/>
          <w:szCs w:val="24"/>
        </w:rPr>
      </w:pPr>
      <w:r w:rsidRPr="00C03760">
        <w:rPr>
          <w:rFonts w:ascii="Times New Roman" w:hAnsi="Times New Roman" w:cs="Times New Roman"/>
          <w:sz w:val="24"/>
          <w:szCs w:val="24"/>
        </w:rPr>
        <w:t>Discounts and/or Costs of Issuance associated with bond financing may be eligible for inclusion in the computation of Criteria 7 and 10.</w:t>
      </w:r>
    </w:p>
    <w:p w:rsidRPr="00355C65" w:rsidR="006E573A" w:rsidP="006E573A" w:rsidRDefault="006E573A" w14:paraId="5B8555B7" w14:textId="4942D894">
      <w:pPr>
        <w:spacing w:line="276" w:lineRule="auto"/>
        <w:ind w:left="720" w:hanging="360"/>
        <w:jc w:val="both"/>
        <w:rPr>
          <w:rFonts w:ascii="Times New Roman" w:hAnsi="Times New Roman" w:cs="Times New Roman"/>
          <w:sz w:val="24"/>
          <w:szCs w:val="24"/>
        </w:rPr>
      </w:pPr>
      <w:r w:rsidRPr="00355C65">
        <w:rPr>
          <w:rFonts w:ascii="Times New Roman" w:hAnsi="Times New Roman" w:cs="Times New Roman"/>
          <w:sz w:val="24"/>
          <w:szCs w:val="24"/>
        </w:rPr>
        <w:t xml:space="preserve">1. Review documentation regarding permanent financing.  Documentation must state the amount of the discounts, financing fees, and/or costs of issuance to be charged and </w:t>
      </w:r>
      <w:r w:rsidR="009A5FFF">
        <w:rPr>
          <w:rFonts w:ascii="Times New Roman" w:hAnsi="Times New Roman" w:cs="Times New Roman"/>
          <w:sz w:val="24"/>
          <w:szCs w:val="24"/>
        </w:rPr>
        <w:t>to</w:t>
      </w:r>
      <w:r w:rsidRPr="00355C65" w:rsidR="009A5FFF">
        <w:rPr>
          <w:rFonts w:ascii="Times New Roman" w:hAnsi="Times New Roman" w:cs="Times New Roman"/>
          <w:sz w:val="24"/>
          <w:szCs w:val="24"/>
        </w:rPr>
        <w:t xml:space="preserve"> </w:t>
      </w:r>
      <w:r w:rsidRPr="00355C65">
        <w:rPr>
          <w:rFonts w:ascii="Times New Roman" w:hAnsi="Times New Roman" w:cs="Times New Roman"/>
          <w:sz w:val="24"/>
          <w:szCs w:val="24"/>
        </w:rPr>
        <w:t>whom they will be paid.</w:t>
      </w:r>
    </w:p>
    <w:p w:rsidR="006E573A" w:rsidP="006E573A" w:rsidRDefault="006E573A" w14:paraId="5B8555B9" w14:textId="247B8F7E">
      <w:pPr>
        <w:spacing w:line="276" w:lineRule="auto"/>
        <w:ind w:left="720" w:hanging="360"/>
        <w:jc w:val="both"/>
        <w:rPr>
          <w:rFonts w:ascii="Times New Roman" w:hAnsi="Times New Roman" w:cs="Times New Roman"/>
          <w:sz w:val="24"/>
          <w:szCs w:val="24"/>
        </w:rPr>
      </w:pPr>
      <w:r w:rsidRPr="00355C65">
        <w:rPr>
          <w:rFonts w:ascii="Times New Roman" w:hAnsi="Times New Roman" w:cs="Times New Roman"/>
          <w:sz w:val="24"/>
          <w:szCs w:val="24"/>
        </w:rPr>
        <w:t>2. Permanent Placement Fee.  This fee must include all permanent placement expenses, including lender’s legal fees, except discounts.  Where Ginnie Mae Mortgage-Backed Securities (MBS) are involved and the mortgagee charges:</w:t>
      </w:r>
    </w:p>
    <w:p w:rsidRPr="00355C65" w:rsidR="00C03760" w:rsidP="006E573A" w:rsidRDefault="00C03760" w14:paraId="3970D3C3" w14:textId="77777777">
      <w:pPr>
        <w:spacing w:line="276" w:lineRule="auto"/>
        <w:ind w:left="720" w:hanging="360"/>
        <w:jc w:val="both"/>
        <w:rPr>
          <w:rFonts w:ascii="Times New Roman" w:hAnsi="Times New Roman" w:cs="Times New Roman"/>
          <w:sz w:val="24"/>
          <w:szCs w:val="24"/>
        </w:rPr>
      </w:pPr>
    </w:p>
    <w:p w:rsidRPr="00355C65" w:rsidR="006E573A" w:rsidP="006E573A" w:rsidRDefault="006E573A" w14:paraId="5B8555BA" w14:textId="333C9391">
      <w:pPr>
        <w:spacing w:line="276" w:lineRule="auto"/>
        <w:ind w:left="1080" w:hanging="360"/>
        <w:jc w:val="both"/>
        <w:rPr>
          <w:rFonts w:ascii="Times New Roman" w:hAnsi="Times New Roman" w:cs="Times New Roman"/>
          <w:sz w:val="24"/>
          <w:szCs w:val="24"/>
        </w:rPr>
      </w:pPr>
      <w:r w:rsidRPr="00355C65">
        <w:rPr>
          <w:rFonts w:ascii="Times New Roman" w:hAnsi="Times New Roman" w:cs="Times New Roman"/>
          <w:sz w:val="24"/>
          <w:szCs w:val="24"/>
        </w:rPr>
        <w:t>a.</w:t>
      </w:r>
      <w:r w:rsidR="002C0DD6">
        <w:rPr>
          <w:rFonts w:ascii="Times New Roman" w:hAnsi="Times New Roman" w:cs="Times New Roman"/>
          <w:sz w:val="24"/>
          <w:szCs w:val="24"/>
        </w:rPr>
        <w:tab/>
      </w:r>
      <w:r w:rsidRPr="00355C65">
        <w:rPr>
          <w:rFonts w:ascii="Times New Roman" w:hAnsi="Times New Roman" w:cs="Times New Roman"/>
          <w:sz w:val="24"/>
          <w:szCs w:val="24"/>
        </w:rPr>
        <w:t>The maximum permanent placement fee, it may not assess an additional charge for either the MBS application fee and/or the securities custodial fee.</w:t>
      </w:r>
    </w:p>
    <w:p w:rsidRPr="00355C65" w:rsidR="006E573A" w:rsidP="006E573A" w:rsidRDefault="006E573A" w14:paraId="5B8555BB" w14:textId="35F5DD65">
      <w:pPr>
        <w:spacing w:line="276" w:lineRule="auto"/>
        <w:ind w:left="1080" w:hanging="360"/>
        <w:jc w:val="both"/>
        <w:rPr>
          <w:rFonts w:ascii="Times New Roman" w:hAnsi="Times New Roman" w:cs="Times New Roman"/>
          <w:sz w:val="24"/>
          <w:szCs w:val="24"/>
        </w:rPr>
      </w:pPr>
      <w:r w:rsidRPr="00355C65">
        <w:rPr>
          <w:rFonts w:ascii="Times New Roman" w:hAnsi="Times New Roman" w:cs="Times New Roman"/>
          <w:sz w:val="24"/>
          <w:szCs w:val="24"/>
        </w:rPr>
        <w:t>b.</w:t>
      </w:r>
      <w:r w:rsidR="002C0DD6">
        <w:rPr>
          <w:rFonts w:ascii="Times New Roman" w:hAnsi="Times New Roman" w:cs="Times New Roman"/>
          <w:sz w:val="24"/>
          <w:szCs w:val="24"/>
        </w:rPr>
        <w:tab/>
      </w:r>
      <w:r w:rsidRPr="00355C65">
        <w:rPr>
          <w:rFonts w:ascii="Times New Roman" w:hAnsi="Times New Roman" w:cs="Times New Roman"/>
          <w:sz w:val="24"/>
          <w:szCs w:val="24"/>
        </w:rPr>
        <w:t>Less than the maximum permanent placement fee, it may assess an additional charge for either the MBS application fee and/or the securities custodial fee provided the total fees and charges do not exceed the dollar value of the maximum permitted permanent placement fee.</w:t>
      </w:r>
    </w:p>
    <w:p w:rsidRPr="00355C65" w:rsidR="006E573A" w:rsidP="006E573A" w:rsidRDefault="006E573A" w14:paraId="5B8555BC" w14:textId="77777777">
      <w:pPr>
        <w:spacing w:line="276" w:lineRule="auto"/>
        <w:ind w:left="1080" w:hanging="360"/>
        <w:jc w:val="both"/>
        <w:rPr>
          <w:rFonts w:ascii="Times New Roman" w:hAnsi="Times New Roman" w:cs="Times New Roman"/>
          <w:sz w:val="24"/>
          <w:szCs w:val="24"/>
        </w:rPr>
      </w:pPr>
    </w:p>
    <w:p w:rsidRPr="00355C65" w:rsidR="006E573A" w:rsidP="00DD5E30" w:rsidRDefault="006E573A" w14:paraId="5B8555BE" w14:textId="343B3C9D">
      <w:pPr>
        <w:spacing w:line="276" w:lineRule="auto"/>
        <w:ind w:left="720" w:hanging="360"/>
        <w:jc w:val="both"/>
        <w:rPr>
          <w:rFonts w:ascii="Times New Roman" w:hAnsi="Times New Roman" w:cs="Times New Roman"/>
          <w:sz w:val="24"/>
          <w:szCs w:val="24"/>
        </w:rPr>
      </w:pPr>
      <w:r w:rsidRPr="00355C65">
        <w:rPr>
          <w:rFonts w:ascii="Times New Roman" w:hAnsi="Times New Roman" w:cs="Times New Roman"/>
          <w:sz w:val="24"/>
          <w:szCs w:val="24"/>
        </w:rPr>
        <w:t>3.</w:t>
      </w:r>
      <w:r w:rsidR="005A6F57">
        <w:rPr>
          <w:rFonts w:ascii="Times New Roman" w:hAnsi="Times New Roman" w:cs="Times New Roman"/>
          <w:sz w:val="24"/>
          <w:szCs w:val="24"/>
        </w:rPr>
        <w:tab/>
      </w:r>
      <w:r w:rsidRPr="00355C65">
        <w:rPr>
          <w:rFonts w:ascii="Times New Roman" w:hAnsi="Times New Roman" w:cs="Times New Roman"/>
          <w:sz w:val="24"/>
          <w:szCs w:val="24"/>
        </w:rPr>
        <w:t>Determine if the discounts, financing fees and costs of issuance are reasonable and generally in line with prevailing market conditions and mortgage credit data.</w:t>
      </w:r>
      <w:r w:rsidR="00DD5E30">
        <w:rPr>
          <w:rFonts w:ascii="Times New Roman" w:hAnsi="Times New Roman" w:cs="Times New Roman"/>
          <w:sz w:val="24"/>
          <w:szCs w:val="24"/>
        </w:rPr>
        <w:t xml:space="preserve"> </w:t>
      </w:r>
      <w:r w:rsidRPr="00355C65">
        <w:rPr>
          <w:rFonts w:ascii="Times New Roman" w:hAnsi="Times New Roman" w:cs="Times New Roman"/>
          <w:sz w:val="24"/>
          <w:szCs w:val="24"/>
        </w:rPr>
        <w:t>Recognize financing fees and discounts charged by the permanent lender, for inclusion in the mortgage:</w:t>
      </w:r>
    </w:p>
    <w:p w:rsidRPr="00355C65" w:rsidR="006E573A" w:rsidP="006E573A" w:rsidRDefault="006E573A" w14:paraId="5B8555BF" w14:textId="77777777">
      <w:pPr>
        <w:spacing w:line="276" w:lineRule="auto"/>
        <w:ind w:left="720"/>
        <w:jc w:val="both"/>
        <w:rPr>
          <w:rFonts w:ascii="Times New Roman" w:hAnsi="Times New Roman" w:cs="Times New Roman"/>
          <w:sz w:val="24"/>
          <w:szCs w:val="24"/>
        </w:rPr>
      </w:pPr>
    </w:p>
    <w:p w:rsidRPr="00620115" w:rsidR="006E573A" w:rsidP="0048689F" w:rsidRDefault="00994168" w14:paraId="5B8555C2" w14:textId="607053AA">
      <w:pPr>
        <w:spacing w:line="276" w:lineRule="auto"/>
        <w:ind w:left="1080" w:hanging="360"/>
        <w:rPr>
          <w:rFonts w:ascii="Times New Roman" w:hAnsi="Times New Roman" w:cs="Times New Roman"/>
          <w:sz w:val="24"/>
          <w:szCs w:val="24"/>
        </w:rPr>
      </w:pPr>
      <w:r w:rsidRPr="00620115">
        <w:rPr>
          <w:rFonts w:ascii="Times New Roman" w:hAnsi="Times New Roman" w:cs="Times New Roman"/>
          <w:sz w:val="24"/>
          <w:szCs w:val="24"/>
        </w:rPr>
        <w:t>a</w:t>
      </w:r>
      <w:r w:rsidRPr="00620115" w:rsidR="00620115">
        <w:rPr>
          <w:rFonts w:ascii="Times New Roman" w:hAnsi="Times New Roman" w:cs="Times New Roman"/>
          <w:sz w:val="24"/>
          <w:szCs w:val="24"/>
        </w:rPr>
        <w:t>.</w:t>
      </w:r>
      <w:r w:rsidRPr="00620115" w:rsidR="00620115">
        <w:rPr>
          <w:rFonts w:ascii="Times New Roman" w:hAnsi="Times New Roman" w:cs="Times New Roman"/>
          <w:sz w:val="24"/>
          <w:szCs w:val="24"/>
        </w:rPr>
        <w:tab/>
      </w:r>
      <w:r w:rsidRPr="00620115" w:rsidR="006E573A">
        <w:rPr>
          <w:rFonts w:ascii="Times New Roman" w:hAnsi="Times New Roman" w:cs="Times New Roman"/>
          <w:sz w:val="24"/>
          <w:szCs w:val="24"/>
        </w:rPr>
        <w:t>Where a project is to be financed through the sale of either taxable or tax-exempt bonds, the maximum financing fees allowable in the mortgage computation and recognizable for cost certification purposes is 5.5% of the mortgage amount.  Any cost beyond the 5.5% must be paid from sources outside the mortgage.</w:t>
      </w:r>
    </w:p>
    <w:p w:rsidRPr="00620115" w:rsidR="0048689F" w:rsidP="00620115" w:rsidRDefault="0048689F" w14:paraId="4C404358" w14:textId="77777777">
      <w:pPr>
        <w:ind w:left="1080" w:hanging="360"/>
        <w:rPr>
          <w:rFonts w:ascii="Times New Roman" w:hAnsi="Times New Roman" w:cs="Times New Roman"/>
          <w:sz w:val="24"/>
          <w:szCs w:val="24"/>
        </w:rPr>
      </w:pPr>
    </w:p>
    <w:p w:rsidRPr="00355C65" w:rsidR="006E573A" w:rsidP="0048689F" w:rsidRDefault="0048689F" w14:paraId="5B8555C3" w14:textId="50468F20">
      <w:pPr>
        <w:tabs>
          <w:tab w:val="left" w:pos="1170"/>
        </w:tabs>
        <w:spacing w:after="200"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355C65" w:rsidR="006E573A">
        <w:rPr>
          <w:rFonts w:ascii="Times New Roman" w:hAnsi="Times New Roman" w:cs="Times New Roman"/>
          <w:sz w:val="24"/>
          <w:szCs w:val="24"/>
        </w:rPr>
        <w:t>The maximum financing fee the mortgagee may retain for its own account is 3.5% to cover the costs of origination, permanent placement, processing, underwriting, closing and delivery (including the mortgagee's legal fees), escrow monitoring, etc. The remaining 2% (or such greater percentage as may result from the lender reducing its maximum retained 3.5% fee) may be used to offset the bond fees.</w:t>
      </w:r>
    </w:p>
    <w:p w:rsidRPr="00355C65" w:rsidR="006E573A" w:rsidP="00C03760" w:rsidRDefault="0048689F" w14:paraId="5B8555C5" w14:textId="3DEDADD2">
      <w:pPr>
        <w:tabs>
          <w:tab w:val="left" w:pos="1170"/>
        </w:tabs>
        <w:spacing w:after="200"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355C65" w:rsidR="006E573A">
        <w:rPr>
          <w:rFonts w:ascii="Times New Roman" w:hAnsi="Times New Roman" w:cs="Times New Roman"/>
          <w:sz w:val="24"/>
          <w:szCs w:val="24"/>
        </w:rPr>
        <w:t>Discounts.  In a refinancing or purchase transaction, discount fees will be recognized only for those actual costs charged by the placement lender, which are determined to be eligible.  Discounts included in the computation of Criteria 7 and 10 must be reasonable based on current market conditions.</w:t>
      </w:r>
    </w:p>
    <w:p w:rsidRPr="00355C65" w:rsidR="006E573A" w:rsidP="00B77600" w:rsidRDefault="006E573A" w14:paraId="5B8555C6" w14:textId="57D825AB">
      <w:pPr>
        <w:pStyle w:val="ListParagraph"/>
        <w:numPr>
          <w:ilvl w:val="0"/>
          <w:numId w:val="60"/>
        </w:numPr>
        <w:spacing w:after="200" w:line="276" w:lineRule="auto"/>
        <w:ind w:left="360"/>
        <w:jc w:val="both"/>
        <w:rPr>
          <w:rFonts w:ascii="Times New Roman" w:hAnsi="Times New Roman" w:cs="Times New Roman"/>
          <w:sz w:val="24"/>
          <w:szCs w:val="24"/>
        </w:rPr>
      </w:pPr>
      <w:r w:rsidRPr="00355C65">
        <w:rPr>
          <w:rFonts w:ascii="Times New Roman" w:hAnsi="Times New Roman" w:cs="Times New Roman"/>
          <w:sz w:val="24"/>
          <w:szCs w:val="24"/>
        </w:rPr>
        <w:t>Defeasance costs associated with underlying bond financing, yield maintenance, swap termination fees, or costs to satisfy similar derivative instruments will only be recognized in the eligible cost basis up to 10% of the requested FHA loan amount.  Defeasance costs greater than 10% of the proposed FHA insured loan amount may only be paid from equity-out when the loan amount is less than or equal to 80% LTV.</w:t>
      </w:r>
    </w:p>
    <w:p w:rsidRPr="00355C65" w:rsidR="006E573A" w:rsidP="006E573A" w:rsidRDefault="006E573A" w14:paraId="5B8555C7" w14:textId="77777777">
      <w:pPr>
        <w:spacing w:line="276" w:lineRule="auto"/>
        <w:ind w:left="1440"/>
        <w:jc w:val="both"/>
        <w:rPr>
          <w:rFonts w:ascii="Times New Roman" w:hAnsi="Times New Roman" w:cs="Times New Roman"/>
          <w:sz w:val="24"/>
          <w:szCs w:val="24"/>
        </w:rPr>
      </w:pPr>
    </w:p>
    <w:p w:rsidRPr="00355C65" w:rsidR="006E573A" w:rsidP="006E573A" w:rsidRDefault="006E573A" w14:paraId="5B8555C8" w14:textId="77777777">
      <w:pPr>
        <w:pStyle w:val="MAPSubchapterheading"/>
      </w:pPr>
      <w:r w:rsidRPr="00355C65">
        <w:t>3.8</w:t>
      </w:r>
      <w:r w:rsidRPr="00355C65">
        <w:tab/>
      </w:r>
      <w:r w:rsidRPr="00355C65">
        <w:tab/>
        <w:t>Section 223(a)(7) Refinancing of Existing Insured Mortgages</w:t>
      </w:r>
    </w:p>
    <w:p w:rsidRPr="00355C65" w:rsidR="006E573A" w:rsidP="006E573A" w:rsidRDefault="006E573A" w14:paraId="5B8555C9" w14:textId="77777777">
      <w:pPr>
        <w:rPr>
          <w:rFonts w:ascii="Times New Roman" w:hAnsi="Times New Roman" w:cs="Times New Roman"/>
          <w:b/>
          <w:sz w:val="24"/>
          <w:szCs w:val="24"/>
        </w:rPr>
      </w:pPr>
    </w:p>
    <w:p w:rsidR="00C03760" w:rsidP="006E573A" w:rsidRDefault="006E573A" w14:paraId="3D31E85E" w14:textId="62321A0B">
      <w:pPr>
        <w:spacing w:after="480" w:line="276" w:lineRule="auto"/>
        <w:jc w:val="both"/>
        <w:rPr>
          <w:rFonts w:ascii="Times New Roman" w:hAnsi="Times New Roman" w:cs="Times New Roman"/>
          <w:color w:val="000000" w:themeColor="text1"/>
          <w:sz w:val="24"/>
          <w:szCs w:val="24"/>
          <w:u w:val="single"/>
        </w:rPr>
      </w:pPr>
      <w:r w:rsidRPr="00355C65">
        <w:rPr>
          <w:rFonts w:ascii="Times New Roman" w:hAnsi="Times New Roman" w:cs="Times New Roman"/>
          <w:color w:val="000000" w:themeColor="text1"/>
          <w:sz w:val="24"/>
          <w:szCs w:val="24"/>
        </w:rPr>
        <w:t xml:space="preserve">The Section 223(a)(7) program is more fully described in Chapter 18 of this Guide. The program was included as a MAP Program in </w:t>
      </w:r>
      <w:r w:rsidRPr="00355C65" w:rsidR="006801F6">
        <w:rPr>
          <w:rFonts w:ascii="Times New Roman" w:hAnsi="Times New Roman" w:cs="Times New Roman"/>
          <w:color w:val="000000" w:themeColor="text1"/>
          <w:sz w:val="24"/>
          <w:szCs w:val="24"/>
        </w:rPr>
        <w:t>July 2010 and</w:t>
      </w:r>
      <w:r w:rsidRPr="00355C65">
        <w:rPr>
          <w:rFonts w:ascii="Times New Roman" w:hAnsi="Times New Roman" w:cs="Times New Roman"/>
          <w:color w:val="000000" w:themeColor="text1"/>
          <w:sz w:val="24"/>
          <w:szCs w:val="24"/>
        </w:rPr>
        <w:t xml:space="preserve"> provides for streamlined refinancing of currently insured FHA loans.  Accordingly, some requirements of MAP processing for other multifamily programs are not required.  The following is a summary of the program features:</w:t>
      </w:r>
    </w:p>
    <w:p w:rsidRPr="00355C65" w:rsidR="006E573A" w:rsidP="006E573A" w:rsidRDefault="006E573A" w14:paraId="5B8555CB" w14:textId="371E0026">
      <w:pPr>
        <w:spacing w:after="480" w:line="276" w:lineRule="auto"/>
        <w:jc w:val="both"/>
        <w:rPr>
          <w:rFonts w:ascii="Times New Roman" w:hAnsi="Times New Roman" w:cs="Times New Roman"/>
          <w:color w:val="000000" w:themeColor="text1"/>
          <w:sz w:val="24"/>
          <w:szCs w:val="24"/>
        </w:rPr>
      </w:pPr>
      <w:r w:rsidRPr="00355C65">
        <w:rPr>
          <w:rFonts w:ascii="Times New Roman" w:hAnsi="Times New Roman" w:cs="Times New Roman"/>
          <w:color w:val="000000" w:themeColor="text1"/>
          <w:sz w:val="24"/>
          <w:szCs w:val="24"/>
          <w:u w:val="single"/>
        </w:rPr>
        <w:t>Eligibility</w:t>
      </w:r>
      <w:r w:rsidRPr="00355C65">
        <w:rPr>
          <w:rFonts w:ascii="Times New Roman" w:hAnsi="Times New Roman" w:cs="Times New Roman"/>
          <w:color w:val="000000" w:themeColor="text1"/>
          <w:sz w:val="24"/>
          <w:szCs w:val="24"/>
        </w:rPr>
        <w:t xml:space="preserve">:   Only currently FHA insured loans are eligible.  HUD held loans are not eligible unless subject to a Mark-to-Market Debt Restructuring under MAHRAA.   Risk Share loans are not eligible (by statute). Properties </w:t>
      </w:r>
      <w:r w:rsidR="006F4C8B">
        <w:rPr>
          <w:rFonts w:ascii="Times New Roman" w:hAnsi="Times New Roman" w:cs="Times New Roman"/>
          <w:color w:val="000000" w:themeColor="text1"/>
          <w:sz w:val="24"/>
          <w:szCs w:val="24"/>
        </w:rPr>
        <w:t>that</w:t>
      </w:r>
      <w:r w:rsidRPr="00355C65" w:rsidR="006F4C8B">
        <w:rPr>
          <w:rFonts w:ascii="Times New Roman" w:hAnsi="Times New Roman" w:cs="Times New Roman"/>
          <w:color w:val="000000" w:themeColor="text1"/>
          <w:sz w:val="24"/>
          <w:szCs w:val="24"/>
        </w:rPr>
        <w:t xml:space="preserve"> </w:t>
      </w:r>
      <w:r w:rsidRPr="00355C65">
        <w:rPr>
          <w:rFonts w:ascii="Times New Roman" w:hAnsi="Times New Roman" w:cs="Times New Roman"/>
          <w:color w:val="000000" w:themeColor="text1"/>
          <w:sz w:val="24"/>
          <w:szCs w:val="24"/>
        </w:rPr>
        <w:t>need substantial repairs or propose new construction (e.g. of additional units or other permanent structures) are not eligible.</w:t>
      </w:r>
    </w:p>
    <w:p w:rsidRPr="00355C65" w:rsidR="006E573A" w:rsidP="006E573A" w:rsidRDefault="006E573A" w14:paraId="5B8555CC" w14:textId="14F877B7">
      <w:pPr>
        <w:spacing w:after="480" w:line="276" w:lineRule="auto"/>
        <w:jc w:val="both"/>
        <w:rPr>
          <w:rFonts w:ascii="Times New Roman" w:hAnsi="Times New Roman" w:cs="Times New Roman"/>
          <w:color w:val="000000" w:themeColor="text1"/>
          <w:sz w:val="24"/>
          <w:szCs w:val="24"/>
        </w:rPr>
      </w:pPr>
      <w:r w:rsidRPr="00355C65">
        <w:rPr>
          <w:rFonts w:ascii="Times New Roman" w:hAnsi="Times New Roman" w:cs="Times New Roman"/>
          <w:color w:val="000000" w:themeColor="text1"/>
          <w:sz w:val="24"/>
          <w:szCs w:val="24"/>
          <w:u w:val="single"/>
        </w:rPr>
        <w:t>Terms:</w:t>
      </w:r>
      <w:r w:rsidRPr="00355C65">
        <w:rPr>
          <w:rFonts w:ascii="Times New Roman" w:hAnsi="Times New Roman" w:cs="Times New Roman"/>
          <w:color w:val="000000" w:themeColor="text1"/>
          <w:sz w:val="24"/>
          <w:szCs w:val="24"/>
        </w:rPr>
        <w:tab/>
        <w:t>Most transactions are processed with a lower interest rate, and re-amortized either within the remaining term or with an extension up to 12 years</w:t>
      </w:r>
      <w:r w:rsidR="00636823">
        <w:rPr>
          <w:rFonts w:ascii="Times New Roman" w:hAnsi="Times New Roman" w:cs="Times New Roman"/>
          <w:color w:val="000000" w:themeColor="text1"/>
          <w:sz w:val="24"/>
          <w:szCs w:val="24"/>
        </w:rPr>
        <w:t xml:space="preserve">, </w:t>
      </w:r>
      <w:r w:rsidR="00747C77">
        <w:rPr>
          <w:rFonts w:ascii="Times New Roman" w:hAnsi="Times New Roman" w:cs="Times New Roman"/>
          <w:color w:val="000000" w:themeColor="text1"/>
          <w:sz w:val="24"/>
          <w:szCs w:val="24"/>
        </w:rPr>
        <w:t>including any previous extensions granted</w:t>
      </w:r>
      <w:r w:rsidRPr="00355C65">
        <w:rPr>
          <w:rFonts w:ascii="Times New Roman" w:hAnsi="Times New Roman" w:cs="Times New Roman"/>
          <w:color w:val="000000" w:themeColor="text1"/>
          <w:sz w:val="24"/>
          <w:szCs w:val="24"/>
        </w:rPr>
        <w:t>.</w:t>
      </w:r>
      <w:r w:rsidR="00F12E20">
        <w:rPr>
          <w:rFonts w:ascii="Times New Roman" w:hAnsi="Times New Roman" w:cs="Times New Roman"/>
          <w:color w:val="000000" w:themeColor="text1"/>
          <w:sz w:val="24"/>
          <w:szCs w:val="24"/>
        </w:rPr>
        <w:t xml:space="preserve"> </w:t>
      </w:r>
      <w:r w:rsidRPr="00355C65">
        <w:rPr>
          <w:rFonts w:ascii="Times New Roman" w:hAnsi="Times New Roman" w:cs="Times New Roman"/>
          <w:color w:val="000000" w:themeColor="text1"/>
          <w:sz w:val="24"/>
          <w:szCs w:val="24"/>
        </w:rPr>
        <w:t xml:space="preserve">  Exceptions are detailed in </w:t>
      </w:r>
      <w:r w:rsidR="006C62F2">
        <w:rPr>
          <w:rFonts w:ascii="Times New Roman" w:hAnsi="Times New Roman" w:cs="Times New Roman"/>
          <w:color w:val="000000" w:themeColor="text1"/>
          <w:sz w:val="24"/>
          <w:szCs w:val="24"/>
        </w:rPr>
        <w:t>C</w:t>
      </w:r>
      <w:r w:rsidRPr="00355C65">
        <w:rPr>
          <w:rFonts w:ascii="Times New Roman" w:hAnsi="Times New Roman" w:cs="Times New Roman"/>
          <w:color w:val="000000" w:themeColor="text1"/>
          <w:sz w:val="24"/>
          <w:szCs w:val="24"/>
        </w:rPr>
        <w:t xml:space="preserve">hapter </w:t>
      </w:r>
      <w:r w:rsidRPr="00355C65" w:rsidR="006801F6">
        <w:rPr>
          <w:rFonts w:ascii="Times New Roman" w:hAnsi="Times New Roman" w:cs="Times New Roman"/>
          <w:color w:val="000000" w:themeColor="text1"/>
          <w:sz w:val="24"/>
          <w:szCs w:val="24"/>
        </w:rPr>
        <w:t>18</w:t>
      </w:r>
      <w:r w:rsidR="006801F6">
        <w:rPr>
          <w:rFonts w:ascii="Times New Roman" w:hAnsi="Times New Roman" w:cs="Times New Roman"/>
          <w:color w:val="000000" w:themeColor="text1"/>
          <w:sz w:val="24"/>
          <w:szCs w:val="24"/>
        </w:rPr>
        <w:t>;</w:t>
      </w:r>
      <w:r w:rsidR="00F12E20">
        <w:rPr>
          <w:rFonts w:ascii="Times New Roman" w:hAnsi="Times New Roman" w:cs="Times New Roman"/>
          <w:color w:val="000000" w:themeColor="text1"/>
          <w:sz w:val="24"/>
          <w:szCs w:val="24"/>
        </w:rPr>
        <w:t xml:space="preserve"> </w:t>
      </w:r>
      <w:r w:rsidR="006801F6">
        <w:rPr>
          <w:rFonts w:ascii="Times New Roman" w:hAnsi="Times New Roman" w:cs="Times New Roman"/>
          <w:color w:val="000000" w:themeColor="text1"/>
          <w:sz w:val="24"/>
          <w:szCs w:val="24"/>
        </w:rPr>
        <w:t>however,</w:t>
      </w:r>
      <w:r w:rsidR="00F12E20">
        <w:rPr>
          <w:rFonts w:ascii="Times New Roman" w:hAnsi="Times New Roman" w:cs="Times New Roman"/>
          <w:color w:val="000000" w:themeColor="text1"/>
          <w:sz w:val="24"/>
          <w:szCs w:val="24"/>
        </w:rPr>
        <w:t xml:space="preserve"> Lenders should ensure compliance with </w:t>
      </w:r>
      <w:r w:rsidR="00BA383D">
        <w:rPr>
          <w:rFonts w:ascii="Times New Roman" w:hAnsi="Times New Roman" w:cs="Times New Roman"/>
          <w:color w:val="000000" w:themeColor="text1"/>
          <w:sz w:val="24"/>
          <w:szCs w:val="24"/>
        </w:rPr>
        <w:t xml:space="preserve">this </w:t>
      </w:r>
      <w:r w:rsidR="00F12E20">
        <w:rPr>
          <w:rFonts w:ascii="Times New Roman" w:hAnsi="Times New Roman" w:cs="Times New Roman"/>
          <w:color w:val="000000" w:themeColor="text1"/>
          <w:sz w:val="24"/>
          <w:szCs w:val="24"/>
        </w:rPr>
        <w:t xml:space="preserve">section </w:t>
      </w:r>
      <w:r w:rsidR="009C3C33">
        <w:rPr>
          <w:rFonts w:ascii="Times New Roman" w:hAnsi="Times New Roman" w:cs="Times New Roman"/>
          <w:color w:val="000000" w:themeColor="text1"/>
          <w:sz w:val="24"/>
          <w:szCs w:val="24"/>
        </w:rPr>
        <w:t>by reviewing the loan history in HUD’s database if the most recent financing was through Section 223(a)(7).</w:t>
      </w:r>
      <w:r w:rsidRPr="00355C65">
        <w:rPr>
          <w:rFonts w:ascii="Times New Roman" w:hAnsi="Times New Roman" w:cs="Times New Roman"/>
          <w:color w:val="000000" w:themeColor="text1"/>
          <w:sz w:val="24"/>
          <w:szCs w:val="24"/>
        </w:rPr>
        <w:t xml:space="preserve">  Extended amortizations may reduce risk to the Department by lowering debt service requirements so long as the CNA evidences the physical condition supports the extended term of the mortgage. In every case, the loan term cannot exceed 75% of the remaining</w:t>
      </w:r>
      <w:r w:rsidR="007F74EC">
        <w:rPr>
          <w:rFonts w:ascii="Times New Roman" w:hAnsi="Times New Roman" w:cs="Times New Roman"/>
          <w:color w:val="000000" w:themeColor="text1"/>
          <w:sz w:val="24"/>
          <w:szCs w:val="24"/>
        </w:rPr>
        <w:t xml:space="preserve"> </w:t>
      </w:r>
      <w:r w:rsidR="006801F6">
        <w:rPr>
          <w:rFonts w:ascii="Times New Roman" w:hAnsi="Times New Roman" w:cs="Times New Roman"/>
          <w:color w:val="000000" w:themeColor="text1"/>
          <w:sz w:val="24"/>
          <w:szCs w:val="24"/>
        </w:rPr>
        <w:t xml:space="preserve">economic </w:t>
      </w:r>
      <w:r w:rsidRPr="00355C65" w:rsidR="006801F6">
        <w:rPr>
          <w:rFonts w:ascii="Times New Roman" w:hAnsi="Times New Roman" w:cs="Times New Roman"/>
          <w:color w:val="000000" w:themeColor="text1"/>
          <w:sz w:val="24"/>
          <w:szCs w:val="24"/>
        </w:rPr>
        <w:t>life</w:t>
      </w:r>
      <w:r w:rsidRPr="00355C65">
        <w:rPr>
          <w:rFonts w:ascii="Times New Roman" w:hAnsi="Times New Roman" w:cs="Times New Roman"/>
          <w:color w:val="000000" w:themeColor="text1"/>
          <w:sz w:val="24"/>
          <w:szCs w:val="24"/>
        </w:rPr>
        <w:t xml:space="preserve"> of the property.</w:t>
      </w:r>
    </w:p>
    <w:p w:rsidRPr="00355C65" w:rsidR="006E573A" w:rsidP="006E573A" w:rsidRDefault="006E573A" w14:paraId="5B8555CD" w14:textId="4F12143F">
      <w:pPr>
        <w:spacing w:after="480" w:line="276" w:lineRule="auto"/>
        <w:jc w:val="both"/>
        <w:rPr>
          <w:rFonts w:ascii="Times New Roman" w:hAnsi="Times New Roman" w:cs="Times New Roman"/>
          <w:color w:val="000000" w:themeColor="text1"/>
          <w:sz w:val="24"/>
          <w:szCs w:val="24"/>
        </w:rPr>
      </w:pPr>
      <w:r w:rsidRPr="00355C65">
        <w:rPr>
          <w:rFonts w:ascii="Times New Roman" w:hAnsi="Times New Roman" w:cs="Times New Roman"/>
          <w:color w:val="000000" w:themeColor="text1"/>
          <w:sz w:val="24"/>
          <w:szCs w:val="24"/>
          <w:u w:val="single"/>
        </w:rPr>
        <w:t>Controlling Mortgage Criteria:</w:t>
      </w:r>
      <w:r w:rsidRPr="00355C65">
        <w:rPr>
          <w:rFonts w:ascii="Times New Roman" w:hAnsi="Times New Roman" w:cs="Times New Roman"/>
          <w:color w:val="000000" w:themeColor="text1"/>
          <w:sz w:val="24"/>
          <w:szCs w:val="24"/>
        </w:rPr>
        <w:t xml:space="preserve">   The loan is limited to the lesser of the original principal balance, the existing indebtedness plus transaction costs, and that which can be supported by 90% of N</w:t>
      </w:r>
      <w:r w:rsidR="00487C10">
        <w:rPr>
          <w:rFonts w:ascii="Times New Roman" w:hAnsi="Times New Roman" w:cs="Times New Roman"/>
          <w:color w:val="000000" w:themeColor="text1"/>
          <w:sz w:val="24"/>
          <w:szCs w:val="24"/>
        </w:rPr>
        <w:t xml:space="preserve">et Operating Income </w:t>
      </w:r>
      <w:r w:rsidR="007163B9">
        <w:rPr>
          <w:rFonts w:ascii="Times New Roman" w:hAnsi="Times New Roman" w:cs="Times New Roman"/>
          <w:color w:val="000000" w:themeColor="text1"/>
          <w:sz w:val="24"/>
          <w:szCs w:val="24"/>
        </w:rPr>
        <w:t xml:space="preserve"> </w:t>
      </w:r>
      <w:r w:rsidR="00487C10">
        <w:rPr>
          <w:rFonts w:ascii="Times New Roman" w:hAnsi="Times New Roman" w:cs="Times New Roman"/>
          <w:color w:val="000000" w:themeColor="text1"/>
          <w:sz w:val="24"/>
          <w:szCs w:val="24"/>
        </w:rPr>
        <w:t>(NOI)</w:t>
      </w:r>
      <w:r w:rsidRPr="00355C65">
        <w:rPr>
          <w:rFonts w:ascii="Times New Roman" w:hAnsi="Times New Roman" w:cs="Times New Roman"/>
          <w:color w:val="000000" w:themeColor="text1"/>
          <w:sz w:val="24"/>
          <w:szCs w:val="24"/>
        </w:rPr>
        <w:t>(95% for projects with greater than 90% Project-Based Rental Assistance</w:t>
      </w:r>
      <w:r w:rsidR="001F57C8">
        <w:rPr>
          <w:rFonts w:ascii="Times New Roman" w:hAnsi="Times New Roman" w:cs="Times New Roman"/>
          <w:color w:val="000000" w:themeColor="text1"/>
          <w:sz w:val="24"/>
          <w:szCs w:val="24"/>
        </w:rPr>
        <w:t xml:space="preserve"> with a term in excess of 15 years</w:t>
      </w:r>
      <w:r w:rsidR="006D6362">
        <w:rPr>
          <w:rFonts w:ascii="Times New Roman" w:hAnsi="Times New Roman" w:cs="Times New Roman"/>
          <w:color w:val="000000" w:themeColor="text1"/>
          <w:sz w:val="24"/>
          <w:szCs w:val="24"/>
        </w:rPr>
        <w:t xml:space="preserve"> after endorsement</w:t>
      </w:r>
      <w:r w:rsidRPr="00355C65">
        <w:rPr>
          <w:rFonts w:ascii="Times New Roman" w:hAnsi="Times New Roman" w:cs="Times New Roman"/>
          <w:color w:val="000000" w:themeColor="text1"/>
          <w:sz w:val="24"/>
          <w:szCs w:val="24"/>
        </w:rPr>
        <w:t xml:space="preserve">).  </w:t>
      </w:r>
    </w:p>
    <w:p w:rsidRPr="00355C65" w:rsidR="006E573A" w:rsidP="006E573A" w:rsidRDefault="006E573A" w14:paraId="5B8555CE" w14:textId="53D487E3">
      <w:pPr>
        <w:spacing w:after="480" w:line="276" w:lineRule="auto"/>
        <w:jc w:val="both"/>
        <w:rPr>
          <w:rFonts w:ascii="Times New Roman" w:hAnsi="Times New Roman" w:cs="Times New Roman"/>
          <w:color w:val="000000" w:themeColor="text1"/>
          <w:sz w:val="24"/>
          <w:szCs w:val="24"/>
        </w:rPr>
      </w:pPr>
      <w:r w:rsidRPr="00355C65">
        <w:rPr>
          <w:rFonts w:ascii="Times New Roman" w:hAnsi="Times New Roman" w:cs="Times New Roman"/>
          <w:color w:val="000000" w:themeColor="text1"/>
          <w:sz w:val="24"/>
          <w:szCs w:val="24"/>
          <w:u w:val="single"/>
        </w:rPr>
        <w:t>Lender Fees:</w:t>
      </w:r>
      <w:r w:rsidRPr="00355C65">
        <w:rPr>
          <w:rFonts w:ascii="Times New Roman" w:hAnsi="Times New Roman" w:cs="Times New Roman"/>
          <w:color w:val="000000" w:themeColor="text1"/>
          <w:sz w:val="24"/>
          <w:szCs w:val="24"/>
        </w:rPr>
        <w:t xml:space="preserve"> </w:t>
      </w:r>
      <w:r w:rsidR="00691BC4">
        <w:rPr>
          <w:rFonts w:ascii="Times New Roman" w:hAnsi="Times New Roman" w:cs="Times New Roman"/>
          <w:color w:val="000000" w:themeColor="text1"/>
          <w:sz w:val="24"/>
          <w:szCs w:val="24"/>
        </w:rPr>
        <w:t xml:space="preserve">See </w:t>
      </w:r>
      <w:r w:rsidRPr="00355C65">
        <w:rPr>
          <w:rFonts w:ascii="Times New Roman" w:hAnsi="Times New Roman" w:cs="Times New Roman"/>
          <w:color w:val="000000" w:themeColor="text1"/>
          <w:sz w:val="24"/>
          <w:szCs w:val="24"/>
        </w:rPr>
        <w:t xml:space="preserve">Chapter 18 </w:t>
      </w:r>
      <w:r w:rsidR="00691BC4">
        <w:rPr>
          <w:rFonts w:ascii="Times New Roman" w:hAnsi="Times New Roman" w:cs="Times New Roman"/>
          <w:color w:val="000000" w:themeColor="text1"/>
          <w:sz w:val="24"/>
          <w:szCs w:val="24"/>
        </w:rPr>
        <w:t>for</w:t>
      </w:r>
      <w:r w:rsidRPr="00355C65">
        <w:rPr>
          <w:rFonts w:ascii="Times New Roman" w:hAnsi="Times New Roman" w:cs="Times New Roman"/>
          <w:color w:val="000000" w:themeColor="text1"/>
          <w:sz w:val="24"/>
          <w:szCs w:val="24"/>
        </w:rPr>
        <w:t xml:space="preserve"> more detail.  The one exception to the prohibition on inducements is the payment of prepayment penalties on an existing FHA insured loan from lender’s profit. The lender may pay such prepayment penalties on behalf of the borrower, so long as disclosed to and approved in advance by HUD.  Prepayment penalties payable by lenders </w:t>
      </w:r>
      <w:r w:rsidRPr="00355C65" w:rsidR="006801F6">
        <w:rPr>
          <w:rFonts w:ascii="Times New Roman" w:hAnsi="Times New Roman" w:cs="Times New Roman"/>
          <w:color w:val="000000" w:themeColor="text1"/>
          <w:sz w:val="24"/>
          <w:szCs w:val="24"/>
        </w:rPr>
        <w:t>may include</w:t>
      </w:r>
      <w:r w:rsidRPr="00355C65">
        <w:rPr>
          <w:rFonts w:ascii="Times New Roman" w:hAnsi="Times New Roman" w:cs="Times New Roman"/>
          <w:color w:val="000000" w:themeColor="text1"/>
          <w:sz w:val="24"/>
          <w:szCs w:val="24"/>
        </w:rPr>
        <w:t xml:space="preserve"> the cost of defeasance or penalties associate</w:t>
      </w:r>
      <w:r w:rsidR="00ED64B7">
        <w:rPr>
          <w:rFonts w:ascii="Times New Roman" w:hAnsi="Times New Roman" w:cs="Times New Roman"/>
          <w:color w:val="000000" w:themeColor="text1"/>
          <w:sz w:val="24"/>
          <w:szCs w:val="24"/>
        </w:rPr>
        <w:t>d</w:t>
      </w:r>
      <w:r w:rsidRPr="00355C65">
        <w:rPr>
          <w:rFonts w:ascii="Times New Roman" w:hAnsi="Times New Roman" w:cs="Times New Roman"/>
          <w:color w:val="000000" w:themeColor="text1"/>
          <w:sz w:val="24"/>
          <w:szCs w:val="24"/>
        </w:rPr>
        <w:t xml:space="preserve"> with bond financing, or defeasance of other mortgage-backed securities (including Ginnie Mae securities), so long as the amount does not exceed 10% of the proposed FHA insured loan amount.</w:t>
      </w:r>
    </w:p>
    <w:p w:rsidRPr="00355C65" w:rsidR="006E573A" w:rsidP="006E573A" w:rsidRDefault="006E573A" w14:paraId="5B8555CF" w14:textId="0EBF643E">
      <w:pPr>
        <w:spacing w:after="480" w:line="276" w:lineRule="auto"/>
        <w:jc w:val="both"/>
        <w:rPr>
          <w:rFonts w:ascii="Times New Roman" w:hAnsi="Times New Roman" w:cs="Times New Roman"/>
          <w:color w:val="000000" w:themeColor="text1"/>
          <w:sz w:val="24"/>
          <w:szCs w:val="24"/>
        </w:rPr>
      </w:pPr>
      <w:r w:rsidRPr="00355C65">
        <w:rPr>
          <w:rFonts w:ascii="Times New Roman" w:hAnsi="Times New Roman" w:cs="Times New Roman"/>
          <w:color w:val="000000" w:themeColor="text1"/>
          <w:sz w:val="24"/>
          <w:szCs w:val="24"/>
          <w:u w:val="single"/>
        </w:rPr>
        <w:t>Borrower Fees:</w:t>
      </w:r>
      <w:r w:rsidRPr="00355C65">
        <w:rPr>
          <w:rFonts w:ascii="Times New Roman" w:hAnsi="Times New Roman" w:cs="Times New Roman"/>
          <w:color w:val="000000" w:themeColor="text1"/>
          <w:sz w:val="24"/>
          <w:szCs w:val="24"/>
        </w:rPr>
        <w:t xml:space="preserve">  Lenders cannot pay application or due diligence fees on behalf of the borrower, or other payments as an inducement. To do so would be considered a kick-back, and a basis for </w:t>
      </w:r>
      <w:r w:rsidR="00487C10">
        <w:rPr>
          <w:rFonts w:ascii="Times New Roman" w:hAnsi="Times New Roman" w:cs="Times New Roman"/>
          <w:color w:val="000000" w:themeColor="text1"/>
          <w:sz w:val="24"/>
          <w:szCs w:val="24"/>
        </w:rPr>
        <w:t>e</w:t>
      </w:r>
      <w:r w:rsidRPr="00355C65">
        <w:rPr>
          <w:rFonts w:ascii="Times New Roman" w:hAnsi="Times New Roman" w:cs="Times New Roman"/>
          <w:color w:val="000000" w:themeColor="text1"/>
          <w:sz w:val="24"/>
          <w:szCs w:val="24"/>
        </w:rPr>
        <w:t xml:space="preserve">nforcement action.  This broad prohibition applies to affiliates of either the lender or the </w:t>
      </w:r>
      <w:r w:rsidRPr="00355C65" w:rsidR="00614E67">
        <w:rPr>
          <w:rFonts w:ascii="Times New Roman" w:hAnsi="Times New Roman" w:cs="Times New Roman"/>
          <w:color w:val="000000" w:themeColor="text1"/>
          <w:sz w:val="24"/>
          <w:szCs w:val="24"/>
        </w:rPr>
        <w:t>borrower and</w:t>
      </w:r>
      <w:r w:rsidRPr="00355C65">
        <w:rPr>
          <w:rFonts w:ascii="Times New Roman" w:hAnsi="Times New Roman" w:cs="Times New Roman"/>
          <w:color w:val="000000" w:themeColor="text1"/>
          <w:sz w:val="24"/>
          <w:szCs w:val="24"/>
        </w:rPr>
        <w:t xml:space="preserve"> includes any payment or contribution from the lender directly to the borrower or in support of their </w:t>
      </w:r>
      <w:r w:rsidR="007A1A62">
        <w:rPr>
          <w:rFonts w:ascii="Times New Roman" w:hAnsi="Times New Roman" w:cs="Times New Roman"/>
          <w:color w:val="000000" w:themeColor="text1"/>
          <w:sz w:val="24"/>
          <w:szCs w:val="24"/>
        </w:rPr>
        <w:t xml:space="preserve">borrower’s </w:t>
      </w:r>
      <w:r w:rsidRPr="00355C65">
        <w:rPr>
          <w:rFonts w:ascii="Times New Roman" w:hAnsi="Times New Roman" w:cs="Times New Roman"/>
          <w:color w:val="000000" w:themeColor="text1"/>
          <w:sz w:val="24"/>
          <w:szCs w:val="24"/>
        </w:rPr>
        <w:t>interests. Other than to pay for CNA costs, existing Reserve for Replacement deposits (for HUD held or FHA insured mortgages) are not available for application fees or other transaction costs.</w:t>
      </w:r>
    </w:p>
    <w:p w:rsidRPr="00355C65" w:rsidR="00893299" w:rsidP="006E573A" w:rsidRDefault="00893299" w14:paraId="1A64CA02" w14:textId="6A3F3C8A">
      <w:pPr>
        <w:spacing w:after="48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CNA:  A complete CNA is required in accordance with Appendix 5G.  For projects with a recently completed CNA see Chapter 5.10.D.</w:t>
      </w:r>
    </w:p>
    <w:p w:rsidRPr="00355C65" w:rsidR="006E573A" w:rsidP="006E573A" w:rsidRDefault="006E573A" w14:paraId="5B8555D2" w14:textId="624579FB">
      <w:pPr>
        <w:spacing w:after="480" w:line="276" w:lineRule="auto"/>
        <w:jc w:val="both"/>
        <w:rPr>
          <w:rFonts w:ascii="Times New Roman" w:hAnsi="Times New Roman" w:cs="Times New Roman"/>
          <w:sz w:val="24"/>
          <w:szCs w:val="24"/>
        </w:rPr>
      </w:pPr>
      <w:r w:rsidRPr="00355C65">
        <w:rPr>
          <w:rFonts w:ascii="Times New Roman" w:hAnsi="Times New Roman" w:cs="Times New Roman"/>
          <w:sz w:val="24"/>
          <w:szCs w:val="24"/>
          <w:u w:val="single"/>
        </w:rPr>
        <w:t>Other Issues:</w:t>
      </w:r>
      <w:r w:rsidRPr="00355C65">
        <w:rPr>
          <w:rFonts w:ascii="Times New Roman" w:hAnsi="Times New Roman" w:cs="Times New Roman"/>
          <w:sz w:val="24"/>
          <w:szCs w:val="24"/>
        </w:rPr>
        <w:t xml:space="preserve">     Projects in which the repairs or rehabilitation is extensive enough to require an Environmental </w:t>
      </w:r>
      <w:r w:rsidR="000F14AC">
        <w:rPr>
          <w:rFonts w:ascii="Times New Roman" w:hAnsi="Times New Roman" w:cs="Times New Roman"/>
          <w:sz w:val="24"/>
          <w:szCs w:val="24"/>
        </w:rPr>
        <w:t xml:space="preserve">review above categorical exclusion not subject to the laws and authorities (CENST) (See Chapter 9.1.C.1) </w:t>
      </w:r>
      <w:r w:rsidRPr="00355C65">
        <w:rPr>
          <w:rFonts w:ascii="Times New Roman" w:hAnsi="Times New Roman" w:cs="Times New Roman"/>
          <w:sz w:val="24"/>
          <w:szCs w:val="24"/>
        </w:rPr>
        <w:t xml:space="preserve">or compliance with Davis-Bacon Wages, are not eligible for Section 223(a)(7) refinancing. </w:t>
      </w:r>
    </w:p>
    <w:p w:rsidRPr="00355C65" w:rsidR="006E573A" w:rsidP="006E573A" w:rsidRDefault="006E573A" w14:paraId="5B8555D3" w14:textId="3EE76B63">
      <w:pPr>
        <w:spacing w:after="480" w:line="276" w:lineRule="auto"/>
        <w:jc w:val="both"/>
        <w:rPr>
          <w:rFonts w:ascii="Times New Roman" w:hAnsi="Times New Roman" w:cs="Times New Roman"/>
          <w:sz w:val="24"/>
          <w:szCs w:val="24"/>
        </w:rPr>
      </w:pPr>
      <w:r w:rsidRPr="00355C65">
        <w:rPr>
          <w:rFonts w:ascii="Times New Roman" w:hAnsi="Times New Roman" w:cs="Times New Roman"/>
          <w:sz w:val="24"/>
          <w:szCs w:val="24"/>
        </w:rPr>
        <w:t>An officer of the lender who is an approved signator</w:t>
      </w:r>
      <w:r w:rsidR="00761EB2">
        <w:rPr>
          <w:rFonts w:ascii="Times New Roman" w:hAnsi="Times New Roman" w:cs="Times New Roman"/>
          <w:sz w:val="24"/>
          <w:szCs w:val="24"/>
        </w:rPr>
        <w:t>y</w:t>
      </w:r>
      <w:r w:rsidRPr="00355C65">
        <w:rPr>
          <w:rFonts w:ascii="Times New Roman" w:hAnsi="Times New Roman" w:cs="Times New Roman"/>
          <w:sz w:val="24"/>
          <w:szCs w:val="24"/>
        </w:rPr>
        <w:t xml:space="preserve"> must sign the application.  Site visits and an approved MAP underwriter are generally not required, though the physical condition or other issues in specific transactions may require such a site visit and underwriter review.</w:t>
      </w:r>
    </w:p>
    <w:p w:rsidRPr="00355C65" w:rsidR="006E573A" w:rsidP="006E573A" w:rsidRDefault="006E573A" w14:paraId="5B8555D4" w14:textId="189D05EE">
      <w:pPr>
        <w:spacing w:after="480" w:line="276" w:lineRule="auto"/>
        <w:jc w:val="both"/>
        <w:rPr>
          <w:rFonts w:ascii="Times New Roman" w:hAnsi="Times New Roman" w:cs="Times New Roman"/>
          <w:color w:val="000000" w:themeColor="text1"/>
          <w:sz w:val="24"/>
          <w:szCs w:val="24"/>
        </w:rPr>
      </w:pPr>
      <w:r w:rsidRPr="00355C65">
        <w:rPr>
          <w:rFonts w:ascii="Times New Roman" w:hAnsi="Times New Roman" w:cs="Times New Roman"/>
          <w:sz w:val="24"/>
          <w:szCs w:val="24"/>
        </w:rPr>
        <w:t xml:space="preserve">Prepayment approval must be requested by the servicing mortgagee at the time of the application.  When the refinancing is being performed by a different firm than currently services the loan, a letter accompanying the Firm Commitment application and signed by the borrower to the Servicing lender notifying them of their </w:t>
      </w:r>
      <w:r w:rsidR="00235B09">
        <w:rPr>
          <w:rFonts w:ascii="Times New Roman" w:hAnsi="Times New Roman" w:cs="Times New Roman"/>
          <w:sz w:val="24"/>
          <w:szCs w:val="24"/>
        </w:rPr>
        <w:t xml:space="preserve">borrower’s </w:t>
      </w:r>
      <w:r w:rsidRPr="00355C65">
        <w:rPr>
          <w:rFonts w:ascii="Times New Roman" w:hAnsi="Times New Roman" w:cs="Times New Roman"/>
          <w:sz w:val="24"/>
          <w:szCs w:val="24"/>
        </w:rPr>
        <w:t>intent to refinance and requesting their filing of the HUD form 9807 will be accepted in lieu of the actual request for prepayment approval.</w:t>
      </w:r>
    </w:p>
    <w:p w:rsidR="006E573A" w:rsidP="006E573A" w:rsidRDefault="006E573A" w14:paraId="5B8555D5" w14:textId="77777777">
      <w:pPr>
        <w:pStyle w:val="MAPSubchapterheading"/>
      </w:pPr>
    </w:p>
    <w:p w:rsidRPr="00355C65" w:rsidR="006E573A" w:rsidP="006E573A" w:rsidRDefault="006E573A" w14:paraId="5B8555D6" w14:textId="77777777">
      <w:pPr>
        <w:pStyle w:val="MAPSubchapterheading"/>
      </w:pPr>
      <w:r w:rsidRPr="00355C65">
        <w:t>3.9</w:t>
      </w:r>
      <w:r w:rsidRPr="00355C65">
        <w:tab/>
      </w:r>
      <w:r w:rsidRPr="00355C65">
        <w:tab/>
        <w:t>Property Insurance Requirements</w:t>
      </w:r>
    </w:p>
    <w:p w:rsidRPr="00355C65" w:rsidR="006E573A" w:rsidP="006E573A" w:rsidRDefault="006E573A" w14:paraId="5B8555D7" w14:textId="77777777">
      <w:pPr>
        <w:jc w:val="both"/>
        <w:rPr>
          <w:rFonts w:ascii="Times New Roman" w:hAnsi="Times New Roman" w:cs="Times New Roman"/>
          <w:sz w:val="24"/>
          <w:szCs w:val="24"/>
        </w:rPr>
      </w:pPr>
    </w:p>
    <w:p w:rsidR="006E573A" w:rsidP="006E573A" w:rsidRDefault="006E573A" w14:paraId="5B8555D8" w14:textId="77777777">
      <w:pPr>
        <w:numPr>
          <w:ilvl w:val="0"/>
          <w:numId w:val="25"/>
        </w:numPr>
        <w:spacing w:after="200" w:line="276" w:lineRule="auto"/>
        <w:ind w:left="360"/>
        <w:contextualSpacing/>
        <w:jc w:val="both"/>
        <w:rPr>
          <w:rFonts w:ascii="Times New Roman" w:hAnsi="Times New Roman" w:cs="Times New Roman"/>
          <w:sz w:val="24"/>
          <w:szCs w:val="24"/>
        </w:rPr>
      </w:pPr>
      <w:r w:rsidRPr="00355C65">
        <w:rPr>
          <w:rFonts w:ascii="Times New Roman" w:hAnsi="Times New Roman" w:cs="Times New Roman"/>
          <w:sz w:val="24"/>
          <w:szCs w:val="24"/>
        </w:rPr>
        <w:t>Insurance During Construction.</w:t>
      </w:r>
    </w:p>
    <w:p w:rsidRPr="00355C65" w:rsidR="006E573A" w:rsidP="006E573A" w:rsidRDefault="006E573A" w14:paraId="5B8555D9" w14:textId="77777777">
      <w:pPr>
        <w:spacing w:after="200" w:line="276" w:lineRule="auto"/>
        <w:ind w:left="720"/>
        <w:contextualSpacing/>
        <w:jc w:val="both"/>
        <w:rPr>
          <w:rFonts w:ascii="Times New Roman" w:hAnsi="Times New Roman" w:cs="Times New Roman"/>
          <w:sz w:val="24"/>
          <w:szCs w:val="24"/>
        </w:rPr>
      </w:pPr>
    </w:p>
    <w:p w:rsidRPr="00355C65" w:rsidR="006E573A" w:rsidP="006E573A" w:rsidRDefault="006E573A" w14:paraId="5B8555DA" w14:textId="1951D163">
      <w:pPr>
        <w:ind w:left="1080" w:hanging="360"/>
        <w:jc w:val="both"/>
        <w:rPr>
          <w:rFonts w:ascii="Times New Roman" w:hAnsi="Times New Roman" w:cs="Times New Roman"/>
          <w:sz w:val="24"/>
          <w:szCs w:val="24"/>
        </w:rPr>
      </w:pPr>
      <w:r w:rsidRPr="00355C65">
        <w:rPr>
          <w:rFonts w:ascii="Times New Roman" w:hAnsi="Times New Roman" w:cs="Times New Roman"/>
          <w:sz w:val="24"/>
          <w:szCs w:val="24"/>
        </w:rPr>
        <w:t xml:space="preserve">1. Public Liability Insurance on a Commercial General Liability form with limits of not less than </w:t>
      </w:r>
      <w:r w:rsidR="00487C10">
        <w:rPr>
          <w:rFonts w:ascii="Times New Roman" w:hAnsi="Times New Roman" w:cs="Times New Roman"/>
          <w:sz w:val="24"/>
          <w:szCs w:val="24"/>
        </w:rPr>
        <w:t>$1</w:t>
      </w:r>
      <w:r w:rsidR="000B18E9">
        <w:rPr>
          <w:rFonts w:ascii="Times New Roman" w:hAnsi="Times New Roman" w:cs="Times New Roman"/>
          <w:sz w:val="24"/>
          <w:szCs w:val="24"/>
        </w:rPr>
        <w:t>M</w:t>
      </w:r>
      <w:r w:rsidR="00487C10">
        <w:rPr>
          <w:rFonts w:ascii="Times New Roman" w:hAnsi="Times New Roman" w:cs="Times New Roman"/>
          <w:sz w:val="24"/>
          <w:szCs w:val="24"/>
        </w:rPr>
        <w:t>illion</w:t>
      </w:r>
      <w:r w:rsidRPr="00355C65">
        <w:rPr>
          <w:rFonts w:ascii="Times New Roman" w:hAnsi="Times New Roman" w:cs="Times New Roman"/>
          <w:sz w:val="24"/>
          <w:szCs w:val="24"/>
        </w:rPr>
        <w:t xml:space="preserve"> per occurrence</w:t>
      </w:r>
      <w:r w:rsidR="00487C10">
        <w:rPr>
          <w:rFonts w:ascii="Times New Roman" w:hAnsi="Times New Roman" w:cs="Times New Roman"/>
          <w:sz w:val="24"/>
          <w:szCs w:val="24"/>
        </w:rPr>
        <w:t xml:space="preserve">, $2 </w:t>
      </w:r>
      <w:r w:rsidR="000B18E9">
        <w:rPr>
          <w:rFonts w:ascii="Times New Roman" w:hAnsi="Times New Roman" w:cs="Times New Roman"/>
          <w:sz w:val="24"/>
          <w:szCs w:val="24"/>
        </w:rPr>
        <w:t>M</w:t>
      </w:r>
      <w:r w:rsidR="00487C10">
        <w:rPr>
          <w:rFonts w:ascii="Times New Roman" w:hAnsi="Times New Roman" w:cs="Times New Roman"/>
          <w:sz w:val="24"/>
          <w:szCs w:val="24"/>
        </w:rPr>
        <w:t>illion in the aggregate</w:t>
      </w:r>
      <w:r w:rsidRPr="00355C65">
        <w:rPr>
          <w:rFonts w:ascii="Times New Roman" w:hAnsi="Times New Roman" w:cs="Times New Roman"/>
          <w:sz w:val="24"/>
          <w:szCs w:val="24"/>
        </w:rPr>
        <w:t xml:space="preserve"> to protect the mortgagor during the construction phase from claims involving bodily injury and/or death and damage to the property of others.  Such Commercial General Liability Insurance must be endorsed to include owners' and contractors' protective coverage.</w:t>
      </w:r>
    </w:p>
    <w:p w:rsidRPr="00355C65" w:rsidR="006E573A" w:rsidP="006E573A" w:rsidRDefault="006E573A" w14:paraId="5B8555DB" w14:textId="1B6DEB41">
      <w:pPr>
        <w:ind w:left="1080" w:hanging="360"/>
        <w:jc w:val="both"/>
        <w:rPr>
          <w:rFonts w:ascii="Times New Roman" w:hAnsi="Times New Roman" w:cs="Times New Roman"/>
          <w:sz w:val="24"/>
          <w:szCs w:val="24"/>
        </w:rPr>
      </w:pPr>
      <w:r w:rsidRPr="00355C65">
        <w:rPr>
          <w:rFonts w:ascii="Times New Roman" w:hAnsi="Times New Roman" w:cs="Times New Roman"/>
          <w:sz w:val="24"/>
          <w:szCs w:val="24"/>
        </w:rPr>
        <w:t xml:space="preserve">2. Vehicle Liability Insurance with limits </w:t>
      </w:r>
      <w:r w:rsidR="00487C10">
        <w:rPr>
          <w:rFonts w:ascii="Times New Roman" w:hAnsi="Times New Roman" w:cs="Times New Roman"/>
          <w:sz w:val="24"/>
          <w:szCs w:val="24"/>
        </w:rPr>
        <w:t xml:space="preserve">based on the State </w:t>
      </w:r>
      <w:r w:rsidR="0044316D">
        <w:rPr>
          <w:rFonts w:ascii="Times New Roman" w:hAnsi="Times New Roman" w:cs="Times New Roman"/>
          <w:sz w:val="24"/>
          <w:szCs w:val="24"/>
        </w:rPr>
        <w:t xml:space="preserve">or </w:t>
      </w:r>
      <w:r w:rsidR="00487C10">
        <w:rPr>
          <w:rFonts w:ascii="Times New Roman" w:hAnsi="Times New Roman" w:cs="Times New Roman"/>
          <w:sz w:val="24"/>
          <w:szCs w:val="24"/>
        </w:rPr>
        <w:t xml:space="preserve">the District of Columbia’s minimum required liability coverage or </w:t>
      </w:r>
      <w:r w:rsidRPr="00355C65">
        <w:rPr>
          <w:rFonts w:ascii="Times New Roman" w:hAnsi="Times New Roman" w:cs="Times New Roman"/>
          <w:sz w:val="24"/>
          <w:szCs w:val="24"/>
        </w:rPr>
        <w:t>not less than $300,000 for one person and $500,000 for more than one person</w:t>
      </w:r>
      <w:r w:rsidR="00487C10">
        <w:rPr>
          <w:rFonts w:ascii="Times New Roman" w:hAnsi="Times New Roman" w:cs="Times New Roman"/>
          <w:sz w:val="24"/>
          <w:szCs w:val="24"/>
        </w:rPr>
        <w:t xml:space="preserve">, whichever is greater </w:t>
      </w:r>
      <w:r w:rsidRPr="00355C65">
        <w:rPr>
          <w:rFonts w:ascii="Times New Roman" w:hAnsi="Times New Roman" w:cs="Times New Roman"/>
          <w:sz w:val="24"/>
          <w:szCs w:val="24"/>
        </w:rPr>
        <w:t>to protect the mortgagor for claims for bodily injury and/or death, and not less than $100,000 against claims for damage to property of others arising from the owner's operation of vehicles.  Such insurance must include coverage for employer's owned, non-owned and/or hi</w:t>
      </w:r>
      <w:r>
        <w:rPr>
          <w:rFonts w:ascii="Times New Roman" w:hAnsi="Times New Roman" w:cs="Times New Roman"/>
          <w:sz w:val="24"/>
          <w:szCs w:val="24"/>
        </w:rPr>
        <w:t>red vehicles, where applicable.</w:t>
      </w:r>
    </w:p>
    <w:p w:rsidR="00487C10" w:rsidP="00487C10" w:rsidRDefault="006E573A" w14:paraId="5A527CA4" w14:textId="249EF8B2">
      <w:pPr>
        <w:numPr>
          <w:ilvl w:val="0"/>
          <w:numId w:val="15"/>
        </w:numPr>
        <w:spacing w:after="200" w:line="276" w:lineRule="auto"/>
        <w:contextualSpacing/>
        <w:jc w:val="both"/>
        <w:rPr>
          <w:rFonts w:ascii="Times New Roman" w:hAnsi="Times New Roman" w:cs="Times New Roman"/>
          <w:sz w:val="24"/>
          <w:szCs w:val="24"/>
        </w:rPr>
      </w:pPr>
      <w:r w:rsidRPr="00355C65">
        <w:rPr>
          <w:rFonts w:ascii="Times New Roman" w:hAnsi="Times New Roman" w:cs="Times New Roman"/>
          <w:sz w:val="24"/>
          <w:szCs w:val="24"/>
        </w:rPr>
        <w:t xml:space="preserve">For properties in a Special Flood Hazard Area </w:t>
      </w:r>
      <w:r w:rsidR="00487C10">
        <w:rPr>
          <w:rFonts w:ascii="Times New Roman" w:hAnsi="Times New Roman" w:cs="Times New Roman"/>
          <w:sz w:val="24"/>
          <w:szCs w:val="24"/>
        </w:rPr>
        <w:t xml:space="preserve">(SFHA) </w:t>
      </w:r>
      <w:r w:rsidRPr="00355C65">
        <w:rPr>
          <w:rFonts w:ascii="Times New Roman" w:hAnsi="Times New Roman" w:cs="Times New Roman"/>
          <w:sz w:val="24"/>
          <w:szCs w:val="24"/>
        </w:rPr>
        <w:t xml:space="preserve">on a FEMA Flood Insurance Rate Map, flood insurance is required during construction when the property becomes insurable, and upon completion, in the amount required </w:t>
      </w:r>
      <w:r w:rsidR="00487C10">
        <w:rPr>
          <w:rFonts w:ascii="Times New Roman" w:hAnsi="Times New Roman" w:cs="Times New Roman"/>
          <w:sz w:val="24"/>
          <w:szCs w:val="24"/>
        </w:rPr>
        <w:t xml:space="preserve">per Section 102(a) of </w:t>
      </w:r>
      <w:r w:rsidRPr="00355C65">
        <w:rPr>
          <w:rFonts w:ascii="Times New Roman" w:hAnsi="Times New Roman" w:cs="Times New Roman"/>
          <w:sz w:val="24"/>
          <w:szCs w:val="24"/>
        </w:rPr>
        <w:t>by the Flood Disaster Protection Act of 1973</w:t>
      </w:r>
      <w:r w:rsidR="00487C10">
        <w:rPr>
          <w:rFonts w:ascii="Times New Roman" w:hAnsi="Times New Roman" w:cs="Times New Roman"/>
          <w:sz w:val="24"/>
          <w:szCs w:val="24"/>
        </w:rPr>
        <w:t xml:space="preserve"> (42 USC </w:t>
      </w:r>
      <w:r w:rsidR="008A68CB">
        <w:rPr>
          <w:rFonts w:ascii="Times New Roman" w:hAnsi="Times New Roman" w:cs="Times New Roman"/>
          <w:sz w:val="24"/>
          <w:szCs w:val="24"/>
        </w:rPr>
        <w:t>4012a</w:t>
      </w:r>
      <w:r w:rsidR="006B0959">
        <w:rPr>
          <w:rFonts w:ascii="Times New Roman" w:hAnsi="Times New Roman" w:cs="Times New Roman"/>
          <w:sz w:val="24"/>
          <w:szCs w:val="24"/>
        </w:rPr>
        <w:t>(a)</w:t>
      </w:r>
      <w:r w:rsidR="00487C10">
        <w:rPr>
          <w:rFonts w:ascii="Times New Roman" w:hAnsi="Times New Roman" w:cs="Times New Roman"/>
          <w:sz w:val="24"/>
          <w:szCs w:val="24"/>
        </w:rPr>
        <w:t>).  For each improved structure located in a SFHA, HUD insurance requirements may go beyond the statutory minimum.</w:t>
      </w:r>
    </w:p>
    <w:p w:rsidR="00487C10" w:rsidP="00487C10" w:rsidRDefault="00487C10" w14:paraId="2C927F87" w14:textId="01B78029">
      <w:pPr>
        <w:ind w:left="1170" w:hanging="90"/>
        <w:jc w:val="both"/>
        <w:rPr>
          <w:rFonts w:ascii="Times New Roman" w:hAnsi="Times New Roman" w:cs="Times New Roman"/>
          <w:sz w:val="24"/>
          <w:szCs w:val="24"/>
        </w:rPr>
      </w:pPr>
      <w:r w:rsidRPr="00487C10">
        <w:rPr>
          <w:rFonts w:ascii="Times New Roman" w:hAnsi="Times New Roman" w:cs="Times New Roman"/>
          <w:sz w:val="24"/>
          <w:szCs w:val="24"/>
        </w:rPr>
        <w:t xml:space="preserve"> </w:t>
      </w:r>
      <w:r>
        <w:rPr>
          <w:rFonts w:ascii="Times New Roman" w:hAnsi="Times New Roman" w:cs="Times New Roman"/>
          <w:sz w:val="24"/>
          <w:szCs w:val="24"/>
        </w:rPr>
        <w:t>HUD requires flood insurance in an amount at least equal to the greater of:</w:t>
      </w:r>
    </w:p>
    <w:p w:rsidR="00487C10" w:rsidP="00487C10" w:rsidRDefault="00487C10" w14:paraId="0B331FE9" w14:textId="32460A1A">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 The maximum flood insurance available for that type of property under the   National Flood Insurance Program (NFIP); or</w:t>
      </w:r>
    </w:p>
    <w:p w:rsidRPr="0023547C" w:rsidR="006E573A" w:rsidP="0023547C" w:rsidRDefault="00487C10" w14:paraId="5B8555DC" w14:textId="435BD428">
      <w:pPr>
        <w:pStyle w:val="ListParagraph"/>
        <w:numPr>
          <w:ilvl w:val="0"/>
          <w:numId w:val="45"/>
        </w:numPr>
        <w:jc w:val="both"/>
        <w:rPr>
          <w:rFonts w:ascii="Times New Roman" w:hAnsi="Times New Roman" w:cs="Times New Roman"/>
          <w:sz w:val="24"/>
          <w:szCs w:val="24"/>
        </w:rPr>
      </w:pPr>
      <w:r w:rsidRPr="0023547C">
        <w:rPr>
          <w:rFonts w:ascii="Times New Roman" w:hAnsi="Times New Roman" w:cs="Times New Roman"/>
          <w:sz w:val="24"/>
          <w:szCs w:val="24"/>
        </w:rPr>
        <w:t>An amount equal to the replacement cost of the bottom two stories above grade, as determined by HUD form 92329, or equivalent.</w:t>
      </w:r>
    </w:p>
    <w:p w:rsidRPr="00355C65" w:rsidR="006E573A" w:rsidP="006E573A" w:rsidRDefault="006E573A" w14:paraId="5B8555DD" w14:textId="77777777">
      <w:pPr>
        <w:jc w:val="both"/>
        <w:rPr>
          <w:rFonts w:ascii="Times New Roman" w:hAnsi="Times New Roman" w:cs="Times New Roman"/>
          <w:sz w:val="24"/>
          <w:szCs w:val="24"/>
        </w:rPr>
      </w:pPr>
    </w:p>
    <w:p w:rsidR="006E573A" w:rsidP="006E573A" w:rsidRDefault="006E573A" w14:paraId="5B8555DE" w14:textId="77777777">
      <w:pPr>
        <w:numPr>
          <w:ilvl w:val="0"/>
          <w:numId w:val="25"/>
        </w:numPr>
        <w:spacing w:after="200" w:line="276" w:lineRule="auto"/>
        <w:ind w:left="360"/>
        <w:contextualSpacing/>
        <w:jc w:val="both"/>
        <w:rPr>
          <w:rFonts w:ascii="Times New Roman" w:hAnsi="Times New Roman" w:cs="Times New Roman"/>
          <w:sz w:val="24"/>
          <w:szCs w:val="24"/>
        </w:rPr>
      </w:pPr>
      <w:r w:rsidRPr="00355C65">
        <w:rPr>
          <w:rFonts w:ascii="Times New Roman" w:hAnsi="Times New Roman" w:cs="Times New Roman"/>
          <w:sz w:val="24"/>
          <w:szCs w:val="24"/>
        </w:rPr>
        <w:t>Permanent Insurance. Upon acceptance of the project, or any portion thereof from the contractor, the lender must provide a certified duplicate copy of the following insurance coverage.  In some instances, continuation of the insurance obtained for the construction period, with proper endorsements thereto, will be acceptable.  In any event, the lender must assure that there is no gap period in insurance protection during the transition from the Insurance During Construction to the Permanent Insurance.</w:t>
      </w:r>
    </w:p>
    <w:p w:rsidRPr="00355C65" w:rsidR="006E573A" w:rsidP="006E573A" w:rsidRDefault="006E573A" w14:paraId="5B8555DF" w14:textId="77777777">
      <w:pPr>
        <w:spacing w:after="200" w:line="276" w:lineRule="auto"/>
        <w:ind w:left="720"/>
        <w:contextualSpacing/>
        <w:jc w:val="both"/>
        <w:rPr>
          <w:rFonts w:ascii="Times New Roman" w:hAnsi="Times New Roman" w:cs="Times New Roman"/>
          <w:sz w:val="24"/>
          <w:szCs w:val="24"/>
        </w:rPr>
      </w:pPr>
    </w:p>
    <w:p w:rsidRPr="00355C65" w:rsidR="006E573A" w:rsidP="006E573A" w:rsidRDefault="006E573A" w14:paraId="5B8555E0" w14:textId="62E6E3A5">
      <w:pPr>
        <w:ind w:left="1170" w:hanging="360"/>
        <w:jc w:val="both"/>
        <w:rPr>
          <w:rFonts w:ascii="Times New Roman" w:hAnsi="Times New Roman" w:cs="Times New Roman"/>
          <w:sz w:val="24"/>
          <w:szCs w:val="24"/>
        </w:rPr>
      </w:pPr>
      <w:r w:rsidRPr="00355C65">
        <w:rPr>
          <w:rFonts w:ascii="Times New Roman" w:hAnsi="Times New Roman" w:cs="Times New Roman"/>
          <w:sz w:val="24"/>
          <w:szCs w:val="24"/>
        </w:rPr>
        <w:t xml:space="preserve">1. Public Liability Insurance on a Commercial General Liability form with not less than </w:t>
      </w:r>
      <w:r w:rsidR="00241ABE">
        <w:rPr>
          <w:rFonts w:ascii="Times New Roman" w:hAnsi="Times New Roman" w:cs="Times New Roman"/>
          <w:sz w:val="24"/>
          <w:szCs w:val="24"/>
        </w:rPr>
        <w:t xml:space="preserve">$1 </w:t>
      </w:r>
      <w:r w:rsidR="000B18E9">
        <w:rPr>
          <w:rFonts w:ascii="Times New Roman" w:hAnsi="Times New Roman" w:cs="Times New Roman"/>
          <w:sz w:val="24"/>
          <w:szCs w:val="24"/>
        </w:rPr>
        <w:t>M</w:t>
      </w:r>
      <w:r w:rsidR="00241ABE">
        <w:rPr>
          <w:rFonts w:ascii="Times New Roman" w:hAnsi="Times New Roman" w:cs="Times New Roman"/>
          <w:sz w:val="24"/>
          <w:szCs w:val="24"/>
        </w:rPr>
        <w:t xml:space="preserve">illion </w:t>
      </w:r>
      <w:r w:rsidRPr="00355C65">
        <w:rPr>
          <w:rFonts w:ascii="Times New Roman" w:hAnsi="Times New Roman" w:cs="Times New Roman"/>
          <w:sz w:val="24"/>
          <w:szCs w:val="24"/>
        </w:rPr>
        <w:t xml:space="preserve">per occurrence </w:t>
      </w:r>
      <w:r w:rsidR="00241ABE">
        <w:rPr>
          <w:rFonts w:ascii="Times New Roman" w:hAnsi="Times New Roman" w:cs="Times New Roman"/>
          <w:sz w:val="24"/>
          <w:szCs w:val="24"/>
        </w:rPr>
        <w:t xml:space="preserve">and $2 </w:t>
      </w:r>
      <w:r w:rsidR="000B18E9">
        <w:rPr>
          <w:rFonts w:ascii="Times New Roman" w:hAnsi="Times New Roman" w:cs="Times New Roman"/>
          <w:sz w:val="24"/>
          <w:szCs w:val="24"/>
        </w:rPr>
        <w:t>M</w:t>
      </w:r>
      <w:r w:rsidR="00241ABE">
        <w:rPr>
          <w:rFonts w:ascii="Times New Roman" w:hAnsi="Times New Roman" w:cs="Times New Roman"/>
          <w:sz w:val="24"/>
          <w:szCs w:val="24"/>
        </w:rPr>
        <w:t xml:space="preserve">illion in the aggregate, </w:t>
      </w:r>
      <w:r w:rsidRPr="00355C65">
        <w:rPr>
          <w:rFonts w:ascii="Times New Roman" w:hAnsi="Times New Roman" w:cs="Times New Roman"/>
          <w:sz w:val="24"/>
          <w:szCs w:val="24"/>
        </w:rPr>
        <w:t>to protect the mortgag</w:t>
      </w:r>
      <w:r w:rsidR="00DA134B">
        <w:rPr>
          <w:rFonts w:ascii="Times New Roman" w:hAnsi="Times New Roman" w:cs="Times New Roman"/>
          <w:sz w:val="24"/>
          <w:szCs w:val="24"/>
        </w:rPr>
        <w:t>or</w:t>
      </w:r>
      <w:r w:rsidRPr="00355C65">
        <w:rPr>
          <w:rFonts w:ascii="Times New Roman" w:hAnsi="Times New Roman" w:cs="Times New Roman"/>
          <w:sz w:val="24"/>
          <w:szCs w:val="24"/>
        </w:rPr>
        <w:t xml:space="preserve"> from claims involving bodily injury and/or death and property damage </w:t>
      </w:r>
      <w:r w:rsidR="003D6160">
        <w:rPr>
          <w:rFonts w:ascii="Times New Roman" w:hAnsi="Times New Roman" w:cs="Times New Roman"/>
          <w:sz w:val="24"/>
          <w:szCs w:val="24"/>
        </w:rPr>
        <w:t>that</w:t>
      </w:r>
      <w:r w:rsidRPr="00355C65" w:rsidR="003D6160">
        <w:rPr>
          <w:rFonts w:ascii="Times New Roman" w:hAnsi="Times New Roman" w:cs="Times New Roman"/>
          <w:sz w:val="24"/>
          <w:szCs w:val="24"/>
        </w:rPr>
        <w:t xml:space="preserve"> </w:t>
      </w:r>
      <w:r w:rsidRPr="00355C65">
        <w:rPr>
          <w:rFonts w:ascii="Times New Roman" w:hAnsi="Times New Roman" w:cs="Times New Roman"/>
          <w:sz w:val="24"/>
          <w:szCs w:val="24"/>
        </w:rPr>
        <w:t>may arise from the mortgag</w:t>
      </w:r>
      <w:r w:rsidR="00DA134B">
        <w:rPr>
          <w:rFonts w:ascii="Times New Roman" w:hAnsi="Times New Roman" w:cs="Times New Roman"/>
          <w:sz w:val="24"/>
          <w:szCs w:val="24"/>
        </w:rPr>
        <w:t>or</w:t>
      </w:r>
      <w:r w:rsidRPr="00355C65">
        <w:rPr>
          <w:rFonts w:ascii="Times New Roman" w:hAnsi="Times New Roman" w:cs="Times New Roman"/>
          <w:sz w:val="24"/>
          <w:szCs w:val="24"/>
        </w:rPr>
        <w:t>’s operations, including any use or occupancy of its facilities, grounds and structures, and must include independent contractors coverage, where applicable.</w:t>
      </w:r>
    </w:p>
    <w:p w:rsidRPr="00355C65" w:rsidR="006E573A" w:rsidP="006E573A" w:rsidRDefault="006E573A" w14:paraId="5B8555E1" w14:textId="4EB81246">
      <w:pPr>
        <w:ind w:left="1170" w:hanging="360"/>
        <w:jc w:val="both"/>
        <w:rPr>
          <w:rFonts w:ascii="Times New Roman" w:hAnsi="Times New Roman" w:cs="Times New Roman"/>
          <w:sz w:val="24"/>
          <w:szCs w:val="24"/>
        </w:rPr>
      </w:pPr>
      <w:r w:rsidRPr="00355C65">
        <w:rPr>
          <w:rFonts w:ascii="Times New Roman" w:hAnsi="Times New Roman" w:cs="Times New Roman"/>
          <w:sz w:val="24"/>
          <w:szCs w:val="24"/>
        </w:rPr>
        <w:t>2. Vehicle Liability Insurance.  If the mortgag</w:t>
      </w:r>
      <w:r w:rsidR="0006004F">
        <w:rPr>
          <w:rFonts w:ascii="Times New Roman" w:hAnsi="Times New Roman" w:cs="Times New Roman"/>
          <w:sz w:val="24"/>
          <w:szCs w:val="24"/>
        </w:rPr>
        <w:t>or</w:t>
      </w:r>
      <w:r w:rsidRPr="00355C65">
        <w:rPr>
          <w:rFonts w:ascii="Times New Roman" w:hAnsi="Times New Roman" w:cs="Times New Roman"/>
          <w:sz w:val="24"/>
          <w:szCs w:val="24"/>
        </w:rPr>
        <w:t xml:space="preserve"> owns a vehicle in the operation of the project, including non-owned and/or hired vehicles operated for the benefit of the mortgag</w:t>
      </w:r>
      <w:r w:rsidR="00C004CE">
        <w:rPr>
          <w:rFonts w:ascii="Times New Roman" w:hAnsi="Times New Roman" w:cs="Times New Roman"/>
          <w:sz w:val="24"/>
          <w:szCs w:val="24"/>
        </w:rPr>
        <w:t>or</w:t>
      </w:r>
      <w:r w:rsidRPr="00355C65">
        <w:rPr>
          <w:rFonts w:ascii="Times New Roman" w:hAnsi="Times New Roman" w:cs="Times New Roman"/>
          <w:sz w:val="24"/>
          <w:szCs w:val="24"/>
        </w:rPr>
        <w:t>, the mortgag</w:t>
      </w:r>
      <w:r w:rsidR="00C004CE">
        <w:rPr>
          <w:rFonts w:ascii="Times New Roman" w:hAnsi="Times New Roman" w:cs="Times New Roman"/>
          <w:sz w:val="24"/>
          <w:szCs w:val="24"/>
        </w:rPr>
        <w:t>or</w:t>
      </w:r>
      <w:r w:rsidRPr="00355C65">
        <w:rPr>
          <w:rFonts w:ascii="Times New Roman" w:hAnsi="Times New Roman" w:cs="Times New Roman"/>
          <w:sz w:val="24"/>
          <w:szCs w:val="24"/>
        </w:rPr>
        <w:t xml:space="preserve"> must maintain Vehicle Liability Insurance.  Such insurance must provide for limits of liability </w:t>
      </w:r>
      <w:r w:rsidR="00241ABE">
        <w:rPr>
          <w:rFonts w:ascii="Times New Roman" w:hAnsi="Times New Roman" w:cs="Times New Roman"/>
          <w:sz w:val="24"/>
          <w:szCs w:val="24"/>
        </w:rPr>
        <w:t xml:space="preserve">based on the State </w:t>
      </w:r>
      <w:r w:rsidR="00BA4501">
        <w:rPr>
          <w:rFonts w:ascii="Times New Roman" w:hAnsi="Times New Roman" w:cs="Times New Roman"/>
          <w:sz w:val="24"/>
          <w:szCs w:val="24"/>
        </w:rPr>
        <w:t xml:space="preserve">or </w:t>
      </w:r>
      <w:r w:rsidR="00241ABE">
        <w:rPr>
          <w:rFonts w:ascii="Times New Roman" w:hAnsi="Times New Roman" w:cs="Times New Roman"/>
          <w:sz w:val="24"/>
          <w:szCs w:val="24"/>
        </w:rPr>
        <w:t xml:space="preserve">the District of Columbia’s minimum required liability coverage amounts or </w:t>
      </w:r>
      <w:r w:rsidRPr="00355C65">
        <w:rPr>
          <w:rFonts w:ascii="Times New Roman" w:hAnsi="Times New Roman" w:cs="Times New Roman"/>
          <w:sz w:val="24"/>
          <w:szCs w:val="24"/>
        </w:rPr>
        <w:t>not less than $300,000 for one person and $500,000 for more than one person</w:t>
      </w:r>
      <w:r w:rsidR="00241ABE">
        <w:rPr>
          <w:rFonts w:ascii="Times New Roman" w:hAnsi="Times New Roman" w:cs="Times New Roman"/>
          <w:sz w:val="24"/>
          <w:szCs w:val="24"/>
        </w:rPr>
        <w:t>, whichever is greater,</w:t>
      </w:r>
      <w:r w:rsidRPr="00355C65">
        <w:rPr>
          <w:rFonts w:ascii="Times New Roman" w:hAnsi="Times New Roman" w:cs="Times New Roman"/>
          <w:sz w:val="24"/>
          <w:szCs w:val="24"/>
        </w:rPr>
        <w:t xml:space="preserve"> to protect the mortgag</w:t>
      </w:r>
      <w:r w:rsidR="00C004CE">
        <w:rPr>
          <w:rFonts w:ascii="Times New Roman" w:hAnsi="Times New Roman" w:cs="Times New Roman"/>
          <w:sz w:val="24"/>
          <w:szCs w:val="24"/>
        </w:rPr>
        <w:t>or</w:t>
      </w:r>
      <w:r w:rsidRPr="00355C65">
        <w:rPr>
          <w:rFonts w:ascii="Times New Roman" w:hAnsi="Times New Roman" w:cs="Times New Roman"/>
          <w:sz w:val="24"/>
          <w:szCs w:val="24"/>
        </w:rPr>
        <w:t xml:space="preserve"> from claims for bodily injury and/or death, and not less than $100,000 against claims for damage to property of others.</w:t>
      </w:r>
    </w:p>
    <w:p w:rsidR="006E573A" w:rsidP="006E573A" w:rsidRDefault="006E573A" w14:paraId="5B8555E2" w14:textId="4E30F74C">
      <w:pPr>
        <w:ind w:left="1170" w:hanging="360"/>
        <w:jc w:val="both"/>
        <w:rPr>
          <w:rFonts w:ascii="Times New Roman" w:hAnsi="Times New Roman" w:cs="Times New Roman"/>
          <w:sz w:val="24"/>
          <w:szCs w:val="24"/>
        </w:rPr>
      </w:pPr>
      <w:r w:rsidRPr="00355C65">
        <w:rPr>
          <w:rFonts w:ascii="Times New Roman" w:hAnsi="Times New Roman" w:cs="Times New Roman"/>
          <w:sz w:val="24"/>
          <w:szCs w:val="24"/>
        </w:rPr>
        <w:t>3.  For properties in a Special Flood Hazard Area</w:t>
      </w:r>
      <w:r w:rsidR="00241ABE">
        <w:rPr>
          <w:rFonts w:ascii="Times New Roman" w:hAnsi="Times New Roman" w:cs="Times New Roman"/>
          <w:sz w:val="24"/>
          <w:szCs w:val="24"/>
        </w:rPr>
        <w:t xml:space="preserve"> (SFHA)</w:t>
      </w:r>
      <w:r w:rsidRPr="00355C65">
        <w:rPr>
          <w:rFonts w:ascii="Times New Roman" w:hAnsi="Times New Roman" w:cs="Times New Roman"/>
          <w:sz w:val="24"/>
          <w:szCs w:val="24"/>
        </w:rPr>
        <w:t xml:space="preserve"> on a FEMA Flood Insurance Rate Map, flood insurance is required during construction when the property becomes insurable, and upon completion, in the amount required</w:t>
      </w:r>
      <w:r w:rsidR="00241ABE">
        <w:rPr>
          <w:rFonts w:ascii="Times New Roman" w:hAnsi="Times New Roman" w:cs="Times New Roman"/>
          <w:sz w:val="24"/>
          <w:szCs w:val="24"/>
        </w:rPr>
        <w:t xml:space="preserve"> per Section 102(a) of </w:t>
      </w:r>
      <w:r w:rsidRPr="00355C65">
        <w:rPr>
          <w:rFonts w:ascii="Times New Roman" w:hAnsi="Times New Roman" w:cs="Times New Roman"/>
          <w:sz w:val="24"/>
          <w:szCs w:val="24"/>
        </w:rPr>
        <w:t>the Flood Disaster Protection Act of 1973</w:t>
      </w:r>
      <w:r w:rsidR="00241ABE">
        <w:rPr>
          <w:rFonts w:ascii="Times New Roman" w:hAnsi="Times New Roman" w:cs="Times New Roman"/>
          <w:sz w:val="24"/>
          <w:szCs w:val="24"/>
        </w:rPr>
        <w:t xml:space="preserve"> (42 USC </w:t>
      </w:r>
      <w:r w:rsidR="00252004">
        <w:rPr>
          <w:rFonts w:ascii="Times New Roman" w:hAnsi="Times New Roman" w:cs="Times New Roman"/>
          <w:sz w:val="24"/>
          <w:szCs w:val="24"/>
        </w:rPr>
        <w:t>4012a(a)</w:t>
      </w:r>
      <w:r w:rsidR="00241ABE">
        <w:rPr>
          <w:rFonts w:ascii="Times New Roman" w:hAnsi="Times New Roman" w:cs="Times New Roman"/>
          <w:sz w:val="24"/>
          <w:szCs w:val="24"/>
        </w:rPr>
        <w:t>).  For each improved structure located in a SFHA, HUD insurance requirements may go beyond the statutory minimum.</w:t>
      </w:r>
    </w:p>
    <w:p w:rsidR="00241ABE" w:rsidP="006E573A" w:rsidRDefault="00241ABE" w14:paraId="45B4AA37" w14:textId="3EF2EBF4">
      <w:pPr>
        <w:ind w:left="1170" w:hanging="360"/>
        <w:jc w:val="both"/>
        <w:rPr>
          <w:rFonts w:ascii="Times New Roman" w:hAnsi="Times New Roman" w:cs="Times New Roman"/>
          <w:sz w:val="24"/>
          <w:szCs w:val="24"/>
        </w:rPr>
      </w:pPr>
    </w:p>
    <w:p w:rsidR="00241ABE" w:rsidP="006E573A" w:rsidRDefault="00241ABE" w14:paraId="0852BFAB" w14:textId="16E051E9">
      <w:pPr>
        <w:ind w:left="1170" w:hanging="360"/>
        <w:jc w:val="both"/>
        <w:rPr>
          <w:rFonts w:ascii="Times New Roman" w:hAnsi="Times New Roman" w:cs="Times New Roman"/>
          <w:sz w:val="24"/>
          <w:szCs w:val="24"/>
        </w:rPr>
      </w:pPr>
      <w:r>
        <w:rPr>
          <w:rFonts w:ascii="Times New Roman" w:hAnsi="Times New Roman" w:cs="Times New Roman"/>
          <w:sz w:val="24"/>
          <w:szCs w:val="24"/>
        </w:rPr>
        <w:tab/>
        <w:t>HUD requires flood insurance in an amount at least equal to the greater of:</w:t>
      </w:r>
    </w:p>
    <w:p w:rsidRPr="00955AD3" w:rsidR="00241ABE" w:rsidP="0087052D" w:rsidRDefault="00241ABE" w14:paraId="36B31B15" w14:textId="29E9556F">
      <w:pPr>
        <w:pStyle w:val="ListParagraph"/>
        <w:numPr>
          <w:ilvl w:val="0"/>
          <w:numId w:val="47"/>
        </w:numPr>
        <w:ind w:left="1530"/>
        <w:jc w:val="both"/>
        <w:rPr>
          <w:rFonts w:ascii="Times New Roman" w:hAnsi="Times New Roman" w:cs="Times New Roman"/>
          <w:sz w:val="24"/>
          <w:szCs w:val="24"/>
        </w:rPr>
      </w:pPr>
      <w:r w:rsidRPr="00955AD3">
        <w:rPr>
          <w:rFonts w:ascii="Times New Roman" w:hAnsi="Times New Roman" w:cs="Times New Roman"/>
          <w:sz w:val="24"/>
          <w:szCs w:val="24"/>
        </w:rPr>
        <w:t xml:space="preserve">The maximum flood insurance available for that type of property under the National Flood Insurance Program (NFIP); or </w:t>
      </w:r>
    </w:p>
    <w:p w:rsidRPr="0023547C" w:rsidR="00241ABE" w:rsidP="0087052D" w:rsidRDefault="00241ABE" w14:paraId="499D255A" w14:textId="478BFE84">
      <w:pPr>
        <w:pStyle w:val="ListParagraph"/>
        <w:numPr>
          <w:ilvl w:val="0"/>
          <w:numId w:val="47"/>
        </w:numPr>
        <w:ind w:left="1530"/>
        <w:jc w:val="both"/>
        <w:rPr>
          <w:rFonts w:ascii="Times New Roman" w:hAnsi="Times New Roman" w:cs="Times New Roman"/>
          <w:sz w:val="24"/>
          <w:szCs w:val="24"/>
        </w:rPr>
      </w:pPr>
      <w:r>
        <w:rPr>
          <w:rFonts w:ascii="Times New Roman" w:hAnsi="Times New Roman" w:cs="Times New Roman"/>
          <w:sz w:val="24"/>
          <w:szCs w:val="24"/>
        </w:rPr>
        <w:t xml:space="preserve">An amount equal to the replacement cost of the bottom </w:t>
      </w:r>
      <w:r w:rsidR="009B4300">
        <w:rPr>
          <w:rFonts w:ascii="Times New Roman" w:hAnsi="Times New Roman" w:cs="Times New Roman"/>
          <w:sz w:val="24"/>
          <w:szCs w:val="24"/>
        </w:rPr>
        <w:t>two</w:t>
      </w:r>
      <w:r>
        <w:rPr>
          <w:rFonts w:ascii="Times New Roman" w:hAnsi="Times New Roman" w:cs="Times New Roman"/>
          <w:sz w:val="24"/>
          <w:szCs w:val="24"/>
        </w:rPr>
        <w:t xml:space="preserve"> stories above </w:t>
      </w:r>
      <w:r w:rsidR="002215BE">
        <w:rPr>
          <w:rFonts w:ascii="Times New Roman" w:hAnsi="Times New Roman" w:cs="Times New Roman"/>
          <w:sz w:val="24"/>
          <w:szCs w:val="24"/>
        </w:rPr>
        <w:t>g</w:t>
      </w:r>
      <w:r w:rsidR="00F24D1D">
        <w:rPr>
          <w:rFonts w:ascii="Times New Roman" w:hAnsi="Times New Roman" w:cs="Times New Roman"/>
          <w:sz w:val="24"/>
          <w:szCs w:val="24"/>
        </w:rPr>
        <w:t>rade</w:t>
      </w:r>
      <w:r>
        <w:rPr>
          <w:rFonts w:ascii="Times New Roman" w:hAnsi="Times New Roman" w:cs="Times New Roman"/>
          <w:sz w:val="24"/>
          <w:szCs w:val="24"/>
        </w:rPr>
        <w:t>, as determined by UD form 92329, or equivalent.</w:t>
      </w:r>
    </w:p>
    <w:p w:rsidRPr="00355C65" w:rsidR="006E573A" w:rsidP="006E573A" w:rsidRDefault="006E573A" w14:paraId="5B8555E3" w14:textId="77777777">
      <w:pPr>
        <w:ind w:left="1170" w:hanging="360"/>
        <w:jc w:val="both"/>
        <w:rPr>
          <w:rFonts w:ascii="Times New Roman" w:hAnsi="Times New Roman" w:cs="Times New Roman"/>
          <w:sz w:val="24"/>
          <w:szCs w:val="24"/>
        </w:rPr>
      </w:pPr>
    </w:p>
    <w:p w:rsidR="006E573A" w:rsidP="006E573A" w:rsidRDefault="006E573A" w14:paraId="5B8555E4" w14:textId="77777777">
      <w:pPr>
        <w:numPr>
          <w:ilvl w:val="0"/>
          <w:numId w:val="15"/>
        </w:numPr>
        <w:spacing w:after="200" w:line="276" w:lineRule="auto"/>
        <w:ind w:left="1170"/>
        <w:contextualSpacing/>
        <w:jc w:val="both"/>
        <w:rPr>
          <w:rFonts w:ascii="Times New Roman" w:hAnsi="Times New Roman" w:cs="Times New Roman"/>
          <w:sz w:val="24"/>
          <w:szCs w:val="24"/>
        </w:rPr>
      </w:pPr>
      <w:r w:rsidRPr="00355C65">
        <w:rPr>
          <w:rFonts w:ascii="Times New Roman" w:hAnsi="Times New Roman" w:cs="Times New Roman"/>
          <w:sz w:val="24"/>
          <w:szCs w:val="24"/>
        </w:rPr>
        <w:t>Casualty Insurance.</w:t>
      </w:r>
    </w:p>
    <w:p w:rsidRPr="00355C65" w:rsidR="006E573A" w:rsidP="0023547C" w:rsidRDefault="006E573A" w14:paraId="5B8555E5" w14:textId="77777777">
      <w:pPr>
        <w:spacing w:after="200" w:line="276" w:lineRule="auto"/>
        <w:contextualSpacing/>
        <w:jc w:val="both"/>
        <w:rPr>
          <w:rFonts w:ascii="Times New Roman" w:hAnsi="Times New Roman" w:cs="Times New Roman"/>
          <w:sz w:val="24"/>
          <w:szCs w:val="24"/>
        </w:rPr>
      </w:pPr>
    </w:p>
    <w:p w:rsidR="006E573A" w:rsidP="006E573A" w:rsidRDefault="006E573A" w14:paraId="5B8555E6" w14:textId="747AE24B">
      <w:pPr>
        <w:ind w:left="1170"/>
        <w:jc w:val="both"/>
        <w:rPr>
          <w:rFonts w:ascii="Times New Roman" w:hAnsi="Times New Roman" w:cs="Times New Roman"/>
          <w:sz w:val="24"/>
          <w:szCs w:val="24"/>
        </w:rPr>
      </w:pPr>
      <w:r w:rsidRPr="00355C65">
        <w:rPr>
          <w:rFonts w:ascii="Times New Roman" w:hAnsi="Times New Roman" w:cs="Times New Roman"/>
          <w:sz w:val="24"/>
          <w:szCs w:val="24"/>
        </w:rPr>
        <w:t xml:space="preserve">Also known as “fire and extended coverage” is insurance to protect </w:t>
      </w:r>
      <w:r>
        <w:rPr>
          <w:rFonts w:ascii="Times New Roman" w:hAnsi="Times New Roman" w:cs="Times New Roman"/>
          <w:sz w:val="24"/>
          <w:szCs w:val="24"/>
        </w:rPr>
        <w:t xml:space="preserve">borrowers (and lenders and HUD) </w:t>
      </w:r>
      <w:r w:rsidRPr="00355C65">
        <w:rPr>
          <w:rFonts w:ascii="Times New Roman" w:hAnsi="Times New Roman" w:cs="Times New Roman"/>
          <w:sz w:val="24"/>
          <w:szCs w:val="24"/>
        </w:rPr>
        <w:t>from losses caused by fire, storm, wind and similar accidents or natural hazards.</w:t>
      </w:r>
      <w:r w:rsidRPr="003654E3" w:rsidR="003654E3">
        <w:rPr>
          <w:rFonts w:ascii="Times New Roman" w:hAnsi="Times New Roman" w:cs="Times New Roman"/>
          <w:sz w:val="24"/>
          <w:szCs w:val="24"/>
        </w:rPr>
        <w:t xml:space="preserve"> </w:t>
      </w:r>
      <w:r w:rsidR="003654E3">
        <w:rPr>
          <w:rFonts w:ascii="Times New Roman" w:hAnsi="Times New Roman" w:cs="Times New Roman"/>
          <w:sz w:val="24"/>
          <w:szCs w:val="24"/>
        </w:rPr>
        <w:t>The borrower must maintain extended coverage on the property, in accordance with terms and conditions established by the Commissioner, as required by 24 CFR 200.86.</w:t>
      </w:r>
    </w:p>
    <w:p w:rsidRPr="00355C65" w:rsidR="006E573A" w:rsidP="006E573A" w:rsidRDefault="006E573A" w14:paraId="5B8555E7" w14:textId="77777777">
      <w:pPr>
        <w:ind w:left="720" w:hanging="360"/>
        <w:jc w:val="both"/>
        <w:rPr>
          <w:rFonts w:ascii="Times New Roman" w:hAnsi="Times New Roman" w:cs="Times New Roman"/>
          <w:sz w:val="24"/>
          <w:szCs w:val="24"/>
        </w:rPr>
      </w:pPr>
    </w:p>
    <w:p w:rsidRPr="004C0521" w:rsidR="006E573A" w:rsidP="0087052D" w:rsidRDefault="006E573A" w14:paraId="5B8555E8" w14:textId="60AFFAF9">
      <w:pPr>
        <w:pStyle w:val="ListParagraph"/>
        <w:numPr>
          <w:ilvl w:val="0"/>
          <w:numId w:val="31"/>
        </w:numPr>
        <w:ind w:left="1530" w:hanging="360"/>
        <w:jc w:val="both"/>
        <w:rPr>
          <w:rFonts w:ascii="Times New Roman" w:hAnsi="Times New Roman" w:cs="Times New Roman"/>
          <w:sz w:val="24"/>
          <w:szCs w:val="24"/>
        </w:rPr>
      </w:pPr>
      <w:r w:rsidRPr="004C0521">
        <w:rPr>
          <w:rFonts w:ascii="Times New Roman" w:hAnsi="Times New Roman" w:cs="Times New Roman"/>
          <w:sz w:val="24"/>
          <w:szCs w:val="24"/>
        </w:rPr>
        <w:t xml:space="preserve">Insurable Values.  The amount of damages </w:t>
      </w:r>
      <w:r w:rsidRPr="004C0521" w:rsidR="006C44FB">
        <w:rPr>
          <w:rFonts w:ascii="Times New Roman" w:hAnsi="Times New Roman" w:cs="Times New Roman"/>
          <w:sz w:val="24"/>
          <w:szCs w:val="24"/>
        </w:rPr>
        <w:t>covered,</w:t>
      </w:r>
      <w:r w:rsidRPr="004C0521">
        <w:rPr>
          <w:rFonts w:ascii="Times New Roman" w:hAnsi="Times New Roman" w:cs="Times New Roman"/>
          <w:sz w:val="24"/>
          <w:szCs w:val="24"/>
        </w:rPr>
        <w:t xml:space="preserve"> and the amount of coverage needed are both based on the replacement cost of individual buildings not including land or site improvements, meaning the actual current cost of replacing the building, not value or depreciated original cost.  For each building this sum is known as its “insurable value.”  The dollar amount payable in any casualty event will not exceed the actual cost of damages calculated on a building by building basis and for each building will not exceed the insurable value for that building.  For this reason, methods of estimating insurable value that prorate gross cost among dissimilar buildings may under (or over) state actual replacement cost resulting in a risk of loss not covered by insurance.  Most states regulate casualty insurance coverage and prohibit “over insurance” because it is an inducement to arson and insurance fraud.  For HUD programs, replacement cost (insurable value) must be estimated for each structure in a property and is reported on </w:t>
      </w:r>
      <w:r w:rsidR="005060CF">
        <w:rPr>
          <w:rFonts w:ascii="Times New Roman" w:hAnsi="Times New Roman" w:cs="Times New Roman"/>
          <w:sz w:val="24"/>
          <w:szCs w:val="24"/>
        </w:rPr>
        <w:t>the CNA report</w:t>
      </w:r>
      <w:r w:rsidR="00801EC0">
        <w:rPr>
          <w:rFonts w:ascii="Times New Roman" w:hAnsi="Times New Roman" w:cs="Times New Roman"/>
          <w:sz w:val="24"/>
          <w:szCs w:val="24"/>
        </w:rPr>
        <w:t xml:space="preserve">. </w:t>
      </w:r>
      <w:r w:rsidRPr="004C0521">
        <w:rPr>
          <w:rFonts w:ascii="Times New Roman" w:hAnsi="Times New Roman" w:cs="Times New Roman"/>
          <w:sz w:val="24"/>
          <w:szCs w:val="24"/>
        </w:rPr>
        <w:t xml:space="preserve">  (See Chapter 5 and Appendix 5G).</w:t>
      </w:r>
    </w:p>
    <w:p w:rsidRPr="004C0521" w:rsidR="006E573A" w:rsidP="006E573A" w:rsidRDefault="006E573A" w14:paraId="5B8555E9" w14:textId="77777777">
      <w:pPr>
        <w:pStyle w:val="ListParagraph"/>
        <w:ind w:left="1350" w:hanging="360"/>
        <w:jc w:val="both"/>
        <w:rPr>
          <w:rFonts w:ascii="Times New Roman" w:hAnsi="Times New Roman" w:cs="Times New Roman"/>
          <w:sz w:val="24"/>
          <w:szCs w:val="24"/>
        </w:rPr>
      </w:pPr>
    </w:p>
    <w:p w:rsidRPr="004C0521" w:rsidR="006E573A" w:rsidP="0087052D" w:rsidRDefault="006E573A" w14:paraId="5B8555EA" w14:textId="06A1DF66">
      <w:pPr>
        <w:pStyle w:val="ListParagraph"/>
        <w:numPr>
          <w:ilvl w:val="0"/>
          <w:numId w:val="31"/>
        </w:numPr>
        <w:ind w:left="1530" w:hanging="360"/>
        <w:jc w:val="both"/>
        <w:rPr>
          <w:rFonts w:ascii="Times New Roman" w:hAnsi="Times New Roman" w:cs="Times New Roman"/>
          <w:sz w:val="24"/>
          <w:szCs w:val="24"/>
        </w:rPr>
      </w:pPr>
      <w:r w:rsidRPr="004C0521">
        <w:rPr>
          <w:rFonts w:ascii="Times New Roman" w:hAnsi="Times New Roman" w:cs="Times New Roman"/>
          <w:sz w:val="24"/>
          <w:szCs w:val="24"/>
        </w:rPr>
        <w:t xml:space="preserve">Minimum Coverage Amount.  Provided that any co-insurance requirement is met (see below), the borrower must provide casualty insurance with a face amount </w:t>
      </w:r>
      <w:r w:rsidR="00654ABB">
        <w:rPr>
          <w:rFonts w:ascii="Times New Roman" w:hAnsi="Times New Roman" w:cs="Times New Roman"/>
          <w:sz w:val="24"/>
          <w:szCs w:val="24"/>
        </w:rPr>
        <w:t>that</w:t>
      </w:r>
      <w:r w:rsidRPr="004C0521" w:rsidR="00654ABB">
        <w:rPr>
          <w:rFonts w:ascii="Times New Roman" w:hAnsi="Times New Roman" w:cs="Times New Roman"/>
          <w:sz w:val="24"/>
          <w:szCs w:val="24"/>
        </w:rPr>
        <w:t xml:space="preserve"> </w:t>
      </w:r>
      <w:r w:rsidRPr="004C0521">
        <w:rPr>
          <w:rFonts w:ascii="Times New Roman" w:hAnsi="Times New Roman" w:cs="Times New Roman"/>
          <w:sz w:val="24"/>
          <w:szCs w:val="24"/>
        </w:rPr>
        <w:t xml:space="preserve">is the lower of: 80% of insurable </w:t>
      </w:r>
      <w:r w:rsidR="003654E3">
        <w:rPr>
          <w:rFonts w:ascii="Times New Roman" w:hAnsi="Times New Roman" w:cs="Times New Roman"/>
          <w:sz w:val="24"/>
          <w:szCs w:val="24"/>
        </w:rPr>
        <w:t>improvements</w:t>
      </w:r>
      <w:r w:rsidRPr="004C0521">
        <w:rPr>
          <w:rFonts w:ascii="Times New Roman" w:hAnsi="Times New Roman" w:cs="Times New Roman"/>
          <w:sz w:val="24"/>
          <w:szCs w:val="24"/>
        </w:rPr>
        <w:t xml:space="preserve">; or the balance of the insured mortgage(s). (See FHA form </w:t>
      </w:r>
      <w:r w:rsidR="00614E6E">
        <w:rPr>
          <w:rFonts w:ascii="Times New Roman" w:hAnsi="Times New Roman" w:cs="Times New Roman"/>
          <w:sz w:val="24"/>
          <w:szCs w:val="24"/>
        </w:rPr>
        <w:t>9</w:t>
      </w:r>
      <w:r w:rsidRPr="004C0521">
        <w:rPr>
          <w:rFonts w:ascii="Times New Roman" w:hAnsi="Times New Roman" w:cs="Times New Roman"/>
          <w:sz w:val="24"/>
          <w:szCs w:val="24"/>
        </w:rPr>
        <w:t>2447, section 5(a)).</w:t>
      </w:r>
    </w:p>
    <w:p w:rsidRPr="004C0521" w:rsidR="006E573A" w:rsidP="0087052D" w:rsidRDefault="006E573A" w14:paraId="5B8555EB" w14:textId="77777777">
      <w:pPr>
        <w:pStyle w:val="ListParagraph"/>
        <w:ind w:left="1530" w:hanging="360"/>
        <w:jc w:val="both"/>
        <w:rPr>
          <w:rFonts w:ascii="Times New Roman" w:hAnsi="Times New Roman" w:cs="Times New Roman"/>
          <w:sz w:val="24"/>
          <w:szCs w:val="24"/>
        </w:rPr>
      </w:pPr>
    </w:p>
    <w:p w:rsidRPr="004C0521" w:rsidR="006E573A" w:rsidP="0087052D" w:rsidRDefault="006E573A" w14:paraId="5B8555EC" w14:textId="77777777">
      <w:pPr>
        <w:pStyle w:val="ListParagraph"/>
        <w:numPr>
          <w:ilvl w:val="0"/>
          <w:numId w:val="31"/>
        </w:numPr>
        <w:ind w:left="1530" w:hanging="360"/>
        <w:jc w:val="both"/>
        <w:rPr>
          <w:rFonts w:ascii="Times New Roman" w:hAnsi="Times New Roman" w:cs="Times New Roman"/>
          <w:sz w:val="24"/>
          <w:szCs w:val="24"/>
        </w:rPr>
      </w:pPr>
      <w:r w:rsidRPr="004C0521">
        <w:rPr>
          <w:rFonts w:ascii="Times New Roman" w:hAnsi="Times New Roman" w:cs="Times New Roman"/>
          <w:sz w:val="24"/>
          <w:szCs w:val="24"/>
        </w:rPr>
        <w:t>Limitations of Borrower’s Obligation to Share Cost of Damages.  HUD’s minimum coverage requirements protect borrowers by limiting their obligation to share the costs of damages when a casualty occurs and by assuring that the insurance proceeds are sufficient to pay the commensurate portion of the principal amount of any insured mortgage(s) when a damaged building cannot be restored.</w:t>
      </w:r>
    </w:p>
    <w:p w:rsidRPr="004C0521" w:rsidR="006E573A" w:rsidP="006E573A" w:rsidRDefault="006E573A" w14:paraId="5B8555ED" w14:textId="77777777">
      <w:pPr>
        <w:pStyle w:val="ListParagraph"/>
        <w:jc w:val="both"/>
        <w:rPr>
          <w:rFonts w:ascii="Times New Roman" w:hAnsi="Times New Roman" w:cs="Times New Roman"/>
          <w:sz w:val="24"/>
          <w:szCs w:val="24"/>
        </w:rPr>
      </w:pPr>
    </w:p>
    <w:p w:rsidR="006E573A" w:rsidP="006E573A" w:rsidRDefault="006E573A" w14:paraId="5B8555EE" w14:textId="77777777">
      <w:pPr>
        <w:ind w:left="1350"/>
        <w:jc w:val="both"/>
        <w:rPr>
          <w:rFonts w:ascii="Times New Roman" w:hAnsi="Times New Roman" w:cs="Times New Roman"/>
          <w:sz w:val="24"/>
          <w:szCs w:val="24"/>
        </w:rPr>
      </w:pPr>
      <w:r w:rsidRPr="00355C65">
        <w:rPr>
          <w:rFonts w:ascii="Times New Roman" w:hAnsi="Times New Roman" w:cs="Times New Roman"/>
          <w:sz w:val="24"/>
          <w:szCs w:val="24"/>
        </w:rPr>
        <w:t>Typically, insurers require borrowers to share the cost of damages by one (or both) of two methods:  deductibles, and co-insurance requirements. HUD limits borrowers’ exposure as follows:</w:t>
      </w:r>
    </w:p>
    <w:p w:rsidRPr="00355C65" w:rsidR="006E573A" w:rsidP="006E573A" w:rsidRDefault="006E573A" w14:paraId="5B8555EF" w14:textId="77777777">
      <w:pPr>
        <w:ind w:left="1080"/>
        <w:jc w:val="both"/>
        <w:rPr>
          <w:rFonts w:ascii="Times New Roman" w:hAnsi="Times New Roman" w:cs="Times New Roman"/>
          <w:sz w:val="24"/>
          <w:szCs w:val="24"/>
        </w:rPr>
      </w:pPr>
    </w:p>
    <w:p w:rsidRPr="00355C65" w:rsidR="006E573A" w:rsidP="0087052D" w:rsidRDefault="006E573A" w14:paraId="5B8555F0" w14:textId="72D33C5F">
      <w:pPr>
        <w:numPr>
          <w:ilvl w:val="0"/>
          <w:numId w:val="30"/>
        </w:numPr>
        <w:spacing w:after="200" w:line="276" w:lineRule="auto"/>
        <w:ind w:left="1980"/>
        <w:contextualSpacing/>
        <w:jc w:val="both"/>
        <w:rPr>
          <w:rFonts w:ascii="Times New Roman" w:hAnsi="Times New Roman" w:cs="Times New Roman"/>
          <w:sz w:val="24"/>
          <w:szCs w:val="24"/>
        </w:rPr>
      </w:pPr>
      <w:r w:rsidRPr="00355C65">
        <w:rPr>
          <w:rFonts w:ascii="Times New Roman" w:hAnsi="Times New Roman" w:cs="Times New Roman"/>
          <w:sz w:val="24"/>
          <w:szCs w:val="24"/>
        </w:rPr>
        <w:t xml:space="preserve">Deductibles may not exceed the greater of </w:t>
      </w:r>
      <w:r w:rsidR="003654E3">
        <w:rPr>
          <w:rFonts w:ascii="Times New Roman" w:hAnsi="Times New Roman" w:cs="Times New Roman"/>
          <w:sz w:val="24"/>
          <w:szCs w:val="24"/>
        </w:rPr>
        <w:t>$50,000</w:t>
      </w:r>
      <w:r w:rsidRPr="00355C65">
        <w:rPr>
          <w:rFonts w:ascii="Times New Roman" w:hAnsi="Times New Roman" w:cs="Times New Roman"/>
          <w:sz w:val="24"/>
          <w:szCs w:val="24"/>
        </w:rPr>
        <w:t xml:space="preserve"> or 1% of the insurable value for any particular building up to a maximum amount of </w:t>
      </w:r>
      <w:r w:rsidRPr="00355C65" w:rsidR="008A32E2">
        <w:rPr>
          <w:rFonts w:ascii="Times New Roman" w:hAnsi="Times New Roman" w:cs="Times New Roman"/>
          <w:sz w:val="24"/>
          <w:szCs w:val="24"/>
        </w:rPr>
        <w:t>$250,000.</w:t>
      </w:r>
    </w:p>
    <w:p w:rsidR="006E573A" w:rsidP="0087052D" w:rsidRDefault="006E573A" w14:paraId="5B8555F1" w14:textId="77777777">
      <w:pPr>
        <w:numPr>
          <w:ilvl w:val="0"/>
          <w:numId w:val="30"/>
        </w:numPr>
        <w:spacing w:after="200" w:line="276" w:lineRule="auto"/>
        <w:ind w:left="1980"/>
        <w:contextualSpacing/>
        <w:jc w:val="both"/>
        <w:rPr>
          <w:rFonts w:ascii="Times New Roman" w:hAnsi="Times New Roman" w:cs="Times New Roman"/>
          <w:sz w:val="24"/>
          <w:szCs w:val="24"/>
        </w:rPr>
      </w:pPr>
      <w:r w:rsidRPr="00355C65">
        <w:rPr>
          <w:rFonts w:ascii="Times New Roman" w:hAnsi="Times New Roman" w:cs="Times New Roman"/>
          <w:sz w:val="24"/>
          <w:szCs w:val="24"/>
        </w:rPr>
        <w:t>The borrower must purchase casualty insurance in an amount that equals or exceeds any applicable co-insurance requirement.  This limitation prevents borrowers from purchasing insurance policies that require borrowers to pay a share of damages on partial claims (i.e. claims for less than total losses).  A co-insurance requirement is expressed as a ratio or percentage that the maximum insured loss for any casualty event bears to the aggregate of insurable values for a property.  The maximum insured loss is also commonly called the “face amount” of the insurance policy and is the insurer’s maximum obligation for damages from any casualty event.  Recognizing that total losses are quite rare, especially for multi-building properties, borrowers often seek to reduce premium costs by reducing the face amount of insurance purchased.  A co-insurance clause requires borrowers to share in any loss if the face amount of insurance purchased is less than the co-insurance requirement.  A co-insurance requirement typically, but not always, imposed by insurers is 80%, meaning the face amount of insurance purchased should equal or exceed 80% of insurable values.  With this co-insurance requirement, if a borrower purchases a face amount of insurance which is 65% of insurable values then the insurer’s obligation to pay any claim will be limited to 65% of the claim, leaving 35% (plus any deductible) to be paid by the borrower.  If the borrower purchases a face amount equal to or exceeding the co-insurance requirement, then the insurer is obligated to pay 100% of any claim (less any deductible) up to the face amount of the policy.</w:t>
      </w:r>
    </w:p>
    <w:p w:rsidRPr="00355C65" w:rsidR="006E573A" w:rsidP="006E573A" w:rsidRDefault="006E573A" w14:paraId="5B8555F2" w14:textId="77777777">
      <w:pPr>
        <w:tabs>
          <w:tab w:val="left" w:pos="720"/>
        </w:tabs>
        <w:spacing w:after="200" w:line="276" w:lineRule="auto"/>
        <w:ind w:left="1080"/>
        <w:contextualSpacing/>
        <w:jc w:val="both"/>
        <w:rPr>
          <w:rFonts w:ascii="Times New Roman" w:hAnsi="Times New Roman" w:cs="Times New Roman"/>
          <w:sz w:val="24"/>
          <w:szCs w:val="24"/>
        </w:rPr>
      </w:pPr>
    </w:p>
    <w:p w:rsidRPr="00355C65" w:rsidR="006E573A" w:rsidP="0087052D" w:rsidRDefault="006E573A" w14:paraId="5B8555F3" w14:textId="77777777">
      <w:pPr>
        <w:pStyle w:val="ListParagraph"/>
        <w:numPr>
          <w:ilvl w:val="0"/>
          <w:numId w:val="31"/>
        </w:numPr>
        <w:ind w:left="1530" w:hanging="360"/>
        <w:jc w:val="both"/>
      </w:pPr>
      <w:r w:rsidRPr="00355C65">
        <w:rPr>
          <w:rFonts w:ascii="Times New Roman" w:hAnsi="Times New Roman" w:cs="Times New Roman"/>
          <w:sz w:val="24"/>
          <w:szCs w:val="24"/>
        </w:rPr>
        <w:t>Exceptions.  In some circumstances such as large properties with multiple buildings and properties included in a portfolio with multiple tiers of casualty loss coverage, a waiver of the 80% of insurable values minimum may be considered provided that the lender demonstrates the adequacy of coverage in light of possible casualty events and that the borrower is not obligated to share in losses arising from partial claims.</w:t>
      </w:r>
    </w:p>
    <w:p w:rsidRPr="00355C65" w:rsidR="006E573A" w:rsidP="006E573A" w:rsidRDefault="006E573A" w14:paraId="5B8555F4" w14:textId="77777777">
      <w:pPr>
        <w:spacing w:after="200" w:line="276" w:lineRule="auto"/>
        <w:ind w:left="1080"/>
        <w:contextualSpacing/>
        <w:jc w:val="both"/>
        <w:rPr>
          <w:rFonts w:ascii="Times New Roman" w:hAnsi="Times New Roman" w:cs="Times New Roman"/>
          <w:sz w:val="24"/>
          <w:szCs w:val="24"/>
        </w:rPr>
      </w:pPr>
    </w:p>
    <w:p w:rsidRPr="00355C65" w:rsidR="006E573A" w:rsidP="006E573A" w:rsidRDefault="006E573A" w14:paraId="5B8555F5" w14:textId="34D905C9">
      <w:pPr>
        <w:numPr>
          <w:ilvl w:val="0"/>
          <w:numId w:val="25"/>
        </w:numPr>
        <w:spacing w:after="200" w:line="276" w:lineRule="auto"/>
        <w:ind w:left="360"/>
        <w:contextualSpacing/>
        <w:jc w:val="both"/>
      </w:pPr>
      <w:r w:rsidRPr="00355C65">
        <w:rPr>
          <w:rFonts w:ascii="Times New Roman" w:hAnsi="Times New Roman" w:cs="Times New Roman"/>
          <w:sz w:val="24"/>
          <w:szCs w:val="24"/>
        </w:rPr>
        <w:t>Other Insurance Requirements. Both HUD and the lender must be named as additional insured on the policies of insurance</w:t>
      </w:r>
      <w:r w:rsidR="003654E3">
        <w:rPr>
          <w:rFonts w:ascii="Times New Roman" w:hAnsi="Times New Roman" w:cs="Times New Roman"/>
          <w:sz w:val="24"/>
          <w:szCs w:val="24"/>
        </w:rPr>
        <w:t>, with the standard lender clause reading</w:t>
      </w:r>
      <w:r w:rsidR="006801F6">
        <w:rPr>
          <w:rFonts w:ascii="Times New Roman" w:hAnsi="Times New Roman" w:cs="Times New Roman"/>
          <w:sz w:val="24"/>
          <w:szCs w:val="24"/>
        </w:rPr>
        <w:t>: “</w:t>
      </w:r>
      <w:r w:rsidR="003654E3">
        <w:rPr>
          <w:rFonts w:ascii="Times New Roman" w:hAnsi="Times New Roman" w:cs="Times New Roman"/>
          <w:sz w:val="24"/>
          <w:szCs w:val="24"/>
        </w:rPr>
        <w:t>loss payable to the mortgagee, its successors and assigns.”</w:t>
      </w:r>
      <w:r w:rsidRPr="00355C65">
        <w:rPr>
          <w:rFonts w:ascii="Times New Roman" w:hAnsi="Times New Roman" w:cs="Times New Roman"/>
          <w:sz w:val="24"/>
          <w:szCs w:val="24"/>
        </w:rPr>
        <w:t xml:space="preserve">  All insurance carriers or providers </w:t>
      </w:r>
      <w:r w:rsidR="00106166">
        <w:rPr>
          <w:rFonts w:ascii="Times New Roman" w:hAnsi="Times New Roman" w:cs="Times New Roman"/>
          <w:sz w:val="24"/>
          <w:szCs w:val="24"/>
        </w:rPr>
        <w:t>that</w:t>
      </w:r>
      <w:r w:rsidRPr="00355C65">
        <w:rPr>
          <w:rFonts w:ascii="Times New Roman" w:hAnsi="Times New Roman" w:cs="Times New Roman"/>
          <w:sz w:val="24"/>
          <w:szCs w:val="24"/>
        </w:rPr>
        <w:t xml:space="preserve"> issue policies of insurance on a HUD insured project must have and must maintain during the policy period a rating that is acceptable to HUD (A.M. Best Financial Strength Rating [FSR] of B+ or better).  Further detail of ongoing requirements for insurance coverage after Endorsement may be found in the Asset Management </w:t>
      </w:r>
      <w:r w:rsidR="00FF7652">
        <w:rPr>
          <w:rFonts w:ascii="Times New Roman" w:hAnsi="Times New Roman" w:cs="Times New Roman"/>
          <w:sz w:val="24"/>
          <w:szCs w:val="24"/>
        </w:rPr>
        <w:t>H</w:t>
      </w:r>
      <w:r w:rsidRPr="00355C65">
        <w:rPr>
          <w:rFonts w:ascii="Times New Roman" w:hAnsi="Times New Roman" w:cs="Times New Roman"/>
          <w:sz w:val="24"/>
          <w:szCs w:val="24"/>
        </w:rPr>
        <w:t xml:space="preserve">andbook (HUD HB 4350.1).  The amount of property insurance required is further discussed in the Asset </w:t>
      </w:r>
      <w:r w:rsidR="003654E3">
        <w:rPr>
          <w:rFonts w:ascii="Times New Roman" w:hAnsi="Times New Roman" w:cs="Times New Roman"/>
          <w:sz w:val="24"/>
          <w:szCs w:val="24"/>
        </w:rPr>
        <w:t>M</w:t>
      </w:r>
      <w:r w:rsidRPr="00355C65">
        <w:rPr>
          <w:rFonts w:ascii="Times New Roman" w:hAnsi="Times New Roman" w:cs="Times New Roman"/>
          <w:sz w:val="24"/>
          <w:szCs w:val="24"/>
        </w:rPr>
        <w:t>anagement Handbook.</w:t>
      </w:r>
    </w:p>
    <w:p w:rsidRPr="00355C65" w:rsidR="006E573A" w:rsidP="006E573A" w:rsidRDefault="006E573A" w14:paraId="5B8555F6" w14:textId="77777777">
      <w:pPr>
        <w:ind w:left="360" w:hanging="360"/>
        <w:jc w:val="both"/>
        <w:rPr>
          <w:rFonts w:ascii="Times New Roman" w:hAnsi="Times New Roman" w:cs="Times New Roman"/>
          <w:sz w:val="24"/>
          <w:szCs w:val="24"/>
        </w:rPr>
      </w:pPr>
    </w:p>
    <w:p w:rsidR="006E573A" w:rsidP="006E573A" w:rsidRDefault="006E573A" w14:paraId="5B8555F7" w14:textId="14757C3B">
      <w:pPr>
        <w:overflowPunct w:val="0"/>
        <w:autoSpaceDE w:val="0"/>
        <w:autoSpaceDN w:val="0"/>
        <w:adjustRightInd w:val="0"/>
        <w:spacing w:before="80" w:after="80"/>
        <w:ind w:firstLine="162"/>
        <w:jc w:val="both"/>
        <w:textAlignment w:val="baseline"/>
        <w:rPr>
          <w:rFonts w:ascii="Arial" w:hAnsi="Arial" w:eastAsia="Times New Roman" w:cs="Arial"/>
          <w:sz w:val="28"/>
          <w:szCs w:val="20"/>
        </w:rPr>
      </w:pPr>
    </w:p>
    <w:p w:rsidR="008A32E2" w:rsidP="006E573A" w:rsidRDefault="008A32E2" w14:paraId="7A2BAB96" w14:textId="7862969F">
      <w:pPr>
        <w:overflowPunct w:val="0"/>
        <w:autoSpaceDE w:val="0"/>
        <w:autoSpaceDN w:val="0"/>
        <w:adjustRightInd w:val="0"/>
        <w:spacing w:before="80" w:after="80"/>
        <w:ind w:firstLine="162"/>
        <w:jc w:val="both"/>
        <w:textAlignment w:val="baseline"/>
        <w:rPr>
          <w:rFonts w:ascii="Arial" w:hAnsi="Arial" w:eastAsia="Times New Roman" w:cs="Arial"/>
          <w:sz w:val="28"/>
          <w:szCs w:val="20"/>
        </w:rPr>
      </w:pPr>
    </w:p>
    <w:p w:rsidRPr="00355C65" w:rsidR="008A32E2" w:rsidP="006E573A" w:rsidRDefault="008A32E2" w14:paraId="793938C9" w14:textId="77777777">
      <w:pPr>
        <w:overflowPunct w:val="0"/>
        <w:autoSpaceDE w:val="0"/>
        <w:autoSpaceDN w:val="0"/>
        <w:adjustRightInd w:val="0"/>
        <w:spacing w:before="80" w:after="80"/>
        <w:ind w:firstLine="162"/>
        <w:jc w:val="both"/>
        <w:textAlignment w:val="baseline"/>
        <w:rPr>
          <w:rFonts w:ascii="Arial" w:hAnsi="Arial" w:eastAsia="Times New Roman" w:cs="Arial"/>
          <w:sz w:val="28"/>
          <w:szCs w:val="20"/>
        </w:rPr>
      </w:pPr>
    </w:p>
    <w:p w:rsidRPr="00355C65" w:rsidR="006E573A" w:rsidP="00864338" w:rsidRDefault="00864338" w14:paraId="5B8555F8" w14:textId="7C73BAE1">
      <w:pPr>
        <w:overflowPunct w:val="0"/>
        <w:autoSpaceDE w:val="0"/>
        <w:autoSpaceDN w:val="0"/>
        <w:adjustRightInd w:val="0"/>
        <w:spacing w:before="80" w:after="80"/>
        <w:jc w:val="both"/>
        <w:textAlignment w:val="baseline"/>
        <w:rPr>
          <w:rFonts w:ascii="Arial" w:hAnsi="Arial" w:eastAsia="Times New Roman" w:cs="Arial"/>
          <w:b/>
          <w:spacing w:val="-3"/>
          <w:sz w:val="28"/>
          <w:szCs w:val="20"/>
        </w:rPr>
      </w:pPr>
      <w:bookmarkStart w:name="_Hlk39578691" w:id="4"/>
      <w:r>
        <w:rPr>
          <w:rFonts w:ascii="Arial" w:hAnsi="Arial" w:eastAsia="Times New Roman" w:cs="Arial"/>
          <w:b/>
          <w:sz w:val="28"/>
          <w:szCs w:val="20"/>
        </w:rPr>
        <w:t xml:space="preserve"> </w:t>
      </w:r>
      <w:r w:rsidRPr="00355C65" w:rsidR="006E573A">
        <w:rPr>
          <w:rFonts w:ascii="Arial" w:hAnsi="Arial" w:eastAsia="Times New Roman" w:cs="Arial"/>
          <w:b/>
          <w:sz w:val="28"/>
          <w:szCs w:val="20"/>
        </w:rPr>
        <w:t>3.10</w:t>
      </w:r>
      <w:r w:rsidRPr="00355C65" w:rsidR="006E573A">
        <w:rPr>
          <w:rFonts w:ascii="Arial" w:hAnsi="Arial" w:eastAsia="Times New Roman" w:cs="Arial"/>
          <w:b/>
          <w:sz w:val="28"/>
          <w:szCs w:val="20"/>
        </w:rPr>
        <w:tab/>
      </w:r>
      <w:r w:rsidRPr="00355C65" w:rsidR="006E573A">
        <w:rPr>
          <w:rFonts w:ascii="Arial" w:hAnsi="Arial" w:eastAsia="Times New Roman" w:cs="Arial"/>
          <w:b/>
          <w:sz w:val="28"/>
          <w:szCs w:val="20"/>
        </w:rPr>
        <w:tab/>
        <w:t xml:space="preserve"> </w:t>
      </w:r>
      <w:r w:rsidRPr="00355C65" w:rsidR="006E573A">
        <w:rPr>
          <w:rFonts w:ascii="Arial" w:hAnsi="Arial" w:eastAsia="Times New Roman" w:cs="Arial"/>
          <w:b/>
          <w:spacing w:val="-3"/>
          <w:sz w:val="28"/>
          <w:szCs w:val="20"/>
        </w:rPr>
        <w:t>Large Loan Risk Mitigation Policies</w:t>
      </w:r>
    </w:p>
    <w:bookmarkEnd w:id="4"/>
    <w:p w:rsidRPr="00355C65" w:rsidR="006E573A" w:rsidP="006E573A" w:rsidRDefault="006E573A" w14:paraId="5B8555F9" w14:textId="77777777">
      <w:pPr>
        <w:overflowPunct w:val="0"/>
        <w:autoSpaceDE w:val="0"/>
        <w:autoSpaceDN w:val="0"/>
        <w:adjustRightInd w:val="0"/>
        <w:spacing w:before="80" w:after="80"/>
        <w:ind w:firstLine="162"/>
        <w:jc w:val="both"/>
        <w:textAlignment w:val="baseline"/>
        <w:rPr>
          <w:rFonts w:ascii="Arial" w:hAnsi="Arial" w:eastAsia="Times New Roman" w:cs="Arial"/>
          <w:spacing w:val="-3"/>
          <w:sz w:val="28"/>
          <w:szCs w:val="20"/>
        </w:rPr>
      </w:pPr>
    </w:p>
    <w:p w:rsidRPr="004C0521" w:rsidR="006E573A" w:rsidP="00D47B8C" w:rsidRDefault="006E573A" w14:paraId="5B8555FA" w14:textId="77777777">
      <w:pPr>
        <w:widowControl w:val="0"/>
        <w:overflowPunct w:val="0"/>
        <w:autoSpaceDE w:val="0"/>
        <w:autoSpaceDN w:val="0"/>
        <w:adjustRightInd w:val="0"/>
        <w:ind w:left="360" w:hanging="360"/>
        <w:textAlignment w:val="baseline"/>
        <w:rPr>
          <w:rFonts w:ascii="Times New Roman" w:hAnsi="Times New Roman" w:eastAsia="Times New Roman" w:cs="Times New Roman"/>
          <w:spacing w:val="-3"/>
          <w:sz w:val="24"/>
          <w:szCs w:val="24"/>
        </w:rPr>
      </w:pPr>
      <w:r w:rsidRPr="00355C65">
        <w:rPr>
          <w:rFonts w:ascii="Times New Roman" w:hAnsi="Times New Roman" w:eastAsia="Times New Roman" w:cs="Times New Roman"/>
          <w:spacing w:val="-3"/>
          <w:sz w:val="24"/>
          <w:szCs w:val="24"/>
        </w:rPr>
        <w:t xml:space="preserve">A.  </w:t>
      </w:r>
      <w:r w:rsidRPr="004C0521">
        <w:rPr>
          <w:rFonts w:ascii="Times New Roman" w:hAnsi="Times New Roman" w:eastAsia="Times New Roman" w:cs="Times New Roman"/>
          <w:spacing w:val="-3"/>
          <w:sz w:val="24"/>
          <w:szCs w:val="24"/>
        </w:rPr>
        <w:t xml:space="preserve">Purpose. </w:t>
      </w:r>
    </w:p>
    <w:p w:rsidRPr="00355C65" w:rsidR="006E573A" w:rsidP="006E573A" w:rsidRDefault="006E573A" w14:paraId="5B8555FB"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p>
    <w:p w:rsidR="00720006" w:rsidP="00D47B8C" w:rsidRDefault="006E573A" w14:paraId="2ED454BC" w14:textId="6869B87A">
      <w:p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355C65">
        <w:rPr>
          <w:rFonts w:ascii="Times New Roman" w:hAnsi="Times New Roman" w:eastAsia="Times New Roman" w:cs="Times New Roman"/>
          <w:spacing w:val="-3"/>
          <w:sz w:val="24"/>
          <w:szCs w:val="24"/>
        </w:rPr>
        <w:t xml:space="preserve">This section </w:t>
      </w:r>
      <w:r w:rsidR="00606228">
        <w:rPr>
          <w:rFonts w:ascii="Times New Roman" w:hAnsi="Times New Roman" w:eastAsia="Times New Roman" w:cs="Times New Roman"/>
          <w:spacing w:val="-3"/>
          <w:sz w:val="24"/>
          <w:szCs w:val="24"/>
        </w:rPr>
        <w:t>addresses the greater</w:t>
      </w:r>
      <w:r w:rsidR="00291CC6">
        <w:rPr>
          <w:rFonts w:ascii="Times New Roman" w:hAnsi="Times New Roman" w:eastAsia="Times New Roman" w:cs="Times New Roman"/>
          <w:spacing w:val="-3"/>
          <w:sz w:val="24"/>
          <w:szCs w:val="24"/>
        </w:rPr>
        <w:t xml:space="preserve"> single-point</w:t>
      </w:r>
      <w:r w:rsidR="00606228">
        <w:rPr>
          <w:rFonts w:ascii="Times New Roman" w:hAnsi="Times New Roman" w:eastAsia="Times New Roman" w:cs="Times New Roman"/>
          <w:spacing w:val="-3"/>
          <w:sz w:val="24"/>
          <w:szCs w:val="24"/>
        </w:rPr>
        <w:t xml:space="preserve"> risk of loss</w:t>
      </w:r>
      <w:r w:rsidR="00641528">
        <w:rPr>
          <w:rFonts w:ascii="Times New Roman" w:hAnsi="Times New Roman" w:eastAsia="Times New Roman" w:cs="Times New Roman"/>
          <w:spacing w:val="-3"/>
          <w:sz w:val="24"/>
          <w:szCs w:val="24"/>
        </w:rPr>
        <w:t xml:space="preserve"> </w:t>
      </w:r>
      <w:r w:rsidR="00B9459D">
        <w:rPr>
          <w:rFonts w:ascii="Times New Roman" w:hAnsi="Times New Roman" w:eastAsia="Times New Roman" w:cs="Times New Roman"/>
          <w:spacing w:val="-3"/>
          <w:sz w:val="24"/>
          <w:szCs w:val="24"/>
        </w:rPr>
        <w:t xml:space="preserve">created by </w:t>
      </w:r>
      <w:r w:rsidR="00493AFC">
        <w:rPr>
          <w:rFonts w:ascii="Times New Roman" w:hAnsi="Times New Roman" w:eastAsia="Times New Roman" w:cs="Times New Roman"/>
          <w:spacing w:val="-3"/>
          <w:sz w:val="24"/>
          <w:szCs w:val="24"/>
        </w:rPr>
        <w:t xml:space="preserve">very large </w:t>
      </w:r>
      <w:r w:rsidR="00812833">
        <w:rPr>
          <w:rFonts w:ascii="Times New Roman" w:hAnsi="Times New Roman" w:eastAsia="Times New Roman" w:cs="Times New Roman"/>
          <w:spacing w:val="-3"/>
          <w:sz w:val="24"/>
          <w:szCs w:val="24"/>
        </w:rPr>
        <w:t xml:space="preserve">loans and </w:t>
      </w:r>
      <w:r w:rsidRPr="00355C65">
        <w:rPr>
          <w:rFonts w:ascii="Times New Roman" w:hAnsi="Times New Roman" w:eastAsia="Times New Roman" w:cs="Times New Roman"/>
          <w:spacing w:val="-3"/>
          <w:sz w:val="24"/>
          <w:szCs w:val="24"/>
        </w:rPr>
        <w:t>defines the underwriting standards for large multifamily loans, primarily those above $75 million. Except where otherwise stated, these policies do not apply to</w:t>
      </w:r>
      <w:r w:rsidR="000407F2">
        <w:rPr>
          <w:rFonts w:ascii="Times New Roman" w:hAnsi="Times New Roman" w:eastAsia="Times New Roman" w:cs="Times New Roman"/>
          <w:spacing w:val="-3"/>
          <w:sz w:val="24"/>
          <w:szCs w:val="24"/>
        </w:rPr>
        <w:t xml:space="preserve"> </w:t>
      </w:r>
      <w:r w:rsidRPr="00355C65">
        <w:rPr>
          <w:rFonts w:ascii="Times New Roman" w:hAnsi="Times New Roman" w:eastAsia="Times New Roman" w:cs="Times New Roman"/>
          <w:spacing w:val="-3"/>
          <w:sz w:val="24"/>
          <w:szCs w:val="24"/>
        </w:rPr>
        <w:t>loans below $75 million</w:t>
      </w:r>
      <w:r w:rsidR="00751F9E">
        <w:rPr>
          <w:rFonts w:ascii="Times New Roman" w:hAnsi="Times New Roman" w:eastAsia="Times New Roman" w:cs="Times New Roman"/>
          <w:spacing w:val="-3"/>
          <w:sz w:val="24"/>
          <w:szCs w:val="24"/>
        </w:rPr>
        <w:t xml:space="preserve"> or to</w:t>
      </w:r>
      <w:r w:rsidR="0023323E">
        <w:rPr>
          <w:rFonts w:ascii="Times New Roman" w:hAnsi="Times New Roman" w:eastAsia="Times New Roman" w:cs="Times New Roman"/>
          <w:spacing w:val="-3"/>
          <w:sz w:val="24"/>
          <w:szCs w:val="24"/>
        </w:rPr>
        <w:t xml:space="preserve"> </w:t>
      </w:r>
      <w:r w:rsidRPr="00355C65">
        <w:rPr>
          <w:rFonts w:ascii="Times New Roman" w:hAnsi="Times New Roman" w:eastAsia="Times New Roman" w:cs="Times New Roman"/>
          <w:spacing w:val="-3"/>
          <w:sz w:val="24"/>
          <w:szCs w:val="24"/>
        </w:rPr>
        <w:t xml:space="preserve">loan </w:t>
      </w:r>
      <w:r w:rsidR="0059438B">
        <w:rPr>
          <w:rFonts w:ascii="Times New Roman" w:hAnsi="Times New Roman" w:eastAsia="Times New Roman" w:cs="Times New Roman"/>
          <w:spacing w:val="-3"/>
          <w:sz w:val="24"/>
          <w:szCs w:val="24"/>
        </w:rPr>
        <w:t>applications</w:t>
      </w:r>
      <w:r w:rsidRPr="00355C65" w:rsidR="0059438B">
        <w:rPr>
          <w:rFonts w:ascii="Times New Roman" w:hAnsi="Times New Roman" w:eastAsia="Times New Roman" w:cs="Times New Roman"/>
          <w:spacing w:val="-3"/>
          <w:sz w:val="24"/>
          <w:szCs w:val="24"/>
        </w:rPr>
        <w:t xml:space="preserve"> </w:t>
      </w:r>
      <w:r w:rsidRPr="00355C65">
        <w:rPr>
          <w:rFonts w:ascii="Times New Roman" w:hAnsi="Times New Roman" w:eastAsia="Times New Roman" w:cs="Times New Roman"/>
          <w:spacing w:val="-3"/>
          <w:sz w:val="24"/>
          <w:szCs w:val="24"/>
        </w:rPr>
        <w:t>under Section 223(a)(7</w:t>
      </w:r>
      <w:r w:rsidRPr="00AA6DF1">
        <w:rPr>
          <w:rFonts w:ascii="Times New Roman" w:hAnsi="Times New Roman" w:eastAsia="Times New Roman" w:cs="Times New Roman"/>
          <w:spacing w:val="-3"/>
          <w:sz w:val="24"/>
          <w:szCs w:val="24"/>
        </w:rPr>
        <w:t>)</w:t>
      </w:r>
      <w:r w:rsidR="007D3124">
        <w:rPr>
          <w:rFonts w:ascii="Times New Roman" w:hAnsi="Times New Roman" w:eastAsia="Times New Roman" w:cs="Times New Roman"/>
          <w:spacing w:val="-3"/>
          <w:sz w:val="24"/>
          <w:szCs w:val="24"/>
        </w:rPr>
        <w:t xml:space="preserve">. </w:t>
      </w:r>
    </w:p>
    <w:p w:rsidRPr="00355C65" w:rsidR="008A32E2" w:rsidP="006E573A" w:rsidRDefault="006E573A" w14:paraId="48F2A876" w14:textId="4609D0AE">
      <w:pPr>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r w:rsidRPr="00355C65">
        <w:rPr>
          <w:rFonts w:ascii="Times New Roman" w:hAnsi="Times New Roman" w:eastAsia="Times New Roman" w:cs="Times New Roman"/>
          <w:spacing w:val="-3"/>
          <w:sz w:val="24"/>
          <w:szCs w:val="24"/>
        </w:rPr>
        <w:t xml:space="preserve"> </w:t>
      </w:r>
    </w:p>
    <w:p w:rsidRPr="004C0521" w:rsidR="006E573A" w:rsidP="006E573A" w:rsidRDefault="006E573A" w14:paraId="5B85560B" w14:textId="77777777">
      <w:pPr>
        <w:widowControl w:val="0"/>
        <w:numPr>
          <w:ilvl w:val="0"/>
          <w:numId w:val="26"/>
        </w:numPr>
        <w:overflowPunct w:val="0"/>
        <w:autoSpaceDE w:val="0"/>
        <w:autoSpaceDN w:val="0"/>
        <w:adjustRightInd w:val="0"/>
        <w:spacing w:after="200" w:line="276" w:lineRule="auto"/>
        <w:ind w:left="360"/>
        <w:contextualSpacing/>
        <w:jc w:val="both"/>
        <w:textAlignment w:val="baseline"/>
        <w:rPr>
          <w:rFonts w:ascii="Times New Roman" w:hAnsi="Times New Roman" w:eastAsia="Times New Roman" w:cs="Times New Roman"/>
          <w:spacing w:val="-3"/>
          <w:sz w:val="24"/>
          <w:szCs w:val="24"/>
        </w:rPr>
      </w:pPr>
      <w:r w:rsidRPr="004C0521">
        <w:rPr>
          <w:rFonts w:ascii="Times New Roman" w:hAnsi="Times New Roman" w:eastAsia="Times New Roman" w:cs="Times New Roman"/>
          <w:spacing w:val="-3"/>
          <w:sz w:val="24"/>
          <w:szCs w:val="24"/>
        </w:rPr>
        <w:t>Underwriting and Reserve Standards for Large Loans.</w:t>
      </w:r>
    </w:p>
    <w:p w:rsidRPr="00355C65" w:rsidR="006E573A" w:rsidP="006E573A" w:rsidRDefault="006E573A" w14:paraId="5B85560C"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p>
    <w:p w:rsidRPr="000303F7" w:rsidR="006E573A" w:rsidP="000303F7" w:rsidRDefault="006E573A" w14:paraId="5B85560E" w14:textId="051EFA35">
      <w:pPr>
        <w:widowControl w:val="0"/>
        <w:numPr>
          <w:ilvl w:val="0"/>
          <w:numId w:val="27"/>
        </w:numPr>
        <w:overflowPunct w:val="0"/>
        <w:autoSpaceDE w:val="0"/>
        <w:autoSpaceDN w:val="0"/>
        <w:adjustRightInd w:val="0"/>
        <w:spacing w:after="200" w:line="276" w:lineRule="auto"/>
        <w:contextualSpacing/>
        <w:jc w:val="both"/>
        <w:textAlignment w:val="baseline"/>
        <w:rPr>
          <w:rFonts w:ascii="Times New Roman" w:hAnsi="Times New Roman" w:eastAsia="Times New Roman" w:cs="Times New Roman"/>
          <w:spacing w:val="-3"/>
          <w:sz w:val="24"/>
          <w:szCs w:val="24"/>
        </w:rPr>
      </w:pPr>
      <w:r w:rsidRPr="000303F7">
        <w:rPr>
          <w:rFonts w:ascii="Times New Roman" w:hAnsi="Times New Roman" w:eastAsia="Times New Roman" w:cs="Times New Roman"/>
          <w:spacing w:val="-3"/>
          <w:sz w:val="24"/>
          <w:szCs w:val="24"/>
        </w:rPr>
        <w:t xml:space="preserve">The following DSCR, </w:t>
      </w:r>
      <w:r w:rsidRPr="000303F7" w:rsidR="003654E3">
        <w:rPr>
          <w:rFonts w:ascii="Times New Roman" w:hAnsi="Times New Roman" w:eastAsia="Times New Roman" w:cs="Times New Roman"/>
          <w:spacing w:val="-3"/>
          <w:sz w:val="24"/>
          <w:szCs w:val="24"/>
        </w:rPr>
        <w:t xml:space="preserve">Loan to Value Ratio (LTVR) </w:t>
      </w:r>
      <w:r w:rsidRPr="000303F7">
        <w:rPr>
          <w:rFonts w:ascii="Times New Roman" w:hAnsi="Times New Roman" w:eastAsia="Times New Roman" w:cs="Times New Roman"/>
          <w:spacing w:val="-3"/>
          <w:sz w:val="24"/>
          <w:szCs w:val="24"/>
        </w:rPr>
        <w:t xml:space="preserve">and </w:t>
      </w:r>
      <w:r w:rsidRPr="000303F7" w:rsidR="003654E3">
        <w:rPr>
          <w:rFonts w:ascii="Times New Roman" w:hAnsi="Times New Roman" w:eastAsia="Times New Roman" w:cs="Times New Roman"/>
          <w:spacing w:val="-3"/>
          <w:sz w:val="24"/>
          <w:szCs w:val="24"/>
        </w:rPr>
        <w:t>Loan to Cost Ratio (</w:t>
      </w:r>
      <w:r w:rsidRPr="000303F7">
        <w:rPr>
          <w:rFonts w:ascii="Times New Roman" w:hAnsi="Times New Roman" w:eastAsia="Times New Roman" w:cs="Times New Roman"/>
          <w:spacing w:val="-3"/>
          <w:sz w:val="24"/>
          <w:szCs w:val="24"/>
        </w:rPr>
        <w:t>LTCR</w:t>
      </w:r>
      <w:r w:rsidRPr="000303F7" w:rsidR="003654E3">
        <w:rPr>
          <w:rFonts w:ascii="Times New Roman" w:hAnsi="Times New Roman" w:eastAsia="Times New Roman" w:cs="Times New Roman"/>
          <w:spacing w:val="-3"/>
          <w:sz w:val="24"/>
          <w:szCs w:val="24"/>
        </w:rPr>
        <w:t>)</w:t>
      </w:r>
      <w:r w:rsidRPr="000303F7">
        <w:rPr>
          <w:rFonts w:ascii="Times New Roman" w:hAnsi="Times New Roman" w:eastAsia="Times New Roman" w:cs="Times New Roman"/>
          <w:spacing w:val="-3"/>
          <w:sz w:val="24"/>
          <w:szCs w:val="24"/>
        </w:rPr>
        <w:t xml:space="preserve"> underwriting standards shall be applied as loan sizes increase: </w:t>
      </w:r>
    </w:p>
    <w:p w:rsidRPr="00355C65" w:rsidR="006E573A" w:rsidP="006E573A" w:rsidRDefault="006E573A" w14:paraId="5B85560F"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p>
    <w:p w:rsidRPr="00355C65" w:rsidR="006E573A" w:rsidP="006E573A" w:rsidRDefault="006E573A" w14:paraId="5B855610" w14:textId="01978B97">
      <w:pPr>
        <w:widowControl w:val="0"/>
        <w:overflowPunct w:val="0"/>
        <w:autoSpaceDE w:val="0"/>
        <w:autoSpaceDN w:val="0"/>
        <w:adjustRightInd w:val="0"/>
        <w:ind w:left="720"/>
        <w:jc w:val="both"/>
        <w:textAlignment w:val="baseline"/>
        <w:rPr>
          <w:rFonts w:ascii="Times New Roman" w:hAnsi="Times New Roman" w:eastAsia="Times New Roman" w:cs="Times New Roman"/>
          <w:spacing w:val="-3"/>
          <w:sz w:val="24"/>
          <w:szCs w:val="24"/>
        </w:rPr>
      </w:pPr>
      <w:r w:rsidRPr="00355C65">
        <w:rPr>
          <w:rFonts w:ascii="Times New Roman" w:hAnsi="Times New Roman" w:eastAsia="Times New Roman" w:cs="Times New Roman"/>
          <w:spacing w:val="-3"/>
          <w:sz w:val="24"/>
          <w:szCs w:val="24"/>
        </w:rPr>
        <w:t xml:space="preserve">New Construction/Sub Rehab under Sections 220, 221(d)(4), 231, 241(a) on loans </w:t>
      </w:r>
      <w:r w:rsidRPr="00355C65">
        <w:rPr>
          <w:rFonts w:ascii="Times New Roman" w:hAnsi="Times New Roman" w:eastAsia="Times New Roman" w:cs="Times New Roman"/>
          <w:spacing w:val="-3"/>
          <w:sz w:val="24"/>
          <w:szCs w:val="24"/>
          <w:u w:val="single"/>
        </w:rPr>
        <w:t>at or above $75M</w:t>
      </w:r>
      <w:r w:rsidRPr="00355C65">
        <w:rPr>
          <w:rFonts w:ascii="Times New Roman" w:hAnsi="Times New Roman" w:eastAsia="Times New Roman" w:cs="Times New Roman"/>
          <w:spacing w:val="-3"/>
          <w:sz w:val="24"/>
          <w:szCs w:val="24"/>
        </w:rPr>
        <w:t xml:space="preserve">: </w:t>
      </w:r>
    </w:p>
    <w:p w:rsidRPr="00C63AB2" w:rsidR="00C63AB2" w:rsidP="006E573A" w:rsidRDefault="00C63AB2" w14:paraId="0582801A"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pacing w:val="-3"/>
          <w:sz w:val="24"/>
          <w:szCs w:val="24"/>
        </w:rPr>
      </w:pPr>
    </w:p>
    <w:tbl>
      <w:tblPr>
        <w:tblStyle w:val="TableGrid"/>
        <w:tblW w:w="0" w:type="auto"/>
        <w:tblInd w:w="720" w:type="dxa"/>
        <w:tblLook w:val="04A0" w:firstRow="1" w:lastRow="0" w:firstColumn="1" w:lastColumn="0" w:noHBand="0" w:noVBand="1"/>
      </w:tblPr>
      <w:tblGrid>
        <w:gridCol w:w="2897"/>
        <w:gridCol w:w="2883"/>
        <w:gridCol w:w="2850"/>
      </w:tblGrid>
      <w:tr w:rsidRPr="001D2494" w:rsidR="00592544" w:rsidTr="00A72C91" w14:paraId="5CFBF43F" w14:textId="77777777">
        <w:tc>
          <w:tcPr>
            <w:tcW w:w="3116" w:type="dxa"/>
            <w:shd w:val="clear" w:color="auto" w:fill="D9D9D9" w:themeFill="background1" w:themeFillShade="D9"/>
          </w:tcPr>
          <w:p w:rsidRPr="001D2494" w:rsidR="000D6355" w:rsidP="001F5DFB" w:rsidRDefault="001F5DFB" w14:paraId="6D707EBF" w14:textId="4E6B86B1">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Property</w:t>
            </w:r>
            <w:r w:rsidRPr="001D2494" w:rsidR="004C7CBC">
              <w:rPr>
                <w:rFonts w:ascii="Times New Roman" w:hAnsi="Times New Roman" w:eastAsia="Times New Roman" w:cs="Times New Roman"/>
                <w:spacing w:val="-3"/>
                <w:sz w:val="24"/>
                <w:szCs w:val="24"/>
                <w:u w:val="single"/>
              </w:rPr>
              <w:t xml:space="preserve"> Is:</w:t>
            </w:r>
          </w:p>
        </w:tc>
        <w:tc>
          <w:tcPr>
            <w:tcW w:w="3117" w:type="dxa"/>
          </w:tcPr>
          <w:p w:rsidRPr="001D2494" w:rsidR="000D6355" w:rsidP="00FE6FD9" w:rsidRDefault="00A72C91" w14:paraId="0FBB4AFE" w14:textId="4BC03E94">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Debt Service Coverage Limits</w:t>
            </w:r>
          </w:p>
        </w:tc>
        <w:tc>
          <w:tcPr>
            <w:tcW w:w="3117" w:type="dxa"/>
          </w:tcPr>
          <w:p w:rsidRPr="001D2494" w:rsidR="000D6355" w:rsidP="00FE6FD9" w:rsidRDefault="00A72C91" w14:paraId="1F38B171" w14:textId="01787197">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Loan To Cost Limits</w:t>
            </w:r>
          </w:p>
        </w:tc>
      </w:tr>
      <w:tr w:rsidRPr="001D2494" w:rsidR="00592544" w:rsidTr="000D6355" w14:paraId="65572D28" w14:textId="77777777">
        <w:tc>
          <w:tcPr>
            <w:tcW w:w="3116" w:type="dxa"/>
          </w:tcPr>
          <w:p w:rsidRPr="001D2494" w:rsidR="000D6355" w:rsidP="006E573A" w:rsidRDefault="00592544" w14:paraId="48D5F791" w14:textId="5CDD263D">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Market Rate</w:t>
            </w:r>
            <w:r w:rsidRPr="001D2494" w:rsidR="00874BC6">
              <w:rPr>
                <w:rFonts w:ascii="Times New Roman" w:hAnsi="Times New Roman" w:eastAsia="Times New Roman" w:cs="Times New Roman"/>
                <w:spacing w:val="-3"/>
                <w:sz w:val="24"/>
                <w:szCs w:val="24"/>
                <w:u w:val="single"/>
              </w:rPr>
              <w:t xml:space="preserve"> </w:t>
            </w:r>
            <w:r w:rsidRPr="001D2494" w:rsidR="00B43A73">
              <w:rPr>
                <w:rFonts w:ascii="Times New Roman" w:hAnsi="Times New Roman" w:eastAsia="Times New Roman" w:cs="Times New Roman"/>
                <w:spacing w:val="-3"/>
                <w:sz w:val="24"/>
                <w:szCs w:val="24"/>
                <w:u w:val="single"/>
              </w:rPr>
              <w:t xml:space="preserve">&amp; LIHTC </w:t>
            </w:r>
            <w:r w:rsidRPr="001D2494" w:rsidR="001E09A4">
              <w:rPr>
                <w:rFonts w:ascii="Times New Roman" w:hAnsi="Times New Roman" w:eastAsia="Times New Roman" w:cs="Times New Roman"/>
                <w:spacing w:val="-3"/>
                <w:sz w:val="24"/>
                <w:szCs w:val="24"/>
                <w:u w:val="single"/>
              </w:rPr>
              <w:t>w</w:t>
            </w:r>
            <w:r w:rsidRPr="001D2494" w:rsidR="00800372">
              <w:rPr>
                <w:rFonts w:ascii="Times New Roman" w:hAnsi="Times New Roman" w:eastAsia="Times New Roman" w:cs="Times New Roman"/>
                <w:spacing w:val="-3"/>
                <w:sz w:val="24"/>
                <w:szCs w:val="24"/>
                <w:u w:val="single"/>
              </w:rPr>
              <w:t>ith no rent advantage</w:t>
            </w:r>
          </w:p>
        </w:tc>
        <w:tc>
          <w:tcPr>
            <w:tcW w:w="3117" w:type="dxa"/>
          </w:tcPr>
          <w:p w:rsidRPr="001D2494" w:rsidR="000D6355" w:rsidP="00FE6FD9" w:rsidRDefault="00C16D08" w14:paraId="538757FB" w14:textId="5E75217A">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1.30</w:t>
            </w:r>
          </w:p>
        </w:tc>
        <w:tc>
          <w:tcPr>
            <w:tcW w:w="3117" w:type="dxa"/>
          </w:tcPr>
          <w:p w:rsidRPr="001D2494" w:rsidR="000D6355" w:rsidP="00FE6FD9" w:rsidRDefault="007252E6" w14:paraId="0A471E04" w14:textId="3C01F281">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75%</w:t>
            </w:r>
          </w:p>
        </w:tc>
      </w:tr>
      <w:tr w:rsidRPr="001D2494" w:rsidR="00592544" w:rsidTr="000D6355" w14:paraId="1861DD98" w14:textId="77777777">
        <w:tc>
          <w:tcPr>
            <w:tcW w:w="3116" w:type="dxa"/>
          </w:tcPr>
          <w:p w:rsidRPr="001D2494" w:rsidR="000D6355" w:rsidP="006E573A" w:rsidRDefault="00E21278" w14:paraId="5C6C5017" w14:textId="4B6E4F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Affordable</w:t>
            </w:r>
          </w:p>
        </w:tc>
        <w:tc>
          <w:tcPr>
            <w:tcW w:w="3117" w:type="dxa"/>
          </w:tcPr>
          <w:p w:rsidRPr="001D2494" w:rsidR="000D6355" w:rsidP="00FE6FD9" w:rsidRDefault="00381490" w14:paraId="42496629" w14:textId="51076FF0">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1.25</w:t>
            </w:r>
          </w:p>
        </w:tc>
        <w:tc>
          <w:tcPr>
            <w:tcW w:w="3117" w:type="dxa"/>
          </w:tcPr>
          <w:p w:rsidRPr="001D2494" w:rsidR="000D6355" w:rsidP="00FE6FD9" w:rsidRDefault="00B15549" w14:paraId="14E10AA3" w14:textId="5251E1CB">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80%</w:t>
            </w:r>
          </w:p>
        </w:tc>
      </w:tr>
      <w:tr w:rsidRPr="001D2494" w:rsidR="00592544" w:rsidTr="000D6355" w14:paraId="6FA77DAC" w14:textId="77777777">
        <w:tc>
          <w:tcPr>
            <w:tcW w:w="3116" w:type="dxa"/>
          </w:tcPr>
          <w:p w:rsidRPr="001D2494" w:rsidR="000D6355" w:rsidP="006E573A" w:rsidRDefault="00FF6F83" w14:paraId="7D7EC38B" w14:textId="16C69D53">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=&gt; 90% Rent Assisted</w:t>
            </w:r>
          </w:p>
        </w:tc>
        <w:tc>
          <w:tcPr>
            <w:tcW w:w="3117" w:type="dxa"/>
          </w:tcPr>
          <w:p w:rsidRPr="001D2494" w:rsidR="000D6355" w:rsidP="00FE6FD9" w:rsidRDefault="00343B9E" w14:paraId="03209599" w14:textId="1F68EC1B">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1.15</w:t>
            </w:r>
          </w:p>
        </w:tc>
        <w:tc>
          <w:tcPr>
            <w:tcW w:w="3117" w:type="dxa"/>
          </w:tcPr>
          <w:p w:rsidRPr="001D2494" w:rsidR="000D6355" w:rsidP="00FE6FD9" w:rsidRDefault="00FE6FD9" w14:paraId="1417C9DA" w14:textId="227F6F38">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87%</w:t>
            </w:r>
          </w:p>
        </w:tc>
      </w:tr>
    </w:tbl>
    <w:p w:rsidRPr="001D2494" w:rsidR="008F5D51" w:rsidP="006E573A" w:rsidRDefault="008F5D51" w14:paraId="1B9483AF" w14:textId="77777777">
      <w:pPr>
        <w:widowControl w:val="0"/>
        <w:overflowPunct w:val="0"/>
        <w:autoSpaceDE w:val="0"/>
        <w:autoSpaceDN w:val="0"/>
        <w:adjustRightInd w:val="0"/>
        <w:textAlignment w:val="baseline"/>
        <w:rPr>
          <w:rFonts w:ascii="Times New Roman" w:hAnsi="Times New Roman" w:eastAsia="Times New Roman" w:cs="Times New Roman"/>
          <w:spacing w:val="-3"/>
          <w:sz w:val="24"/>
          <w:szCs w:val="24"/>
          <w:u w:val="single"/>
        </w:rPr>
      </w:pPr>
    </w:p>
    <w:p w:rsidRPr="00445748" w:rsidR="006E573A" w:rsidP="006E573A" w:rsidRDefault="00661FBE" w14:paraId="5B855626" w14:textId="1196AAAE">
      <w:pPr>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ab/>
      </w:r>
      <w:r w:rsidR="00D420BA">
        <w:rPr>
          <w:rFonts w:ascii="Times New Roman" w:hAnsi="Times New Roman" w:eastAsia="Times New Roman" w:cs="Times New Roman"/>
          <w:spacing w:val="-3"/>
          <w:sz w:val="24"/>
          <w:szCs w:val="24"/>
        </w:rPr>
        <w:t>S</w:t>
      </w:r>
      <w:r w:rsidRPr="00445748" w:rsidR="002D1D9C">
        <w:rPr>
          <w:rFonts w:ascii="Times New Roman" w:hAnsi="Times New Roman" w:eastAsia="Times New Roman" w:cs="Times New Roman"/>
          <w:spacing w:val="-3"/>
          <w:sz w:val="24"/>
          <w:szCs w:val="24"/>
        </w:rPr>
        <w:t>ection 241(a) loans are limited by statu</w:t>
      </w:r>
      <w:r w:rsidR="00B51F97">
        <w:rPr>
          <w:rFonts w:ascii="Times New Roman" w:hAnsi="Times New Roman" w:eastAsia="Times New Roman" w:cs="Times New Roman"/>
          <w:spacing w:val="-3"/>
          <w:sz w:val="24"/>
          <w:szCs w:val="24"/>
        </w:rPr>
        <w:t>t</w:t>
      </w:r>
      <w:r w:rsidRPr="00445748" w:rsidR="002D1D9C">
        <w:rPr>
          <w:rFonts w:ascii="Times New Roman" w:hAnsi="Times New Roman" w:eastAsia="Times New Roman" w:cs="Times New Roman"/>
          <w:spacing w:val="-3"/>
          <w:sz w:val="24"/>
          <w:szCs w:val="24"/>
        </w:rPr>
        <w:t>e to 90% (s</w:t>
      </w:r>
      <w:r w:rsidRPr="00445748" w:rsidR="009E3D40">
        <w:rPr>
          <w:rFonts w:ascii="Times New Roman" w:hAnsi="Times New Roman" w:eastAsia="Times New Roman" w:cs="Times New Roman"/>
          <w:spacing w:val="-3"/>
          <w:sz w:val="24"/>
          <w:szCs w:val="24"/>
        </w:rPr>
        <w:t xml:space="preserve">ee Chapter </w:t>
      </w:r>
      <w:r w:rsidRPr="00445748" w:rsidR="002D1D9C">
        <w:rPr>
          <w:rFonts w:ascii="Times New Roman" w:hAnsi="Times New Roman" w:eastAsia="Times New Roman" w:cs="Times New Roman"/>
          <w:spacing w:val="-3"/>
          <w:sz w:val="24"/>
          <w:szCs w:val="24"/>
        </w:rPr>
        <w:t>3.6.)</w:t>
      </w:r>
    </w:p>
    <w:p w:rsidRPr="001D2494" w:rsidR="002D1D9C" w:rsidP="006E573A" w:rsidRDefault="002D1D9C" w14:paraId="63B0682B" w14:textId="77777777">
      <w:pPr>
        <w:widowControl w:val="0"/>
        <w:overflowPunct w:val="0"/>
        <w:autoSpaceDE w:val="0"/>
        <w:autoSpaceDN w:val="0"/>
        <w:adjustRightInd w:val="0"/>
        <w:textAlignment w:val="baseline"/>
        <w:rPr>
          <w:rFonts w:ascii="Times New Roman" w:hAnsi="Times New Roman" w:eastAsia="Times New Roman" w:cs="Times New Roman"/>
          <w:spacing w:val="-3"/>
          <w:sz w:val="24"/>
          <w:szCs w:val="24"/>
          <w:u w:val="single"/>
        </w:rPr>
      </w:pPr>
    </w:p>
    <w:p w:rsidRPr="001D2494" w:rsidR="00C63AB2" w:rsidP="00C63AB2" w:rsidRDefault="006E573A" w14:paraId="5B855627" w14:textId="77777777">
      <w:pPr>
        <w:widowControl w:val="0"/>
        <w:overflowPunct w:val="0"/>
        <w:autoSpaceDE w:val="0"/>
        <w:autoSpaceDN w:val="0"/>
        <w:adjustRightInd w:val="0"/>
        <w:ind w:left="720"/>
        <w:textAlignment w:val="baseline"/>
        <w:rPr>
          <w:rFonts w:ascii="Times New Roman" w:hAnsi="Times New Roman" w:eastAsia="Times New Roman" w:cs="Times New Roman"/>
          <w:spacing w:val="-3"/>
          <w:sz w:val="24"/>
          <w:szCs w:val="24"/>
          <w:u w:val="single"/>
        </w:rPr>
      </w:pPr>
      <w:r w:rsidRPr="0034457D">
        <w:rPr>
          <w:rFonts w:ascii="Times New Roman" w:hAnsi="Times New Roman" w:eastAsia="Times New Roman" w:cs="Times New Roman"/>
          <w:spacing w:val="-3"/>
          <w:sz w:val="24"/>
          <w:szCs w:val="24"/>
        </w:rPr>
        <w:t>Refinancing under Section 223(f) on</w:t>
      </w:r>
      <w:r w:rsidRPr="001D2494">
        <w:rPr>
          <w:rFonts w:ascii="Times New Roman" w:hAnsi="Times New Roman" w:eastAsia="Times New Roman" w:cs="Times New Roman"/>
          <w:spacing w:val="-3"/>
          <w:sz w:val="24"/>
          <w:szCs w:val="24"/>
          <w:u w:val="single"/>
        </w:rPr>
        <w:t xml:space="preserve"> loans </w:t>
      </w:r>
      <w:r w:rsidRPr="00355C65">
        <w:rPr>
          <w:rFonts w:ascii="Times New Roman" w:hAnsi="Times New Roman" w:eastAsia="Times New Roman" w:cs="Times New Roman"/>
          <w:spacing w:val="-3"/>
          <w:sz w:val="24"/>
          <w:szCs w:val="24"/>
          <w:u w:val="single"/>
        </w:rPr>
        <w:t>at or above $75M</w:t>
      </w:r>
      <w:r w:rsidRPr="001D2494">
        <w:rPr>
          <w:rFonts w:ascii="Times New Roman" w:hAnsi="Times New Roman" w:eastAsia="Times New Roman" w:cs="Times New Roman"/>
          <w:spacing w:val="-3"/>
          <w:sz w:val="24"/>
          <w:szCs w:val="24"/>
          <w:u w:val="single"/>
        </w:rPr>
        <w:t xml:space="preserve">: </w:t>
      </w:r>
    </w:p>
    <w:p w:rsidRPr="001D2494" w:rsidR="009147F4" w:rsidP="006E573A" w:rsidRDefault="009147F4" w14:paraId="1FA5722B" w14:textId="77777777">
      <w:pPr>
        <w:widowControl w:val="0"/>
        <w:overflowPunct w:val="0"/>
        <w:autoSpaceDE w:val="0"/>
        <w:autoSpaceDN w:val="0"/>
        <w:adjustRightInd w:val="0"/>
        <w:ind w:left="720"/>
        <w:textAlignment w:val="baseline"/>
        <w:rPr>
          <w:rFonts w:ascii="Times New Roman" w:hAnsi="Times New Roman" w:eastAsia="Times New Roman" w:cs="Times New Roman"/>
          <w:spacing w:val="-3"/>
          <w:sz w:val="24"/>
          <w:szCs w:val="24"/>
          <w:u w:val="single"/>
        </w:rPr>
      </w:pPr>
    </w:p>
    <w:tbl>
      <w:tblPr>
        <w:tblStyle w:val="TableGrid"/>
        <w:tblW w:w="0" w:type="auto"/>
        <w:tblInd w:w="720" w:type="dxa"/>
        <w:tblLook w:val="04A0" w:firstRow="1" w:lastRow="0" w:firstColumn="1" w:lastColumn="0" w:noHBand="0" w:noVBand="1"/>
      </w:tblPr>
      <w:tblGrid>
        <w:gridCol w:w="2871"/>
        <w:gridCol w:w="2855"/>
        <w:gridCol w:w="2904"/>
      </w:tblGrid>
      <w:tr w:rsidRPr="001D2494" w:rsidR="008B0982" w:rsidTr="00D50964" w14:paraId="6B7B8AD9" w14:textId="77777777">
        <w:tc>
          <w:tcPr>
            <w:tcW w:w="3116" w:type="dxa"/>
            <w:shd w:val="clear" w:color="auto" w:fill="D9D9D9" w:themeFill="background1" w:themeFillShade="D9"/>
          </w:tcPr>
          <w:p w:rsidRPr="001D2494" w:rsidR="009A4A75" w:rsidP="001F5DFB" w:rsidRDefault="001F5DFB" w14:paraId="5C8119E0" w14:textId="2C946BC5">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Property</w:t>
            </w:r>
            <w:r w:rsidRPr="001D2494" w:rsidR="00184B55">
              <w:rPr>
                <w:rFonts w:ascii="Times New Roman" w:hAnsi="Times New Roman" w:eastAsia="Times New Roman" w:cs="Times New Roman"/>
                <w:spacing w:val="-3"/>
                <w:sz w:val="24"/>
                <w:szCs w:val="24"/>
                <w:u w:val="single"/>
              </w:rPr>
              <w:t xml:space="preserve"> Is:</w:t>
            </w:r>
          </w:p>
        </w:tc>
        <w:tc>
          <w:tcPr>
            <w:tcW w:w="3117" w:type="dxa"/>
          </w:tcPr>
          <w:p w:rsidRPr="001D2494" w:rsidR="009A4A75" w:rsidP="00E00E64" w:rsidRDefault="00453E3D" w14:paraId="5FCA938B" w14:textId="117951FB">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Debt Service Coverage Limits</w:t>
            </w:r>
          </w:p>
        </w:tc>
        <w:tc>
          <w:tcPr>
            <w:tcW w:w="3117" w:type="dxa"/>
          </w:tcPr>
          <w:p w:rsidRPr="001D2494" w:rsidR="009A4A75" w:rsidP="00FF78D7" w:rsidRDefault="00E00E64" w14:paraId="798B2E48" w14:textId="3E90627B">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Loan to Value</w:t>
            </w:r>
            <w:r w:rsidRPr="001D2494" w:rsidR="00931A79">
              <w:rPr>
                <w:rFonts w:ascii="Times New Roman" w:hAnsi="Times New Roman" w:eastAsia="Times New Roman" w:cs="Times New Roman"/>
                <w:spacing w:val="-3"/>
                <w:sz w:val="24"/>
                <w:szCs w:val="24"/>
                <w:u w:val="single"/>
              </w:rPr>
              <w:t xml:space="preserve">   </w:t>
            </w:r>
            <w:r w:rsidRPr="001D2494" w:rsidR="00114F68">
              <w:rPr>
                <w:rFonts w:ascii="Times New Roman" w:hAnsi="Times New Roman" w:eastAsia="Times New Roman" w:cs="Times New Roman"/>
                <w:spacing w:val="-3"/>
                <w:sz w:val="24"/>
                <w:szCs w:val="24"/>
                <w:u w:val="single"/>
              </w:rPr>
              <w:t xml:space="preserve"> </w:t>
            </w:r>
            <w:r w:rsidRPr="001D2494" w:rsidR="007902BF">
              <w:rPr>
                <w:rFonts w:ascii="Times New Roman" w:hAnsi="Times New Roman" w:eastAsia="Times New Roman" w:cs="Times New Roman"/>
                <w:spacing w:val="-3"/>
                <w:sz w:val="24"/>
                <w:szCs w:val="24"/>
                <w:u w:val="single"/>
              </w:rPr>
              <w:t>(</w:t>
            </w:r>
            <w:r w:rsidRPr="001D2494" w:rsidR="0060686E">
              <w:rPr>
                <w:rFonts w:ascii="Times New Roman" w:hAnsi="Times New Roman" w:eastAsia="Times New Roman" w:cs="Times New Roman"/>
                <w:spacing w:val="-3"/>
                <w:sz w:val="24"/>
                <w:szCs w:val="24"/>
                <w:u w:val="single"/>
              </w:rPr>
              <w:t>without</w:t>
            </w:r>
            <w:r w:rsidR="00FB4D7C">
              <w:rPr>
                <w:rFonts w:ascii="Times New Roman" w:hAnsi="Times New Roman" w:eastAsia="Times New Roman" w:cs="Times New Roman"/>
                <w:spacing w:val="-3"/>
                <w:sz w:val="24"/>
                <w:szCs w:val="24"/>
                <w:u w:val="single"/>
              </w:rPr>
              <w:t>/</w:t>
            </w:r>
            <w:r w:rsidRPr="001D2494" w:rsidR="0060686E">
              <w:rPr>
                <w:rFonts w:ascii="Times New Roman" w:hAnsi="Times New Roman" w:eastAsia="Times New Roman" w:cs="Times New Roman"/>
                <w:spacing w:val="-3"/>
                <w:sz w:val="24"/>
                <w:szCs w:val="24"/>
                <w:u w:val="single"/>
              </w:rPr>
              <w:t xml:space="preserve">with </w:t>
            </w:r>
            <w:r w:rsidRPr="001D2494" w:rsidR="00835C14">
              <w:rPr>
                <w:rFonts w:ascii="Times New Roman" w:hAnsi="Times New Roman" w:eastAsia="Times New Roman" w:cs="Times New Roman"/>
                <w:spacing w:val="-3"/>
                <w:sz w:val="24"/>
                <w:szCs w:val="24"/>
                <w:u w:val="single"/>
              </w:rPr>
              <w:t>cash out</w:t>
            </w:r>
            <w:r w:rsidR="001423BA">
              <w:rPr>
                <w:rFonts w:ascii="Times New Roman" w:hAnsi="Times New Roman" w:eastAsia="Times New Roman" w:cs="Times New Roman"/>
                <w:spacing w:val="-3"/>
                <w:sz w:val="24"/>
                <w:szCs w:val="24"/>
                <w:u w:val="single"/>
              </w:rPr>
              <w:t>*</w:t>
            </w:r>
            <w:r w:rsidRPr="001D2494" w:rsidR="00FF78D7">
              <w:rPr>
                <w:rFonts w:ascii="Times New Roman" w:hAnsi="Times New Roman" w:eastAsia="Times New Roman" w:cs="Times New Roman"/>
                <w:spacing w:val="-3"/>
                <w:sz w:val="24"/>
                <w:szCs w:val="24"/>
                <w:u w:val="single"/>
              </w:rPr>
              <w:t>)</w:t>
            </w:r>
          </w:p>
        </w:tc>
      </w:tr>
      <w:tr w:rsidRPr="001D2494" w:rsidR="008B0982" w:rsidTr="009A4A75" w14:paraId="7BD87F6D" w14:textId="77777777">
        <w:tc>
          <w:tcPr>
            <w:tcW w:w="3116" w:type="dxa"/>
          </w:tcPr>
          <w:p w:rsidRPr="001D2494" w:rsidR="009A4A75" w:rsidP="006E573A" w:rsidRDefault="008B0982" w14:paraId="7D8A890F" w14:textId="0579FABA">
            <w:pPr>
              <w:widowControl w:val="0"/>
              <w:overflowPunct w:val="0"/>
              <w:autoSpaceDE w:val="0"/>
              <w:autoSpaceDN w:val="0"/>
              <w:adjustRightInd w:val="0"/>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Market Rate &amp; LIHTC with no rent advantage</w:t>
            </w:r>
          </w:p>
        </w:tc>
        <w:tc>
          <w:tcPr>
            <w:tcW w:w="3117" w:type="dxa"/>
          </w:tcPr>
          <w:p w:rsidRPr="001D2494" w:rsidR="009A4A75" w:rsidP="001F5DFB" w:rsidRDefault="00014003" w14:paraId="46B909BF" w14:textId="490F362C">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1.3</w:t>
            </w:r>
            <w:r w:rsidRPr="001D2494" w:rsidR="00675CD3">
              <w:rPr>
                <w:rFonts w:ascii="Times New Roman" w:hAnsi="Times New Roman" w:eastAsia="Times New Roman" w:cs="Times New Roman"/>
                <w:spacing w:val="-3"/>
                <w:sz w:val="24"/>
                <w:szCs w:val="24"/>
                <w:u w:val="single"/>
              </w:rPr>
              <w:t>0</w:t>
            </w:r>
          </w:p>
        </w:tc>
        <w:tc>
          <w:tcPr>
            <w:tcW w:w="3117" w:type="dxa"/>
          </w:tcPr>
          <w:p w:rsidRPr="001D2494" w:rsidR="009A4A75" w:rsidP="001F5DFB" w:rsidRDefault="00675CD3" w14:paraId="43B7C39F" w14:textId="622E87F7">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75%</w:t>
            </w:r>
            <w:r w:rsidRPr="001D2494" w:rsidR="009254FF">
              <w:rPr>
                <w:rFonts w:ascii="Times New Roman" w:hAnsi="Times New Roman" w:eastAsia="Times New Roman" w:cs="Times New Roman"/>
                <w:spacing w:val="-3"/>
                <w:sz w:val="24"/>
                <w:szCs w:val="24"/>
                <w:u w:val="single"/>
              </w:rPr>
              <w:t>/</w:t>
            </w:r>
            <w:r w:rsidRPr="001D2494" w:rsidR="00201545">
              <w:rPr>
                <w:rFonts w:ascii="Times New Roman" w:hAnsi="Times New Roman" w:eastAsia="Times New Roman" w:cs="Times New Roman"/>
                <w:spacing w:val="-3"/>
                <w:sz w:val="24"/>
                <w:szCs w:val="24"/>
                <w:u w:val="single"/>
              </w:rPr>
              <w:t>70%</w:t>
            </w:r>
          </w:p>
        </w:tc>
      </w:tr>
      <w:tr w:rsidRPr="001D2494" w:rsidR="008B0982" w:rsidTr="009A4A75" w14:paraId="4E9EE3DB" w14:textId="77777777">
        <w:tc>
          <w:tcPr>
            <w:tcW w:w="3116" w:type="dxa"/>
          </w:tcPr>
          <w:p w:rsidRPr="001D2494" w:rsidR="009A4A75" w:rsidP="006E573A" w:rsidRDefault="00201545" w14:paraId="3B9D828B" w14:textId="0E9CE59F">
            <w:pPr>
              <w:widowControl w:val="0"/>
              <w:overflowPunct w:val="0"/>
              <w:autoSpaceDE w:val="0"/>
              <w:autoSpaceDN w:val="0"/>
              <w:adjustRightInd w:val="0"/>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Affordable</w:t>
            </w:r>
          </w:p>
        </w:tc>
        <w:tc>
          <w:tcPr>
            <w:tcW w:w="3117" w:type="dxa"/>
          </w:tcPr>
          <w:p w:rsidRPr="001D2494" w:rsidR="009A4A75" w:rsidP="001F5DFB" w:rsidRDefault="0072256F" w14:paraId="24A5D169" w14:textId="03519649">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1.25</w:t>
            </w:r>
          </w:p>
        </w:tc>
        <w:tc>
          <w:tcPr>
            <w:tcW w:w="3117" w:type="dxa"/>
          </w:tcPr>
          <w:p w:rsidRPr="001D2494" w:rsidR="009A4A75" w:rsidP="001F5DFB" w:rsidRDefault="00551E06" w14:paraId="085F647E" w14:textId="00E613BB">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80%/</w:t>
            </w:r>
            <w:r w:rsidRPr="001D2494" w:rsidR="00C00916">
              <w:rPr>
                <w:rFonts w:ascii="Times New Roman" w:hAnsi="Times New Roman" w:eastAsia="Times New Roman" w:cs="Times New Roman"/>
                <w:spacing w:val="-3"/>
                <w:sz w:val="24"/>
                <w:szCs w:val="24"/>
                <w:u w:val="single"/>
              </w:rPr>
              <w:t>70%</w:t>
            </w:r>
          </w:p>
        </w:tc>
      </w:tr>
      <w:tr w:rsidRPr="001D2494" w:rsidR="008B0982" w:rsidTr="009A4A75" w14:paraId="2AACE962" w14:textId="77777777">
        <w:tc>
          <w:tcPr>
            <w:tcW w:w="3116" w:type="dxa"/>
          </w:tcPr>
          <w:p w:rsidRPr="001D2494" w:rsidR="009A4A75" w:rsidP="006E573A" w:rsidRDefault="0062314C" w14:paraId="4098173C" w14:textId="53C3C667">
            <w:pPr>
              <w:widowControl w:val="0"/>
              <w:overflowPunct w:val="0"/>
              <w:autoSpaceDE w:val="0"/>
              <w:autoSpaceDN w:val="0"/>
              <w:adjustRightInd w:val="0"/>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=&gt; 90% Rent Assisted</w:t>
            </w:r>
          </w:p>
        </w:tc>
        <w:tc>
          <w:tcPr>
            <w:tcW w:w="3117" w:type="dxa"/>
          </w:tcPr>
          <w:p w:rsidRPr="001D2494" w:rsidR="009A4A75" w:rsidP="001F5DFB" w:rsidRDefault="0062314C" w14:paraId="25C027FF" w14:textId="47321636">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1.15</w:t>
            </w:r>
          </w:p>
        </w:tc>
        <w:tc>
          <w:tcPr>
            <w:tcW w:w="3117" w:type="dxa"/>
          </w:tcPr>
          <w:p w:rsidRPr="001D2494" w:rsidR="009A4A75" w:rsidP="001F5DFB" w:rsidRDefault="001F5DFB" w14:paraId="57CB3B40" w14:textId="6487B24B">
            <w:pPr>
              <w:widowControl w:val="0"/>
              <w:overflowPunct w:val="0"/>
              <w:autoSpaceDE w:val="0"/>
              <w:autoSpaceDN w:val="0"/>
              <w:adjustRightInd w:val="0"/>
              <w:jc w:val="center"/>
              <w:textAlignment w:val="baseline"/>
              <w:rPr>
                <w:rFonts w:ascii="Times New Roman" w:hAnsi="Times New Roman" w:eastAsia="Times New Roman" w:cs="Times New Roman"/>
                <w:spacing w:val="-3"/>
                <w:sz w:val="24"/>
                <w:szCs w:val="24"/>
                <w:u w:val="single"/>
              </w:rPr>
            </w:pPr>
            <w:r w:rsidRPr="001D2494">
              <w:rPr>
                <w:rFonts w:ascii="Times New Roman" w:hAnsi="Times New Roman" w:eastAsia="Times New Roman" w:cs="Times New Roman"/>
                <w:spacing w:val="-3"/>
                <w:sz w:val="24"/>
                <w:szCs w:val="24"/>
                <w:u w:val="single"/>
              </w:rPr>
              <w:t>87%/80%</w:t>
            </w:r>
          </w:p>
        </w:tc>
      </w:tr>
    </w:tbl>
    <w:p w:rsidRPr="001D2494" w:rsidR="006E573A" w:rsidP="006E573A" w:rsidRDefault="006E573A" w14:paraId="5B855628" w14:textId="77777777">
      <w:pPr>
        <w:widowControl w:val="0"/>
        <w:overflowPunct w:val="0"/>
        <w:autoSpaceDE w:val="0"/>
        <w:autoSpaceDN w:val="0"/>
        <w:adjustRightInd w:val="0"/>
        <w:textAlignment w:val="baseline"/>
        <w:rPr>
          <w:rFonts w:ascii="Times New Roman" w:hAnsi="Times New Roman" w:eastAsia="Times New Roman" w:cs="Times New Roman"/>
          <w:spacing w:val="-3"/>
          <w:sz w:val="24"/>
          <w:szCs w:val="24"/>
          <w:u w:val="single"/>
        </w:rPr>
      </w:pPr>
    </w:p>
    <w:p w:rsidRPr="001D2494" w:rsidR="006E573A" w:rsidP="006E573A" w:rsidRDefault="001423BA" w14:paraId="5B85563E" w14:textId="5EFD7824">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u w:val="single"/>
        </w:rPr>
      </w:pPr>
      <w:r w:rsidRPr="00E97AB5">
        <w:rPr>
          <w:rFonts w:ascii="Times New Roman" w:hAnsi="Times New Roman" w:eastAsia="Times New Roman" w:cs="Times New Roman"/>
          <w:spacing w:val="-3"/>
          <w:sz w:val="24"/>
          <w:szCs w:val="24"/>
        </w:rPr>
        <w:tab/>
      </w:r>
      <w:r w:rsidRPr="00E97AB5" w:rsidR="000962FC">
        <w:rPr>
          <w:rFonts w:ascii="Times New Roman" w:hAnsi="Times New Roman" w:eastAsia="Times New Roman" w:cs="Times New Roman"/>
          <w:spacing w:val="-3"/>
          <w:sz w:val="24"/>
          <w:szCs w:val="24"/>
        </w:rPr>
        <w:t>* Note</w:t>
      </w:r>
      <w:r w:rsidRPr="00E97AB5" w:rsidR="000E64A6">
        <w:rPr>
          <w:rFonts w:ascii="Times New Roman" w:hAnsi="Times New Roman" w:eastAsia="Times New Roman" w:cs="Times New Roman"/>
          <w:spacing w:val="-3"/>
          <w:sz w:val="24"/>
          <w:szCs w:val="24"/>
        </w:rPr>
        <w:t xml:space="preserve">: </w:t>
      </w:r>
      <w:r w:rsidRPr="00E97AB5" w:rsidR="004F126F">
        <w:rPr>
          <w:rFonts w:ascii="Times New Roman" w:hAnsi="Times New Roman" w:eastAsia="Times New Roman" w:cs="Times New Roman"/>
          <w:spacing w:val="-3"/>
          <w:sz w:val="24"/>
          <w:szCs w:val="24"/>
        </w:rPr>
        <w:t>Loan</w:t>
      </w:r>
      <w:r w:rsidRPr="00E97AB5" w:rsidR="00F242F9">
        <w:rPr>
          <w:rFonts w:ascii="Times New Roman" w:hAnsi="Times New Roman" w:eastAsia="Times New Roman" w:cs="Times New Roman"/>
          <w:spacing w:val="-3"/>
          <w:sz w:val="24"/>
          <w:szCs w:val="24"/>
        </w:rPr>
        <w:t xml:space="preserve"> amount with cash</w:t>
      </w:r>
      <w:r w:rsidRPr="00E97AB5" w:rsidR="000E64A6">
        <w:rPr>
          <w:rFonts w:ascii="Times New Roman" w:hAnsi="Times New Roman" w:eastAsia="Times New Roman" w:cs="Times New Roman"/>
          <w:spacing w:val="-3"/>
          <w:sz w:val="24"/>
          <w:szCs w:val="24"/>
        </w:rPr>
        <w:t xml:space="preserve"> out is </w:t>
      </w:r>
      <w:r w:rsidRPr="00E97AB5" w:rsidR="00F242F9">
        <w:rPr>
          <w:rFonts w:ascii="Times New Roman" w:hAnsi="Times New Roman" w:eastAsia="Times New Roman" w:cs="Times New Roman"/>
          <w:spacing w:val="-3"/>
          <w:sz w:val="24"/>
          <w:szCs w:val="24"/>
        </w:rPr>
        <w:t xml:space="preserve">determined </w:t>
      </w:r>
      <w:r w:rsidRPr="00E97AB5" w:rsidR="0068743A">
        <w:rPr>
          <w:rFonts w:ascii="Times New Roman" w:hAnsi="Times New Roman" w:eastAsia="Times New Roman" w:cs="Times New Roman"/>
          <w:spacing w:val="-3"/>
          <w:sz w:val="24"/>
          <w:szCs w:val="24"/>
        </w:rPr>
        <w:t>at</w:t>
      </w:r>
      <w:r w:rsidRPr="00E97AB5" w:rsidR="00CD3695">
        <w:rPr>
          <w:rFonts w:ascii="Times New Roman" w:hAnsi="Times New Roman" w:eastAsia="Times New Roman" w:cs="Times New Roman"/>
          <w:spacing w:val="-3"/>
          <w:sz w:val="24"/>
          <w:szCs w:val="24"/>
        </w:rPr>
        <w:t xml:space="preserve"> Criterion 10 of the </w:t>
      </w:r>
      <w:r w:rsidR="00904A35">
        <w:rPr>
          <w:rFonts w:ascii="Times New Roman" w:hAnsi="Times New Roman" w:eastAsia="Times New Roman" w:cs="Times New Roman"/>
          <w:spacing w:val="-3"/>
          <w:sz w:val="24"/>
          <w:szCs w:val="24"/>
        </w:rPr>
        <w:t xml:space="preserve">Form </w:t>
      </w:r>
      <w:r w:rsidRPr="00E97AB5" w:rsidR="00CD3695">
        <w:rPr>
          <w:rFonts w:ascii="Times New Roman" w:hAnsi="Times New Roman" w:eastAsia="Times New Roman" w:cs="Times New Roman"/>
          <w:spacing w:val="-3"/>
          <w:sz w:val="24"/>
          <w:szCs w:val="24"/>
        </w:rPr>
        <w:t xml:space="preserve">HUD </w:t>
      </w:r>
      <w:r w:rsidR="00904A35">
        <w:rPr>
          <w:rFonts w:ascii="Times New Roman" w:hAnsi="Times New Roman" w:eastAsia="Times New Roman" w:cs="Times New Roman"/>
          <w:spacing w:val="-3"/>
          <w:sz w:val="24"/>
          <w:szCs w:val="24"/>
        </w:rPr>
        <w:t>9</w:t>
      </w:r>
      <w:r w:rsidRPr="00E97AB5" w:rsidR="00CD3695">
        <w:rPr>
          <w:rFonts w:ascii="Times New Roman" w:hAnsi="Times New Roman" w:eastAsia="Times New Roman" w:cs="Times New Roman"/>
          <w:spacing w:val="-3"/>
          <w:sz w:val="24"/>
          <w:szCs w:val="24"/>
        </w:rPr>
        <w:t>2264</w:t>
      </w:r>
      <w:r w:rsidRPr="00E97AB5" w:rsidR="005522A2">
        <w:rPr>
          <w:rFonts w:ascii="Times New Roman" w:hAnsi="Times New Roman" w:eastAsia="Times New Roman" w:cs="Times New Roman"/>
          <w:spacing w:val="-3"/>
          <w:sz w:val="24"/>
          <w:szCs w:val="24"/>
        </w:rPr>
        <w:t>A</w:t>
      </w:r>
      <w:r w:rsidRPr="00861DD4" w:rsidR="0074093C">
        <w:rPr>
          <w:rFonts w:ascii="Times New Roman" w:hAnsi="Times New Roman" w:eastAsia="Times New Roman" w:cs="Times New Roman"/>
          <w:spacing w:val="-3"/>
          <w:sz w:val="24"/>
          <w:szCs w:val="24"/>
        </w:rPr>
        <w:t>.</w:t>
      </w:r>
    </w:p>
    <w:p w:rsidRPr="00355C65" w:rsidR="006E573A" w:rsidP="006E573A" w:rsidRDefault="006E573A" w14:paraId="5B855642" w14:textId="3C43D6EF">
      <w:pPr>
        <w:widowControl w:val="0"/>
        <w:shd w:val="clear" w:color="auto" w:fill="FFFFFF" w:themeFill="background1"/>
        <w:overflowPunct w:val="0"/>
        <w:autoSpaceDE w:val="0"/>
        <w:autoSpaceDN w:val="0"/>
        <w:adjustRightInd w:val="0"/>
        <w:jc w:val="both"/>
        <w:textAlignment w:val="baseline"/>
        <w:rPr>
          <w:rFonts w:ascii="Times New Roman" w:hAnsi="Times New Roman" w:eastAsia="Times New Roman" w:cs="Times New Roman"/>
          <w:spacing w:val="-3"/>
          <w:sz w:val="24"/>
          <w:szCs w:val="24"/>
        </w:rPr>
      </w:pPr>
    </w:p>
    <w:p w:rsidRPr="00355C65" w:rsidR="006E573A" w:rsidP="00DC12A0" w:rsidRDefault="00F10694" w14:paraId="5B855645" w14:textId="221DFC6E">
      <w:pPr>
        <w:widowControl w:val="0"/>
        <w:overflowPunct w:val="0"/>
        <w:autoSpaceDE w:val="0"/>
        <w:autoSpaceDN w:val="0"/>
        <w:adjustRightInd w:val="0"/>
        <w:ind w:left="720" w:hanging="360"/>
        <w:jc w:val="both"/>
        <w:textAlignment w:val="baseline"/>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3"/>
          <w:sz w:val="24"/>
          <w:szCs w:val="24"/>
        </w:rPr>
        <w:tab/>
      </w:r>
      <w:r w:rsidRPr="00355C65" w:rsidR="006E573A">
        <w:rPr>
          <w:rFonts w:ascii="Times New Roman" w:hAnsi="Times New Roman" w:eastAsia="Times New Roman" w:cs="Times New Roman"/>
          <w:spacing w:val="-3"/>
          <w:sz w:val="24"/>
          <w:szCs w:val="24"/>
        </w:rPr>
        <w:t xml:space="preserve">New construction/substantial rehabilitation projects </w:t>
      </w:r>
      <w:r w:rsidR="0029776E">
        <w:rPr>
          <w:rFonts w:ascii="Times New Roman" w:hAnsi="Times New Roman" w:eastAsia="Times New Roman" w:cs="Times New Roman"/>
          <w:spacing w:val="-3"/>
          <w:sz w:val="24"/>
          <w:szCs w:val="24"/>
        </w:rPr>
        <w:t>need</w:t>
      </w:r>
      <w:r w:rsidRPr="00355C65" w:rsidR="006E573A">
        <w:rPr>
          <w:rFonts w:ascii="Times New Roman" w:hAnsi="Times New Roman" w:eastAsia="Times New Roman" w:cs="Times New Roman"/>
          <w:spacing w:val="-3"/>
          <w:sz w:val="24"/>
          <w:szCs w:val="24"/>
        </w:rPr>
        <w:t xml:space="preserve"> a</w:t>
      </w:r>
      <w:r w:rsidR="00AE2BB4">
        <w:rPr>
          <w:rFonts w:ascii="Times New Roman" w:hAnsi="Times New Roman" w:eastAsia="Times New Roman" w:cs="Times New Roman"/>
          <w:spacing w:val="-3"/>
          <w:sz w:val="24"/>
          <w:szCs w:val="24"/>
        </w:rPr>
        <w:t>n</w:t>
      </w:r>
      <w:r w:rsidRPr="00355C65" w:rsidR="006E573A">
        <w:rPr>
          <w:rFonts w:ascii="Times New Roman" w:hAnsi="Times New Roman" w:eastAsia="Times New Roman" w:cs="Times New Roman"/>
          <w:spacing w:val="-3"/>
          <w:sz w:val="24"/>
          <w:szCs w:val="24"/>
        </w:rPr>
        <w:t xml:space="preserve"> </w:t>
      </w:r>
      <w:r w:rsidR="00DF747A">
        <w:rPr>
          <w:rFonts w:ascii="Times New Roman" w:hAnsi="Times New Roman" w:eastAsia="Times New Roman" w:cs="Times New Roman"/>
          <w:spacing w:val="-3"/>
          <w:sz w:val="24"/>
          <w:szCs w:val="24"/>
        </w:rPr>
        <w:t xml:space="preserve">appropriately sized </w:t>
      </w:r>
      <w:r w:rsidR="00461207">
        <w:rPr>
          <w:rFonts w:ascii="Times New Roman" w:hAnsi="Times New Roman" w:eastAsia="Times New Roman" w:cs="Times New Roman"/>
          <w:spacing w:val="-3"/>
          <w:sz w:val="24"/>
          <w:szCs w:val="24"/>
        </w:rPr>
        <w:t>o</w:t>
      </w:r>
      <w:r w:rsidRPr="00355C65" w:rsidR="00461207">
        <w:rPr>
          <w:rFonts w:ascii="Times New Roman" w:hAnsi="Times New Roman" w:eastAsia="Times New Roman" w:cs="Times New Roman"/>
          <w:spacing w:val="-3"/>
          <w:sz w:val="24"/>
          <w:szCs w:val="24"/>
        </w:rPr>
        <w:t xml:space="preserve">perating </w:t>
      </w:r>
      <w:r w:rsidR="00461207">
        <w:rPr>
          <w:rFonts w:ascii="Times New Roman" w:hAnsi="Times New Roman" w:eastAsia="Times New Roman" w:cs="Times New Roman"/>
          <w:spacing w:val="-3"/>
          <w:sz w:val="24"/>
          <w:szCs w:val="24"/>
        </w:rPr>
        <w:t>d</w:t>
      </w:r>
      <w:r w:rsidRPr="00355C65" w:rsidR="00461207">
        <w:rPr>
          <w:rFonts w:ascii="Times New Roman" w:hAnsi="Times New Roman" w:eastAsia="Times New Roman" w:cs="Times New Roman"/>
          <w:spacing w:val="-3"/>
          <w:sz w:val="24"/>
          <w:szCs w:val="24"/>
        </w:rPr>
        <w:t xml:space="preserve">eficit </w:t>
      </w:r>
      <w:r w:rsidR="00461207">
        <w:rPr>
          <w:rFonts w:ascii="Times New Roman" w:hAnsi="Times New Roman" w:eastAsia="Times New Roman" w:cs="Times New Roman"/>
          <w:spacing w:val="-3"/>
          <w:sz w:val="24"/>
          <w:szCs w:val="24"/>
        </w:rPr>
        <w:t>r</w:t>
      </w:r>
      <w:r w:rsidRPr="00355C65" w:rsidR="00461207">
        <w:rPr>
          <w:rFonts w:ascii="Times New Roman" w:hAnsi="Times New Roman" w:eastAsia="Times New Roman" w:cs="Times New Roman"/>
          <w:spacing w:val="-3"/>
          <w:sz w:val="24"/>
          <w:szCs w:val="24"/>
        </w:rPr>
        <w:t>eserve</w:t>
      </w:r>
      <w:r w:rsidRPr="00355C65" w:rsidR="006E573A">
        <w:rPr>
          <w:rFonts w:ascii="Times New Roman" w:hAnsi="Times New Roman" w:eastAsia="Times New Roman" w:cs="Times New Roman"/>
          <w:spacing w:val="-3"/>
          <w:sz w:val="24"/>
          <w:szCs w:val="24"/>
        </w:rPr>
        <w:t xml:space="preserve"> to help assure success of these projects during their early, most vulnerable stages of rent-up. </w:t>
      </w:r>
      <w:r w:rsidR="000C11BD">
        <w:rPr>
          <w:rFonts w:ascii="Times New Roman" w:hAnsi="Times New Roman" w:eastAsia="Times New Roman" w:cs="Times New Roman"/>
          <w:spacing w:val="-3"/>
          <w:sz w:val="24"/>
          <w:szCs w:val="24"/>
        </w:rPr>
        <w:t xml:space="preserve">The amount of </w:t>
      </w:r>
      <w:r w:rsidR="008013C1">
        <w:rPr>
          <w:rFonts w:ascii="Times New Roman" w:hAnsi="Times New Roman" w:eastAsia="Times New Roman" w:cs="Times New Roman"/>
          <w:spacing w:val="-3"/>
          <w:sz w:val="24"/>
          <w:szCs w:val="24"/>
        </w:rPr>
        <w:t>a</w:t>
      </w:r>
      <w:r w:rsidR="005A2708">
        <w:rPr>
          <w:rFonts w:ascii="Times New Roman" w:hAnsi="Times New Roman" w:eastAsia="Times New Roman" w:cs="Times New Roman"/>
          <w:spacing w:val="-3"/>
          <w:sz w:val="24"/>
          <w:szCs w:val="24"/>
        </w:rPr>
        <w:t xml:space="preserve">n </w:t>
      </w:r>
      <w:r w:rsidR="00461207">
        <w:rPr>
          <w:rFonts w:ascii="Times New Roman" w:hAnsi="Times New Roman" w:eastAsia="Times New Roman" w:cs="Times New Roman"/>
          <w:spacing w:val="-3"/>
          <w:sz w:val="24"/>
          <w:szCs w:val="24"/>
        </w:rPr>
        <w:t>o</w:t>
      </w:r>
      <w:r w:rsidR="005A2708">
        <w:rPr>
          <w:rFonts w:ascii="Times New Roman" w:hAnsi="Times New Roman" w:eastAsia="Times New Roman" w:cs="Times New Roman"/>
          <w:spacing w:val="-3"/>
          <w:sz w:val="24"/>
          <w:szCs w:val="24"/>
        </w:rPr>
        <w:t xml:space="preserve">perating </w:t>
      </w:r>
      <w:r w:rsidR="00461207">
        <w:rPr>
          <w:rFonts w:ascii="Times New Roman" w:hAnsi="Times New Roman" w:eastAsia="Times New Roman" w:cs="Times New Roman"/>
          <w:spacing w:val="-3"/>
          <w:sz w:val="24"/>
          <w:szCs w:val="24"/>
        </w:rPr>
        <w:t>d</w:t>
      </w:r>
      <w:r w:rsidR="002A245D">
        <w:rPr>
          <w:rFonts w:ascii="Times New Roman" w:hAnsi="Times New Roman" w:eastAsia="Times New Roman" w:cs="Times New Roman"/>
          <w:spacing w:val="-3"/>
          <w:sz w:val="24"/>
          <w:szCs w:val="24"/>
        </w:rPr>
        <w:t xml:space="preserve">eficit </w:t>
      </w:r>
      <w:r w:rsidR="00461207">
        <w:rPr>
          <w:rFonts w:ascii="Times New Roman" w:hAnsi="Times New Roman" w:eastAsia="Times New Roman" w:cs="Times New Roman"/>
          <w:spacing w:val="-3"/>
          <w:sz w:val="24"/>
          <w:szCs w:val="24"/>
        </w:rPr>
        <w:t>r</w:t>
      </w:r>
      <w:r w:rsidR="002A245D">
        <w:rPr>
          <w:rFonts w:ascii="Times New Roman" w:hAnsi="Times New Roman" w:eastAsia="Times New Roman" w:cs="Times New Roman"/>
          <w:spacing w:val="-3"/>
          <w:sz w:val="24"/>
          <w:szCs w:val="24"/>
        </w:rPr>
        <w:t xml:space="preserve">eserve </w:t>
      </w:r>
      <w:r w:rsidR="00A14A52">
        <w:rPr>
          <w:rFonts w:ascii="Times New Roman" w:hAnsi="Times New Roman" w:eastAsia="Times New Roman" w:cs="Times New Roman"/>
          <w:spacing w:val="-3"/>
          <w:sz w:val="24"/>
          <w:szCs w:val="24"/>
        </w:rPr>
        <w:t xml:space="preserve">for </w:t>
      </w:r>
      <w:r w:rsidR="00380EC2">
        <w:rPr>
          <w:rFonts w:ascii="Times New Roman" w:hAnsi="Times New Roman" w:eastAsia="Times New Roman" w:cs="Times New Roman"/>
          <w:spacing w:val="-3"/>
          <w:sz w:val="24"/>
          <w:szCs w:val="24"/>
        </w:rPr>
        <w:t xml:space="preserve">loans less than $75 million is </w:t>
      </w:r>
      <w:r w:rsidR="006D3ADE">
        <w:rPr>
          <w:rFonts w:ascii="Times New Roman" w:hAnsi="Times New Roman" w:eastAsia="Times New Roman" w:cs="Times New Roman"/>
          <w:spacing w:val="-3"/>
          <w:sz w:val="24"/>
          <w:szCs w:val="24"/>
        </w:rPr>
        <w:t>described at Chapter 8.14</w:t>
      </w:r>
      <w:r w:rsidR="00051EF2">
        <w:rPr>
          <w:rFonts w:ascii="Times New Roman" w:hAnsi="Times New Roman" w:eastAsia="Times New Roman" w:cs="Times New Roman"/>
          <w:spacing w:val="-3"/>
          <w:sz w:val="24"/>
          <w:szCs w:val="24"/>
        </w:rPr>
        <w:t>.F</w:t>
      </w:r>
      <w:r w:rsidR="00470603">
        <w:rPr>
          <w:rFonts w:ascii="Times New Roman" w:hAnsi="Times New Roman" w:eastAsia="Times New Roman" w:cs="Times New Roman"/>
          <w:spacing w:val="-3"/>
          <w:sz w:val="24"/>
          <w:szCs w:val="24"/>
        </w:rPr>
        <w:t xml:space="preserve">.  </w:t>
      </w:r>
      <w:r w:rsidR="0082021F">
        <w:rPr>
          <w:rFonts w:ascii="Times New Roman" w:hAnsi="Times New Roman" w:eastAsia="Times New Roman" w:cs="Times New Roman"/>
          <w:spacing w:val="-3"/>
          <w:sz w:val="24"/>
          <w:szCs w:val="24"/>
        </w:rPr>
        <w:t xml:space="preserve">When </w:t>
      </w:r>
      <w:r w:rsidR="0084229C">
        <w:rPr>
          <w:rFonts w:ascii="Times New Roman" w:hAnsi="Times New Roman" w:eastAsia="Times New Roman" w:cs="Times New Roman"/>
          <w:spacing w:val="-3"/>
          <w:sz w:val="24"/>
          <w:szCs w:val="24"/>
        </w:rPr>
        <w:t xml:space="preserve">loan amounts </w:t>
      </w:r>
      <w:r w:rsidR="003334D9">
        <w:rPr>
          <w:rFonts w:ascii="Times New Roman" w:hAnsi="Times New Roman" w:eastAsia="Times New Roman" w:cs="Times New Roman"/>
          <w:spacing w:val="-3"/>
          <w:sz w:val="24"/>
          <w:szCs w:val="24"/>
        </w:rPr>
        <w:t>equal or exceed $75 million</w:t>
      </w:r>
      <w:r w:rsidR="00461207">
        <w:rPr>
          <w:rFonts w:ascii="Times New Roman" w:hAnsi="Times New Roman" w:eastAsia="Times New Roman" w:cs="Times New Roman"/>
          <w:spacing w:val="-3"/>
          <w:sz w:val="24"/>
          <w:szCs w:val="24"/>
        </w:rPr>
        <w:t>,</w:t>
      </w:r>
      <w:r w:rsidRPr="00355C65" w:rsidR="006E573A">
        <w:rPr>
          <w:rFonts w:ascii="Times New Roman" w:hAnsi="Times New Roman" w:eastAsia="Times New Roman" w:cs="Times New Roman"/>
          <w:spacing w:val="-3"/>
          <w:sz w:val="24"/>
          <w:szCs w:val="24"/>
        </w:rPr>
        <w:t xml:space="preserve"> </w:t>
      </w:r>
      <w:r w:rsidR="00454F85">
        <w:rPr>
          <w:rFonts w:ascii="Times New Roman" w:hAnsi="Times New Roman" w:eastAsia="Times New Roman" w:cs="Times New Roman"/>
          <w:spacing w:val="-3"/>
          <w:sz w:val="24"/>
          <w:szCs w:val="24"/>
        </w:rPr>
        <w:t xml:space="preserve">minimum </w:t>
      </w:r>
      <w:r w:rsidR="00BD39F4">
        <w:rPr>
          <w:rFonts w:ascii="Times New Roman" w:hAnsi="Times New Roman" w:eastAsia="Times New Roman" w:cs="Times New Roman"/>
          <w:spacing w:val="-3"/>
          <w:sz w:val="24"/>
          <w:szCs w:val="24"/>
        </w:rPr>
        <w:t xml:space="preserve">operating deficit </w:t>
      </w:r>
      <w:r w:rsidR="00461207">
        <w:rPr>
          <w:rFonts w:ascii="Times New Roman" w:hAnsi="Times New Roman" w:eastAsia="Times New Roman" w:cs="Times New Roman"/>
          <w:spacing w:val="-3"/>
          <w:sz w:val="24"/>
          <w:szCs w:val="24"/>
        </w:rPr>
        <w:t>reserve amounts are as follows</w:t>
      </w:r>
      <w:r w:rsidR="00456623">
        <w:rPr>
          <w:rFonts w:ascii="Times New Roman" w:hAnsi="Times New Roman" w:eastAsia="Times New Roman" w:cs="Times New Roman"/>
          <w:spacing w:val="-3"/>
          <w:sz w:val="24"/>
          <w:szCs w:val="24"/>
        </w:rPr>
        <w:t>:</w:t>
      </w:r>
    </w:p>
    <w:p w:rsidRPr="00355C65" w:rsidR="006E573A" w:rsidP="006E573A" w:rsidRDefault="006E573A" w14:paraId="5B85564B" w14:textId="722E465B">
      <w:pPr>
        <w:widowControl w:val="0"/>
        <w:overflowPunct w:val="0"/>
        <w:autoSpaceDE w:val="0"/>
        <w:autoSpaceDN w:val="0"/>
        <w:adjustRightInd w:val="0"/>
        <w:ind w:left="720"/>
        <w:textAlignment w:val="baseline"/>
        <w:rPr>
          <w:rFonts w:ascii="Times New Roman" w:hAnsi="Times New Roman" w:eastAsia="Times New Roman" w:cs="Times New Roman"/>
          <w:spacing w:val="-3"/>
          <w:sz w:val="24"/>
          <w:szCs w:val="24"/>
        </w:rPr>
      </w:pPr>
      <w:r w:rsidRPr="00355C65">
        <w:rPr>
          <w:rFonts w:ascii="Times New Roman" w:hAnsi="Times New Roman" w:eastAsia="Times New Roman" w:cs="Times New Roman"/>
          <w:spacing w:val="-3"/>
          <w:sz w:val="24"/>
          <w:szCs w:val="24"/>
        </w:rPr>
        <w:t xml:space="preserve">  </w:t>
      </w:r>
    </w:p>
    <w:tbl>
      <w:tblPr>
        <w:tblStyle w:val="TableGrid1"/>
        <w:tblpPr w:leftFromText="180" w:rightFromText="180" w:vertAnchor="text" w:horzAnchor="margin" w:tblpXSpec="right" w:tblpY="210"/>
        <w:tblW w:w="0" w:type="auto"/>
        <w:tblLook w:val="04A0" w:firstRow="1" w:lastRow="0" w:firstColumn="1" w:lastColumn="0" w:noHBand="0" w:noVBand="1"/>
      </w:tblPr>
      <w:tblGrid>
        <w:gridCol w:w="2181"/>
        <w:gridCol w:w="6454"/>
      </w:tblGrid>
      <w:tr w:rsidRPr="00355C65" w:rsidR="006E573A" w:rsidTr="00E97AB5" w14:paraId="5B85564E" w14:textId="77777777">
        <w:trPr>
          <w:trHeight w:val="557"/>
        </w:trPr>
        <w:tc>
          <w:tcPr>
            <w:tcW w:w="2181" w:type="dxa"/>
          </w:tcPr>
          <w:p w:rsidRPr="00355C65" w:rsidR="006E573A" w:rsidP="00C546D9" w:rsidRDefault="006E573A" w14:paraId="5B85564C" w14:textId="77777777">
            <w:pPr>
              <w:widowControl w:val="0"/>
              <w:overflowPunct w:val="0"/>
              <w:textAlignment w:val="baseline"/>
              <w:rPr>
                <w:rFonts w:ascii="Times New Roman" w:hAnsi="Times New Roman" w:eastAsia="Times New Roman"/>
                <w:b/>
                <w:i/>
                <w:spacing w:val="-3"/>
                <w:sz w:val="24"/>
                <w:szCs w:val="24"/>
              </w:rPr>
            </w:pPr>
            <w:r w:rsidRPr="00355C65">
              <w:rPr>
                <w:rFonts w:ascii="Times New Roman" w:hAnsi="Times New Roman" w:eastAsia="Times New Roman"/>
                <w:spacing w:val="-3"/>
                <w:sz w:val="24"/>
                <w:szCs w:val="24"/>
              </w:rPr>
              <w:t xml:space="preserve">Loan size </w:t>
            </w:r>
          </w:p>
        </w:tc>
        <w:tc>
          <w:tcPr>
            <w:tcW w:w="6454" w:type="dxa"/>
          </w:tcPr>
          <w:p w:rsidRPr="00355C65" w:rsidR="006E573A" w:rsidP="00C546D9" w:rsidRDefault="006E573A" w14:paraId="5B85564D" w14:textId="2BF2EA0B">
            <w:pPr>
              <w:widowControl w:val="0"/>
              <w:overflowPunct w:val="0"/>
              <w:textAlignment w:val="baseline"/>
              <w:rPr>
                <w:rFonts w:ascii="Times New Roman" w:hAnsi="Times New Roman" w:eastAsia="Times New Roman"/>
                <w:b/>
                <w:i/>
                <w:spacing w:val="-3"/>
                <w:sz w:val="24"/>
                <w:szCs w:val="24"/>
              </w:rPr>
            </w:pPr>
            <w:r w:rsidRPr="00355C65">
              <w:rPr>
                <w:rFonts w:ascii="Times New Roman" w:hAnsi="Times New Roman" w:eastAsia="Times New Roman"/>
                <w:b/>
                <w:i/>
                <w:spacing w:val="-3"/>
                <w:sz w:val="24"/>
                <w:szCs w:val="24"/>
              </w:rPr>
              <w:t xml:space="preserve">Reserve amount </w:t>
            </w:r>
            <w:r w:rsidR="009F381C">
              <w:rPr>
                <w:rFonts w:ascii="Times New Roman" w:hAnsi="Times New Roman" w:eastAsia="Times New Roman"/>
                <w:b/>
                <w:i/>
                <w:spacing w:val="-3"/>
                <w:sz w:val="24"/>
                <w:szCs w:val="24"/>
              </w:rPr>
              <w:t>shall be the greater of</w:t>
            </w:r>
            <w:r w:rsidRPr="00355C65">
              <w:rPr>
                <w:rFonts w:ascii="Times New Roman" w:hAnsi="Times New Roman" w:eastAsia="Times New Roman"/>
                <w:b/>
                <w:i/>
                <w:spacing w:val="-3"/>
                <w:sz w:val="24"/>
                <w:szCs w:val="24"/>
              </w:rPr>
              <w:t xml:space="preserve"> </w:t>
            </w:r>
          </w:p>
        </w:tc>
      </w:tr>
      <w:tr w:rsidRPr="00355C65" w:rsidR="006E573A" w:rsidTr="00E97AB5" w14:paraId="5B855657" w14:textId="77777777">
        <w:trPr>
          <w:trHeight w:val="269"/>
        </w:trPr>
        <w:tc>
          <w:tcPr>
            <w:tcW w:w="2181" w:type="dxa"/>
          </w:tcPr>
          <w:p w:rsidRPr="00355C65" w:rsidR="006E573A" w:rsidP="00C546D9" w:rsidRDefault="006E573A" w14:paraId="5B855655" w14:textId="57159AFE">
            <w:pPr>
              <w:widowControl w:val="0"/>
              <w:overflowPunct w:val="0"/>
              <w:textAlignment w:val="baseline"/>
              <w:rPr>
                <w:rFonts w:ascii="Times New Roman" w:hAnsi="Times New Roman" w:eastAsia="Times New Roman"/>
                <w:spacing w:val="-3"/>
                <w:sz w:val="24"/>
                <w:szCs w:val="24"/>
              </w:rPr>
            </w:pPr>
            <w:r w:rsidRPr="00355C65">
              <w:rPr>
                <w:rFonts w:ascii="Times New Roman" w:hAnsi="Times New Roman" w:eastAsia="Times New Roman"/>
                <w:spacing w:val="-3"/>
                <w:sz w:val="24"/>
                <w:szCs w:val="24"/>
              </w:rPr>
              <w:t>&gt;</w:t>
            </w:r>
            <w:r w:rsidR="0084654E">
              <w:rPr>
                <w:rFonts w:ascii="Times New Roman" w:hAnsi="Times New Roman" w:eastAsia="Times New Roman"/>
                <w:spacing w:val="-3"/>
                <w:sz w:val="24"/>
                <w:szCs w:val="24"/>
              </w:rPr>
              <w:t xml:space="preserve"> </w:t>
            </w:r>
            <w:r w:rsidRPr="00355C65">
              <w:rPr>
                <w:rFonts w:ascii="Times New Roman" w:hAnsi="Times New Roman" w:eastAsia="Times New Roman"/>
                <w:spacing w:val="-3"/>
                <w:sz w:val="24"/>
                <w:szCs w:val="24"/>
              </w:rPr>
              <w:t>$75M</w:t>
            </w:r>
          </w:p>
        </w:tc>
        <w:tc>
          <w:tcPr>
            <w:tcW w:w="6454" w:type="dxa"/>
          </w:tcPr>
          <w:p w:rsidRPr="00355C65" w:rsidR="006E573A" w:rsidP="006E573A" w:rsidRDefault="006E573A" w14:paraId="5B855656" w14:textId="69A6BA51">
            <w:pPr>
              <w:widowControl w:val="0"/>
              <w:numPr>
                <w:ilvl w:val="0"/>
                <w:numId w:val="4"/>
              </w:numPr>
              <w:overflowPunct w:val="0"/>
              <w:ind w:left="342" w:hanging="342"/>
              <w:contextualSpacing/>
              <w:textAlignment w:val="baseline"/>
              <w:rPr>
                <w:rFonts w:ascii="Times New Roman" w:hAnsi="Times New Roman" w:eastAsia="Times New Roman"/>
                <w:sz w:val="24"/>
                <w:szCs w:val="24"/>
              </w:rPr>
            </w:pPr>
            <w:r w:rsidRPr="00355C65">
              <w:rPr>
                <w:rFonts w:ascii="Times New Roman" w:hAnsi="Times New Roman" w:eastAsia="Times New Roman"/>
                <w:sz w:val="24"/>
                <w:szCs w:val="24"/>
              </w:rPr>
              <w:t xml:space="preserve">months </w:t>
            </w:r>
            <w:r w:rsidR="005439DB">
              <w:rPr>
                <w:rFonts w:ascii="Times New Roman" w:hAnsi="Times New Roman" w:eastAsia="Times New Roman"/>
                <w:sz w:val="24"/>
                <w:szCs w:val="24"/>
              </w:rPr>
              <w:t xml:space="preserve">amortizing </w:t>
            </w:r>
            <w:r w:rsidRPr="00355C65">
              <w:rPr>
                <w:rFonts w:ascii="Times New Roman" w:hAnsi="Times New Roman" w:eastAsia="Times New Roman"/>
                <w:sz w:val="24"/>
                <w:szCs w:val="24"/>
              </w:rPr>
              <w:t>debt service</w:t>
            </w:r>
            <w:r w:rsidR="005439DB">
              <w:rPr>
                <w:rFonts w:ascii="Times New Roman" w:hAnsi="Times New Roman" w:eastAsia="Times New Roman"/>
                <w:sz w:val="24"/>
                <w:szCs w:val="24"/>
              </w:rPr>
              <w:t xml:space="preserve"> plus MIP or </w:t>
            </w:r>
            <w:r w:rsidR="00C909F4">
              <w:rPr>
                <w:rFonts w:ascii="Times New Roman" w:hAnsi="Times New Roman" w:eastAsia="Times New Roman"/>
                <w:sz w:val="24"/>
                <w:szCs w:val="24"/>
              </w:rPr>
              <w:t>the amount calculated per MAP Guide Chapter 7.14.</w:t>
            </w:r>
          </w:p>
        </w:tc>
      </w:tr>
      <w:tr w:rsidRPr="00355C65" w:rsidR="006E573A" w:rsidTr="00E97AB5" w14:paraId="5B85565A" w14:textId="77777777">
        <w:trPr>
          <w:trHeight w:val="846"/>
        </w:trPr>
        <w:tc>
          <w:tcPr>
            <w:tcW w:w="2181" w:type="dxa"/>
          </w:tcPr>
          <w:p w:rsidRPr="00355C65" w:rsidR="006E573A" w:rsidP="00C546D9" w:rsidRDefault="006E573A" w14:paraId="5B855658" w14:textId="72E7DBF6">
            <w:pPr>
              <w:widowControl w:val="0"/>
              <w:overflowPunct w:val="0"/>
              <w:textAlignment w:val="baseline"/>
              <w:rPr>
                <w:rFonts w:ascii="Times New Roman" w:hAnsi="Times New Roman" w:eastAsia="Times New Roman"/>
                <w:spacing w:val="-3"/>
                <w:sz w:val="24"/>
                <w:szCs w:val="24"/>
              </w:rPr>
            </w:pPr>
            <w:r w:rsidRPr="00355C65">
              <w:rPr>
                <w:rFonts w:ascii="Times New Roman" w:hAnsi="Times New Roman" w:eastAsia="Times New Roman"/>
                <w:spacing w:val="-3"/>
                <w:sz w:val="24"/>
                <w:szCs w:val="24"/>
              </w:rPr>
              <w:t>&gt;</w:t>
            </w:r>
            <w:r w:rsidR="0084654E">
              <w:rPr>
                <w:rFonts w:ascii="Times New Roman" w:hAnsi="Times New Roman" w:eastAsia="Times New Roman"/>
                <w:spacing w:val="-3"/>
                <w:sz w:val="24"/>
                <w:szCs w:val="24"/>
              </w:rPr>
              <w:t xml:space="preserve"> </w:t>
            </w:r>
            <w:r w:rsidRPr="00355C65">
              <w:rPr>
                <w:rFonts w:ascii="Times New Roman" w:hAnsi="Times New Roman" w:eastAsia="Times New Roman"/>
                <w:spacing w:val="-3"/>
                <w:sz w:val="24"/>
                <w:szCs w:val="24"/>
              </w:rPr>
              <w:t>$100M</w:t>
            </w:r>
          </w:p>
        </w:tc>
        <w:tc>
          <w:tcPr>
            <w:tcW w:w="6454" w:type="dxa"/>
          </w:tcPr>
          <w:p w:rsidRPr="00355C65" w:rsidR="006E573A" w:rsidP="00C546D9" w:rsidRDefault="006E573A" w14:paraId="5B855659" w14:textId="01E9C165">
            <w:pPr>
              <w:widowControl w:val="0"/>
              <w:overflowPunct w:val="0"/>
              <w:textAlignment w:val="baseline"/>
              <w:rPr>
                <w:rFonts w:ascii="Times New Roman" w:hAnsi="Times New Roman" w:eastAsia="Times New Roman"/>
                <w:spacing w:val="-3"/>
                <w:sz w:val="24"/>
                <w:szCs w:val="24"/>
              </w:rPr>
            </w:pPr>
            <w:r w:rsidRPr="00355C65">
              <w:rPr>
                <w:rFonts w:ascii="Times New Roman" w:hAnsi="Times New Roman" w:eastAsia="Times New Roman"/>
                <w:spacing w:val="-3"/>
                <w:sz w:val="24"/>
                <w:szCs w:val="24"/>
              </w:rPr>
              <w:t xml:space="preserve">12 months </w:t>
            </w:r>
            <w:r w:rsidR="00C909F4">
              <w:rPr>
                <w:rFonts w:ascii="Times New Roman" w:hAnsi="Times New Roman" w:eastAsia="Times New Roman"/>
                <w:spacing w:val="-3"/>
                <w:sz w:val="24"/>
                <w:szCs w:val="24"/>
              </w:rPr>
              <w:t xml:space="preserve">amortizing </w:t>
            </w:r>
            <w:r w:rsidRPr="00355C65">
              <w:rPr>
                <w:rFonts w:ascii="Times New Roman" w:hAnsi="Times New Roman" w:eastAsia="Times New Roman"/>
                <w:spacing w:val="-3"/>
                <w:sz w:val="24"/>
                <w:szCs w:val="24"/>
              </w:rPr>
              <w:t>debt service</w:t>
            </w:r>
            <w:r w:rsidR="00C909F4">
              <w:rPr>
                <w:rFonts w:ascii="Times New Roman" w:hAnsi="Times New Roman" w:eastAsia="Times New Roman"/>
                <w:spacing w:val="-3"/>
                <w:sz w:val="24"/>
                <w:szCs w:val="24"/>
              </w:rPr>
              <w:t xml:space="preserve"> plus MIP</w:t>
            </w:r>
            <w:r w:rsidR="00FB4FAE">
              <w:rPr>
                <w:rFonts w:ascii="Times New Roman" w:hAnsi="Times New Roman" w:eastAsia="Times New Roman"/>
                <w:spacing w:val="-3"/>
                <w:sz w:val="24"/>
                <w:szCs w:val="24"/>
              </w:rPr>
              <w:t>, or the amount calculated per MPA Guide Chapter 7.14</w:t>
            </w:r>
            <w:r w:rsidRPr="00355C65">
              <w:rPr>
                <w:rFonts w:ascii="Times New Roman" w:hAnsi="Times New Roman" w:eastAsia="Times New Roman"/>
                <w:spacing w:val="-3"/>
                <w:sz w:val="24"/>
                <w:szCs w:val="24"/>
              </w:rPr>
              <w:t>,</w:t>
            </w:r>
            <w:r w:rsidR="00FB4FAE">
              <w:rPr>
                <w:rFonts w:ascii="Times New Roman" w:hAnsi="Times New Roman" w:eastAsia="Times New Roman"/>
                <w:spacing w:val="-3"/>
                <w:sz w:val="24"/>
                <w:szCs w:val="24"/>
              </w:rPr>
              <w:t xml:space="preserve"> or </w:t>
            </w:r>
            <w:r w:rsidR="00454AD6">
              <w:rPr>
                <w:rFonts w:ascii="Times New Roman" w:hAnsi="Times New Roman" w:eastAsia="Times New Roman"/>
                <w:spacing w:val="-3"/>
                <w:sz w:val="24"/>
                <w:szCs w:val="24"/>
              </w:rPr>
              <w:t xml:space="preserve">such </w:t>
            </w:r>
            <w:r w:rsidRPr="00355C65">
              <w:rPr>
                <w:rFonts w:ascii="Times New Roman" w:hAnsi="Times New Roman" w:eastAsia="Times New Roman"/>
                <w:spacing w:val="-3"/>
                <w:sz w:val="24"/>
                <w:szCs w:val="24"/>
              </w:rPr>
              <w:t>amount identified through HUD analysis of the risks and the mitigants appropriate to the particular loan application</w:t>
            </w:r>
            <w:r w:rsidR="006C67C9">
              <w:rPr>
                <w:rFonts w:ascii="Times New Roman" w:hAnsi="Times New Roman" w:eastAsia="Times New Roman"/>
                <w:spacing w:val="-3"/>
                <w:sz w:val="24"/>
                <w:szCs w:val="24"/>
              </w:rPr>
              <w:t>.</w:t>
            </w:r>
          </w:p>
        </w:tc>
      </w:tr>
    </w:tbl>
    <w:p w:rsidRPr="00355C65" w:rsidR="006E573A" w:rsidP="006E573A" w:rsidRDefault="006E573A" w14:paraId="5B855668" w14:textId="77777777">
      <w:pPr>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p>
    <w:p w:rsidR="006E573A" w:rsidP="006E573A" w:rsidRDefault="006E573A" w14:paraId="5B855669" w14:textId="77777777">
      <w:pPr>
        <w:widowControl w:val="0"/>
        <w:overflowPunct w:val="0"/>
        <w:autoSpaceDE w:val="0"/>
        <w:autoSpaceDN w:val="0"/>
        <w:adjustRightInd w:val="0"/>
        <w:ind w:left="720" w:hanging="360"/>
        <w:textAlignment w:val="baseline"/>
        <w:rPr>
          <w:rFonts w:ascii="Times New Roman" w:hAnsi="Times New Roman" w:eastAsia="Times New Roman" w:cs="Times New Roman"/>
          <w:spacing w:val="-3"/>
          <w:sz w:val="24"/>
          <w:szCs w:val="24"/>
        </w:rPr>
      </w:pPr>
    </w:p>
    <w:p w:rsidR="00003A3D" w:rsidP="00D80938" w:rsidRDefault="00003A3D" w14:paraId="41363617" w14:textId="77777777">
      <w:pPr>
        <w:pStyle w:val="ListParagraph"/>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p>
    <w:p w:rsidR="00B83B43" w:rsidP="00B83B43" w:rsidRDefault="00B83B43" w14:paraId="43E99E70" w14:textId="0E94749E">
      <w:pPr>
        <w:widowControl w:val="0"/>
        <w:overflowPunct w:val="0"/>
        <w:autoSpaceDE w:val="0"/>
        <w:autoSpaceDN w:val="0"/>
        <w:adjustRightInd w:val="0"/>
        <w:ind w:left="720"/>
        <w:jc w:val="both"/>
        <w:textAlignment w:val="baseline"/>
        <w:rPr>
          <w:rFonts w:ascii="Times New Roman" w:hAnsi="Times New Roman" w:eastAsia="Times New Roman" w:cs="Times New Roman"/>
          <w:spacing w:val="-3"/>
          <w:sz w:val="24"/>
          <w:szCs w:val="24"/>
        </w:rPr>
      </w:pPr>
    </w:p>
    <w:p w:rsidR="00456623" w:rsidP="00D80938" w:rsidRDefault="00456623" w14:paraId="3AF35D95" w14:textId="77777777">
      <w:pPr>
        <w:pStyle w:val="ListParagraph"/>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p>
    <w:p w:rsidRPr="002B26A2" w:rsidR="005E41C4" w:rsidP="00AF4FEC" w:rsidRDefault="00AF4FEC" w14:paraId="248CEC1A" w14:textId="55774090">
      <w:pPr>
        <w:widowControl w:val="0"/>
        <w:overflowPunct w:val="0"/>
        <w:autoSpaceDE w:val="0"/>
        <w:autoSpaceDN w:val="0"/>
        <w:adjustRightInd w:val="0"/>
        <w:ind w:left="720" w:hanging="360"/>
        <w:textAlignment w:val="baseline"/>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3"/>
          <w:sz w:val="24"/>
          <w:szCs w:val="24"/>
        </w:rPr>
        <w:tab/>
      </w:r>
      <w:r w:rsidRPr="002B26A2" w:rsidR="00B86D86">
        <w:rPr>
          <w:rFonts w:ascii="Times New Roman" w:hAnsi="Times New Roman" w:eastAsia="Times New Roman" w:cs="Times New Roman"/>
          <w:spacing w:val="-3"/>
          <w:sz w:val="24"/>
          <w:szCs w:val="24"/>
        </w:rPr>
        <w:t xml:space="preserve">For </w:t>
      </w:r>
      <w:r w:rsidRPr="002B26A2" w:rsidR="002B409A">
        <w:rPr>
          <w:rFonts w:ascii="Times New Roman" w:hAnsi="Times New Roman" w:eastAsia="Times New Roman" w:cs="Times New Roman"/>
          <w:spacing w:val="-3"/>
          <w:sz w:val="24"/>
          <w:szCs w:val="24"/>
        </w:rPr>
        <w:t>large loans (</w:t>
      </w:r>
      <w:r w:rsidRPr="002B26A2" w:rsidR="00A153B6">
        <w:rPr>
          <w:rFonts w:ascii="Times New Roman" w:hAnsi="Times New Roman" w:eastAsia="Times New Roman" w:cs="Times New Roman"/>
          <w:spacing w:val="-3"/>
          <w:sz w:val="24"/>
          <w:szCs w:val="24"/>
        </w:rPr>
        <w:t>=</w:t>
      </w:r>
      <w:r w:rsidRPr="002B26A2" w:rsidR="00540E26">
        <w:rPr>
          <w:rFonts w:ascii="Times New Roman" w:hAnsi="Times New Roman" w:eastAsia="Times New Roman" w:cs="Times New Roman"/>
          <w:spacing w:val="-3"/>
          <w:sz w:val="24"/>
          <w:szCs w:val="24"/>
        </w:rPr>
        <w:t xml:space="preserve">&gt; $75 million) </w:t>
      </w:r>
      <w:r w:rsidRPr="002B26A2" w:rsidR="00140BEB">
        <w:rPr>
          <w:rFonts w:ascii="Times New Roman" w:hAnsi="Times New Roman" w:eastAsia="Times New Roman" w:cs="Times New Roman"/>
          <w:spacing w:val="-3"/>
          <w:sz w:val="24"/>
          <w:szCs w:val="24"/>
        </w:rPr>
        <w:t xml:space="preserve">under </w:t>
      </w:r>
      <w:r w:rsidRPr="002B26A2" w:rsidR="00B86D86">
        <w:rPr>
          <w:rFonts w:ascii="Times New Roman" w:hAnsi="Times New Roman" w:eastAsia="Times New Roman" w:cs="Times New Roman"/>
          <w:spacing w:val="-3"/>
          <w:sz w:val="24"/>
          <w:szCs w:val="24"/>
        </w:rPr>
        <w:t xml:space="preserve">Section </w:t>
      </w:r>
      <w:r w:rsidRPr="002B26A2" w:rsidR="00F35BFF">
        <w:rPr>
          <w:rFonts w:ascii="Times New Roman" w:hAnsi="Times New Roman" w:eastAsia="Times New Roman" w:cs="Times New Roman"/>
          <w:spacing w:val="-3"/>
          <w:sz w:val="24"/>
          <w:szCs w:val="24"/>
        </w:rPr>
        <w:t xml:space="preserve">223(f) for properties </w:t>
      </w:r>
      <w:r w:rsidRPr="002B26A2" w:rsidR="00093F7C">
        <w:rPr>
          <w:rFonts w:ascii="Times New Roman" w:hAnsi="Times New Roman" w:eastAsia="Times New Roman" w:cs="Times New Roman"/>
          <w:spacing w:val="-3"/>
          <w:sz w:val="24"/>
          <w:szCs w:val="24"/>
        </w:rPr>
        <w:t xml:space="preserve">with </w:t>
      </w:r>
      <w:r w:rsidRPr="002B26A2" w:rsidR="007656F6">
        <w:rPr>
          <w:rFonts w:ascii="Times New Roman" w:hAnsi="Times New Roman" w:eastAsia="Times New Roman" w:cs="Times New Roman"/>
          <w:spacing w:val="-3"/>
          <w:sz w:val="24"/>
          <w:szCs w:val="24"/>
        </w:rPr>
        <w:t>certificates of occupancy issued less than 3 years prior to application</w:t>
      </w:r>
      <w:r w:rsidR="00DD3BC8">
        <w:rPr>
          <w:rFonts w:ascii="Times New Roman" w:hAnsi="Times New Roman" w:eastAsia="Times New Roman" w:cs="Times New Roman"/>
          <w:spacing w:val="-3"/>
          <w:sz w:val="24"/>
          <w:szCs w:val="24"/>
        </w:rPr>
        <w:t>,</w:t>
      </w:r>
      <w:r w:rsidRPr="002B26A2" w:rsidR="00540BD8">
        <w:rPr>
          <w:rFonts w:ascii="Times New Roman" w:hAnsi="Times New Roman" w:eastAsia="Times New Roman" w:cs="Times New Roman"/>
          <w:spacing w:val="-3"/>
          <w:sz w:val="24"/>
          <w:szCs w:val="24"/>
        </w:rPr>
        <w:t xml:space="preserve"> </w:t>
      </w:r>
      <w:r w:rsidR="00D845AD">
        <w:rPr>
          <w:rFonts w:ascii="Times New Roman" w:hAnsi="Times New Roman" w:eastAsia="Times New Roman" w:cs="Times New Roman"/>
          <w:spacing w:val="-3"/>
          <w:sz w:val="24"/>
          <w:szCs w:val="24"/>
        </w:rPr>
        <w:t>a debt service</w:t>
      </w:r>
      <w:r w:rsidRPr="002B26A2" w:rsidR="00540BD8">
        <w:rPr>
          <w:rFonts w:ascii="Times New Roman" w:hAnsi="Times New Roman" w:eastAsia="Times New Roman" w:cs="Times New Roman"/>
          <w:spacing w:val="-3"/>
          <w:sz w:val="24"/>
          <w:szCs w:val="24"/>
        </w:rPr>
        <w:t xml:space="preserve"> reserve is required </w:t>
      </w:r>
      <w:r w:rsidRPr="002B26A2" w:rsidR="00C80319">
        <w:rPr>
          <w:rFonts w:ascii="Times New Roman" w:hAnsi="Times New Roman" w:eastAsia="Times New Roman" w:cs="Times New Roman"/>
          <w:spacing w:val="-3"/>
          <w:sz w:val="24"/>
          <w:szCs w:val="24"/>
        </w:rPr>
        <w:t xml:space="preserve">which shall be the greater of </w:t>
      </w:r>
      <w:r w:rsidRPr="002B26A2" w:rsidR="00B60F83">
        <w:rPr>
          <w:rFonts w:ascii="Times New Roman" w:hAnsi="Times New Roman" w:eastAsia="Times New Roman" w:cs="Times New Roman"/>
          <w:spacing w:val="-3"/>
          <w:sz w:val="24"/>
          <w:szCs w:val="24"/>
        </w:rPr>
        <w:t xml:space="preserve"> </w:t>
      </w:r>
      <w:r w:rsidR="006C2893">
        <w:rPr>
          <w:rFonts w:ascii="Times New Roman" w:hAnsi="Times New Roman" w:eastAsia="Times New Roman" w:cs="Times New Roman"/>
          <w:spacing w:val="-3"/>
          <w:sz w:val="24"/>
          <w:szCs w:val="24"/>
        </w:rPr>
        <w:t>1</w:t>
      </w:r>
      <w:r w:rsidR="00E255F7">
        <w:rPr>
          <w:rFonts w:ascii="Times New Roman" w:hAnsi="Times New Roman" w:eastAsia="Times New Roman" w:cs="Times New Roman"/>
          <w:spacing w:val="-3"/>
          <w:sz w:val="24"/>
          <w:szCs w:val="24"/>
        </w:rPr>
        <w:t xml:space="preserve">2 months </w:t>
      </w:r>
      <w:r w:rsidR="00487FB2">
        <w:rPr>
          <w:rFonts w:ascii="Times New Roman" w:hAnsi="Times New Roman" w:eastAsia="Times New Roman" w:cs="Times New Roman"/>
          <w:spacing w:val="-3"/>
          <w:sz w:val="24"/>
          <w:szCs w:val="24"/>
        </w:rPr>
        <w:t>debt service</w:t>
      </w:r>
      <w:r w:rsidR="00EA755C">
        <w:rPr>
          <w:rFonts w:ascii="Times New Roman" w:hAnsi="Times New Roman" w:eastAsia="Times New Roman" w:cs="Times New Roman"/>
          <w:spacing w:val="-3"/>
          <w:sz w:val="24"/>
          <w:szCs w:val="24"/>
        </w:rPr>
        <w:t xml:space="preserve"> </w:t>
      </w:r>
      <w:r w:rsidR="007A75DE">
        <w:rPr>
          <w:rFonts w:ascii="Times New Roman" w:hAnsi="Times New Roman" w:eastAsia="Times New Roman" w:cs="Times New Roman"/>
          <w:spacing w:val="-3"/>
          <w:sz w:val="24"/>
          <w:szCs w:val="24"/>
        </w:rPr>
        <w:t>(principal, interest and mortgage insurance premium</w:t>
      </w:r>
      <w:r w:rsidR="00DD3BC8">
        <w:rPr>
          <w:rFonts w:ascii="Times New Roman" w:hAnsi="Times New Roman" w:eastAsia="Times New Roman" w:cs="Times New Roman"/>
          <w:spacing w:val="-3"/>
          <w:sz w:val="24"/>
          <w:szCs w:val="24"/>
        </w:rPr>
        <w:t>)</w:t>
      </w:r>
      <w:r w:rsidR="00ED0B27">
        <w:rPr>
          <w:rFonts w:ascii="Times New Roman" w:hAnsi="Times New Roman" w:eastAsia="Times New Roman" w:cs="Times New Roman"/>
          <w:spacing w:val="-3"/>
          <w:sz w:val="24"/>
          <w:szCs w:val="24"/>
        </w:rPr>
        <w:t xml:space="preserve"> or </w:t>
      </w:r>
      <w:r w:rsidR="00F94F0F">
        <w:rPr>
          <w:rFonts w:ascii="Times New Roman" w:hAnsi="Times New Roman" w:eastAsia="Times New Roman" w:cs="Times New Roman"/>
          <w:spacing w:val="-3"/>
          <w:sz w:val="24"/>
          <w:szCs w:val="24"/>
        </w:rPr>
        <w:t xml:space="preserve">50% of </w:t>
      </w:r>
      <w:r w:rsidR="001D4D5C">
        <w:rPr>
          <w:rFonts w:ascii="Times New Roman" w:hAnsi="Times New Roman" w:eastAsia="Times New Roman" w:cs="Times New Roman"/>
          <w:spacing w:val="-3"/>
          <w:sz w:val="24"/>
          <w:szCs w:val="24"/>
        </w:rPr>
        <w:t xml:space="preserve">any </w:t>
      </w:r>
      <w:r w:rsidR="00CF390D">
        <w:rPr>
          <w:rFonts w:ascii="Times New Roman" w:hAnsi="Times New Roman" w:eastAsia="Times New Roman" w:cs="Times New Roman"/>
          <w:spacing w:val="-3"/>
          <w:sz w:val="24"/>
          <w:szCs w:val="24"/>
        </w:rPr>
        <w:t>excess loan proceeds (cash out)</w:t>
      </w:r>
      <w:r w:rsidR="00A82C85">
        <w:rPr>
          <w:rFonts w:ascii="Times New Roman" w:hAnsi="Times New Roman" w:eastAsia="Times New Roman" w:cs="Times New Roman"/>
          <w:spacing w:val="-3"/>
          <w:sz w:val="24"/>
          <w:szCs w:val="24"/>
        </w:rPr>
        <w:t xml:space="preserve">.  The </w:t>
      </w:r>
      <w:r w:rsidR="00B40B93">
        <w:rPr>
          <w:rFonts w:ascii="Times New Roman" w:hAnsi="Times New Roman" w:eastAsia="Times New Roman" w:cs="Times New Roman"/>
          <w:spacing w:val="-3"/>
          <w:sz w:val="24"/>
          <w:szCs w:val="24"/>
        </w:rPr>
        <w:t>debt service reserve</w:t>
      </w:r>
      <w:r w:rsidR="00C143E3">
        <w:rPr>
          <w:rFonts w:ascii="Times New Roman" w:hAnsi="Times New Roman" w:eastAsia="Times New Roman" w:cs="Times New Roman"/>
          <w:spacing w:val="-3"/>
          <w:sz w:val="24"/>
          <w:szCs w:val="24"/>
        </w:rPr>
        <w:t xml:space="preserve"> </w:t>
      </w:r>
      <w:r w:rsidR="004B7E60">
        <w:rPr>
          <w:rFonts w:ascii="Times New Roman" w:hAnsi="Times New Roman" w:eastAsia="Times New Roman" w:cs="Times New Roman"/>
          <w:spacing w:val="-3"/>
          <w:sz w:val="24"/>
          <w:szCs w:val="24"/>
        </w:rPr>
        <w:t xml:space="preserve">will be released </w:t>
      </w:r>
      <w:r w:rsidR="003F48D6">
        <w:rPr>
          <w:rFonts w:ascii="Times New Roman" w:hAnsi="Times New Roman" w:eastAsia="Times New Roman" w:cs="Times New Roman"/>
          <w:spacing w:val="-3"/>
          <w:sz w:val="24"/>
          <w:szCs w:val="24"/>
        </w:rPr>
        <w:t xml:space="preserve">upon </w:t>
      </w:r>
      <w:r w:rsidR="00ED645F">
        <w:rPr>
          <w:rFonts w:ascii="Times New Roman" w:hAnsi="Times New Roman" w:eastAsia="Times New Roman" w:cs="Times New Roman"/>
          <w:spacing w:val="-3"/>
          <w:sz w:val="24"/>
          <w:szCs w:val="24"/>
        </w:rPr>
        <w:t xml:space="preserve">6 consecutive months of </w:t>
      </w:r>
      <w:r w:rsidR="00DA5DA6">
        <w:rPr>
          <w:rFonts w:ascii="Times New Roman" w:hAnsi="Times New Roman" w:eastAsia="Times New Roman" w:cs="Times New Roman"/>
          <w:spacing w:val="-3"/>
          <w:sz w:val="24"/>
          <w:szCs w:val="24"/>
        </w:rPr>
        <w:t xml:space="preserve">operating results </w:t>
      </w:r>
      <w:r w:rsidR="00D15EF2">
        <w:rPr>
          <w:rFonts w:ascii="Times New Roman" w:hAnsi="Times New Roman" w:eastAsia="Times New Roman" w:cs="Times New Roman"/>
          <w:spacing w:val="-3"/>
          <w:sz w:val="24"/>
          <w:szCs w:val="24"/>
        </w:rPr>
        <w:t xml:space="preserve">meeting or exceeding the underwritten debt service coverage </w:t>
      </w:r>
      <w:r w:rsidR="00266675">
        <w:rPr>
          <w:rFonts w:ascii="Times New Roman" w:hAnsi="Times New Roman" w:eastAsia="Times New Roman" w:cs="Times New Roman"/>
          <w:spacing w:val="-3"/>
          <w:sz w:val="24"/>
          <w:szCs w:val="24"/>
        </w:rPr>
        <w:t>req</w:t>
      </w:r>
      <w:r w:rsidR="001D75CC">
        <w:rPr>
          <w:rFonts w:ascii="Times New Roman" w:hAnsi="Times New Roman" w:eastAsia="Times New Roman" w:cs="Times New Roman"/>
          <w:spacing w:val="-3"/>
          <w:sz w:val="24"/>
          <w:szCs w:val="24"/>
        </w:rPr>
        <w:t>uirement</w:t>
      </w:r>
      <w:r w:rsidR="00A37EAD">
        <w:rPr>
          <w:rFonts w:ascii="Times New Roman" w:hAnsi="Times New Roman" w:eastAsia="Times New Roman" w:cs="Times New Roman"/>
          <w:spacing w:val="-3"/>
          <w:sz w:val="24"/>
          <w:szCs w:val="24"/>
        </w:rPr>
        <w:t>, including any such months prior to endorsement</w:t>
      </w:r>
      <w:r w:rsidR="001D75CC">
        <w:rPr>
          <w:rFonts w:ascii="Times New Roman" w:hAnsi="Times New Roman" w:eastAsia="Times New Roman" w:cs="Times New Roman"/>
          <w:spacing w:val="-3"/>
          <w:sz w:val="24"/>
          <w:szCs w:val="24"/>
        </w:rPr>
        <w:t xml:space="preserve">.  If </w:t>
      </w:r>
      <w:r w:rsidR="00AE7E6E">
        <w:rPr>
          <w:rFonts w:ascii="Times New Roman" w:hAnsi="Times New Roman" w:eastAsia="Times New Roman" w:cs="Times New Roman"/>
          <w:spacing w:val="-3"/>
          <w:sz w:val="24"/>
          <w:szCs w:val="24"/>
        </w:rPr>
        <w:t xml:space="preserve">prior to </w:t>
      </w:r>
      <w:r w:rsidR="001D75CC">
        <w:rPr>
          <w:rFonts w:ascii="Times New Roman" w:hAnsi="Times New Roman" w:eastAsia="Times New Roman" w:cs="Times New Roman"/>
          <w:spacing w:val="-3"/>
          <w:sz w:val="24"/>
          <w:szCs w:val="24"/>
        </w:rPr>
        <w:t>endorsement</w:t>
      </w:r>
      <w:r w:rsidR="00692F89">
        <w:rPr>
          <w:rFonts w:ascii="Times New Roman" w:hAnsi="Times New Roman" w:eastAsia="Times New Roman" w:cs="Times New Roman"/>
          <w:spacing w:val="-3"/>
          <w:sz w:val="24"/>
          <w:szCs w:val="24"/>
        </w:rPr>
        <w:t xml:space="preserve"> </w:t>
      </w:r>
      <w:r w:rsidR="000E5E2A">
        <w:rPr>
          <w:rFonts w:ascii="Times New Roman" w:hAnsi="Times New Roman" w:eastAsia="Times New Roman" w:cs="Times New Roman"/>
          <w:spacing w:val="-3"/>
          <w:sz w:val="24"/>
          <w:szCs w:val="24"/>
        </w:rPr>
        <w:t>6 conse</w:t>
      </w:r>
      <w:r w:rsidR="00AE7E6E">
        <w:rPr>
          <w:rFonts w:ascii="Times New Roman" w:hAnsi="Times New Roman" w:eastAsia="Times New Roman" w:cs="Times New Roman"/>
          <w:spacing w:val="-3"/>
          <w:sz w:val="24"/>
          <w:szCs w:val="24"/>
        </w:rPr>
        <w:t xml:space="preserve">cutive months of </w:t>
      </w:r>
      <w:r w:rsidR="007B740C">
        <w:rPr>
          <w:rFonts w:ascii="Times New Roman" w:hAnsi="Times New Roman" w:eastAsia="Times New Roman" w:cs="Times New Roman"/>
          <w:spacing w:val="-3"/>
          <w:sz w:val="24"/>
          <w:szCs w:val="24"/>
        </w:rPr>
        <w:t xml:space="preserve">underwritten debt service coverage have been achieved, no </w:t>
      </w:r>
      <w:r w:rsidR="00810FAF">
        <w:rPr>
          <w:rFonts w:ascii="Times New Roman" w:hAnsi="Times New Roman" w:eastAsia="Times New Roman" w:cs="Times New Roman"/>
          <w:spacing w:val="-3"/>
          <w:sz w:val="24"/>
          <w:szCs w:val="24"/>
        </w:rPr>
        <w:t xml:space="preserve">operating deficit reserve </w:t>
      </w:r>
      <w:r w:rsidR="00390B2F">
        <w:rPr>
          <w:rFonts w:ascii="Times New Roman" w:hAnsi="Times New Roman" w:eastAsia="Times New Roman" w:cs="Times New Roman"/>
          <w:spacing w:val="-3"/>
          <w:sz w:val="24"/>
          <w:szCs w:val="24"/>
        </w:rPr>
        <w:t>is required.</w:t>
      </w:r>
      <w:r w:rsidRPr="002B26A2" w:rsidR="00205F45">
        <w:rPr>
          <w:rFonts w:ascii="Times New Roman" w:hAnsi="Times New Roman" w:eastAsia="Times New Roman" w:cs="Times New Roman"/>
          <w:spacing w:val="-3"/>
          <w:sz w:val="24"/>
          <w:szCs w:val="24"/>
        </w:rPr>
        <w:t xml:space="preserve"> </w:t>
      </w:r>
    </w:p>
    <w:p w:rsidR="00003A3D" w:rsidP="00D80938" w:rsidRDefault="00003A3D" w14:paraId="5DADDDBB" w14:textId="77777777">
      <w:pPr>
        <w:pStyle w:val="ListParagraph"/>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p>
    <w:p w:rsidRPr="007510B1" w:rsidR="006E573A" w:rsidP="00632441" w:rsidRDefault="00437910" w14:paraId="5B85566C" w14:textId="6C4669EC">
      <w:pPr>
        <w:pStyle w:val="ListParagraph"/>
        <w:widowControl w:val="0"/>
        <w:numPr>
          <w:ilvl w:val="0"/>
          <w:numId w:val="59"/>
        </w:numPr>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7510B1">
        <w:rPr>
          <w:rFonts w:ascii="Times New Roman" w:hAnsi="Times New Roman" w:eastAsia="Times New Roman" w:cs="Times New Roman"/>
          <w:spacing w:val="-3"/>
          <w:sz w:val="24"/>
          <w:szCs w:val="24"/>
        </w:rPr>
        <w:t xml:space="preserve">For </w:t>
      </w:r>
      <w:r w:rsidRPr="007510B1" w:rsidR="00295690">
        <w:rPr>
          <w:rFonts w:ascii="Times New Roman" w:hAnsi="Times New Roman" w:eastAsia="Times New Roman" w:cs="Times New Roman"/>
          <w:spacing w:val="-3"/>
          <w:sz w:val="24"/>
          <w:szCs w:val="24"/>
        </w:rPr>
        <w:t>l</w:t>
      </w:r>
      <w:r w:rsidRPr="007510B1" w:rsidR="006E573A">
        <w:rPr>
          <w:rFonts w:ascii="Times New Roman" w:hAnsi="Times New Roman" w:eastAsia="Times New Roman" w:cs="Times New Roman"/>
          <w:spacing w:val="-3"/>
          <w:sz w:val="24"/>
          <w:szCs w:val="24"/>
        </w:rPr>
        <w:t>oans greater than $100 million</w:t>
      </w:r>
      <w:r w:rsidRPr="007510B1" w:rsidR="00EF4C86">
        <w:rPr>
          <w:rFonts w:ascii="Times New Roman" w:hAnsi="Times New Roman" w:eastAsia="Times New Roman" w:cs="Times New Roman"/>
          <w:spacing w:val="-3"/>
          <w:sz w:val="24"/>
          <w:szCs w:val="24"/>
        </w:rPr>
        <w:t>,</w:t>
      </w:r>
      <w:r w:rsidRPr="007510B1" w:rsidR="00D83439">
        <w:rPr>
          <w:rFonts w:ascii="Times New Roman" w:hAnsi="Times New Roman" w:eastAsia="Times New Roman" w:cs="Times New Roman"/>
          <w:spacing w:val="-3"/>
          <w:sz w:val="24"/>
          <w:szCs w:val="24"/>
        </w:rPr>
        <w:t xml:space="preserve"> HUD’s analysis of the risks and the mitigants appropriate to the loan application</w:t>
      </w:r>
      <w:r w:rsidRPr="007510B1" w:rsidR="00CD2AF7">
        <w:rPr>
          <w:rFonts w:ascii="Times New Roman" w:hAnsi="Times New Roman" w:eastAsia="Times New Roman" w:cs="Times New Roman"/>
          <w:spacing w:val="-3"/>
          <w:sz w:val="24"/>
          <w:szCs w:val="24"/>
        </w:rPr>
        <w:t xml:space="preserve"> may </w:t>
      </w:r>
      <w:r w:rsidRPr="007510B1" w:rsidR="005606DC">
        <w:rPr>
          <w:rFonts w:ascii="Times New Roman" w:hAnsi="Times New Roman" w:eastAsia="Times New Roman" w:cs="Times New Roman"/>
          <w:spacing w:val="-3"/>
          <w:sz w:val="24"/>
          <w:szCs w:val="24"/>
        </w:rPr>
        <w:t>require a</w:t>
      </w:r>
      <w:r w:rsidRPr="007510B1" w:rsidR="00FA2894">
        <w:rPr>
          <w:rFonts w:ascii="Times New Roman" w:hAnsi="Times New Roman" w:eastAsia="Times New Roman" w:cs="Times New Roman"/>
          <w:spacing w:val="-3"/>
          <w:sz w:val="24"/>
          <w:szCs w:val="24"/>
        </w:rPr>
        <w:t>djustment of</w:t>
      </w:r>
      <w:r w:rsidRPr="007510B1" w:rsidR="00D83439">
        <w:rPr>
          <w:rFonts w:ascii="Times New Roman" w:hAnsi="Times New Roman" w:eastAsia="Times New Roman" w:cs="Times New Roman"/>
          <w:spacing w:val="-3"/>
          <w:sz w:val="24"/>
          <w:szCs w:val="24"/>
        </w:rPr>
        <w:t xml:space="preserve"> the required </w:t>
      </w:r>
      <w:r w:rsidRPr="007510B1" w:rsidR="00B67A0C">
        <w:rPr>
          <w:rFonts w:ascii="Times New Roman" w:hAnsi="Times New Roman" w:eastAsia="Times New Roman" w:cs="Times New Roman"/>
          <w:spacing w:val="-3"/>
          <w:sz w:val="24"/>
          <w:szCs w:val="24"/>
        </w:rPr>
        <w:t>D</w:t>
      </w:r>
      <w:r w:rsidRPr="007510B1" w:rsidR="00D83439">
        <w:rPr>
          <w:rFonts w:ascii="Times New Roman" w:hAnsi="Times New Roman" w:eastAsia="Times New Roman" w:cs="Times New Roman"/>
          <w:spacing w:val="-3"/>
          <w:sz w:val="24"/>
          <w:szCs w:val="24"/>
        </w:rPr>
        <w:t xml:space="preserve">SCR, LTCR </w:t>
      </w:r>
      <w:r w:rsidRPr="007510B1" w:rsidR="00D83439">
        <w:rPr>
          <w:rFonts w:ascii="Times New Roman" w:hAnsi="Times New Roman" w:eastAsia="Times New Roman" w:cs="Times New Roman"/>
          <w:bCs/>
          <w:iCs/>
          <w:spacing w:val="-3"/>
          <w:sz w:val="24"/>
          <w:szCs w:val="24"/>
        </w:rPr>
        <w:t>or</w:t>
      </w:r>
      <w:r w:rsidRPr="007510B1" w:rsidR="00D83439">
        <w:rPr>
          <w:rFonts w:ascii="Times New Roman" w:hAnsi="Times New Roman" w:eastAsia="Times New Roman" w:cs="Times New Roman"/>
          <w:iCs/>
          <w:spacing w:val="-3"/>
          <w:sz w:val="24"/>
          <w:szCs w:val="24"/>
        </w:rPr>
        <w:t xml:space="preserve"> </w:t>
      </w:r>
      <w:r w:rsidRPr="007510B1" w:rsidR="00D83439">
        <w:rPr>
          <w:rFonts w:ascii="Times New Roman" w:hAnsi="Times New Roman" w:eastAsia="Times New Roman" w:cs="Times New Roman"/>
          <w:spacing w:val="-3"/>
          <w:sz w:val="24"/>
          <w:szCs w:val="24"/>
        </w:rPr>
        <w:t>LTVRs, and</w:t>
      </w:r>
      <w:r w:rsidRPr="007510B1" w:rsidR="007175AE">
        <w:rPr>
          <w:rFonts w:ascii="Times New Roman" w:hAnsi="Times New Roman" w:eastAsia="Times New Roman" w:cs="Times New Roman"/>
          <w:spacing w:val="-3"/>
          <w:sz w:val="24"/>
          <w:szCs w:val="24"/>
        </w:rPr>
        <w:t>/or</w:t>
      </w:r>
      <w:r w:rsidRPr="007510B1" w:rsidR="00D83439">
        <w:rPr>
          <w:rFonts w:ascii="Times New Roman" w:hAnsi="Times New Roman" w:eastAsia="Times New Roman" w:cs="Times New Roman"/>
          <w:spacing w:val="-3"/>
          <w:sz w:val="24"/>
          <w:szCs w:val="24"/>
        </w:rPr>
        <w:t xml:space="preserve"> the minimum operating deficit or debt service reserve requirements.  Lenders should detail appropriate risk mitigants for such transactions, which will be reviewed on a case-by-case basis.</w:t>
      </w:r>
    </w:p>
    <w:p w:rsidRPr="00355C65" w:rsidR="006E573A" w:rsidP="006E573A" w:rsidRDefault="006E573A" w14:paraId="5B85566D"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p>
    <w:p w:rsidR="00852388" w:rsidP="00852388" w:rsidRDefault="00852388" w14:paraId="7540EB4B" w14:textId="57F8FCA4">
      <w:pPr>
        <w:widowControl w:val="0"/>
        <w:overflowPunct w:val="0"/>
        <w:autoSpaceDE w:val="0"/>
        <w:autoSpaceDN w:val="0"/>
        <w:adjustRightInd w:val="0"/>
        <w:ind w:left="720" w:hanging="360"/>
        <w:jc w:val="both"/>
        <w:textAlignment w:val="baseline"/>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5</w:t>
      </w:r>
      <w:r w:rsidRPr="00355C65" w:rsidR="006E573A">
        <w:rPr>
          <w:rFonts w:ascii="Times New Roman" w:hAnsi="Times New Roman" w:eastAsia="Times New Roman" w:cs="Times New Roman"/>
          <w:spacing w:val="-3"/>
          <w:sz w:val="24"/>
          <w:szCs w:val="24"/>
        </w:rPr>
        <w:t>.</w:t>
      </w:r>
      <w:r w:rsidR="00613E06">
        <w:rPr>
          <w:rFonts w:ascii="Times New Roman" w:hAnsi="Times New Roman" w:eastAsia="Times New Roman" w:cs="Times New Roman"/>
          <w:spacing w:val="-3"/>
          <w:sz w:val="24"/>
          <w:szCs w:val="24"/>
        </w:rPr>
        <w:tab/>
        <w:t xml:space="preserve">A </w:t>
      </w:r>
      <w:r w:rsidR="006B01A7">
        <w:rPr>
          <w:rFonts w:ascii="Times New Roman" w:hAnsi="Times New Roman" w:eastAsia="Times New Roman" w:cs="Times New Roman"/>
          <w:spacing w:val="-3"/>
          <w:sz w:val="24"/>
          <w:szCs w:val="24"/>
        </w:rPr>
        <w:t xml:space="preserve">Large </w:t>
      </w:r>
      <w:r w:rsidR="00E73C13">
        <w:rPr>
          <w:rFonts w:ascii="Times New Roman" w:hAnsi="Times New Roman" w:eastAsia="Times New Roman" w:cs="Times New Roman"/>
          <w:spacing w:val="-3"/>
          <w:sz w:val="24"/>
          <w:szCs w:val="24"/>
        </w:rPr>
        <w:t>loan</w:t>
      </w:r>
      <w:r w:rsidR="00613E06">
        <w:rPr>
          <w:rFonts w:ascii="Times New Roman" w:hAnsi="Times New Roman" w:eastAsia="Times New Roman" w:cs="Times New Roman"/>
          <w:spacing w:val="-3"/>
          <w:sz w:val="24"/>
          <w:szCs w:val="24"/>
        </w:rPr>
        <w:t xml:space="preserve"> i</w:t>
      </w:r>
      <w:r w:rsidR="00E73C13">
        <w:rPr>
          <w:rFonts w:ascii="Times New Roman" w:hAnsi="Times New Roman" w:eastAsia="Times New Roman" w:cs="Times New Roman"/>
          <w:spacing w:val="-3"/>
          <w:sz w:val="24"/>
          <w:szCs w:val="24"/>
        </w:rPr>
        <w:t xml:space="preserve">s often associated with </w:t>
      </w:r>
      <w:r w:rsidR="00AB1EF4">
        <w:rPr>
          <w:rFonts w:ascii="Times New Roman" w:hAnsi="Times New Roman" w:eastAsia="Times New Roman" w:cs="Times New Roman"/>
          <w:spacing w:val="-3"/>
          <w:sz w:val="24"/>
          <w:szCs w:val="24"/>
        </w:rPr>
        <w:t>large property size measured in number of units</w:t>
      </w:r>
      <w:r w:rsidR="00E841C5">
        <w:rPr>
          <w:rFonts w:ascii="Times New Roman" w:hAnsi="Times New Roman" w:eastAsia="Times New Roman" w:cs="Times New Roman"/>
          <w:spacing w:val="-3"/>
          <w:sz w:val="24"/>
          <w:szCs w:val="24"/>
        </w:rPr>
        <w:t xml:space="preserve">, which may </w:t>
      </w:r>
      <w:r w:rsidR="000972D9">
        <w:rPr>
          <w:rFonts w:ascii="Times New Roman" w:hAnsi="Times New Roman" w:eastAsia="Times New Roman" w:cs="Times New Roman"/>
          <w:spacing w:val="-3"/>
          <w:sz w:val="24"/>
          <w:szCs w:val="24"/>
        </w:rPr>
        <w:t xml:space="preserve">indicate </w:t>
      </w:r>
      <w:r w:rsidR="00613E06">
        <w:rPr>
          <w:rFonts w:ascii="Times New Roman" w:hAnsi="Times New Roman" w:eastAsia="Times New Roman" w:cs="Times New Roman"/>
          <w:spacing w:val="-3"/>
          <w:sz w:val="24"/>
          <w:szCs w:val="24"/>
        </w:rPr>
        <w:t xml:space="preserve">a </w:t>
      </w:r>
      <w:r w:rsidR="000972D9">
        <w:rPr>
          <w:rFonts w:ascii="Times New Roman" w:hAnsi="Times New Roman" w:eastAsia="Times New Roman" w:cs="Times New Roman"/>
          <w:spacing w:val="-3"/>
          <w:sz w:val="24"/>
          <w:szCs w:val="24"/>
        </w:rPr>
        <w:t xml:space="preserve">lengthy </w:t>
      </w:r>
      <w:r w:rsidR="00275AE9">
        <w:rPr>
          <w:rFonts w:ascii="Times New Roman" w:hAnsi="Times New Roman" w:eastAsia="Times New Roman" w:cs="Times New Roman"/>
          <w:spacing w:val="-3"/>
          <w:sz w:val="24"/>
          <w:szCs w:val="24"/>
        </w:rPr>
        <w:t>lease-up or ab</w:t>
      </w:r>
      <w:r w:rsidR="001112E8">
        <w:rPr>
          <w:rFonts w:ascii="Times New Roman" w:hAnsi="Times New Roman" w:eastAsia="Times New Roman" w:cs="Times New Roman"/>
          <w:spacing w:val="-3"/>
          <w:sz w:val="24"/>
          <w:szCs w:val="24"/>
        </w:rPr>
        <w:t xml:space="preserve">sorption period. </w:t>
      </w:r>
      <w:r w:rsidRPr="00355C65">
        <w:rPr>
          <w:rFonts w:ascii="Times New Roman" w:hAnsi="Times New Roman" w:eastAsia="Times New Roman" w:cs="Times New Roman"/>
          <w:spacing w:val="-3"/>
          <w:sz w:val="24"/>
          <w:szCs w:val="24"/>
        </w:rPr>
        <w:t xml:space="preserve">The absorption period for estimating market demand is </w:t>
      </w:r>
      <w:r>
        <w:rPr>
          <w:rFonts w:ascii="Times New Roman" w:hAnsi="Times New Roman" w:eastAsia="Times New Roman" w:cs="Times New Roman"/>
          <w:spacing w:val="-3"/>
          <w:sz w:val="24"/>
          <w:szCs w:val="24"/>
        </w:rPr>
        <w:t>up</w:t>
      </w:r>
      <w:r w:rsidRPr="00355C65">
        <w:rPr>
          <w:rFonts w:ascii="Times New Roman" w:hAnsi="Times New Roman" w:eastAsia="Times New Roman" w:cs="Times New Roman"/>
          <w:spacing w:val="-3"/>
          <w:sz w:val="24"/>
          <w:szCs w:val="24"/>
        </w:rPr>
        <w:t xml:space="preserve"> to</w:t>
      </w:r>
      <w:r>
        <w:rPr>
          <w:rFonts w:ascii="Times New Roman" w:hAnsi="Times New Roman" w:eastAsia="Times New Roman" w:cs="Times New Roman"/>
          <w:spacing w:val="-3"/>
          <w:sz w:val="24"/>
          <w:szCs w:val="24"/>
        </w:rPr>
        <w:t xml:space="preserve"> a maximum of</w:t>
      </w:r>
      <w:r w:rsidRPr="00355C65">
        <w:rPr>
          <w:rFonts w:ascii="Times New Roman" w:hAnsi="Times New Roman" w:eastAsia="Times New Roman" w:cs="Times New Roman"/>
          <w:spacing w:val="-3"/>
          <w:sz w:val="24"/>
          <w:szCs w:val="24"/>
        </w:rPr>
        <w:t xml:space="preserve"> 18 months.  Regional Office  Directors may waive the 18-month absorption period restriction only in cases where there is an unusually strong market which will support initial rent-up to sustaining occupancy beyond 18 months and where the borrower has clearly demonstrated successful experience with developing such projects in the recent past.  Such projects may require larger </w:t>
      </w:r>
      <w:r w:rsidR="006A471C">
        <w:rPr>
          <w:rFonts w:ascii="Times New Roman" w:hAnsi="Times New Roman" w:eastAsia="Times New Roman" w:cs="Times New Roman"/>
          <w:spacing w:val="-3"/>
          <w:sz w:val="24"/>
          <w:szCs w:val="24"/>
        </w:rPr>
        <w:t>o</w:t>
      </w:r>
      <w:r w:rsidRPr="00355C65">
        <w:rPr>
          <w:rFonts w:ascii="Times New Roman" w:hAnsi="Times New Roman" w:eastAsia="Times New Roman" w:cs="Times New Roman"/>
          <w:spacing w:val="-3"/>
          <w:sz w:val="24"/>
          <w:szCs w:val="24"/>
        </w:rPr>
        <w:t xml:space="preserve">perating </w:t>
      </w:r>
      <w:r w:rsidR="006A471C">
        <w:rPr>
          <w:rFonts w:ascii="Times New Roman" w:hAnsi="Times New Roman" w:eastAsia="Times New Roman" w:cs="Times New Roman"/>
          <w:spacing w:val="-3"/>
          <w:sz w:val="24"/>
          <w:szCs w:val="24"/>
        </w:rPr>
        <w:t>d</w:t>
      </w:r>
      <w:r w:rsidRPr="00355C65">
        <w:rPr>
          <w:rFonts w:ascii="Times New Roman" w:hAnsi="Times New Roman" w:eastAsia="Times New Roman" w:cs="Times New Roman"/>
          <w:spacing w:val="-3"/>
          <w:sz w:val="24"/>
          <w:szCs w:val="24"/>
        </w:rPr>
        <w:t xml:space="preserve">eficit or </w:t>
      </w:r>
      <w:r w:rsidR="006A471C">
        <w:rPr>
          <w:rFonts w:ascii="Times New Roman" w:hAnsi="Times New Roman" w:eastAsia="Times New Roman" w:cs="Times New Roman"/>
          <w:spacing w:val="-3"/>
          <w:sz w:val="24"/>
          <w:szCs w:val="24"/>
        </w:rPr>
        <w:t>d</w:t>
      </w:r>
      <w:r w:rsidRPr="00355C65">
        <w:rPr>
          <w:rFonts w:ascii="Times New Roman" w:hAnsi="Times New Roman" w:eastAsia="Times New Roman" w:cs="Times New Roman"/>
          <w:spacing w:val="-3"/>
          <w:sz w:val="24"/>
          <w:szCs w:val="24"/>
        </w:rPr>
        <w:t xml:space="preserve">ebt </w:t>
      </w:r>
      <w:r w:rsidR="006A471C">
        <w:rPr>
          <w:rFonts w:ascii="Times New Roman" w:hAnsi="Times New Roman" w:eastAsia="Times New Roman" w:cs="Times New Roman"/>
          <w:spacing w:val="-3"/>
          <w:sz w:val="24"/>
          <w:szCs w:val="24"/>
        </w:rPr>
        <w:t>s</w:t>
      </w:r>
      <w:r w:rsidRPr="00355C65">
        <w:rPr>
          <w:rFonts w:ascii="Times New Roman" w:hAnsi="Times New Roman" w:eastAsia="Times New Roman" w:cs="Times New Roman"/>
          <w:spacing w:val="-3"/>
          <w:sz w:val="24"/>
          <w:szCs w:val="24"/>
        </w:rPr>
        <w:t xml:space="preserve">ervice </w:t>
      </w:r>
      <w:r w:rsidR="006A471C">
        <w:rPr>
          <w:rFonts w:ascii="Times New Roman" w:hAnsi="Times New Roman" w:eastAsia="Times New Roman" w:cs="Times New Roman"/>
          <w:spacing w:val="-3"/>
          <w:sz w:val="24"/>
          <w:szCs w:val="24"/>
        </w:rPr>
        <w:t>r</w:t>
      </w:r>
      <w:r w:rsidRPr="00355C65">
        <w:rPr>
          <w:rFonts w:ascii="Times New Roman" w:hAnsi="Times New Roman" w:eastAsia="Times New Roman" w:cs="Times New Roman"/>
          <w:spacing w:val="-3"/>
          <w:sz w:val="24"/>
          <w:szCs w:val="24"/>
        </w:rPr>
        <w:t>eserves.</w:t>
      </w:r>
    </w:p>
    <w:p w:rsidRPr="00355C65" w:rsidR="006E573A" w:rsidP="006E573A" w:rsidRDefault="006E573A" w14:paraId="5B85566E" w14:textId="568F7FD3">
      <w:pPr>
        <w:widowControl w:val="0"/>
        <w:overflowPunct w:val="0"/>
        <w:autoSpaceDE w:val="0"/>
        <w:autoSpaceDN w:val="0"/>
        <w:adjustRightInd w:val="0"/>
        <w:ind w:left="720" w:hanging="360"/>
        <w:jc w:val="both"/>
        <w:textAlignment w:val="baseline"/>
        <w:rPr>
          <w:rFonts w:ascii="Times New Roman" w:hAnsi="Times New Roman" w:eastAsia="Times New Roman" w:cs="Times New Roman"/>
          <w:spacing w:val="-3"/>
          <w:sz w:val="24"/>
          <w:szCs w:val="24"/>
        </w:rPr>
      </w:pPr>
    </w:p>
    <w:p w:rsidRPr="00355C65" w:rsidR="006E573A" w:rsidP="00367FF3" w:rsidRDefault="00852388" w14:paraId="5B855677" w14:textId="6750339D">
      <w:pPr>
        <w:widowControl w:val="0"/>
        <w:overflowPunct w:val="0"/>
        <w:autoSpaceDE w:val="0"/>
        <w:autoSpaceDN w:val="0"/>
        <w:adjustRightInd w:val="0"/>
        <w:ind w:left="720" w:hanging="360"/>
        <w:jc w:val="both"/>
        <w:textAlignment w:val="baseline"/>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6</w:t>
      </w:r>
      <w:r w:rsidRPr="00355C65" w:rsidR="006E573A">
        <w:rPr>
          <w:rFonts w:ascii="Times New Roman" w:hAnsi="Times New Roman" w:eastAsia="Times New Roman" w:cs="Times New Roman"/>
          <w:spacing w:val="-3"/>
          <w:sz w:val="24"/>
          <w:szCs w:val="24"/>
        </w:rPr>
        <w:t xml:space="preserve">.   </w:t>
      </w:r>
      <w:r w:rsidR="00FD2BB7">
        <w:rPr>
          <w:rFonts w:ascii="Times New Roman" w:hAnsi="Times New Roman" w:eastAsia="Times New Roman" w:cs="Times New Roman"/>
          <w:spacing w:val="-3"/>
          <w:sz w:val="24"/>
          <w:szCs w:val="24"/>
        </w:rPr>
        <w:t xml:space="preserve">For large loans the </w:t>
      </w:r>
      <w:r w:rsidRPr="00355C65" w:rsidR="006E573A">
        <w:rPr>
          <w:rFonts w:ascii="Times New Roman" w:hAnsi="Times New Roman" w:eastAsia="Times New Roman" w:cs="Times New Roman"/>
          <w:spacing w:val="-3"/>
          <w:sz w:val="24"/>
          <w:szCs w:val="24"/>
        </w:rPr>
        <w:t xml:space="preserve">Principals of the borrowing entity must have, in aggregate, net worth equal to at least 20% of the loan amount and liquidity equal to at least 7.5% of the loan amount. This requirement may be waived for sponsors of subsidized affordable housing properties. </w:t>
      </w:r>
    </w:p>
    <w:p w:rsidRPr="00355C65" w:rsidR="006E573A" w:rsidP="006E573A" w:rsidRDefault="006E573A" w14:paraId="5B855678" w14:textId="77777777">
      <w:pPr>
        <w:widowControl w:val="0"/>
        <w:overflowPunct w:val="0"/>
        <w:autoSpaceDE w:val="0"/>
        <w:autoSpaceDN w:val="0"/>
        <w:adjustRightInd w:val="0"/>
        <w:ind w:left="1080" w:hanging="360"/>
        <w:jc w:val="both"/>
        <w:textAlignment w:val="baseline"/>
        <w:rPr>
          <w:rFonts w:ascii="Times New Roman" w:hAnsi="Times New Roman" w:eastAsia="Times New Roman" w:cs="Times New Roman"/>
          <w:spacing w:val="-3"/>
          <w:sz w:val="24"/>
          <w:szCs w:val="24"/>
        </w:rPr>
      </w:pPr>
    </w:p>
    <w:p w:rsidR="006E573A" w:rsidP="006E573A" w:rsidRDefault="006E573A" w14:paraId="5B855688" w14:textId="246B827E"/>
    <w:p w:rsidR="00A91D7A" w:rsidP="007726FB" w:rsidRDefault="00A91D7A" w14:paraId="75AAE4B8" w14:textId="4B79EB9C">
      <w:pPr>
        <w:overflowPunct w:val="0"/>
        <w:autoSpaceDE w:val="0"/>
        <w:autoSpaceDN w:val="0"/>
        <w:adjustRightInd w:val="0"/>
        <w:spacing w:before="80" w:after="80"/>
        <w:ind w:firstLine="162"/>
        <w:jc w:val="both"/>
        <w:textAlignment w:val="baseline"/>
      </w:pPr>
      <w:r w:rsidRPr="00355C65">
        <w:rPr>
          <w:rFonts w:ascii="Arial" w:hAnsi="Arial" w:eastAsia="Times New Roman" w:cs="Arial"/>
          <w:b/>
          <w:sz w:val="28"/>
          <w:szCs w:val="20"/>
        </w:rPr>
        <w:t>3.1</w:t>
      </w:r>
      <w:r>
        <w:rPr>
          <w:rFonts w:ascii="Arial" w:hAnsi="Arial" w:eastAsia="Times New Roman" w:cs="Arial"/>
          <w:b/>
          <w:sz w:val="28"/>
          <w:szCs w:val="20"/>
        </w:rPr>
        <w:t>1</w:t>
      </w:r>
      <w:r w:rsidRPr="00355C65">
        <w:rPr>
          <w:rFonts w:ascii="Arial" w:hAnsi="Arial" w:eastAsia="Times New Roman" w:cs="Arial"/>
          <w:b/>
          <w:sz w:val="28"/>
          <w:szCs w:val="20"/>
        </w:rPr>
        <w:tab/>
      </w:r>
      <w:r w:rsidRPr="00355C65">
        <w:rPr>
          <w:rFonts w:ascii="Arial" w:hAnsi="Arial" w:eastAsia="Times New Roman" w:cs="Arial"/>
          <w:b/>
          <w:sz w:val="28"/>
          <w:szCs w:val="20"/>
        </w:rPr>
        <w:tab/>
        <w:t xml:space="preserve"> </w:t>
      </w:r>
      <w:r w:rsidR="00082EF3">
        <w:rPr>
          <w:rFonts w:ascii="Arial" w:hAnsi="Arial" w:eastAsia="Times New Roman" w:cs="Arial"/>
          <w:b/>
          <w:spacing w:val="-3"/>
          <w:sz w:val="28"/>
          <w:szCs w:val="20"/>
        </w:rPr>
        <w:t>Elderly</w:t>
      </w:r>
      <w:r w:rsidR="00264040">
        <w:rPr>
          <w:rFonts w:ascii="Arial" w:hAnsi="Arial" w:eastAsia="Times New Roman" w:cs="Arial"/>
          <w:b/>
          <w:spacing w:val="-3"/>
          <w:sz w:val="28"/>
          <w:szCs w:val="20"/>
        </w:rPr>
        <w:t xml:space="preserve"> and Age Restriction</w:t>
      </w:r>
    </w:p>
    <w:p w:rsidRPr="00FA0F71" w:rsidR="00A91D7A" w:rsidP="00A91D7A" w:rsidRDefault="00A91D7A" w14:paraId="5A9F290A" w14:textId="77777777">
      <w:pPr>
        <w:spacing w:line="276" w:lineRule="auto"/>
        <w:jc w:val="both"/>
        <w:rPr>
          <w:rFonts w:ascii="Times New Roman" w:hAnsi="Times New Roman" w:cs="Times New Roman"/>
          <w:sz w:val="24"/>
          <w:szCs w:val="24"/>
        </w:rPr>
      </w:pPr>
    </w:p>
    <w:p w:rsidRPr="00FA0F71" w:rsidR="00A91D7A" w:rsidP="001D777F" w:rsidRDefault="008919D8" w14:paraId="52C9D6F8" w14:textId="7B18758D">
      <w:pPr>
        <w:spacing w:line="276" w:lineRule="auto"/>
        <w:ind w:left="360" w:hanging="36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FA0F71" w:rsidR="00A91D7A">
        <w:rPr>
          <w:rFonts w:ascii="Times New Roman" w:hAnsi="Times New Roman" w:cs="Times New Roman"/>
          <w:sz w:val="24"/>
          <w:szCs w:val="24"/>
        </w:rPr>
        <w:t xml:space="preserve">General </w:t>
      </w:r>
      <w:r w:rsidR="001D777F">
        <w:rPr>
          <w:rFonts w:ascii="Times New Roman" w:hAnsi="Times New Roman" w:cs="Times New Roman"/>
          <w:sz w:val="24"/>
          <w:szCs w:val="24"/>
        </w:rPr>
        <w:t>E</w:t>
      </w:r>
      <w:r w:rsidRPr="00FA0F71" w:rsidR="00A91D7A">
        <w:rPr>
          <w:rFonts w:ascii="Times New Roman" w:hAnsi="Times New Roman" w:cs="Times New Roman"/>
          <w:sz w:val="24"/>
          <w:szCs w:val="24"/>
        </w:rPr>
        <w:t xml:space="preserve">ligibility </w:t>
      </w:r>
    </w:p>
    <w:p w:rsidR="00A91D7A" w:rsidP="00A91D7A" w:rsidRDefault="00C50012" w14:paraId="2448C994" w14:textId="4F7D5BEB">
      <w:pPr>
        <w:numPr>
          <w:ilvl w:val="0"/>
          <w:numId w:val="28"/>
        </w:numPr>
        <w:spacing w:after="200" w:line="276" w:lineRule="auto"/>
        <w:ind w:left="720"/>
        <w:contextualSpacing/>
        <w:jc w:val="both"/>
        <w:rPr>
          <w:rFonts w:ascii="Times New Roman" w:hAnsi="Times New Roman" w:cs="Times New Roman"/>
          <w:sz w:val="24"/>
          <w:szCs w:val="24"/>
        </w:rPr>
      </w:pPr>
      <w:r w:rsidRPr="00C50012">
        <w:rPr>
          <w:rFonts w:ascii="Times New Roman" w:hAnsi="Times New Roman" w:cs="Times New Roman"/>
          <w:sz w:val="24"/>
          <w:szCs w:val="24"/>
        </w:rPr>
        <w:t>In order to be eligible for FHA mortgage insurance, properties proposing to restrict occupancy to elderly families or elderly persons must comply with one of the following three occupancy categories:</w:t>
      </w:r>
    </w:p>
    <w:p w:rsidRPr="00FA0F71" w:rsidR="00A91D7A" w:rsidP="00A91D7A" w:rsidRDefault="00A91D7A" w14:paraId="3F80B1F3" w14:textId="77777777">
      <w:pPr>
        <w:spacing w:line="276" w:lineRule="auto"/>
        <w:jc w:val="both"/>
        <w:rPr>
          <w:rFonts w:ascii="Times New Roman" w:hAnsi="Times New Roman" w:cs="Times New Roman"/>
          <w:sz w:val="24"/>
          <w:szCs w:val="24"/>
        </w:rPr>
      </w:pPr>
    </w:p>
    <w:p w:rsidRPr="00540245" w:rsidR="00A91D7A" w:rsidP="00A91D7A" w:rsidRDefault="00A91D7A" w14:paraId="47379B75" w14:textId="77777777">
      <w:pPr>
        <w:pStyle w:val="ListParagraph"/>
        <w:numPr>
          <w:ilvl w:val="0"/>
          <w:numId w:val="44"/>
        </w:numPr>
        <w:spacing w:line="276" w:lineRule="auto"/>
        <w:jc w:val="both"/>
        <w:rPr>
          <w:rFonts w:ascii="Times New Roman" w:hAnsi="Times New Roman" w:cs="Times New Roman"/>
          <w:sz w:val="24"/>
          <w:szCs w:val="24"/>
          <w:u w:val="single"/>
        </w:rPr>
      </w:pPr>
      <w:r w:rsidRPr="00540245">
        <w:rPr>
          <w:rFonts w:ascii="Times New Roman" w:hAnsi="Times New Roman" w:cs="Times New Roman"/>
          <w:sz w:val="24"/>
          <w:szCs w:val="24"/>
          <w:u w:val="single"/>
        </w:rPr>
        <w:t>Occupancy Restricted by Statutory Authority</w:t>
      </w:r>
    </w:p>
    <w:p w:rsidR="00A91D7A" w:rsidP="00A91D7A" w:rsidRDefault="00A91D7A" w14:paraId="3B53ABB9" w14:textId="77777777">
      <w:pPr>
        <w:pStyle w:val="ListParagraph"/>
        <w:spacing w:line="276" w:lineRule="auto"/>
        <w:ind w:left="990"/>
        <w:jc w:val="both"/>
        <w:rPr>
          <w:rFonts w:ascii="Times New Roman" w:hAnsi="Times New Roman" w:cs="Times New Roman"/>
          <w:sz w:val="24"/>
          <w:szCs w:val="24"/>
        </w:rPr>
      </w:pPr>
    </w:p>
    <w:p w:rsidRPr="00B00B61" w:rsidR="00A91D7A" w:rsidP="00A91D7A" w:rsidRDefault="00A91D7A" w14:paraId="13EFB858" w14:textId="77777777">
      <w:pPr>
        <w:pStyle w:val="ListParagraph"/>
        <w:spacing w:line="276" w:lineRule="auto"/>
        <w:ind w:left="990"/>
        <w:jc w:val="both"/>
        <w:rPr>
          <w:rFonts w:ascii="Times New Roman" w:hAnsi="Times New Roman" w:cs="Times New Roman"/>
          <w:sz w:val="24"/>
          <w:szCs w:val="24"/>
        </w:rPr>
      </w:pPr>
      <w:r w:rsidRPr="00872E5E">
        <w:rPr>
          <w:rFonts w:ascii="Times New Roman" w:hAnsi="Times New Roman" w:cs="Times New Roman"/>
          <w:sz w:val="24"/>
          <w:szCs w:val="24"/>
        </w:rPr>
        <w:t xml:space="preserve">Properties proposing to restrict occupancy to certain populations pursuant to specific statutory authority may be eligible for FHA mortgage insurance.  This category includes, without limitation, properties operating under programs in which, pursuant to statutory authority, HUD has approved restricting occupancy to a “mixed use” population including elderly and non-elderly disabled families.  Section 231 is one such program.  This category also includes, without limitation, properties restricting occupancy in accordance with statutory authority provided under Sections 221 or 236 of the National Housing Act or Section 8 of the United States Housing Act of 1937.  Several of these programs authorize properties to restrict occupancy to households in which at least one person is 62 years old and which may include children under the age of 18. This is FHA’s long-standing definition of elderly families and has been referred to in previous FHA guidance as “62+ HOH”.   A property operating under this design </w:t>
      </w:r>
      <w:r>
        <w:rPr>
          <w:rFonts w:ascii="Times New Roman" w:hAnsi="Times New Roman" w:cs="Times New Roman"/>
          <w:sz w:val="24"/>
          <w:szCs w:val="24"/>
        </w:rPr>
        <w:t>may not</w:t>
      </w:r>
      <w:r w:rsidRPr="00872E5E">
        <w:rPr>
          <w:rFonts w:ascii="Times New Roman" w:hAnsi="Times New Roman" w:cs="Times New Roman"/>
          <w:sz w:val="24"/>
          <w:szCs w:val="24"/>
        </w:rPr>
        <w:t xml:space="preserve"> discriminate against </w:t>
      </w:r>
      <w:r w:rsidRPr="00866DD9">
        <w:rPr>
          <w:rFonts w:ascii="Times New Roman" w:hAnsi="Times New Roman" w:cs="Times New Roman"/>
          <w:sz w:val="24"/>
          <w:szCs w:val="24"/>
        </w:rPr>
        <w:t>familial status</w:t>
      </w:r>
      <w:r>
        <w:rPr>
          <w:rFonts w:ascii="Times New Roman" w:hAnsi="Times New Roman" w:cs="Times New Roman"/>
          <w:sz w:val="24"/>
          <w:szCs w:val="24"/>
        </w:rPr>
        <w:t xml:space="preserve"> </w:t>
      </w:r>
      <w:r w:rsidRPr="00302920">
        <w:rPr>
          <w:rFonts w:ascii="Times New Roman" w:hAnsi="Times New Roman" w:cs="Times New Roman"/>
          <w:sz w:val="24"/>
          <w:szCs w:val="24"/>
        </w:rPr>
        <w:t>in</w:t>
      </w:r>
      <w:r w:rsidRPr="00B00B61">
        <w:rPr>
          <w:rFonts w:ascii="Times New Roman" w:hAnsi="Times New Roman" w:cs="Times New Roman"/>
          <w:sz w:val="24"/>
          <w:szCs w:val="24"/>
        </w:rPr>
        <w:t xml:space="preserve"> its admission and occupancy policies.  </w:t>
      </w:r>
      <w:r w:rsidRPr="003D201C">
        <w:rPr>
          <w:rFonts w:ascii="Times New Roman" w:hAnsi="Times New Roman" w:cs="Times New Roman"/>
          <w:sz w:val="24"/>
          <w:szCs w:val="24"/>
        </w:rPr>
        <w:t>However,</w:t>
      </w:r>
      <w:r w:rsidRPr="00B00B61">
        <w:rPr>
          <w:rFonts w:ascii="Times New Roman" w:hAnsi="Times New Roman" w:cs="Times New Roman"/>
          <w:sz w:val="24"/>
          <w:szCs w:val="24"/>
        </w:rPr>
        <w:t xml:space="preserve"> if a program has statutory authorization for a specific kind of occupancy restriction, an exemption from the Fair Housing Act’s familial status provisions is not needed to operate the property in accordance with that program.</w:t>
      </w:r>
    </w:p>
    <w:p w:rsidR="00A91D7A" w:rsidP="00A91D7A" w:rsidRDefault="00A91D7A" w14:paraId="6E7FBD2A" w14:textId="77777777">
      <w:pPr>
        <w:spacing w:line="276" w:lineRule="auto"/>
        <w:ind w:left="1080"/>
        <w:contextualSpacing/>
        <w:jc w:val="both"/>
        <w:rPr>
          <w:rFonts w:ascii="Times New Roman" w:hAnsi="Times New Roman" w:cs="Times New Roman"/>
          <w:sz w:val="24"/>
          <w:szCs w:val="24"/>
        </w:rPr>
      </w:pPr>
    </w:p>
    <w:p w:rsidR="00A91D7A" w:rsidP="00A91D7A" w:rsidRDefault="00A91D7A" w14:paraId="3588F31D" w14:textId="77777777">
      <w:pPr>
        <w:spacing w:line="276" w:lineRule="auto"/>
        <w:ind w:left="1080"/>
        <w:contextualSpacing/>
        <w:jc w:val="both"/>
        <w:rPr>
          <w:rFonts w:ascii="Times New Roman" w:hAnsi="Times New Roman" w:cs="Times New Roman"/>
          <w:sz w:val="24"/>
          <w:szCs w:val="24"/>
        </w:rPr>
      </w:pPr>
      <w:r w:rsidRPr="00A93ED7">
        <w:rPr>
          <w:rFonts w:ascii="Times New Roman" w:hAnsi="Times New Roman" w:cs="Times New Roman"/>
          <w:sz w:val="24"/>
          <w:szCs w:val="24"/>
        </w:rPr>
        <w:t xml:space="preserve">FHA mortgage insurance is compatible with projects </w:t>
      </w:r>
      <w:r>
        <w:rPr>
          <w:rFonts w:ascii="Times New Roman" w:hAnsi="Times New Roman" w:cs="Times New Roman"/>
          <w:sz w:val="24"/>
          <w:szCs w:val="24"/>
        </w:rPr>
        <w:t xml:space="preserve">having </w:t>
      </w:r>
      <w:r w:rsidRPr="00A93ED7">
        <w:rPr>
          <w:rFonts w:ascii="Times New Roman" w:hAnsi="Times New Roman" w:cs="Times New Roman"/>
          <w:sz w:val="24"/>
          <w:szCs w:val="24"/>
        </w:rPr>
        <w:t>an elderly preference combined with project-based Section 8 rental assistance</w:t>
      </w:r>
      <w:r>
        <w:rPr>
          <w:rFonts w:ascii="Times New Roman" w:hAnsi="Times New Roman" w:cs="Times New Roman"/>
          <w:sz w:val="24"/>
          <w:szCs w:val="24"/>
        </w:rPr>
        <w:t xml:space="preserve"> permitting non-elderly families with children under the age of 18</w:t>
      </w:r>
      <w:r w:rsidRPr="00A93ED7">
        <w:rPr>
          <w:rFonts w:ascii="Times New Roman" w:hAnsi="Times New Roman" w:cs="Times New Roman"/>
          <w:sz w:val="24"/>
          <w:szCs w:val="24"/>
        </w:rPr>
        <w:t xml:space="preserve">. In these cases, </w:t>
      </w:r>
      <w:r>
        <w:rPr>
          <w:rFonts w:ascii="Times New Roman" w:hAnsi="Times New Roman" w:cs="Times New Roman"/>
          <w:sz w:val="24"/>
          <w:szCs w:val="24"/>
        </w:rPr>
        <w:t xml:space="preserve">the Fair Housing Act’s housing for older persons exemption (which permits the exclusion of families with children) is not implicated because </w:t>
      </w:r>
      <w:r w:rsidRPr="00A93ED7">
        <w:rPr>
          <w:rFonts w:ascii="Times New Roman" w:hAnsi="Times New Roman" w:cs="Times New Roman"/>
          <w:sz w:val="24"/>
          <w:szCs w:val="24"/>
        </w:rPr>
        <w:t xml:space="preserve">the Section 8 </w:t>
      </w:r>
      <w:r>
        <w:rPr>
          <w:rFonts w:ascii="Times New Roman" w:hAnsi="Times New Roman" w:cs="Times New Roman"/>
          <w:sz w:val="24"/>
          <w:szCs w:val="24"/>
        </w:rPr>
        <w:t xml:space="preserve">statute and </w:t>
      </w:r>
      <w:r w:rsidRPr="00A93ED7">
        <w:rPr>
          <w:rFonts w:ascii="Times New Roman" w:hAnsi="Times New Roman" w:cs="Times New Roman"/>
          <w:sz w:val="24"/>
          <w:szCs w:val="24"/>
        </w:rPr>
        <w:t xml:space="preserve">regulations </w:t>
      </w:r>
      <w:r>
        <w:rPr>
          <w:rFonts w:ascii="Times New Roman" w:hAnsi="Times New Roman" w:cs="Times New Roman"/>
          <w:sz w:val="24"/>
          <w:szCs w:val="24"/>
        </w:rPr>
        <w:t xml:space="preserve">require the inclusion of families with children. </w:t>
      </w:r>
    </w:p>
    <w:p w:rsidR="00A91D7A" w:rsidP="00A91D7A" w:rsidRDefault="00A91D7A" w14:paraId="61E366F1" w14:textId="77777777">
      <w:pPr>
        <w:spacing w:line="276" w:lineRule="auto"/>
        <w:contextualSpacing/>
        <w:jc w:val="both"/>
        <w:rPr>
          <w:rFonts w:ascii="Times New Roman" w:hAnsi="Times New Roman" w:cs="Times New Roman"/>
          <w:sz w:val="24"/>
          <w:szCs w:val="24"/>
        </w:rPr>
      </w:pPr>
    </w:p>
    <w:p w:rsidR="00A91D7A" w:rsidP="00135C48" w:rsidRDefault="00A91D7A" w14:paraId="1900F826" w14:textId="1F509AF9">
      <w:pPr>
        <w:spacing w:line="276" w:lineRule="auto"/>
        <w:ind w:left="1080"/>
        <w:contextualSpacing/>
        <w:jc w:val="both"/>
        <w:rPr>
          <w:rFonts w:ascii="Times New Roman" w:hAnsi="Times New Roman" w:cs="Times New Roman"/>
          <w:sz w:val="24"/>
          <w:szCs w:val="24"/>
        </w:rPr>
      </w:pPr>
      <w:r>
        <w:rPr>
          <w:rFonts w:ascii="Times New Roman" w:hAnsi="Times New Roman" w:cs="Times New Roman"/>
          <w:sz w:val="24"/>
          <w:szCs w:val="24"/>
        </w:rPr>
        <w:t xml:space="preserve">If the </w:t>
      </w:r>
      <w:r w:rsidRPr="000B5423">
        <w:rPr>
          <w:rFonts w:ascii="Times New Roman" w:hAnsi="Times New Roman" w:cs="Times New Roman"/>
          <w:sz w:val="24"/>
          <w:szCs w:val="24"/>
        </w:rPr>
        <w:t xml:space="preserve"> project </w:t>
      </w:r>
      <w:r>
        <w:rPr>
          <w:rFonts w:ascii="Times New Roman" w:hAnsi="Times New Roman" w:cs="Times New Roman"/>
          <w:sz w:val="24"/>
          <w:szCs w:val="24"/>
        </w:rPr>
        <w:t xml:space="preserve">allows a “mixed population”, including elderly and non-elderly disabled persons, </w:t>
      </w:r>
      <w:r w:rsidRPr="000B5423">
        <w:rPr>
          <w:rFonts w:ascii="Times New Roman" w:hAnsi="Times New Roman" w:cs="Times New Roman"/>
          <w:sz w:val="24"/>
          <w:szCs w:val="24"/>
        </w:rPr>
        <w:t xml:space="preserve"> has been operating continuously since prior to October 1, 1991 (the effective date of Title Viii, Subtitle A of “Cranston-Gonzalez National Affordable Housing Act</w:t>
      </w:r>
      <w:r>
        <w:rPr>
          <w:rFonts w:ascii="Times New Roman" w:hAnsi="Times New Roman" w:cs="Times New Roman"/>
          <w:sz w:val="24"/>
          <w:szCs w:val="24"/>
        </w:rPr>
        <w:t>”</w:t>
      </w:r>
      <w:r w:rsidRPr="000B5423">
        <w:rPr>
          <w:rFonts w:ascii="Times New Roman" w:hAnsi="Times New Roman" w:cs="Times New Roman"/>
          <w:sz w:val="24"/>
          <w:szCs w:val="24"/>
        </w:rPr>
        <w:t>, Pub. L. 101-625) and is subject to a project-based Section 8 contract, a regulatory agreement, or a use agreement executed in accordance with statutory authority</w:t>
      </w:r>
      <w:r>
        <w:rPr>
          <w:rFonts w:ascii="Times New Roman" w:hAnsi="Times New Roman" w:cs="Times New Roman"/>
          <w:sz w:val="24"/>
          <w:szCs w:val="24"/>
        </w:rPr>
        <w:t>,</w:t>
      </w:r>
      <w:r w:rsidRPr="000B5423">
        <w:rPr>
          <w:rFonts w:ascii="Times New Roman" w:hAnsi="Times New Roman" w:cs="Times New Roman"/>
          <w:sz w:val="24"/>
          <w:szCs w:val="24"/>
        </w:rPr>
        <w:t xml:space="preserve"> </w:t>
      </w:r>
      <w:r>
        <w:rPr>
          <w:rFonts w:ascii="Times New Roman" w:hAnsi="Times New Roman" w:cs="Times New Roman"/>
          <w:sz w:val="24"/>
          <w:szCs w:val="24"/>
        </w:rPr>
        <w:t>the project would</w:t>
      </w:r>
      <w:r w:rsidRPr="000B5423">
        <w:rPr>
          <w:rFonts w:ascii="Times New Roman" w:hAnsi="Times New Roman" w:cs="Times New Roman"/>
          <w:sz w:val="24"/>
          <w:szCs w:val="24"/>
        </w:rPr>
        <w:t xml:space="preserve"> meet the MAP Guide requirement.  No waiver would be required as long as </w:t>
      </w:r>
      <w:r>
        <w:rPr>
          <w:rFonts w:ascii="Times New Roman" w:hAnsi="Times New Roman" w:cs="Times New Roman"/>
          <w:sz w:val="24"/>
          <w:szCs w:val="24"/>
        </w:rPr>
        <w:t xml:space="preserve">1) </w:t>
      </w:r>
      <w:r w:rsidRPr="000B5423">
        <w:rPr>
          <w:rFonts w:ascii="Times New Roman" w:hAnsi="Times New Roman" w:cs="Times New Roman"/>
          <w:sz w:val="24"/>
          <w:szCs w:val="24"/>
        </w:rPr>
        <w:t xml:space="preserve">the lender </w:t>
      </w:r>
      <w:r>
        <w:rPr>
          <w:rFonts w:ascii="Times New Roman" w:hAnsi="Times New Roman" w:cs="Times New Roman"/>
          <w:sz w:val="24"/>
          <w:szCs w:val="24"/>
        </w:rPr>
        <w:t>submits with the application</w:t>
      </w:r>
      <w:r w:rsidRPr="000B5423">
        <w:rPr>
          <w:rFonts w:ascii="Times New Roman" w:hAnsi="Times New Roman" w:cs="Times New Roman"/>
          <w:sz w:val="24"/>
          <w:szCs w:val="24"/>
        </w:rPr>
        <w:t xml:space="preserve"> the contract or agreement permitting the use and, </w:t>
      </w:r>
      <w:r>
        <w:rPr>
          <w:rFonts w:ascii="Times New Roman" w:hAnsi="Times New Roman" w:cs="Times New Roman"/>
          <w:sz w:val="24"/>
          <w:szCs w:val="24"/>
        </w:rPr>
        <w:t>2)</w:t>
      </w:r>
      <w:r w:rsidRPr="000B5423">
        <w:rPr>
          <w:rFonts w:ascii="Times New Roman" w:hAnsi="Times New Roman" w:cs="Times New Roman"/>
          <w:sz w:val="24"/>
          <w:szCs w:val="24"/>
        </w:rPr>
        <w:t xml:space="preserve"> the proposed occupancy regime will continue in accordance with existing agreements in place prior to October 1, 1991.   </w:t>
      </w:r>
      <w:r w:rsidRPr="00FA0F71">
        <w:rPr>
          <w:rFonts w:ascii="Times New Roman" w:hAnsi="Times New Roman" w:cs="Times New Roman"/>
          <w:sz w:val="24"/>
          <w:szCs w:val="24"/>
        </w:rPr>
        <w:t xml:space="preserve">  </w:t>
      </w:r>
    </w:p>
    <w:p w:rsidRPr="00FA0F71" w:rsidR="00A91D7A" w:rsidP="00A91D7A" w:rsidRDefault="00A91D7A" w14:paraId="553C88AB" w14:textId="77777777">
      <w:pPr>
        <w:spacing w:line="276" w:lineRule="auto"/>
        <w:ind w:left="1080"/>
        <w:contextualSpacing/>
        <w:jc w:val="both"/>
        <w:rPr>
          <w:rFonts w:ascii="Times New Roman" w:hAnsi="Times New Roman" w:cs="Times New Roman"/>
          <w:sz w:val="24"/>
          <w:szCs w:val="24"/>
        </w:rPr>
      </w:pPr>
    </w:p>
    <w:p w:rsidRPr="00130EE0" w:rsidR="00A91D7A" w:rsidP="00A91D7A" w:rsidRDefault="00A91D7A" w14:paraId="0E53F12D" w14:textId="77777777">
      <w:pPr>
        <w:pStyle w:val="ListParagraph"/>
        <w:numPr>
          <w:ilvl w:val="0"/>
          <w:numId w:val="44"/>
        </w:numPr>
        <w:overflowPunct w:val="0"/>
        <w:autoSpaceDE w:val="0"/>
        <w:autoSpaceDN w:val="0"/>
        <w:jc w:val="both"/>
        <w:textAlignment w:val="baseline"/>
        <w:rPr>
          <w:rFonts w:ascii="Times New Roman" w:hAnsi="Times New Roman" w:cs="Times New Roman"/>
          <w:sz w:val="24"/>
          <w:szCs w:val="24"/>
          <w:u w:val="single"/>
        </w:rPr>
      </w:pPr>
      <w:r w:rsidRPr="009039AE">
        <w:rPr>
          <w:rFonts w:ascii="Times New Roman" w:hAnsi="Times New Roman" w:cs="Times New Roman"/>
          <w:sz w:val="24"/>
          <w:szCs w:val="24"/>
          <w:u w:val="single"/>
        </w:rPr>
        <w:t xml:space="preserve">Housing </w:t>
      </w:r>
      <w:r w:rsidRPr="00130EE0">
        <w:rPr>
          <w:rFonts w:ascii="Times New Roman" w:hAnsi="Times New Roman" w:cs="Times New Roman"/>
          <w:sz w:val="24"/>
          <w:szCs w:val="24"/>
          <w:u w:val="single"/>
        </w:rPr>
        <w:t>P</w:t>
      </w:r>
      <w:r w:rsidRPr="009039AE">
        <w:rPr>
          <w:rFonts w:ascii="Times New Roman" w:hAnsi="Times New Roman" w:cs="Times New Roman"/>
          <w:sz w:val="24"/>
          <w:szCs w:val="24"/>
          <w:u w:val="single"/>
        </w:rPr>
        <w:t xml:space="preserve">rimarily for </w:t>
      </w:r>
      <w:r w:rsidRPr="00130EE0">
        <w:rPr>
          <w:rFonts w:ascii="Times New Roman" w:hAnsi="Times New Roman" w:cs="Times New Roman"/>
          <w:sz w:val="24"/>
          <w:szCs w:val="24"/>
          <w:u w:val="single"/>
        </w:rPr>
        <w:t>P</w:t>
      </w:r>
      <w:r w:rsidRPr="0023547C">
        <w:rPr>
          <w:rFonts w:ascii="Times New Roman" w:hAnsi="Times New Roman" w:cs="Times New Roman"/>
          <w:sz w:val="24"/>
          <w:szCs w:val="24"/>
          <w:u w:val="single"/>
        </w:rPr>
        <w:t xml:space="preserve">ersons age 55 and older.  (55+ Exemption) </w:t>
      </w:r>
    </w:p>
    <w:p w:rsidR="00A91D7A" w:rsidP="00A91D7A" w:rsidRDefault="00A91D7A" w14:paraId="4557F1C9" w14:textId="77777777">
      <w:pPr>
        <w:pStyle w:val="ListParagraph"/>
        <w:overflowPunct w:val="0"/>
        <w:autoSpaceDE w:val="0"/>
        <w:autoSpaceDN w:val="0"/>
        <w:ind w:left="990"/>
        <w:jc w:val="both"/>
        <w:textAlignment w:val="baseline"/>
        <w:rPr>
          <w:rFonts w:ascii="Times New Roman" w:hAnsi="Times New Roman" w:cs="Times New Roman"/>
          <w:sz w:val="24"/>
          <w:szCs w:val="24"/>
        </w:rPr>
      </w:pPr>
    </w:p>
    <w:p w:rsidRPr="00B62C6F" w:rsidR="00A91D7A" w:rsidP="00A91D7A" w:rsidRDefault="00A91D7A" w14:paraId="59E38CD3" w14:textId="77777777">
      <w:pPr>
        <w:pStyle w:val="ListParagraph"/>
        <w:ind w:left="990"/>
        <w:rPr>
          <w:rFonts w:ascii="Times New Roman" w:hAnsi="Times New Roman" w:cs="Times New Roman"/>
          <w:sz w:val="24"/>
          <w:szCs w:val="24"/>
        </w:rPr>
      </w:pPr>
      <w:r>
        <w:rPr>
          <w:rFonts w:ascii="Times New Roman" w:hAnsi="Times New Roman" w:cs="Times New Roman"/>
          <w:sz w:val="24"/>
          <w:szCs w:val="24"/>
        </w:rPr>
        <w:t xml:space="preserve">HUD does not permit projects with occupancy restricted to age 55 and older under </w:t>
      </w:r>
    </w:p>
    <w:p w:rsidRPr="006E62DF" w:rsidR="00A91D7A" w:rsidP="00A91D7A" w:rsidRDefault="00A91D7A" w14:paraId="099E6E92" w14:textId="77777777">
      <w:pPr>
        <w:overflowPunct w:val="0"/>
        <w:autoSpaceDE w:val="0"/>
        <w:autoSpaceDN w:val="0"/>
        <w:ind w:left="990"/>
        <w:jc w:val="both"/>
        <w:textAlignment w:val="baseline"/>
        <w:rPr>
          <w:rFonts w:ascii="Times New Roman" w:hAnsi="Times New Roman" w:cs="Times New Roman"/>
          <w:sz w:val="24"/>
          <w:szCs w:val="24"/>
        </w:rPr>
      </w:pPr>
      <w:r w:rsidRPr="009039AE">
        <w:rPr>
          <w:rFonts w:ascii="Times New Roman" w:hAnsi="Times New Roman" w:cs="Times New Roman"/>
          <w:sz w:val="24"/>
          <w:szCs w:val="24"/>
        </w:rPr>
        <w:t>any market rate multifamily programs or under any New Construction or Substantial Rehabilitation programs. Existing properties that restrict occupancy to households in which at least one person is at least 55 years old may be eligible for FHA mortgage insurance for refinancing or acquisition financing if they qualify for an exemption from the familial status provisions of the Fair Housing Act and the program complies with all requirements set forth at Section 3.1.O.2.</w:t>
      </w:r>
      <w:r w:rsidRPr="00966A24">
        <w:rPr>
          <w:rFonts w:ascii="Times New Roman" w:hAnsi="Times New Roman" w:cs="Times New Roman"/>
          <w:sz w:val="24"/>
          <w:szCs w:val="24"/>
        </w:rPr>
        <w:t>b</w:t>
      </w:r>
      <w:r w:rsidRPr="006E62DF">
        <w:rPr>
          <w:rFonts w:ascii="Times New Roman" w:hAnsi="Times New Roman" w:cs="Times New Roman"/>
          <w:sz w:val="24"/>
          <w:szCs w:val="24"/>
        </w:rPr>
        <w:t xml:space="preserve"> below. To qualify as housing “intended and operated for occupancy by persons 55 years of age or older,” the housing provider must meet all three of the following criteria: </w:t>
      </w:r>
    </w:p>
    <w:p w:rsidRPr="00FA0F71" w:rsidR="00A91D7A" w:rsidP="00A91D7A" w:rsidRDefault="00A91D7A" w14:paraId="1E048A71" w14:textId="77777777">
      <w:pPr>
        <w:overflowPunct w:val="0"/>
        <w:autoSpaceDE w:val="0"/>
        <w:autoSpaceDN w:val="0"/>
        <w:ind w:right="720"/>
        <w:jc w:val="both"/>
        <w:textAlignment w:val="baseline"/>
        <w:rPr>
          <w:rFonts w:ascii="Times New Roman" w:hAnsi="Times New Roman" w:cs="Times New Roman"/>
          <w:sz w:val="24"/>
          <w:szCs w:val="24"/>
        </w:rPr>
      </w:pPr>
    </w:p>
    <w:p w:rsidRPr="00FA0F71" w:rsidR="00A91D7A" w:rsidP="00A91D7A" w:rsidRDefault="00A91D7A" w14:paraId="2F3FDBC1" w14:textId="77777777">
      <w:pPr>
        <w:numPr>
          <w:ilvl w:val="0"/>
          <w:numId w:val="33"/>
        </w:numPr>
        <w:overflowPunct w:val="0"/>
        <w:autoSpaceDE w:val="0"/>
        <w:autoSpaceDN w:val="0"/>
        <w:ind w:left="1530" w:right="720"/>
        <w:jc w:val="both"/>
        <w:textAlignment w:val="baseline"/>
        <w:rPr>
          <w:rFonts w:ascii="Times New Roman" w:hAnsi="Times New Roman" w:cs="Times New Roman"/>
          <w:sz w:val="24"/>
          <w:szCs w:val="24"/>
        </w:rPr>
      </w:pPr>
      <w:r w:rsidRPr="00FA0F71">
        <w:rPr>
          <w:rFonts w:ascii="Times New Roman" w:hAnsi="Times New Roman" w:cs="Times New Roman"/>
          <w:sz w:val="24"/>
          <w:szCs w:val="24"/>
        </w:rPr>
        <w:t>at least 80 percent of the occupied units are occupied by at least one person who is 55 years of age or older</w:t>
      </w:r>
      <w:r w:rsidRPr="00FA0F71">
        <w:rPr>
          <w:rFonts w:ascii="Times New Roman" w:hAnsi="Times New Roman" w:cs="Times New Roman"/>
          <w:color w:val="1F497D"/>
          <w:sz w:val="24"/>
          <w:szCs w:val="24"/>
        </w:rPr>
        <w:t>;</w:t>
      </w:r>
      <w:r w:rsidRPr="00FA0F71">
        <w:rPr>
          <w:rFonts w:ascii="Times New Roman" w:hAnsi="Times New Roman" w:cs="Times New Roman"/>
          <w:sz w:val="24"/>
          <w:szCs w:val="24"/>
        </w:rPr>
        <w:t xml:space="preserve"> </w:t>
      </w:r>
    </w:p>
    <w:p w:rsidRPr="00FA0F71" w:rsidR="00A91D7A" w:rsidP="00A91D7A" w:rsidRDefault="00A91D7A" w14:paraId="3FDE58A0" w14:textId="77777777">
      <w:pPr>
        <w:numPr>
          <w:ilvl w:val="0"/>
          <w:numId w:val="33"/>
        </w:numPr>
        <w:overflowPunct w:val="0"/>
        <w:autoSpaceDE w:val="0"/>
        <w:autoSpaceDN w:val="0"/>
        <w:ind w:left="1530" w:right="720"/>
        <w:jc w:val="both"/>
        <w:textAlignment w:val="baseline"/>
        <w:rPr>
          <w:rFonts w:ascii="Times New Roman" w:hAnsi="Times New Roman" w:cs="Times New Roman"/>
          <w:sz w:val="24"/>
          <w:szCs w:val="24"/>
        </w:rPr>
      </w:pPr>
      <w:r w:rsidRPr="00FA0F71">
        <w:rPr>
          <w:rFonts w:ascii="Times New Roman" w:hAnsi="Times New Roman" w:cs="Times New Roman"/>
          <w:sz w:val="24"/>
          <w:szCs w:val="24"/>
        </w:rPr>
        <w:t>the housing community or facility publishes and adheres to policies and procedures that demonstrate the intent to serve persons 55 years of age and older; and</w:t>
      </w:r>
    </w:p>
    <w:p w:rsidRPr="00FA0F71" w:rsidR="00A91D7A" w:rsidP="00A91D7A" w:rsidRDefault="00A91D7A" w14:paraId="4FFABFFA" w14:textId="77777777">
      <w:pPr>
        <w:numPr>
          <w:ilvl w:val="0"/>
          <w:numId w:val="33"/>
        </w:numPr>
        <w:overflowPunct w:val="0"/>
        <w:autoSpaceDE w:val="0"/>
        <w:autoSpaceDN w:val="0"/>
        <w:ind w:left="1530" w:right="720"/>
        <w:jc w:val="both"/>
        <w:textAlignment w:val="baseline"/>
        <w:rPr>
          <w:rFonts w:ascii="Times New Roman" w:hAnsi="Times New Roman" w:cs="Times New Roman"/>
          <w:sz w:val="24"/>
          <w:szCs w:val="24"/>
        </w:rPr>
      </w:pPr>
      <w:r w:rsidRPr="00FA0F71">
        <w:rPr>
          <w:rFonts w:ascii="Times New Roman" w:hAnsi="Times New Roman" w:cs="Times New Roman"/>
          <w:sz w:val="24"/>
          <w:szCs w:val="24"/>
        </w:rPr>
        <w:t xml:space="preserve">the housing facility or community complies with the rules issued by HUD for verification of occupancy. </w:t>
      </w:r>
    </w:p>
    <w:p w:rsidRPr="00FA0F71" w:rsidR="00A91D7A" w:rsidP="00A91D7A" w:rsidRDefault="00A91D7A" w14:paraId="61A3A918" w14:textId="77777777">
      <w:pPr>
        <w:spacing w:line="276" w:lineRule="auto"/>
        <w:ind w:left="1080"/>
        <w:contextualSpacing/>
        <w:jc w:val="both"/>
        <w:rPr>
          <w:rFonts w:ascii="Times New Roman" w:hAnsi="Times New Roman" w:cs="Times New Roman"/>
          <w:sz w:val="24"/>
          <w:szCs w:val="24"/>
        </w:rPr>
      </w:pPr>
    </w:p>
    <w:p w:rsidRPr="00FA0F71" w:rsidR="00A91D7A" w:rsidP="00A91D7A" w:rsidRDefault="00A91D7A" w14:paraId="5E9ADE4D" w14:textId="77777777">
      <w:pPr>
        <w:ind w:left="990" w:right="720"/>
        <w:jc w:val="both"/>
        <w:rPr>
          <w:rFonts w:ascii="Times New Roman" w:hAnsi="Times New Roman" w:cs="Times New Roman"/>
          <w:sz w:val="24"/>
          <w:szCs w:val="24"/>
        </w:rPr>
      </w:pPr>
      <w:r w:rsidRPr="00FA0F71">
        <w:rPr>
          <w:rFonts w:ascii="Times New Roman" w:hAnsi="Times New Roman" w:cs="Times New Roman"/>
          <w:sz w:val="24"/>
          <w:szCs w:val="24"/>
        </w:rPr>
        <w:t>42 U.S.C. § 3607(B)(2)(C)(i)-(iii).  HUD’s implementing regulations at 24 C.F.R. part 100 address these three requirements in greater detail:  the 80 percent minimum occupancy requirement outlined in (i), above is addressed at 24 C.F.R. § 100.305; the assessment of intent outlined in (ii), above is addressed at 24 C.F.R. § 100.306; and the verification requirements outlined in (iii) above are addressed at 24 C.F.R. § 100.307.</w:t>
      </w:r>
    </w:p>
    <w:p w:rsidRPr="00FA0F71" w:rsidR="00A91D7A" w:rsidP="00A91D7A" w:rsidRDefault="00A91D7A" w14:paraId="764F0EFB" w14:textId="77777777">
      <w:pPr>
        <w:spacing w:line="276" w:lineRule="auto"/>
        <w:ind w:left="1080"/>
        <w:contextualSpacing/>
        <w:jc w:val="both"/>
        <w:rPr>
          <w:rFonts w:ascii="Times New Roman" w:hAnsi="Times New Roman" w:cs="Times New Roman"/>
          <w:sz w:val="24"/>
          <w:szCs w:val="24"/>
        </w:rPr>
      </w:pPr>
    </w:p>
    <w:p w:rsidRPr="00611696" w:rsidR="00A91D7A" w:rsidP="00A91D7A" w:rsidRDefault="00A91D7A" w14:paraId="51FE994F" w14:textId="77777777">
      <w:pPr>
        <w:overflowPunct w:val="0"/>
        <w:autoSpaceDE w:val="0"/>
        <w:autoSpaceDN w:val="0"/>
        <w:ind w:left="990"/>
        <w:jc w:val="both"/>
        <w:textAlignment w:val="baseline"/>
        <w:rPr>
          <w:rFonts w:ascii="Times New Roman" w:hAnsi="Times New Roman" w:cs="Times New Roman"/>
          <w:sz w:val="24"/>
          <w:szCs w:val="24"/>
        </w:rPr>
      </w:pPr>
      <w:r w:rsidRPr="00611696">
        <w:rPr>
          <w:rFonts w:ascii="Times New Roman" w:hAnsi="Times New Roman" w:cs="Times New Roman"/>
          <w:sz w:val="24"/>
          <w:szCs w:val="24"/>
        </w:rPr>
        <w:t>Applicable properties must have complied with the Fair Housing Act’s conversion rules, including the rule covering properties intending to convert from non-exempt to exempt housing after May 3, 2000.  In these projects, the owner/borrower of an existing property must apply neutral admission policies (admitting head of household-age-eligible families with children) until the 80 percent threshold of the exemption is satisfied.  For properties constructed after May 3, 2000, the new construction rules dictate that such properties may exclude families with children</w:t>
      </w:r>
      <w:r>
        <w:rPr>
          <w:rFonts w:ascii="Times New Roman" w:hAnsi="Times New Roman" w:cs="Times New Roman"/>
          <w:sz w:val="24"/>
          <w:szCs w:val="24"/>
        </w:rPr>
        <w:t xml:space="preserve"> </w:t>
      </w:r>
      <w:r w:rsidRPr="00611696">
        <w:rPr>
          <w:rFonts w:ascii="Times New Roman" w:hAnsi="Times New Roman" w:cs="Times New Roman"/>
          <w:sz w:val="24"/>
          <w:szCs w:val="24"/>
        </w:rPr>
        <w:t>until 25 percent of its units are occupied. Once the 25 percent threshold is reached, at least 80 percent of the occupied units must have a resident who is 55 years of age or older. If the property does not meet the 80 percent requirement once the 25 percent occupation threshold is reached, the owner/borrower may not thereafter exclude or otherwise discriminate against famili</w:t>
      </w:r>
      <w:r>
        <w:rPr>
          <w:rFonts w:ascii="Times New Roman" w:hAnsi="Times New Roman" w:cs="Times New Roman"/>
          <w:sz w:val="24"/>
          <w:szCs w:val="24"/>
        </w:rPr>
        <w:t>al status</w:t>
      </w:r>
      <w:r w:rsidRPr="00611696">
        <w:rPr>
          <w:rFonts w:ascii="Times New Roman" w:hAnsi="Times New Roman" w:cs="Times New Roman"/>
          <w:sz w:val="24"/>
          <w:szCs w:val="24"/>
        </w:rPr>
        <w:t>.</w:t>
      </w:r>
    </w:p>
    <w:p w:rsidRPr="00FA0F71" w:rsidR="00A91D7A" w:rsidP="00A91D7A" w:rsidRDefault="00A91D7A" w14:paraId="2F4C5BB8" w14:textId="77777777">
      <w:pPr>
        <w:spacing w:line="276" w:lineRule="auto"/>
        <w:ind w:left="990"/>
        <w:contextualSpacing/>
        <w:jc w:val="both"/>
        <w:rPr>
          <w:rFonts w:ascii="Times New Roman" w:hAnsi="Times New Roman" w:cs="Times New Roman"/>
          <w:sz w:val="24"/>
          <w:szCs w:val="24"/>
        </w:rPr>
      </w:pPr>
    </w:p>
    <w:p w:rsidRPr="00611696" w:rsidR="00A91D7A" w:rsidP="00A91D7A" w:rsidRDefault="00A91D7A" w14:paraId="1F676A87" w14:textId="77777777">
      <w:pPr>
        <w:overflowPunct w:val="0"/>
        <w:autoSpaceDE w:val="0"/>
        <w:autoSpaceDN w:val="0"/>
        <w:ind w:left="990"/>
        <w:jc w:val="both"/>
        <w:textAlignment w:val="baseline"/>
        <w:rPr>
          <w:rFonts w:ascii="Times New Roman" w:hAnsi="Times New Roman" w:cs="Times New Roman"/>
          <w:sz w:val="24"/>
          <w:szCs w:val="24"/>
        </w:rPr>
      </w:pPr>
      <w:r w:rsidRPr="00611696">
        <w:rPr>
          <w:rFonts w:ascii="Times New Roman" w:hAnsi="Times New Roman" w:cs="Times New Roman"/>
          <w:sz w:val="24"/>
          <w:szCs w:val="24"/>
        </w:rPr>
        <w:t xml:space="preserve">The Fair Housing Act prohibits “dual purpose housing facilities.” A housing facility or community may not avail itself of the 55 and older exemption if it designates some units, sections or buildings for persons age 55 and older, while designating other units, sections or buildings for families with children.  </w:t>
      </w:r>
      <w:r w:rsidRPr="00611696">
        <w:rPr>
          <w:rFonts w:ascii="Times New Roman" w:hAnsi="Times New Roman" w:cs="Times New Roman"/>
          <w:i/>
          <w:sz w:val="24"/>
          <w:szCs w:val="24"/>
        </w:rPr>
        <w:t>See</w:t>
      </w:r>
      <w:r w:rsidRPr="00611696">
        <w:rPr>
          <w:rFonts w:ascii="Times New Roman" w:hAnsi="Times New Roman" w:cs="Times New Roman"/>
          <w:sz w:val="24"/>
          <w:szCs w:val="24"/>
        </w:rPr>
        <w:t xml:space="preserve"> 54 Fed. Reg. 3232, 3252 (January 23, 1989).  Furthermore, properties applying for purposes of FHA mortgage insurance must be “one marketable, manageable real estate entity”.  Any property proposing one FHA insured loan, with separate management agreements and procedures for a portion of the units or buildings restricting occupancy to persons age 55 or older and another portion to other occupancy regimes will generally </w:t>
      </w:r>
      <w:r w:rsidRPr="00611696">
        <w:rPr>
          <w:rFonts w:ascii="Times New Roman" w:hAnsi="Times New Roman" w:cs="Times New Roman"/>
          <w:sz w:val="24"/>
          <w:szCs w:val="24"/>
          <w:u w:val="single"/>
        </w:rPr>
        <w:t>not</w:t>
      </w:r>
      <w:r w:rsidRPr="00611696">
        <w:rPr>
          <w:rFonts w:ascii="Times New Roman" w:hAnsi="Times New Roman" w:cs="Times New Roman"/>
          <w:sz w:val="24"/>
          <w:szCs w:val="24"/>
        </w:rPr>
        <w:t xml:space="preserve"> be considered one manageable entity and thus not eligible for mortgage insurance.  </w:t>
      </w:r>
    </w:p>
    <w:p w:rsidRPr="00FA0F71" w:rsidR="00A91D7A" w:rsidP="00A91D7A" w:rsidRDefault="00A91D7A" w14:paraId="5D6E77DC" w14:textId="77777777">
      <w:pPr>
        <w:spacing w:line="276" w:lineRule="auto"/>
        <w:ind w:left="1080"/>
        <w:contextualSpacing/>
        <w:jc w:val="both"/>
        <w:rPr>
          <w:rFonts w:ascii="Times New Roman" w:hAnsi="Times New Roman" w:cs="Times New Roman"/>
          <w:sz w:val="24"/>
          <w:szCs w:val="24"/>
        </w:rPr>
      </w:pPr>
    </w:p>
    <w:p w:rsidR="00A91D7A" w:rsidP="00A91D7A" w:rsidRDefault="00A91D7A" w14:paraId="71F92350" w14:textId="77777777">
      <w:pPr>
        <w:pStyle w:val="ListParagraph"/>
        <w:numPr>
          <w:ilvl w:val="0"/>
          <w:numId w:val="44"/>
        </w:numPr>
        <w:overflowPunct w:val="0"/>
        <w:autoSpaceDE w:val="0"/>
        <w:autoSpaceDN w:val="0"/>
        <w:jc w:val="both"/>
        <w:textAlignment w:val="baseline"/>
        <w:rPr>
          <w:rFonts w:ascii="Times New Roman" w:hAnsi="Times New Roman" w:cs="Times New Roman"/>
          <w:sz w:val="24"/>
          <w:szCs w:val="24"/>
        </w:rPr>
      </w:pPr>
      <w:r w:rsidRPr="006E62DF">
        <w:rPr>
          <w:rFonts w:ascii="Times New Roman" w:hAnsi="Times New Roman" w:cs="Times New Roman"/>
          <w:sz w:val="24"/>
          <w:szCs w:val="24"/>
          <w:u w:val="single"/>
        </w:rPr>
        <w:t xml:space="preserve">Housing </w:t>
      </w:r>
      <w:r>
        <w:rPr>
          <w:rFonts w:ascii="Times New Roman" w:hAnsi="Times New Roman" w:cs="Times New Roman"/>
          <w:sz w:val="24"/>
          <w:szCs w:val="24"/>
          <w:u w:val="single"/>
        </w:rPr>
        <w:t xml:space="preserve">restricted </w:t>
      </w:r>
      <w:r w:rsidRPr="006E62DF">
        <w:rPr>
          <w:rFonts w:ascii="Times New Roman" w:hAnsi="Times New Roman" w:cs="Times New Roman"/>
          <w:sz w:val="24"/>
          <w:szCs w:val="24"/>
          <w:u w:val="single"/>
        </w:rPr>
        <w:t>to</w:t>
      </w:r>
      <w:r>
        <w:rPr>
          <w:rFonts w:ascii="Times New Roman" w:hAnsi="Times New Roman" w:cs="Times New Roman"/>
          <w:sz w:val="24"/>
          <w:szCs w:val="24"/>
          <w:u w:val="single"/>
        </w:rPr>
        <w:t xml:space="preserve"> </w:t>
      </w:r>
      <w:r w:rsidRPr="006E62DF">
        <w:rPr>
          <w:rFonts w:ascii="Times New Roman" w:hAnsi="Times New Roman" w:cs="Times New Roman"/>
          <w:sz w:val="24"/>
          <w:szCs w:val="24"/>
          <w:u w:val="single"/>
        </w:rPr>
        <w:t>persons age 62 and older.</w:t>
      </w:r>
      <w:r w:rsidRPr="006E62DF">
        <w:rPr>
          <w:rFonts w:ascii="Times New Roman" w:hAnsi="Times New Roman" w:cs="Times New Roman"/>
          <w:sz w:val="24"/>
          <w:szCs w:val="24"/>
        </w:rPr>
        <w:t xml:space="preserve">  </w:t>
      </w:r>
    </w:p>
    <w:p w:rsidR="00A91D7A" w:rsidP="00A91D7A" w:rsidRDefault="00A91D7A" w14:paraId="7DCC9F95" w14:textId="77777777">
      <w:pPr>
        <w:rPr>
          <w:rFonts w:ascii="Times New Roman" w:hAnsi="Times New Roman" w:cs="Times New Roman"/>
          <w:sz w:val="24"/>
          <w:szCs w:val="24"/>
        </w:rPr>
      </w:pPr>
    </w:p>
    <w:p w:rsidRPr="000A1236" w:rsidR="00A91D7A" w:rsidP="00A91D7A" w:rsidRDefault="00A91D7A" w14:paraId="2E130A25" w14:textId="77777777">
      <w:pPr>
        <w:pStyle w:val="ListParagraph"/>
        <w:ind w:left="990"/>
      </w:pPr>
      <w:r w:rsidRPr="006E62DF">
        <w:rPr>
          <w:rFonts w:ascii="Times New Roman" w:hAnsi="Times New Roman" w:cs="Times New Roman"/>
          <w:sz w:val="24"/>
          <w:szCs w:val="24"/>
        </w:rPr>
        <w:t xml:space="preserve">Properties proposing to restrict occupancy exclusively to persons 62 years of age or older </w:t>
      </w:r>
      <w:r w:rsidRPr="003163CF">
        <w:rPr>
          <w:rFonts w:ascii="Times New Roman" w:hAnsi="Times New Roman" w:cs="Times New Roman"/>
          <w:sz w:val="24"/>
          <w:szCs w:val="24"/>
        </w:rPr>
        <w:t>may be eligible for FHA mortgage insurance, but only under the Section 231 program, pursuant to Section 3.1.O.2.</w:t>
      </w:r>
      <w:r w:rsidRPr="003F7E96">
        <w:rPr>
          <w:rFonts w:ascii="Times New Roman" w:hAnsi="Times New Roman" w:cs="Times New Roman"/>
          <w:sz w:val="24"/>
          <w:szCs w:val="24"/>
        </w:rPr>
        <w:t>c</w:t>
      </w:r>
      <w:r w:rsidRPr="003163CF">
        <w:rPr>
          <w:rFonts w:ascii="Times New Roman" w:hAnsi="Times New Roman" w:cs="Times New Roman"/>
          <w:sz w:val="24"/>
          <w:szCs w:val="24"/>
        </w:rPr>
        <w:t xml:space="preserve"> below.   Although housing intended for, and solely occupied by, persons 62 years of age or older is a recognized exemption from the familial status provisions of the Fair Housing Act, 42 U.S.C. § 3607(b)(2)(B), it is FHA’s policy to allow this restriction on occupancy only for Section 231 transactions.  </w:t>
      </w:r>
    </w:p>
    <w:p w:rsidRPr="000A1236" w:rsidR="00A91D7A" w:rsidP="00A91D7A" w:rsidRDefault="00A91D7A" w14:paraId="2B790063" w14:textId="77777777"/>
    <w:p w:rsidRPr="00FA0F71" w:rsidR="00A91D7A" w:rsidP="00A91D7A" w:rsidRDefault="00A91D7A" w14:paraId="5C10B2BA" w14:textId="725615C6">
      <w:pPr>
        <w:ind w:left="990"/>
        <w:jc w:val="both"/>
        <w:rPr>
          <w:rFonts w:ascii="Times New Roman" w:hAnsi="Times New Roman" w:cs="Times New Roman"/>
          <w:sz w:val="24"/>
          <w:szCs w:val="24"/>
        </w:rPr>
      </w:pPr>
      <w:r w:rsidRPr="00FA0F71">
        <w:rPr>
          <w:rFonts w:ascii="Times New Roman" w:hAnsi="Times New Roman" w:cs="Times New Roman"/>
          <w:b/>
          <w:sz w:val="24"/>
          <w:szCs w:val="24"/>
        </w:rPr>
        <w:t>Note</w:t>
      </w:r>
      <w:r w:rsidRPr="00FA0F71">
        <w:rPr>
          <w:rFonts w:ascii="Times New Roman" w:hAnsi="Times New Roman" w:cs="Times New Roman"/>
          <w:sz w:val="24"/>
          <w:szCs w:val="24"/>
        </w:rPr>
        <w:t xml:space="preserve">: Age-related restrictions that are not eligible for FHA mortgage insurance programs.  The Fair Housing Act recognizes another exemption  from its familial status provisions, namely for housing “provided under any State or Federal program that the Secretary determines is specifically designed and operated to assist elderly persons (as defined in the State or Federal program)” 42 U.S.C. § 3607(b)(2)(A).  Although this is a recognized exemption to the Fair Housing Act’s familial status protections, it has not heretofore been necessary to rely on this exemption in the context of MAP multifamily insurance processing.  Therefore, FHA policy requires a property to fit into one of the </w:t>
      </w:r>
      <w:r w:rsidR="00004019">
        <w:rPr>
          <w:rFonts w:ascii="Times New Roman" w:hAnsi="Times New Roman" w:cs="Times New Roman"/>
          <w:sz w:val="24"/>
          <w:szCs w:val="24"/>
        </w:rPr>
        <w:t>o</w:t>
      </w:r>
      <w:r w:rsidRPr="00FA0F71">
        <w:rPr>
          <w:rFonts w:ascii="Times New Roman" w:hAnsi="Times New Roman" w:cs="Times New Roman"/>
          <w:sz w:val="24"/>
          <w:szCs w:val="24"/>
        </w:rPr>
        <w:t>ther three categories described in this section 3.1.O.1.</w:t>
      </w:r>
    </w:p>
    <w:p w:rsidRPr="00FA0F71" w:rsidR="00A91D7A" w:rsidP="00A91D7A" w:rsidRDefault="00A91D7A" w14:paraId="07A55E78" w14:textId="77777777">
      <w:pPr>
        <w:spacing w:line="276" w:lineRule="auto"/>
        <w:jc w:val="both"/>
        <w:rPr>
          <w:rFonts w:ascii="Times New Roman" w:hAnsi="Times New Roman" w:cs="Times New Roman"/>
          <w:sz w:val="24"/>
          <w:szCs w:val="24"/>
        </w:rPr>
      </w:pPr>
    </w:p>
    <w:p w:rsidRPr="00004019" w:rsidR="00A91D7A" w:rsidP="00632441" w:rsidRDefault="00A91D7A" w14:paraId="33F08758" w14:textId="6B8E4C88">
      <w:pPr>
        <w:numPr>
          <w:ilvl w:val="0"/>
          <w:numId w:val="29"/>
        </w:numPr>
        <w:spacing w:after="200" w:line="276" w:lineRule="auto"/>
        <w:ind w:left="720"/>
        <w:contextualSpacing/>
        <w:jc w:val="both"/>
        <w:rPr>
          <w:rFonts w:ascii="Times New Roman" w:hAnsi="Times New Roman" w:cs="Times New Roman"/>
          <w:sz w:val="24"/>
          <w:szCs w:val="24"/>
        </w:rPr>
      </w:pPr>
      <w:r w:rsidRPr="00004019">
        <w:rPr>
          <w:rFonts w:ascii="Times New Roman" w:hAnsi="Times New Roman" w:cs="Times New Roman"/>
          <w:sz w:val="24"/>
          <w:szCs w:val="24"/>
        </w:rPr>
        <w:t xml:space="preserve">Additional FHA mortgage insurance requirements applicable to specific project types.  This section lists additional requirements relating to proposed age-restrictions for each of the kinds of projects listed.  </w:t>
      </w:r>
    </w:p>
    <w:p w:rsidRPr="00FA0F71" w:rsidR="00A91D7A" w:rsidP="00A91D7A" w:rsidRDefault="00A91D7A" w14:paraId="2D850FF0" w14:textId="77777777">
      <w:pPr>
        <w:spacing w:line="276" w:lineRule="auto"/>
        <w:jc w:val="both"/>
        <w:rPr>
          <w:rFonts w:ascii="Times New Roman" w:hAnsi="Times New Roman" w:cs="Times New Roman"/>
          <w:sz w:val="24"/>
          <w:szCs w:val="24"/>
        </w:rPr>
      </w:pPr>
    </w:p>
    <w:p w:rsidR="00A91D7A" w:rsidP="00A91D7A" w:rsidRDefault="00A91D7A" w14:paraId="64C14346" w14:textId="77777777">
      <w:pPr>
        <w:pStyle w:val="ListParagraph"/>
        <w:numPr>
          <w:ilvl w:val="1"/>
          <w:numId w:val="13"/>
        </w:numPr>
        <w:spacing w:line="276" w:lineRule="auto"/>
        <w:ind w:left="1080"/>
        <w:jc w:val="both"/>
        <w:rPr>
          <w:rFonts w:ascii="Times New Roman" w:hAnsi="Times New Roman" w:cs="Times New Roman"/>
          <w:sz w:val="24"/>
          <w:szCs w:val="24"/>
        </w:rPr>
      </w:pPr>
      <w:r w:rsidRPr="00FD6EFF">
        <w:rPr>
          <w:rFonts w:ascii="Times New Roman" w:hAnsi="Times New Roman" w:cs="Times New Roman"/>
          <w:sz w:val="24"/>
          <w:szCs w:val="24"/>
          <w:u w:val="single"/>
        </w:rPr>
        <w:t>Market Rate Projects other than those applying under Section 231.</w:t>
      </w:r>
      <w:r w:rsidRPr="00FD6EFF">
        <w:rPr>
          <w:rFonts w:ascii="Times New Roman" w:hAnsi="Times New Roman" w:cs="Times New Roman"/>
          <w:sz w:val="24"/>
          <w:szCs w:val="24"/>
        </w:rPr>
        <w:t xml:space="preserve"> For purposes of this section, market rate projects are those applying for New Construction or Substantial Rehabilitation or Acquisition or Refinancing (including Section 213 Cooperative projects), that do not meet the criteria stated in Section 3.1.L. for Affordable projects.  Except for projects applying under Section 231, market rate applications for age-restricted projects must have all unit head of household 62 years or older and cannot exclude non-elderly family members including children. </w:t>
      </w:r>
    </w:p>
    <w:p w:rsidR="00003A12" w:rsidP="00003A12" w:rsidRDefault="00003A12" w14:paraId="7CCCC9DE" w14:textId="77777777">
      <w:pPr>
        <w:pStyle w:val="ListParagraph"/>
        <w:spacing w:line="276" w:lineRule="auto"/>
        <w:ind w:left="1080"/>
        <w:jc w:val="both"/>
        <w:rPr>
          <w:rFonts w:ascii="Times New Roman" w:hAnsi="Times New Roman" w:cs="Times New Roman"/>
          <w:sz w:val="24"/>
          <w:szCs w:val="24"/>
        </w:rPr>
      </w:pPr>
    </w:p>
    <w:p w:rsidRPr="005912DE" w:rsidR="00A91D7A" w:rsidP="00A91D7A" w:rsidRDefault="00A91D7A" w14:paraId="653ED382" w14:textId="77777777">
      <w:pPr>
        <w:pStyle w:val="ListParagraph"/>
        <w:numPr>
          <w:ilvl w:val="1"/>
          <w:numId w:val="13"/>
        </w:numPr>
        <w:spacing w:line="276" w:lineRule="auto"/>
        <w:ind w:left="1080"/>
        <w:jc w:val="both"/>
        <w:rPr>
          <w:rFonts w:ascii="Times New Roman" w:hAnsi="Times New Roman" w:cs="Times New Roman"/>
          <w:sz w:val="24"/>
          <w:szCs w:val="24"/>
        </w:rPr>
      </w:pPr>
      <w:r w:rsidRPr="005912DE">
        <w:rPr>
          <w:rFonts w:ascii="Times New Roman" w:hAnsi="Times New Roman" w:cs="Times New Roman"/>
          <w:sz w:val="24"/>
          <w:szCs w:val="24"/>
          <w:u w:val="single"/>
        </w:rPr>
        <w:t xml:space="preserve">“Affordable” Projects seeking to use the 55+ Exemption under the Fair Housing Act to restrict housing.  </w:t>
      </w:r>
      <w:r w:rsidRPr="005912DE">
        <w:rPr>
          <w:rFonts w:ascii="Times New Roman" w:hAnsi="Times New Roman" w:cs="Times New Roman"/>
          <w:sz w:val="24"/>
          <w:szCs w:val="24"/>
        </w:rPr>
        <w:t>Projects availing themselves of the 55+ Exemption may be eligible for FHA mortgage insurance if: (i) the project is an affordable property (as defined in Section 3.1.L); (ii) the project is pursuing FHA mortgage insurance for refinancing or acquisition of existing housing under Section 223(f) or 223(a)(7); (iii) the project is already availing itself of the 55+ Exemption for at least the previous three years and is not using FHA mortgage insurance to facilitate transition into the use of the 55+ Exemption; and (iv) there is no statutory or regulatory restriction limiting eligibility to another category of persons (for example persons or heads of household who are age 62 or older)</w:t>
      </w:r>
      <w:r>
        <w:rPr>
          <w:rFonts w:ascii="Times New Roman" w:hAnsi="Times New Roman" w:cs="Times New Roman"/>
          <w:sz w:val="24"/>
          <w:szCs w:val="24"/>
        </w:rPr>
        <w:t>.</w:t>
      </w:r>
      <w:r w:rsidRPr="005912DE">
        <w:rPr>
          <w:rFonts w:ascii="Times New Roman" w:hAnsi="Times New Roman" w:cs="Times New Roman"/>
          <w:sz w:val="24"/>
          <w:szCs w:val="24"/>
        </w:rPr>
        <w:t xml:space="preserve">  Project</w:t>
      </w:r>
      <w:r>
        <w:rPr>
          <w:rFonts w:ascii="Times New Roman" w:hAnsi="Times New Roman" w:cs="Times New Roman"/>
          <w:sz w:val="24"/>
          <w:szCs w:val="24"/>
        </w:rPr>
        <w:t>-</w:t>
      </w:r>
      <w:r w:rsidRPr="005912DE">
        <w:rPr>
          <w:rFonts w:ascii="Times New Roman" w:hAnsi="Times New Roman" w:cs="Times New Roman"/>
          <w:sz w:val="24"/>
          <w:szCs w:val="24"/>
        </w:rPr>
        <w:t>based Section 8 rental assistance and other assistance have programmatic terms that limit eligibility and thus such projects may not avail themselves of the 55+ Exemption.  As a condition of approving FHA mortgage insurance for such projects, the project may be required to document (i) restrictions requiring housing primarily for persons 55 and older, such as through use agreements (LURA or other regulatory agreement) and/or bond documents; (ii) preference points allocated for applications containing such restrictions under qualified allocation plans; or (iii) other affordable properties with externally-imposed restrictions consistent with the 55+ Exemption (e.g., zoning laws, local bonds, and affordable housing trust funds providing preference points for applications containing such restrictions).</w:t>
      </w:r>
    </w:p>
    <w:p w:rsidRPr="00FA0F71" w:rsidR="00A91D7A" w:rsidP="00A91D7A" w:rsidRDefault="00A91D7A" w14:paraId="3644FE77" w14:textId="77777777">
      <w:pPr>
        <w:spacing w:after="200" w:line="276" w:lineRule="auto"/>
        <w:ind w:left="1080"/>
        <w:contextualSpacing/>
        <w:jc w:val="both"/>
        <w:rPr>
          <w:rFonts w:ascii="Times New Roman" w:hAnsi="Times New Roman" w:cs="Times New Roman"/>
          <w:sz w:val="24"/>
          <w:szCs w:val="24"/>
          <w:u w:val="single"/>
        </w:rPr>
      </w:pPr>
    </w:p>
    <w:p w:rsidRPr="00FA0F71" w:rsidR="00A91D7A" w:rsidP="00A91D7A" w:rsidRDefault="00A91D7A" w14:paraId="0FE2E5B6" w14:textId="77777777">
      <w:pPr>
        <w:spacing w:after="200" w:line="276" w:lineRule="auto"/>
        <w:ind w:left="1080"/>
        <w:contextualSpacing/>
        <w:jc w:val="both"/>
        <w:rPr>
          <w:rFonts w:ascii="Times New Roman" w:hAnsi="Times New Roman" w:cs="Times New Roman"/>
          <w:sz w:val="24"/>
          <w:szCs w:val="24"/>
        </w:rPr>
      </w:pPr>
      <w:r w:rsidRPr="00FA0F71">
        <w:rPr>
          <w:rFonts w:ascii="Times New Roman" w:hAnsi="Times New Roman" w:cs="Times New Roman"/>
          <w:sz w:val="24"/>
          <w:szCs w:val="24"/>
        </w:rPr>
        <w:t>These potentially eligible properties must operate in full compliance with the 55+ Exemption in the Fair Housing Act in order to impose age restrictions and exclude children.</w:t>
      </w:r>
    </w:p>
    <w:p w:rsidRPr="00FA0F71" w:rsidR="00A91D7A" w:rsidP="00A91D7A" w:rsidRDefault="00A91D7A" w14:paraId="0E933FBA" w14:textId="77777777">
      <w:pPr>
        <w:tabs>
          <w:tab w:val="left" w:pos="1710"/>
        </w:tabs>
        <w:ind w:left="1260" w:right="720"/>
        <w:jc w:val="both"/>
        <w:rPr>
          <w:rFonts w:ascii="Times New Roman" w:hAnsi="Times New Roman" w:cs="Times New Roman"/>
          <w:sz w:val="24"/>
          <w:szCs w:val="24"/>
        </w:rPr>
      </w:pPr>
    </w:p>
    <w:p w:rsidRPr="00FA0F71" w:rsidR="00A91D7A" w:rsidP="00A91D7A" w:rsidRDefault="00A91D7A" w14:paraId="4200766C" w14:textId="77777777">
      <w:pPr>
        <w:ind w:left="1080" w:right="720"/>
        <w:jc w:val="both"/>
        <w:rPr>
          <w:rFonts w:ascii="Times New Roman" w:hAnsi="Times New Roman" w:cs="Times New Roman"/>
          <w:sz w:val="24"/>
          <w:szCs w:val="24"/>
        </w:rPr>
      </w:pPr>
      <w:r w:rsidRPr="00FA0F71">
        <w:rPr>
          <w:rFonts w:ascii="Times New Roman" w:hAnsi="Times New Roman" w:cs="Times New Roman"/>
          <w:sz w:val="24"/>
          <w:szCs w:val="24"/>
        </w:rPr>
        <w:t>Multifamily HUD staff should consult with O</w:t>
      </w:r>
      <w:r>
        <w:rPr>
          <w:rFonts w:ascii="Times New Roman" w:hAnsi="Times New Roman" w:cs="Times New Roman"/>
          <w:sz w:val="24"/>
          <w:szCs w:val="24"/>
        </w:rPr>
        <w:t xml:space="preserve">ffice of </w:t>
      </w:r>
      <w:r w:rsidRPr="00FA0F71">
        <w:rPr>
          <w:rFonts w:ascii="Times New Roman" w:hAnsi="Times New Roman" w:cs="Times New Roman"/>
          <w:sz w:val="24"/>
          <w:szCs w:val="24"/>
        </w:rPr>
        <w:t>G</w:t>
      </w:r>
      <w:r>
        <w:rPr>
          <w:rFonts w:ascii="Times New Roman" w:hAnsi="Times New Roman" w:cs="Times New Roman"/>
          <w:sz w:val="24"/>
          <w:szCs w:val="24"/>
        </w:rPr>
        <w:t xml:space="preserve">eneral </w:t>
      </w:r>
      <w:r w:rsidRPr="00FA0F71">
        <w:rPr>
          <w:rFonts w:ascii="Times New Roman" w:hAnsi="Times New Roman" w:cs="Times New Roman"/>
          <w:sz w:val="24"/>
          <w:szCs w:val="24"/>
        </w:rPr>
        <w:t>C</w:t>
      </w:r>
      <w:r>
        <w:rPr>
          <w:rFonts w:ascii="Times New Roman" w:hAnsi="Times New Roman" w:cs="Times New Roman"/>
          <w:sz w:val="24"/>
          <w:szCs w:val="24"/>
        </w:rPr>
        <w:t>ounsel</w:t>
      </w:r>
      <w:r w:rsidRPr="00FA0F71">
        <w:rPr>
          <w:rFonts w:ascii="Times New Roman" w:hAnsi="Times New Roman" w:cs="Times New Roman"/>
          <w:sz w:val="24"/>
          <w:szCs w:val="24"/>
        </w:rPr>
        <w:t xml:space="preserve"> prior to accepting an application for FHA mortgage insurance for properties operating under the following programs and seeking to take advantage of the 55+ Exemption:</w:t>
      </w:r>
    </w:p>
    <w:p w:rsidRPr="00FA0F71" w:rsidR="00A91D7A" w:rsidP="00A91D7A" w:rsidRDefault="00A91D7A" w14:paraId="26CBDB63" w14:textId="77777777">
      <w:pPr>
        <w:tabs>
          <w:tab w:val="left" w:pos="1710"/>
        </w:tabs>
        <w:ind w:left="1260" w:right="720"/>
        <w:jc w:val="both"/>
        <w:rPr>
          <w:rFonts w:ascii="Times New Roman" w:hAnsi="Times New Roman" w:cs="Times New Roman"/>
          <w:sz w:val="24"/>
          <w:szCs w:val="24"/>
        </w:rPr>
      </w:pPr>
    </w:p>
    <w:p w:rsidRPr="00FA0F71" w:rsidR="00A91D7A" w:rsidP="00A91D7A" w:rsidRDefault="00A91D7A" w14:paraId="75AC29BF" w14:textId="77777777">
      <w:pPr>
        <w:numPr>
          <w:ilvl w:val="0"/>
          <w:numId w:val="14"/>
        </w:numPr>
        <w:spacing w:after="200" w:line="276" w:lineRule="auto"/>
        <w:ind w:left="2160" w:right="720"/>
        <w:contextualSpacing/>
        <w:jc w:val="both"/>
        <w:rPr>
          <w:rFonts w:ascii="Times New Roman" w:hAnsi="Times New Roman" w:cs="Times New Roman"/>
          <w:sz w:val="24"/>
          <w:szCs w:val="24"/>
        </w:rPr>
      </w:pPr>
      <w:r w:rsidRPr="00FA0F71">
        <w:rPr>
          <w:rFonts w:ascii="Times New Roman" w:hAnsi="Times New Roman" w:cs="Times New Roman"/>
          <w:sz w:val="24"/>
          <w:szCs w:val="24"/>
        </w:rPr>
        <w:t>Old Section 202 Prepaid</w:t>
      </w:r>
    </w:p>
    <w:p w:rsidRPr="00FA0F71" w:rsidR="00A91D7A" w:rsidP="00A91D7A" w:rsidRDefault="00A91D7A" w14:paraId="68CA7AD9" w14:textId="77777777">
      <w:pPr>
        <w:numPr>
          <w:ilvl w:val="0"/>
          <w:numId w:val="14"/>
        </w:numPr>
        <w:tabs>
          <w:tab w:val="left" w:pos="1710"/>
        </w:tabs>
        <w:spacing w:after="200" w:line="276" w:lineRule="auto"/>
        <w:ind w:left="2160" w:right="720"/>
        <w:contextualSpacing/>
        <w:jc w:val="both"/>
        <w:rPr>
          <w:rFonts w:ascii="Times New Roman" w:hAnsi="Times New Roman" w:cs="Times New Roman"/>
          <w:sz w:val="24"/>
          <w:szCs w:val="24"/>
        </w:rPr>
      </w:pPr>
      <w:r w:rsidRPr="00FA0F71">
        <w:rPr>
          <w:rFonts w:ascii="Times New Roman" w:hAnsi="Times New Roman" w:cs="Times New Roman"/>
          <w:sz w:val="24"/>
          <w:szCs w:val="24"/>
        </w:rPr>
        <w:t>Refinance of Prepaid Section 202</w:t>
      </w:r>
    </w:p>
    <w:p w:rsidRPr="00FA0F71" w:rsidR="00A91D7A" w:rsidP="00A91D7A" w:rsidRDefault="00A91D7A" w14:paraId="3AD7B76A" w14:textId="77777777">
      <w:pPr>
        <w:tabs>
          <w:tab w:val="left" w:pos="2610"/>
        </w:tabs>
        <w:spacing w:after="200" w:line="276" w:lineRule="auto"/>
        <w:ind w:left="1080" w:right="720"/>
        <w:contextualSpacing/>
        <w:jc w:val="both"/>
        <w:rPr>
          <w:rFonts w:ascii="Times New Roman" w:hAnsi="Times New Roman" w:cs="Times New Roman"/>
          <w:sz w:val="24"/>
          <w:szCs w:val="24"/>
        </w:rPr>
      </w:pPr>
      <w:r w:rsidRPr="00FA0F71">
        <w:rPr>
          <w:rFonts w:ascii="Times New Roman" w:hAnsi="Times New Roman" w:cs="Times New Roman"/>
          <w:sz w:val="24"/>
          <w:szCs w:val="24"/>
        </w:rPr>
        <w:t>Such properties may or may not be eligible to receive new FHA financing.</w:t>
      </w:r>
    </w:p>
    <w:p w:rsidRPr="00FA0F71" w:rsidR="00A91D7A" w:rsidP="00A91D7A" w:rsidRDefault="00A91D7A" w14:paraId="00A43C85" w14:textId="77777777">
      <w:pPr>
        <w:tabs>
          <w:tab w:val="left" w:pos="1710"/>
        </w:tabs>
        <w:ind w:left="1260" w:right="720"/>
        <w:jc w:val="both"/>
        <w:rPr>
          <w:rFonts w:ascii="Times New Roman" w:hAnsi="Times New Roman" w:cs="Times New Roman"/>
          <w:sz w:val="24"/>
          <w:szCs w:val="24"/>
        </w:rPr>
      </w:pPr>
    </w:p>
    <w:p w:rsidRPr="0023547C" w:rsidR="00A91D7A" w:rsidP="00A91D7A" w:rsidRDefault="00A91D7A" w14:paraId="37B27A15" w14:textId="4D1AE422">
      <w:pPr>
        <w:pStyle w:val="ListParagraph"/>
        <w:numPr>
          <w:ilvl w:val="0"/>
          <w:numId w:val="29"/>
        </w:numPr>
        <w:tabs>
          <w:tab w:val="left" w:pos="1710"/>
        </w:tabs>
        <w:spacing w:line="276" w:lineRule="auto"/>
        <w:ind w:left="720"/>
        <w:jc w:val="both"/>
        <w:rPr>
          <w:rFonts w:ascii="Times New Roman" w:hAnsi="Times New Roman" w:cs="Times New Roman"/>
          <w:sz w:val="24"/>
          <w:szCs w:val="24"/>
        </w:rPr>
      </w:pPr>
      <w:r w:rsidRPr="0023547C">
        <w:rPr>
          <w:rFonts w:ascii="Times New Roman" w:hAnsi="Times New Roman" w:cs="Times New Roman"/>
          <w:sz w:val="24"/>
          <w:szCs w:val="24"/>
          <w:u w:val="single"/>
        </w:rPr>
        <w:t>Section 231 Projects, including both Market Rate and Affordable projects.</w:t>
      </w:r>
      <w:r w:rsidRPr="0023547C">
        <w:rPr>
          <w:rFonts w:ascii="Times New Roman" w:hAnsi="Times New Roman" w:cs="Times New Roman"/>
          <w:sz w:val="24"/>
          <w:szCs w:val="24"/>
        </w:rPr>
        <w:t xml:space="preserve">   Section 231 projects have statutory authority to serve persons who are 62 years old or older as well as statutory authority to serve non-elderly and disabled families. FHA may approve transactions in which up to 25% of the units are available to non-elderly disabled families. See </w:t>
      </w:r>
      <w:r>
        <w:rPr>
          <w:rFonts w:ascii="Times New Roman" w:hAnsi="Times New Roman" w:cs="Times New Roman"/>
          <w:sz w:val="24"/>
          <w:szCs w:val="24"/>
        </w:rPr>
        <w:t>S</w:t>
      </w:r>
      <w:r w:rsidRPr="0023547C">
        <w:rPr>
          <w:rFonts w:ascii="Times New Roman" w:hAnsi="Times New Roman" w:cs="Times New Roman"/>
          <w:sz w:val="24"/>
          <w:szCs w:val="24"/>
        </w:rPr>
        <w:t>ection 3.1.O.1.</w:t>
      </w:r>
      <w:r>
        <w:rPr>
          <w:rFonts w:ascii="Times New Roman" w:hAnsi="Times New Roman" w:cs="Times New Roman"/>
          <w:sz w:val="24"/>
          <w:szCs w:val="24"/>
        </w:rPr>
        <w:t>a above</w:t>
      </w:r>
      <w:r w:rsidRPr="0023547C">
        <w:rPr>
          <w:rFonts w:ascii="Times New Roman" w:hAnsi="Times New Roman" w:cs="Times New Roman"/>
          <w:sz w:val="24"/>
          <w:szCs w:val="24"/>
        </w:rPr>
        <w:t xml:space="preserve">.  Section 231 projects do not require a specific exemption from the Fair Housing Act because they are statutorily required to provide housing </w:t>
      </w:r>
      <w:r>
        <w:rPr>
          <w:rFonts w:ascii="Times New Roman" w:hAnsi="Times New Roman" w:cs="Times New Roman"/>
          <w:sz w:val="24"/>
          <w:szCs w:val="24"/>
        </w:rPr>
        <w:t xml:space="preserve">restricted </w:t>
      </w:r>
      <w:r w:rsidRPr="0023547C">
        <w:rPr>
          <w:rFonts w:ascii="Times New Roman" w:hAnsi="Times New Roman" w:cs="Times New Roman"/>
          <w:sz w:val="24"/>
          <w:szCs w:val="24"/>
        </w:rPr>
        <w:t xml:space="preserve">to persons who are 62 and over. </w:t>
      </w:r>
    </w:p>
    <w:p w:rsidRPr="00FA0F71" w:rsidR="00A91D7A" w:rsidP="00A91D7A" w:rsidRDefault="00A91D7A" w14:paraId="528C81CB" w14:textId="77777777">
      <w:pPr>
        <w:spacing w:line="276" w:lineRule="auto"/>
        <w:ind w:left="720"/>
        <w:jc w:val="both"/>
        <w:rPr>
          <w:rFonts w:ascii="Times New Roman" w:hAnsi="Times New Roman" w:cs="Times New Roman"/>
          <w:sz w:val="24"/>
          <w:szCs w:val="24"/>
        </w:rPr>
      </w:pPr>
    </w:p>
    <w:p w:rsidRPr="00FA0F71" w:rsidR="00A91D7A" w:rsidP="00A91D7A" w:rsidRDefault="00A91D7A" w14:paraId="735C2607" w14:textId="77777777">
      <w:pPr>
        <w:numPr>
          <w:ilvl w:val="0"/>
          <w:numId w:val="29"/>
        </w:numPr>
        <w:tabs>
          <w:tab w:val="left" w:pos="720"/>
        </w:tabs>
        <w:spacing w:line="276" w:lineRule="auto"/>
        <w:ind w:left="720"/>
        <w:contextualSpacing/>
        <w:jc w:val="both"/>
        <w:rPr>
          <w:rFonts w:ascii="Times New Roman" w:hAnsi="Times New Roman" w:cs="Times New Roman"/>
          <w:sz w:val="24"/>
          <w:szCs w:val="24"/>
        </w:rPr>
      </w:pPr>
      <w:r w:rsidRPr="00FA0F71">
        <w:rPr>
          <w:rFonts w:ascii="Times New Roman" w:hAnsi="Times New Roman" w:cs="Times New Roman"/>
          <w:sz w:val="24"/>
          <w:szCs w:val="24"/>
        </w:rPr>
        <w:t xml:space="preserve">Certifications. </w:t>
      </w:r>
    </w:p>
    <w:p w:rsidRPr="00FA0F71" w:rsidR="00A91D7A" w:rsidP="00A91D7A" w:rsidRDefault="00A91D7A" w14:paraId="312BE037" w14:textId="77777777">
      <w:pPr>
        <w:ind w:left="720"/>
        <w:jc w:val="both"/>
        <w:rPr>
          <w:rFonts w:ascii="Times New Roman" w:hAnsi="Times New Roman" w:cs="Times New Roman"/>
          <w:bCs/>
          <w:iCs/>
          <w:sz w:val="24"/>
          <w:szCs w:val="24"/>
        </w:rPr>
      </w:pPr>
    </w:p>
    <w:p w:rsidRPr="00FA0F71" w:rsidR="00A91D7A" w:rsidP="00A91D7A" w:rsidRDefault="00A91D7A" w14:paraId="7B45799D" w14:textId="77777777">
      <w:pPr>
        <w:ind w:left="720"/>
        <w:jc w:val="both"/>
        <w:rPr>
          <w:rFonts w:ascii="Times New Roman" w:hAnsi="Times New Roman" w:cs="Times New Roman"/>
          <w:sz w:val="24"/>
          <w:szCs w:val="24"/>
        </w:rPr>
      </w:pPr>
      <w:r w:rsidRPr="00FA0F71">
        <w:rPr>
          <w:rFonts w:ascii="Times New Roman" w:hAnsi="Times New Roman" w:cs="Times New Roman"/>
          <w:bCs/>
          <w:iCs/>
          <w:sz w:val="24"/>
          <w:szCs w:val="24"/>
        </w:rPr>
        <w:t>To be eligible for FHA mortgage insurance,</w:t>
      </w:r>
      <w:r>
        <w:rPr>
          <w:rFonts w:ascii="Times New Roman" w:hAnsi="Times New Roman" w:cs="Times New Roman"/>
          <w:bCs/>
          <w:iCs/>
          <w:sz w:val="24"/>
          <w:szCs w:val="24"/>
        </w:rPr>
        <w:t xml:space="preserve"> a project operating under the </w:t>
      </w:r>
      <w:r w:rsidRPr="00FA0F71">
        <w:rPr>
          <w:rFonts w:ascii="Times New Roman" w:hAnsi="Times New Roman" w:cs="Times New Roman"/>
          <w:bCs/>
          <w:iCs/>
          <w:sz w:val="24"/>
          <w:szCs w:val="24"/>
        </w:rPr>
        <w:t xml:space="preserve">55+ Exemption must provide a Certification of Compliance with the Fair Housing Act by the borrower. A sample template is included in Appendix 3C of this guide.  In support of the certification, the borrower must provide the governing age restriction documents and management documents indicating the property complies with the 55+ Exemption. Governing age restriction documents include </w:t>
      </w:r>
      <w:r w:rsidRPr="00FA0F71">
        <w:rPr>
          <w:rFonts w:ascii="Times New Roman" w:hAnsi="Times New Roman" w:cs="Times New Roman"/>
          <w:sz w:val="24"/>
          <w:szCs w:val="24"/>
        </w:rPr>
        <w:t xml:space="preserve">use agreements, bond documents, tax credit qualified allocation plan and application documents, and zoning documents, as applicable. Management documents include leases, occupancy policies, marketing plans, and affirmative fair housing marketing plans, as applicable. Though such management documents may be sufficient to establish eligibility, processing staff should encourage applicants to provide documents such as use agreements, relevant zoning documents, or bond documents, whenever available.  </w:t>
      </w:r>
      <w:r w:rsidRPr="00FA0F71">
        <w:rPr>
          <w:rFonts w:ascii="Times New Roman" w:hAnsi="Times New Roman" w:cs="Times New Roman"/>
          <w:i/>
          <w:sz w:val="24"/>
          <w:szCs w:val="24"/>
        </w:rPr>
        <w:t>See</w:t>
      </w:r>
      <w:r w:rsidRPr="00FA0F71">
        <w:rPr>
          <w:rFonts w:ascii="Times New Roman" w:hAnsi="Times New Roman" w:cs="Times New Roman"/>
          <w:sz w:val="24"/>
          <w:szCs w:val="24"/>
        </w:rPr>
        <w:t xml:space="preserve"> 24 C.F.R. § 100.306 for examples of other relevant documents to be considered.</w:t>
      </w:r>
    </w:p>
    <w:p w:rsidRPr="00FA0F71" w:rsidR="00A91D7A" w:rsidP="00A91D7A" w:rsidRDefault="00A91D7A" w14:paraId="335781DC" w14:textId="77777777">
      <w:pPr>
        <w:ind w:left="720"/>
        <w:jc w:val="both"/>
        <w:rPr>
          <w:rFonts w:ascii="Times New Roman" w:hAnsi="Times New Roman" w:cs="Times New Roman"/>
          <w:bCs/>
          <w:iCs/>
          <w:sz w:val="24"/>
          <w:szCs w:val="24"/>
        </w:rPr>
      </w:pPr>
    </w:p>
    <w:p w:rsidRPr="00FA0F71" w:rsidR="00A91D7A" w:rsidP="00A91D7A" w:rsidRDefault="00A91D7A" w14:paraId="3F1D9848" w14:textId="77777777">
      <w:pPr>
        <w:ind w:left="720"/>
        <w:jc w:val="both"/>
        <w:rPr>
          <w:rFonts w:ascii="Times New Roman" w:hAnsi="Times New Roman" w:cs="Times New Roman"/>
          <w:sz w:val="24"/>
          <w:szCs w:val="24"/>
        </w:rPr>
      </w:pPr>
      <w:r w:rsidRPr="00FA0F71">
        <w:rPr>
          <w:rFonts w:ascii="Times New Roman" w:hAnsi="Times New Roman" w:cs="Times New Roman"/>
          <w:sz w:val="24"/>
          <w:szCs w:val="24"/>
        </w:rPr>
        <w:t xml:space="preserve">If an FHA-financing-eligible property certifies as a 55 or older property, it is important for processing staff to verify when the property began operating as such.  The regulations, at 24 C.F.R. § 100.305(e), specify that properties had the opportunity to establish eligibility for this exemption until May 3, 2000.  After this date, existing projects could avail themselves of this exemption only if they met the criteria defined in the certification through neutral admission policies.  </w:t>
      </w:r>
    </w:p>
    <w:p w:rsidRPr="00FA0F71" w:rsidR="00A91D7A" w:rsidP="00A91D7A" w:rsidRDefault="00A91D7A" w14:paraId="6D67E74F" w14:textId="77777777">
      <w:pPr>
        <w:ind w:left="720" w:right="720"/>
        <w:jc w:val="both"/>
        <w:rPr>
          <w:rFonts w:ascii="Times New Roman" w:hAnsi="Times New Roman" w:cs="Times New Roman"/>
          <w:sz w:val="24"/>
          <w:szCs w:val="24"/>
        </w:rPr>
      </w:pPr>
    </w:p>
    <w:p w:rsidRPr="0023547C" w:rsidR="00A91D7A" w:rsidP="00A91D7A" w:rsidRDefault="00A91D7A" w14:paraId="4621A3C8" w14:textId="77777777">
      <w:pPr>
        <w:pStyle w:val="ListParagraph"/>
        <w:numPr>
          <w:ilvl w:val="0"/>
          <w:numId w:val="29"/>
        </w:numPr>
        <w:ind w:left="720" w:right="720"/>
        <w:jc w:val="both"/>
        <w:rPr>
          <w:rFonts w:ascii="Times New Roman" w:hAnsi="Times New Roman" w:cs="Times New Roman"/>
          <w:sz w:val="24"/>
          <w:szCs w:val="24"/>
        </w:rPr>
      </w:pPr>
      <w:r>
        <w:rPr>
          <w:rFonts w:ascii="Times New Roman" w:hAnsi="Times New Roman" w:cs="Times New Roman"/>
          <w:sz w:val="24"/>
          <w:szCs w:val="24"/>
        </w:rPr>
        <w:t xml:space="preserve"> </w:t>
      </w:r>
      <w:r w:rsidRPr="0023547C">
        <w:rPr>
          <w:rFonts w:ascii="Times New Roman" w:hAnsi="Times New Roman" w:cs="Times New Roman"/>
          <w:sz w:val="24"/>
          <w:szCs w:val="24"/>
        </w:rPr>
        <w:t>HUD Review Requirements.</w:t>
      </w:r>
    </w:p>
    <w:p w:rsidRPr="00FA0F71" w:rsidR="00A91D7A" w:rsidP="00A91D7A" w:rsidRDefault="00A91D7A" w14:paraId="139500A8" w14:textId="77777777">
      <w:pPr>
        <w:ind w:left="720" w:right="720"/>
        <w:jc w:val="both"/>
        <w:rPr>
          <w:rFonts w:ascii="Times New Roman" w:hAnsi="Times New Roman" w:cs="Times New Roman"/>
          <w:sz w:val="24"/>
          <w:szCs w:val="24"/>
        </w:rPr>
      </w:pPr>
    </w:p>
    <w:p w:rsidRPr="00FA0F71" w:rsidR="00A91D7A" w:rsidP="00A91D7A" w:rsidRDefault="00A91D7A" w14:paraId="5646EE11" w14:textId="77777777">
      <w:pPr>
        <w:ind w:left="720"/>
        <w:jc w:val="both"/>
        <w:rPr>
          <w:rFonts w:ascii="Times New Roman" w:hAnsi="Times New Roman" w:cs="Times New Roman"/>
          <w:sz w:val="24"/>
          <w:szCs w:val="24"/>
        </w:rPr>
      </w:pPr>
      <w:r w:rsidRPr="00FA0F71">
        <w:rPr>
          <w:rFonts w:ascii="Times New Roman" w:hAnsi="Times New Roman" w:cs="Times New Roman"/>
          <w:sz w:val="24"/>
          <w:szCs w:val="24"/>
        </w:rPr>
        <w:t>HUD processing staff should review the certification to determine whether it is consistent with the age restriction and management documents submitted by the property.  Further, processing staff should review the certification, age restriction, and management documents to ensure that the project is not operating as a “dual purpose” property in contravention of the Fair Housing Act.</w:t>
      </w:r>
    </w:p>
    <w:p w:rsidRPr="00FA0F71" w:rsidR="00A91D7A" w:rsidP="00A91D7A" w:rsidRDefault="00A91D7A" w14:paraId="7A27F57D" w14:textId="77777777">
      <w:pPr>
        <w:ind w:left="720" w:right="720"/>
        <w:jc w:val="both"/>
        <w:rPr>
          <w:rFonts w:ascii="Times New Roman" w:hAnsi="Times New Roman" w:cs="Times New Roman"/>
          <w:sz w:val="24"/>
          <w:szCs w:val="24"/>
        </w:rPr>
      </w:pPr>
    </w:p>
    <w:p w:rsidRPr="00FA0F71" w:rsidR="00A91D7A" w:rsidP="00A91D7A" w:rsidRDefault="00A91D7A" w14:paraId="6A01AB27" w14:textId="77777777">
      <w:pPr>
        <w:spacing w:line="276" w:lineRule="auto"/>
        <w:ind w:left="720"/>
        <w:jc w:val="both"/>
        <w:rPr>
          <w:rFonts w:ascii="Times New Roman" w:hAnsi="Times New Roman" w:cs="Times New Roman"/>
          <w:bCs/>
          <w:iCs/>
          <w:sz w:val="24"/>
          <w:szCs w:val="24"/>
        </w:rPr>
      </w:pPr>
      <w:r w:rsidRPr="00FA0F71">
        <w:rPr>
          <w:rFonts w:ascii="Times New Roman" w:hAnsi="Times New Roman" w:cs="Times New Roman"/>
          <w:bCs/>
          <w:iCs/>
          <w:sz w:val="24"/>
          <w:szCs w:val="24"/>
        </w:rPr>
        <w:t>FHA MAP Lender applications and underwriting must document, and HUD processing staff must verify, the property’s compliance with the Fair Housing Act by requesting and then analyzing the governing age restriction and management documents to determine whether the documents clearly impose a 55 or older restriction that is compatible with the 55+ Exemption.</w:t>
      </w:r>
    </w:p>
    <w:p w:rsidRPr="00FA0F71" w:rsidR="00A91D7A" w:rsidP="00A91D7A" w:rsidRDefault="00A91D7A" w14:paraId="5D0FE2FD" w14:textId="77777777">
      <w:pPr>
        <w:spacing w:line="276" w:lineRule="auto"/>
        <w:ind w:left="720"/>
        <w:jc w:val="both"/>
        <w:rPr>
          <w:rFonts w:ascii="Times New Roman" w:hAnsi="Times New Roman" w:cs="Times New Roman"/>
          <w:sz w:val="24"/>
          <w:szCs w:val="24"/>
        </w:rPr>
      </w:pPr>
    </w:p>
    <w:p w:rsidRPr="00FA0F71" w:rsidR="00A91D7A" w:rsidP="00A91D7A" w:rsidRDefault="00A91D7A" w14:paraId="4583EC5C" w14:textId="77777777">
      <w:pPr>
        <w:spacing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6</w:t>
      </w:r>
      <w:r w:rsidRPr="00FA0F71">
        <w:rPr>
          <w:rFonts w:ascii="Times New Roman" w:hAnsi="Times New Roman" w:cs="Times New Roman"/>
          <w:sz w:val="24"/>
          <w:szCs w:val="24"/>
        </w:rPr>
        <w:t xml:space="preserve">.  Services.  Projects with extensive </w:t>
      </w:r>
      <w:r>
        <w:rPr>
          <w:rFonts w:ascii="Times New Roman" w:hAnsi="Times New Roman" w:cs="Times New Roman"/>
          <w:sz w:val="24"/>
          <w:szCs w:val="24"/>
        </w:rPr>
        <w:t xml:space="preserve">resident </w:t>
      </w:r>
      <w:r w:rsidRPr="00FA0F71">
        <w:rPr>
          <w:rFonts w:ascii="Times New Roman" w:hAnsi="Times New Roman" w:cs="Times New Roman"/>
          <w:sz w:val="24"/>
          <w:szCs w:val="24"/>
        </w:rPr>
        <w:t xml:space="preserve">service packages or otherwise specifically designed for elderly occupancy such that all or a portion of the units would be eligible under Section 232 of the National Housing Act are not eligible for MAP insurance programs. The following are typical Section 232 project characteristics that are </w:t>
      </w:r>
      <w:r w:rsidRPr="00FA0F71">
        <w:rPr>
          <w:rFonts w:ascii="Times New Roman" w:hAnsi="Times New Roman" w:cs="Times New Roman"/>
          <w:sz w:val="24"/>
          <w:szCs w:val="24"/>
          <w:u w:val="single"/>
        </w:rPr>
        <w:t>not</w:t>
      </w:r>
      <w:r w:rsidRPr="00FA0F71">
        <w:rPr>
          <w:rFonts w:ascii="Times New Roman" w:hAnsi="Times New Roman" w:cs="Times New Roman"/>
          <w:sz w:val="24"/>
          <w:szCs w:val="24"/>
        </w:rPr>
        <w:t xml:space="preserve"> eligible for multifamily mortgage insurance or MAP processing (whether elderly or non-elderly): </w:t>
      </w:r>
    </w:p>
    <w:p w:rsidRPr="00FA0F71" w:rsidR="00A91D7A" w:rsidP="00A91D7A" w:rsidRDefault="00A91D7A" w14:paraId="710F6733" w14:textId="77777777">
      <w:pPr>
        <w:spacing w:line="276" w:lineRule="auto"/>
        <w:ind w:left="720"/>
        <w:jc w:val="both"/>
        <w:rPr>
          <w:rFonts w:ascii="Times New Roman" w:hAnsi="Times New Roman" w:cs="Times New Roman"/>
          <w:sz w:val="24"/>
          <w:szCs w:val="24"/>
        </w:rPr>
      </w:pPr>
    </w:p>
    <w:p w:rsidRPr="00FA0F71" w:rsidR="00A91D7A" w:rsidP="00A91D7A" w:rsidRDefault="00A91D7A" w14:paraId="76F7114D" w14:textId="77777777">
      <w:pPr>
        <w:numPr>
          <w:ilvl w:val="1"/>
          <w:numId w:val="16"/>
        </w:numPr>
        <w:spacing w:after="200" w:line="276" w:lineRule="auto"/>
        <w:ind w:left="1080"/>
        <w:contextualSpacing/>
        <w:jc w:val="both"/>
        <w:rPr>
          <w:rFonts w:ascii="Times New Roman" w:hAnsi="Times New Roman" w:cs="Times New Roman"/>
          <w:sz w:val="24"/>
          <w:szCs w:val="24"/>
        </w:rPr>
      </w:pPr>
      <w:r w:rsidRPr="00FA0F71">
        <w:rPr>
          <w:rFonts w:ascii="Times New Roman" w:hAnsi="Times New Roman" w:cs="Times New Roman"/>
          <w:sz w:val="24"/>
          <w:szCs w:val="24"/>
        </w:rPr>
        <w:t>Projects such as nursing homes, intermediate care facilities, board and care homes, assisted living facilities and day care in eligible health care facilities as defined under Section 232, or projects that contain comparable characteristics.</w:t>
      </w:r>
    </w:p>
    <w:p w:rsidRPr="00FA0F71" w:rsidR="00A91D7A" w:rsidP="00A91D7A" w:rsidRDefault="00A91D7A" w14:paraId="7F5FA7E3" w14:textId="77777777">
      <w:pPr>
        <w:numPr>
          <w:ilvl w:val="1"/>
          <w:numId w:val="16"/>
        </w:numPr>
        <w:spacing w:after="200" w:line="276" w:lineRule="auto"/>
        <w:ind w:left="1080"/>
        <w:contextualSpacing/>
        <w:jc w:val="both"/>
        <w:rPr>
          <w:rFonts w:ascii="Times New Roman" w:hAnsi="Times New Roman" w:cs="Times New Roman"/>
          <w:b/>
          <w:sz w:val="24"/>
          <w:szCs w:val="24"/>
        </w:rPr>
      </w:pPr>
      <w:r w:rsidRPr="00FA0F71">
        <w:rPr>
          <w:rFonts w:ascii="Times New Roman" w:hAnsi="Times New Roman" w:cs="Times New Roman"/>
          <w:sz w:val="24"/>
          <w:szCs w:val="24"/>
        </w:rPr>
        <w:t xml:space="preserve">Projects in which any percentage of the units must be licensed or regulated by the state or municipality in which the facility is located, other than a standard rental housing occupancy or operating license. </w:t>
      </w:r>
    </w:p>
    <w:p w:rsidRPr="00FA0F71" w:rsidR="00A91D7A" w:rsidP="00A91D7A" w:rsidRDefault="00A91D7A" w14:paraId="13B8A57B" w14:textId="77777777">
      <w:pPr>
        <w:numPr>
          <w:ilvl w:val="1"/>
          <w:numId w:val="16"/>
        </w:numPr>
        <w:spacing w:after="200" w:line="276" w:lineRule="auto"/>
        <w:ind w:left="1080"/>
        <w:contextualSpacing/>
        <w:jc w:val="both"/>
        <w:rPr>
          <w:rFonts w:ascii="Times New Roman" w:hAnsi="Times New Roman" w:cs="Times New Roman"/>
          <w:sz w:val="24"/>
          <w:szCs w:val="24"/>
        </w:rPr>
      </w:pPr>
      <w:r w:rsidRPr="00FA0F71">
        <w:rPr>
          <w:rFonts w:ascii="Times New Roman" w:hAnsi="Times New Roman" w:cs="Times New Roman"/>
          <w:sz w:val="24"/>
          <w:szCs w:val="24"/>
        </w:rPr>
        <w:t>Projects in which the borrower is required to obtain a Certificate of Need or comparable documentation from the state or municipality.</w:t>
      </w:r>
    </w:p>
    <w:p w:rsidRPr="00FA0F71" w:rsidR="00A91D7A" w:rsidP="00A91D7A" w:rsidRDefault="00A91D7A" w14:paraId="2DB11675" w14:textId="77777777">
      <w:pPr>
        <w:numPr>
          <w:ilvl w:val="1"/>
          <w:numId w:val="16"/>
        </w:numPr>
        <w:spacing w:after="200" w:line="276" w:lineRule="auto"/>
        <w:ind w:left="1080"/>
        <w:contextualSpacing/>
        <w:jc w:val="both"/>
        <w:rPr>
          <w:rFonts w:ascii="Times New Roman" w:hAnsi="Times New Roman" w:cs="Times New Roman"/>
          <w:sz w:val="24"/>
          <w:szCs w:val="24"/>
        </w:rPr>
      </w:pPr>
      <w:r w:rsidRPr="00FA0F71">
        <w:rPr>
          <w:rFonts w:ascii="Times New Roman" w:hAnsi="Times New Roman" w:cs="Times New Roman"/>
          <w:sz w:val="24"/>
          <w:szCs w:val="24"/>
        </w:rPr>
        <w:t>Elderly housing developments that provide “continuous protective oversight” services for residents in the manner defined under Section 232.</w:t>
      </w:r>
    </w:p>
    <w:p w:rsidRPr="00FA0F71" w:rsidR="00A91D7A" w:rsidP="00A91D7A" w:rsidRDefault="00A91D7A" w14:paraId="7DB757DF" w14:textId="77777777">
      <w:pPr>
        <w:numPr>
          <w:ilvl w:val="1"/>
          <w:numId w:val="16"/>
        </w:numPr>
        <w:spacing w:after="200" w:line="276" w:lineRule="auto"/>
        <w:ind w:left="1080"/>
        <w:contextualSpacing/>
        <w:jc w:val="both"/>
        <w:rPr>
          <w:rFonts w:ascii="Times New Roman" w:hAnsi="Times New Roman" w:cs="Times New Roman"/>
          <w:sz w:val="24"/>
          <w:szCs w:val="24"/>
        </w:rPr>
      </w:pPr>
      <w:r w:rsidRPr="00FA0F71">
        <w:rPr>
          <w:rFonts w:ascii="Times New Roman" w:hAnsi="Times New Roman" w:cs="Times New Roman"/>
          <w:sz w:val="24"/>
          <w:szCs w:val="24"/>
        </w:rPr>
        <w:t>Residential accommodations</w:t>
      </w:r>
      <w:r>
        <w:rPr>
          <w:rFonts w:ascii="Times New Roman" w:hAnsi="Times New Roman" w:cs="Times New Roman"/>
          <w:sz w:val="24"/>
          <w:szCs w:val="24"/>
        </w:rPr>
        <w:t>,</w:t>
      </w:r>
      <w:r w:rsidRPr="00FA0F71">
        <w:rPr>
          <w:rFonts w:ascii="Times New Roman" w:hAnsi="Times New Roman" w:cs="Times New Roman"/>
          <w:sz w:val="24"/>
          <w:szCs w:val="24"/>
        </w:rPr>
        <w:t xml:space="preserve"> including a) programmatic restrictions on the number of bedrooms per unit from efficiency through 3</w:t>
      </w:r>
      <w:r>
        <w:rPr>
          <w:rFonts w:ascii="Times New Roman" w:hAnsi="Times New Roman" w:cs="Times New Roman"/>
          <w:sz w:val="24"/>
          <w:szCs w:val="24"/>
        </w:rPr>
        <w:t>-</w:t>
      </w:r>
      <w:r w:rsidRPr="00FA0F71">
        <w:rPr>
          <w:rFonts w:ascii="Times New Roman" w:hAnsi="Times New Roman" w:cs="Times New Roman"/>
          <w:sz w:val="24"/>
          <w:szCs w:val="24"/>
        </w:rPr>
        <w:t>bedroom units, b) non-self-contained units, i.e., a bathroom shared by different residents, or c) a kitchenette or less than what would constitute standard, full kitchen equipment.</w:t>
      </w:r>
    </w:p>
    <w:p w:rsidRPr="00FA0F71" w:rsidR="00A91D7A" w:rsidP="00A91D7A" w:rsidRDefault="00A91D7A" w14:paraId="7DB31040" w14:textId="77777777">
      <w:pPr>
        <w:numPr>
          <w:ilvl w:val="1"/>
          <w:numId w:val="16"/>
        </w:numPr>
        <w:spacing w:after="200" w:line="276" w:lineRule="auto"/>
        <w:ind w:left="1080"/>
        <w:contextualSpacing/>
        <w:jc w:val="both"/>
        <w:rPr>
          <w:rFonts w:ascii="Times New Roman" w:hAnsi="Times New Roman" w:cs="Times New Roman"/>
          <w:sz w:val="24"/>
          <w:szCs w:val="24"/>
        </w:rPr>
      </w:pPr>
      <w:r w:rsidRPr="00FA0F71">
        <w:rPr>
          <w:rFonts w:ascii="Times New Roman" w:hAnsi="Times New Roman" w:cs="Times New Roman"/>
          <w:sz w:val="24"/>
          <w:szCs w:val="24"/>
        </w:rPr>
        <w:t>Mandatory resident meal requirements.</w:t>
      </w:r>
    </w:p>
    <w:p w:rsidRPr="00FA0F71" w:rsidR="00A91D7A" w:rsidP="00A91D7A" w:rsidRDefault="00A91D7A" w14:paraId="59836C65" w14:textId="77777777">
      <w:pPr>
        <w:numPr>
          <w:ilvl w:val="1"/>
          <w:numId w:val="16"/>
        </w:numPr>
        <w:spacing w:after="200" w:line="276" w:lineRule="auto"/>
        <w:ind w:left="1080"/>
        <w:contextualSpacing/>
        <w:jc w:val="both"/>
        <w:rPr>
          <w:rFonts w:ascii="Times New Roman" w:hAnsi="Times New Roman" w:cs="Times New Roman"/>
          <w:sz w:val="24"/>
          <w:szCs w:val="24"/>
        </w:rPr>
      </w:pPr>
      <w:r w:rsidRPr="00FA0F71">
        <w:rPr>
          <w:rFonts w:ascii="Times New Roman" w:hAnsi="Times New Roman" w:cs="Times New Roman"/>
          <w:sz w:val="24"/>
          <w:szCs w:val="24"/>
        </w:rPr>
        <w:t>Other resident services made a mandatory condition of occupancy.</w:t>
      </w:r>
    </w:p>
    <w:p w:rsidRPr="00FA0F71" w:rsidR="00A91D7A" w:rsidP="00A91D7A" w:rsidRDefault="00A91D7A" w14:paraId="21E2565B" w14:textId="77777777">
      <w:pPr>
        <w:numPr>
          <w:ilvl w:val="1"/>
          <w:numId w:val="16"/>
        </w:numPr>
        <w:spacing w:after="200" w:line="276" w:lineRule="auto"/>
        <w:ind w:left="1080"/>
        <w:contextualSpacing/>
        <w:jc w:val="both"/>
        <w:rPr>
          <w:rFonts w:ascii="Times New Roman" w:hAnsi="Times New Roman" w:cs="Times New Roman"/>
          <w:sz w:val="24"/>
          <w:szCs w:val="24"/>
        </w:rPr>
      </w:pPr>
      <w:r w:rsidRPr="00FA0F71">
        <w:rPr>
          <w:rFonts w:ascii="Times New Roman" w:hAnsi="Times New Roman" w:cs="Times New Roman"/>
          <w:sz w:val="24"/>
          <w:szCs w:val="24"/>
        </w:rPr>
        <w:t>Non-shelter and optional services included in the underwriting of net operating income.</w:t>
      </w:r>
    </w:p>
    <w:p w:rsidRPr="00FA0F71" w:rsidR="00A91D7A" w:rsidP="00A91D7A" w:rsidRDefault="00A91D7A" w14:paraId="0317979C" w14:textId="77777777">
      <w:pPr>
        <w:spacing w:line="276" w:lineRule="auto"/>
        <w:ind w:left="720"/>
        <w:jc w:val="both"/>
        <w:rPr>
          <w:rFonts w:ascii="Times New Roman" w:hAnsi="Times New Roman" w:cs="Times New Roman"/>
          <w:sz w:val="24"/>
          <w:szCs w:val="24"/>
        </w:rPr>
      </w:pPr>
    </w:p>
    <w:p w:rsidRPr="00FA0F71" w:rsidR="00A91D7A" w:rsidP="00A91D7A" w:rsidRDefault="00A91D7A" w14:paraId="3B1FF824" w14:textId="77777777">
      <w:pPr>
        <w:spacing w:line="276" w:lineRule="auto"/>
        <w:ind w:left="720"/>
        <w:jc w:val="both"/>
        <w:rPr>
          <w:rFonts w:ascii="Times New Roman" w:hAnsi="Times New Roman" w:cs="Times New Roman"/>
          <w:sz w:val="24"/>
          <w:szCs w:val="24"/>
        </w:rPr>
      </w:pPr>
      <w:r w:rsidRPr="00FA0F71">
        <w:rPr>
          <w:rFonts w:ascii="Times New Roman" w:hAnsi="Times New Roman" w:cs="Times New Roman"/>
          <w:sz w:val="24"/>
          <w:szCs w:val="24"/>
        </w:rPr>
        <w:t>The prohibition on services and licensure discussed in this sub-section does not apply to formerly or currently HUD-held or FHA insured multifamily projects which received Assisted Living Conversion Program Grants for less than 75% of the units.</w:t>
      </w:r>
    </w:p>
    <w:p w:rsidRPr="00FA0F71" w:rsidR="00A91D7A" w:rsidP="00A91D7A" w:rsidRDefault="00A91D7A" w14:paraId="547F46F5" w14:textId="77777777">
      <w:pPr>
        <w:spacing w:line="276" w:lineRule="auto"/>
        <w:ind w:left="720"/>
        <w:jc w:val="both"/>
        <w:rPr>
          <w:rFonts w:ascii="Times New Roman" w:hAnsi="Times New Roman" w:cs="Times New Roman"/>
          <w:sz w:val="24"/>
          <w:szCs w:val="24"/>
        </w:rPr>
      </w:pPr>
    </w:p>
    <w:p w:rsidRPr="00FA0F71" w:rsidR="00A91D7A" w:rsidP="00A91D7A" w:rsidRDefault="00A91D7A" w14:paraId="31D21998" w14:textId="77777777">
      <w:pPr>
        <w:spacing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7</w:t>
      </w:r>
      <w:r w:rsidRPr="00FA0F71">
        <w:rPr>
          <w:rFonts w:ascii="Times New Roman" w:hAnsi="Times New Roman" w:cs="Times New Roman"/>
          <w:sz w:val="24"/>
          <w:szCs w:val="24"/>
        </w:rPr>
        <w:t>.  Meals Service Exceptions.</w:t>
      </w:r>
    </w:p>
    <w:p w:rsidRPr="00FA0F71" w:rsidR="00A91D7A" w:rsidP="00A91D7A" w:rsidRDefault="00A91D7A" w14:paraId="642CA7F8" w14:textId="77777777">
      <w:pPr>
        <w:spacing w:line="276" w:lineRule="auto"/>
        <w:ind w:left="1620" w:hanging="360"/>
        <w:jc w:val="both"/>
        <w:rPr>
          <w:rFonts w:ascii="Times New Roman" w:hAnsi="Times New Roman" w:cs="Times New Roman"/>
          <w:sz w:val="24"/>
          <w:szCs w:val="24"/>
        </w:rPr>
      </w:pPr>
    </w:p>
    <w:p w:rsidRPr="00FA0F71" w:rsidR="00A91D7A" w:rsidP="00A91D7A" w:rsidRDefault="00A91D7A" w14:paraId="2034C770" w14:textId="77777777">
      <w:pPr>
        <w:numPr>
          <w:ilvl w:val="1"/>
          <w:numId w:val="29"/>
        </w:numPr>
        <w:spacing w:after="200" w:line="276" w:lineRule="auto"/>
        <w:ind w:left="1080"/>
        <w:contextualSpacing/>
        <w:jc w:val="both"/>
        <w:rPr>
          <w:rFonts w:ascii="Times New Roman" w:hAnsi="Times New Roman" w:cs="Times New Roman"/>
          <w:sz w:val="24"/>
          <w:szCs w:val="24"/>
        </w:rPr>
      </w:pPr>
      <w:r w:rsidRPr="00FA0F71">
        <w:rPr>
          <w:rFonts w:ascii="Times New Roman" w:hAnsi="Times New Roman" w:cs="Times New Roman"/>
          <w:sz w:val="24"/>
          <w:szCs w:val="24"/>
        </w:rPr>
        <w:t>Refinancing HUD insured or HUD assisted properties under Sections 221(d)(4) and 223(f). By final rule published in 56 FR 42798, central kitchens and the provision of food services in elderly housing projects are prohibited under any rental housing section of the National Housing Act, including Sections 223(f) and 221(d)(4).  The Regional Center or Satellite Office Director may approve refinancing transactions for properties, with meal services, in refinanced Section 202 and 202/8 direct loan properties, or properties with Project-Based rental assistance which are currently insured under other Sections of the Act, if and only if:</w:t>
      </w:r>
    </w:p>
    <w:p w:rsidRPr="00FA0F71" w:rsidR="00A91D7A" w:rsidP="00A91D7A" w:rsidRDefault="00A91D7A" w14:paraId="23D3CE35" w14:textId="77777777">
      <w:pPr>
        <w:spacing w:line="276" w:lineRule="auto"/>
        <w:ind w:left="1620" w:hanging="360"/>
        <w:jc w:val="both"/>
        <w:rPr>
          <w:rFonts w:ascii="Times New Roman" w:hAnsi="Times New Roman" w:cs="Times New Roman"/>
          <w:sz w:val="24"/>
          <w:szCs w:val="24"/>
        </w:rPr>
      </w:pPr>
    </w:p>
    <w:p w:rsidRPr="00FA0F71" w:rsidR="00A91D7A" w:rsidP="00A91D7A" w:rsidRDefault="00A91D7A" w14:paraId="0F9A9BC7" w14:textId="77777777">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r>
      <w:r w:rsidRPr="00FA0F71">
        <w:rPr>
          <w:rFonts w:ascii="Times New Roman" w:hAnsi="Times New Roman" w:cs="Times New Roman"/>
          <w:sz w:val="24"/>
          <w:szCs w:val="24"/>
        </w:rPr>
        <w:t>Meals were provided before September 30, 1991 (the effective date of the regulation) and</w:t>
      </w:r>
      <w:r>
        <w:rPr>
          <w:rFonts w:ascii="Times New Roman" w:hAnsi="Times New Roman" w:cs="Times New Roman"/>
          <w:sz w:val="24"/>
          <w:szCs w:val="24"/>
        </w:rPr>
        <w:t xml:space="preserve"> have been continuously provided since that date, </w:t>
      </w:r>
      <w:r w:rsidRPr="00FA0F71">
        <w:rPr>
          <w:rFonts w:ascii="Times New Roman" w:hAnsi="Times New Roman" w:cs="Times New Roman"/>
          <w:sz w:val="24"/>
          <w:szCs w:val="24"/>
        </w:rPr>
        <w:t>2.  Meals are provided on an optional basis, or with no more than one mandatory meal per day,</w:t>
      </w:r>
    </w:p>
    <w:p w:rsidRPr="00FA0F71" w:rsidR="00A91D7A" w:rsidP="00A91D7A" w:rsidRDefault="00A91D7A" w14:paraId="3956D093" w14:textId="77777777">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FA0F71">
        <w:rPr>
          <w:rFonts w:ascii="Times New Roman" w:hAnsi="Times New Roman" w:cs="Times New Roman"/>
          <w:sz w:val="24"/>
          <w:szCs w:val="24"/>
        </w:rPr>
        <w:t>Income and expenses from the meal service are not included in the underwriting of net operating income, and</w:t>
      </w:r>
    </w:p>
    <w:p w:rsidRPr="00FA0F71" w:rsidR="00A91D7A" w:rsidP="00A91D7A" w:rsidRDefault="00A91D7A" w14:paraId="528C627B" w14:textId="77777777">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iii</w:t>
      </w:r>
      <w:r w:rsidRPr="00FA0F71">
        <w:rPr>
          <w:rFonts w:ascii="Times New Roman" w:hAnsi="Times New Roman" w:cs="Times New Roman"/>
          <w:sz w:val="24"/>
          <w:szCs w:val="24"/>
        </w:rPr>
        <w:t>.</w:t>
      </w:r>
      <w:r>
        <w:rPr>
          <w:rFonts w:ascii="Times New Roman" w:hAnsi="Times New Roman" w:cs="Times New Roman"/>
          <w:sz w:val="24"/>
          <w:szCs w:val="24"/>
        </w:rPr>
        <w:tab/>
      </w:r>
      <w:r w:rsidRPr="00FA0F71">
        <w:rPr>
          <w:rFonts w:ascii="Times New Roman" w:hAnsi="Times New Roman" w:cs="Times New Roman"/>
          <w:sz w:val="24"/>
          <w:szCs w:val="24"/>
        </w:rPr>
        <w:t>The cost of the meals program is self-sustained by the revenue it generates based on HUD’s review of the project’s financial statements.</w:t>
      </w:r>
    </w:p>
    <w:p w:rsidRPr="00FA0F71" w:rsidR="00A91D7A" w:rsidP="00A91D7A" w:rsidRDefault="00A91D7A" w14:paraId="6EAAE2AC" w14:textId="77777777">
      <w:pPr>
        <w:spacing w:line="276" w:lineRule="auto"/>
        <w:ind w:left="2160"/>
        <w:jc w:val="both"/>
        <w:rPr>
          <w:rFonts w:ascii="Times New Roman" w:hAnsi="Times New Roman" w:cs="Times New Roman"/>
          <w:sz w:val="24"/>
          <w:szCs w:val="24"/>
        </w:rPr>
      </w:pPr>
    </w:p>
    <w:p w:rsidRPr="0015788D" w:rsidR="00A91D7A" w:rsidP="00A91D7A" w:rsidRDefault="00A91D7A" w14:paraId="2CC6C018" w14:textId="77777777">
      <w:pPr>
        <w:numPr>
          <w:ilvl w:val="1"/>
          <w:numId w:val="29"/>
        </w:numPr>
        <w:tabs>
          <w:tab w:val="left" w:pos="1080"/>
        </w:tabs>
        <w:spacing w:after="200" w:line="276" w:lineRule="auto"/>
        <w:ind w:left="1080"/>
        <w:contextualSpacing/>
        <w:jc w:val="both"/>
        <w:rPr>
          <w:rFonts w:ascii="Times New Roman" w:hAnsi="Times New Roman" w:cs="Times New Roman"/>
          <w:sz w:val="24"/>
          <w:szCs w:val="24"/>
        </w:rPr>
      </w:pPr>
      <w:r w:rsidRPr="00FA0F71">
        <w:rPr>
          <w:rFonts w:ascii="Times New Roman" w:hAnsi="Times New Roman" w:cs="Times New Roman"/>
          <w:sz w:val="24"/>
          <w:szCs w:val="24"/>
        </w:rPr>
        <w:t>Non-shelter spaces including formal dining areas with meal services for projects other than those with Project-Based rental assistance and a curre</w:t>
      </w:r>
      <w:r>
        <w:rPr>
          <w:rFonts w:ascii="Times New Roman" w:hAnsi="Times New Roman" w:cs="Times New Roman"/>
          <w:sz w:val="24"/>
          <w:szCs w:val="24"/>
        </w:rPr>
        <w:t>n</w:t>
      </w:r>
      <w:r w:rsidRPr="00FA0F71">
        <w:rPr>
          <w:rFonts w:ascii="Times New Roman" w:hAnsi="Times New Roman" w:cs="Times New Roman"/>
          <w:sz w:val="24"/>
          <w:szCs w:val="24"/>
        </w:rPr>
        <w:t>t Section 202 or HUD-insured loan are not eligible for multifamily mortgage insurance, even if they are provided to residents on an optional basis.</w:t>
      </w:r>
    </w:p>
    <w:p w:rsidRPr="00FA0F71" w:rsidR="00A91D7A" w:rsidP="00A91D7A" w:rsidRDefault="00A91D7A" w14:paraId="5FC429DD" w14:textId="77777777">
      <w:pPr>
        <w:spacing w:line="276" w:lineRule="auto"/>
        <w:ind w:left="1440"/>
        <w:jc w:val="both"/>
        <w:rPr>
          <w:rFonts w:ascii="Times New Roman" w:hAnsi="Times New Roman" w:cs="Times New Roman"/>
          <w:sz w:val="24"/>
          <w:szCs w:val="24"/>
        </w:rPr>
      </w:pPr>
    </w:p>
    <w:p w:rsidR="00A91D7A" w:rsidP="00A91D7A" w:rsidRDefault="00A91D7A" w14:paraId="0386F8A0" w14:textId="203564FC">
      <w:pPr>
        <w:spacing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8</w:t>
      </w:r>
      <w:r w:rsidRPr="00FA0F71">
        <w:rPr>
          <w:rFonts w:ascii="Times New Roman" w:hAnsi="Times New Roman" w:cs="Times New Roman"/>
          <w:sz w:val="24"/>
          <w:szCs w:val="24"/>
        </w:rPr>
        <w:t>.</w:t>
      </w:r>
      <w:r w:rsidR="005B0810">
        <w:rPr>
          <w:rFonts w:ascii="Times New Roman" w:hAnsi="Times New Roman" w:cs="Times New Roman"/>
          <w:sz w:val="24"/>
          <w:szCs w:val="24"/>
        </w:rPr>
        <w:tab/>
      </w:r>
      <w:r w:rsidRPr="00FA0F71">
        <w:rPr>
          <w:rFonts w:ascii="Times New Roman" w:hAnsi="Times New Roman" w:cs="Times New Roman"/>
          <w:sz w:val="24"/>
          <w:szCs w:val="24"/>
        </w:rPr>
        <w:t>Prohibition on Founder’s Fees.  "Founders' Fees," "admission fees," or similar types of initial occupancy or entry payments are prohibited.</w:t>
      </w:r>
    </w:p>
    <w:p w:rsidR="00A91D7A" w:rsidP="00A91D7A" w:rsidRDefault="00A91D7A" w14:paraId="405787A4" w14:textId="77777777">
      <w:pPr>
        <w:spacing w:line="276" w:lineRule="auto"/>
        <w:ind w:left="720" w:hanging="360"/>
        <w:jc w:val="both"/>
        <w:rPr>
          <w:rFonts w:ascii="Times New Roman" w:hAnsi="Times New Roman" w:cs="Times New Roman"/>
          <w:sz w:val="24"/>
          <w:szCs w:val="24"/>
        </w:rPr>
      </w:pPr>
    </w:p>
    <w:p w:rsidR="00A91D7A" w:rsidP="00A91D7A" w:rsidRDefault="00A91D7A" w14:paraId="78FB763E" w14:textId="4FCE7D2C">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9.</w:t>
      </w:r>
      <w:r w:rsidR="005B0810">
        <w:rPr>
          <w:rFonts w:ascii="Times New Roman" w:hAnsi="Times New Roman" w:cs="Times New Roman"/>
          <w:sz w:val="24"/>
          <w:szCs w:val="24"/>
        </w:rPr>
        <w:tab/>
      </w:r>
      <w:r w:rsidRPr="00920117">
        <w:rPr>
          <w:rFonts w:ascii="Times New Roman" w:hAnsi="Times New Roman" w:cs="Times New Roman"/>
          <w:sz w:val="24"/>
          <w:szCs w:val="24"/>
        </w:rPr>
        <w:t>Guest Suites</w:t>
      </w:r>
      <w:r>
        <w:rPr>
          <w:rFonts w:ascii="Times New Roman" w:hAnsi="Times New Roman" w:cs="Times New Roman"/>
          <w:sz w:val="24"/>
          <w:szCs w:val="24"/>
        </w:rPr>
        <w:t>.</w:t>
      </w:r>
    </w:p>
    <w:p w:rsidR="00A91D7A" w:rsidP="00A91D7A" w:rsidRDefault="00A91D7A" w14:paraId="61F4164B" w14:textId="77777777">
      <w:pPr>
        <w:spacing w:line="276" w:lineRule="auto"/>
        <w:ind w:left="720" w:hanging="360"/>
        <w:jc w:val="both"/>
        <w:rPr>
          <w:rFonts w:ascii="Times New Roman" w:hAnsi="Times New Roman" w:cs="Times New Roman"/>
          <w:sz w:val="24"/>
          <w:szCs w:val="24"/>
        </w:rPr>
      </w:pPr>
      <w:r w:rsidRPr="00920117">
        <w:rPr>
          <w:rFonts w:ascii="Times New Roman" w:hAnsi="Times New Roman" w:cs="Times New Roman"/>
          <w:sz w:val="24"/>
          <w:szCs w:val="24"/>
        </w:rPr>
        <w:t xml:space="preserve"> </w:t>
      </w:r>
      <w:r>
        <w:rPr>
          <w:rFonts w:ascii="Times New Roman" w:hAnsi="Times New Roman" w:cs="Times New Roman"/>
          <w:sz w:val="24"/>
          <w:szCs w:val="24"/>
        </w:rPr>
        <w:tab/>
      </w:r>
      <w:r w:rsidRPr="00920117">
        <w:rPr>
          <w:rFonts w:ascii="Times New Roman" w:hAnsi="Times New Roman" w:cs="Times New Roman"/>
          <w:sz w:val="24"/>
          <w:szCs w:val="24"/>
        </w:rPr>
        <w:t>In certain circumstances</w:t>
      </w:r>
      <w:r>
        <w:rPr>
          <w:rFonts w:ascii="Times New Roman" w:hAnsi="Times New Roman" w:cs="Times New Roman"/>
          <w:sz w:val="24"/>
          <w:szCs w:val="24"/>
        </w:rPr>
        <w:t>,</w:t>
      </w:r>
      <w:r w:rsidRPr="00920117">
        <w:rPr>
          <w:rFonts w:ascii="Times New Roman" w:hAnsi="Times New Roman" w:cs="Times New Roman"/>
          <w:sz w:val="24"/>
          <w:szCs w:val="24"/>
        </w:rPr>
        <w:t xml:space="preserve"> multifamily projects may set aside a unit or create a limited number of non-income units as an amenity for residents.  The non-income units provide accommodations for the resident’s guests or relatives.   These non-income guest units are typically located in LIHTC, senior and senior cooperative projects</w:t>
      </w:r>
      <w:r>
        <w:rPr>
          <w:rFonts w:ascii="Times New Roman" w:hAnsi="Times New Roman" w:cs="Times New Roman"/>
          <w:sz w:val="24"/>
          <w:szCs w:val="24"/>
        </w:rPr>
        <w:t>, although they may be located in market rate projects as well</w:t>
      </w:r>
      <w:r w:rsidRPr="00920117">
        <w:rPr>
          <w:rFonts w:ascii="Times New Roman" w:hAnsi="Times New Roman" w:cs="Times New Roman"/>
          <w:sz w:val="24"/>
          <w:szCs w:val="24"/>
        </w:rPr>
        <w:t xml:space="preserve">.  </w:t>
      </w:r>
      <w:r>
        <w:rPr>
          <w:rFonts w:ascii="Times New Roman" w:hAnsi="Times New Roman" w:cs="Times New Roman"/>
          <w:sz w:val="24"/>
          <w:szCs w:val="24"/>
        </w:rPr>
        <w:t xml:space="preserve">Non-income </w:t>
      </w:r>
      <w:r w:rsidRPr="00920117">
        <w:rPr>
          <w:rFonts w:ascii="Times New Roman" w:hAnsi="Times New Roman" w:cs="Times New Roman"/>
          <w:sz w:val="24"/>
          <w:szCs w:val="24"/>
        </w:rPr>
        <w:t>units are permissible only to the extent the</w:t>
      </w:r>
      <w:r>
        <w:rPr>
          <w:rFonts w:ascii="Times New Roman" w:hAnsi="Times New Roman" w:cs="Times New Roman"/>
          <w:sz w:val="24"/>
          <w:szCs w:val="24"/>
        </w:rPr>
        <w:t>ir use is consistent with t</w:t>
      </w:r>
      <w:r w:rsidRPr="00920117">
        <w:rPr>
          <w:rFonts w:ascii="Times New Roman" w:hAnsi="Times New Roman" w:cs="Times New Roman"/>
          <w:sz w:val="24"/>
          <w:szCs w:val="24"/>
        </w:rPr>
        <w:t>he National Housing Act</w:t>
      </w:r>
      <w:r>
        <w:rPr>
          <w:rFonts w:ascii="Times New Roman" w:hAnsi="Times New Roman" w:cs="Times New Roman"/>
          <w:sz w:val="24"/>
          <w:szCs w:val="24"/>
        </w:rPr>
        <w:t>’s prohibition</w:t>
      </w:r>
      <w:r w:rsidRPr="00920117">
        <w:rPr>
          <w:rFonts w:ascii="Times New Roman" w:hAnsi="Times New Roman" w:cs="Times New Roman"/>
          <w:sz w:val="24"/>
          <w:szCs w:val="24"/>
        </w:rPr>
        <w:t xml:space="preserve"> against use of FHA-insured multifamily projects for transient or hotel use.  </w:t>
      </w:r>
      <w:r>
        <w:rPr>
          <w:rFonts w:ascii="Times New Roman" w:hAnsi="Times New Roman" w:cs="Times New Roman"/>
          <w:sz w:val="24"/>
          <w:szCs w:val="24"/>
        </w:rPr>
        <w:t>Borrowers are legally bound to comply with these statutory requirements via execution of their Regulatory Agreement (HUD-92466M) and Borrower’s Oath (HUD-92478M).  In assessing whether the non-income units comply with the prohibition on transient or hotel accommodations, HUD will take the following factors into consideration:</w:t>
      </w:r>
    </w:p>
    <w:p w:rsidR="00A91D7A" w:rsidP="00A91D7A" w:rsidRDefault="00A91D7A" w14:paraId="6C081921" w14:textId="77777777">
      <w:pPr>
        <w:pStyle w:val="ListParagraph"/>
        <w:numPr>
          <w:ilvl w:val="0"/>
          <w:numId w:val="42"/>
        </w:numPr>
        <w:spacing w:line="276" w:lineRule="auto"/>
        <w:jc w:val="both"/>
        <w:rPr>
          <w:rFonts w:ascii="Times New Roman" w:hAnsi="Times New Roman" w:cs="Times New Roman"/>
          <w:sz w:val="24"/>
          <w:szCs w:val="24"/>
        </w:rPr>
      </w:pPr>
      <w:r w:rsidRPr="00503F93">
        <w:rPr>
          <w:rFonts w:ascii="Times New Roman" w:hAnsi="Times New Roman" w:cs="Times New Roman"/>
          <w:sz w:val="24"/>
          <w:szCs w:val="24"/>
        </w:rPr>
        <w:t xml:space="preserve">Rental charges for the unit </w:t>
      </w:r>
      <w:r>
        <w:rPr>
          <w:rFonts w:ascii="Times New Roman" w:hAnsi="Times New Roman" w:cs="Times New Roman"/>
          <w:sz w:val="24"/>
          <w:szCs w:val="24"/>
        </w:rPr>
        <w:t>may not</w:t>
      </w:r>
      <w:r w:rsidRPr="00503F93">
        <w:rPr>
          <w:rFonts w:ascii="Times New Roman" w:hAnsi="Times New Roman" w:cs="Times New Roman"/>
          <w:sz w:val="24"/>
          <w:szCs w:val="24"/>
        </w:rPr>
        <w:t xml:space="preserve"> be imposed, nor </w:t>
      </w:r>
      <w:r>
        <w:rPr>
          <w:rFonts w:ascii="Times New Roman" w:hAnsi="Times New Roman" w:cs="Times New Roman"/>
          <w:sz w:val="24"/>
          <w:szCs w:val="24"/>
        </w:rPr>
        <w:t>may</w:t>
      </w:r>
      <w:r w:rsidRPr="00503F93">
        <w:rPr>
          <w:rFonts w:ascii="Times New Roman" w:hAnsi="Times New Roman" w:cs="Times New Roman"/>
          <w:sz w:val="24"/>
          <w:szCs w:val="24"/>
        </w:rPr>
        <w:t xml:space="preserve"> the project derive any income from the guest suite. </w:t>
      </w:r>
    </w:p>
    <w:p w:rsidR="00A91D7A" w:rsidP="00A91D7A" w:rsidRDefault="00A91D7A" w14:paraId="0DB8F7AF" w14:textId="77777777">
      <w:pPr>
        <w:pStyle w:val="ListParagraph"/>
        <w:numPr>
          <w:ilvl w:val="0"/>
          <w:numId w:val="42"/>
        </w:numPr>
        <w:spacing w:line="276" w:lineRule="auto"/>
        <w:jc w:val="both"/>
        <w:rPr>
          <w:rFonts w:ascii="Times New Roman" w:hAnsi="Times New Roman" w:cs="Times New Roman"/>
          <w:sz w:val="24"/>
          <w:szCs w:val="24"/>
        </w:rPr>
      </w:pPr>
      <w:r w:rsidRPr="00503F93">
        <w:rPr>
          <w:rFonts w:ascii="Times New Roman" w:hAnsi="Times New Roman" w:cs="Times New Roman"/>
          <w:sz w:val="24"/>
          <w:szCs w:val="24"/>
        </w:rPr>
        <w:t xml:space="preserve">The project </w:t>
      </w:r>
      <w:r>
        <w:rPr>
          <w:rFonts w:ascii="Times New Roman" w:hAnsi="Times New Roman" w:cs="Times New Roman"/>
          <w:sz w:val="24"/>
          <w:szCs w:val="24"/>
        </w:rPr>
        <w:t>may not</w:t>
      </w:r>
      <w:r w:rsidRPr="00503F93">
        <w:rPr>
          <w:rFonts w:ascii="Times New Roman" w:hAnsi="Times New Roman" w:cs="Times New Roman"/>
          <w:sz w:val="24"/>
          <w:szCs w:val="24"/>
        </w:rPr>
        <w:t xml:space="preserve"> provide cleaning, linens or customary hotel services; however, a one-time cleaning and laundering fee may be charged to the resident that reserves the guest suite. </w:t>
      </w:r>
    </w:p>
    <w:p w:rsidR="00A91D7A" w:rsidP="00A91D7A" w:rsidRDefault="00A91D7A" w14:paraId="0C02AF3F" w14:textId="77777777">
      <w:pPr>
        <w:pStyle w:val="ListParagraph"/>
        <w:numPr>
          <w:ilvl w:val="0"/>
          <w:numId w:val="42"/>
        </w:numPr>
        <w:spacing w:line="276" w:lineRule="auto"/>
        <w:jc w:val="both"/>
        <w:rPr>
          <w:rFonts w:ascii="Times New Roman" w:hAnsi="Times New Roman" w:cs="Times New Roman"/>
          <w:sz w:val="24"/>
          <w:szCs w:val="24"/>
        </w:rPr>
      </w:pPr>
      <w:r w:rsidRPr="0023547C">
        <w:rPr>
          <w:rFonts w:ascii="Times New Roman" w:hAnsi="Times New Roman" w:cs="Times New Roman"/>
          <w:sz w:val="24"/>
          <w:szCs w:val="24"/>
        </w:rPr>
        <w:t>Guests are not responsible or directly charged for any fees for the use of the guest suite, and its use is limited to friends and family of resident</w:t>
      </w:r>
      <w:r>
        <w:rPr>
          <w:rFonts w:ascii="Times New Roman" w:hAnsi="Times New Roman" w:cs="Times New Roman"/>
          <w:sz w:val="24"/>
          <w:szCs w:val="24"/>
        </w:rPr>
        <w:t>s</w:t>
      </w:r>
      <w:r w:rsidRPr="00503F93">
        <w:rPr>
          <w:rFonts w:ascii="Times New Roman" w:hAnsi="Times New Roman" w:cs="Times New Roman"/>
          <w:sz w:val="24"/>
          <w:szCs w:val="24"/>
        </w:rPr>
        <w:t xml:space="preserve">. </w:t>
      </w:r>
    </w:p>
    <w:p w:rsidR="00A91D7A" w:rsidP="00A91D7A" w:rsidRDefault="00A91D7A" w14:paraId="5E09BFFA" w14:textId="77777777">
      <w:pPr>
        <w:pStyle w:val="ListParagraph"/>
        <w:numPr>
          <w:ilvl w:val="0"/>
          <w:numId w:val="42"/>
        </w:numPr>
        <w:spacing w:line="276" w:lineRule="auto"/>
        <w:jc w:val="both"/>
        <w:rPr>
          <w:rFonts w:ascii="Times New Roman" w:hAnsi="Times New Roman" w:cs="Times New Roman"/>
          <w:sz w:val="24"/>
          <w:szCs w:val="24"/>
        </w:rPr>
      </w:pPr>
      <w:r>
        <w:rPr>
          <w:rFonts w:ascii="Times New Roman" w:hAnsi="Times New Roman" w:cs="Times New Roman"/>
          <w:sz w:val="24"/>
          <w:szCs w:val="24"/>
        </w:rPr>
        <w:t>Guest units are not available to the public.</w:t>
      </w:r>
    </w:p>
    <w:p w:rsidR="00A91D7A" w:rsidP="00A91D7A" w:rsidRDefault="00A91D7A" w14:paraId="3716CD96" w14:textId="77777777">
      <w:pPr>
        <w:pStyle w:val="ListParagraph"/>
        <w:numPr>
          <w:ilvl w:val="0"/>
          <w:numId w:val="42"/>
        </w:numPr>
        <w:spacing w:line="276" w:lineRule="auto"/>
        <w:jc w:val="both"/>
        <w:rPr>
          <w:rFonts w:ascii="Times New Roman" w:hAnsi="Times New Roman" w:cs="Times New Roman"/>
          <w:sz w:val="24"/>
          <w:szCs w:val="24"/>
        </w:rPr>
      </w:pPr>
      <w:r>
        <w:rPr>
          <w:rFonts w:ascii="Times New Roman" w:hAnsi="Times New Roman" w:cs="Times New Roman"/>
          <w:sz w:val="24"/>
          <w:szCs w:val="24"/>
        </w:rPr>
        <w:t>Only project residents are permitted to reserve the guest unit; the project does not independently rent the guest suite.</w:t>
      </w:r>
    </w:p>
    <w:p w:rsidR="00A91D7A" w:rsidP="00A91D7A" w:rsidRDefault="00A91D7A" w14:paraId="00D9BF53" w14:textId="6E945BEF">
      <w:pPr>
        <w:pStyle w:val="ListParagraph"/>
        <w:numPr>
          <w:ilvl w:val="0"/>
          <w:numId w:val="42"/>
        </w:numPr>
        <w:spacing w:line="276" w:lineRule="auto"/>
        <w:jc w:val="both"/>
        <w:rPr>
          <w:rFonts w:ascii="Times New Roman" w:hAnsi="Times New Roman" w:cs="Times New Roman"/>
          <w:sz w:val="24"/>
          <w:szCs w:val="24"/>
        </w:rPr>
      </w:pPr>
      <w:r>
        <w:rPr>
          <w:rFonts w:ascii="Times New Roman" w:hAnsi="Times New Roman" w:cs="Times New Roman"/>
          <w:sz w:val="24"/>
          <w:szCs w:val="24"/>
        </w:rPr>
        <w:t>Residents are limited to two (2) reservations within a one (1) year period, and up to a maximum of seven (7) reservation days per resident.</w:t>
      </w:r>
    </w:p>
    <w:p w:rsidR="00734197" w:rsidP="00734197" w:rsidRDefault="00734197" w14:paraId="0761BE40" w14:textId="77777777">
      <w:pPr>
        <w:pStyle w:val="ListParagraph"/>
        <w:numPr>
          <w:ilvl w:val="0"/>
          <w:numId w:val="42"/>
        </w:numPr>
        <w:spacing w:line="276" w:lineRule="auto"/>
        <w:jc w:val="both"/>
        <w:rPr>
          <w:rFonts w:ascii="Times New Roman" w:hAnsi="Times New Roman" w:cs="Times New Roman"/>
          <w:sz w:val="24"/>
          <w:szCs w:val="24"/>
        </w:rPr>
      </w:pPr>
      <w:r>
        <w:rPr>
          <w:rFonts w:ascii="Times New Roman" w:hAnsi="Times New Roman" w:cs="Times New Roman"/>
          <w:sz w:val="24"/>
          <w:szCs w:val="24"/>
        </w:rPr>
        <w:t>The number of guest suites are no more than two (2) percent of the total number of units in the project.</w:t>
      </w:r>
    </w:p>
    <w:p w:rsidR="00734197" w:rsidP="00734197" w:rsidRDefault="00734197" w14:paraId="4C97CBCC" w14:textId="77777777">
      <w:pPr>
        <w:pStyle w:val="ListParagraph"/>
        <w:spacing w:line="276" w:lineRule="auto"/>
        <w:ind w:left="1440"/>
        <w:jc w:val="both"/>
        <w:rPr>
          <w:rFonts w:ascii="Times New Roman" w:hAnsi="Times New Roman" w:cs="Times New Roman"/>
          <w:sz w:val="24"/>
          <w:szCs w:val="24"/>
        </w:rPr>
      </w:pPr>
    </w:p>
    <w:p w:rsidRPr="007B6714" w:rsidR="00A91D7A" w:rsidP="006E573A" w:rsidRDefault="00A91D7A" w14:paraId="24703387" w14:textId="77777777"/>
    <w:p w:rsidRPr="007B6714" w:rsidR="006E573A" w:rsidP="006E573A" w:rsidRDefault="006E573A" w14:paraId="5B85568A" w14:textId="77777777"/>
    <w:p w:rsidR="00705C43" w:rsidP="00FF6427" w:rsidRDefault="00FF6427" w14:paraId="5B85568B" w14:textId="43B42087">
      <w:pPr>
        <w:rPr>
          <w:b/>
          <w:bCs/>
          <w:sz w:val="28"/>
          <w:szCs w:val="28"/>
        </w:rPr>
      </w:pPr>
      <w:r w:rsidRPr="001B3098">
        <w:rPr>
          <w:b/>
          <w:bCs/>
          <w:sz w:val="28"/>
          <w:szCs w:val="28"/>
        </w:rPr>
        <w:t xml:space="preserve"> </w:t>
      </w:r>
      <w:r w:rsidRPr="001B3098" w:rsidR="00B44AF7">
        <w:rPr>
          <w:b/>
          <w:bCs/>
          <w:sz w:val="28"/>
          <w:szCs w:val="28"/>
        </w:rPr>
        <w:t>3.12</w:t>
      </w:r>
      <w:r w:rsidRPr="001B3098" w:rsidR="00B44AF7">
        <w:rPr>
          <w:b/>
          <w:bCs/>
          <w:sz w:val="28"/>
          <w:szCs w:val="28"/>
        </w:rPr>
        <w:tab/>
      </w:r>
      <w:r w:rsidRPr="001B3098" w:rsidR="00B44AF7">
        <w:rPr>
          <w:b/>
          <w:bCs/>
          <w:sz w:val="28"/>
          <w:szCs w:val="28"/>
        </w:rPr>
        <w:tab/>
        <w:t>Tenant</w:t>
      </w:r>
      <w:r w:rsidRPr="001B3098" w:rsidR="00482834">
        <w:rPr>
          <w:b/>
          <w:bCs/>
          <w:sz w:val="28"/>
          <w:szCs w:val="28"/>
        </w:rPr>
        <w:t xml:space="preserve"> </w:t>
      </w:r>
      <w:r w:rsidRPr="001B3098" w:rsidR="00B44AF7">
        <w:rPr>
          <w:b/>
          <w:bCs/>
          <w:sz w:val="28"/>
          <w:szCs w:val="28"/>
        </w:rPr>
        <w:t>Relocation</w:t>
      </w:r>
    </w:p>
    <w:p w:rsidR="00193D67" w:rsidP="00FF6427" w:rsidRDefault="00193D67" w14:paraId="7050A538" w14:textId="60DF4ECD">
      <w:pPr>
        <w:rPr>
          <w:b/>
          <w:bCs/>
          <w:sz w:val="28"/>
          <w:szCs w:val="28"/>
        </w:rPr>
      </w:pPr>
    </w:p>
    <w:p w:rsidR="005735C1" w:rsidP="00A007FB" w:rsidRDefault="006C0C8F" w14:paraId="1EAC9BC6" w14:textId="77777777">
      <w:pPr>
        <w:spacing w:line="276" w:lineRule="auto"/>
        <w:ind w:left="720" w:hanging="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A.</w:t>
      </w:r>
      <w:r w:rsidR="007F3A4D">
        <w:rPr>
          <w:rFonts w:ascii="Times New Roman" w:hAnsi="Times New Roman" w:cs="Times New Roman"/>
          <w:b/>
          <w:bCs/>
          <w:sz w:val="24"/>
          <w:szCs w:val="24"/>
          <w:u w:val="single"/>
        </w:rPr>
        <w:tab/>
      </w:r>
      <w:r w:rsidR="00044270">
        <w:rPr>
          <w:rFonts w:ascii="Times New Roman" w:hAnsi="Times New Roman" w:cs="Times New Roman"/>
          <w:b/>
          <w:bCs/>
          <w:sz w:val="24"/>
          <w:szCs w:val="24"/>
          <w:u w:val="single"/>
        </w:rPr>
        <w:t>Relocation</w:t>
      </w:r>
      <w:r w:rsidR="005735C1">
        <w:rPr>
          <w:rFonts w:ascii="Times New Roman" w:hAnsi="Times New Roman" w:cs="Times New Roman"/>
          <w:b/>
          <w:bCs/>
          <w:sz w:val="24"/>
          <w:szCs w:val="24"/>
          <w:u w:val="single"/>
        </w:rPr>
        <w:t>-</w:t>
      </w:r>
      <w:r w:rsidRPr="006C0C8F" w:rsidR="00193D67">
        <w:rPr>
          <w:rFonts w:ascii="Times New Roman" w:hAnsi="Times New Roman" w:cs="Times New Roman"/>
          <w:b/>
          <w:bCs/>
          <w:sz w:val="24"/>
          <w:szCs w:val="24"/>
          <w:u w:val="single"/>
        </w:rPr>
        <w:t>General</w:t>
      </w:r>
    </w:p>
    <w:p w:rsidR="005735C1" w:rsidP="00A007FB" w:rsidRDefault="005735C1" w14:paraId="6F35FEEE" w14:textId="77777777">
      <w:pPr>
        <w:spacing w:line="276" w:lineRule="auto"/>
        <w:ind w:left="720" w:hanging="360"/>
        <w:jc w:val="both"/>
        <w:rPr>
          <w:rFonts w:ascii="Times New Roman" w:hAnsi="Times New Roman" w:cs="Times New Roman"/>
          <w:b/>
          <w:bCs/>
          <w:sz w:val="24"/>
          <w:szCs w:val="24"/>
          <w:u w:val="single"/>
        </w:rPr>
      </w:pPr>
    </w:p>
    <w:p w:rsidR="00D844CD" w:rsidP="005735C1" w:rsidRDefault="005735C1" w14:paraId="3D747391" w14:textId="77777777">
      <w:pPr>
        <w:spacing w:line="276" w:lineRule="auto"/>
        <w:ind w:left="1080" w:hanging="360"/>
        <w:jc w:val="both"/>
        <w:rPr>
          <w:rFonts w:ascii="Times New Roman" w:hAnsi="Times New Roman" w:cs="Times New Roman"/>
          <w:sz w:val="24"/>
          <w:szCs w:val="24"/>
        </w:rPr>
      </w:pPr>
      <w:r w:rsidRPr="00CB3B1D">
        <w:rPr>
          <w:rFonts w:ascii="Times New Roman" w:hAnsi="Times New Roman" w:cs="Times New Roman"/>
          <w:sz w:val="24"/>
          <w:szCs w:val="24"/>
        </w:rPr>
        <w:t>1.</w:t>
      </w:r>
      <w:r w:rsidRPr="00CB3B1D">
        <w:rPr>
          <w:rFonts w:ascii="Times New Roman" w:hAnsi="Times New Roman" w:cs="Times New Roman"/>
          <w:b/>
          <w:bCs/>
          <w:sz w:val="24"/>
          <w:szCs w:val="24"/>
        </w:rPr>
        <w:tab/>
      </w:r>
      <w:r w:rsidRPr="006C0C8F" w:rsidR="00193D67">
        <w:rPr>
          <w:rFonts w:ascii="Times New Roman" w:hAnsi="Times New Roman" w:cs="Times New Roman"/>
          <w:sz w:val="24"/>
          <w:szCs w:val="24"/>
        </w:rPr>
        <w:t>Substantial rehabilitation of occupied properties pursuant to Section 220, 221(d)(4), and 231 and acquisition or refinancing of a property pursuant to Section 223(f) with repairs and alterations may result in permanent displacement or temporary relocation of tenants.  When tenants of housing are permanently displaced or temporarily relocated, owners and lenders must address relocation with a relocation plan.</w:t>
      </w:r>
    </w:p>
    <w:p w:rsidR="00947140" w:rsidP="005735C1" w:rsidRDefault="00D844CD" w14:paraId="439264C3" w14:textId="77777777">
      <w:pPr>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C0C8F" w:rsidR="00193D67">
        <w:rPr>
          <w:rFonts w:ascii="Times New Roman" w:hAnsi="Times New Roman" w:cs="Times New Roman"/>
          <w:sz w:val="24"/>
          <w:szCs w:val="24"/>
        </w:rPr>
        <w:t>Statutes, regulations, and guidebooks provide specific requirements and instructions for managing the permanent displacement and temporary relocation of tenants in projects receiving federal financial assistance as referenced in Chapter 3.1</w:t>
      </w:r>
      <w:r w:rsidR="00AA2213">
        <w:rPr>
          <w:rFonts w:ascii="Times New Roman" w:hAnsi="Times New Roman" w:cs="Times New Roman"/>
          <w:sz w:val="24"/>
          <w:szCs w:val="24"/>
        </w:rPr>
        <w:t>2</w:t>
      </w:r>
      <w:r w:rsidRPr="006C0C8F" w:rsidR="00193D67">
        <w:rPr>
          <w:rFonts w:ascii="Times New Roman" w:hAnsi="Times New Roman" w:cs="Times New Roman"/>
          <w:sz w:val="24"/>
          <w:szCs w:val="24"/>
        </w:rPr>
        <w:t>.</w:t>
      </w:r>
      <w:r w:rsidR="00083E67">
        <w:rPr>
          <w:rFonts w:ascii="Times New Roman" w:hAnsi="Times New Roman" w:cs="Times New Roman"/>
          <w:sz w:val="24"/>
          <w:szCs w:val="24"/>
        </w:rPr>
        <w:t>B</w:t>
      </w:r>
      <w:r w:rsidRPr="006C0C8F" w:rsidR="00193D67">
        <w:rPr>
          <w:rFonts w:ascii="Times New Roman" w:hAnsi="Times New Roman" w:cs="Times New Roman"/>
          <w:sz w:val="24"/>
          <w:szCs w:val="24"/>
        </w:rPr>
        <w:t xml:space="preserve"> below.  HUD mortgage insurance as well as Low Income Housing Tax Credits (LIHTCs) are not forms of federal financial assistance for purposes of the Uniform Relocation Assistance and Real Property Acquisition Act of 1970, as amended (42 U.S.C. 5601 et. seq.) (URA) and use of either or both of these two federal programs does not trigger the URA.</w:t>
      </w:r>
    </w:p>
    <w:p w:rsidR="0040372D" w:rsidP="005735C1" w:rsidRDefault="00A71377" w14:paraId="4BD0EE48" w14:textId="77777777">
      <w:pPr>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C0C8F" w:rsidR="00193D67">
        <w:rPr>
          <w:rFonts w:ascii="Times New Roman" w:hAnsi="Times New Roman" w:cs="Times New Roman"/>
          <w:sz w:val="24"/>
          <w:szCs w:val="24"/>
        </w:rPr>
        <w:t>Section 104(d) of the Housing and Community Development Act of 1974 applies only to properties with HOME or CDBG funding</w:t>
      </w:r>
      <w:r>
        <w:rPr>
          <w:rFonts w:ascii="Times New Roman" w:hAnsi="Times New Roman" w:cs="Times New Roman"/>
          <w:sz w:val="24"/>
          <w:szCs w:val="24"/>
        </w:rPr>
        <w:t xml:space="preserve"> and prescribes </w:t>
      </w:r>
      <w:r w:rsidR="000771C6">
        <w:rPr>
          <w:rFonts w:ascii="Times New Roman" w:hAnsi="Times New Roman" w:cs="Times New Roman"/>
          <w:sz w:val="24"/>
          <w:szCs w:val="24"/>
        </w:rPr>
        <w:t>requirements when</w:t>
      </w:r>
      <w:r w:rsidR="00884E8A">
        <w:rPr>
          <w:rFonts w:ascii="Times New Roman" w:hAnsi="Times New Roman" w:cs="Times New Roman"/>
          <w:sz w:val="24"/>
          <w:szCs w:val="24"/>
        </w:rPr>
        <w:t xml:space="preserve"> relocation is necessary at a property receiving assistance </w:t>
      </w:r>
      <w:r w:rsidR="0040372D">
        <w:rPr>
          <w:rFonts w:ascii="Times New Roman" w:hAnsi="Times New Roman" w:cs="Times New Roman"/>
          <w:sz w:val="24"/>
          <w:szCs w:val="24"/>
        </w:rPr>
        <w:t>from these sources.</w:t>
      </w:r>
    </w:p>
    <w:p w:rsidR="00272EC5" w:rsidP="005735C1" w:rsidRDefault="0040372D" w14:paraId="150172F0" w14:textId="77777777">
      <w:pPr>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However</w:t>
      </w:r>
      <w:r w:rsidRPr="006C0C8F" w:rsidR="00193D67">
        <w:rPr>
          <w:rFonts w:ascii="Times New Roman" w:hAnsi="Times New Roman" w:cs="Times New Roman"/>
          <w:sz w:val="24"/>
          <w:szCs w:val="24"/>
        </w:rPr>
        <w:t xml:space="preserve">, </w:t>
      </w:r>
      <w:r>
        <w:rPr>
          <w:rFonts w:ascii="Times New Roman" w:hAnsi="Times New Roman" w:cs="Times New Roman"/>
          <w:sz w:val="24"/>
          <w:szCs w:val="24"/>
        </w:rPr>
        <w:t xml:space="preserve">even </w:t>
      </w:r>
      <w:r w:rsidRPr="006C0C8F" w:rsidR="00193D67">
        <w:rPr>
          <w:rFonts w:ascii="Times New Roman" w:hAnsi="Times New Roman" w:cs="Times New Roman"/>
          <w:sz w:val="24"/>
          <w:szCs w:val="24"/>
        </w:rPr>
        <w:t>when neither of these statutes apply, mortgage insurance programs financing rehabilitation or renovation activities that displace residents require the preparation and implementation of a plan for temporary relocation consistent with Chapter 3.1</w:t>
      </w:r>
      <w:r w:rsidR="00AD4205">
        <w:rPr>
          <w:rFonts w:ascii="Times New Roman" w:hAnsi="Times New Roman" w:cs="Times New Roman"/>
          <w:sz w:val="24"/>
          <w:szCs w:val="24"/>
        </w:rPr>
        <w:t>2</w:t>
      </w:r>
      <w:r w:rsidRPr="006C0C8F" w:rsidR="00193D67">
        <w:rPr>
          <w:rFonts w:ascii="Times New Roman" w:hAnsi="Times New Roman" w:cs="Times New Roman"/>
          <w:sz w:val="24"/>
          <w:szCs w:val="24"/>
        </w:rPr>
        <w:t>.</w:t>
      </w:r>
      <w:r w:rsidR="004F70ED">
        <w:rPr>
          <w:rFonts w:ascii="Times New Roman" w:hAnsi="Times New Roman" w:cs="Times New Roman"/>
          <w:sz w:val="24"/>
          <w:szCs w:val="24"/>
        </w:rPr>
        <w:t>C</w:t>
      </w:r>
      <w:r w:rsidRPr="006C0C8F" w:rsidR="00193D67">
        <w:rPr>
          <w:rFonts w:ascii="Times New Roman" w:hAnsi="Times New Roman" w:cs="Times New Roman"/>
          <w:sz w:val="24"/>
          <w:szCs w:val="24"/>
        </w:rPr>
        <w:t xml:space="preserve"> below.</w:t>
      </w:r>
    </w:p>
    <w:p w:rsidR="00193D67" w:rsidP="002720A4" w:rsidRDefault="002720A4" w14:paraId="624B08F1" w14:textId="7FB8353F">
      <w:pPr>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6C0C8F" w:rsidR="00193D67">
        <w:rPr>
          <w:rFonts w:ascii="Times New Roman" w:hAnsi="Times New Roman" w:cs="Times New Roman"/>
          <w:sz w:val="24"/>
          <w:szCs w:val="24"/>
        </w:rPr>
        <w:t>When construction is proposed at an occupied property, lenders must assure that relocation needs are identified, and appropriate plans described and implemented consistent with either 3.1</w:t>
      </w:r>
      <w:r w:rsidR="004F70ED">
        <w:rPr>
          <w:rFonts w:ascii="Times New Roman" w:hAnsi="Times New Roman" w:cs="Times New Roman"/>
          <w:sz w:val="24"/>
          <w:szCs w:val="24"/>
        </w:rPr>
        <w:t>2.B</w:t>
      </w:r>
      <w:r w:rsidRPr="006C0C8F" w:rsidR="00193D67">
        <w:rPr>
          <w:rFonts w:ascii="Times New Roman" w:hAnsi="Times New Roman" w:cs="Times New Roman"/>
          <w:sz w:val="24"/>
          <w:szCs w:val="24"/>
        </w:rPr>
        <w:t>. or 3.1</w:t>
      </w:r>
      <w:r w:rsidR="00CD2AA6">
        <w:rPr>
          <w:rFonts w:ascii="Times New Roman" w:hAnsi="Times New Roman" w:cs="Times New Roman"/>
          <w:sz w:val="24"/>
          <w:szCs w:val="24"/>
        </w:rPr>
        <w:t>2</w:t>
      </w:r>
      <w:r w:rsidRPr="006C0C8F" w:rsidR="00193D67">
        <w:rPr>
          <w:rFonts w:ascii="Times New Roman" w:hAnsi="Times New Roman" w:cs="Times New Roman"/>
          <w:sz w:val="24"/>
          <w:szCs w:val="24"/>
        </w:rPr>
        <w:t>.</w:t>
      </w:r>
      <w:r w:rsidR="00CC1D91">
        <w:rPr>
          <w:rFonts w:ascii="Times New Roman" w:hAnsi="Times New Roman" w:cs="Times New Roman"/>
          <w:sz w:val="24"/>
          <w:szCs w:val="24"/>
        </w:rPr>
        <w:t>C</w:t>
      </w:r>
      <w:r w:rsidRPr="006C0C8F" w:rsidR="00193D67">
        <w:rPr>
          <w:rFonts w:ascii="Times New Roman" w:hAnsi="Times New Roman" w:cs="Times New Roman"/>
          <w:sz w:val="24"/>
          <w:szCs w:val="24"/>
        </w:rPr>
        <w:t xml:space="preserve">, as applicable and with Appendix 3E. </w:t>
      </w:r>
      <w:r w:rsidR="00193D67">
        <w:rPr>
          <w:rFonts w:ascii="Times New Roman" w:hAnsi="Times New Roman" w:cs="Times New Roman"/>
          <w:sz w:val="24"/>
          <w:szCs w:val="24"/>
        </w:rPr>
        <w:t>Notwithstanding whether an application concerns housing with federal financial assistance or using HOME or CDBG funds, relocation plans must address certain common concerns. These include the following:</w:t>
      </w:r>
    </w:p>
    <w:p w:rsidR="00193D67" w:rsidP="00193D67" w:rsidRDefault="00193D67" w14:paraId="73A2F112" w14:textId="77777777">
      <w:pPr>
        <w:spacing w:line="276" w:lineRule="auto"/>
        <w:ind w:left="360"/>
        <w:jc w:val="both"/>
        <w:rPr>
          <w:rFonts w:ascii="Times New Roman" w:hAnsi="Times New Roman" w:cs="Times New Roman"/>
          <w:sz w:val="24"/>
          <w:szCs w:val="24"/>
        </w:rPr>
      </w:pPr>
    </w:p>
    <w:p w:rsidR="00193D67" w:rsidP="009579ED" w:rsidRDefault="009579ED" w14:paraId="4D07327B" w14:textId="5C1D6283">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a</w:t>
      </w:r>
      <w:r w:rsidR="00193D67">
        <w:rPr>
          <w:rFonts w:ascii="Times New Roman" w:hAnsi="Times New Roman" w:cs="Times New Roman"/>
          <w:sz w:val="24"/>
          <w:szCs w:val="24"/>
        </w:rPr>
        <w:t>.</w:t>
      </w:r>
      <w:r w:rsidR="00193D67">
        <w:rPr>
          <w:rFonts w:ascii="Times New Roman" w:hAnsi="Times New Roman" w:cs="Times New Roman"/>
          <w:sz w:val="24"/>
          <w:szCs w:val="24"/>
        </w:rPr>
        <w:tab/>
        <w:t>Special expertise is required. A relocation consultant should be retained to assist in preparing a relocation plan, including preparation of appropriate notices or letters to tenants, identifying units and tenants who will be displaced and assessing specific needs of displaced tenants whose health, age or physical condition does not permit exposure to anticipated construction activity or temporary hazards arising from such activity (e.g. dust, chemicals, noise, obstructed access, etc.) even if the activity does not occur in the dwelling unit occupied by the tenant or tenants for whom special assistance may be necessary to manage activities of daily living outside their unit.</w:t>
      </w:r>
    </w:p>
    <w:p w:rsidR="00193D67" w:rsidP="009579ED" w:rsidRDefault="0034124D" w14:paraId="282864BD" w14:textId="4B235D49">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b</w:t>
      </w:r>
      <w:r w:rsidR="00193D67">
        <w:rPr>
          <w:rFonts w:ascii="Times New Roman" w:hAnsi="Times New Roman" w:cs="Times New Roman"/>
          <w:sz w:val="24"/>
          <w:szCs w:val="24"/>
        </w:rPr>
        <w:t>.</w:t>
      </w:r>
      <w:r w:rsidR="00193D67">
        <w:rPr>
          <w:rFonts w:ascii="Times New Roman" w:hAnsi="Times New Roman" w:cs="Times New Roman"/>
          <w:sz w:val="24"/>
          <w:szCs w:val="24"/>
        </w:rPr>
        <w:tab/>
        <w:t>The relocation plan must detail the schedule of proposed repairs identifying specifically the buildings and units where construction activities will cause displacement including the names of occupants by unit number as well as the</w:t>
      </w:r>
      <w:r w:rsidR="000A6E26">
        <w:rPr>
          <w:rFonts w:ascii="Times New Roman" w:hAnsi="Times New Roman" w:cs="Times New Roman"/>
          <w:sz w:val="24"/>
          <w:szCs w:val="24"/>
        </w:rPr>
        <w:t xml:space="preserve"> expected</w:t>
      </w:r>
      <w:r w:rsidR="00193D67">
        <w:rPr>
          <w:rFonts w:ascii="Times New Roman" w:hAnsi="Times New Roman" w:cs="Times New Roman"/>
          <w:sz w:val="24"/>
          <w:szCs w:val="24"/>
        </w:rPr>
        <w:t xml:space="preserve"> date displacement will occur and its likely duration. </w:t>
      </w:r>
    </w:p>
    <w:p w:rsidR="00193D67" w:rsidP="0034124D" w:rsidRDefault="0034124D" w14:paraId="30AD6826" w14:textId="6C9B38FC">
      <w:pPr>
        <w:tabs>
          <w:tab w:val="left" w:pos="1440"/>
        </w:tabs>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c</w:t>
      </w:r>
      <w:r w:rsidR="00193D67">
        <w:rPr>
          <w:rFonts w:ascii="Times New Roman" w:hAnsi="Times New Roman" w:cs="Times New Roman"/>
          <w:sz w:val="24"/>
          <w:szCs w:val="24"/>
        </w:rPr>
        <w:t>.</w:t>
      </w:r>
      <w:r w:rsidR="00193D67">
        <w:rPr>
          <w:rFonts w:ascii="Times New Roman" w:hAnsi="Times New Roman" w:cs="Times New Roman"/>
          <w:sz w:val="24"/>
          <w:szCs w:val="24"/>
        </w:rPr>
        <w:tab/>
        <w:t>Based on these expectations the relocation consultant should describe how tenant relocation will be implemented including addressing unique or special needs of tenants and estimate the costs of relocation associated with each household displaced, and aggregating such costs by month consistent with a monthly draw schedule for relocation costs during construction.</w:t>
      </w:r>
    </w:p>
    <w:p w:rsidR="00193D67" w:rsidP="0034124D" w:rsidRDefault="0034124D" w14:paraId="07814A35" w14:textId="4B119124">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d</w:t>
      </w:r>
      <w:r w:rsidR="00193D67">
        <w:rPr>
          <w:rFonts w:ascii="Times New Roman" w:hAnsi="Times New Roman" w:cs="Times New Roman"/>
          <w:sz w:val="24"/>
          <w:szCs w:val="24"/>
        </w:rPr>
        <w:t>.</w:t>
      </w:r>
      <w:r w:rsidR="00193D67">
        <w:rPr>
          <w:rFonts w:ascii="Times New Roman" w:hAnsi="Times New Roman" w:cs="Times New Roman"/>
          <w:sz w:val="24"/>
          <w:szCs w:val="24"/>
        </w:rPr>
        <w:tab/>
        <w:t>The relocation plan should describe the tenant relocation expenses that will be paid and or the services or facilities that the owner will provide and the means, method and timeline for such payments or provision of services or facilities.</w:t>
      </w:r>
    </w:p>
    <w:p w:rsidR="00193D67" w:rsidP="0034124D" w:rsidRDefault="0034124D" w14:paraId="060882EA" w14:textId="57CA2E32">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e</w:t>
      </w:r>
      <w:r w:rsidR="00193D67">
        <w:rPr>
          <w:rFonts w:ascii="Times New Roman" w:hAnsi="Times New Roman" w:cs="Times New Roman"/>
          <w:sz w:val="24"/>
          <w:szCs w:val="24"/>
        </w:rPr>
        <w:t>.</w:t>
      </w:r>
      <w:r w:rsidR="00193D67">
        <w:rPr>
          <w:rFonts w:ascii="Times New Roman" w:hAnsi="Times New Roman" w:cs="Times New Roman"/>
          <w:sz w:val="24"/>
          <w:szCs w:val="24"/>
        </w:rPr>
        <w:tab/>
        <w:t xml:space="preserve">The relocation plan should provide the text and timing of notices or letters that will be provided to tenants and the frequency and method for visiting with and/or informing tenants of the expected cause and timing of displacement, the expenses that will be paid and the services that will be provided, the methods for affected tenants to respond and who tenants may contact to address questions or problems. </w:t>
      </w:r>
    </w:p>
    <w:p w:rsidR="00193D67" w:rsidP="0034124D" w:rsidRDefault="0034124D" w14:paraId="0F92EC34" w14:textId="7EE7EE6E">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f</w:t>
      </w:r>
      <w:r w:rsidR="00193D67">
        <w:rPr>
          <w:rFonts w:ascii="Times New Roman" w:hAnsi="Times New Roman" w:cs="Times New Roman"/>
          <w:sz w:val="24"/>
          <w:szCs w:val="24"/>
        </w:rPr>
        <w:t>.</w:t>
      </w:r>
      <w:r w:rsidR="00193D67">
        <w:rPr>
          <w:rFonts w:ascii="Times New Roman" w:hAnsi="Times New Roman" w:cs="Times New Roman"/>
          <w:sz w:val="24"/>
          <w:szCs w:val="24"/>
        </w:rPr>
        <w:tab/>
        <w:t>The relocation plan must identify whether there is any federal financial assistance involved in the project</w:t>
      </w:r>
      <w:r w:rsidR="00777AA0">
        <w:rPr>
          <w:rFonts w:ascii="Times New Roman" w:hAnsi="Times New Roman" w:cs="Times New Roman"/>
          <w:sz w:val="24"/>
          <w:szCs w:val="24"/>
        </w:rPr>
        <w:t>.  If yes</w:t>
      </w:r>
      <w:r w:rsidR="00193D67">
        <w:rPr>
          <w:rFonts w:ascii="Times New Roman" w:hAnsi="Times New Roman" w:cs="Times New Roman"/>
          <w:sz w:val="24"/>
          <w:szCs w:val="24"/>
        </w:rPr>
        <w:t xml:space="preserve">, </w:t>
      </w:r>
      <w:r w:rsidR="00681D50">
        <w:rPr>
          <w:rFonts w:ascii="Times New Roman" w:hAnsi="Times New Roman" w:cs="Times New Roman"/>
          <w:sz w:val="24"/>
          <w:szCs w:val="24"/>
        </w:rPr>
        <w:t xml:space="preserve">then Chapter 3.12.B applies and either or both </w:t>
      </w:r>
      <w:r w:rsidR="00193D67">
        <w:rPr>
          <w:rFonts w:ascii="Times New Roman" w:hAnsi="Times New Roman" w:cs="Times New Roman"/>
          <w:sz w:val="24"/>
          <w:szCs w:val="24"/>
        </w:rPr>
        <w:t xml:space="preserve">the URA or Section 104(d) </w:t>
      </w:r>
      <w:r w:rsidRPr="00010ADA" w:rsidR="00193D67">
        <w:rPr>
          <w:rFonts w:ascii="Times New Roman" w:hAnsi="Times New Roman" w:cs="Times New Roman"/>
          <w:sz w:val="24"/>
          <w:szCs w:val="24"/>
        </w:rPr>
        <w:t>of the Housing and Community Development Act of 1974</w:t>
      </w:r>
      <w:r w:rsidR="00193D67">
        <w:rPr>
          <w:rFonts w:ascii="Times New Roman" w:hAnsi="Times New Roman" w:cs="Times New Roman"/>
          <w:sz w:val="24"/>
          <w:szCs w:val="24"/>
        </w:rPr>
        <w:t xml:space="preserve"> (42 U.S.C Section 5304(d)) (Section 104(d)) </w:t>
      </w:r>
      <w:r w:rsidR="0005688A">
        <w:rPr>
          <w:rFonts w:ascii="Times New Roman" w:hAnsi="Times New Roman" w:cs="Times New Roman"/>
          <w:sz w:val="24"/>
          <w:szCs w:val="24"/>
        </w:rPr>
        <w:t xml:space="preserve">also </w:t>
      </w:r>
      <w:r w:rsidR="00193D67">
        <w:rPr>
          <w:rFonts w:ascii="Times New Roman" w:hAnsi="Times New Roman" w:cs="Times New Roman"/>
          <w:sz w:val="24"/>
          <w:szCs w:val="24"/>
        </w:rPr>
        <w:t>appl</w:t>
      </w:r>
      <w:r w:rsidR="0005688A">
        <w:rPr>
          <w:rFonts w:ascii="Times New Roman" w:hAnsi="Times New Roman" w:cs="Times New Roman"/>
          <w:sz w:val="24"/>
          <w:szCs w:val="24"/>
        </w:rPr>
        <w:t>y</w:t>
      </w:r>
      <w:r w:rsidR="005A6FBD">
        <w:rPr>
          <w:rFonts w:ascii="Times New Roman" w:hAnsi="Times New Roman" w:cs="Times New Roman"/>
          <w:sz w:val="24"/>
          <w:szCs w:val="24"/>
        </w:rPr>
        <w:t>.  The relocation plan mu</w:t>
      </w:r>
      <w:r w:rsidR="00B9508F">
        <w:rPr>
          <w:rFonts w:ascii="Times New Roman" w:hAnsi="Times New Roman" w:cs="Times New Roman"/>
          <w:sz w:val="24"/>
          <w:szCs w:val="24"/>
        </w:rPr>
        <w:t>s</w:t>
      </w:r>
      <w:r w:rsidR="005A6FBD">
        <w:rPr>
          <w:rFonts w:ascii="Times New Roman" w:hAnsi="Times New Roman" w:cs="Times New Roman"/>
          <w:sz w:val="24"/>
          <w:szCs w:val="24"/>
        </w:rPr>
        <w:t xml:space="preserve">t adhere to </w:t>
      </w:r>
      <w:r w:rsidR="008F4E63">
        <w:rPr>
          <w:rFonts w:ascii="Times New Roman" w:hAnsi="Times New Roman" w:cs="Times New Roman"/>
          <w:sz w:val="24"/>
          <w:szCs w:val="24"/>
        </w:rPr>
        <w:t>these specific statutory and regulatory requirements</w:t>
      </w:r>
      <w:r w:rsidR="00B9508F">
        <w:rPr>
          <w:rFonts w:ascii="Times New Roman" w:hAnsi="Times New Roman" w:cs="Times New Roman"/>
          <w:sz w:val="24"/>
          <w:szCs w:val="24"/>
        </w:rPr>
        <w:t xml:space="preserve"> and clearly show how these requirements are met.</w:t>
      </w:r>
      <w:r w:rsidR="00193D67">
        <w:rPr>
          <w:rFonts w:ascii="Times New Roman" w:hAnsi="Times New Roman" w:cs="Times New Roman"/>
          <w:sz w:val="24"/>
          <w:szCs w:val="24"/>
        </w:rPr>
        <w:t xml:space="preserve"> </w:t>
      </w:r>
    </w:p>
    <w:p w:rsidR="00193D67" w:rsidP="00193D67" w:rsidRDefault="00193D67" w14:paraId="127C4C47" w14:textId="77777777">
      <w:pPr>
        <w:spacing w:line="276" w:lineRule="auto"/>
        <w:ind w:left="360"/>
        <w:jc w:val="both"/>
        <w:rPr>
          <w:rFonts w:ascii="Times New Roman" w:hAnsi="Times New Roman" w:cs="Times New Roman"/>
          <w:sz w:val="24"/>
          <w:szCs w:val="24"/>
        </w:rPr>
      </w:pPr>
    </w:p>
    <w:p w:rsidRPr="00F306C8" w:rsidR="00193D67" w:rsidP="00193D67" w:rsidRDefault="007F3A4D" w14:paraId="4586FAE9" w14:textId="6ABC263A">
      <w:pPr>
        <w:spacing w:line="276" w:lineRule="auto"/>
        <w:ind w:left="720" w:hanging="360"/>
        <w:jc w:val="both"/>
        <w:rPr>
          <w:rFonts w:ascii="Times New Roman" w:hAnsi="Times New Roman" w:cs="Times New Roman"/>
          <w:b/>
          <w:bCs/>
          <w:sz w:val="24"/>
          <w:szCs w:val="24"/>
        </w:rPr>
      </w:pPr>
      <w:r>
        <w:rPr>
          <w:rFonts w:ascii="Times New Roman" w:hAnsi="Times New Roman" w:cs="Times New Roman"/>
          <w:b/>
          <w:bCs/>
          <w:sz w:val="24"/>
          <w:szCs w:val="24"/>
        </w:rPr>
        <w:t>B</w:t>
      </w:r>
      <w:r w:rsidRPr="00F306C8" w:rsidR="00193D67">
        <w:rPr>
          <w:rFonts w:ascii="Times New Roman" w:hAnsi="Times New Roman" w:cs="Times New Roman"/>
          <w:b/>
          <w:bCs/>
          <w:sz w:val="24"/>
          <w:szCs w:val="24"/>
        </w:rPr>
        <w:t>.</w:t>
      </w:r>
      <w:r w:rsidRPr="00F306C8" w:rsidR="00193D67">
        <w:rPr>
          <w:rFonts w:ascii="Times New Roman" w:hAnsi="Times New Roman" w:cs="Times New Roman"/>
          <w:b/>
          <w:bCs/>
          <w:sz w:val="24"/>
          <w:szCs w:val="24"/>
        </w:rPr>
        <w:tab/>
      </w:r>
      <w:r w:rsidR="00B776E2">
        <w:rPr>
          <w:rFonts w:ascii="Times New Roman" w:hAnsi="Times New Roman" w:cs="Times New Roman"/>
          <w:b/>
          <w:bCs/>
          <w:sz w:val="24"/>
          <w:szCs w:val="24"/>
        </w:rPr>
        <w:t xml:space="preserve">Projects </w:t>
      </w:r>
      <w:r w:rsidR="00A34145">
        <w:rPr>
          <w:rFonts w:ascii="Times New Roman" w:hAnsi="Times New Roman" w:cs="Times New Roman"/>
          <w:b/>
          <w:bCs/>
          <w:sz w:val="24"/>
          <w:szCs w:val="24"/>
        </w:rPr>
        <w:t>with</w:t>
      </w:r>
      <w:r w:rsidR="00193D67">
        <w:rPr>
          <w:rFonts w:ascii="Times New Roman" w:hAnsi="Times New Roman" w:cs="Times New Roman"/>
          <w:b/>
          <w:bCs/>
          <w:sz w:val="24"/>
          <w:szCs w:val="24"/>
        </w:rPr>
        <w:t xml:space="preserve"> Federal Assistance</w:t>
      </w:r>
    </w:p>
    <w:p w:rsidR="00193D67" w:rsidP="00193D67" w:rsidRDefault="00193D67" w14:paraId="6654A28C" w14:textId="77777777">
      <w:pPr>
        <w:spacing w:line="276" w:lineRule="auto"/>
        <w:ind w:left="360" w:hanging="360"/>
        <w:jc w:val="both"/>
        <w:rPr>
          <w:rFonts w:ascii="Times New Roman" w:hAnsi="Times New Roman" w:cs="Times New Roman"/>
          <w:sz w:val="24"/>
          <w:szCs w:val="24"/>
        </w:rPr>
      </w:pPr>
    </w:p>
    <w:p w:rsidR="00193D67" w:rsidP="003E4C33" w:rsidRDefault="003D487D" w14:paraId="57ECAFE5" w14:textId="6ACC6FB4">
      <w:pPr>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93D67">
        <w:rPr>
          <w:rFonts w:ascii="Times New Roman" w:hAnsi="Times New Roman" w:cs="Times New Roman"/>
          <w:sz w:val="24"/>
          <w:szCs w:val="24"/>
        </w:rPr>
        <w:t xml:space="preserve">Where federal financial assistance is </w:t>
      </w:r>
      <w:r w:rsidRPr="000B6ECF" w:rsidR="00193D67">
        <w:rPr>
          <w:rFonts w:ascii="Times New Roman" w:hAnsi="Times New Roman" w:cs="Times New Roman"/>
          <w:sz w:val="24"/>
          <w:szCs w:val="24"/>
        </w:rPr>
        <w:t xml:space="preserve">received or anticipated in any phase of </w:t>
      </w:r>
      <w:r w:rsidR="00193D67">
        <w:rPr>
          <w:rFonts w:ascii="Times New Roman" w:hAnsi="Times New Roman" w:cs="Times New Roman"/>
          <w:sz w:val="24"/>
          <w:szCs w:val="24"/>
        </w:rPr>
        <w:t xml:space="preserve">acquisition, demolition, or rehabilitation of a property, the permanent displacement or temporary relocation of tenants must comply with the URA.  Likewise, if HOME or CDBG funds are used in any phase of the demolition or conversion of a lower-income dwelling unit, as defined in 24 CFR part 42, then Section 104(d) shall apply.  Minimum requirements and instructions for managing displacement, giving notice to owners and/or tenants of properties acquired with Federal financial assistance, and providing relocation compensation or assistance are described in regulations at 49 CFR part 24, and in HUD Community Planning and Development Handbook 1378 which may be found at: </w:t>
      </w:r>
    </w:p>
    <w:p w:rsidRPr="00BB3FB5" w:rsidR="003D487D" w:rsidP="003E4C33" w:rsidRDefault="003D487D" w14:paraId="3FE643FA" w14:textId="77777777">
      <w:pPr>
        <w:spacing w:line="276" w:lineRule="auto"/>
        <w:ind w:left="1080" w:hanging="360"/>
        <w:jc w:val="both"/>
      </w:pPr>
    </w:p>
    <w:p w:rsidR="00193D67" w:rsidP="003D487D" w:rsidRDefault="003D5AC7" w14:paraId="2E24D8A2" w14:textId="77777777">
      <w:pPr>
        <w:spacing w:line="276" w:lineRule="auto"/>
        <w:ind w:left="1080"/>
      </w:pPr>
      <w:hyperlink w:history="1" r:id="rId18">
        <w:r w:rsidRPr="002A3CBF" w:rsidR="00193D67">
          <w:rPr>
            <w:color w:val="0000FF"/>
            <w:u w:val="single"/>
          </w:rPr>
          <w:t>https://www.hud.gov/program_offices/administration/hudclips/handbooks/cpd/13780</w:t>
        </w:r>
      </w:hyperlink>
      <w:r w:rsidR="00193D67">
        <w:t>.</w:t>
      </w:r>
    </w:p>
    <w:p w:rsidR="00193D67" w:rsidP="00193D67" w:rsidRDefault="00193D67" w14:paraId="56977CAB" w14:textId="77777777">
      <w:pPr>
        <w:spacing w:line="276" w:lineRule="auto"/>
        <w:ind w:left="360"/>
      </w:pPr>
    </w:p>
    <w:p w:rsidR="00277B87" w:rsidP="003D487D" w:rsidRDefault="003D487D" w14:paraId="26E6E455" w14:textId="77777777">
      <w:pPr>
        <w:spacing w:line="276" w:lineRule="auto"/>
        <w:ind w:left="108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93D67">
        <w:rPr>
          <w:rFonts w:ascii="Times New Roman" w:hAnsi="Times New Roman" w:cs="Times New Roman"/>
          <w:sz w:val="24"/>
          <w:szCs w:val="24"/>
        </w:rPr>
        <w:t xml:space="preserve">The URA establishes the minimum Federal requirements for the acquisition of real property for Federally funded programs and projects, and for the temporary relocation or permanent displacement of persons who must move from a property as a direct result of acquisition, rehabilitation, or demolition for a Federally funded program or project.  Insured mortgage applications that contemplate or rely on federal financial assistance such as Section 8 Housing Assistance Payments (HAP)  may trigger the applicability of the URA, and if HOME or CDBG funds have been or will be invested in the property, the applicability of both the URA and Section 104(d).  HUD’s Office of Community Planning and Development (CPD) has overall responsibility for HUD compliance with the referenced statutes.  Assistance in these cases may be obtained from CPD’s Regional Relocation Specialists (RRS).  A list of these specialist is available in the “Contacts” section of HUD’s Acquisition and Relocation web-site at </w:t>
      </w:r>
    </w:p>
    <w:p w:rsidR="00277B87" w:rsidP="00277B87" w:rsidRDefault="00277B87" w14:paraId="17C73053" w14:textId="77777777">
      <w:pPr>
        <w:spacing w:line="276" w:lineRule="auto"/>
        <w:ind w:left="1080"/>
      </w:pPr>
    </w:p>
    <w:p w:rsidR="00193D67" w:rsidP="00277B87" w:rsidRDefault="003D5AC7" w14:paraId="0C968058" w14:textId="7696F1CD">
      <w:pPr>
        <w:spacing w:line="276" w:lineRule="auto"/>
        <w:ind w:left="1080"/>
        <w:rPr>
          <w:rFonts w:ascii="Times New Roman" w:hAnsi="Times New Roman" w:cs="Times New Roman"/>
          <w:sz w:val="24"/>
          <w:szCs w:val="24"/>
        </w:rPr>
      </w:pPr>
      <w:hyperlink w:history="1" r:id="rId19">
        <w:r w:rsidRPr="00C01511" w:rsidR="00277B87">
          <w:rPr>
            <w:rStyle w:val="Hyperlink"/>
          </w:rPr>
          <w:t>https://www.hudexchange.info/programs/relocation/contacts/</w:t>
        </w:r>
      </w:hyperlink>
    </w:p>
    <w:p w:rsidR="00277B87" w:rsidP="00277B87" w:rsidRDefault="00193D67" w14:paraId="2805D36F" w14:textId="77777777">
      <w:pPr>
        <w:spacing w:before="274" w:line="276" w:lineRule="exact"/>
        <w:ind w:left="1080" w:right="144"/>
        <w:textAlignment w:val="baseline"/>
        <w:rPr>
          <w:rFonts w:ascii="Times New Roman" w:hAnsi="Times New Roman" w:eastAsia="Times New Roman" w:cs="Times New Roman"/>
          <w:color w:val="000000"/>
          <w:sz w:val="24"/>
          <w:szCs w:val="24"/>
        </w:rPr>
      </w:pPr>
      <w:r w:rsidRPr="00C52AF5">
        <w:rPr>
          <w:rFonts w:ascii="Times New Roman" w:hAnsi="Times New Roman" w:eastAsia="Times New Roman" w:cs="Times New Roman"/>
          <w:color w:val="000000"/>
          <w:sz w:val="24"/>
          <w:szCs w:val="24"/>
        </w:rPr>
        <w:t xml:space="preserve">Additional information and guidance on URA and Section 104(d) matters is available on HUD’s Acquisition and Relocation website at: </w:t>
      </w:r>
    </w:p>
    <w:p w:rsidRPr="00C52AF5" w:rsidR="00193D67" w:rsidP="00277B87" w:rsidRDefault="003D5AC7" w14:paraId="04C669BE" w14:textId="45E24126">
      <w:pPr>
        <w:spacing w:before="274" w:line="276" w:lineRule="exact"/>
        <w:ind w:left="1080" w:right="144"/>
        <w:textAlignment w:val="baseline"/>
        <w:rPr>
          <w:rFonts w:ascii="Times New Roman" w:hAnsi="Times New Roman" w:eastAsia="Times New Roman" w:cs="Times New Roman"/>
          <w:color w:val="000000"/>
          <w:sz w:val="24"/>
          <w:szCs w:val="24"/>
        </w:rPr>
      </w:pPr>
      <w:hyperlink w:history="1" r:id="rId20">
        <w:r w:rsidRPr="00C01511" w:rsidR="00277B87">
          <w:rPr>
            <w:rStyle w:val="Hyperlink"/>
            <w:rFonts w:ascii="Times New Roman" w:hAnsi="Times New Roman" w:eastAsia="Times New Roman" w:cs="Times New Roman"/>
            <w:sz w:val="24"/>
            <w:szCs w:val="24"/>
          </w:rPr>
          <w:t>https://www.hudexchange.info/programs/relocation/</w:t>
        </w:r>
      </w:hyperlink>
    </w:p>
    <w:p w:rsidR="00193D67" w:rsidP="00277B87" w:rsidRDefault="005D5707" w14:paraId="4AD35339" w14:textId="6E752331">
      <w:pPr>
        <w:spacing w:before="274" w:line="276" w:lineRule="exact"/>
        <w:ind w:left="1080" w:right="144" w:hanging="360"/>
        <w:jc w:val="both"/>
        <w:textAlignment w:val="baseline"/>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93D67">
        <w:rPr>
          <w:rFonts w:ascii="Times New Roman" w:hAnsi="Times New Roman" w:cs="Times New Roman"/>
          <w:sz w:val="24"/>
          <w:szCs w:val="24"/>
        </w:rPr>
        <w:t xml:space="preserve">Most relocation of tenants caused by construction activities is temporary.  Appendix A to 49 CFR Part 24 provides guidance for temporary relocation and includes requirements that temporarily displaced tenants must be reimbursed reasonable out-of-pocket expenses incurred in connection with a temporary move. These expenses may include moving expenses and increased housing costs during the temporary relocation.  Relocation is considered temporary when the displacement activity is completed, and the tenant(s) reoccupy their original or a comparable unit at the same property within a one-year period.  </w:t>
      </w:r>
    </w:p>
    <w:p w:rsidR="00193D67" w:rsidP="00193D67" w:rsidRDefault="00193D67" w14:paraId="282C8A33" w14:textId="77777777">
      <w:pPr>
        <w:spacing w:line="276" w:lineRule="auto"/>
        <w:jc w:val="both"/>
        <w:rPr>
          <w:rFonts w:ascii="Times New Roman" w:hAnsi="Times New Roman" w:cs="Times New Roman"/>
          <w:sz w:val="24"/>
          <w:szCs w:val="24"/>
        </w:rPr>
      </w:pPr>
    </w:p>
    <w:p w:rsidRPr="00F21C16" w:rsidR="00193D67" w:rsidP="00193D67" w:rsidRDefault="00D83B5E" w14:paraId="4FBE8DDC" w14:textId="5C3BD3AC">
      <w:pPr>
        <w:spacing w:line="276" w:lineRule="auto"/>
        <w:ind w:left="720" w:hanging="360"/>
        <w:jc w:val="both"/>
        <w:rPr>
          <w:rFonts w:ascii="Times New Roman" w:hAnsi="Times New Roman" w:cs="Times New Roman"/>
          <w:b/>
          <w:bCs/>
          <w:sz w:val="24"/>
          <w:szCs w:val="24"/>
        </w:rPr>
      </w:pPr>
      <w:r>
        <w:rPr>
          <w:rFonts w:ascii="Times New Roman" w:hAnsi="Times New Roman" w:cs="Times New Roman"/>
          <w:b/>
          <w:bCs/>
          <w:sz w:val="24"/>
          <w:szCs w:val="24"/>
        </w:rPr>
        <w:t>C</w:t>
      </w:r>
      <w:r w:rsidR="00193D67">
        <w:rPr>
          <w:rFonts w:ascii="Times New Roman" w:hAnsi="Times New Roman" w:cs="Times New Roman"/>
          <w:b/>
          <w:bCs/>
          <w:sz w:val="24"/>
          <w:szCs w:val="24"/>
        </w:rPr>
        <w:t>.</w:t>
      </w:r>
      <w:r w:rsidRPr="00F21C16" w:rsidR="00193D67">
        <w:rPr>
          <w:rFonts w:ascii="Times New Roman" w:hAnsi="Times New Roman" w:cs="Times New Roman"/>
          <w:b/>
          <w:bCs/>
          <w:sz w:val="24"/>
          <w:szCs w:val="24"/>
        </w:rPr>
        <w:t xml:space="preserve">  </w:t>
      </w:r>
      <w:r>
        <w:rPr>
          <w:rFonts w:ascii="Times New Roman" w:hAnsi="Times New Roman" w:cs="Times New Roman"/>
          <w:b/>
          <w:bCs/>
          <w:sz w:val="24"/>
          <w:szCs w:val="24"/>
        </w:rPr>
        <w:t>P</w:t>
      </w:r>
      <w:r w:rsidRPr="00F21C16" w:rsidR="00193D67">
        <w:rPr>
          <w:rFonts w:ascii="Times New Roman" w:hAnsi="Times New Roman" w:cs="Times New Roman"/>
          <w:b/>
          <w:bCs/>
          <w:sz w:val="24"/>
          <w:szCs w:val="24"/>
        </w:rPr>
        <w:t>rojects</w:t>
      </w:r>
      <w:r w:rsidR="00AF2D9A">
        <w:rPr>
          <w:rFonts w:ascii="Times New Roman" w:hAnsi="Times New Roman" w:cs="Times New Roman"/>
          <w:b/>
          <w:bCs/>
          <w:sz w:val="24"/>
          <w:szCs w:val="24"/>
        </w:rPr>
        <w:t xml:space="preserve"> With</w:t>
      </w:r>
      <w:r w:rsidR="00193D67">
        <w:rPr>
          <w:rFonts w:ascii="Times New Roman" w:hAnsi="Times New Roman" w:cs="Times New Roman"/>
          <w:b/>
          <w:bCs/>
          <w:sz w:val="24"/>
          <w:szCs w:val="24"/>
        </w:rPr>
        <w:t xml:space="preserve"> No Federal Assistance</w:t>
      </w:r>
    </w:p>
    <w:p w:rsidR="00193D67" w:rsidP="00193D67" w:rsidRDefault="00193D67" w14:paraId="5C5507C3" w14:textId="77777777">
      <w:pPr>
        <w:spacing w:line="276" w:lineRule="auto"/>
        <w:ind w:left="360" w:hanging="360"/>
        <w:jc w:val="both"/>
        <w:rPr>
          <w:rFonts w:ascii="Times New Roman" w:hAnsi="Times New Roman" w:cs="Times New Roman"/>
          <w:sz w:val="24"/>
          <w:szCs w:val="24"/>
        </w:rPr>
      </w:pPr>
    </w:p>
    <w:p w:rsidR="00193D67" w:rsidP="007B28EF" w:rsidRDefault="00EC6E22" w14:paraId="4517B1AF" w14:textId="7965C6E2">
      <w:pPr>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93D67">
        <w:rPr>
          <w:rFonts w:ascii="Times New Roman" w:hAnsi="Times New Roman" w:cs="Times New Roman"/>
          <w:sz w:val="24"/>
          <w:szCs w:val="24"/>
        </w:rPr>
        <w:t>Displacement of tenants from properties that do not receive federal financial assistance and have no HOME or CDBG funding also requires planning and preparation to assure a) timely completion of construction; b) resident health and safety; and c) sustained project occupancy and income.</w:t>
      </w:r>
    </w:p>
    <w:p w:rsidR="00193D67" w:rsidP="00193D67" w:rsidRDefault="00193D67" w14:paraId="39086B5B" w14:textId="77777777">
      <w:pPr>
        <w:spacing w:line="276" w:lineRule="auto"/>
        <w:ind w:left="360" w:hanging="360"/>
        <w:jc w:val="both"/>
        <w:rPr>
          <w:rFonts w:ascii="Times New Roman" w:hAnsi="Times New Roman" w:cs="Times New Roman"/>
          <w:sz w:val="24"/>
          <w:szCs w:val="24"/>
        </w:rPr>
      </w:pPr>
    </w:p>
    <w:p w:rsidRPr="00976EA2" w:rsidR="00193D67" w:rsidP="00A007FB" w:rsidRDefault="00EC6E22" w14:paraId="130B414D" w14:textId="1A63C98A">
      <w:pPr>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2</w:t>
      </w:r>
      <w:r w:rsidR="00976EA2">
        <w:rPr>
          <w:rFonts w:ascii="Times New Roman" w:hAnsi="Times New Roman" w:cs="Times New Roman"/>
          <w:sz w:val="24"/>
          <w:szCs w:val="24"/>
        </w:rPr>
        <w:t>.</w:t>
      </w:r>
      <w:r w:rsidR="00976EA2">
        <w:rPr>
          <w:rFonts w:ascii="Times New Roman" w:hAnsi="Times New Roman" w:cs="Times New Roman"/>
          <w:sz w:val="24"/>
          <w:szCs w:val="24"/>
        </w:rPr>
        <w:tab/>
      </w:r>
      <w:r w:rsidRPr="00976EA2" w:rsidR="00193D67">
        <w:rPr>
          <w:rFonts w:ascii="Times New Roman" w:hAnsi="Times New Roman" w:cs="Times New Roman"/>
          <w:sz w:val="24"/>
          <w:szCs w:val="24"/>
        </w:rPr>
        <w:t>Displacement in existing and occupied properties occurs when construction activity prevents tenants from preparing two or more consecutive meals or sleeping in their units during their normal period of rest or otherwise prevents occupancy of their units for 8 consecutive hours. (Persons with special needs and/or frail elderly are considered displaced if they are obligated to vacate their units for any period of time.)  Owners must offer displaced tenants temporary relocation assistance.  In general, temporary relocation will be required when the scope of work:</w:t>
      </w:r>
    </w:p>
    <w:p w:rsidRPr="00F57DAD" w:rsidR="00193D67" w:rsidP="00193D67" w:rsidRDefault="00193D67" w14:paraId="31D4E623" w14:textId="77777777">
      <w:pPr>
        <w:spacing w:line="276" w:lineRule="auto"/>
        <w:jc w:val="both"/>
        <w:rPr>
          <w:rFonts w:ascii="Times New Roman" w:hAnsi="Times New Roman" w:cs="Times New Roman"/>
          <w:sz w:val="24"/>
          <w:szCs w:val="24"/>
        </w:rPr>
      </w:pPr>
    </w:p>
    <w:p w:rsidRPr="003B1893" w:rsidR="00193D67" w:rsidP="003B1893" w:rsidRDefault="003B1893" w14:paraId="4F8DAB46" w14:textId="25911E2A">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3B1893" w:rsidR="00193D67">
        <w:rPr>
          <w:rFonts w:ascii="Times New Roman" w:hAnsi="Times New Roman" w:cs="Times New Roman"/>
          <w:sz w:val="24"/>
          <w:szCs w:val="24"/>
        </w:rPr>
        <w:t xml:space="preserve">Requires packing, moving or storing resident’s furniture or personal items in order to perform the work; </w:t>
      </w:r>
    </w:p>
    <w:p w:rsidRPr="00F57DAD" w:rsidR="00193D67" w:rsidP="003B1893" w:rsidRDefault="003B1893" w14:paraId="08F07F1D" w14:textId="2B62006A">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F57DAD" w:rsidR="00193D67">
        <w:rPr>
          <w:rFonts w:ascii="Times New Roman" w:hAnsi="Times New Roman" w:cs="Times New Roman"/>
          <w:sz w:val="24"/>
          <w:szCs w:val="24"/>
        </w:rPr>
        <w:t>Prevents full use of the kitchen or the bathroom(s) by the resident (e.g. replacing the kitchen cabinets and countertops, tub surrounds and plumbing fixtures, flooring replacement)</w:t>
      </w:r>
      <w:r w:rsidR="00193D67">
        <w:rPr>
          <w:rFonts w:ascii="Times New Roman" w:hAnsi="Times New Roman" w:cs="Times New Roman"/>
          <w:sz w:val="24"/>
          <w:szCs w:val="24"/>
        </w:rPr>
        <w:t>;</w:t>
      </w:r>
    </w:p>
    <w:p w:rsidRPr="00F57DAD" w:rsidR="00193D67" w:rsidP="00B3572F" w:rsidRDefault="00B3572F" w14:paraId="0D49377B" w14:textId="75E3E0DF">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F57DAD" w:rsidR="00193D67">
        <w:rPr>
          <w:rFonts w:ascii="Times New Roman" w:hAnsi="Times New Roman" w:cs="Times New Roman"/>
          <w:sz w:val="24"/>
          <w:szCs w:val="24"/>
        </w:rPr>
        <w:t xml:space="preserve">Creates odors, dust, debris, noise or other hazard that negatively impacts the sanitary condition of the unit or health and safety of the resident; </w:t>
      </w:r>
    </w:p>
    <w:p w:rsidRPr="00F57DAD" w:rsidR="00193D67" w:rsidP="00B3572F" w:rsidRDefault="00B3572F" w14:paraId="4CE22926" w14:textId="644A3BE2">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F57DAD" w:rsidR="00193D67">
        <w:rPr>
          <w:rFonts w:ascii="Times New Roman" w:hAnsi="Times New Roman" w:cs="Times New Roman"/>
          <w:sz w:val="24"/>
          <w:szCs w:val="24"/>
        </w:rPr>
        <w:t>Involves shutting down the HVAC equipment</w:t>
      </w:r>
      <w:r w:rsidR="00193D67">
        <w:rPr>
          <w:rFonts w:ascii="Times New Roman" w:hAnsi="Times New Roman" w:cs="Times New Roman"/>
          <w:sz w:val="24"/>
          <w:szCs w:val="24"/>
        </w:rPr>
        <w:t xml:space="preserve"> that prevents maintaining the interior temperature of the unit between</w:t>
      </w:r>
      <w:r w:rsidRPr="00F57DAD" w:rsidR="00193D67">
        <w:rPr>
          <w:rFonts w:ascii="Times New Roman" w:hAnsi="Times New Roman" w:cs="Times New Roman"/>
          <w:sz w:val="24"/>
          <w:szCs w:val="24"/>
        </w:rPr>
        <w:t xml:space="preserve"> </w:t>
      </w:r>
      <w:r w:rsidR="00193D67">
        <w:rPr>
          <w:rFonts w:ascii="Times New Roman" w:hAnsi="Times New Roman" w:cs="Times New Roman"/>
          <w:sz w:val="24"/>
          <w:szCs w:val="24"/>
        </w:rPr>
        <w:t xml:space="preserve">a range of </w:t>
      </w:r>
      <w:r w:rsidRPr="00F57DAD" w:rsidR="00193D67">
        <w:rPr>
          <w:rFonts w:ascii="Times New Roman" w:hAnsi="Times New Roman" w:cs="Times New Roman"/>
          <w:sz w:val="24"/>
          <w:szCs w:val="24"/>
        </w:rPr>
        <w:t>65 - 7</w:t>
      </w:r>
      <w:r w:rsidR="00193D67">
        <w:rPr>
          <w:rFonts w:ascii="Times New Roman" w:hAnsi="Times New Roman" w:cs="Times New Roman"/>
          <w:sz w:val="24"/>
          <w:szCs w:val="24"/>
        </w:rPr>
        <w:t>5</w:t>
      </w:r>
      <w:r w:rsidRPr="00F57DAD" w:rsidR="00193D67">
        <w:rPr>
          <w:rFonts w:ascii="Times New Roman" w:hAnsi="Times New Roman" w:cs="Times New Roman"/>
          <w:sz w:val="24"/>
          <w:szCs w:val="24"/>
        </w:rPr>
        <w:t xml:space="preserve"> degrees Fahrenheit</w:t>
      </w:r>
      <w:r w:rsidR="00193D67">
        <w:rPr>
          <w:rFonts w:ascii="Times New Roman" w:hAnsi="Times New Roman" w:cs="Times New Roman"/>
          <w:sz w:val="24"/>
          <w:szCs w:val="24"/>
        </w:rPr>
        <w:t xml:space="preserve"> for more than a period of 2 hours; </w:t>
      </w:r>
      <w:r w:rsidRPr="00F57DAD" w:rsidR="00193D67">
        <w:rPr>
          <w:rFonts w:ascii="Times New Roman" w:hAnsi="Times New Roman" w:cs="Times New Roman"/>
          <w:sz w:val="24"/>
          <w:szCs w:val="24"/>
        </w:rPr>
        <w:t xml:space="preserve"> </w:t>
      </w:r>
    </w:p>
    <w:p w:rsidRPr="00F57DAD" w:rsidR="00193D67" w:rsidP="00B437DE" w:rsidRDefault="00B437DE" w14:paraId="1B516AE0" w14:textId="211A7AD4">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F57DAD" w:rsidR="00193D67">
        <w:rPr>
          <w:rFonts w:ascii="Times New Roman" w:hAnsi="Times New Roman" w:cs="Times New Roman"/>
          <w:sz w:val="24"/>
          <w:szCs w:val="24"/>
        </w:rPr>
        <w:t xml:space="preserve">Disrupts the electrical service to the unit for more than a short-term of 2 hours or less; </w:t>
      </w:r>
    </w:p>
    <w:p w:rsidR="00193D67" w:rsidP="00B437DE" w:rsidRDefault="00B437DE" w14:paraId="1D7DE593" w14:textId="5115A48E">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F57DAD" w:rsidR="00193D67">
        <w:rPr>
          <w:rFonts w:ascii="Times New Roman" w:hAnsi="Times New Roman" w:cs="Times New Roman"/>
          <w:sz w:val="24"/>
          <w:szCs w:val="24"/>
        </w:rPr>
        <w:t xml:space="preserve">Prevents safe ingress and egress without proper alternative routes at any point during </w:t>
      </w:r>
      <w:r w:rsidR="00193D67">
        <w:rPr>
          <w:rFonts w:ascii="Times New Roman" w:hAnsi="Times New Roman" w:cs="Times New Roman"/>
          <w:sz w:val="24"/>
          <w:szCs w:val="24"/>
        </w:rPr>
        <w:t xml:space="preserve">    </w:t>
      </w:r>
      <w:r w:rsidRPr="00F57DAD" w:rsidR="00193D67">
        <w:rPr>
          <w:rFonts w:ascii="Times New Roman" w:hAnsi="Times New Roman" w:cs="Times New Roman"/>
          <w:sz w:val="24"/>
          <w:szCs w:val="24"/>
        </w:rPr>
        <w:t>construction</w:t>
      </w:r>
      <w:r w:rsidR="00193D67">
        <w:rPr>
          <w:rFonts w:ascii="Times New Roman" w:hAnsi="Times New Roman" w:cs="Times New Roman"/>
          <w:sz w:val="24"/>
          <w:szCs w:val="24"/>
        </w:rPr>
        <w:t>;</w:t>
      </w:r>
    </w:p>
    <w:p w:rsidRPr="00F57DAD" w:rsidR="00193D67" w:rsidP="00B437DE" w:rsidRDefault="00B437DE" w14:paraId="01DCF5D9" w14:textId="74A2175E">
      <w:pPr>
        <w:spacing w:line="276" w:lineRule="auto"/>
        <w:ind w:left="1440" w:hanging="36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193D67">
        <w:rPr>
          <w:rFonts w:ascii="Times New Roman" w:hAnsi="Times New Roman" w:cs="Times New Roman"/>
          <w:sz w:val="24"/>
          <w:szCs w:val="24"/>
        </w:rPr>
        <w:t>Provided however, that if any of these disruptions are confined to periods of time when tenants customarily are or plan to be (and actually are) voluntarily absent from their units (e.g. at work, out of town, etc.) then the disruption is not a cause displacement.</w:t>
      </w:r>
    </w:p>
    <w:p w:rsidRPr="00086005" w:rsidR="00193D67" w:rsidP="00193D67" w:rsidRDefault="00193D67" w14:paraId="14D03736" w14:textId="77777777">
      <w:pPr>
        <w:spacing w:line="276" w:lineRule="auto"/>
        <w:jc w:val="both"/>
        <w:rPr>
          <w:rFonts w:ascii="Times New Roman" w:hAnsi="Times New Roman" w:cs="Times New Roman"/>
          <w:sz w:val="24"/>
          <w:szCs w:val="24"/>
        </w:rPr>
      </w:pPr>
    </w:p>
    <w:p w:rsidRPr="00562E43" w:rsidR="00193D67" w:rsidP="00562E43" w:rsidRDefault="00562E43" w14:paraId="12E2E0FF" w14:textId="5B9B6045">
      <w:pPr>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62E43" w:rsidR="00193D67">
        <w:rPr>
          <w:rFonts w:ascii="Times New Roman" w:hAnsi="Times New Roman" w:cs="Times New Roman"/>
          <w:sz w:val="24"/>
          <w:szCs w:val="24"/>
        </w:rPr>
        <w:t>Temporary resident relocation is not required for projects undergoing simple repairs and minor renovations [i.e. 223(a)(7)s and 223(f) applications with classification of construction work limited to repairs as described in   MAP Guide Chapter 5.1 and 5.2].</w:t>
      </w:r>
    </w:p>
    <w:p w:rsidRPr="007427AA" w:rsidR="00193D67" w:rsidP="00193D67" w:rsidRDefault="00193D67" w14:paraId="24DE60F8" w14:textId="77777777">
      <w:pPr>
        <w:pStyle w:val="ListParagraph"/>
        <w:spacing w:line="276" w:lineRule="auto"/>
        <w:jc w:val="both"/>
        <w:rPr>
          <w:rFonts w:ascii="Times New Roman" w:hAnsi="Times New Roman" w:cs="Times New Roman"/>
          <w:sz w:val="24"/>
          <w:szCs w:val="24"/>
        </w:rPr>
      </w:pPr>
    </w:p>
    <w:p w:rsidRPr="00A45EBD" w:rsidR="00193D67" w:rsidP="00AC30BE" w:rsidRDefault="00AC30BE" w14:paraId="023AC4C4" w14:textId="4A446A41">
      <w:pPr>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A45EBD" w:rsidR="00193D67">
        <w:rPr>
          <w:rFonts w:ascii="Times New Roman" w:hAnsi="Times New Roman" w:cs="Times New Roman"/>
          <w:sz w:val="24"/>
          <w:szCs w:val="24"/>
        </w:rPr>
        <w:t xml:space="preserve">When tenants are displaced and must find or prepare meals or lodging outside their units, the owner must provide reimbursement of costs. For this purpose, owners must pay any displaced tenant the Federal travel per-diem (meals or lodging as applicable) for the period or periods of displacement.  The meals per-diem shall be for each person in the tenant household.  The lodging per-diem shall be for lodging room or rooms with sleeping capacity consistent with the number of persons, marital status, and the gender and age of persons in the household without requirement of adding additional beds or equipment not regularly provided in the room(s) by the lodging vendor.  The per-diem rates shall be those established for the locality in which the property is located and shall be paid to tenants without requiring receipts or evidence of actual cost and notwithstanding whether tenants obtained food service or lodging from a commercial vendor. If tenants’ personal property must be packed and/or moved, owners must pay the actual costs of such services including insurance against loss of or damage to personal property.  Owners must identify displaced tenants who are elderly, disabled or special needs individuals and must provide additional services such as help locating or identifying alternative housing, transportation assistance, day care or similar services appropriate to their condition and apart from the per-diems for meals or lodging except to the extent that meals or lodging are included in day care or similar services.  Notwithstanding the forgoing, tenants are not required to accept owner-designated or recommended facilities. Without abridging any per-diem compensation due to them tenants may select lodging and meals at their discretion provided that such discretion is exercised in writing and in advance of the scheduled displacement date(s) by such notices and at such intervals as shall be described in the approved relocation plan and provided further that any tenant having exercised such discretion may not disrupt the relocation schedule by failing to vacate on the agreed date and for the agreed period. </w:t>
      </w:r>
    </w:p>
    <w:p w:rsidR="00193D67" w:rsidP="00193D67" w:rsidRDefault="00193D67" w14:paraId="239B4F4C" w14:textId="77777777">
      <w:pPr>
        <w:spacing w:line="276" w:lineRule="auto"/>
        <w:jc w:val="both"/>
        <w:rPr>
          <w:rFonts w:ascii="Times New Roman" w:hAnsi="Times New Roman" w:cs="Times New Roman"/>
          <w:sz w:val="24"/>
          <w:szCs w:val="24"/>
        </w:rPr>
      </w:pPr>
    </w:p>
    <w:p w:rsidRPr="007F4FD9" w:rsidR="00193D67" w:rsidP="00B528AA" w:rsidRDefault="007F4FD9" w14:paraId="183DE404" w14:textId="4411EC91">
      <w:pPr>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5.</w:t>
      </w:r>
      <w:r w:rsidR="00B528AA">
        <w:rPr>
          <w:rFonts w:ascii="Times New Roman" w:hAnsi="Times New Roman" w:cs="Times New Roman"/>
          <w:sz w:val="24"/>
          <w:szCs w:val="24"/>
        </w:rPr>
        <w:tab/>
      </w:r>
      <w:r w:rsidRPr="007F4FD9" w:rsidR="00193D67">
        <w:rPr>
          <w:rFonts w:ascii="Times New Roman" w:hAnsi="Times New Roman" w:cs="Times New Roman"/>
          <w:sz w:val="24"/>
          <w:szCs w:val="24"/>
        </w:rPr>
        <w:t xml:space="preserve">Applications requiring permanent displacement of elderly or disabled residents from a non-assisted property will not be accepted, provided that HUD will accept such applications if the owner proposes to meet the relocation requirements applicable to </w:t>
      </w:r>
      <w:r w:rsidR="00B528AA">
        <w:rPr>
          <w:rFonts w:ascii="Times New Roman" w:hAnsi="Times New Roman" w:cs="Times New Roman"/>
          <w:sz w:val="24"/>
          <w:szCs w:val="24"/>
        </w:rPr>
        <w:t>projects receiving Federal financial assistance</w:t>
      </w:r>
      <w:r w:rsidR="005D5D1D">
        <w:rPr>
          <w:rFonts w:ascii="Times New Roman" w:hAnsi="Times New Roman" w:cs="Times New Roman"/>
          <w:sz w:val="24"/>
          <w:szCs w:val="24"/>
        </w:rPr>
        <w:t xml:space="preserve"> as described in 3.12.B</w:t>
      </w:r>
      <w:r w:rsidRPr="007F4FD9" w:rsidR="00193D67">
        <w:rPr>
          <w:rFonts w:ascii="Times New Roman" w:hAnsi="Times New Roman" w:cs="Times New Roman"/>
          <w:sz w:val="24"/>
          <w:szCs w:val="24"/>
        </w:rPr>
        <w:t>.</w:t>
      </w:r>
    </w:p>
    <w:p w:rsidR="00193D67" w:rsidP="00193D67" w:rsidRDefault="00193D67" w14:paraId="196129EC" w14:textId="77777777">
      <w:pPr>
        <w:pStyle w:val="ListParagraph"/>
        <w:spacing w:line="276" w:lineRule="auto"/>
        <w:ind w:left="1080"/>
        <w:jc w:val="both"/>
        <w:rPr>
          <w:rFonts w:ascii="Times New Roman" w:hAnsi="Times New Roman" w:cs="Times New Roman"/>
          <w:sz w:val="24"/>
          <w:szCs w:val="24"/>
        </w:rPr>
      </w:pPr>
    </w:p>
    <w:p w:rsidRPr="00974264" w:rsidR="00193D67" w:rsidP="00974264" w:rsidRDefault="00974264" w14:paraId="3F920C9D" w14:textId="66CC8BEB">
      <w:pPr>
        <w:spacing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974264" w:rsidR="00193D67">
        <w:rPr>
          <w:rFonts w:ascii="Times New Roman" w:hAnsi="Times New Roman" w:cs="Times New Roman"/>
          <w:sz w:val="24"/>
          <w:szCs w:val="24"/>
        </w:rPr>
        <w:t xml:space="preserve">Owners are not obligated to provide assistance (i.e. permanent relocation assistance) to tenants choosing to permanently relocate from a property in lieu of remaining as residents with temporary relocation benefits.  </w:t>
      </w:r>
    </w:p>
    <w:p w:rsidR="00193D67" w:rsidP="00193D67" w:rsidRDefault="00193D67" w14:paraId="60FAC09E" w14:textId="77777777">
      <w:pPr>
        <w:spacing w:line="276" w:lineRule="auto"/>
        <w:jc w:val="both"/>
        <w:rPr>
          <w:rFonts w:ascii="Times New Roman" w:hAnsi="Times New Roman" w:cs="Times New Roman"/>
          <w:sz w:val="24"/>
          <w:szCs w:val="24"/>
        </w:rPr>
      </w:pPr>
    </w:p>
    <w:p w:rsidRPr="001E0A37" w:rsidR="00193D67" w:rsidP="00FF0E9A" w:rsidRDefault="001E0A37" w14:paraId="0EBC6895" w14:textId="31521B6C">
      <w:pPr>
        <w:spacing w:line="276"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b/>
          <w:bCs/>
          <w:sz w:val="24"/>
          <w:szCs w:val="24"/>
        </w:rPr>
        <w:tab/>
      </w:r>
      <w:r w:rsidRPr="001E0A37" w:rsidR="00193D67">
        <w:rPr>
          <w:rFonts w:ascii="Times New Roman" w:hAnsi="Times New Roman" w:cs="Times New Roman"/>
          <w:b/>
          <w:bCs/>
          <w:sz w:val="24"/>
          <w:szCs w:val="24"/>
        </w:rPr>
        <w:t>Relocation Costs on</w:t>
      </w:r>
      <w:r w:rsidR="000E4CE8">
        <w:rPr>
          <w:rFonts w:ascii="Times New Roman" w:hAnsi="Times New Roman" w:cs="Times New Roman"/>
          <w:b/>
          <w:bCs/>
          <w:sz w:val="24"/>
          <w:szCs w:val="24"/>
        </w:rPr>
        <w:t xml:space="preserve"> HUD</w:t>
      </w:r>
      <w:r w:rsidRPr="001E0A37" w:rsidR="00193D67">
        <w:rPr>
          <w:rFonts w:ascii="Times New Roman" w:hAnsi="Times New Roman" w:cs="Times New Roman"/>
          <w:b/>
          <w:bCs/>
          <w:sz w:val="24"/>
          <w:szCs w:val="24"/>
        </w:rPr>
        <w:t xml:space="preserve"> Forms</w:t>
      </w:r>
    </w:p>
    <w:p w:rsidR="00193D67" w:rsidP="00193D67" w:rsidRDefault="00193D67" w14:paraId="6D04E748" w14:textId="77777777">
      <w:pPr>
        <w:ind w:firstLine="720"/>
      </w:pPr>
    </w:p>
    <w:p w:rsidR="00B2345D" w:rsidP="00FF0E9A" w:rsidRDefault="00FF0E9A" w14:paraId="707D7381" w14:textId="4B8BD94E">
      <w:pPr>
        <w:ind w:left="108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F6163B" w:rsidR="00193D67">
        <w:rPr>
          <w:rFonts w:ascii="Times New Roman" w:hAnsi="Times New Roman" w:cs="Times New Roman"/>
          <w:sz w:val="24"/>
          <w:szCs w:val="24"/>
        </w:rPr>
        <w:t>Relocation costs are mortgageable costs</w:t>
      </w:r>
      <w:r w:rsidR="00193D67">
        <w:rPr>
          <w:rFonts w:ascii="Times New Roman" w:hAnsi="Times New Roman" w:cs="Times New Roman"/>
          <w:sz w:val="24"/>
          <w:szCs w:val="24"/>
        </w:rPr>
        <w:t xml:space="preserve"> but</w:t>
      </w:r>
      <w:r w:rsidRPr="00F6163B" w:rsidR="00193D67">
        <w:rPr>
          <w:rFonts w:ascii="Times New Roman" w:hAnsi="Times New Roman" w:cs="Times New Roman"/>
          <w:sz w:val="24"/>
          <w:szCs w:val="24"/>
        </w:rPr>
        <w:t xml:space="preserve"> are not construction costs and are not included in the estimated costs of improvements.  They are not included in any calculation of cost thresholds that define Substantial Rehabilitation or define levels of construction documentation required for Section 223(f) applications that propose repairs and alterations (See Chapter 5).</w:t>
      </w:r>
    </w:p>
    <w:p w:rsidR="007B0AD5" w:rsidP="00FF0E9A" w:rsidRDefault="007B0AD5" w14:paraId="4F1C6D09" w14:textId="108FDB19">
      <w:pPr>
        <w:ind w:left="1080" w:hanging="360"/>
        <w:rPr>
          <w:rFonts w:ascii="Times New Roman" w:hAnsi="Times New Roman" w:cs="Times New Roman"/>
          <w:sz w:val="24"/>
          <w:szCs w:val="24"/>
        </w:rPr>
      </w:pPr>
    </w:p>
    <w:p w:rsidR="007B0AD5" w:rsidP="00FF0E9A" w:rsidRDefault="00885E02" w14:paraId="79D505FA" w14:textId="22B2DDA4">
      <w:pPr>
        <w:ind w:left="108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F6163B">
        <w:rPr>
          <w:rFonts w:ascii="Times New Roman" w:hAnsi="Times New Roman" w:cs="Times New Roman"/>
          <w:sz w:val="24"/>
          <w:szCs w:val="24"/>
        </w:rPr>
        <w:t>The owner’s or the relocation consultant’s estimated cost of relocation should be reviewed by the lender consistent with this Chapter 3.1</w:t>
      </w:r>
      <w:r>
        <w:rPr>
          <w:rFonts w:ascii="Times New Roman" w:hAnsi="Times New Roman" w:cs="Times New Roman"/>
          <w:sz w:val="24"/>
          <w:szCs w:val="24"/>
        </w:rPr>
        <w:t>2</w:t>
      </w:r>
      <w:r w:rsidRPr="00F6163B">
        <w:rPr>
          <w:rFonts w:ascii="Times New Roman" w:hAnsi="Times New Roman" w:cs="Times New Roman"/>
          <w:sz w:val="24"/>
          <w:szCs w:val="24"/>
        </w:rPr>
        <w:t xml:space="preserve"> and Appendix 3E.1 and then reported on HUD insured mortgage application forms</w:t>
      </w:r>
      <w:r>
        <w:rPr>
          <w:rFonts w:ascii="Times New Roman" w:hAnsi="Times New Roman" w:cs="Times New Roman"/>
          <w:sz w:val="24"/>
          <w:szCs w:val="24"/>
        </w:rPr>
        <w:t>.</w:t>
      </w:r>
    </w:p>
    <w:p w:rsidR="005E40AB" w:rsidP="00FF0E9A" w:rsidRDefault="005E40AB" w14:paraId="44E048D1" w14:textId="77777777">
      <w:pPr>
        <w:ind w:left="1080" w:hanging="360"/>
        <w:rPr>
          <w:rFonts w:ascii="Times New Roman" w:hAnsi="Times New Roman" w:cs="Times New Roman"/>
          <w:sz w:val="24"/>
          <w:szCs w:val="24"/>
        </w:rPr>
      </w:pPr>
    </w:p>
    <w:p w:rsidR="00EF4563" w:rsidP="00FF0E9A" w:rsidRDefault="00885E02" w14:paraId="15FF8729" w14:textId="2FF2ACCB">
      <w:pPr>
        <w:ind w:left="1080" w:hanging="360"/>
        <w:rPr>
          <w:rFonts w:ascii="Times New Roman" w:hAnsi="Times New Roman" w:cs="Times New Roman"/>
          <w:sz w:val="24"/>
          <w:szCs w:val="24"/>
        </w:rPr>
      </w:pPr>
      <w:r>
        <w:rPr>
          <w:rFonts w:ascii="Times New Roman" w:hAnsi="Times New Roman" w:cs="Times New Roman"/>
          <w:sz w:val="24"/>
          <w:szCs w:val="24"/>
        </w:rPr>
        <w:t>3</w:t>
      </w:r>
      <w:r w:rsidR="005E40AB">
        <w:rPr>
          <w:rFonts w:ascii="Times New Roman" w:hAnsi="Times New Roman" w:cs="Times New Roman"/>
          <w:sz w:val="24"/>
          <w:szCs w:val="24"/>
        </w:rPr>
        <w:t>.</w:t>
      </w:r>
      <w:r w:rsidR="005E40AB">
        <w:rPr>
          <w:rFonts w:ascii="Times New Roman" w:hAnsi="Times New Roman" w:cs="Times New Roman"/>
          <w:sz w:val="24"/>
          <w:szCs w:val="24"/>
        </w:rPr>
        <w:tab/>
      </w:r>
      <w:r w:rsidRPr="00F6163B" w:rsidR="00193D67">
        <w:rPr>
          <w:rFonts w:ascii="Times New Roman" w:hAnsi="Times New Roman" w:cs="Times New Roman"/>
          <w:sz w:val="24"/>
          <w:szCs w:val="24"/>
        </w:rPr>
        <w:t>For substantial rehabilitation applications, relocation costs are included in the replacement cost buildup reported for Criteri</w:t>
      </w:r>
      <w:r w:rsidR="00193D67">
        <w:rPr>
          <w:rFonts w:ascii="Times New Roman" w:hAnsi="Times New Roman" w:cs="Times New Roman"/>
          <w:sz w:val="24"/>
          <w:szCs w:val="24"/>
        </w:rPr>
        <w:t>on</w:t>
      </w:r>
      <w:r w:rsidRPr="00F6163B" w:rsidR="00193D67">
        <w:rPr>
          <w:rFonts w:ascii="Times New Roman" w:hAnsi="Times New Roman" w:cs="Times New Roman"/>
          <w:sz w:val="24"/>
          <w:szCs w:val="24"/>
        </w:rPr>
        <w:t xml:space="preserve"> 3 of the HUD 2264A</w:t>
      </w:r>
      <w:r w:rsidR="00DC3758">
        <w:rPr>
          <w:rFonts w:ascii="Times New Roman" w:hAnsi="Times New Roman" w:cs="Times New Roman"/>
          <w:sz w:val="24"/>
          <w:szCs w:val="24"/>
        </w:rPr>
        <w:t xml:space="preserve"> </w:t>
      </w:r>
      <w:r w:rsidR="00AB1CB9">
        <w:rPr>
          <w:rFonts w:ascii="Times New Roman" w:hAnsi="Times New Roman" w:cs="Times New Roman"/>
          <w:sz w:val="24"/>
          <w:szCs w:val="24"/>
        </w:rPr>
        <w:t>by showing the total of relocation costs</w:t>
      </w:r>
      <w:r w:rsidR="00B45257">
        <w:rPr>
          <w:rFonts w:ascii="Times New Roman" w:hAnsi="Times New Roman" w:cs="Times New Roman"/>
          <w:sz w:val="24"/>
          <w:szCs w:val="24"/>
        </w:rPr>
        <w:t>, including any relocation consultant fees</w:t>
      </w:r>
      <w:r w:rsidR="00EA100B">
        <w:rPr>
          <w:rFonts w:ascii="Times New Roman" w:hAnsi="Times New Roman" w:cs="Times New Roman"/>
          <w:sz w:val="24"/>
          <w:szCs w:val="24"/>
        </w:rPr>
        <w:t xml:space="preserve"> on the HUD 92264 in Section G, line 69</w:t>
      </w:r>
      <w:r w:rsidR="00D820F6">
        <w:rPr>
          <w:rFonts w:ascii="Times New Roman" w:hAnsi="Times New Roman" w:cs="Times New Roman"/>
          <w:sz w:val="24"/>
          <w:szCs w:val="24"/>
        </w:rPr>
        <w:t>, “Consultant Fee (non-profit only)” relab</w:t>
      </w:r>
      <w:r w:rsidR="000C2CF8">
        <w:rPr>
          <w:rFonts w:ascii="Times New Roman" w:hAnsi="Times New Roman" w:cs="Times New Roman"/>
          <w:sz w:val="24"/>
          <w:szCs w:val="24"/>
        </w:rPr>
        <w:t xml:space="preserve">eled </w:t>
      </w:r>
      <w:r w:rsidR="00ED3BD1">
        <w:rPr>
          <w:rFonts w:ascii="Times New Roman" w:hAnsi="Times New Roman" w:cs="Times New Roman"/>
          <w:sz w:val="24"/>
          <w:szCs w:val="24"/>
        </w:rPr>
        <w:t>to indicate inclusion of relocation costs</w:t>
      </w:r>
      <w:r w:rsidR="00580CC4">
        <w:rPr>
          <w:rFonts w:ascii="Times New Roman" w:hAnsi="Times New Roman" w:cs="Times New Roman"/>
          <w:sz w:val="24"/>
          <w:szCs w:val="24"/>
        </w:rPr>
        <w:t xml:space="preserve"> (notwithstanding non-profit or for-profit status).</w:t>
      </w:r>
    </w:p>
    <w:p w:rsidR="00EF4563" w:rsidP="00FF0E9A" w:rsidRDefault="00EF4563" w14:paraId="6540A34C" w14:textId="77777777">
      <w:pPr>
        <w:ind w:left="1080" w:hanging="360"/>
        <w:rPr>
          <w:rFonts w:ascii="Times New Roman" w:hAnsi="Times New Roman" w:cs="Times New Roman"/>
          <w:sz w:val="24"/>
          <w:szCs w:val="24"/>
        </w:rPr>
      </w:pPr>
    </w:p>
    <w:p w:rsidRPr="00F6163B" w:rsidR="00193D67" w:rsidP="00FF0E9A" w:rsidRDefault="00AE25B0" w14:paraId="7029961C" w14:textId="70DE3C5F">
      <w:pPr>
        <w:ind w:left="1080" w:hanging="360"/>
        <w:rPr>
          <w:rFonts w:ascii="Times New Roman" w:hAnsi="Times New Roman" w:cs="Times New Roman"/>
          <w:sz w:val="24"/>
          <w:szCs w:val="24"/>
        </w:rPr>
      </w:pPr>
      <w:r>
        <w:rPr>
          <w:rFonts w:ascii="Times New Roman" w:hAnsi="Times New Roman" w:cs="Times New Roman"/>
          <w:sz w:val="24"/>
          <w:szCs w:val="24"/>
        </w:rPr>
        <w:t>4</w:t>
      </w:r>
      <w:r w:rsidR="001541C5">
        <w:rPr>
          <w:rFonts w:ascii="Times New Roman" w:hAnsi="Times New Roman" w:cs="Times New Roman"/>
          <w:sz w:val="24"/>
          <w:szCs w:val="24"/>
        </w:rPr>
        <w:t>.</w:t>
      </w:r>
      <w:r w:rsidR="001541C5">
        <w:rPr>
          <w:rFonts w:ascii="Times New Roman" w:hAnsi="Times New Roman" w:cs="Times New Roman"/>
          <w:sz w:val="24"/>
          <w:szCs w:val="24"/>
        </w:rPr>
        <w:tab/>
      </w:r>
      <w:r>
        <w:rPr>
          <w:rFonts w:ascii="Times New Roman" w:hAnsi="Times New Roman" w:cs="Times New Roman"/>
          <w:sz w:val="24"/>
          <w:szCs w:val="24"/>
        </w:rPr>
        <w:t xml:space="preserve">Relocation costs should be reported </w:t>
      </w:r>
      <w:proofErr w:type="spellStart"/>
      <w:r>
        <w:rPr>
          <w:rFonts w:ascii="Times New Roman" w:hAnsi="Times New Roman" w:cs="Times New Roman"/>
          <w:sz w:val="24"/>
          <w:szCs w:val="24"/>
        </w:rPr>
        <w:t>on</w:t>
      </w:r>
      <w:r w:rsidRPr="00F6163B">
        <w:rPr>
          <w:rFonts w:ascii="Times New Roman" w:hAnsi="Times New Roman" w:cs="Times New Roman"/>
          <w:sz w:val="24"/>
          <w:szCs w:val="24"/>
        </w:rPr>
        <w:t>n</w:t>
      </w:r>
      <w:proofErr w:type="spellEnd"/>
      <w:r w:rsidRPr="00F6163B">
        <w:rPr>
          <w:rFonts w:ascii="Times New Roman" w:hAnsi="Times New Roman" w:cs="Times New Roman"/>
          <w:sz w:val="24"/>
          <w:szCs w:val="24"/>
        </w:rPr>
        <w:t xml:space="preserve"> the HUD 92013:  Section G, Line 43 Relocation Expenses or if in 223(f) transactions Section G is not used, then </w:t>
      </w:r>
      <w:r>
        <w:rPr>
          <w:rFonts w:ascii="Times New Roman" w:hAnsi="Times New Roman" w:cs="Times New Roman"/>
          <w:sz w:val="24"/>
          <w:szCs w:val="24"/>
        </w:rPr>
        <w:t xml:space="preserve">the </w:t>
      </w:r>
      <w:r w:rsidRPr="00F6163B">
        <w:rPr>
          <w:rFonts w:ascii="Times New Roman" w:hAnsi="Times New Roman" w:cs="Times New Roman"/>
          <w:sz w:val="24"/>
          <w:szCs w:val="24"/>
        </w:rPr>
        <w:t xml:space="preserve">lender must identify Relocation Costs in </w:t>
      </w:r>
      <w:r>
        <w:rPr>
          <w:rFonts w:ascii="Times New Roman" w:hAnsi="Times New Roman" w:cs="Times New Roman"/>
          <w:sz w:val="24"/>
          <w:szCs w:val="24"/>
        </w:rPr>
        <w:t xml:space="preserve">the </w:t>
      </w:r>
      <w:r w:rsidRPr="00F6163B">
        <w:rPr>
          <w:rFonts w:ascii="Times New Roman" w:hAnsi="Times New Roman" w:cs="Times New Roman"/>
          <w:sz w:val="24"/>
          <w:szCs w:val="24"/>
        </w:rPr>
        <w:t>proposed Sources and Uses for the transaction</w:t>
      </w:r>
      <w:r>
        <w:rPr>
          <w:rFonts w:ascii="Times New Roman" w:hAnsi="Times New Roman" w:cs="Times New Roman"/>
          <w:sz w:val="24"/>
          <w:szCs w:val="24"/>
        </w:rPr>
        <w:t>.</w:t>
      </w:r>
    </w:p>
    <w:p w:rsidRPr="00F6163B" w:rsidR="00193D67" w:rsidP="00193D67" w:rsidRDefault="00193D67" w14:paraId="0670B22D" w14:textId="77777777">
      <w:pPr>
        <w:ind w:left="720"/>
        <w:rPr>
          <w:rFonts w:ascii="Times New Roman" w:hAnsi="Times New Roman" w:cs="Times New Roman"/>
          <w:sz w:val="24"/>
          <w:szCs w:val="24"/>
        </w:rPr>
      </w:pPr>
    </w:p>
    <w:p w:rsidRPr="00F6163B" w:rsidR="00193D67" w:rsidP="00525C86" w:rsidRDefault="00525C86" w14:paraId="26ACDB01" w14:textId="7DF2F3A0">
      <w:pPr>
        <w:ind w:left="1080" w:hanging="3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F6163B" w:rsidR="00193D67">
        <w:rPr>
          <w:rFonts w:ascii="Times New Roman" w:hAnsi="Times New Roman" w:cs="Times New Roman"/>
          <w:sz w:val="24"/>
          <w:szCs w:val="24"/>
        </w:rPr>
        <w:t xml:space="preserve">On the HUD 2264A for </w:t>
      </w:r>
      <w:r w:rsidR="005A3A7E">
        <w:rPr>
          <w:rFonts w:ascii="Times New Roman" w:hAnsi="Times New Roman" w:cs="Times New Roman"/>
          <w:sz w:val="24"/>
          <w:szCs w:val="24"/>
        </w:rPr>
        <w:t xml:space="preserve">other </w:t>
      </w:r>
      <w:r w:rsidR="00124DB1">
        <w:rPr>
          <w:rFonts w:ascii="Times New Roman" w:hAnsi="Times New Roman" w:cs="Times New Roman"/>
          <w:sz w:val="24"/>
          <w:szCs w:val="24"/>
        </w:rPr>
        <w:t xml:space="preserve">loan sizing </w:t>
      </w:r>
      <w:r w:rsidRPr="00F6163B" w:rsidR="00193D67">
        <w:rPr>
          <w:rFonts w:ascii="Times New Roman" w:hAnsi="Times New Roman" w:cs="Times New Roman"/>
          <w:sz w:val="24"/>
          <w:szCs w:val="24"/>
        </w:rPr>
        <w:t>Criteria as applicable to the Project:</w:t>
      </w:r>
    </w:p>
    <w:p w:rsidR="00193D67" w:rsidP="00CB3BCC" w:rsidRDefault="00CB3BCC" w14:paraId="505A883C" w14:textId="4784FF57">
      <w:pPr>
        <w:ind w:left="144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F6163B" w:rsidR="00193D67">
        <w:rPr>
          <w:rFonts w:ascii="Times New Roman" w:hAnsi="Times New Roman" w:cs="Times New Roman"/>
          <w:sz w:val="24"/>
          <w:szCs w:val="24"/>
        </w:rPr>
        <w:t>Criteri</w:t>
      </w:r>
      <w:r w:rsidR="00193D67">
        <w:rPr>
          <w:rFonts w:ascii="Times New Roman" w:hAnsi="Times New Roman" w:cs="Times New Roman"/>
          <w:sz w:val="24"/>
          <w:szCs w:val="24"/>
        </w:rPr>
        <w:t>on</w:t>
      </w:r>
      <w:r w:rsidRPr="00F6163B" w:rsidR="00193D67">
        <w:rPr>
          <w:rFonts w:ascii="Times New Roman" w:hAnsi="Times New Roman" w:cs="Times New Roman"/>
          <w:sz w:val="24"/>
          <w:szCs w:val="24"/>
        </w:rPr>
        <w:t xml:space="preserve"> 7, line c. Other Fees</w:t>
      </w:r>
    </w:p>
    <w:p w:rsidR="00193D67" w:rsidP="005A3A7E" w:rsidRDefault="005A3A7E" w14:paraId="3C293B97" w14:textId="7D202DC2">
      <w:pPr>
        <w:ind w:left="144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F6163B" w:rsidR="00193D67">
        <w:rPr>
          <w:rFonts w:ascii="Times New Roman" w:hAnsi="Times New Roman" w:cs="Times New Roman"/>
          <w:sz w:val="24"/>
          <w:szCs w:val="24"/>
        </w:rPr>
        <w:t>Criteri</w:t>
      </w:r>
      <w:r w:rsidR="00193D67">
        <w:rPr>
          <w:rFonts w:ascii="Times New Roman" w:hAnsi="Times New Roman" w:cs="Times New Roman"/>
          <w:sz w:val="24"/>
          <w:szCs w:val="24"/>
        </w:rPr>
        <w:t>on</w:t>
      </w:r>
      <w:r w:rsidRPr="00F6163B" w:rsidR="00193D67">
        <w:rPr>
          <w:rFonts w:ascii="Times New Roman" w:hAnsi="Times New Roman" w:cs="Times New Roman"/>
          <w:sz w:val="24"/>
          <w:szCs w:val="24"/>
        </w:rPr>
        <w:t xml:space="preserve"> 9, </w:t>
      </w:r>
      <w:proofErr w:type="spellStart"/>
      <w:r w:rsidRPr="00F6163B" w:rsidR="00193D67">
        <w:rPr>
          <w:rFonts w:ascii="Times New Roman" w:hAnsi="Times New Roman" w:cs="Times New Roman"/>
          <w:sz w:val="24"/>
          <w:szCs w:val="24"/>
        </w:rPr>
        <w:t>line d</w:t>
      </w:r>
      <w:proofErr w:type="spellEnd"/>
      <w:r w:rsidR="00193D67">
        <w:rPr>
          <w:rFonts w:ascii="Times New Roman" w:hAnsi="Times New Roman" w:cs="Times New Roman"/>
          <w:sz w:val="24"/>
          <w:szCs w:val="24"/>
        </w:rPr>
        <w:t>.</w:t>
      </w:r>
      <w:r w:rsidRPr="00F6163B" w:rsidR="00193D67">
        <w:rPr>
          <w:rFonts w:ascii="Times New Roman" w:hAnsi="Times New Roman" w:cs="Times New Roman"/>
          <w:sz w:val="24"/>
          <w:szCs w:val="24"/>
        </w:rPr>
        <w:t xml:space="preserve"> Expense of Relocating Occupants</w:t>
      </w:r>
    </w:p>
    <w:p w:rsidRPr="00F6163B" w:rsidR="00193D67" w:rsidP="005A3A7E" w:rsidRDefault="005A3A7E" w14:paraId="14DFE8E0" w14:textId="1C4A430B">
      <w:pPr>
        <w:ind w:left="144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F6163B" w:rsidR="00193D67">
        <w:rPr>
          <w:rFonts w:ascii="Times New Roman" w:hAnsi="Times New Roman" w:cs="Times New Roman"/>
          <w:sz w:val="24"/>
          <w:szCs w:val="24"/>
        </w:rPr>
        <w:t>Criteri</w:t>
      </w:r>
      <w:r w:rsidR="00193D67">
        <w:rPr>
          <w:rFonts w:ascii="Times New Roman" w:hAnsi="Times New Roman" w:cs="Times New Roman"/>
          <w:sz w:val="24"/>
          <w:szCs w:val="24"/>
        </w:rPr>
        <w:t>on</w:t>
      </w:r>
      <w:r w:rsidRPr="00F6163B" w:rsidR="00193D67">
        <w:rPr>
          <w:rFonts w:ascii="Times New Roman" w:hAnsi="Times New Roman" w:cs="Times New Roman"/>
          <w:sz w:val="24"/>
          <w:szCs w:val="24"/>
        </w:rPr>
        <w:t xml:space="preserve"> 10, line c</w:t>
      </w:r>
      <w:r w:rsidR="00193D67">
        <w:rPr>
          <w:rFonts w:ascii="Times New Roman" w:hAnsi="Times New Roman" w:cs="Times New Roman"/>
          <w:sz w:val="24"/>
          <w:szCs w:val="24"/>
        </w:rPr>
        <w:t>.</w:t>
      </w:r>
      <w:r w:rsidRPr="00F6163B" w:rsidR="00193D67">
        <w:rPr>
          <w:rFonts w:ascii="Times New Roman" w:hAnsi="Times New Roman" w:cs="Times New Roman"/>
          <w:sz w:val="24"/>
          <w:szCs w:val="24"/>
        </w:rPr>
        <w:t xml:space="preserve"> Other Fees</w:t>
      </w:r>
    </w:p>
    <w:p w:rsidRPr="001B3098" w:rsidR="00193D67" w:rsidP="00FF6427" w:rsidRDefault="00193D67" w14:paraId="71DEF93E" w14:textId="77777777">
      <w:pPr>
        <w:rPr>
          <w:b/>
          <w:bCs/>
          <w:sz w:val="28"/>
          <w:szCs w:val="28"/>
        </w:rPr>
      </w:pPr>
    </w:p>
    <w:sectPr w:rsidRPr="001B3098" w:rsidR="00193D67" w:rsidSect="000D41C0">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794B7" w14:textId="77777777" w:rsidR="003D5AC7" w:rsidRDefault="003D5AC7" w:rsidP="00A300F6">
      <w:r>
        <w:separator/>
      </w:r>
    </w:p>
  </w:endnote>
  <w:endnote w:type="continuationSeparator" w:id="0">
    <w:p w14:paraId="4B050B2B" w14:textId="77777777" w:rsidR="003D5AC7" w:rsidRDefault="003D5AC7" w:rsidP="00A300F6">
      <w:r>
        <w:continuationSeparator/>
      </w:r>
    </w:p>
  </w:endnote>
  <w:endnote w:type="continuationNotice" w:id="1">
    <w:p w14:paraId="257F49B6" w14:textId="77777777" w:rsidR="003D5AC7" w:rsidRDefault="003D5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1834312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F653ED7" w14:textId="11FE3CB0" w:rsidR="00500D41" w:rsidRPr="00AC61FB" w:rsidRDefault="00500D41" w:rsidP="00AC61FB">
            <w:pPr>
              <w:pStyle w:val="Footer"/>
              <w:jc w:val="center"/>
              <w:rPr>
                <w:rFonts w:ascii="Times New Roman" w:hAnsi="Times New Roman" w:cs="Times New Roman"/>
                <w:sz w:val="24"/>
                <w:szCs w:val="24"/>
              </w:rPr>
            </w:pPr>
            <w:r w:rsidRPr="0020391F">
              <w:rPr>
                <w:rFonts w:ascii="Times New Roman" w:hAnsi="Times New Roman" w:cs="Times New Roman"/>
                <w:sz w:val="24"/>
                <w:szCs w:val="24"/>
              </w:rPr>
              <w:t>Chapter 3</w:t>
            </w:r>
            <w:r>
              <w:rPr>
                <w:rFonts w:ascii="Times New Roman" w:hAnsi="Times New Roman" w:cs="Times New Roman"/>
                <w:sz w:val="24"/>
                <w:szCs w:val="24"/>
              </w:rPr>
              <w:tab/>
            </w:r>
            <w:r>
              <w:rPr>
                <w:rFonts w:ascii="Times New Roman" w:hAnsi="Times New Roman" w:cs="Times New Roman"/>
                <w:sz w:val="24"/>
                <w:szCs w:val="24"/>
              </w:rPr>
              <w:tab/>
            </w:r>
            <w:r w:rsidRPr="00A15C65">
              <w:rPr>
                <w:rFonts w:ascii="Times New Roman" w:hAnsi="Times New Roman" w:cs="Times New Roman"/>
                <w:sz w:val="24"/>
                <w:szCs w:val="24"/>
              </w:rPr>
              <w:t xml:space="preserve">Page </w:t>
            </w:r>
            <w:r w:rsidRPr="00A15C65">
              <w:rPr>
                <w:rFonts w:ascii="Times New Roman" w:hAnsi="Times New Roman" w:cs="Times New Roman"/>
                <w:b/>
                <w:bCs/>
                <w:sz w:val="24"/>
                <w:szCs w:val="24"/>
              </w:rPr>
              <w:fldChar w:fldCharType="begin"/>
            </w:r>
            <w:r w:rsidRPr="00A15C65">
              <w:rPr>
                <w:rFonts w:ascii="Times New Roman" w:hAnsi="Times New Roman" w:cs="Times New Roman"/>
                <w:b/>
                <w:bCs/>
                <w:sz w:val="24"/>
                <w:szCs w:val="24"/>
              </w:rPr>
              <w:instrText xml:space="preserve"> PAGE </w:instrText>
            </w:r>
            <w:r w:rsidRPr="00A15C65">
              <w:rPr>
                <w:rFonts w:ascii="Times New Roman" w:hAnsi="Times New Roman" w:cs="Times New Roman"/>
                <w:b/>
                <w:bCs/>
                <w:sz w:val="24"/>
                <w:szCs w:val="24"/>
              </w:rPr>
              <w:fldChar w:fldCharType="separate"/>
            </w:r>
            <w:r w:rsidR="00D2554C">
              <w:rPr>
                <w:rFonts w:ascii="Times New Roman" w:hAnsi="Times New Roman" w:cs="Times New Roman"/>
                <w:b/>
                <w:bCs/>
                <w:noProof/>
                <w:sz w:val="24"/>
                <w:szCs w:val="24"/>
              </w:rPr>
              <w:t>20</w:t>
            </w:r>
            <w:r w:rsidRPr="00A15C65">
              <w:rPr>
                <w:rFonts w:ascii="Times New Roman" w:hAnsi="Times New Roman" w:cs="Times New Roman"/>
                <w:b/>
                <w:bCs/>
                <w:sz w:val="24"/>
                <w:szCs w:val="24"/>
              </w:rPr>
              <w:fldChar w:fldCharType="end"/>
            </w:r>
            <w:r w:rsidRPr="00A15C65">
              <w:rPr>
                <w:rFonts w:ascii="Times New Roman" w:hAnsi="Times New Roman" w:cs="Times New Roman"/>
                <w:sz w:val="24"/>
                <w:szCs w:val="24"/>
              </w:rPr>
              <w:t xml:space="preserve"> of </w:t>
            </w:r>
            <w:r w:rsidRPr="00A15C65">
              <w:rPr>
                <w:rFonts w:ascii="Times New Roman" w:hAnsi="Times New Roman" w:cs="Times New Roman"/>
                <w:b/>
                <w:bCs/>
                <w:sz w:val="24"/>
                <w:szCs w:val="24"/>
              </w:rPr>
              <w:fldChar w:fldCharType="begin"/>
            </w:r>
            <w:r w:rsidRPr="00A15C65">
              <w:rPr>
                <w:rFonts w:ascii="Times New Roman" w:hAnsi="Times New Roman" w:cs="Times New Roman"/>
                <w:b/>
                <w:bCs/>
                <w:sz w:val="24"/>
                <w:szCs w:val="24"/>
              </w:rPr>
              <w:instrText xml:space="preserve"> NUMPAGES  </w:instrText>
            </w:r>
            <w:r w:rsidRPr="00A15C65">
              <w:rPr>
                <w:rFonts w:ascii="Times New Roman" w:hAnsi="Times New Roman" w:cs="Times New Roman"/>
                <w:b/>
                <w:bCs/>
                <w:sz w:val="24"/>
                <w:szCs w:val="24"/>
              </w:rPr>
              <w:fldChar w:fldCharType="separate"/>
            </w:r>
            <w:r w:rsidR="00D2554C">
              <w:rPr>
                <w:rFonts w:ascii="Times New Roman" w:hAnsi="Times New Roman" w:cs="Times New Roman"/>
                <w:b/>
                <w:bCs/>
                <w:noProof/>
                <w:sz w:val="24"/>
                <w:szCs w:val="24"/>
              </w:rPr>
              <w:t>50</w:t>
            </w:r>
            <w:r w:rsidRPr="00A15C65">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63DFA" w14:textId="77777777" w:rsidR="003D5AC7" w:rsidRDefault="003D5AC7" w:rsidP="00A300F6">
      <w:r>
        <w:separator/>
      </w:r>
    </w:p>
  </w:footnote>
  <w:footnote w:type="continuationSeparator" w:id="0">
    <w:p w14:paraId="65A82054" w14:textId="77777777" w:rsidR="003D5AC7" w:rsidRDefault="003D5AC7" w:rsidP="00A300F6">
      <w:r>
        <w:continuationSeparator/>
      </w:r>
    </w:p>
  </w:footnote>
  <w:footnote w:type="continuationNotice" w:id="1">
    <w:p w14:paraId="0E1CFC41" w14:textId="77777777" w:rsidR="003D5AC7" w:rsidRDefault="003D5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B2A7E" w14:textId="1925C2BD" w:rsidR="00500D41" w:rsidRDefault="00500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A79F" w14:textId="5FA24EF2" w:rsidR="00500D41" w:rsidRPr="0020391F" w:rsidRDefault="00500D41">
    <w:pPr>
      <w:pStyle w:val="Header"/>
      <w:rPr>
        <w:rFonts w:ascii="Times New Roman" w:hAnsi="Times New Roman" w:cs="Times New Roman"/>
        <w:sz w:val="24"/>
        <w:szCs w:val="24"/>
      </w:rPr>
    </w:pPr>
    <w:r w:rsidRPr="0020391F">
      <w:rPr>
        <w:rFonts w:ascii="Times New Roman" w:hAnsi="Times New Roman" w:cs="Times New Roman"/>
        <w:sz w:val="24"/>
        <w:szCs w:val="24"/>
      </w:rPr>
      <w:t>OMB Review Ready</w:t>
    </w:r>
  </w:p>
  <w:p w14:paraId="6F09F5F4" w14:textId="58AC9471" w:rsidR="00500D41" w:rsidRDefault="00500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E0AFC" w14:textId="516B36E5" w:rsidR="00500D41" w:rsidRDefault="00500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08B9"/>
    <w:multiLevelType w:val="hybridMultilevel"/>
    <w:tmpl w:val="3878BC42"/>
    <w:lvl w:ilvl="0" w:tplc="FD7057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118CE"/>
    <w:multiLevelType w:val="hybridMultilevel"/>
    <w:tmpl w:val="4DBCB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44030"/>
    <w:multiLevelType w:val="hybridMultilevel"/>
    <w:tmpl w:val="8AC421D2"/>
    <w:lvl w:ilvl="0" w:tplc="57B2A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5021B"/>
    <w:multiLevelType w:val="hybridMultilevel"/>
    <w:tmpl w:val="0CD21224"/>
    <w:lvl w:ilvl="0" w:tplc="F7E84666">
      <w:start w:val="10"/>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F05C9A"/>
    <w:multiLevelType w:val="hybridMultilevel"/>
    <w:tmpl w:val="C400C09A"/>
    <w:lvl w:ilvl="0" w:tplc="3C48F7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6446CC"/>
    <w:multiLevelType w:val="hybridMultilevel"/>
    <w:tmpl w:val="09649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118DA"/>
    <w:multiLevelType w:val="hybridMultilevel"/>
    <w:tmpl w:val="EACC3E76"/>
    <w:lvl w:ilvl="0" w:tplc="8C809108">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885F7E"/>
    <w:multiLevelType w:val="hybridMultilevel"/>
    <w:tmpl w:val="78AA9D6C"/>
    <w:lvl w:ilvl="0" w:tplc="9D24E6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B5EA8"/>
    <w:multiLevelType w:val="hybridMultilevel"/>
    <w:tmpl w:val="E2C4098A"/>
    <w:lvl w:ilvl="0" w:tplc="52748D9A">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05657F"/>
    <w:multiLevelType w:val="hybridMultilevel"/>
    <w:tmpl w:val="15548240"/>
    <w:lvl w:ilvl="0" w:tplc="6A8AB516">
      <w:start w:val="1"/>
      <w:numFmt w:val="bullet"/>
      <w:lvlText w:val="•"/>
      <w:lvlJc w:val="left"/>
      <w:pPr>
        <w:tabs>
          <w:tab w:val="num" w:pos="720"/>
        </w:tabs>
        <w:ind w:left="720" w:hanging="360"/>
      </w:pPr>
      <w:rPr>
        <w:rFonts w:ascii="Arial" w:hAnsi="Arial" w:hint="default"/>
      </w:rPr>
    </w:lvl>
    <w:lvl w:ilvl="1" w:tplc="A142D270">
      <w:start w:val="1"/>
      <w:numFmt w:val="bullet"/>
      <w:lvlText w:val="•"/>
      <w:lvlJc w:val="left"/>
      <w:pPr>
        <w:tabs>
          <w:tab w:val="num" w:pos="1440"/>
        </w:tabs>
        <w:ind w:left="1440" w:hanging="360"/>
      </w:pPr>
      <w:rPr>
        <w:rFonts w:ascii="Arial" w:hAnsi="Arial" w:hint="default"/>
      </w:rPr>
    </w:lvl>
    <w:lvl w:ilvl="2" w:tplc="A73888A8" w:tentative="1">
      <w:start w:val="1"/>
      <w:numFmt w:val="bullet"/>
      <w:lvlText w:val="•"/>
      <w:lvlJc w:val="left"/>
      <w:pPr>
        <w:tabs>
          <w:tab w:val="num" w:pos="2160"/>
        </w:tabs>
        <w:ind w:left="2160" w:hanging="360"/>
      </w:pPr>
      <w:rPr>
        <w:rFonts w:ascii="Arial" w:hAnsi="Arial" w:hint="default"/>
      </w:rPr>
    </w:lvl>
    <w:lvl w:ilvl="3" w:tplc="2118DA80" w:tentative="1">
      <w:start w:val="1"/>
      <w:numFmt w:val="bullet"/>
      <w:lvlText w:val="•"/>
      <w:lvlJc w:val="left"/>
      <w:pPr>
        <w:tabs>
          <w:tab w:val="num" w:pos="2880"/>
        </w:tabs>
        <w:ind w:left="2880" w:hanging="360"/>
      </w:pPr>
      <w:rPr>
        <w:rFonts w:ascii="Arial" w:hAnsi="Arial" w:hint="default"/>
      </w:rPr>
    </w:lvl>
    <w:lvl w:ilvl="4" w:tplc="E5B29548" w:tentative="1">
      <w:start w:val="1"/>
      <w:numFmt w:val="bullet"/>
      <w:lvlText w:val="•"/>
      <w:lvlJc w:val="left"/>
      <w:pPr>
        <w:tabs>
          <w:tab w:val="num" w:pos="3600"/>
        </w:tabs>
        <w:ind w:left="3600" w:hanging="360"/>
      </w:pPr>
      <w:rPr>
        <w:rFonts w:ascii="Arial" w:hAnsi="Arial" w:hint="default"/>
      </w:rPr>
    </w:lvl>
    <w:lvl w:ilvl="5" w:tplc="88B05CDC" w:tentative="1">
      <w:start w:val="1"/>
      <w:numFmt w:val="bullet"/>
      <w:lvlText w:val="•"/>
      <w:lvlJc w:val="left"/>
      <w:pPr>
        <w:tabs>
          <w:tab w:val="num" w:pos="4320"/>
        </w:tabs>
        <w:ind w:left="4320" w:hanging="360"/>
      </w:pPr>
      <w:rPr>
        <w:rFonts w:ascii="Arial" w:hAnsi="Arial" w:hint="default"/>
      </w:rPr>
    </w:lvl>
    <w:lvl w:ilvl="6" w:tplc="E8DE13FE" w:tentative="1">
      <w:start w:val="1"/>
      <w:numFmt w:val="bullet"/>
      <w:lvlText w:val="•"/>
      <w:lvlJc w:val="left"/>
      <w:pPr>
        <w:tabs>
          <w:tab w:val="num" w:pos="5040"/>
        </w:tabs>
        <w:ind w:left="5040" w:hanging="360"/>
      </w:pPr>
      <w:rPr>
        <w:rFonts w:ascii="Arial" w:hAnsi="Arial" w:hint="default"/>
      </w:rPr>
    </w:lvl>
    <w:lvl w:ilvl="7" w:tplc="6A049E24" w:tentative="1">
      <w:start w:val="1"/>
      <w:numFmt w:val="bullet"/>
      <w:lvlText w:val="•"/>
      <w:lvlJc w:val="left"/>
      <w:pPr>
        <w:tabs>
          <w:tab w:val="num" w:pos="5760"/>
        </w:tabs>
        <w:ind w:left="5760" w:hanging="360"/>
      </w:pPr>
      <w:rPr>
        <w:rFonts w:ascii="Arial" w:hAnsi="Arial" w:hint="default"/>
      </w:rPr>
    </w:lvl>
    <w:lvl w:ilvl="8" w:tplc="5E5675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09671A"/>
    <w:multiLevelType w:val="hybridMultilevel"/>
    <w:tmpl w:val="5EA08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979FD"/>
    <w:multiLevelType w:val="hybridMultilevel"/>
    <w:tmpl w:val="22DEFCEE"/>
    <w:lvl w:ilvl="0" w:tplc="E542C61C">
      <w:start w:val="1"/>
      <w:numFmt w:val="upperLetter"/>
      <w:lvlText w:val="%1."/>
      <w:lvlJc w:val="left"/>
      <w:pPr>
        <w:ind w:left="1080" w:hanging="360"/>
      </w:pPr>
      <w:rPr>
        <w:rFonts w:hint="default"/>
        <w:u w:val="none"/>
      </w:rPr>
    </w:lvl>
    <w:lvl w:ilvl="1" w:tplc="3CA8513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411040"/>
    <w:multiLevelType w:val="hybridMultilevel"/>
    <w:tmpl w:val="3BA8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1763F"/>
    <w:multiLevelType w:val="hybridMultilevel"/>
    <w:tmpl w:val="50BCAAD6"/>
    <w:lvl w:ilvl="0" w:tplc="50A40A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FD31F8"/>
    <w:multiLevelType w:val="hybridMultilevel"/>
    <w:tmpl w:val="562C639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0C00D06"/>
    <w:multiLevelType w:val="hybridMultilevel"/>
    <w:tmpl w:val="786EA17C"/>
    <w:lvl w:ilvl="0" w:tplc="97D08DD6">
      <w:start w:val="2"/>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326286A"/>
    <w:multiLevelType w:val="hybridMultilevel"/>
    <w:tmpl w:val="1A1ADA8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EB37B4"/>
    <w:multiLevelType w:val="hybridMultilevel"/>
    <w:tmpl w:val="81308C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286F5FB6"/>
    <w:multiLevelType w:val="hybridMultilevel"/>
    <w:tmpl w:val="B4C6C8D2"/>
    <w:lvl w:ilvl="0" w:tplc="8134418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AB80298"/>
    <w:multiLevelType w:val="hybridMultilevel"/>
    <w:tmpl w:val="1D06C258"/>
    <w:lvl w:ilvl="0" w:tplc="04090015">
      <w:start w:val="8"/>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EF5E94"/>
    <w:multiLevelType w:val="hybridMultilevel"/>
    <w:tmpl w:val="47B43558"/>
    <w:lvl w:ilvl="0" w:tplc="04090019">
      <w:start w:val="1"/>
      <w:numFmt w:val="lowerLetter"/>
      <w:lvlText w:val="%1."/>
      <w:lvlJc w:val="left"/>
      <w:pPr>
        <w:ind w:left="1800"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1" w15:restartNumberingAfterBreak="0">
    <w:nsid w:val="2B837F81"/>
    <w:multiLevelType w:val="hybridMultilevel"/>
    <w:tmpl w:val="91D06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A500DA"/>
    <w:multiLevelType w:val="hybridMultilevel"/>
    <w:tmpl w:val="47E48C96"/>
    <w:lvl w:ilvl="0" w:tplc="04090019">
      <w:start w:val="1"/>
      <w:numFmt w:val="lowerLetter"/>
      <w:lvlText w:val="%1."/>
      <w:lvlJc w:val="left"/>
      <w:pPr>
        <w:ind w:left="720" w:hanging="360"/>
      </w:pPr>
    </w:lvl>
    <w:lvl w:ilvl="1" w:tplc="50A40A66">
      <w:start w:val="1"/>
      <w:numFmt w:val="lowerRoman"/>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6B2B04"/>
    <w:multiLevelType w:val="hybridMultilevel"/>
    <w:tmpl w:val="EE88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4351B"/>
    <w:multiLevelType w:val="hybridMultilevel"/>
    <w:tmpl w:val="430445E2"/>
    <w:lvl w:ilvl="0" w:tplc="62887D9A">
      <w:start w:val="1"/>
      <w:numFmt w:val="upperLetter"/>
      <w:lvlText w:val="%1."/>
      <w:lvlJc w:val="left"/>
      <w:pPr>
        <w:ind w:left="99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0C00E1"/>
    <w:multiLevelType w:val="hybridMultilevel"/>
    <w:tmpl w:val="C74E6F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C47E6"/>
    <w:multiLevelType w:val="hybridMultilevel"/>
    <w:tmpl w:val="3BD2363A"/>
    <w:lvl w:ilvl="0" w:tplc="C81C7374">
      <w:start w:val="1"/>
      <w:numFmt w:val="upperLetter"/>
      <w:lvlText w:val="%1."/>
      <w:lvlJc w:val="left"/>
      <w:pPr>
        <w:ind w:left="63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917CC3"/>
    <w:multiLevelType w:val="hybridMultilevel"/>
    <w:tmpl w:val="AB5A4F44"/>
    <w:lvl w:ilvl="0" w:tplc="4B7AEE2E">
      <w:start w:val="2"/>
      <w:numFmt w:val="upperLetter"/>
      <w:lvlText w:val="%1."/>
      <w:lvlJc w:val="left"/>
      <w:pPr>
        <w:tabs>
          <w:tab w:val="num" w:pos="630"/>
        </w:tabs>
        <w:ind w:left="630" w:hanging="360"/>
      </w:pPr>
      <w:rPr>
        <w:rFonts w:hint="default"/>
        <w:b w:val="0"/>
        <w:strike w:val="0"/>
      </w:rPr>
    </w:lvl>
    <w:lvl w:ilvl="1" w:tplc="5FD4DA76">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9E7A88"/>
    <w:multiLevelType w:val="hybridMultilevel"/>
    <w:tmpl w:val="0BC01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616D6E"/>
    <w:multiLevelType w:val="hybridMultilevel"/>
    <w:tmpl w:val="A35A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4F5415"/>
    <w:multiLevelType w:val="multilevel"/>
    <w:tmpl w:val="9A46E69C"/>
    <w:lvl w:ilvl="0">
      <w:start w:val="17"/>
      <w:numFmt w:val="upperLetter"/>
      <w:lvlText w:val="%1."/>
      <w:lvlJc w:val="left"/>
      <w:pPr>
        <w:tabs>
          <w:tab w:val="num" w:pos="360"/>
        </w:tabs>
        <w:ind w:left="720" w:firstLine="0"/>
      </w:pPr>
      <w:rPr>
        <w:rFonts w:hint="default"/>
        <w:b/>
        <w:strike w:val="0"/>
        <w:color w:val="000000"/>
        <w:spacing w:val="-3"/>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48AB1DB6"/>
    <w:multiLevelType w:val="hybridMultilevel"/>
    <w:tmpl w:val="8590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574D3F"/>
    <w:multiLevelType w:val="hybridMultilevel"/>
    <w:tmpl w:val="7E4818CC"/>
    <w:lvl w:ilvl="0" w:tplc="DF845B06">
      <w:start w:val="1"/>
      <w:numFmt w:val="lowerRoman"/>
      <w:lvlText w:val="%1)"/>
      <w:lvlJc w:val="left"/>
      <w:pPr>
        <w:ind w:left="99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010EAB"/>
    <w:multiLevelType w:val="hybridMultilevel"/>
    <w:tmpl w:val="EC54DECE"/>
    <w:lvl w:ilvl="0" w:tplc="440AA85E">
      <w:start w:val="18"/>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B59B9"/>
    <w:multiLevelType w:val="hybridMultilevel"/>
    <w:tmpl w:val="C68A2462"/>
    <w:lvl w:ilvl="0" w:tplc="22E2AF14">
      <w:start w:val="1"/>
      <w:numFmt w:val="lowerLetter"/>
      <w:lvlText w:val="%1."/>
      <w:lvlJc w:val="left"/>
      <w:pPr>
        <w:ind w:left="108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36ECC"/>
    <w:multiLevelType w:val="hybridMultilevel"/>
    <w:tmpl w:val="6E2AB7DC"/>
    <w:lvl w:ilvl="0" w:tplc="50B47BD8">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460235C"/>
    <w:multiLevelType w:val="multilevel"/>
    <w:tmpl w:val="1A7ED2D0"/>
    <w:lvl w:ilvl="0">
      <w:start w:val="1"/>
      <w:numFmt w:val="decimal"/>
      <w:lvlText w:val="%1."/>
      <w:lvlJc w:val="left"/>
      <w:pPr>
        <w:ind w:left="720" w:hanging="360"/>
      </w:pPr>
      <w:rPr>
        <w:b/>
        <w:bCs/>
      </w:rPr>
    </w:lvl>
    <w:lvl w:ilvl="1">
      <w:start w:val="5"/>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7" w15:restartNumberingAfterBreak="0">
    <w:nsid w:val="56111037"/>
    <w:multiLevelType w:val="hybridMultilevel"/>
    <w:tmpl w:val="DFD8FBC6"/>
    <w:lvl w:ilvl="0" w:tplc="986006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C3B074C"/>
    <w:multiLevelType w:val="hybridMultilevel"/>
    <w:tmpl w:val="0234EE7E"/>
    <w:lvl w:ilvl="0" w:tplc="F13E6344">
      <w:start w:val="1"/>
      <w:numFmt w:val="low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5CB95F4B"/>
    <w:multiLevelType w:val="hybridMultilevel"/>
    <w:tmpl w:val="EFBEDF80"/>
    <w:lvl w:ilvl="0" w:tplc="94D2E13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5CD2322A"/>
    <w:multiLevelType w:val="hybridMultilevel"/>
    <w:tmpl w:val="24542758"/>
    <w:lvl w:ilvl="0" w:tplc="161CB4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5D012C33"/>
    <w:multiLevelType w:val="hybridMultilevel"/>
    <w:tmpl w:val="EE5CC1D2"/>
    <w:lvl w:ilvl="0" w:tplc="22D47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DEA2281"/>
    <w:multiLevelType w:val="hybridMultilevel"/>
    <w:tmpl w:val="8DEE7EC4"/>
    <w:lvl w:ilvl="0" w:tplc="8B0015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ED443B4"/>
    <w:multiLevelType w:val="hybridMultilevel"/>
    <w:tmpl w:val="567E878A"/>
    <w:lvl w:ilvl="0" w:tplc="24D6B282">
      <w:start w:val="1"/>
      <w:numFmt w:val="decimal"/>
      <w:lvlText w:val="%1)"/>
      <w:lvlJc w:val="left"/>
      <w:pPr>
        <w:ind w:left="1530" w:hanging="360"/>
      </w:pPr>
      <w:rPr>
        <w:rFonts w:ascii="Times New Roman" w:eastAsiaTheme="minorHAnsi" w:hAnsi="Times New Roman" w:cs="Times New Roman"/>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5FEE0114"/>
    <w:multiLevelType w:val="hybridMultilevel"/>
    <w:tmpl w:val="2CB47B08"/>
    <w:lvl w:ilvl="0" w:tplc="6CACA024">
      <w:start w:val="1"/>
      <w:numFmt w:val="upperLetter"/>
      <w:lvlText w:val="%1."/>
      <w:lvlJc w:val="left"/>
      <w:pPr>
        <w:ind w:left="840" w:hanging="48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2341F9"/>
    <w:multiLevelType w:val="multilevel"/>
    <w:tmpl w:val="7FC40FE2"/>
    <w:lvl w:ilvl="0">
      <w:start w:val="9"/>
      <w:numFmt w:val="upperLetter"/>
      <w:lvlText w:val="%1."/>
      <w:lvlJc w:val="left"/>
      <w:pPr>
        <w:tabs>
          <w:tab w:val="num" w:pos="360"/>
        </w:tabs>
        <w:ind w:left="720" w:firstLine="0"/>
      </w:pPr>
      <w:rPr>
        <w:rFonts w:hint="default"/>
        <w:b/>
        <w:strike w:val="0"/>
        <w:color w:val="000000"/>
        <w:spacing w:val="-3"/>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648F164A"/>
    <w:multiLevelType w:val="hybridMultilevel"/>
    <w:tmpl w:val="3482C810"/>
    <w:lvl w:ilvl="0" w:tplc="7DB88AE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45052"/>
    <w:multiLevelType w:val="hybridMultilevel"/>
    <w:tmpl w:val="43744574"/>
    <w:lvl w:ilvl="0" w:tplc="5A62B4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804053"/>
    <w:multiLevelType w:val="hybridMultilevel"/>
    <w:tmpl w:val="A61CF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4E4BA1"/>
    <w:multiLevelType w:val="hybridMultilevel"/>
    <w:tmpl w:val="B0BC892E"/>
    <w:lvl w:ilvl="0" w:tplc="834201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1CD06E2"/>
    <w:multiLevelType w:val="hybridMultilevel"/>
    <w:tmpl w:val="23444F36"/>
    <w:lvl w:ilvl="0" w:tplc="34DC4B36">
      <w:start w:val="3"/>
      <w:numFmt w:val="upperLetter"/>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F107C3"/>
    <w:multiLevelType w:val="hybridMultilevel"/>
    <w:tmpl w:val="0EC4F9E2"/>
    <w:lvl w:ilvl="0" w:tplc="11D2FDB0">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7E4884"/>
    <w:multiLevelType w:val="hybridMultilevel"/>
    <w:tmpl w:val="3F424A18"/>
    <w:lvl w:ilvl="0" w:tplc="E646C1D4">
      <w:start w:val="1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58547B4"/>
    <w:multiLevelType w:val="hybridMultilevel"/>
    <w:tmpl w:val="357AD1F2"/>
    <w:lvl w:ilvl="0" w:tplc="50A40A6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5BC0021"/>
    <w:multiLevelType w:val="hybridMultilevel"/>
    <w:tmpl w:val="296EA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6BB28ED"/>
    <w:multiLevelType w:val="hybridMultilevel"/>
    <w:tmpl w:val="38C2BEBA"/>
    <w:lvl w:ilvl="0" w:tplc="34481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91021D7"/>
    <w:multiLevelType w:val="hybridMultilevel"/>
    <w:tmpl w:val="775ED462"/>
    <w:lvl w:ilvl="0" w:tplc="982EA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5F7D60"/>
    <w:multiLevelType w:val="hybridMultilevel"/>
    <w:tmpl w:val="48BA5F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7BA23864"/>
    <w:multiLevelType w:val="hybridMultilevel"/>
    <w:tmpl w:val="94561814"/>
    <w:lvl w:ilvl="0" w:tplc="D5EEA8A8">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15:restartNumberingAfterBreak="0">
    <w:nsid w:val="7D9648FB"/>
    <w:multiLevelType w:val="hybridMultilevel"/>
    <w:tmpl w:val="662C39BE"/>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13"/>
  </w:num>
  <w:num w:numId="3">
    <w:abstractNumId w:val="4"/>
  </w:num>
  <w:num w:numId="4">
    <w:abstractNumId w:val="46"/>
  </w:num>
  <w:num w:numId="5">
    <w:abstractNumId w:val="44"/>
  </w:num>
  <w:num w:numId="6">
    <w:abstractNumId w:val="10"/>
  </w:num>
  <w:num w:numId="7">
    <w:abstractNumId w:val="31"/>
  </w:num>
  <w:num w:numId="8">
    <w:abstractNumId w:val="21"/>
  </w:num>
  <w:num w:numId="9">
    <w:abstractNumId w:val="36"/>
  </w:num>
  <w:num w:numId="10">
    <w:abstractNumId w:val="23"/>
  </w:num>
  <w:num w:numId="11">
    <w:abstractNumId w:val="24"/>
  </w:num>
  <w:num w:numId="12">
    <w:abstractNumId w:val="50"/>
  </w:num>
  <w:num w:numId="13">
    <w:abstractNumId w:val="11"/>
  </w:num>
  <w:num w:numId="14">
    <w:abstractNumId w:val="14"/>
  </w:num>
  <w:num w:numId="15">
    <w:abstractNumId w:val="2"/>
  </w:num>
  <w:num w:numId="16">
    <w:abstractNumId w:val="22"/>
  </w:num>
  <w:num w:numId="17">
    <w:abstractNumId w:val="1"/>
  </w:num>
  <w:num w:numId="18">
    <w:abstractNumId w:val="5"/>
  </w:num>
  <w:num w:numId="19">
    <w:abstractNumId w:val="29"/>
  </w:num>
  <w:num w:numId="20">
    <w:abstractNumId w:val="42"/>
  </w:num>
  <w:num w:numId="21">
    <w:abstractNumId w:val="57"/>
  </w:num>
  <w:num w:numId="22">
    <w:abstractNumId w:val="20"/>
  </w:num>
  <w:num w:numId="23">
    <w:abstractNumId w:val="58"/>
  </w:num>
  <w:num w:numId="24">
    <w:abstractNumId w:val="49"/>
  </w:num>
  <w:num w:numId="25">
    <w:abstractNumId w:val="26"/>
  </w:num>
  <w:num w:numId="26">
    <w:abstractNumId w:val="15"/>
  </w:num>
  <w:num w:numId="27">
    <w:abstractNumId w:val="56"/>
  </w:num>
  <w:num w:numId="28">
    <w:abstractNumId w:val="55"/>
  </w:num>
  <w:num w:numId="29">
    <w:abstractNumId w:val="51"/>
  </w:num>
  <w:num w:numId="30">
    <w:abstractNumId w:val="16"/>
  </w:num>
  <w:num w:numId="31">
    <w:abstractNumId w:val="34"/>
  </w:num>
  <w:num w:numId="32">
    <w:abstractNumId w:val="9"/>
  </w:num>
  <w:num w:numId="33">
    <w:abstractNumId w:val="32"/>
  </w:num>
  <w:num w:numId="34">
    <w:abstractNumId w:val="54"/>
  </w:num>
  <w:num w:numId="35">
    <w:abstractNumId w:val="45"/>
  </w:num>
  <w:num w:numId="36">
    <w:abstractNumId w:val="30"/>
  </w:num>
  <w:num w:numId="37">
    <w:abstractNumId w:val="40"/>
  </w:num>
  <w:num w:numId="38">
    <w:abstractNumId w:val="43"/>
  </w:num>
  <w:num w:numId="39">
    <w:abstractNumId w:val="38"/>
  </w:num>
  <w:num w:numId="40">
    <w:abstractNumId w:val="37"/>
  </w:num>
  <w:num w:numId="41">
    <w:abstractNumId w:val="25"/>
  </w:num>
  <w:num w:numId="42">
    <w:abstractNumId w:val="28"/>
  </w:num>
  <w:num w:numId="43">
    <w:abstractNumId w:val="41"/>
  </w:num>
  <w:num w:numId="44">
    <w:abstractNumId w:val="39"/>
  </w:num>
  <w:num w:numId="45">
    <w:abstractNumId w:val="0"/>
  </w:num>
  <w:num w:numId="46">
    <w:abstractNumId w:val="18"/>
  </w:num>
  <w:num w:numId="47">
    <w:abstractNumId w:val="8"/>
  </w:num>
  <w:num w:numId="48">
    <w:abstractNumId w:val="19"/>
  </w:num>
  <w:num w:numId="49">
    <w:abstractNumId w:val="3"/>
  </w:num>
  <w:num w:numId="50">
    <w:abstractNumId w:val="52"/>
  </w:num>
  <w:num w:numId="51">
    <w:abstractNumId w:val="6"/>
  </w:num>
  <w:num w:numId="52">
    <w:abstractNumId w:val="48"/>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num>
  <w:num w:numId="55">
    <w:abstractNumId w:val="35"/>
  </w:num>
  <w:num w:numId="56">
    <w:abstractNumId w:val="53"/>
  </w:num>
  <w:num w:numId="57">
    <w:abstractNumId w:val="59"/>
  </w:num>
  <w:num w:numId="58">
    <w:abstractNumId w:val="7"/>
  </w:num>
  <w:num w:numId="59">
    <w:abstractNumId w:val="47"/>
  </w:num>
  <w:num w:numId="60">
    <w:abstractNumId w:val="33"/>
  </w:num>
  <w:num w:numId="6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73A"/>
    <w:rsid w:val="00000580"/>
    <w:rsid w:val="00000A25"/>
    <w:rsid w:val="00000F9E"/>
    <w:rsid w:val="000010AD"/>
    <w:rsid w:val="000013A3"/>
    <w:rsid w:val="000015B0"/>
    <w:rsid w:val="0000161A"/>
    <w:rsid w:val="00001894"/>
    <w:rsid w:val="00001A7B"/>
    <w:rsid w:val="00001BD2"/>
    <w:rsid w:val="0000239A"/>
    <w:rsid w:val="00002938"/>
    <w:rsid w:val="000031DF"/>
    <w:rsid w:val="000033EF"/>
    <w:rsid w:val="00003489"/>
    <w:rsid w:val="00003643"/>
    <w:rsid w:val="000038F8"/>
    <w:rsid w:val="00003A12"/>
    <w:rsid w:val="00003A3D"/>
    <w:rsid w:val="00004019"/>
    <w:rsid w:val="000046F4"/>
    <w:rsid w:val="0000498D"/>
    <w:rsid w:val="00004B53"/>
    <w:rsid w:val="00005F78"/>
    <w:rsid w:val="000068CD"/>
    <w:rsid w:val="00006F14"/>
    <w:rsid w:val="000071DC"/>
    <w:rsid w:val="000071EA"/>
    <w:rsid w:val="00007749"/>
    <w:rsid w:val="0000783F"/>
    <w:rsid w:val="00007D6C"/>
    <w:rsid w:val="000101EC"/>
    <w:rsid w:val="0001020E"/>
    <w:rsid w:val="0001037A"/>
    <w:rsid w:val="00010ADA"/>
    <w:rsid w:val="00010B81"/>
    <w:rsid w:val="00010FDB"/>
    <w:rsid w:val="00011340"/>
    <w:rsid w:val="000117BA"/>
    <w:rsid w:val="000119DF"/>
    <w:rsid w:val="00011E77"/>
    <w:rsid w:val="0001296C"/>
    <w:rsid w:val="0001319E"/>
    <w:rsid w:val="00014003"/>
    <w:rsid w:val="00014CCE"/>
    <w:rsid w:val="00014CE0"/>
    <w:rsid w:val="00015287"/>
    <w:rsid w:val="000155B3"/>
    <w:rsid w:val="00015AB8"/>
    <w:rsid w:val="0001629C"/>
    <w:rsid w:val="00016432"/>
    <w:rsid w:val="00016B7E"/>
    <w:rsid w:val="0001706D"/>
    <w:rsid w:val="00017182"/>
    <w:rsid w:val="0001741D"/>
    <w:rsid w:val="00017516"/>
    <w:rsid w:val="000175E3"/>
    <w:rsid w:val="00017EA7"/>
    <w:rsid w:val="00021014"/>
    <w:rsid w:val="000213C9"/>
    <w:rsid w:val="00021E86"/>
    <w:rsid w:val="00022251"/>
    <w:rsid w:val="000225B1"/>
    <w:rsid w:val="00022B23"/>
    <w:rsid w:val="00022F3F"/>
    <w:rsid w:val="000230E0"/>
    <w:rsid w:val="000239C3"/>
    <w:rsid w:val="000242E4"/>
    <w:rsid w:val="000242F9"/>
    <w:rsid w:val="00024310"/>
    <w:rsid w:val="00024516"/>
    <w:rsid w:val="000249E0"/>
    <w:rsid w:val="00024AA5"/>
    <w:rsid w:val="00025DBE"/>
    <w:rsid w:val="00026038"/>
    <w:rsid w:val="00026574"/>
    <w:rsid w:val="00026DC2"/>
    <w:rsid w:val="00026E4C"/>
    <w:rsid w:val="00026F10"/>
    <w:rsid w:val="00027407"/>
    <w:rsid w:val="000276E1"/>
    <w:rsid w:val="00027EF4"/>
    <w:rsid w:val="00027F59"/>
    <w:rsid w:val="00030200"/>
    <w:rsid w:val="000303F7"/>
    <w:rsid w:val="000304F3"/>
    <w:rsid w:val="00030DC8"/>
    <w:rsid w:val="00030DCC"/>
    <w:rsid w:val="0003121C"/>
    <w:rsid w:val="000314DB"/>
    <w:rsid w:val="00031600"/>
    <w:rsid w:val="00031727"/>
    <w:rsid w:val="00031F04"/>
    <w:rsid w:val="00032205"/>
    <w:rsid w:val="00032266"/>
    <w:rsid w:val="0003275D"/>
    <w:rsid w:val="00032CA9"/>
    <w:rsid w:val="0003379D"/>
    <w:rsid w:val="00033CD1"/>
    <w:rsid w:val="00034ABC"/>
    <w:rsid w:val="00034B59"/>
    <w:rsid w:val="00034CD7"/>
    <w:rsid w:val="00034E14"/>
    <w:rsid w:val="00035A29"/>
    <w:rsid w:val="00035A99"/>
    <w:rsid w:val="00035EE7"/>
    <w:rsid w:val="000362B4"/>
    <w:rsid w:val="0003642F"/>
    <w:rsid w:val="000365C1"/>
    <w:rsid w:val="00036819"/>
    <w:rsid w:val="00037179"/>
    <w:rsid w:val="000373B4"/>
    <w:rsid w:val="0004017E"/>
    <w:rsid w:val="000407F2"/>
    <w:rsid w:val="00040D8F"/>
    <w:rsid w:val="0004148D"/>
    <w:rsid w:val="00041A21"/>
    <w:rsid w:val="00041D6B"/>
    <w:rsid w:val="00041E99"/>
    <w:rsid w:val="00042E1F"/>
    <w:rsid w:val="000433AF"/>
    <w:rsid w:val="00043659"/>
    <w:rsid w:val="000436BC"/>
    <w:rsid w:val="00043A62"/>
    <w:rsid w:val="00043BD6"/>
    <w:rsid w:val="0004406D"/>
    <w:rsid w:val="00044270"/>
    <w:rsid w:val="000443C0"/>
    <w:rsid w:val="000443E1"/>
    <w:rsid w:val="00044407"/>
    <w:rsid w:val="00044712"/>
    <w:rsid w:val="0004474B"/>
    <w:rsid w:val="00045247"/>
    <w:rsid w:val="000452B4"/>
    <w:rsid w:val="000453CD"/>
    <w:rsid w:val="000458DA"/>
    <w:rsid w:val="00045FC4"/>
    <w:rsid w:val="00046467"/>
    <w:rsid w:val="000467CE"/>
    <w:rsid w:val="00046CD4"/>
    <w:rsid w:val="0004711B"/>
    <w:rsid w:val="000477F8"/>
    <w:rsid w:val="000478EB"/>
    <w:rsid w:val="00047AC9"/>
    <w:rsid w:val="000501F2"/>
    <w:rsid w:val="00050B63"/>
    <w:rsid w:val="000511DD"/>
    <w:rsid w:val="00051B2C"/>
    <w:rsid w:val="00051B66"/>
    <w:rsid w:val="00051CD2"/>
    <w:rsid w:val="00051EF2"/>
    <w:rsid w:val="00054760"/>
    <w:rsid w:val="00054FCE"/>
    <w:rsid w:val="00055171"/>
    <w:rsid w:val="00055227"/>
    <w:rsid w:val="00055694"/>
    <w:rsid w:val="00055EE6"/>
    <w:rsid w:val="00056723"/>
    <w:rsid w:val="000567D6"/>
    <w:rsid w:val="0005688A"/>
    <w:rsid w:val="00056965"/>
    <w:rsid w:val="00056F2E"/>
    <w:rsid w:val="0006004F"/>
    <w:rsid w:val="000605A0"/>
    <w:rsid w:val="000608E4"/>
    <w:rsid w:val="0006092A"/>
    <w:rsid w:val="00061212"/>
    <w:rsid w:val="00061999"/>
    <w:rsid w:val="000624F8"/>
    <w:rsid w:val="00062672"/>
    <w:rsid w:val="000629CA"/>
    <w:rsid w:val="00062B18"/>
    <w:rsid w:val="000637E4"/>
    <w:rsid w:val="00063CA1"/>
    <w:rsid w:val="00063F1A"/>
    <w:rsid w:val="00063F34"/>
    <w:rsid w:val="00064375"/>
    <w:rsid w:val="000643BC"/>
    <w:rsid w:val="000646E1"/>
    <w:rsid w:val="0006483B"/>
    <w:rsid w:val="00065707"/>
    <w:rsid w:val="00065E4D"/>
    <w:rsid w:val="00065F86"/>
    <w:rsid w:val="000663FB"/>
    <w:rsid w:val="00066E6B"/>
    <w:rsid w:val="00066F4E"/>
    <w:rsid w:val="00067865"/>
    <w:rsid w:val="00067F54"/>
    <w:rsid w:val="000705C4"/>
    <w:rsid w:val="000708CB"/>
    <w:rsid w:val="00071156"/>
    <w:rsid w:val="00072570"/>
    <w:rsid w:val="00072AC5"/>
    <w:rsid w:val="000730C9"/>
    <w:rsid w:val="00073C9B"/>
    <w:rsid w:val="000746C5"/>
    <w:rsid w:val="0007476D"/>
    <w:rsid w:val="00074AEB"/>
    <w:rsid w:val="0007549B"/>
    <w:rsid w:val="00075505"/>
    <w:rsid w:val="0007599B"/>
    <w:rsid w:val="00075BCF"/>
    <w:rsid w:val="00076A5D"/>
    <w:rsid w:val="00076E02"/>
    <w:rsid w:val="000771C6"/>
    <w:rsid w:val="00077221"/>
    <w:rsid w:val="00077568"/>
    <w:rsid w:val="000775DB"/>
    <w:rsid w:val="00077C25"/>
    <w:rsid w:val="00077E88"/>
    <w:rsid w:val="00077FEB"/>
    <w:rsid w:val="000801FF"/>
    <w:rsid w:val="00080203"/>
    <w:rsid w:val="00080931"/>
    <w:rsid w:val="00080AC6"/>
    <w:rsid w:val="000810AB"/>
    <w:rsid w:val="0008137C"/>
    <w:rsid w:val="000816E5"/>
    <w:rsid w:val="00081C5E"/>
    <w:rsid w:val="00082055"/>
    <w:rsid w:val="000826CD"/>
    <w:rsid w:val="000827C6"/>
    <w:rsid w:val="0008289E"/>
    <w:rsid w:val="000829CA"/>
    <w:rsid w:val="00082E80"/>
    <w:rsid w:val="00082EF3"/>
    <w:rsid w:val="00082F9E"/>
    <w:rsid w:val="00082FC2"/>
    <w:rsid w:val="000832CD"/>
    <w:rsid w:val="00083E67"/>
    <w:rsid w:val="00083FE2"/>
    <w:rsid w:val="00084138"/>
    <w:rsid w:val="00084266"/>
    <w:rsid w:val="00084524"/>
    <w:rsid w:val="00084685"/>
    <w:rsid w:val="00084B0E"/>
    <w:rsid w:val="00085018"/>
    <w:rsid w:val="000858E2"/>
    <w:rsid w:val="0008596D"/>
    <w:rsid w:val="00085DC0"/>
    <w:rsid w:val="00085F4B"/>
    <w:rsid w:val="00085FD9"/>
    <w:rsid w:val="00086005"/>
    <w:rsid w:val="000861DA"/>
    <w:rsid w:val="00086496"/>
    <w:rsid w:val="00086726"/>
    <w:rsid w:val="00086994"/>
    <w:rsid w:val="00087AF6"/>
    <w:rsid w:val="00087D6D"/>
    <w:rsid w:val="00090B6D"/>
    <w:rsid w:val="00090C46"/>
    <w:rsid w:val="00090E2C"/>
    <w:rsid w:val="00090E5B"/>
    <w:rsid w:val="00091209"/>
    <w:rsid w:val="00092BEF"/>
    <w:rsid w:val="00092E3A"/>
    <w:rsid w:val="00093262"/>
    <w:rsid w:val="000937A5"/>
    <w:rsid w:val="00093865"/>
    <w:rsid w:val="00093C85"/>
    <w:rsid w:val="00093F18"/>
    <w:rsid w:val="00093F7C"/>
    <w:rsid w:val="000949AE"/>
    <w:rsid w:val="00094D36"/>
    <w:rsid w:val="00095573"/>
    <w:rsid w:val="00095586"/>
    <w:rsid w:val="00095881"/>
    <w:rsid w:val="00095DA0"/>
    <w:rsid w:val="0009628D"/>
    <w:rsid w:val="000962FC"/>
    <w:rsid w:val="00096C40"/>
    <w:rsid w:val="00096DC8"/>
    <w:rsid w:val="00097295"/>
    <w:rsid w:val="000972D9"/>
    <w:rsid w:val="00097664"/>
    <w:rsid w:val="000978A3"/>
    <w:rsid w:val="00097932"/>
    <w:rsid w:val="000979FC"/>
    <w:rsid w:val="00097AF2"/>
    <w:rsid w:val="000A09A3"/>
    <w:rsid w:val="000A1236"/>
    <w:rsid w:val="000A13EA"/>
    <w:rsid w:val="000A15C5"/>
    <w:rsid w:val="000A18E5"/>
    <w:rsid w:val="000A23A8"/>
    <w:rsid w:val="000A23D0"/>
    <w:rsid w:val="000A33A9"/>
    <w:rsid w:val="000A36EF"/>
    <w:rsid w:val="000A48FE"/>
    <w:rsid w:val="000A4F15"/>
    <w:rsid w:val="000A54C9"/>
    <w:rsid w:val="000A5E79"/>
    <w:rsid w:val="000A5F4A"/>
    <w:rsid w:val="000A615F"/>
    <w:rsid w:val="000A6632"/>
    <w:rsid w:val="000A683C"/>
    <w:rsid w:val="000A6AEB"/>
    <w:rsid w:val="000A6C15"/>
    <w:rsid w:val="000A6E26"/>
    <w:rsid w:val="000A6F9E"/>
    <w:rsid w:val="000A778E"/>
    <w:rsid w:val="000A7957"/>
    <w:rsid w:val="000A7BF4"/>
    <w:rsid w:val="000B0CC8"/>
    <w:rsid w:val="000B0CE9"/>
    <w:rsid w:val="000B0D5D"/>
    <w:rsid w:val="000B14E5"/>
    <w:rsid w:val="000B18E9"/>
    <w:rsid w:val="000B1A44"/>
    <w:rsid w:val="000B21D6"/>
    <w:rsid w:val="000B2E6E"/>
    <w:rsid w:val="000B366A"/>
    <w:rsid w:val="000B4231"/>
    <w:rsid w:val="000B4A26"/>
    <w:rsid w:val="000B5073"/>
    <w:rsid w:val="000B5423"/>
    <w:rsid w:val="000B5777"/>
    <w:rsid w:val="000B599A"/>
    <w:rsid w:val="000B5BF1"/>
    <w:rsid w:val="000B5DD5"/>
    <w:rsid w:val="000B5F42"/>
    <w:rsid w:val="000B67DD"/>
    <w:rsid w:val="000B69CB"/>
    <w:rsid w:val="000B6D08"/>
    <w:rsid w:val="000B6D42"/>
    <w:rsid w:val="000B6ECF"/>
    <w:rsid w:val="000B7708"/>
    <w:rsid w:val="000B7714"/>
    <w:rsid w:val="000B7DF8"/>
    <w:rsid w:val="000C00DE"/>
    <w:rsid w:val="000C0538"/>
    <w:rsid w:val="000C0A28"/>
    <w:rsid w:val="000C11BD"/>
    <w:rsid w:val="000C187E"/>
    <w:rsid w:val="000C1D16"/>
    <w:rsid w:val="000C20D4"/>
    <w:rsid w:val="000C243E"/>
    <w:rsid w:val="000C24FA"/>
    <w:rsid w:val="000C25D7"/>
    <w:rsid w:val="000C2CF8"/>
    <w:rsid w:val="000C2D0D"/>
    <w:rsid w:val="000C3211"/>
    <w:rsid w:val="000C36A2"/>
    <w:rsid w:val="000C3770"/>
    <w:rsid w:val="000C44AA"/>
    <w:rsid w:val="000C4649"/>
    <w:rsid w:val="000C4CC1"/>
    <w:rsid w:val="000C4D37"/>
    <w:rsid w:val="000C5785"/>
    <w:rsid w:val="000C5933"/>
    <w:rsid w:val="000C5C73"/>
    <w:rsid w:val="000C5DF7"/>
    <w:rsid w:val="000C5ECE"/>
    <w:rsid w:val="000C60FC"/>
    <w:rsid w:val="000C633E"/>
    <w:rsid w:val="000C6398"/>
    <w:rsid w:val="000C6A0F"/>
    <w:rsid w:val="000C6D75"/>
    <w:rsid w:val="000C7C06"/>
    <w:rsid w:val="000D06EC"/>
    <w:rsid w:val="000D07A4"/>
    <w:rsid w:val="000D0E50"/>
    <w:rsid w:val="000D0EE6"/>
    <w:rsid w:val="000D0EF4"/>
    <w:rsid w:val="000D17F4"/>
    <w:rsid w:val="000D2C5B"/>
    <w:rsid w:val="000D2CD9"/>
    <w:rsid w:val="000D328C"/>
    <w:rsid w:val="000D32BE"/>
    <w:rsid w:val="000D3C73"/>
    <w:rsid w:val="000D41C0"/>
    <w:rsid w:val="000D47ED"/>
    <w:rsid w:val="000D4978"/>
    <w:rsid w:val="000D4AFC"/>
    <w:rsid w:val="000D4DC2"/>
    <w:rsid w:val="000D5335"/>
    <w:rsid w:val="000D5717"/>
    <w:rsid w:val="000D6355"/>
    <w:rsid w:val="000D6740"/>
    <w:rsid w:val="000D69CC"/>
    <w:rsid w:val="000D6B69"/>
    <w:rsid w:val="000D6CB2"/>
    <w:rsid w:val="000D6D21"/>
    <w:rsid w:val="000D75A4"/>
    <w:rsid w:val="000D7A36"/>
    <w:rsid w:val="000D7AE3"/>
    <w:rsid w:val="000E0090"/>
    <w:rsid w:val="000E04EF"/>
    <w:rsid w:val="000E06F4"/>
    <w:rsid w:val="000E0A22"/>
    <w:rsid w:val="000E0CAC"/>
    <w:rsid w:val="000E19D7"/>
    <w:rsid w:val="000E1C53"/>
    <w:rsid w:val="000E23F7"/>
    <w:rsid w:val="000E3311"/>
    <w:rsid w:val="000E339D"/>
    <w:rsid w:val="000E34ED"/>
    <w:rsid w:val="000E3504"/>
    <w:rsid w:val="000E37F6"/>
    <w:rsid w:val="000E4096"/>
    <w:rsid w:val="000E4432"/>
    <w:rsid w:val="000E4557"/>
    <w:rsid w:val="000E4CE8"/>
    <w:rsid w:val="000E505C"/>
    <w:rsid w:val="000E5442"/>
    <w:rsid w:val="000E550A"/>
    <w:rsid w:val="000E59C1"/>
    <w:rsid w:val="000E5E2A"/>
    <w:rsid w:val="000E613C"/>
    <w:rsid w:val="000E63D9"/>
    <w:rsid w:val="000E64A6"/>
    <w:rsid w:val="000E6560"/>
    <w:rsid w:val="000E7352"/>
    <w:rsid w:val="000E779B"/>
    <w:rsid w:val="000E7991"/>
    <w:rsid w:val="000E7B80"/>
    <w:rsid w:val="000E7C20"/>
    <w:rsid w:val="000F0111"/>
    <w:rsid w:val="000F0161"/>
    <w:rsid w:val="000F0521"/>
    <w:rsid w:val="000F0B05"/>
    <w:rsid w:val="000F0EE7"/>
    <w:rsid w:val="000F0F2D"/>
    <w:rsid w:val="000F0FE0"/>
    <w:rsid w:val="000F10C2"/>
    <w:rsid w:val="000F14AC"/>
    <w:rsid w:val="000F1533"/>
    <w:rsid w:val="000F1E83"/>
    <w:rsid w:val="000F2536"/>
    <w:rsid w:val="000F28EE"/>
    <w:rsid w:val="000F2BFF"/>
    <w:rsid w:val="000F2DA8"/>
    <w:rsid w:val="000F322F"/>
    <w:rsid w:val="000F3A21"/>
    <w:rsid w:val="000F4195"/>
    <w:rsid w:val="000F44C9"/>
    <w:rsid w:val="000F4658"/>
    <w:rsid w:val="000F4A5D"/>
    <w:rsid w:val="000F4BFC"/>
    <w:rsid w:val="000F4C10"/>
    <w:rsid w:val="000F5290"/>
    <w:rsid w:val="000F55C1"/>
    <w:rsid w:val="000F59CC"/>
    <w:rsid w:val="000F59D6"/>
    <w:rsid w:val="000F63A7"/>
    <w:rsid w:val="000F64F7"/>
    <w:rsid w:val="000F650A"/>
    <w:rsid w:val="000F683F"/>
    <w:rsid w:val="000F6991"/>
    <w:rsid w:val="000F6AD3"/>
    <w:rsid w:val="000F759A"/>
    <w:rsid w:val="000F7960"/>
    <w:rsid w:val="000F7BA4"/>
    <w:rsid w:val="000F7E11"/>
    <w:rsid w:val="001005B4"/>
    <w:rsid w:val="0010068D"/>
    <w:rsid w:val="001018AB"/>
    <w:rsid w:val="00102309"/>
    <w:rsid w:val="001023E2"/>
    <w:rsid w:val="00102573"/>
    <w:rsid w:val="001032A4"/>
    <w:rsid w:val="001033D2"/>
    <w:rsid w:val="00103456"/>
    <w:rsid w:val="0010532C"/>
    <w:rsid w:val="00105636"/>
    <w:rsid w:val="00106166"/>
    <w:rsid w:val="001069D4"/>
    <w:rsid w:val="00106BF4"/>
    <w:rsid w:val="00106D81"/>
    <w:rsid w:val="001075CF"/>
    <w:rsid w:val="00107830"/>
    <w:rsid w:val="00110659"/>
    <w:rsid w:val="00110D36"/>
    <w:rsid w:val="00110E6C"/>
    <w:rsid w:val="001112E8"/>
    <w:rsid w:val="00112CBF"/>
    <w:rsid w:val="00112D16"/>
    <w:rsid w:val="00112DAA"/>
    <w:rsid w:val="00113557"/>
    <w:rsid w:val="0011384F"/>
    <w:rsid w:val="001142AD"/>
    <w:rsid w:val="001143C7"/>
    <w:rsid w:val="00114514"/>
    <w:rsid w:val="001146A1"/>
    <w:rsid w:val="0011479C"/>
    <w:rsid w:val="0011488E"/>
    <w:rsid w:val="00114901"/>
    <w:rsid w:val="00114B9C"/>
    <w:rsid w:val="00114F68"/>
    <w:rsid w:val="00115640"/>
    <w:rsid w:val="00115766"/>
    <w:rsid w:val="001158E1"/>
    <w:rsid w:val="001158E5"/>
    <w:rsid w:val="00115EA2"/>
    <w:rsid w:val="00116172"/>
    <w:rsid w:val="001161B9"/>
    <w:rsid w:val="001163AD"/>
    <w:rsid w:val="00116711"/>
    <w:rsid w:val="00116856"/>
    <w:rsid w:val="00116B03"/>
    <w:rsid w:val="00116DCB"/>
    <w:rsid w:val="00117775"/>
    <w:rsid w:val="00117864"/>
    <w:rsid w:val="00117E01"/>
    <w:rsid w:val="00120502"/>
    <w:rsid w:val="001211EF"/>
    <w:rsid w:val="00121AB0"/>
    <w:rsid w:val="001222C1"/>
    <w:rsid w:val="001223AB"/>
    <w:rsid w:val="00122448"/>
    <w:rsid w:val="00122526"/>
    <w:rsid w:val="0012282B"/>
    <w:rsid w:val="001233E4"/>
    <w:rsid w:val="001235D9"/>
    <w:rsid w:val="00123A38"/>
    <w:rsid w:val="00124DB1"/>
    <w:rsid w:val="00124EEF"/>
    <w:rsid w:val="00125226"/>
    <w:rsid w:val="001253E4"/>
    <w:rsid w:val="00126770"/>
    <w:rsid w:val="00126BC4"/>
    <w:rsid w:val="00127E17"/>
    <w:rsid w:val="0013013E"/>
    <w:rsid w:val="001305E6"/>
    <w:rsid w:val="001309BE"/>
    <w:rsid w:val="00130EE0"/>
    <w:rsid w:val="00131181"/>
    <w:rsid w:val="0013135F"/>
    <w:rsid w:val="00131741"/>
    <w:rsid w:val="00131A0E"/>
    <w:rsid w:val="00131AFC"/>
    <w:rsid w:val="0013202B"/>
    <w:rsid w:val="001320AA"/>
    <w:rsid w:val="001322D3"/>
    <w:rsid w:val="001329AA"/>
    <w:rsid w:val="00132D26"/>
    <w:rsid w:val="0013347A"/>
    <w:rsid w:val="001335EB"/>
    <w:rsid w:val="00133689"/>
    <w:rsid w:val="00133A55"/>
    <w:rsid w:val="00133B00"/>
    <w:rsid w:val="00133C0A"/>
    <w:rsid w:val="00133DCB"/>
    <w:rsid w:val="00134216"/>
    <w:rsid w:val="00134C5F"/>
    <w:rsid w:val="00134E00"/>
    <w:rsid w:val="00134E1F"/>
    <w:rsid w:val="00134E56"/>
    <w:rsid w:val="00134F64"/>
    <w:rsid w:val="001358E4"/>
    <w:rsid w:val="00135C48"/>
    <w:rsid w:val="00135E97"/>
    <w:rsid w:val="00135FDA"/>
    <w:rsid w:val="0013635D"/>
    <w:rsid w:val="00136624"/>
    <w:rsid w:val="00136F1C"/>
    <w:rsid w:val="00136F23"/>
    <w:rsid w:val="001371FD"/>
    <w:rsid w:val="00137734"/>
    <w:rsid w:val="00137C1D"/>
    <w:rsid w:val="00140BEB"/>
    <w:rsid w:val="00141DBC"/>
    <w:rsid w:val="001422D5"/>
    <w:rsid w:val="001422E8"/>
    <w:rsid w:val="00142396"/>
    <w:rsid w:val="001423BA"/>
    <w:rsid w:val="00142405"/>
    <w:rsid w:val="0014289D"/>
    <w:rsid w:val="00142E9F"/>
    <w:rsid w:val="00143433"/>
    <w:rsid w:val="00143C52"/>
    <w:rsid w:val="00143EF8"/>
    <w:rsid w:val="00143F06"/>
    <w:rsid w:val="00144700"/>
    <w:rsid w:val="00144A38"/>
    <w:rsid w:val="00144B18"/>
    <w:rsid w:val="00144C98"/>
    <w:rsid w:val="00144CAD"/>
    <w:rsid w:val="00144F55"/>
    <w:rsid w:val="001456D1"/>
    <w:rsid w:val="00145A34"/>
    <w:rsid w:val="00145A7D"/>
    <w:rsid w:val="00145CBC"/>
    <w:rsid w:val="00145D7F"/>
    <w:rsid w:val="001464BF"/>
    <w:rsid w:val="00146895"/>
    <w:rsid w:val="0014689B"/>
    <w:rsid w:val="00147177"/>
    <w:rsid w:val="0014717D"/>
    <w:rsid w:val="001471B0"/>
    <w:rsid w:val="00147394"/>
    <w:rsid w:val="00147A10"/>
    <w:rsid w:val="0015005E"/>
    <w:rsid w:val="0015040E"/>
    <w:rsid w:val="0015042D"/>
    <w:rsid w:val="001511B0"/>
    <w:rsid w:val="001513DD"/>
    <w:rsid w:val="001521DB"/>
    <w:rsid w:val="00152245"/>
    <w:rsid w:val="0015242C"/>
    <w:rsid w:val="00153F7B"/>
    <w:rsid w:val="001541C5"/>
    <w:rsid w:val="0015433E"/>
    <w:rsid w:val="00154A7B"/>
    <w:rsid w:val="00154AB2"/>
    <w:rsid w:val="00155655"/>
    <w:rsid w:val="00155BBB"/>
    <w:rsid w:val="00155E8A"/>
    <w:rsid w:val="00155F45"/>
    <w:rsid w:val="00156059"/>
    <w:rsid w:val="00156184"/>
    <w:rsid w:val="00156512"/>
    <w:rsid w:val="00156677"/>
    <w:rsid w:val="0015788D"/>
    <w:rsid w:val="00157C53"/>
    <w:rsid w:val="00157ECB"/>
    <w:rsid w:val="00157FFD"/>
    <w:rsid w:val="001603DE"/>
    <w:rsid w:val="001604E4"/>
    <w:rsid w:val="001604FA"/>
    <w:rsid w:val="0016062A"/>
    <w:rsid w:val="00160D82"/>
    <w:rsid w:val="001611F0"/>
    <w:rsid w:val="0016139A"/>
    <w:rsid w:val="0016152B"/>
    <w:rsid w:val="00161B01"/>
    <w:rsid w:val="00161B25"/>
    <w:rsid w:val="00161DBF"/>
    <w:rsid w:val="00162435"/>
    <w:rsid w:val="00162785"/>
    <w:rsid w:val="00162B3E"/>
    <w:rsid w:val="001634B9"/>
    <w:rsid w:val="001634E6"/>
    <w:rsid w:val="001635DF"/>
    <w:rsid w:val="00163979"/>
    <w:rsid w:val="00163EFC"/>
    <w:rsid w:val="0016428B"/>
    <w:rsid w:val="00164305"/>
    <w:rsid w:val="00164462"/>
    <w:rsid w:val="00164C3B"/>
    <w:rsid w:val="00164CDC"/>
    <w:rsid w:val="00164D4E"/>
    <w:rsid w:val="00164F14"/>
    <w:rsid w:val="001658A8"/>
    <w:rsid w:val="00165BCD"/>
    <w:rsid w:val="0016686B"/>
    <w:rsid w:val="00167D20"/>
    <w:rsid w:val="00167E98"/>
    <w:rsid w:val="00170223"/>
    <w:rsid w:val="00170ACB"/>
    <w:rsid w:val="00171763"/>
    <w:rsid w:val="00171820"/>
    <w:rsid w:val="00171FE7"/>
    <w:rsid w:val="00172678"/>
    <w:rsid w:val="0017280F"/>
    <w:rsid w:val="00173253"/>
    <w:rsid w:val="00173458"/>
    <w:rsid w:val="00173B96"/>
    <w:rsid w:val="001741D6"/>
    <w:rsid w:val="0017488F"/>
    <w:rsid w:val="001748ED"/>
    <w:rsid w:val="00174EEA"/>
    <w:rsid w:val="001750F0"/>
    <w:rsid w:val="00175440"/>
    <w:rsid w:val="001759A3"/>
    <w:rsid w:val="00175BEF"/>
    <w:rsid w:val="00175F31"/>
    <w:rsid w:val="00176534"/>
    <w:rsid w:val="001767C1"/>
    <w:rsid w:val="00177230"/>
    <w:rsid w:val="00177FDE"/>
    <w:rsid w:val="00180203"/>
    <w:rsid w:val="001809AC"/>
    <w:rsid w:val="00181338"/>
    <w:rsid w:val="00181451"/>
    <w:rsid w:val="001819F4"/>
    <w:rsid w:val="0018266D"/>
    <w:rsid w:val="00182D81"/>
    <w:rsid w:val="0018409E"/>
    <w:rsid w:val="00184416"/>
    <w:rsid w:val="0018485D"/>
    <w:rsid w:val="00184B55"/>
    <w:rsid w:val="00185133"/>
    <w:rsid w:val="001853B7"/>
    <w:rsid w:val="001855B6"/>
    <w:rsid w:val="00185C19"/>
    <w:rsid w:val="00185D60"/>
    <w:rsid w:val="00185D92"/>
    <w:rsid w:val="00185FE9"/>
    <w:rsid w:val="00186812"/>
    <w:rsid w:val="00186B3C"/>
    <w:rsid w:val="00186B49"/>
    <w:rsid w:val="00186D6E"/>
    <w:rsid w:val="00187001"/>
    <w:rsid w:val="0018723E"/>
    <w:rsid w:val="001878C5"/>
    <w:rsid w:val="001878DE"/>
    <w:rsid w:val="0019143A"/>
    <w:rsid w:val="00191CD5"/>
    <w:rsid w:val="00191CE1"/>
    <w:rsid w:val="00191E26"/>
    <w:rsid w:val="00192821"/>
    <w:rsid w:val="00192BC7"/>
    <w:rsid w:val="00193093"/>
    <w:rsid w:val="001934B2"/>
    <w:rsid w:val="001938DB"/>
    <w:rsid w:val="00193D67"/>
    <w:rsid w:val="00193E47"/>
    <w:rsid w:val="00193F45"/>
    <w:rsid w:val="00194706"/>
    <w:rsid w:val="001949B4"/>
    <w:rsid w:val="0019521F"/>
    <w:rsid w:val="0019589B"/>
    <w:rsid w:val="00195EFE"/>
    <w:rsid w:val="001961D2"/>
    <w:rsid w:val="00196802"/>
    <w:rsid w:val="0019785E"/>
    <w:rsid w:val="001A0947"/>
    <w:rsid w:val="001A0F93"/>
    <w:rsid w:val="001A102A"/>
    <w:rsid w:val="001A1CA6"/>
    <w:rsid w:val="001A2323"/>
    <w:rsid w:val="001A2AEB"/>
    <w:rsid w:val="001A2C08"/>
    <w:rsid w:val="001A330C"/>
    <w:rsid w:val="001A3CBE"/>
    <w:rsid w:val="001A3F70"/>
    <w:rsid w:val="001A4634"/>
    <w:rsid w:val="001A4843"/>
    <w:rsid w:val="001A4D19"/>
    <w:rsid w:val="001A51F1"/>
    <w:rsid w:val="001A53D7"/>
    <w:rsid w:val="001A569E"/>
    <w:rsid w:val="001A6398"/>
    <w:rsid w:val="001A64FE"/>
    <w:rsid w:val="001A6877"/>
    <w:rsid w:val="001A6A7D"/>
    <w:rsid w:val="001A6AD6"/>
    <w:rsid w:val="001A6D4D"/>
    <w:rsid w:val="001A7222"/>
    <w:rsid w:val="001A7954"/>
    <w:rsid w:val="001A7E77"/>
    <w:rsid w:val="001B0638"/>
    <w:rsid w:val="001B0947"/>
    <w:rsid w:val="001B0FB8"/>
    <w:rsid w:val="001B112D"/>
    <w:rsid w:val="001B1363"/>
    <w:rsid w:val="001B1EF3"/>
    <w:rsid w:val="001B2408"/>
    <w:rsid w:val="001B2601"/>
    <w:rsid w:val="001B28BF"/>
    <w:rsid w:val="001B2B17"/>
    <w:rsid w:val="001B3098"/>
    <w:rsid w:val="001B39F0"/>
    <w:rsid w:val="001B3A76"/>
    <w:rsid w:val="001B45E6"/>
    <w:rsid w:val="001B4677"/>
    <w:rsid w:val="001B4B33"/>
    <w:rsid w:val="001B51E1"/>
    <w:rsid w:val="001B5F4B"/>
    <w:rsid w:val="001B642C"/>
    <w:rsid w:val="001B65EB"/>
    <w:rsid w:val="001B68EB"/>
    <w:rsid w:val="001B69B5"/>
    <w:rsid w:val="001B6F0A"/>
    <w:rsid w:val="001B6FB7"/>
    <w:rsid w:val="001B7146"/>
    <w:rsid w:val="001B73E4"/>
    <w:rsid w:val="001B7412"/>
    <w:rsid w:val="001B7D3B"/>
    <w:rsid w:val="001C0471"/>
    <w:rsid w:val="001C0735"/>
    <w:rsid w:val="001C07FE"/>
    <w:rsid w:val="001C098E"/>
    <w:rsid w:val="001C0C07"/>
    <w:rsid w:val="001C0DFE"/>
    <w:rsid w:val="001C101D"/>
    <w:rsid w:val="001C11F7"/>
    <w:rsid w:val="001C18E5"/>
    <w:rsid w:val="001C2D00"/>
    <w:rsid w:val="001C2ED9"/>
    <w:rsid w:val="001C2EE5"/>
    <w:rsid w:val="001C389A"/>
    <w:rsid w:val="001C3EB6"/>
    <w:rsid w:val="001C3EDB"/>
    <w:rsid w:val="001C4527"/>
    <w:rsid w:val="001C48AF"/>
    <w:rsid w:val="001C5DEC"/>
    <w:rsid w:val="001C631F"/>
    <w:rsid w:val="001C6853"/>
    <w:rsid w:val="001C6A06"/>
    <w:rsid w:val="001C7BAB"/>
    <w:rsid w:val="001C7DF2"/>
    <w:rsid w:val="001C7EF2"/>
    <w:rsid w:val="001C7FFD"/>
    <w:rsid w:val="001D0BA8"/>
    <w:rsid w:val="001D0C4A"/>
    <w:rsid w:val="001D0EF3"/>
    <w:rsid w:val="001D0F04"/>
    <w:rsid w:val="001D0F2F"/>
    <w:rsid w:val="001D11D4"/>
    <w:rsid w:val="001D1AB8"/>
    <w:rsid w:val="001D23CC"/>
    <w:rsid w:val="001D2494"/>
    <w:rsid w:val="001D24B6"/>
    <w:rsid w:val="001D31CB"/>
    <w:rsid w:val="001D3AFE"/>
    <w:rsid w:val="001D3D1E"/>
    <w:rsid w:val="001D47B7"/>
    <w:rsid w:val="001D4AD9"/>
    <w:rsid w:val="001D4D5C"/>
    <w:rsid w:val="001D548B"/>
    <w:rsid w:val="001D549E"/>
    <w:rsid w:val="001D5B24"/>
    <w:rsid w:val="001D5CBF"/>
    <w:rsid w:val="001D612C"/>
    <w:rsid w:val="001D6C38"/>
    <w:rsid w:val="001D6DE3"/>
    <w:rsid w:val="001D70DD"/>
    <w:rsid w:val="001D7487"/>
    <w:rsid w:val="001D75CC"/>
    <w:rsid w:val="001D777F"/>
    <w:rsid w:val="001E00AD"/>
    <w:rsid w:val="001E011B"/>
    <w:rsid w:val="001E04B6"/>
    <w:rsid w:val="001E085E"/>
    <w:rsid w:val="001E09A4"/>
    <w:rsid w:val="001E0A37"/>
    <w:rsid w:val="001E0E99"/>
    <w:rsid w:val="001E19BC"/>
    <w:rsid w:val="001E2040"/>
    <w:rsid w:val="001E21B1"/>
    <w:rsid w:val="001E225C"/>
    <w:rsid w:val="001E2696"/>
    <w:rsid w:val="001E28D3"/>
    <w:rsid w:val="001E3F01"/>
    <w:rsid w:val="001E45C5"/>
    <w:rsid w:val="001E4815"/>
    <w:rsid w:val="001E5545"/>
    <w:rsid w:val="001E5A21"/>
    <w:rsid w:val="001E5F15"/>
    <w:rsid w:val="001E629E"/>
    <w:rsid w:val="001E70D6"/>
    <w:rsid w:val="001E7A16"/>
    <w:rsid w:val="001E7A3B"/>
    <w:rsid w:val="001E7C1E"/>
    <w:rsid w:val="001F0787"/>
    <w:rsid w:val="001F1486"/>
    <w:rsid w:val="001F17BF"/>
    <w:rsid w:val="001F1D5D"/>
    <w:rsid w:val="001F1D6D"/>
    <w:rsid w:val="001F202B"/>
    <w:rsid w:val="001F20AB"/>
    <w:rsid w:val="001F2651"/>
    <w:rsid w:val="001F2704"/>
    <w:rsid w:val="001F2F6B"/>
    <w:rsid w:val="001F3076"/>
    <w:rsid w:val="001F30E4"/>
    <w:rsid w:val="001F32D9"/>
    <w:rsid w:val="001F36C8"/>
    <w:rsid w:val="001F3D02"/>
    <w:rsid w:val="001F3FB1"/>
    <w:rsid w:val="001F3FFC"/>
    <w:rsid w:val="001F43A2"/>
    <w:rsid w:val="001F44BA"/>
    <w:rsid w:val="001F45E6"/>
    <w:rsid w:val="001F4982"/>
    <w:rsid w:val="001F4A59"/>
    <w:rsid w:val="001F51C8"/>
    <w:rsid w:val="001F57B6"/>
    <w:rsid w:val="001F57C8"/>
    <w:rsid w:val="001F5DFB"/>
    <w:rsid w:val="001F6109"/>
    <w:rsid w:val="001F642D"/>
    <w:rsid w:val="001F709F"/>
    <w:rsid w:val="0020017E"/>
    <w:rsid w:val="0020020D"/>
    <w:rsid w:val="00200516"/>
    <w:rsid w:val="0020055D"/>
    <w:rsid w:val="002005D7"/>
    <w:rsid w:val="00200845"/>
    <w:rsid w:val="00200B55"/>
    <w:rsid w:val="00201545"/>
    <w:rsid w:val="00201D20"/>
    <w:rsid w:val="00201F9D"/>
    <w:rsid w:val="002033C7"/>
    <w:rsid w:val="002035C4"/>
    <w:rsid w:val="0020391F"/>
    <w:rsid w:val="00203D4A"/>
    <w:rsid w:val="00204D61"/>
    <w:rsid w:val="002054E3"/>
    <w:rsid w:val="00205B3B"/>
    <w:rsid w:val="00205F45"/>
    <w:rsid w:val="00206DF3"/>
    <w:rsid w:val="00206E45"/>
    <w:rsid w:val="002075C2"/>
    <w:rsid w:val="0020780F"/>
    <w:rsid w:val="00210058"/>
    <w:rsid w:val="00210161"/>
    <w:rsid w:val="002105FD"/>
    <w:rsid w:val="00210768"/>
    <w:rsid w:val="00210DAF"/>
    <w:rsid w:val="00210EF0"/>
    <w:rsid w:val="0021103A"/>
    <w:rsid w:val="002124BB"/>
    <w:rsid w:val="00212939"/>
    <w:rsid w:val="0021347C"/>
    <w:rsid w:val="002136EB"/>
    <w:rsid w:val="00213853"/>
    <w:rsid w:val="00215196"/>
    <w:rsid w:val="0021528C"/>
    <w:rsid w:val="00215320"/>
    <w:rsid w:val="0021567C"/>
    <w:rsid w:val="0021607C"/>
    <w:rsid w:val="00216091"/>
    <w:rsid w:val="00216571"/>
    <w:rsid w:val="00216699"/>
    <w:rsid w:val="0021678B"/>
    <w:rsid w:val="00216919"/>
    <w:rsid w:val="00216A4E"/>
    <w:rsid w:val="00216BEA"/>
    <w:rsid w:val="002176E3"/>
    <w:rsid w:val="002178B0"/>
    <w:rsid w:val="00217C0A"/>
    <w:rsid w:val="00217E10"/>
    <w:rsid w:val="00217FD8"/>
    <w:rsid w:val="0022074A"/>
    <w:rsid w:val="002207A8"/>
    <w:rsid w:val="00220F16"/>
    <w:rsid w:val="002212C1"/>
    <w:rsid w:val="002215BE"/>
    <w:rsid w:val="00221D1E"/>
    <w:rsid w:val="00222058"/>
    <w:rsid w:val="00222CD7"/>
    <w:rsid w:val="0022363A"/>
    <w:rsid w:val="00224102"/>
    <w:rsid w:val="002247A1"/>
    <w:rsid w:val="00224869"/>
    <w:rsid w:val="002249B5"/>
    <w:rsid w:val="00224ADD"/>
    <w:rsid w:val="00225037"/>
    <w:rsid w:val="00225BDF"/>
    <w:rsid w:val="00225D28"/>
    <w:rsid w:val="00226332"/>
    <w:rsid w:val="002277AE"/>
    <w:rsid w:val="002277F5"/>
    <w:rsid w:val="00227BFB"/>
    <w:rsid w:val="0023035C"/>
    <w:rsid w:val="00230442"/>
    <w:rsid w:val="00230F2E"/>
    <w:rsid w:val="002313BC"/>
    <w:rsid w:val="00231457"/>
    <w:rsid w:val="0023153A"/>
    <w:rsid w:val="00232A48"/>
    <w:rsid w:val="00232B47"/>
    <w:rsid w:val="00232F5B"/>
    <w:rsid w:val="0023323E"/>
    <w:rsid w:val="00233DE0"/>
    <w:rsid w:val="00234801"/>
    <w:rsid w:val="002348BA"/>
    <w:rsid w:val="0023547C"/>
    <w:rsid w:val="0023573A"/>
    <w:rsid w:val="00235A76"/>
    <w:rsid w:val="00235B09"/>
    <w:rsid w:val="00235D1F"/>
    <w:rsid w:val="00235F71"/>
    <w:rsid w:val="002361CC"/>
    <w:rsid w:val="00236220"/>
    <w:rsid w:val="0023683B"/>
    <w:rsid w:val="0023739E"/>
    <w:rsid w:val="002373CB"/>
    <w:rsid w:val="0023743D"/>
    <w:rsid w:val="0023777C"/>
    <w:rsid w:val="00237AB5"/>
    <w:rsid w:val="00237ABA"/>
    <w:rsid w:val="00237B78"/>
    <w:rsid w:val="00237E0E"/>
    <w:rsid w:val="00240026"/>
    <w:rsid w:val="00240365"/>
    <w:rsid w:val="002405B1"/>
    <w:rsid w:val="00241568"/>
    <w:rsid w:val="00241ABE"/>
    <w:rsid w:val="0024388A"/>
    <w:rsid w:val="002439AE"/>
    <w:rsid w:val="002441A7"/>
    <w:rsid w:val="00244243"/>
    <w:rsid w:val="002444F8"/>
    <w:rsid w:val="00244FEF"/>
    <w:rsid w:val="00245905"/>
    <w:rsid w:val="00245BB2"/>
    <w:rsid w:val="00245C1F"/>
    <w:rsid w:val="00245D61"/>
    <w:rsid w:val="00246BD0"/>
    <w:rsid w:val="00246E68"/>
    <w:rsid w:val="00246E6A"/>
    <w:rsid w:val="00247565"/>
    <w:rsid w:val="00247807"/>
    <w:rsid w:val="00247E73"/>
    <w:rsid w:val="002501C0"/>
    <w:rsid w:val="00250229"/>
    <w:rsid w:val="002503E6"/>
    <w:rsid w:val="00250720"/>
    <w:rsid w:val="00250980"/>
    <w:rsid w:val="002511AA"/>
    <w:rsid w:val="00251285"/>
    <w:rsid w:val="0025159E"/>
    <w:rsid w:val="00252004"/>
    <w:rsid w:val="002520A7"/>
    <w:rsid w:val="00252626"/>
    <w:rsid w:val="0025271B"/>
    <w:rsid w:val="00252D9B"/>
    <w:rsid w:val="00252F31"/>
    <w:rsid w:val="00253850"/>
    <w:rsid w:val="00253D8A"/>
    <w:rsid w:val="00253E55"/>
    <w:rsid w:val="002541AB"/>
    <w:rsid w:val="002545AA"/>
    <w:rsid w:val="002550DE"/>
    <w:rsid w:val="00255268"/>
    <w:rsid w:val="0025557F"/>
    <w:rsid w:val="002559B4"/>
    <w:rsid w:val="00255E41"/>
    <w:rsid w:val="0025639F"/>
    <w:rsid w:val="002563F2"/>
    <w:rsid w:val="00256960"/>
    <w:rsid w:val="002573C2"/>
    <w:rsid w:val="002575BC"/>
    <w:rsid w:val="00257C88"/>
    <w:rsid w:val="002607C9"/>
    <w:rsid w:val="0026091E"/>
    <w:rsid w:val="00260F22"/>
    <w:rsid w:val="00261785"/>
    <w:rsid w:val="00261CCF"/>
    <w:rsid w:val="00261D3F"/>
    <w:rsid w:val="00261E38"/>
    <w:rsid w:val="00261F4C"/>
    <w:rsid w:val="00261F66"/>
    <w:rsid w:val="002625DE"/>
    <w:rsid w:val="002627CC"/>
    <w:rsid w:val="00262DFB"/>
    <w:rsid w:val="002630F4"/>
    <w:rsid w:val="002638E7"/>
    <w:rsid w:val="00264040"/>
    <w:rsid w:val="002644FE"/>
    <w:rsid w:val="0026473B"/>
    <w:rsid w:val="00264F04"/>
    <w:rsid w:val="002658FC"/>
    <w:rsid w:val="002660F7"/>
    <w:rsid w:val="00266675"/>
    <w:rsid w:val="0026678D"/>
    <w:rsid w:val="0026696C"/>
    <w:rsid w:val="00266FE9"/>
    <w:rsid w:val="0026718B"/>
    <w:rsid w:val="002674C1"/>
    <w:rsid w:val="00267EC5"/>
    <w:rsid w:val="0027012D"/>
    <w:rsid w:val="002703FA"/>
    <w:rsid w:val="002706A1"/>
    <w:rsid w:val="00270982"/>
    <w:rsid w:val="002709AA"/>
    <w:rsid w:val="00270D0E"/>
    <w:rsid w:val="00271ED9"/>
    <w:rsid w:val="002720A4"/>
    <w:rsid w:val="002726AA"/>
    <w:rsid w:val="00272A54"/>
    <w:rsid w:val="00272CF4"/>
    <w:rsid w:val="00272D55"/>
    <w:rsid w:val="00272EC5"/>
    <w:rsid w:val="00273A07"/>
    <w:rsid w:val="002741B9"/>
    <w:rsid w:val="002742BD"/>
    <w:rsid w:val="002743AA"/>
    <w:rsid w:val="002743D9"/>
    <w:rsid w:val="00274486"/>
    <w:rsid w:val="00274672"/>
    <w:rsid w:val="0027478B"/>
    <w:rsid w:val="002747A4"/>
    <w:rsid w:val="00274E89"/>
    <w:rsid w:val="00275500"/>
    <w:rsid w:val="00275735"/>
    <w:rsid w:val="00275823"/>
    <w:rsid w:val="00275AE9"/>
    <w:rsid w:val="00275DAA"/>
    <w:rsid w:val="00275EF3"/>
    <w:rsid w:val="002760EF"/>
    <w:rsid w:val="00276241"/>
    <w:rsid w:val="0027637C"/>
    <w:rsid w:val="0027675C"/>
    <w:rsid w:val="00277A05"/>
    <w:rsid w:val="00277B87"/>
    <w:rsid w:val="00277C3D"/>
    <w:rsid w:val="00277D9A"/>
    <w:rsid w:val="0028082E"/>
    <w:rsid w:val="002814F3"/>
    <w:rsid w:val="00281CE5"/>
    <w:rsid w:val="00281D45"/>
    <w:rsid w:val="0028222C"/>
    <w:rsid w:val="002824B3"/>
    <w:rsid w:val="002833A5"/>
    <w:rsid w:val="0028348A"/>
    <w:rsid w:val="00283855"/>
    <w:rsid w:val="00283A31"/>
    <w:rsid w:val="0028489D"/>
    <w:rsid w:val="002848A8"/>
    <w:rsid w:val="0028507E"/>
    <w:rsid w:val="002850AD"/>
    <w:rsid w:val="00285911"/>
    <w:rsid w:val="00285E90"/>
    <w:rsid w:val="0028608E"/>
    <w:rsid w:val="00286609"/>
    <w:rsid w:val="002868FB"/>
    <w:rsid w:val="00286AA5"/>
    <w:rsid w:val="00286B10"/>
    <w:rsid w:val="00286F22"/>
    <w:rsid w:val="0028765E"/>
    <w:rsid w:val="0029077B"/>
    <w:rsid w:val="00291315"/>
    <w:rsid w:val="002915B3"/>
    <w:rsid w:val="0029198C"/>
    <w:rsid w:val="00291CC6"/>
    <w:rsid w:val="00291E66"/>
    <w:rsid w:val="002920CE"/>
    <w:rsid w:val="00292673"/>
    <w:rsid w:val="00292774"/>
    <w:rsid w:val="00292E14"/>
    <w:rsid w:val="0029331D"/>
    <w:rsid w:val="002934EE"/>
    <w:rsid w:val="00293C9B"/>
    <w:rsid w:val="00293F1B"/>
    <w:rsid w:val="00293F5D"/>
    <w:rsid w:val="00294313"/>
    <w:rsid w:val="0029514F"/>
    <w:rsid w:val="002954CE"/>
    <w:rsid w:val="00295690"/>
    <w:rsid w:val="00295A24"/>
    <w:rsid w:val="00296C0B"/>
    <w:rsid w:val="002970B0"/>
    <w:rsid w:val="00297155"/>
    <w:rsid w:val="00297371"/>
    <w:rsid w:val="0029764A"/>
    <w:rsid w:val="0029776E"/>
    <w:rsid w:val="002A0279"/>
    <w:rsid w:val="002A054F"/>
    <w:rsid w:val="002A0B74"/>
    <w:rsid w:val="002A0FD8"/>
    <w:rsid w:val="002A1352"/>
    <w:rsid w:val="002A1645"/>
    <w:rsid w:val="002A1FF5"/>
    <w:rsid w:val="002A21C0"/>
    <w:rsid w:val="002A245D"/>
    <w:rsid w:val="002A24EC"/>
    <w:rsid w:val="002A2C78"/>
    <w:rsid w:val="002A2C80"/>
    <w:rsid w:val="002A3C3B"/>
    <w:rsid w:val="002A3CDB"/>
    <w:rsid w:val="002A3CE1"/>
    <w:rsid w:val="002A45A4"/>
    <w:rsid w:val="002A4D42"/>
    <w:rsid w:val="002A5587"/>
    <w:rsid w:val="002A5851"/>
    <w:rsid w:val="002A59EA"/>
    <w:rsid w:val="002A5D02"/>
    <w:rsid w:val="002A6578"/>
    <w:rsid w:val="002A65BB"/>
    <w:rsid w:val="002A72B7"/>
    <w:rsid w:val="002A7787"/>
    <w:rsid w:val="002B00B5"/>
    <w:rsid w:val="002B0475"/>
    <w:rsid w:val="002B0F35"/>
    <w:rsid w:val="002B1254"/>
    <w:rsid w:val="002B1CB8"/>
    <w:rsid w:val="002B20D5"/>
    <w:rsid w:val="002B26A2"/>
    <w:rsid w:val="002B27DF"/>
    <w:rsid w:val="002B29C1"/>
    <w:rsid w:val="002B3542"/>
    <w:rsid w:val="002B3FA1"/>
    <w:rsid w:val="002B3FDB"/>
    <w:rsid w:val="002B409A"/>
    <w:rsid w:val="002B4584"/>
    <w:rsid w:val="002B4CDC"/>
    <w:rsid w:val="002B4D15"/>
    <w:rsid w:val="002B5B73"/>
    <w:rsid w:val="002B5BB3"/>
    <w:rsid w:val="002B5F15"/>
    <w:rsid w:val="002B60EC"/>
    <w:rsid w:val="002B638E"/>
    <w:rsid w:val="002B6483"/>
    <w:rsid w:val="002B7A00"/>
    <w:rsid w:val="002C0409"/>
    <w:rsid w:val="002C0CDD"/>
    <w:rsid w:val="002C0DD6"/>
    <w:rsid w:val="002C0F9C"/>
    <w:rsid w:val="002C1280"/>
    <w:rsid w:val="002C17AB"/>
    <w:rsid w:val="002C1C3E"/>
    <w:rsid w:val="002C1F5E"/>
    <w:rsid w:val="002C2004"/>
    <w:rsid w:val="002C256D"/>
    <w:rsid w:val="002C28FE"/>
    <w:rsid w:val="002C2B2A"/>
    <w:rsid w:val="002C2DA2"/>
    <w:rsid w:val="002C2E59"/>
    <w:rsid w:val="002C396E"/>
    <w:rsid w:val="002C3C5B"/>
    <w:rsid w:val="002C460D"/>
    <w:rsid w:val="002C49F9"/>
    <w:rsid w:val="002C4AA9"/>
    <w:rsid w:val="002C4E59"/>
    <w:rsid w:val="002C583C"/>
    <w:rsid w:val="002C65E8"/>
    <w:rsid w:val="002C66E4"/>
    <w:rsid w:val="002C6A0F"/>
    <w:rsid w:val="002C6F9C"/>
    <w:rsid w:val="002C7428"/>
    <w:rsid w:val="002C75A9"/>
    <w:rsid w:val="002C7A20"/>
    <w:rsid w:val="002D0EB0"/>
    <w:rsid w:val="002D181C"/>
    <w:rsid w:val="002D1D9C"/>
    <w:rsid w:val="002D1FBE"/>
    <w:rsid w:val="002D25C8"/>
    <w:rsid w:val="002D27F4"/>
    <w:rsid w:val="002D2E29"/>
    <w:rsid w:val="002D4402"/>
    <w:rsid w:val="002D456A"/>
    <w:rsid w:val="002D486D"/>
    <w:rsid w:val="002D4D52"/>
    <w:rsid w:val="002D5054"/>
    <w:rsid w:val="002D5069"/>
    <w:rsid w:val="002D5273"/>
    <w:rsid w:val="002D5355"/>
    <w:rsid w:val="002D54EB"/>
    <w:rsid w:val="002D58D3"/>
    <w:rsid w:val="002D60EB"/>
    <w:rsid w:val="002D68E2"/>
    <w:rsid w:val="002D7008"/>
    <w:rsid w:val="002D713E"/>
    <w:rsid w:val="002D7159"/>
    <w:rsid w:val="002D7F43"/>
    <w:rsid w:val="002D7F81"/>
    <w:rsid w:val="002E0216"/>
    <w:rsid w:val="002E07BD"/>
    <w:rsid w:val="002E0A9F"/>
    <w:rsid w:val="002E0C64"/>
    <w:rsid w:val="002E1044"/>
    <w:rsid w:val="002E1216"/>
    <w:rsid w:val="002E1AA8"/>
    <w:rsid w:val="002E25D9"/>
    <w:rsid w:val="002E2A64"/>
    <w:rsid w:val="002E2E98"/>
    <w:rsid w:val="002E31E0"/>
    <w:rsid w:val="002E323F"/>
    <w:rsid w:val="002E3330"/>
    <w:rsid w:val="002E375D"/>
    <w:rsid w:val="002E3765"/>
    <w:rsid w:val="002E3B08"/>
    <w:rsid w:val="002E3EC1"/>
    <w:rsid w:val="002E451A"/>
    <w:rsid w:val="002E4533"/>
    <w:rsid w:val="002E4B23"/>
    <w:rsid w:val="002E4D36"/>
    <w:rsid w:val="002E4FFA"/>
    <w:rsid w:val="002E67BD"/>
    <w:rsid w:val="002E694E"/>
    <w:rsid w:val="002E69BA"/>
    <w:rsid w:val="002E6C92"/>
    <w:rsid w:val="002E6DD6"/>
    <w:rsid w:val="002E715D"/>
    <w:rsid w:val="002E718D"/>
    <w:rsid w:val="002E7A5B"/>
    <w:rsid w:val="002E7BDA"/>
    <w:rsid w:val="002E7EC4"/>
    <w:rsid w:val="002F006A"/>
    <w:rsid w:val="002F0CF8"/>
    <w:rsid w:val="002F0E82"/>
    <w:rsid w:val="002F10FE"/>
    <w:rsid w:val="002F1222"/>
    <w:rsid w:val="002F127F"/>
    <w:rsid w:val="002F1B72"/>
    <w:rsid w:val="002F1D6F"/>
    <w:rsid w:val="002F1ED0"/>
    <w:rsid w:val="002F201C"/>
    <w:rsid w:val="002F23FB"/>
    <w:rsid w:val="002F2884"/>
    <w:rsid w:val="002F28FA"/>
    <w:rsid w:val="002F2B38"/>
    <w:rsid w:val="002F3304"/>
    <w:rsid w:val="002F3C71"/>
    <w:rsid w:val="002F4049"/>
    <w:rsid w:val="002F45E3"/>
    <w:rsid w:val="002F4E4A"/>
    <w:rsid w:val="002F51F8"/>
    <w:rsid w:val="002F5FF8"/>
    <w:rsid w:val="002F6389"/>
    <w:rsid w:val="002F63F9"/>
    <w:rsid w:val="002F6A6F"/>
    <w:rsid w:val="002F6AEA"/>
    <w:rsid w:val="002F6DF0"/>
    <w:rsid w:val="002F727F"/>
    <w:rsid w:val="002F7454"/>
    <w:rsid w:val="002F750A"/>
    <w:rsid w:val="002F762A"/>
    <w:rsid w:val="002F7AE5"/>
    <w:rsid w:val="002F7E0A"/>
    <w:rsid w:val="00300695"/>
    <w:rsid w:val="00301255"/>
    <w:rsid w:val="00301730"/>
    <w:rsid w:val="003017F2"/>
    <w:rsid w:val="00302920"/>
    <w:rsid w:val="003029F7"/>
    <w:rsid w:val="003037E0"/>
    <w:rsid w:val="003042DA"/>
    <w:rsid w:val="00305717"/>
    <w:rsid w:val="0030608F"/>
    <w:rsid w:val="00306093"/>
    <w:rsid w:val="00306A7E"/>
    <w:rsid w:val="00307221"/>
    <w:rsid w:val="003076E8"/>
    <w:rsid w:val="00307D62"/>
    <w:rsid w:val="00307F74"/>
    <w:rsid w:val="00310547"/>
    <w:rsid w:val="003105DC"/>
    <w:rsid w:val="00311572"/>
    <w:rsid w:val="0031231E"/>
    <w:rsid w:val="00312628"/>
    <w:rsid w:val="003128BA"/>
    <w:rsid w:val="00312AC7"/>
    <w:rsid w:val="00313D30"/>
    <w:rsid w:val="00314602"/>
    <w:rsid w:val="00314E12"/>
    <w:rsid w:val="00314E6B"/>
    <w:rsid w:val="003153A1"/>
    <w:rsid w:val="003153A5"/>
    <w:rsid w:val="00315437"/>
    <w:rsid w:val="003154C6"/>
    <w:rsid w:val="003159CF"/>
    <w:rsid w:val="00315B0B"/>
    <w:rsid w:val="003164FB"/>
    <w:rsid w:val="0031660F"/>
    <w:rsid w:val="00316960"/>
    <w:rsid w:val="00316C0B"/>
    <w:rsid w:val="00316DD6"/>
    <w:rsid w:val="00316F8E"/>
    <w:rsid w:val="0031717F"/>
    <w:rsid w:val="00317473"/>
    <w:rsid w:val="003174AC"/>
    <w:rsid w:val="003174EA"/>
    <w:rsid w:val="00317697"/>
    <w:rsid w:val="003178DE"/>
    <w:rsid w:val="00320814"/>
    <w:rsid w:val="0032151D"/>
    <w:rsid w:val="0032158B"/>
    <w:rsid w:val="0032164F"/>
    <w:rsid w:val="00321AC0"/>
    <w:rsid w:val="00321F80"/>
    <w:rsid w:val="00322774"/>
    <w:rsid w:val="00322B15"/>
    <w:rsid w:val="003236D0"/>
    <w:rsid w:val="00323937"/>
    <w:rsid w:val="00323D32"/>
    <w:rsid w:val="00323DED"/>
    <w:rsid w:val="00323F2D"/>
    <w:rsid w:val="00324534"/>
    <w:rsid w:val="00324536"/>
    <w:rsid w:val="003245FB"/>
    <w:rsid w:val="0032480A"/>
    <w:rsid w:val="003249BA"/>
    <w:rsid w:val="00324E46"/>
    <w:rsid w:val="003253F1"/>
    <w:rsid w:val="0032631F"/>
    <w:rsid w:val="003267BA"/>
    <w:rsid w:val="003268AC"/>
    <w:rsid w:val="003268F4"/>
    <w:rsid w:val="00326A09"/>
    <w:rsid w:val="003274D7"/>
    <w:rsid w:val="00327DF0"/>
    <w:rsid w:val="0033026C"/>
    <w:rsid w:val="00331128"/>
    <w:rsid w:val="00331357"/>
    <w:rsid w:val="003322FB"/>
    <w:rsid w:val="00332946"/>
    <w:rsid w:val="00332985"/>
    <w:rsid w:val="00332BFE"/>
    <w:rsid w:val="003334D9"/>
    <w:rsid w:val="003336B1"/>
    <w:rsid w:val="003336EE"/>
    <w:rsid w:val="003338EB"/>
    <w:rsid w:val="0033419E"/>
    <w:rsid w:val="00334252"/>
    <w:rsid w:val="00334641"/>
    <w:rsid w:val="00334684"/>
    <w:rsid w:val="00335247"/>
    <w:rsid w:val="0033525E"/>
    <w:rsid w:val="00336F6A"/>
    <w:rsid w:val="00336F7F"/>
    <w:rsid w:val="0033729C"/>
    <w:rsid w:val="003379D4"/>
    <w:rsid w:val="00337A82"/>
    <w:rsid w:val="003402A6"/>
    <w:rsid w:val="00340860"/>
    <w:rsid w:val="00340865"/>
    <w:rsid w:val="0034124D"/>
    <w:rsid w:val="0034158A"/>
    <w:rsid w:val="00341784"/>
    <w:rsid w:val="003417B4"/>
    <w:rsid w:val="003418A0"/>
    <w:rsid w:val="0034198A"/>
    <w:rsid w:val="00342C5A"/>
    <w:rsid w:val="00343AA0"/>
    <w:rsid w:val="00343AA7"/>
    <w:rsid w:val="00343B9E"/>
    <w:rsid w:val="0034457D"/>
    <w:rsid w:val="00344704"/>
    <w:rsid w:val="00344C9E"/>
    <w:rsid w:val="00344E83"/>
    <w:rsid w:val="00345097"/>
    <w:rsid w:val="00345669"/>
    <w:rsid w:val="00345EC7"/>
    <w:rsid w:val="00346A29"/>
    <w:rsid w:val="00346C71"/>
    <w:rsid w:val="00346DA8"/>
    <w:rsid w:val="0034740C"/>
    <w:rsid w:val="003474CC"/>
    <w:rsid w:val="00347F8B"/>
    <w:rsid w:val="00350179"/>
    <w:rsid w:val="003501A1"/>
    <w:rsid w:val="003501DD"/>
    <w:rsid w:val="003507AC"/>
    <w:rsid w:val="00350B79"/>
    <w:rsid w:val="00350B9A"/>
    <w:rsid w:val="00350D17"/>
    <w:rsid w:val="00351336"/>
    <w:rsid w:val="003526EB"/>
    <w:rsid w:val="00352BAE"/>
    <w:rsid w:val="00352D54"/>
    <w:rsid w:val="00352E16"/>
    <w:rsid w:val="00353622"/>
    <w:rsid w:val="00353694"/>
    <w:rsid w:val="00353924"/>
    <w:rsid w:val="00353EDE"/>
    <w:rsid w:val="00354138"/>
    <w:rsid w:val="00354232"/>
    <w:rsid w:val="003548EE"/>
    <w:rsid w:val="00354FDB"/>
    <w:rsid w:val="00355204"/>
    <w:rsid w:val="0035527F"/>
    <w:rsid w:val="0035586C"/>
    <w:rsid w:val="0035593C"/>
    <w:rsid w:val="00356851"/>
    <w:rsid w:val="00360170"/>
    <w:rsid w:val="0036086B"/>
    <w:rsid w:val="00360FD7"/>
    <w:rsid w:val="0036133D"/>
    <w:rsid w:val="00361F42"/>
    <w:rsid w:val="00362436"/>
    <w:rsid w:val="003628D7"/>
    <w:rsid w:val="00362AF0"/>
    <w:rsid w:val="003631E1"/>
    <w:rsid w:val="00363428"/>
    <w:rsid w:val="003638E1"/>
    <w:rsid w:val="00363CAF"/>
    <w:rsid w:val="003644BD"/>
    <w:rsid w:val="00365129"/>
    <w:rsid w:val="00365342"/>
    <w:rsid w:val="003654E3"/>
    <w:rsid w:val="003656E8"/>
    <w:rsid w:val="003657D6"/>
    <w:rsid w:val="00365AD8"/>
    <w:rsid w:val="00366035"/>
    <w:rsid w:val="003661B2"/>
    <w:rsid w:val="003661F0"/>
    <w:rsid w:val="0036650B"/>
    <w:rsid w:val="0036661D"/>
    <w:rsid w:val="00366874"/>
    <w:rsid w:val="0036749F"/>
    <w:rsid w:val="00367D97"/>
    <w:rsid w:val="00367FF3"/>
    <w:rsid w:val="00370529"/>
    <w:rsid w:val="00371523"/>
    <w:rsid w:val="003718BD"/>
    <w:rsid w:val="00372865"/>
    <w:rsid w:val="00373223"/>
    <w:rsid w:val="0037335B"/>
    <w:rsid w:val="003736E8"/>
    <w:rsid w:val="003737D8"/>
    <w:rsid w:val="00373C25"/>
    <w:rsid w:val="00373F94"/>
    <w:rsid w:val="003746A5"/>
    <w:rsid w:val="00374E5D"/>
    <w:rsid w:val="00374ED9"/>
    <w:rsid w:val="003750A9"/>
    <w:rsid w:val="00375895"/>
    <w:rsid w:val="00375C2F"/>
    <w:rsid w:val="00376BD6"/>
    <w:rsid w:val="00376C84"/>
    <w:rsid w:val="00376DE0"/>
    <w:rsid w:val="00377286"/>
    <w:rsid w:val="0038003C"/>
    <w:rsid w:val="00380837"/>
    <w:rsid w:val="00380995"/>
    <w:rsid w:val="00380CE8"/>
    <w:rsid w:val="00380EC2"/>
    <w:rsid w:val="00381490"/>
    <w:rsid w:val="00381575"/>
    <w:rsid w:val="003819A2"/>
    <w:rsid w:val="003824CD"/>
    <w:rsid w:val="003827ED"/>
    <w:rsid w:val="0038291A"/>
    <w:rsid w:val="003835C6"/>
    <w:rsid w:val="00383E33"/>
    <w:rsid w:val="00383F96"/>
    <w:rsid w:val="00384ABA"/>
    <w:rsid w:val="00384D05"/>
    <w:rsid w:val="003851E8"/>
    <w:rsid w:val="00385A3C"/>
    <w:rsid w:val="003873BD"/>
    <w:rsid w:val="003873D3"/>
    <w:rsid w:val="00387A26"/>
    <w:rsid w:val="003908FE"/>
    <w:rsid w:val="00390B2F"/>
    <w:rsid w:val="00392355"/>
    <w:rsid w:val="003926D3"/>
    <w:rsid w:val="00393308"/>
    <w:rsid w:val="00393507"/>
    <w:rsid w:val="00393DAF"/>
    <w:rsid w:val="00393F7F"/>
    <w:rsid w:val="00394BFB"/>
    <w:rsid w:val="00394DDD"/>
    <w:rsid w:val="0039537E"/>
    <w:rsid w:val="0039556C"/>
    <w:rsid w:val="00395F9D"/>
    <w:rsid w:val="00395FE3"/>
    <w:rsid w:val="00396433"/>
    <w:rsid w:val="003964EA"/>
    <w:rsid w:val="00396B15"/>
    <w:rsid w:val="003972FD"/>
    <w:rsid w:val="003975BF"/>
    <w:rsid w:val="00397721"/>
    <w:rsid w:val="00397A18"/>
    <w:rsid w:val="003A00ED"/>
    <w:rsid w:val="003A0398"/>
    <w:rsid w:val="003A09FC"/>
    <w:rsid w:val="003A0B21"/>
    <w:rsid w:val="003A0CD1"/>
    <w:rsid w:val="003A142E"/>
    <w:rsid w:val="003A1A42"/>
    <w:rsid w:val="003A1A55"/>
    <w:rsid w:val="003A2275"/>
    <w:rsid w:val="003A2282"/>
    <w:rsid w:val="003A2448"/>
    <w:rsid w:val="003A2B1A"/>
    <w:rsid w:val="003A306C"/>
    <w:rsid w:val="003A32A0"/>
    <w:rsid w:val="003A3422"/>
    <w:rsid w:val="003A3431"/>
    <w:rsid w:val="003A3746"/>
    <w:rsid w:val="003A38A7"/>
    <w:rsid w:val="003A3D4F"/>
    <w:rsid w:val="003A4290"/>
    <w:rsid w:val="003A4622"/>
    <w:rsid w:val="003A4FBF"/>
    <w:rsid w:val="003A522A"/>
    <w:rsid w:val="003A5413"/>
    <w:rsid w:val="003A5FDB"/>
    <w:rsid w:val="003A63DB"/>
    <w:rsid w:val="003A673A"/>
    <w:rsid w:val="003A7A06"/>
    <w:rsid w:val="003B0161"/>
    <w:rsid w:val="003B0171"/>
    <w:rsid w:val="003B0DA3"/>
    <w:rsid w:val="003B119A"/>
    <w:rsid w:val="003B1809"/>
    <w:rsid w:val="003B1893"/>
    <w:rsid w:val="003B1DAD"/>
    <w:rsid w:val="003B1DE6"/>
    <w:rsid w:val="003B1E30"/>
    <w:rsid w:val="003B1EEB"/>
    <w:rsid w:val="003B2091"/>
    <w:rsid w:val="003B22B2"/>
    <w:rsid w:val="003B344D"/>
    <w:rsid w:val="003B3503"/>
    <w:rsid w:val="003B38B7"/>
    <w:rsid w:val="003B39E5"/>
    <w:rsid w:val="003B3F1A"/>
    <w:rsid w:val="003B43DC"/>
    <w:rsid w:val="003B46A0"/>
    <w:rsid w:val="003B51A6"/>
    <w:rsid w:val="003B51ED"/>
    <w:rsid w:val="003B572D"/>
    <w:rsid w:val="003B57D1"/>
    <w:rsid w:val="003B57D5"/>
    <w:rsid w:val="003B5E8E"/>
    <w:rsid w:val="003B68EF"/>
    <w:rsid w:val="003B71A4"/>
    <w:rsid w:val="003B74F8"/>
    <w:rsid w:val="003B7965"/>
    <w:rsid w:val="003C2A46"/>
    <w:rsid w:val="003C2D5D"/>
    <w:rsid w:val="003C316A"/>
    <w:rsid w:val="003C3943"/>
    <w:rsid w:val="003C3E14"/>
    <w:rsid w:val="003C3F82"/>
    <w:rsid w:val="003C47CB"/>
    <w:rsid w:val="003C4918"/>
    <w:rsid w:val="003C49E5"/>
    <w:rsid w:val="003C4EC1"/>
    <w:rsid w:val="003C5824"/>
    <w:rsid w:val="003C5D72"/>
    <w:rsid w:val="003C601A"/>
    <w:rsid w:val="003C603A"/>
    <w:rsid w:val="003C6A42"/>
    <w:rsid w:val="003C7951"/>
    <w:rsid w:val="003C7B66"/>
    <w:rsid w:val="003C7F01"/>
    <w:rsid w:val="003C7F17"/>
    <w:rsid w:val="003D0759"/>
    <w:rsid w:val="003D097A"/>
    <w:rsid w:val="003D118D"/>
    <w:rsid w:val="003D17AE"/>
    <w:rsid w:val="003D19B9"/>
    <w:rsid w:val="003D1EC9"/>
    <w:rsid w:val="003D201C"/>
    <w:rsid w:val="003D2807"/>
    <w:rsid w:val="003D3041"/>
    <w:rsid w:val="003D3481"/>
    <w:rsid w:val="003D36E1"/>
    <w:rsid w:val="003D3837"/>
    <w:rsid w:val="003D3866"/>
    <w:rsid w:val="003D406A"/>
    <w:rsid w:val="003D407B"/>
    <w:rsid w:val="003D487D"/>
    <w:rsid w:val="003D53BF"/>
    <w:rsid w:val="003D5AC7"/>
    <w:rsid w:val="003D5EA8"/>
    <w:rsid w:val="003D5F01"/>
    <w:rsid w:val="003D5FF0"/>
    <w:rsid w:val="003D60F6"/>
    <w:rsid w:val="003D6160"/>
    <w:rsid w:val="003D636F"/>
    <w:rsid w:val="003D6BC1"/>
    <w:rsid w:val="003D6D81"/>
    <w:rsid w:val="003D6DE4"/>
    <w:rsid w:val="003D73BE"/>
    <w:rsid w:val="003D76D4"/>
    <w:rsid w:val="003D7AB9"/>
    <w:rsid w:val="003D7AD9"/>
    <w:rsid w:val="003D7C71"/>
    <w:rsid w:val="003D7D10"/>
    <w:rsid w:val="003E02FF"/>
    <w:rsid w:val="003E03B8"/>
    <w:rsid w:val="003E07EC"/>
    <w:rsid w:val="003E0997"/>
    <w:rsid w:val="003E0FEE"/>
    <w:rsid w:val="003E17DF"/>
    <w:rsid w:val="003E1F12"/>
    <w:rsid w:val="003E33C1"/>
    <w:rsid w:val="003E3BA2"/>
    <w:rsid w:val="003E3BE2"/>
    <w:rsid w:val="003E403C"/>
    <w:rsid w:val="003E4BAB"/>
    <w:rsid w:val="003E4C33"/>
    <w:rsid w:val="003E54AC"/>
    <w:rsid w:val="003E55F6"/>
    <w:rsid w:val="003E5623"/>
    <w:rsid w:val="003E583B"/>
    <w:rsid w:val="003E5FBA"/>
    <w:rsid w:val="003E6174"/>
    <w:rsid w:val="003E6380"/>
    <w:rsid w:val="003E72A0"/>
    <w:rsid w:val="003E72E0"/>
    <w:rsid w:val="003E74B3"/>
    <w:rsid w:val="003E7741"/>
    <w:rsid w:val="003F0720"/>
    <w:rsid w:val="003F0ADA"/>
    <w:rsid w:val="003F0EFB"/>
    <w:rsid w:val="003F11BC"/>
    <w:rsid w:val="003F1DD3"/>
    <w:rsid w:val="003F2233"/>
    <w:rsid w:val="003F3276"/>
    <w:rsid w:val="003F36D2"/>
    <w:rsid w:val="003F388A"/>
    <w:rsid w:val="003F38E5"/>
    <w:rsid w:val="003F42CA"/>
    <w:rsid w:val="003F453D"/>
    <w:rsid w:val="003F474A"/>
    <w:rsid w:val="003F4810"/>
    <w:rsid w:val="003F4832"/>
    <w:rsid w:val="003F48D6"/>
    <w:rsid w:val="003F4DBC"/>
    <w:rsid w:val="003F4F2D"/>
    <w:rsid w:val="003F50EC"/>
    <w:rsid w:val="003F53F3"/>
    <w:rsid w:val="003F5403"/>
    <w:rsid w:val="003F55E7"/>
    <w:rsid w:val="003F5924"/>
    <w:rsid w:val="003F6067"/>
    <w:rsid w:val="003F6288"/>
    <w:rsid w:val="003F631B"/>
    <w:rsid w:val="003F6A6B"/>
    <w:rsid w:val="003F7303"/>
    <w:rsid w:val="003F7E96"/>
    <w:rsid w:val="00400020"/>
    <w:rsid w:val="00400032"/>
    <w:rsid w:val="0040032C"/>
    <w:rsid w:val="004004C4"/>
    <w:rsid w:val="0040071C"/>
    <w:rsid w:val="00400A77"/>
    <w:rsid w:val="00400C50"/>
    <w:rsid w:val="00400F9D"/>
    <w:rsid w:val="00401375"/>
    <w:rsid w:val="004017E8"/>
    <w:rsid w:val="00401AD3"/>
    <w:rsid w:val="00401D06"/>
    <w:rsid w:val="0040224D"/>
    <w:rsid w:val="004022FD"/>
    <w:rsid w:val="00402497"/>
    <w:rsid w:val="00402A8A"/>
    <w:rsid w:val="00402D7A"/>
    <w:rsid w:val="004032F4"/>
    <w:rsid w:val="004033B3"/>
    <w:rsid w:val="0040372D"/>
    <w:rsid w:val="0040405D"/>
    <w:rsid w:val="004042D5"/>
    <w:rsid w:val="004042EB"/>
    <w:rsid w:val="00404845"/>
    <w:rsid w:val="004049EE"/>
    <w:rsid w:val="00404A3C"/>
    <w:rsid w:val="00404E49"/>
    <w:rsid w:val="004061AB"/>
    <w:rsid w:val="00406930"/>
    <w:rsid w:val="00407FDB"/>
    <w:rsid w:val="00410719"/>
    <w:rsid w:val="00410BF3"/>
    <w:rsid w:val="004117C7"/>
    <w:rsid w:val="00411AB0"/>
    <w:rsid w:val="00411C84"/>
    <w:rsid w:val="00412117"/>
    <w:rsid w:val="004126FB"/>
    <w:rsid w:val="0041319C"/>
    <w:rsid w:val="00413BFC"/>
    <w:rsid w:val="00413C0A"/>
    <w:rsid w:val="004146BA"/>
    <w:rsid w:val="00414F2F"/>
    <w:rsid w:val="0041531A"/>
    <w:rsid w:val="00415703"/>
    <w:rsid w:val="00415DDE"/>
    <w:rsid w:val="00416590"/>
    <w:rsid w:val="00416DA0"/>
    <w:rsid w:val="00417489"/>
    <w:rsid w:val="00417B53"/>
    <w:rsid w:val="00417CAD"/>
    <w:rsid w:val="00420748"/>
    <w:rsid w:val="004207D1"/>
    <w:rsid w:val="00420D5B"/>
    <w:rsid w:val="004212ED"/>
    <w:rsid w:val="00421C34"/>
    <w:rsid w:val="00421D7F"/>
    <w:rsid w:val="004220C0"/>
    <w:rsid w:val="00422374"/>
    <w:rsid w:val="00422478"/>
    <w:rsid w:val="00423861"/>
    <w:rsid w:val="00423D15"/>
    <w:rsid w:val="00424406"/>
    <w:rsid w:val="00425188"/>
    <w:rsid w:val="004257CB"/>
    <w:rsid w:val="00425A0B"/>
    <w:rsid w:val="00425D61"/>
    <w:rsid w:val="004263BF"/>
    <w:rsid w:val="004264F2"/>
    <w:rsid w:val="004266F5"/>
    <w:rsid w:val="0042674F"/>
    <w:rsid w:val="00426AEF"/>
    <w:rsid w:val="0042716B"/>
    <w:rsid w:val="00427EBD"/>
    <w:rsid w:val="00427FC9"/>
    <w:rsid w:val="004301C4"/>
    <w:rsid w:val="00430704"/>
    <w:rsid w:val="00430863"/>
    <w:rsid w:val="00431949"/>
    <w:rsid w:val="00431990"/>
    <w:rsid w:val="00431B06"/>
    <w:rsid w:val="00431D4A"/>
    <w:rsid w:val="00431D98"/>
    <w:rsid w:val="00432342"/>
    <w:rsid w:val="0043290C"/>
    <w:rsid w:val="00432F68"/>
    <w:rsid w:val="004330B8"/>
    <w:rsid w:val="004334C3"/>
    <w:rsid w:val="004336B4"/>
    <w:rsid w:val="00433AC8"/>
    <w:rsid w:val="00433B87"/>
    <w:rsid w:val="004344E8"/>
    <w:rsid w:val="00434AE1"/>
    <w:rsid w:val="0043564D"/>
    <w:rsid w:val="00435937"/>
    <w:rsid w:val="004362A9"/>
    <w:rsid w:val="004362B4"/>
    <w:rsid w:val="004363B2"/>
    <w:rsid w:val="004363DF"/>
    <w:rsid w:val="004365E5"/>
    <w:rsid w:val="0043676A"/>
    <w:rsid w:val="00436909"/>
    <w:rsid w:val="00436F22"/>
    <w:rsid w:val="00437815"/>
    <w:rsid w:val="00437910"/>
    <w:rsid w:val="00437A1A"/>
    <w:rsid w:val="00437C94"/>
    <w:rsid w:val="00437D73"/>
    <w:rsid w:val="004402C3"/>
    <w:rsid w:val="00440BA0"/>
    <w:rsid w:val="00440FAF"/>
    <w:rsid w:val="0044152D"/>
    <w:rsid w:val="004416BA"/>
    <w:rsid w:val="00441A55"/>
    <w:rsid w:val="00441C37"/>
    <w:rsid w:val="00441D8B"/>
    <w:rsid w:val="00441DBD"/>
    <w:rsid w:val="00441FE2"/>
    <w:rsid w:val="004420DC"/>
    <w:rsid w:val="00442279"/>
    <w:rsid w:val="004422E5"/>
    <w:rsid w:val="0044237B"/>
    <w:rsid w:val="00442431"/>
    <w:rsid w:val="004424B1"/>
    <w:rsid w:val="004426B9"/>
    <w:rsid w:val="00442F4D"/>
    <w:rsid w:val="0044316D"/>
    <w:rsid w:val="00443173"/>
    <w:rsid w:val="004433F5"/>
    <w:rsid w:val="00443545"/>
    <w:rsid w:val="0044358C"/>
    <w:rsid w:val="0044374D"/>
    <w:rsid w:val="00443B30"/>
    <w:rsid w:val="004440B6"/>
    <w:rsid w:val="00444157"/>
    <w:rsid w:val="00444A55"/>
    <w:rsid w:val="00445748"/>
    <w:rsid w:val="004458C5"/>
    <w:rsid w:val="0044601E"/>
    <w:rsid w:val="0044646B"/>
    <w:rsid w:val="004466CF"/>
    <w:rsid w:val="0044717E"/>
    <w:rsid w:val="004475FE"/>
    <w:rsid w:val="00447A1D"/>
    <w:rsid w:val="00447AC6"/>
    <w:rsid w:val="0045001F"/>
    <w:rsid w:val="004503EF"/>
    <w:rsid w:val="00450680"/>
    <w:rsid w:val="004507ED"/>
    <w:rsid w:val="0045088E"/>
    <w:rsid w:val="00450BF4"/>
    <w:rsid w:val="004511AD"/>
    <w:rsid w:val="00451297"/>
    <w:rsid w:val="00451C27"/>
    <w:rsid w:val="00451DBE"/>
    <w:rsid w:val="00451F05"/>
    <w:rsid w:val="004523A5"/>
    <w:rsid w:val="0045260D"/>
    <w:rsid w:val="00452B35"/>
    <w:rsid w:val="00452C58"/>
    <w:rsid w:val="00452C87"/>
    <w:rsid w:val="00452DEC"/>
    <w:rsid w:val="00452FD2"/>
    <w:rsid w:val="00453168"/>
    <w:rsid w:val="00453C8B"/>
    <w:rsid w:val="00453D45"/>
    <w:rsid w:val="00453E3D"/>
    <w:rsid w:val="00454016"/>
    <w:rsid w:val="00454617"/>
    <w:rsid w:val="00454AD6"/>
    <w:rsid w:val="00454F85"/>
    <w:rsid w:val="004553BA"/>
    <w:rsid w:val="00455B79"/>
    <w:rsid w:val="004560B9"/>
    <w:rsid w:val="004561FC"/>
    <w:rsid w:val="0045631D"/>
    <w:rsid w:val="0045640F"/>
    <w:rsid w:val="00456513"/>
    <w:rsid w:val="00456623"/>
    <w:rsid w:val="00456753"/>
    <w:rsid w:val="00456759"/>
    <w:rsid w:val="00456E01"/>
    <w:rsid w:val="004570D8"/>
    <w:rsid w:val="00457B27"/>
    <w:rsid w:val="0046039B"/>
    <w:rsid w:val="0046091C"/>
    <w:rsid w:val="00461006"/>
    <w:rsid w:val="00461207"/>
    <w:rsid w:val="00461336"/>
    <w:rsid w:val="004613EB"/>
    <w:rsid w:val="0046260E"/>
    <w:rsid w:val="00462B30"/>
    <w:rsid w:val="0046308D"/>
    <w:rsid w:val="00463256"/>
    <w:rsid w:val="0046333E"/>
    <w:rsid w:val="004636A0"/>
    <w:rsid w:val="00463756"/>
    <w:rsid w:val="0046385B"/>
    <w:rsid w:val="00464463"/>
    <w:rsid w:val="00465705"/>
    <w:rsid w:val="004662DB"/>
    <w:rsid w:val="00466752"/>
    <w:rsid w:val="00466B22"/>
    <w:rsid w:val="00466CFB"/>
    <w:rsid w:val="00467216"/>
    <w:rsid w:val="004673B8"/>
    <w:rsid w:val="0046741B"/>
    <w:rsid w:val="00467770"/>
    <w:rsid w:val="00467D6E"/>
    <w:rsid w:val="00467F48"/>
    <w:rsid w:val="00467F5B"/>
    <w:rsid w:val="00470603"/>
    <w:rsid w:val="00470EB3"/>
    <w:rsid w:val="0047192E"/>
    <w:rsid w:val="00471AE3"/>
    <w:rsid w:val="00471B55"/>
    <w:rsid w:val="00471D42"/>
    <w:rsid w:val="0047287F"/>
    <w:rsid w:val="00472916"/>
    <w:rsid w:val="004729A2"/>
    <w:rsid w:val="00472B3B"/>
    <w:rsid w:val="00472C69"/>
    <w:rsid w:val="00472CAD"/>
    <w:rsid w:val="004739E7"/>
    <w:rsid w:val="004747FA"/>
    <w:rsid w:val="00474932"/>
    <w:rsid w:val="0047582F"/>
    <w:rsid w:val="00475D51"/>
    <w:rsid w:val="00476615"/>
    <w:rsid w:val="00476C58"/>
    <w:rsid w:val="00477E22"/>
    <w:rsid w:val="0048071A"/>
    <w:rsid w:val="00480AAF"/>
    <w:rsid w:val="00480F8D"/>
    <w:rsid w:val="00480F9C"/>
    <w:rsid w:val="0048154C"/>
    <w:rsid w:val="004817C7"/>
    <w:rsid w:val="004817DE"/>
    <w:rsid w:val="00481872"/>
    <w:rsid w:val="00482126"/>
    <w:rsid w:val="00482616"/>
    <w:rsid w:val="00482834"/>
    <w:rsid w:val="00482A63"/>
    <w:rsid w:val="00482DA8"/>
    <w:rsid w:val="0048304C"/>
    <w:rsid w:val="004830F2"/>
    <w:rsid w:val="004831E5"/>
    <w:rsid w:val="00483573"/>
    <w:rsid w:val="0048446C"/>
    <w:rsid w:val="00484652"/>
    <w:rsid w:val="0048486F"/>
    <w:rsid w:val="004856D2"/>
    <w:rsid w:val="00485B17"/>
    <w:rsid w:val="00485D5A"/>
    <w:rsid w:val="00485DF4"/>
    <w:rsid w:val="00485FB5"/>
    <w:rsid w:val="0048605F"/>
    <w:rsid w:val="00486223"/>
    <w:rsid w:val="0048688A"/>
    <w:rsid w:val="0048689F"/>
    <w:rsid w:val="00486EB8"/>
    <w:rsid w:val="00486F84"/>
    <w:rsid w:val="00487281"/>
    <w:rsid w:val="00487C10"/>
    <w:rsid w:val="00487CE9"/>
    <w:rsid w:val="00487EC3"/>
    <w:rsid w:val="00487FB2"/>
    <w:rsid w:val="004907B2"/>
    <w:rsid w:val="00490A77"/>
    <w:rsid w:val="00491042"/>
    <w:rsid w:val="004910CC"/>
    <w:rsid w:val="0049227B"/>
    <w:rsid w:val="004925D2"/>
    <w:rsid w:val="0049295A"/>
    <w:rsid w:val="00492F40"/>
    <w:rsid w:val="00493345"/>
    <w:rsid w:val="004935F5"/>
    <w:rsid w:val="0049398C"/>
    <w:rsid w:val="00493AFC"/>
    <w:rsid w:val="00493D3D"/>
    <w:rsid w:val="00494259"/>
    <w:rsid w:val="00494563"/>
    <w:rsid w:val="004948DF"/>
    <w:rsid w:val="004949DC"/>
    <w:rsid w:val="00494DD6"/>
    <w:rsid w:val="00494FA2"/>
    <w:rsid w:val="0049519B"/>
    <w:rsid w:val="00495492"/>
    <w:rsid w:val="004959FE"/>
    <w:rsid w:val="00495AE9"/>
    <w:rsid w:val="00496583"/>
    <w:rsid w:val="00496809"/>
    <w:rsid w:val="00496F37"/>
    <w:rsid w:val="00497878"/>
    <w:rsid w:val="00497ABA"/>
    <w:rsid w:val="004A0537"/>
    <w:rsid w:val="004A0E81"/>
    <w:rsid w:val="004A2F56"/>
    <w:rsid w:val="004A3248"/>
    <w:rsid w:val="004A33ED"/>
    <w:rsid w:val="004A3BD6"/>
    <w:rsid w:val="004A43AF"/>
    <w:rsid w:val="004A4C3A"/>
    <w:rsid w:val="004A4FC4"/>
    <w:rsid w:val="004A5AFE"/>
    <w:rsid w:val="004A631D"/>
    <w:rsid w:val="004A6CD4"/>
    <w:rsid w:val="004A6D6D"/>
    <w:rsid w:val="004A6F3B"/>
    <w:rsid w:val="004A703B"/>
    <w:rsid w:val="004A73FC"/>
    <w:rsid w:val="004A7FE4"/>
    <w:rsid w:val="004B0432"/>
    <w:rsid w:val="004B07CC"/>
    <w:rsid w:val="004B150E"/>
    <w:rsid w:val="004B1731"/>
    <w:rsid w:val="004B18E9"/>
    <w:rsid w:val="004B1EF3"/>
    <w:rsid w:val="004B1F08"/>
    <w:rsid w:val="004B2318"/>
    <w:rsid w:val="004B235B"/>
    <w:rsid w:val="004B2AC0"/>
    <w:rsid w:val="004B3C18"/>
    <w:rsid w:val="004B4234"/>
    <w:rsid w:val="004B4B7D"/>
    <w:rsid w:val="004B4DB9"/>
    <w:rsid w:val="004B64E2"/>
    <w:rsid w:val="004B66B4"/>
    <w:rsid w:val="004B6A5E"/>
    <w:rsid w:val="004B6B4B"/>
    <w:rsid w:val="004B6E8D"/>
    <w:rsid w:val="004B6F2C"/>
    <w:rsid w:val="004B7173"/>
    <w:rsid w:val="004B731F"/>
    <w:rsid w:val="004B76BD"/>
    <w:rsid w:val="004B7C68"/>
    <w:rsid w:val="004B7E60"/>
    <w:rsid w:val="004C0523"/>
    <w:rsid w:val="004C0524"/>
    <w:rsid w:val="004C0684"/>
    <w:rsid w:val="004C0B32"/>
    <w:rsid w:val="004C0EBC"/>
    <w:rsid w:val="004C0FAC"/>
    <w:rsid w:val="004C1577"/>
    <w:rsid w:val="004C1644"/>
    <w:rsid w:val="004C1E1F"/>
    <w:rsid w:val="004C2102"/>
    <w:rsid w:val="004C2FEF"/>
    <w:rsid w:val="004C34D8"/>
    <w:rsid w:val="004C351A"/>
    <w:rsid w:val="004C3AF7"/>
    <w:rsid w:val="004C3B6F"/>
    <w:rsid w:val="004C400C"/>
    <w:rsid w:val="004C4855"/>
    <w:rsid w:val="004C4AB4"/>
    <w:rsid w:val="004C4C1E"/>
    <w:rsid w:val="004C4C77"/>
    <w:rsid w:val="004C55ED"/>
    <w:rsid w:val="004C5AC3"/>
    <w:rsid w:val="004C5D7E"/>
    <w:rsid w:val="004C62FC"/>
    <w:rsid w:val="004C6415"/>
    <w:rsid w:val="004C6492"/>
    <w:rsid w:val="004C729C"/>
    <w:rsid w:val="004C7506"/>
    <w:rsid w:val="004C7B6A"/>
    <w:rsid w:val="004C7BB6"/>
    <w:rsid w:val="004C7CBC"/>
    <w:rsid w:val="004D02A5"/>
    <w:rsid w:val="004D0713"/>
    <w:rsid w:val="004D0EDC"/>
    <w:rsid w:val="004D0F4A"/>
    <w:rsid w:val="004D11BB"/>
    <w:rsid w:val="004D1C29"/>
    <w:rsid w:val="004D1EFA"/>
    <w:rsid w:val="004D2313"/>
    <w:rsid w:val="004D286D"/>
    <w:rsid w:val="004D2923"/>
    <w:rsid w:val="004D2B8B"/>
    <w:rsid w:val="004D2D0A"/>
    <w:rsid w:val="004D3D74"/>
    <w:rsid w:val="004D3ED6"/>
    <w:rsid w:val="004D40B9"/>
    <w:rsid w:val="004D4531"/>
    <w:rsid w:val="004D4BCF"/>
    <w:rsid w:val="004D4E30"/>
    <w:rsid w:val="004D5952"/>
    <w:rsid w:val="004D6107"/>
    <w:rsid w:val="004D6186"/>
    <w:rsid w:val="004D64D7"/>
    <w:rsid w:val="004D6D24"/>
    <w:rsid w:val="004D6E5D"/>
    <w:rsid w:val="004D757E"/>
    <w:rsid w:val="004D7E8C"/>
    <w:rsid w:val="004D7FB1"/>
    <w:rsid w:val="004E0134"/>
    <w:rsid w:val="004E0482"/>
    <w:rsid w:val="004E064A"/>
    <w:rsid w:val="004E0909"/>
    <w:rsid w:val="004E1444"/>
    <w:rsid w:val="004E144E"/>
    <w:rsid w:val="004E14A7"/>
    <w:rsid w:val="004E198B"/>
    <w:rsid w:val="004E1FCB"/>
    <w:rsid w:val="004E2655"/>
    <w:rsid w:val="004E298D"/>
    <w:rsid w:val="004E4F51"/>
    <w:rsid w:val="004E639B"/>
    <w:rsid w:val="004E6501"/>
    <w:rsid w:val="004E6A6E"/>
    <w:rsid w:val="004E6DC6"/>
    <w:rsid w:val="004E7755"/>
    <w:rsid w:val="004F00B1"/>
    <w:rsid w:val="004F0EEF"/>
    <w:rsid w:val="004F126F"/>
    <w:rsid w:val="004F18CF"/>
    <w:rsid w:val="004F249A"/>
    <w:rsid w:val="004F2B05"/>
    <w:rsid w:val="004F2B94"/>
    <w:rsid w:val="004F319E"/>
    <w:rsid w:val="004F3670"/>
    <w:rsid w:val="004F3840"/>
    <w:rsid w:val="004F3A13"/>
    <w:rsid w:val="004F3A6B"/>
    <w:rsid w:val="004F3B06"/>
    <w:rsid w:val="004F4C95"/>
    <w:rsid w:val="004F53C9"/>
    <w:rsid w:val="004F570D"/>
    <w:rsid w:val="004F5B27"/>
    <w:rsid w:val="004F668A"/>
    <w:rsid w:val="004F67C4"/>
    <w:rsid w:val="004F6A37"/>
    <w:rsid w:val="004F6AE2"/>
    <w:rsid w:val="004F6BCA"/>
    <w:rsid w:val="004F6D51"/>
    <w:rsid w:val="004F70ED"/>
    <w:rsid w:val="005007E1"/>
    <w:rsid w:val="0050087D"/>
    <w:rsid w:val="00500D41"/>
    <w:rsid w:val="00500E5A"/>
    <w:rsid w:val="00501004"/>
    <w:rsid w:val="00501058"/>
    <w:rsid w:val="0050137B"/>
    <w:rsid w:val="00502172"/>
    <w:rsid w:val="005021C6"/>
    <w:rsid w:val="0050257C"/>
    <w:rsid w:val="00502804"/>
    <w:rsid w:val="00502A9F"/>
    <w:rsid w:val="0050330D"/>
    <w:rsid w:val="005033BB"/>
    <w:rsid w:val="00503E9D"/>
    <w:rsid w:val="00503F93"/>
    <w:rsid w:val="005040FC"/>
    <w:rsid w:val="0050446C"/>
    <w:rsid w:val="0050493A"/>
    <w:rsid w:val="0050505D"/>
    <w:rsid w:val="0050539A"/>
    <w:rsid w:val="005055DF"/>
    <w:rsid w:val="005060CF"/>
    <w:rsid w:val="00506451"/>
    <w:rsid w:val="005065C8"/>
    <w:rsid w:val="0050664E"/>
    <w:rsid w:val="00506E0B"/>
    <w:rsid w:val="005070DD"/>
    <w:rsid w:val="00507372"/>
    <w:rsid w:val="005078C8"/>
    <w:rsid w:val="005109BF"/>
    <w:rsid w:val="005110E4"/>
    <w:rsid w:val="005114E9"/>
    <w:rsid w:val="00511664"/>
    <w:rsid w:val="00511DC8"/>
    <w:rsid w:val="0051277B"/>
    <w:rsid w:val="0051313A"/>
    <w:rsid w:val="005134B1"/>
    <w:rsid w:val="005139EF"/>
    <w:rsid w:val="00513BB5"/>
    <w:rsid w:val="005143BB"/>
    <w:rsid w:val="00514D09"/>
    <w:rsid w:val="0051501C"/>
    <w:rsid w:val="00515072"/>
    <w:rsid w:val="00515565"/>
    <w:rsid w:val="00516044"/>
    <w:rsid w:val="0051608B"/>
    <w:rsid w:val="00516236"/>
    <w:rsid w:val="00516AB7"/>
    <w:rsid w:val="00516EF8"/>
    <w:rsid w:val="005178FA"/>
    <w:rsid w:val="005179F6"/>
    <w:rsid w:val="00517BA0"/>
    <w:rsid w:val="00517E84"/>
    <w:rsid w:val="00520ED9"/>
    <w:rsid w:val="005217FF"/>
    <w:rsid w:val="00521B40"/>
    <w:rsid w:val="00521FFF"/>
    <w:rsid w:val="005220A7"/>
    <w:rsid w:val="005227F9"/>
    <w:rsid w:val="0052284A"/>
    <w:rsid w:val="00522941"/>
    <w:rsid w:val="00523037"/>
    <w:rsid w:val="00523081"/>
    <w:rsid w:val="00523CFC"/>
    <w:rsid w:val="00524599"/>
    <w:rsid w:val="0052525C"/>
    <w:rsid w:val="00525725"/>
    <w:rsid w:val="00525857"/>
    <w:rsid w:val="00525C86"/>
    <w:rsid w:val="0052645A"/>
    <w:rsid w:val="0052657D"/>
    <w:rsid w:val="00526BC8"/>
    <w:rsid w:val="00526F1B"/>
    <w:rsid w:val="00527360"/>
    <w:rsid w:val="00527DFB"/>
    <w:rsid w:val="00530058"/>
    <w:rsid w:val="005303E9"/>
    <w:rsid w:val="005304C7"/>
    <w:rsid w:val="00531544"/>
    <w:rsid w:val="0053199E"/>
    <w:rsid w:val="00531EFE"/>
    <w:rsid w:val="005330C3"/>
    <w:rsid w:val="00533C85"/>
    <w:rsid w:val="00533DD7"/>
    <w:rsid w:val="00533FAA"/>
    <w:rsid w:val="00534465"/>
    <w:rsid w:val="00534E44"/>
    <w:rsid w:val="00534F57"/>
    <w:rsid w:val="00534F8B"/>
    <w:rsid w:val="00535123"/>
    <w:rsid w:val="00535482"/>
    <w:rsid w:val="005355E7"/>
    <w:rsid w:val="00535E17"/>
    <w:rsid w:val="00535E4C"/>
    <w:rsid w:val="00536072"/>
    <w:rsid w:val="0053647E"/>
    <w:rsid w:val="005364A1"/>
    <w:rsid w:val="00536606"/>
    <w:rsid w:val="0053670C"/>
    <w:rsid w:val="00536C60"/>
    <w:rsid w:val="0053713C"/>
    <w:rsid w:val="0053723F"/>
    <w:rsid w:val="005374BC"/>
    <w:rsid w:val="0053762A"/>
    <w:rsid w:val="00537A34"/>
    <w:rsid w:val="00537E3A"/>
    <w:rsid w:val="00537E55"/>
    <w:rsid w:val="00537E75"/>
    <w:rsid w:val="00540245"/>
    <w:rsid w:val="005405F7"/>
    <w:rsid w:val="00540987"/>
    <w:rsid w:val="00540BD8"/>
    <w:rsid w:val="00540DA8"/>
    <w:rsid w:val="00540E26"/>
    <w:rsid w:val="00541421"/>
    <w:rsid w:val="005428E4"/>
    <w:rsid w:val="00542D1F"/>
    <w:rsid w:val="00542DA9"/>
    <w:rsid w:val="00543911"/>
    <w:rsid w:val="005439DB"/>
    <w:rsid w:val="005441CA"/>
    <w:rsid w:val="00544E51"/>
    <w:rsid w:val="00544ECB"/>
    <w:rsid w:val="00545300"/>
    <w:rsid w:val="005455C1"/>
    <w:rsid w:val="005455E0"/>
    <w:rsid w:val="0054615B"/>
    <w:rsid w:val="00546704"/>
    <w:rsid w:val="00546740"/>
    <w:rsid w:val="0054688C"/>
    <w:rsid w:val="00546894"/>
    <w:rsid w:val="00546EA1"/>
    <w:rsid w:val="00547F5A"/>
    <w:rsid w:val="0055115F"/>
    <w:rsid w:val="00551696"/>
    <w:rsid w:val="00551E06"/>
    <w:rsid w:val="005522A2"/>
    <w:rsid w:val="0055317F"/>
    <w:rsid w:val="005538B8"/>
    <w:rsid w:val="00554A02"/>
    <w:rsid w:val="00554D26"/>
    <w:rsid w:val="00555EB9"/>
    <w:rsid w:val="00555EDD"/>
    <w:rsid w:val="00556ADB"/>
    <w:rsid w:val="00557438"/>
    <w:rsid w:val="00557684"/>
    <w:rsid w:val="00557AE3"/>
    <w:rsid w:val="00557C70"/>
    <w:rsid w:val="00557F14"/>
    <w:rsid w:val="00560083"/>
    <w:rsid w:val="005603AA"/>
    <w:rsid w:val="00560651"/>
    <w:rsid w:val="005606DC"/>
    <w:rsid w:val="00560871"/>
    <w:rsid w:val="00560915"/>
    <w:rsid w:val="00560AEE"/>
    <w:rsid w:val="00560DBF"/>
    <w:rsid w:val="005615A6"/>
    <w:rsid w:val="0056180A"/>
    <w:rsid w:val="00561F72"/>
    <w:rsid w:val="005621E6"/>
    <w:rsid w:val="005624EA"/>
    <w:rsid w:val="00562736"/>
    <w:rsid w:val="00562E43"/>
    <w:rsid w:val="005631FC"/>
    <w:rsid w:val="0056337D"/>
    <w:rsid w:val="00563BF9"/>
    <w:rsid w:val="00563C20"/>
    <w:rsid w:val="005643F7"/>
    <w:rsid w:val="00564BF7"/>
    <w:rsid w:val="00565214"/>
    <w:rsid w:val="00565231"/>
    <w:rsid w:val="005655CD"/>
    <w:rsid w:val="00565630"/>
    <w:rsid w:val="00565953"/>
    <w:rsid w:val="00565DB3"/>
    <w:rsid w:val="005666EA"/>
    <w:rsid w:val="00566C50"/>
    <w:rsid w:val="005672C1"/>
    <w:rsid w:val="005672F2"/>
    <w:rsid w:val="00567DB7"/>
    <w:rsid w:val="00570589"/>
    <w:rsid w:val="00570AF2"/>
    <w:rsid w:val="005711D9"/>
    <w:rsid w:val="00571349"/>
    <w:rsid w:val="0057173D"/>
    <w:rsid w:val="00571955"/>
    <w:rsid w:val="005719E4"/>
    <w:rsid w:val="00571A36"/>
    <w:rsid w:val="0057226A"/>
    <w:rsid w:val="00572442"/>
    <w:rsid w:val="005728DF"/>
    <w:rsid w:val="00572A1C"/>
    <w:rsid w:val="00572B43"/>
    <w:rsid w:val="00572D47"/>
    <w:rsid w:val="005731DA"/>
    <w:rsid w:val="005732F3"/>
    <w:rsid w:val="005734D2"/>
    <w:rsid w:val="005735C1"/>
    <w:rsid w:val="00573BC2"/>
    <w:rsid w:val="005748DE"/>
    <w:rsid w:val="00574987"/>
    <w:rsid w:val="005757D4"/>
    <w:rsid w:val="00575863"/>
    <w:rsid w:val="00575BA1"/>
    <w:rsid w:val="00575DC6"/>
    <w:rsid w:val="005761F0"/>
    <w:rsid w:val="00576417"/>
    <w:rsid w:val="00576522"/>
    <w:rsid w:val="005767AC"/>
    <w:rsid w:val="00576D89"/>
    <w:rsid w:val="00576E39"/>
    <w:rsid w:val="0057741A"/>
    <w:rsid w:val="00577983"/>
    <w:rsid w:val="00577B56"/>
    <w:rsid w:val="00577D79"/>
    <w:rsid w:val="005800E0"/>
    <w:rsid w:val="005803F4"/>
    <w:rsid w:val="0058079B"/>
    <w:rsid w:val="005807A1"/>
    <w:rsid w:val="00580800"/>
    <w:rsid w:val="0058098D"/>
    <w:rsid w:val="00580CC4"/>
    <w:rsid w:val="00580D9A"/>
    <w:rsid w:val="00580FC3"/>
    <w:rsid w:val="00581CB3"/>
    <w:rsid w:val="00582191"/>
    <w:rsid w:val="005821EB"/>
    <w:rsid w:val="00582283"/>
    <w:rsid w:val="005827AF"/>
    <w:rsid w:val="0058305C"/>
    <w:rsid w:val="00583288"/>
    <w:rsid w:val="00583C6F"/>
    <w:rsid w:val="00583F56"/>
    <w:rsid w:val="00584300"/>
    <w:rsid w:val="0058481A"/>
    <w:rsid w:val="00584C7B"/>
    <w:rsid w:val="005871A0"/>
    <w:rsid w:val="005873AB"/>
    <w:rsid w:val="005876E1"/>
    <w:rsid w:val="005879C9"/>
    <w:rsid w:val="00587C64"/>
    <w:rsid w:val="00587D34"/>
    <w:rsid w:val="00587EE2"/>
    <w:rsid w:val="00590050"/>
    <w:rsid w:val="005903F1"/>
    <w:rsid w:val="00590528"/>
    <w:rsid w:val="00590DD5"/>
    <w:rsid w:val="00590F07"/>
    <w:rsid w:val="005912DE"/>
    <w:rsid w:val="00591BEE"/>
    <w:rsid w:val="00591FD6"/>
    <w:rsid w:val="00592220"/>
    <w:rsid w:val="005923C5"/>
    <w:rsid w:val="00592544"/>
    <w:rsid w:val="00592673"/>
    <w:rsid w:val="00592F61"/>
    <w:rsid w:val="00592F77"/>
    <w:rsid w:val="0059352D"/>
    <w:rsid w:val="00593601"/>
    <w:rsid w:val="00593673"/>
    <w:rsid w:val="0059377E"/>
    <w:rsid w:val="00593AE6"/>
    <w:rsid w:val="005941F9"/>
    <w:rsid w:val="0059438B"/>
    <w:rsid w:val="0059446D"/>
    <w:rsid w:val="00594930"/>
    <w:rsid w:val="00595FF4"/>
    <w:rsid w:val="00597242"/>
    <w:rsid w:val="005974A6"/>
    <w:rsid w:val="005A008A"/>
    <w:rsid w:val="005A05CF"/>
    <w:rsid w:val="005A064D"/>
    <w:rsid w:val="005A07E0"/>
    <w:rsid w:val="005A092A"/>
    <w:rsid w:val="005A0E20"/>
    <w:rsid w:val="005A14EE"/>
    <w:rsid w:val="005A20F5"/>
    <w:rsid w:val="005A2708"/>
    <w:rsid w:val="005A3235"/>
    <w:rsid w:val="005A3A7E"/>
    <w:rsid w:val="005A44BA"/>
    <w:rsid w:val="005A4D18"/>
    <w:rsid w:val="005A4FB7"/>
    <w:rsid w:val="005A50A1"/>
    <w:rsid w:val="005A50BA"/>
    <w:rsid w:val="005A52E8"/>
    <w:rsid w:val="005A582F"/>
    <w:rsid w:val="005A584A"/>
    <w:rsid w:val="005A6084"/>
    <w:rsid w:val="005A6274"/>
    <w:rsid w:val="005A630C"/>
    <w:rsid w:val="005A6571"/>
    <w:rsid w:val="005A6B64"/>
    <w:rsid w:val="005A6F57"/>
    <w:rsid w:val="005A6FBD"/>
    <w:rsid w:val="005A748F"/>
    <w:rsid w:val="005A7872"/>
    <w:rsid w:val="005A7AB6"/>
    <w:rsid w:val="005A7E02"/>
    <w:rsid w:val="005B07FC"/>
    <w:rsid w:val="005B0810"/>
    <w:rsid w:val="005B0D39"/>
    <w:rsid w:val="005B0E50"/>
    <w:rsid w:val="005B141F"/>
    <w:rsid w:val="005B184A"/>
    <w:rsid w:val="005B1A44"/>
    <w:rsid w:val="005B2007"/>
    <w:rsid w:val="005B2983"/>
    <w:rsid w:val="005B2A67"/>
    <w:rsid w:val="005B3045"/>
    <w:rsid w:val="005B3179"/>
    <w:rsid w:val="005B356E"/>
    <w:rsid w:val="005B3A55"/>
    <w:rsid w:val="005B40E5"/>
    <w:rsid w:val="005B4582"/>
    <w:rsid w:val="005B468B"/>
    <w:rsid w:val="005B4A7D"/>
    <w:rsid w:val="005B4E9D"/>
    <w:rsid w:val="005B580D"/>
    <w:rsid w:val="005B6407"/>
    <w:rsid w:val="005B699F"/>
    <w:rsid w:val="005B6EA2"/>
    <w:rsid w:val="005B7101"/>
    <w:rsid w:val="005B72D9"/>
    <w:rsid w:val="005B7498"/>
    <w:rsid w:val="005B773A"/>
    <w:rsid w:val="005C03EA"/>
    <w:rsid w:val="005C072D"/>
    <w:rsid w:val="005C099F"/>
    <w:rsid w:val="005C0CC6"/>
    <w:rsid w:val="005C0D1B"/>
    <w:rsid w:val="005C0D46"/>
    <w:rsid w:val="005C0FAA"/>
    <w:rsid w:val="005C13CF"/>
    <w:rsid w:val="005C14D1"/>
    <w:rsid w:val="005C1716"/>
    <w:rsid w:val="005C1A1F"/>
    <w:rsid w:val="005C1AC0"/>
    <w:rsid w:val="005C2DDC"/>
    <w:rsid w:val="005C31A4"/>
    <w:rsid w:val="005C32D4"/>
    <w:rsid w:val="005C35B8"/>
    <w:rsid w:val="005C38A2"/>
    <w:rsid w:val="005C441B"/>
    <w:rsid w:val="005C44D6"/>
    <w:rsid w:val="005C48E2"/>
    <w:rsid w:val="005C5081"/>
    <w:rsid w:val="005C50FC"/>
    <w:rsid w:val="005C53DF"/>
    <w:rsid w:val="005C570E"/>
    <w:rsid w:val="005C5C6B"/>
    <w:rsid w:val="005C6218"/>
    <w:rsid w:val="005C6381"/>
    <w:rsid w:val="005C687C"/>
    <w:rsid w:val="005C6931"/>
    <w:rsid w:val="005C71E7"/>
    <w:rsid w:val="005C7C67"/>
    <w:rsid w:val="005C7E6E"/>
    <w:rsid w:val="005D0FC1"/>
    <w:rsid w:val="005D10C9"/>
    <w:rsid w:val="005D1974"/>
    <w:rsid w:val="005D1D6B"/>
    <w:rsid w:val="005D263A"/>
    <w:rsid w:val="005D2702"/>
    <w:rsid w:val="005D2FFC"/>
    <w:rsid w:val="005D3212"/>
    <w:rsid w:val="005D3E46"/>
    <w:rsid w:val="005D4200"/>
    <w:rsid w:val="005D4258"/>
    <w:rsid w:val="005D4C5E"/>
    <w:rsid w:val="005D4EE0"/>
    <w:rsid w:val="005D5106"/>
    <w:rsid w:val="005D54C5"/>
    <w:rsid w:val="005D5707"/>
    <w:rsid w:val="005D59A6"/>
    <w:rsid w:val="005D5A9C"/>
    <w:rsid w:val="005D5D1D"/>
    <w:rsid w:val="005D6B0D"/>
    <w:rsid w:val="005D6C17"/>
    <w:rsid w:val="005D707C"/>
    <w:rsid w:val="005D7A8E"/>
    <w:rsid w:val="005E0C6C"/>
    <w:rsid w:val="005E12AC"/>
    <w:rsid w:val="005E1603"/>
    <w:rsid w:val="005E1BA2"/>
    <w:rsid w:val="005E1EC8"/>
    <w:rsid w:val="005E28D0"/>
    <w:rsid w:val="005E2B4D"/>
    <w:rsid w:val="005E2E6C"/>
    <w:rsid w:val="005E309B"/>
    <w:rsid w:val="005E35A1"/>
    <w:rsid w:val="005E376A"/>
    <w:rsid w:val="005E3B1C"/>
    <w:rsid w:val="005E3FED"/>
    <w:rsid w:val="005E40AB"/>
    <w:rsid w:val="005E41C4"/>
    <w:rsid w:val="005E4569"/>
    <w:rsid w:val="005E46EC"/>
    <w:rsid w:val="005E49CC"/>
    <w:rsid w:val="005E5B3E"/>
    <w:rsid w:val="005E60D4"/>
    <w:rsid w:val="005E7144"/>
    <w:rsid w:val="005E727D"/>
    <w:rsid w:val="005E7368"/>
    <w:rsid w:val="005E7A40"/>
    <w:rsid w:val="005E7B70"/>
    <w:rsid w:val="005E7E6E"/>
    <w:rsid w:val="005F070E"/>
    <w:rsid w:val="005F0999"/>
    <w:rsid w:val="005F0A60"/>
    <w:rsid w:val="005F0AE4"/>
    <w:rsid w:val="005F0BAF"/>
    <w:rsid w:val="005F0CE5"/>
    <w:rsid w:val="005F15B0"/>
    <w:rsid w:val="005F26B2"/>
    <w:rsid w:val="005F2914"/>
    <w:rsid w:val="005F291D"/>
    <w:rsid w:val="005F2B47"/>
    <w:rsid w:val="005F2C8B"/>
    <w:rsid w:val="005F303E"/>
    <w:rsid w:val="005F326A"/>
    <w:rsid w:val="005F329A"/>
    <w:rsid w:val="005F3378"/>
    <w:rsid w:val="005F33FF"/>
    <w:rsid w:val="005F3C2B"/>
    <w:rsid w:val="005F3FEB"/>
    <w:rsid w:val="005F4B0B"/>
    <w:rsid w:val="005F5028"/>
    <w:rsid w:val="005F56C3"/>
    <w:rsid w:val="005F598E"/>
    <w:rsid w:val="005F5BFA"/>
    <w:rsid w:val="005F5C50"/>
    <w:rsid w:val="005F6414"/>
    <w:rsid w:val="005F6449"/>
    <w:rsid w:val="005F6E57"/>
    <w:rsid w:val="005F7039"/>
    <w:rsid w:val="005F7CB5"/>
    <w:rsid w:val="00600042"/>
    <w:rsid w:val="006008D2"/>
    <w:rsid w:val="006011B0"/>
    <w:rsid w:val="006012CE"/>
    <w:rsid w:val="00601702"/>
    <w:rsid w:val="006021D6"/>
    <w:rsid w:val="00602226"/>
    <w:rsid w:val="00602974"/>
    <w:rsid w:val="00602F49"/>
    <w:rsid w:val="00603905"/>
    <w:rsid w:val="0060403F"/>
    <w:rsid w:val="0060454F"/>
    <w:rsid w:val="0060458E"/>
    <w:rsid w:val="00604C68"/>
    <w:rsid w:val="00604C9C"/>
    <w:rsid w:val="00605251"/>
    <w:rsid w:val="00605534"/>
    <w:rsid w:val="00605B2E"/>
    <w:rsid w:val="00605D52"/>
    <w:rsid w:val="00605E6C"/>
    <w:rsid w:val="00605E7C"/>
    <w:rsid w:val="00606228"/>
    <w:rsid w:val="0060679C"/>
    <w:rsid w:val="0060686E"/>
    <w:rsid w:val="006069F5"/>
    <w:rsid w:val="0060710E"/>
    <w:rsid w:val="0060716B"/>
    <w:rsid w:val="00607557"/>
    <w:rsid w:val="00610922"/>
    <w:rsid w:val="00610948"/>
    <w:rsid w:val="00610A07"/>
    <w:rsid w:val="00610FF2"/>
    <w:rsid w:val="00610FF9"/>
    <w:rsid w:val="00611696"/>
    <w:rsid w:val="006117E6"/>
    <w:rsid w:val="0061287E"/>
    <w:rsid w:val="00612C0D"/>
    <w:rsid w:val="00613E06"/>
    <w:rsid w:val="006148B3"/>
    <w:rsid w:val="00614E67"/>
    <w:rsid w:val="00614E6E"/>
    <w:rsid w:val="00615226"/>
    <w:rsid w:val="006154BA"/>
    <w:rsid w:val="0061571D"/>
    <w:rsid w:val="00615F4D"/>
    <w:rsid w:val="006160C7"/>
    <w:rsid w:val="006165A9"/>
    <w:rsid w:val="00616C76"/>
    <w:rsid w:val="00616CAB"/>
    <w:rsid w:val="00616CE3"/>
    <w:rsid w:val="00616DBD"/>
    <w:rsid w:val="00616E8B"/>
    <w:rsid w:val="00617832"/>
    <w:rsid w:val="00617C01"/>
    <w:rsid w:val="00617F71"/>
    <w:rsid w:val="0062001F"/>
    <w:rsid w:val="00620115"/>
    <w:rsid w:val="0062025D"/>
    <w:rsid w:val="00620649"/>
    <w:rsid w:val="00620846"/>
    <w:rsid w:val="006208D7"/>
    <w:rsid w:val="00620FC7"/>
    <w:rsid w:val="00621217"/>
    <w:rsid w:val="0062121F"/>
    <w:rsid w:val="00621E3D"/>
    <w:rsid w:val="00622189"/>
    <w:rsid w:val="006226AC"/>
    <w:rsid w:val="00622BA9"/>
    <w:rsid w:val="00623029"/>
    <w:rsid w:val="0062314C"/>
    <w:rsid w:val="0062355D"/>
    <w:rsid w:val="0062369E"/>
    <w:rsid w:val="00623E7B"/>
    <w:rsid w:val="00624748"/>
    <w:rsid w:val="006250F0"/>
    <w:rsid w:val="0062546F"/>
    <w:rsid w:val="0062623B"/>
    <w:rsid w:val="0062693C"/>
    <w:rsid w:val="00626BC3"/>
    <w:rsid w:val="00627006"/>
    <w:rsid w:val="00627060"/>
    <w:rsid w:val="006271A6"/>
    <w:rsid w:val="00627444"/>
    <w:rsid w:val="00627B4B"/>
    <w:rsid w:val="00631849"/>
    <w:rsid w:val="00631B51"/>
    <w:rsid w:val="00632441"/>
    <w:rsid w:val="00632A68"/>
    <w:rsid w:val="00632D8C"/>
    <w:rsid w:val="00633317"/>
    <w:rsid w:val="006333E3"/>
    <w:rsid w:val="006334E6"/>
    <w:rsid w:val="006338A2"/>
    <w:rsid w:val="006341A7"/>
    <w:rsid w:val="006344E7"/>
    <w:rsid w:val="00634786"/>
    <w:rsid w:val="006351B6"/>
    <w:rsid w:val="00636162"/>
    <w:rsid w:val="00636723"/>
    <w:rsid w:val="00636823"/>
    <w:rsid w:val="00636E23"/>
    <w:rsid w:val="00636FAF"/>
    <w:rsid w:val="00637274"/>
    <w:rsid w:val="00640092"/>
    <w:rsid w:val="006408E0"/>
    <w:rsid w:val="0064097F"/>
    <w:rsid w:val="00640D0C"/>
    <w:rsid w:val="006410FC"/>
    <w:rsid w:val="00641528"/>
    <w:rsid w:val="0064154B"/>
    <w:rsid w:val="006426EC"/>
    <w:rsid w:val="0064297F"/>
    <w:rsid w:val="00642C6A"/>
    <w:rsid w:val="00642E0C"/>
    <w:rsid w:val="006434D0"/>
    <w:rsid w:val="006435BB"/>
    <w:rsid w:val="0064364F"/>
    <w:rsid w:val="00643D58"/>
    <w:rsid w:val="00645759"/>
    <w:rsid w:val="006457D5"/>
    <w:rsid w:val="00645AF3"/>
    <w:rsid w:val="00645F7C"/>
    <w:rsid w:val="00646839"/>
    <w:rsid w:val="006471FC"/>
    <w:rsid w:val="00647C5D"/>
    <w:rsid w:val="00647D0D"/>
    <w:rsid w:val="00647D20"/>
    <w:rsid w:val="006509FF"/>
    <w:rsid w:val="00650A59"/>
    <w:rsid w:val="0065120C"/>
    <w:rsid w:val="0065129E"/>
    <w:rsid w:val="006518D0"/>
    <w:rsid w:val="00651BD9"/>
    <w:rsid w:val="00652074"/>
    <w:rsid w:val="00652E00"/>
    <w:rsid w:val="00652EC6"/>
    <w:rsid w:val="0065305D"/>
    <w:rsid w:val="00653714"/>
    <w:rsid w:val="0065464F"/>
    <w:rsid w:val="0065494D"/>
    <w:rsid w:val="0065499B"/>
    <w:rsid w:val="00654ABB"/>
    <w:rsid w:val="00654B41"/>
    <w:rsid w:val="00654BE5"/>
    <w:rsid w:val="00655176"/>
    <w:rsid w:val="00655687"/>
    <w:rsid w:val="006560FC"/>
    <w:rsid w:val="00656419"/>
    <w:rsid w:val="0065712B"/>
    <w:rsid w:val="006571BF"/>
    <w:rsid w:val="006579DC"/>
    <w:rsid w:val="006615DD"/>
    <w:rsid w:val="00661BCA"/>
    <w:rsid w:val="00661FBE"/>
    <w:rsid w:val="0066210E"/>
    <w:rsid w:val="00662570"/>
    <w:rsid w:val="00662915"/>
    <w:rsid w:val="00662D76"/>
    <w:rsid w:val="006634FE"/>
    <w:rsid w:val="00663B1F"/>
    <w:rsid w:val="006643EF"/>
    <w:rsid w:val="006655D3"/>
    <w:rsid w:val="00665EF8"/>
    <w:rsid w:val="00666542"/>
    <w:rsid w:val="006667A6"/>
    <w:rsid w:val="00667924"/>
    <w:rsid w:val="006679D7"/>
    <w:rsid w:val="00667F3E"/>
    <w:rsid w:val="00670036"/>
    <w:rsid w:val="006701BC"/>
    <w:rsid w:val="006702D7"/>
    <w:rsid w:val="006704D2"/>
    <w:rsid w:val="0067067B"/>
    <w:rsid w:val="00670B09"/>
    <w:rsid w:val="006715F8"/>
    <w:rsid w:val="006717C0"/>
    <w:rsid w:val="00671F6D"/>
    <w:rsid w:val="006725DE"/>
    <w:rsid w:val="00672603"/>
    <w:rsid w:val="00672998"/>
    <w:rsid w:val="006729C1"/>
    <w:rsid w:val="00673156"/>
    <w:rsid w:val="0067326B"/>
    <w:rsid w:val="00673542"/>
    <w:rsid w:val="00673546"/>
    <w:rsid w:val="00673C51"/>
    <w:rsid w:val="0067407F"/>
    <w:rsid w:val="00674666"/>
    <w:rsid w:val="006746E8"/>
    <w:rsid w:val="00674737"/>
    <w:rsid w:val="00674A43"/>
    <w:rsid w:val="00674C92"/>
    <w:rsid w:val="00675321"/>
    <w:rsid w:val="00675881"/>
    <w:rsid w:val="00675977"/>
    <w:rsid w:val="00675CD3"/>
    <w:rsid w:val="00675ED4"/>
    <w:rsid w:val="006762FD"/>
    <w:rsid w:val="00676305"/>
    <w:rsid w:val="00676795"/>
    <w:rsid w:val="006767FF"/>
    <w:rsid w:val="00676A4A"/>
    <w:rsid w:val="00676B67"/>
    <w:rsid w:val="00676CB0"/>
    <w:rsid w:val="00676FC1"/>
    <w:rsid w:val="006772F3"/>
    <w:rsid w:val="006775FB"/>
    <w:rsid w:val="006777FA"/>
    <w:rsid w:val="006801F6"/>
    <w:rsid w:val="00680262"/>
    <w:rsid w:val="00680522"/>
    <w:rsid w:val="00680ADD"/>
    <w:rsid w:val="00680E93"/>
    <w:rsid w:val="00680FDB"/>
    <w:rsid w:val="00681114"/>
    <w:rsid w:val="006811F9"/>
    <w:rsid w:val="00681D3E"/>
    <w:rsid w:val="00681D50"/>
    <w:rsid w:val="00681E0A"/>
    <w:rsid w:val="00682BE6"/>
    <w:rsid w:val="006831E1"/>
    <w:rsid w:val="006834D2"/>
    <w:rsid w:val="006836F1"/>
    <w:rsid w:val="00683771"/>
    <w:rsid w:val="0068382A"/>
    <w:rsid w:val="006838A1"/>
    <w:rsid w:val="00683B90"/>
    <w:rsid w:val="0068460C"/>
    <w:rsid w:val="00684C75"/>
    <w:rsid w:val="00685FA4"/>
    <w:rsid w:val="006867BE"/>
    <w:rsid w:val="0068743A"/>
    <w:rsid w:val="00687AB2"/>
    <w:rsid w:val="00687C0C"/>
    <w:rsid w:val="00687E7A"/>
    <w:rsid w:val="0069074C"/>
    <w:rsid w:val="00690F25"/>
    <w:rsid w:val="006917EF"/>
    <w:rsid w:val="00691BC4"/>
    <w:rsid w:val="00691E67"/>
    <w:rsid w:val="00692145"/>
    <w:rsid w:val="00692A03"/>
    <w:rsid w:val="00692CBE"/>
    <w:rsid w:val="00692F89"/>
    <w:rsid w:val="006930F1"/>
    <w:rsid w:val="00693215"/>
    <w:rsid w:val="00693862"/>
    <w:rsid w:val="00693C29"/>
    <w:rsid w:val="006945D8"/>
    <w:rsid w:val="00694665"/>
    <w:rsid w:val="006947F5"/>
    <w:rsid w:val="006949F2"/>
    <w:rsid w:val="006952CF"/>
    <w:rsid w:val="006956CD"/>
    <w:rsid w:val="00695E82"/>
    <w:rsid w:val="00696617"/>
    <w:rsid w:val="006968FB"/>
    <w:rsid w:val="00696965"/>
    <w:rsid w:val="00696BF5"/>
    <w:rsid w:val="00696E18"/>
    <w:rsid w:val="00697103"/>
    <w:rsid w:val="006973AE"/>
    <w:rsid w:val="00697CA0"/>
    <w:rsid w:val="00697E50"/>
    <w:rsid w:val="006A0032"/>
    <w:rsid w:val="006A0305"/>
    <w:rsid w:val="006A033A"/>
    <w:rsid w:val="006A05F8"/>
    <w:rsid w:val="006A0675"/>
    <w:rsid w:val="006A0897"/>
    <w:rsid w:val="006A12F9"/>
    <w:rsid w:val="006A1598"/>
    <w:rsid w:val="006A1F81"/>
    <w:rsid w:val="006A1FF7"/>
    <w:rsid w:val="006A2094"/>
    <w:rsid w:val="006A30E6"/>
    <w:rsid w:val="006A30FE"/>
    <w:rsid w:val="006A3726"/>
    <w:rsid w:val="006A3ED8"/>
    <w:rsid w:val="006A471C"/>
    <w:rsid w:val="006A4A28"/>
    <w:rsid w:val="006A565E"/>
    <w:rsid w:val="006A5C8C"/>
    <w:rsid w:val="006A68DB"/>
    <w:rsid w:val="006A6983"/>
    <w:rsid w:val="006A6BB2"/>
    <w:rsid w:val="006A6F02"/>
    <w:rsid w:val="006A6FB1"/>
    <w:rsid w:val="006A7931"/>
    <w:rsid w:val="006A7FAA"/>
    <w:rsid w:val="006B01A7"/>
    <w:rsid w:val="006B02E1"/>
    <w:rsid w:val="006B0959"/>
    <w:rsid w:val="006B0B23"/>
    <w:rsid w:val="006B0D6A"/>
    <w:rsid w:val="006B1EC7"/>
    <w:rsid w:val="006B2229"/>
    <w:rsid w:val="006B2999"/>
    <w:rsid w:val="006B3040"/>
    <w:rsid w:val="006B33AB"/>
    <w:rsid w:val="006B3A3C"/>
    <w:rsid w:val="006B428F"/>
    <w:rsid w:val="006B4D68"/>
    <w:rsid w:val="006B50AD"/>
    <w:rsid w:val="006B5BCA"/>
    <w:rsid w:val="006B5DE7"/>
    <w:rsid w:val="006B601B"/>
    <w:rsid w:val="006B615E"/>
    <w:rsid w:val="006B7322"/>
    <w:rsid w:val="006B7F36"/>
    <w:rsid w:val="006C0AA3"/>
    <w:rsid w:val="006C0C8F"/>
    <w:rsid w:val="006C0DC7"/>
    <w:rsid w:val="006C1C43"/>
    <w:rsid w:val="006C2516"/>
    <w:rsid w:val="006C2893"/>
    <w:rsid w:val="006C3E2B"/>
    <w:rsid w:val="006C44FB"/>
    <w:rsid w:val="006C474B"/>
    <w:rsid w:val="006C4D19"/>
    <w:rsid w:val="006C5030"/>
    <w:rsid w:val="006C629C"/>
    <w:rsid w:val="006C62F2"/>
    <w:rsid w:val="006C67C9"/>
    <w:rsid w:val="006C6B02"/>
    <w:rsid w:val="006C6FA4"/>
    <w:rsid w:val="006C703E"/>
    <w:rsid w:val="006C7204"/>
    <w:rsid w:val="006C74A0"/>
    <w:rsid w:val="006C760F"/>
    <w:rsid w:val="006C78FE"/>
    <w:rsid w:val="006C7D22"/>
    <w:rsid w:val="006C7EA1"/>
    <w:rsid w:val="006D0007"/>
    <w:rsid w:val="006D0414"/>
    <w:rsid w:val="006D05DB"/>
    <w:rsid w:val="006D0635"/>
    <w:rsid w:val="006D0B20"/>
    <w:rsid w:val="006D108F"/>
    <w:rsid w:val="006D10D8"/>
    <w:rsid w:val="006D13A9"/>
    <w:rsid w:val="006D1717"/>
    <w:rsid w:val="006D1A3B"/>
    <w:rsid w:val="006D1AAD"/>
    <w:rsid w:val="006D22F0"/>
    <w:rsid w:val="006D239F"/>
    <w:rsid w:val="006D2664"/>
    <w:rsid w:val="006D2669"/>
    <w:rsid w:val="006D280D"/>
    <w:rsid w:val="006D2CD4"/>
    <w:rsid w:val="006D35E6"/>
    <w:rsid w:val="006D3ADE"/>
    <w:rsid w:val="006D3EFA"/>
    <w:rsid w:val="006D41A4"/>
    <w:rsid w:val="006D46E7"/>
    <w:rsid w:val="006D4E67"/>
    <w:rsid w:val="006D5540"/>
    <w:rsid w:val="006D5548"/>
    <w:rsid w:val="006D559D"/>
    <w:rsid w:val="006D6165"/>
    <w:rsid w:val="006D6362"/>
    <w:rsid w:val="006D69AD"/>
    <w:rsid w:val="006D6A14"/>
    <w:rsid w:val="006D6B0E"/>
    <w:rsid w:val="006D6BC7"/>
    <w:rsid w:val="006D70B3"/>
    <w:rsid w:val="006D77C2"/>
    <w:rsid w:val="006D7E37"/>
    <w:rsid w:val="006E0931"/>
    <w:rsid w:val="006E113E"/>
    <w:rsid w:val="006E1C17"/>
    <w:rsid w:val="006E1F34"/>
    <w:rsid w:val="006E2E43"/>
    <w:rsid w:val="006E2E99"/>
    <w:rsid w:val="006E426E"/>
    <w:rsid w:val="006E43F9"/>
    <w:rsid w:val="006E562A"/>
    <w:rsid w:val="006E573A"/>
    <w:rsid w:val="006E595C"/>
    <w:rsid w:val="006E5E52"/>
    <w:rsid w:val="006E60AF"/>
    <w:rsid w:val="006E60B0"/>
    <w:rsid w:val="006E62DF"/>
    <w:rsid w:val="006E6530"/>
    <w:rsid w:val="006E6B86"/>
    <w:rsid w:val="006E6FCE"/>
    <w:rsid w:val="006E766A"/>
    <w:rsid w:val="006E7794"/>
    <w:rsid w:val="006E7845"/>
    <w:rsid w:val="006F0152"/>
    <w:rsid w:val="006F034D"/>
    <w:rsid w:val="006F167C"/>
    <w:rsid w:val="006F18A3"/>
    <w:rsid w:val="006F2C0E"/>
    <w:rsid w:val="006F2EDD"/>
    <w:rsid w:val="006F3279"/>
    <w:rsid w:val="006F38F9"/>
    <w:rsid w:val="006F437F"/>
    <w:rsid w:val="006F45B8"/>
    <w:rsid w:val="006F4C79"/>
    <w:rsid w:val="006F4C8B"/>
    <w:rsid w:val="006F507C"/>
    <w:rsid w:val="006F52CC"/>
    <w:rsid w:val="006F57B4"/>
    <w:rsid w:val="006F5B1B"/>
    <w:rsid w:val="006F5D07"/>
    <w:rsid w:val="006F5FF5"/>
    <w:rsid w:val="006F6428"/>
    <w:rsid w:val="006F68F3"/>
    <w:rsid w:val="006F7433"/>
    <w:rsid w:val="006F77BF"/>
    <w:rsid w:val="006F7C24"/>
    <w:rsid w:val="006F7DFB"/>
    <w:rsid w:val="006F7EC3"/>
    <w:rsid w:val="007006D6"/>
    <w:rsid w:val="00700D15"/>
    <w:rsid w:val="00701957"/>
    <w:rsid w:val="00701AFB"/>
    <w:rsid w:val="00701B0F"/>
    <w:rsid w:val="007022C5"/>
    <w:rsid w:val="0070272E"/>
    <w:rsid w:val="00702C52"/>
    <w:rsid w:val="00702C7C"/>
    <w:rsid w:val="00702F79"/>
    <w:rsid w:val="00703259"/>
    <w:rsid w:val="0070331E"/>
    <w:rsid w:val="00703E34"/>
    <w:rsid w:val="00704104"/>
    <w:rsid w:val="0070486D"/>
    <w:rsid w:val="00704923"/>
    <w:rsid w:val="007055D7"/>
    <w:rsid w:val="00705846"/>
    <w:rsid w:val="007059E5"/>
    <w:rsid w:val="00705C43"/>
    <w:rsid w:val="0070606F"/>
    <w:rsid w:val="0070635F"/>
    <w:rsid w:val="007067FD"/>
    <w:rsid w:val="0070685B"/>
    <w:rsid w:val="007068A3"/>
    <w:rsid w:val="00706BC5"/>
    <w:rsid w:val="007074A4"/>
    <w:rsid w:val="00707B16"/>
    <w:rsid w:val="007100C3"/>
    <w:rsid w:val="0071073A"/>
    <w:rsid w:val="0071092B"/>
    <w:rsid w:val="00710B07"/>
    <w:rsid w:val="00710ED7"/>
    <w:rsid w:val="007115EB"/>
    <w:rsid w:val="007117CC"/>
    <w:rsid w:val="0071202B"/>
    <w:rsid w:val="007123F1"/>
    <w:rsid w:val="0071281A"/>
    <w:rsid w:val="00713021"/>
    <w:rsid w:val="0071326C"/>
    <w:rsid w:val="00713687"/>
    <w:rsid w:val="0071421B"/>
    <w:rsid w:val="00714AF8"/>
    <w:rsid w:val="007159B2"/>
    <w:rsid w:val="00716145"/>
    <w:rsid w:val="007163B9"/>
    <w:rsid w:val="007163DF"/>
    <w:rsid w:val="0071641E"/>
    <w:rsid w:val="00716787"/>
    <w:rsid w:val="00716FA9"/>
    <w:rsid w:val="00717067"/>
    <w:rsid w:val="007175AE"/>
    <w:rsid w:val="0071776E"/>
    <w:rsid w:val="00720006"/>
    <w:rsid w:val="0072035D"/>
    <w:rsid w:val="00720438"/>
    <w:rsid w:val="007204D7"/>
    <w:rsid w:val="00720921"/>
    <w:rsid w:val="00720D10"/>
    <w:rsid w:val="00720F49"/>
    <w:rsid w:val="00721A8A"/>
    <w:rsid w:val="00721CF7"/>
    <w:rsid w:val="00721D4A"/>
    <w:rsid w:val="00721E54"/>
    <w:rsid w:val="00721F3D"/>
    <w:rsid w:val="0072230E"/>
    <w:rsid w:val="0072256F"/>
    <w:rsid w:val="00722725"/>
    <w:rsid w:val="00722D3D"/>
    <w:rsid w:val="00722F50"/>
    <w:rsid w:val="007230FC"/>
    <w:rsid w:val="007232E3"/>
    <w:rsid w:val="00723756"/>
    <w:rsid w:val="00724DD0"/>
    <w:rsid w:val="007252E6"/>
    <w:rsid w:val="0072558B"/>
    <w:rsid w:val="0072591A"/>
    <w:rsid w:val="00726B99"/>
    <w:rsid w:val="007275B8"/>
    <w:rsid w:val="00727E86"/>
    <w:rsid w:val="00730014"/>
    <w:rsid w:val="00730160"/>
    <w:rsid w:val="007305F6"/>
    <w:rsid w:val="00730650"/>
    <w:rsid w:val="007308B6"/>
    <w:rsid w:val="00730EFA"/>
    <w:rsid w:val="007310B0"/>
    <w:rsid w:val="007312B5"/>
    <w:rsid w:val="007313ED"/>
    <w:rsid w:val="007314EC"/>
    <w:rsid w:val="00731F0C"/>
    <w:rsid w:val="00732198"/>
    <w:rsid w:val="00732497"/>
    <w:rsid w:val="00732943"/>
    <w:rsid w:val="00732EE5"/>
    <w:rsid w:val="007331AE"/>
    <w:rsid w:val="00734197"/>
    <w:rsid w:val="007344B6"/>
    <w:rsid w:val="0073495A"/>
    <w:rsid w:val="00734BFD"/>
    <w:rsid w:val="00735648"/>
    <w:rsid w:val="00735717"/>
    <w:rsid w:val="007357AD"/>
    <w:rsid w:val="00735922"/>
    <w:rsid w:val="00735D87"/>
    <w:rsid w:val="00737742"/>
    <w:rsid w:val="00737C19"/>
    <w:rsid w:val="00737D29"/>
    <w:rsid w:val="00737E9D"/>
    <w:rsid w:val="00737EB5"/>
    <w:rsid w:val="0074093C"/>
    <w:rsid w:val="00740A47"/>
    <w:rsid w:val="00741004"/>
    <w:rsid w:val="00741061"/>
    <w:rsid w:val="0074187F"/>
    <w:rsid w:val="00741DC8"/>
    <w:rsid w:val="00742480"/>
    <w:rsid w:val="007427AA"/>
    <w:rsid w:val="007430D4"/>
    <w:rsid w:val="007431CF"/>
    <w:rsid w:val="00743514"/>
    <w:rsid w:val="0074383B"/>
    <w:rsid w:val="00744489"/>
    <w:rsid w:val="00744564"/>
    <w:rsid w:val="00744E95"/>
    <w:rsid w:val="00744FC8"/>
    <w:rsid w:val="007453A4"/>
    <w:rsid w:val="00745534"/>
    <w:rsid w:val="00745A69"/>
    <w:rsid w:val="0074603E"/>
    <w:rsid w:val="007460E2"/>
    <w:rsid w:val="0074688E"/>
    <w:rsid w:val="00746ED1"/>
    <w:rsid w:val="00746F0E"/>
    <w:rsid w:val="0074732E"/>
    <w:rsid w:val="00747848"/>
    <w:rsid w:val="0074784F"/>
    <w:rsid w:val="00747C77"/>
    <w:rsid w:val="00747E39"/>
    <w:rsid w:val="00750ABD"/>
    <w:rsid w:val="00750F88"/>
    <w:rsid w:val="007510B1"/>
    <w:rsid w:val="0075162D"/>
    <w:rsid w:val="00751D5E"/>
    <w:rsid w:val="00751F9E"/>
    <w:rsid w:val="00751FB8"/>
    <w:rsid w:val="00752065"/>
    <w:rsid w:val="007522B4"/>
    <w:rsid w:val="007526B8"/>
    <w:rsid w:val="00752716"/>
    <w:rsid w:val="00752718"/>
    <w:rsid w:val="0075274E"/>
    <w:rsid w:val="007530B8"/>
    <w:rsid w:val="0075336F"/>
    <w:rsid w:val="007555E0"/>
    <w:rsid w:val="007556AC"/>
    <w:rsid w:val="00755AEA"/>
    <w:rsid w:val="00755CE7"/>
    <w:rsid w:val="00755E92"/>
    <w:rsid w:val="00756000"/>
    <w:rsid w:val="00756002"/>
    <w:rsid w:val="0075637E"/>
    <w:rsid w:val="0075711C"/>
    <w:rsid w:val="0075722A"/>
    <w:rsid w:val="007573AE"/>
    <w:rsid w:val="0075745A"/>
    <w:rsid w:val="0075758B"/>
    <w:rsid w:val="007579CE"/>
    <w:rsid w:val="00757B18"/>
    <w:rsid w:val="00757BD6"/>
    <w:rsid w:val="00757CA8"/>
    <w:rsid w:val="00760217"/>
    <w:rsid w:val="007605B3"/>
    <w:rsid w:val="00760916"/>
    <w:rsid w:val="007610F7"/>
    <w:rsid w:val="00761809"/>
    <w:rsid w:val="00761D54"/>
    <w:rsid w:val="00761EB2"/>
    <w:rsid w:val="0076201E"/>
    <w:rsid w:val="0076244F"/>
    <w:rsid w:val="007626E1"/>
    <w:rsid w:val="007628D5"/>
    <w:rsid w:val="00762A1A"/>
    <w:rsid w:val="00762C0F"/>
    <w:rsid w:val="00762D1D"/>
    <w:rsid w:val="00762FA8"/>
    <w:rsid w:val="00763190"/>
    <w:rsid w:val="00763A1A"/>
    <w:rsid w:val="0076418B"/>
    <w:rsid w:val="0076486F"/>
    <w:rsid w:val="007649B7"/>
    <w:rsid w:val="007649DF"/>
    <w:rsid w:val="007649E9"/>
    <w:rsid w:val="00764B66"/>
    <w:rsid w:val="0076523E"/>
    <w:rsid w:val="00765532"/>
    <w:rsid w:val="007656B0"/>
    <w:rsid w:val="007656F6"/>
    <w:rsid w:val="00765DC8"/>
    <w:rsid w:val="00765F5E"/>
    <w:rsid w:val="0076602C"/>
    <w:rsid w:val="007666E9"/>
    <w:rsid w:val="00767924"/>
    <w:rsid w:val="007709A1"/>
    <w:rsid w:val="00770C30"/>
    <w:rsid w:val="0077114F"/>
    <w:rsid w:val="00771257"/>
    <w:rsid w:val="0077150B"/>
    <w:rsid w:val="0077158C"/>
    <w:rsid w:val="007717BE"/>
    <w:rsid w:val="00771870"/>
    <w:rsid w:val="007723F1"/>
    <w:rsid w:val="007726FB"/>
    <w:rsid w:val="00772A78"/>
    <w:rsid w:val="00772F21"/>
    <w:rsid w:val="0077317C"/>
    <w:rsid w:val="00773774"/>
    <w:rsid w:val="00773CF5"/>
    <w:rsid w:val="00773D32"/>
    <w:rsid w:val="0077489E"/>
    <w:rsid w:val="00774A74"/>
    <w:rsid w:val="00775365"/>
    <w:rsid w:val="007753B2"/>
    <w:rsid w:val="007756DE"/>
    <w:rsid w:val="00775BA0"/>
    <w:rsid w:val="00775E23"/>
    <w:rsid w:val="00775FFB"/>
    <w:rsid w:val="007762D7"/>
    <w:rsid w:val="00776B37"/>
    <w:rsid w:val="00776E8E"/>
    <w:rsid w:val="00777AA0"/>
    <w:rsid w:val="00780B7A"/>
    <w:rsid w:val="00780BDF"/>
    <w:rsid w:val="00781072"/>
    <w:rsid w:val="00781365"/>
    <w:rsid w:val="00781D56"/>
    <w:rsid w:val="00782825"/>
    <w:rsid w:val="0078298D"/>
    <w:rsid w:val="00782C34"/>
    <w:rsid w:val="007837E6"/>
    <w:rsid w:val="007838B1"/>
    <w:rsid w:val="00783954"/>
    <w:rsid w:val="00783D96"/>
    <w:rsid w:val="00783FC8"/>
    <w:rsid w:val="007844AF"/>
    <w:rsid w:val="00784C12"/>
    <w:rsid w:val="00784DC7"/>
    <w:rsid w:val="00785323"/>
    <w:rsid w:val="0078589D"/>
    <w:rsid w:val="00785B20"/>
    <w:rsid w:val="00785BCE"/>
    <w:rsid w:val="00785BD6"/>
    <w:rsid w:val="00785E17"/>
    <w:rsid w:val="00786B5D"/>
    <w:rsid w:val="007872B4"/>
    <w:rsid w:val="007901BC"/>
    <w:rsid w:val="007902BF"/>
    <w:rsid w:val="00790353"/>
    <w:rsid w:val="0079046F"/>
    <w:rsid w:val="00790B5C"/>
    <w:rsid w:val="00791981"/>
    <w:rsid w:val="00791E91"/>
    <w:rsid w:val="007925EF"/>
    <w:rsid w:val="0079269C"/>
    <w:rsid w:val="00792BDF"/>
    <w:rsid w:val="00792BFE"/>
    <w:rsid w:val="00792F8E"/>
    <w:rsid w:val="00793732"/>
    <w:rsid w:val="00793961"/>
    <w:rsid w:val="00793AC5"/>
    <w:rsid w:val="00793ECA"/>
    <w:rsid w:val="00793F8A"/>
    <w:rsid w:val="007945DD"/>
    <w:rsid w:val="0079497C"/>
    <w:rsid w:val="00794CB1"/>
    <w:rsid w:val="00794D3D"/>
    <w:rsid w:val="0079503F"/>
    <w:rsid w:val="007957AF"/>
    <w:rsid w:val="007959D6"/>
    <w:rsid w:val="00795B09"/>
    <w:rsid w:val="00795BDD"/>
    <w:rsid w:val="00795DFF"/>
    <w:rsid w:val="00796A38"/>
    <w:rsid w:val="00796A5C"/>
    <w:rsid w:val="00796B06"/>
    <w:rsid w:val="00796CD6"/>
    <w:rsid w:val="00797358"/>
    <w:rsid w:val="00797721"/>
    <w:rsid w:val="00797D60"/>
    <w:rsid w:val="007A0EB2"/>
    <w:rsid w:val="007A1600"/>
    <w:rsid w:val="007A199F"/>
    <w:rsid w:val="007A1A62"/>
    <w:rsid w:val="007A2107"/>
    <w:rsid w:val="007A24CE"/>
    <w:rsid w:val="007A325E"/>
    <w:rsid w:val="007A33CD"/>
    <w:rsid w:val="007A3CEB"/>
    <w:rsid w:val="007A3D1C"/>
    <w:rsid w:val="007A3E45"/>
    <w:rsid w:val="007A41B1"/>
    <w:rsid w:val="007A4373"/>
    <w:rsid w:val="007A5064"/>
    <w:rsid w:val="007A57C7"/>
    <w:rsid w:val="007A5D98"/>
    <w:rsid w:val="007A5DC1"/>
    <w:rsid w:val="007A6DF8"/>
    <w:rsid w:val="007A75DE"/>
    <w:rsid w:val="007A7632"/>
    <w:rsid w:val="007A772F"/>
    <w:rsid w:val="007A7DC3"/>
    <w:rsid w:val="007B098D"/>
    <w:rsid w:val="007B0AD5"/>
    <w:rsid w:val="007B0EBA"/>
    <w:rsid w:val="007B1647"/>
    <w:rsid w:val="007B221C"/>
    <w:rsid w:val="007B28EF"/>
    <w:rsid w:val="007B2C0B"/>
    <w:rsid w:val="007B3B6E"/>
    <w:rsid w:val="007B4084"/>
    <w:rsid w:val="007B40D0"/>
    <w:rsid w:val="007B451B"/>
    <w:rsid w:val="007B4757"/>
    <w:rsid w:val="007B476A"/>
    <w:rsid w:val="007B4D78"/>
    <w:rsid w:val="007B4F4F"/>
    <w:rsid w:val="007B5169"/>
    <w:rsid w:val="007B5BF0"/>
    <w:rsid w:val="007B60CF"/>
    <w:rsid w:val="007B680E"/>
    <w:rsid w:val="007B740C"/>
    <w:rsid w:val="007B7414"/>
    <w:rsid w:val="007B7656"/>
    <w:rsid w:val="007B786D"/>
    <w:rsid w:val="007B7F30"/>
    <w:rsid w:val="007C0B46"/>
    <w:rsid w:val="007C0B4F"/>
    <w:rsid w:val="007C101B"/>
    <w:rsid w:val="007C195F"/>
    <w:rsid w:val="007C1D5A"/>
    <w:rsid w:val="007C2190"/>
    <w:rsid w:val="007C28D1"/>
    <w:rsid w:val="007C2B65"/>
    <w:rsid w:val="007C3AB8"/>
    <w:rsid w:val="007C420C"/>
    <w:rsid w:val="007C4257"/>
    <w:rsid w:val="007C4AA9"/>
    <w:rsid w:val="007C4AB2"/>
    <w:rsid w:val="007C4E34"/>
    <w:rsid w:val="007C534D"/>
    <w:rsid w:val="007C53CC"/>
    <w:rsid w:val="007C59B0"/>
    <w:rsid w:val="007C59B7"/>
    <w:rsid w:val="007C692A"/>
    <w:rsid w:val="007C697F"/>
    <w:rsid w:val="007C6E6E"/>
    <w:rsid w:val="007C78C3"/>
    <w:rsid w:val="007C7ABD"/>
    <w:rsid w:val="007D0438"/>
    <w:rsid w:val="007D0B81"/>
    <w:rsid w:val="007D197A"/>
    <w:rsid w:val="007D1B13"/>
    <w:rsid w:val="007D1F11"/>
    <w:rsid w:val="007D1F99"/>
    <w:rsid w:val="007D2211"/>
    <w:rsid w:val="007D228D"/>
    <w:rsid w:val="007D269B"/>
    <w:rsid w:val="007D2741"/>
    <w:rsid w:val="007D2969"/>
    <w:rsid w:val="007D2A9E"/>
    <w:rsid w:val="007D3124"/>
    <w:rsid w:val="007D342B"/>
    <w:rsid w:val="007D35E5"/>
    <w:rsid w:val="007D35ED"/>
    <w:rsid w:val="007D3A96"/>
    <w:rsid w:val="007D4DA6"/>
    <w:rsid w:val="007D4F9C"/>
    <w:rsid w:val="007D5487"/>
    <w:rsid w:val="007D56E8"/>
    <w:rsid w:val="007D5792"/>
    <w:rsid w:val="007D5EB3"/>
    <w:rsid w:val="007D6648"/>
    <w:rsid w:val="007D6DB3"/>
    <w:rsid w:val="007D70EB"/>
    <w:rsid w:val="007D74A6"/>
    <w:rsid w:val="007D77ED"/>
    <w:rsid w:val="007D7991"/>
    <w:rsid w:val="007D7B20"/>
    <w:rsid w:val="007D7C8C"/>
    <w:rsid w:val="007D7CBC"/>
    <w:rsid w:val="007E099E"/>
    <w:rsid w:val="007E0C40"/>
    <w:rsid w:val="007E36FC"/>
    <w:rsid w:val="007E3E9C"/>
    <w:rsid w:val="007E41CB"/>
    <w:rsid w:val="007E4211"/>
    <w:rsid w:val="007E4375"/>
    <w:rsid w:val="007E46C4"/>
    <w:rsid w:val="007E4F53"/>
    <w:rsid w:val="007E553C"/>
    <w:rsid w:val="007E5667"/>
    <w:rsid w:val="007E5D94"/>
    <w:rsid w:val="007E689F"/>
    <w:rsid w:val="007E731B"/>
    <w:rsid w:val="007E7353"/>
    <w:rsid w:val="007E7363"/>
    <w:rsid w:val="007E7677"/>
    <w:rsid w:val="007E78E8"/>
    <w:rsid w:val="007E7C67"/>
    <w:rsid w:val="007E7E1E"/>
    <w:rsid w:val="007F0341"/>
    <w:rsid w:val="007F0380"/>
    <w:rsid w:val="007F0E5E"/>
    <w:rsid w:val="007F0F99"/>
    <w:rsid w:val="007F1296"/>
    <w:rsid w:val="007F1B9C"/>
    <w:rsid w:val="007F30CB"/>
    <w:rsid w:val="007F3435"/>
    <w:rsid w:val="007F3A24"/>
    <w:rsid w:val="007F3A4D"/>
    <w:rsid w:val="007F3A7F"/>
    <w:rsid w:val="007F3ABA"/>
    <w:rsid w:val="007F3E59"/>
    <w:rsid w:val="007F414E"/>
    <w:rsid w:val="007F481B"/>
    <w:rsid w:val="007F4C01"/>
    <w:rsid w:val="007F4E0C"/>
    <w:rsid w:val="007F4FD9"/>
    <w:rsid w:val="007F5182"/>
    <w:rsid w:val="007F6600"/>
    <w:rsid w:val="007F6B15"/>
    <w:rsid w:val="007F6CEC"/>
    <w:rsid w:val="007F6D38"/>
    <w:rsid w:val="007F6E31"/>
    <w:rsid w:val="007F6E85"/>
    <w:rsid w:val="007F6F30"/>
    <w:rsid w:val="007F6F6C"/>
    <w:rsid w:val="007F707F"/>
    <w:rsid w:val="007F7122"/>
    <w:rsid w:val="007F74EC"/>
    <w:rsid w:val="007F7B24"/>
    <w:rsid w:val="008000CB"/>
    <w:rsid w:val="00800372"/>
    <w:rsid w:val="008003A4"/>
    <w:rsid w:val="00800B8D"/>
    <w:rsid w:val="00800C03"/>
    <w:rsid w:val="008010D0"/>
    <w:rsid w:val="008011A4"/>
    <w:rsid w:val="008013C1"/>
    <w:rsid w:val="0080189B"/>
    <w:rsid w:val="00801927"/>
    <w:rsid w:val="00801EC0"/>
    <w:rsid w:val="0080207C"/>
    <w:rsid w:val="008020D8"/>
    <w:rsid w:val="0080228F"/>
    <w:rsid w:val="00802980"/>
    <w:rsid w:val="00802F1E"/>
    <w:rsid w:val="00803395"/>
    <w:rsid w:val="00803657"/>
    <w:rsid w:val="0080376C"/>
    <w:rsid w:val="00803B0D"/>
    <w:rsid w:val="00803CD8"/>
    <w:rsid w:val="00804424"/>
    <w:rsid w:val="00804C41"/>
    <w:rsid w:val="00804C69"/>
    <w:rsid w:val="00804CC1"/>
    <w:rsid w:val="00805639"/>
    <w:rsid w:val="00805B0C"/>
    <w:rsid w:val="00806206"/>
    <w:rsid w:val="008074B1"/>
    <w:rsid w:val="008076B6"/>
    <w:rsid w:val="008104C2"/>
    <w:rsid w:val="00810500"/>
    <w:rsid w:val="00810FAF"/>
    <w:rsid w:val="00812833"/>
    <w:rsid w:val="008129CB"/>
    <w:rsid w:val="00812B62"/>
    <w:rsid w:val="00812BA0"/>
    <w:rsid w:val="00812D1A"/>
    <w:rsid w:val="00813ED0"/>
    <w:rsid w:val="00814BEB"/>
    <w:rsid w:val="008157DF"/>
    <w:rsid w:val="00815823"/>
    <w:rsid w:val="00815C92"/>
    <w:rsid w:val="00815D03"/>
    <w:rsid w:val="00816240"/>
    <w:rsid w:val="008162C2"/>
    <w:rsid w:val="00816ACA"/>
    <w:rsid w:val="00816D26"/>
    <w:rsid w:val="008175B9"/>
    <w:rsid w:val="0082021F"/>
    <w:rsid w:val="008202BF"/>
    <w:rsid w:val="008212C3"/>
    <w:rsid w:val="0082145E"/>
    <w:rsid w:val="00821BAF"/>
    <w:rsid w:val="00821E33"/>
    <w:rsid w:val="0082201E"/>
    <w:rsid w:val="0082236B"/>
    <w:rsid w:val="00823232"/>
    <w:rsid w:val="00823460"/>
    <w:rsid w:val="00823FE8"/>
    <w:rsid w:val="00824319"/>
    <w:rsid w:val="0082462B"/>
    <w:rsid w:val="008247C3"/>
    <w:rsid w:val="00824FDA"/>
    <w:rsid w:val="00825165"/>
    <w:rsid w:val="0082598B"/>
    <w:rsid w:val="00825BD9"/>
    <w:rsid w:val="00825E38"/>
    <w:rsid w:val="00826322"/>
    <w:rsid w:val="00826FC0"/>
    <w:rsid w:val="00827695"/>
    <w:rsid w:val="00827E97"/>
    <w:rsid w:val="00830334"/>
    <w:rsid w:val="00830CA3"/>
    <w:rsid w:val="00830D5C"/>
    <w:rsid w:val="00831120"/>
    <w:rsid w:val="00831601"/>
    <w:rsid w:val="00831BEA"/>
    <w:rsid w:val="00831C70"/>
    <w:rsid w:val="008331E0"/>
    <w:rsid w:val="00833876"/>
    <w:rsid w:val="00833CDF"/>
    <w:rsid w:val="00834163"/>
    <w:rsid w:val="00834963"/>
    <w:rsid w:val="00834E47"/>
    <w:rsid w:val="008351A3"/>
    <w:rsid w:val="00835260"/>
    <w:rsid w:val="0083541C"/>
    <w:rsid w:val="008354AA"/>
    <w:rsid w:val="00835846"/>
    <w:rsid w:val="00835BBA"/>
    <w:rsid w:val="00835C14"/>
    <w:rsid w:val="008366E8"/>
    <w:rsid w:val="00836748"/>
    <w:rsid w:val="00837829"/>
    <w:rsid w:val="00840477"/>
    <w:rsid w:val="0084084A"/>
    <w:rsid w:val="00840E1D"/>
    <w:rsid w:val="00841649"/>
    <w:rsid w:val="008419AA"/>
    <w:rsid w:val="00841C0F"/>
    <w:rsid w:val="008421AA"/>
    <w:rsid w:val="0084229C"/>
    <w:rsid w:val="00842634"/>
    <w:rsid w:val="00842EF9"/>
    <w:rsid w:val="0084327B"/>
    <w:rsid w:val="008436C7"/>
    <w:rsid w:val="0084376C"/>
    <w:rsid w:val="008437CC"/>
    <w:rsid w:val="00844770"/>
    <w:rsid w:val="00844ECD"/>
    <w:rsid w:val="0084526E"/>
    <w:rsid w:val="00845F52"/>
    <w:rsid w:val="00846202"/>
    <w:rsid w:val="00846277"/>
    <w:rsid w:val="0084654E"/>
    <w:rsid w:val="008466B4"/>
    <w:rsid w:val="0084680A"/>
    <w:rsid w:val="008476C2"/>
    <w:rsid w:val="00847A41"/>
    <w:rsid w:val="008500F0"/>
    <w:rsid w:val="00850945"/>
    <w:rsid w:val="00850ADD"/>
    <w:rsid w:val="00850D7D"/>
    <w:rsid w:val="008512C3"/>
    <w:rsid w:val="008513BC"/>
    <w:rsid w:val="008517F1"/>
    <w:rsid w:val="008521B4"/>
    <w:rsid w:val="0085234C"/>
    <w:rsid w:val="00852388"/>
    <w:rsid w:val="00852AAE"/>
    <w:rsid w:val="00852C3A"/>
    <w:rsid w:val="00852CF6"/>
    <w:rsid w:val="00853A68"/>
    <w:rsid w:val="00853E2C"/>
    <w:rsid w:val="008540F8"/>
    <w:rsid w:val="008543BD"/>
    <w:rsid w:val="00854E10"/>
    <w:rsid w:val="00854EFB"/>
    <w:rsid w:val="00855479"/>
    <w:rsid w:val="00855872"/>
    <w:rsid w:val="00855DBC"/>
    <w:rsid w:val="00856189"/>
    <w:rsid w:val="008566C0"/>
    <w:rsid w:val="00856800"/>
    <w:rsid w:val="00856A56"/>
    <w:rsid w:val="008575B4"/>
    <w:rsid w:val="00857E26"/>
    <w:rsid w:val="00857E53"/>
    <w:rsid w:val="00860671"/>
    <w:rsid w:val="008606D7"/>
    <w:rsid w:val="00860CF9"/>
    <w:rsid w:val="008614C8"/>
    <w:rsid w:val="0086167C"/>
    <w:rsid w:val="00861768"/>
    <w:rsid w:val="00861845"/>
    <w:rsid w:val="00861DD4"/>
    <w:rsid w:val="00862808"/>
    <w:rsid w:val="00862931"/>
    <w:rsid w:val="008632C2"/>
    <w:rsid w:val="00863C80"/>
    <w:rsid w:val="00864338"/>
    <w:rsid w:val="0086469F"/>
    <w:rsid w:val="00864F51"/>
    <w:rsid w:val="00864F71"/>
    <w:rsid w:val="008660DB"/>
    <w:rsid w:val="0086626A"/>
    <w:rsid w:val="00866332"/>
    <w:rsid w:val="00866473"/>
    <w:rsid w:val="0086674A"/>
    <w:rsid w:val="00866AAE"/>
    <w:rsid w:val="00866DD9"/>
    <w:rsid w:val="00866FB5"/>
    <w:rsid w:val="008678C3"/>
    <w:rsid w:val="008700D8"/>
    <w:rsid w:val="00870334"/>
    <w:rsid w:val="00870356"/>
    <w:rsid w:val="0087052D"/>
    <w:rsid w:val="008705AC"/>
    <w:rsid w:val="00870606"/>
    <w:rsid w:val="00870BCB"/>
    <w:rsid w:val="00870BE5"/>
    <w:rsid w:val="00871832"/>
    <w:rsid w:val="00871C78"/>
    <w:rsid w:val="00872333"/>
    <w:rsid w:val="008724CF"/>
    <w:rsid w:val="008724F5"/>
    <w:rsid w:val="008725E9"/>
    <w:rsid w:val="00872D54"/>
    <w:rsid w:val="00872E5E"/>
    <w:rsid w:val="00872E8E"/>
    <w:rsid w:val="00873016"/>
    <w:rsid w:val="00873958"/>
    <w:rsid w:val="00873C6C"/>
    <w:rsid w:val="00873E8A"/>
    <w:rsid w:val="008741EB"/>
    <w:rsid w:val="0087485A"/>
    <w:rsid w:val="00874966"/>
    <w:rsid w:val="00874BC6"/>
    <w:rsid w:val="00874DFC"/>
    <w:rsid w:val="008752D0"/>
    <w:rsid w:val="008752D1"/>
    <w:rsid w:val="0087539B"/>
    <w:rsid w:val="00875744"/>
    <w:rsid w:val="00876075"/>
    <w:rsid w:val="00876C6C"/>
    <w:rsid w:val="00876CCE"/>
    <w:rsid w:val="00876EE6"/>
    <w:rsid w:val="0087771A"/>
    <w:rsid w:val="00877917"/>
    <w:rsid w:val="00880443"/>
    <w:rsid w:val="0088063D"/>
    <w:rsid w:val="00880CEC"/>
    <w:rsid w:val="00880E42"/>
    <w:rsid w:val="008811B4"/>
    <w:rsid w:val="0088181F"/>
    <w:rsid w:val="00882A77"/>
    <w:rsid w:val="00882D31"/>
    <w:rsid w:val="0088312A"/>
    <w:rsid w:val="00883613"/>
    <w:rsid w:val="00883B17"/>
    <w:rsid w:val="00883B41"/>
    <w:rsid w:val="008845E6"/>
    <w:rsid w:val="0088470D"/>
    <w:rsid w:val="00884C68"/>
    <w:rsid w:val="00884CF9"/>
    <w:rsid w:val="00884E8A"/>
    <w:rsid w:val="00885034"/>
    <w:rsid w:val="00885566"/>
    <w:rsid w:val="00885E02"/>
    <w:rsid w:val="00885F27"/>
    <w:rsid w:val="008864CF"/>
    <w:rsid w:val="008868FC"/>
    <w:rsid w:val="00886C90"/>
    <w:rsid w:val="00887215"/>
    <w:rsid w:val="0088752A"/>
    <w:rsid w:val="00890887"/>
    <w:rsid w:val="00891857"/>
    <w:rsid w:val="00891894"/>
    <w:rsid w:val="008919D8"/>
    <w:rsid w:val="00892270"/>
    <w:rsid w:val="00892B95"/>
    <w:rsid w:val="00892F2F"/>
    <w:rsid w:val="00893299"/>
    <w:rsid w:val="008938B9"/>
    <w:rsid w:val="00893DC9"/>
    <w:rsid w:val="00893F37"/>
    <w:rsid w:val="008942A8"/>
    <w:rsid w:val="008943EC"/>
    <w:rsid w:val="0089541F"/>
    <w:rsid w:val="00895564"/>
    <w:rsid w:val="00895B74"/>
    <w:rsid w:val="00895F52"/>
    <w:rsid w:val="0089611D"/>
    <w:rsid w:val="00896953"/>
    <w:rsid w:val="00896FAF"/>
    <w:rsid w:val="00897DA4"/>
    <w:rsid w:val="008A05A7"/>
    <w:rsid w:val="008A0809"/>
    <w:rsid w:val="008A0A10"/>
    <w:rsid w:val="008A1093"/>
    <w:rsid w:val="008A1FF2"/>
    <w:rsid w:val="008A25DC"/>
    <w:rsid w:val="008A32E2"/>
    <w:rsid w:val="008A34F0"/>
    <w:rsid w:val="008A3553"/>
    <w:rsid w:val="008A401A"/>
    <w:rsid w:val="008A40E3"/>
    <w:rsid w:val="008A4314"/>
    <w:rsid w:val="008A4360"/>
    <w:rsid w:val="008A4584"/>
    <w:rsid w:val="008A4CF5"/>
    <w:rsid w:val="008A4D7F"/>
    <w:rsid w:val="008A519E"/>
    <w:rsid w:val="008A64BD"/>
    <w:rsid w:val="008A68CB"/>
    <w:rsid w:val="008A7175"/>
    <w:rsid w:val="008A736B"/>
    <w:rsid w:val="008A7A54"/>
    <w:rsid w:val="008B0163"/>
    <w:rsid w:val="008B050E"/>
    <w:rsid w:val="008B05E0"/>
    <w:rsid w:val="008B0982"/>
    <w:rsid w:val="008B09F7"/>
    <w:rsid w:val="008B0F47"/>
    <w:rsid w:val="008B10D7"/>
    <w:rsid w:val="008B13BD"/>
    <w:rsid w:val="008B14DD"/>
    <w:rsid w:val="008B1580"/>
    <w:rsid w:val="008B221C"/>
    <w:rsid w:val="008B283C"/>
    <w:rsid w:val="008B2F70"/>
    <w:rsid w:val="008B32D8"/>
    <w:rsid w:val="008B355C"/>
    <w:rsid w:val="008B3979"/>
    <w:rsid w:val="008B420B"/>
    <w:rsid w:val="008B48C7"/>
    <w:rsid w:val="008B4AB7"/>
    <w:rsid w:val="008B5C6D"/>
    <w:rsid w:val="008B5DF1"/>
    <w:rsid w:val="008B60D6"/>
    <w:rsid w:val="008B6283"/>
    <w:rsid w:val="008B6727"/>
    <w:rsid w:val="008B6B48"/>
    <w:rsid w:val="008B6B6B"/>
    <w:rsid w:val="008B721B"/>
    <w:rsid w:val="008B79AB"/>
    <w:rsid w:val="008B79D8"/>
    <w:rsid w:val="008C0164"/>
    <w:rsid w:val="008C0254"/>
    <w:rsid w:val="008C08F1"/>
    <w:rsid w:val="008C09F6"/>
    <w:rsid w:val="008C0BFE"/>
    <w:rsid w:val="008C169B"/>
    <w:rsid w:val="008C1AD2"/>
    <w:rsid w:val="008C1C54"/>
    <w:rsid w:val="008C1D0D"/>
    <w:rsid w:val="008C1D10"/>
    <w:rsid w:val="008C1DB0"/>
    <w:rsid w:val="008C1FC2"/>
    <w:rsid w:val="008C2013"/>
    <w:rsid w:val="008C24C7"/>
    <w:rsid w:val="008C2C52"/>
    <w:rsid w:val="008C304B"/>
    <w:rsid w:val="008C3088"/>
    <w:rsid w:val="008C3340"/>
    <w:rsid w:val="008C352C"/>
    <w:rsid w:val="008C3626"/>
    <w:rsid w:val="008C36F7"/>
    <w:rsid w:val="008C3C68"/>
    <w:rsid w:val="008C4D9C"/>
    <w:rsid w:val="008C5001"/>
    <w:rsid w:val="008C5035"/>
    <w:rsid w:val="008C55FF"/>
    <w:rsid w:val="008C5FF9"/>
    <w:rsid w:val="008C6805"/>
    <w:rsid w:val="008C689C"/>
    <w:rsid w:val="008C6B23"/>
    <w:rsid w:val="008C6F08"/>
    <w:rsid w:val="008C7CD2"/>
    <w:rsid w:val="008C7EDC"/>
    <w:rsid w:val="008D06E2"/>
    <w:rsid w:val="008D07C9"/>
    <w:rsid w:val="008D099D"/>
    <w:rsid w:val="008D0A71"/>
    <w:rsid w:val="008D16AB"/>
    <w:rsid w:val="008D1A56"/>
    <w:rsid w:val="008D1DE9"/>
    <w:rsid w:val="008D1EF9"/>
    <w:rsid w:val="008D1F01"/>
    <w:rsid w:val="008D2094"/>
    <w:rsid w:val="008D2290"/>
    <w:rsid w:val="008D305F"/>
    <w:rsid w:val="008D3068"/>
    <w:rsid w:val="008D345F"/>
    <w:rsid w:val="008D34D1"/>
    <w:rsid w:val="008D3720"/>
    <w:rsid w:val="008D39B4"/>
    <w:rsid w:val="008D39FB"/>
    <w:rsid w:val="008D41E0"/>
    <w:rsid w:val="008D4307"/>
    <w:rsid w:val="008D430B"/>
    <w:rsid w:val="008D433D"/>
    <w:rsid w:val="008D4379"/>
    <w:rsid w:val="008D45B2"/>
    <w:rsid w:val="008D4CFD"/>
    <w:rsid w:val="008D51EC"/>
    <w:rsid w:val="008D55CB"/>
    <w:rsid w:val="008D5888"/>
    <w:rsid w:val="008D60F2"/>
    <w:rsid w:val="008D6260"/>
    <w:rsid w:val="008D6B5B"/>
    <w:rsid w:val="008D7397"/>
    <w:rsid w:val="008D7626"/>
    <w:rsid w:val="008D77E9"/>
    <w:rsid w:val="008D7A52"/>
    <w:rsid w:val="008D7AB1"/>
    <w:rsid w:val="008D7DC4"/>
    <w:rsid w:val="008D7EB5"/>
    <w:rsid w:val="008D7EF7"/>
    <w:rsid w:val="008E1192"/>
    <w:rsid w:val="008E11B1"/>
    <w:rsid w:val="008E1ABB"/>
    <w:rsid w:val="008E1B35"/>
    <w:rsid w:val="008E1C6C"/>
    <w:rsid w:val="008E21C3"/>
    <w:rsid w:val="008E2676"/>
    <w:rsid w:val="008E363C"/>
    <w:rsid w:val="008E3753"/>
    <w:rsid w:val="008E3AEC"/>
    <w:rsid w:val="008E3F31"/>
    <w:rsid w:val="008E40DC"/>
    <w:rsid w:val="008E4A49"/>
    <w:rsid w:val="008E4C86"/>
    <w:rsid w:val="008E51FB"/>
    <w:rsid w:val="008E57CD"/>
    <w:rsid w:val="008E5B8F"/>
    <w:rsid w:val="008E5E08"/>
    <w:rsid w:val="008E62C8"/>
    <w:rsid w:val="008E737E"/>
    <w:rsid w:val="008E77BC"/>
    <w:rsid w:val="008E7B15"/>
    <w:rsid w:val="008E7F3A"/>
    <w:rsid w:val="008F01BE"/>
    <w:rsid w:val="008F0588"/>
    <w:rsid w:val="008F05BD"/>
    <w:rsid w:val="008F0688"/>
    <w:rsid w:val="008F0DCD"/>
    <w:rsid w:val="008F1725"/>
    <w:rsid w:val="008F1ABC"/>
    <w:rsid w:val="008F21D4"/>
    <w:rsid w:val="008F260E"/>
    <w:rsid w:val="008F39C9"/>
    <w:rsid w:val="008F4070"/>
    <w:rsid w:val="008F4818"/>
    <w:rsid w:val="008F4D69"/>
    <w:rsid w:val="008F4E63"/>
    <w:rsid w:val="008F5620"/>
    <w:rsid w:val="008F57D7"/>
    <w:rsid w:val="008F5835"/>
    <w:rsid w:val="008F5951"/>
    <w:rsid w:val="008F5D51"/>
    <w:rsid w:val="008F6B94"/>
    <w:rsid w:val="008F6CC2"/>
    <w:rsid w:val="008F71ED"/>
    <w:rsid w:val="008F74AD"/>
    <w:rsid w:val="008F759C"/>
    <w:rsid w:val="008F7C78"/>
    <w:rsid w:val="009001E1"/>
    <w:rsid w:val="0090031D"/>
    <w:rsid w:val="00900A66"/>
    <w:rsid w:val="00902391"/>
    <w:rsid w:val="009028E6"/>
    <w:rsid w:val="00902D40"/>
    <w:rsid w:val="00902F28"/>
    <w:rsid w:val="009035E3"/>
    <w:rsid w:val="009039AE"/>
    <w:rsid w:val="00903B8A"/>
    <w:rsid w:val="009041C5"/>
    <w:rsid w:val="009042B5"/>
    <w:rsid w:val="00904838"/>
    <w:rsid w:val="00904A35"/>
    <w:rsid w:val="009051F4"/>
    <w:rsid w:val="0090582F"/>
    <w:rsid w:val="00905BAD"/>
    <w:rsid w:val="00906617"/>
    <w:rsid w:val="00906B2F"/>
    <w:rsid w:val="00906CD7"/>
    <w:rsid w:val="00907144"/>
    <w:rsid w:val="009072D5"/>
    <w:rsid w:val="00907A14"/>
    <w:rsid w:val="00907E7D"/>
    <w:rsid w:val="0091039C"/>
    <w:rsid w:val="00910427"/>
    <w:rsid w:val="00910482"/>
    <w:rsid w:val="00910637"/>
    <w:rsid w:val="0091075B"/>
    <w:rsid w:val="00910C6B"/>
    <w:rsid w:val="00910D94"/>
    <w:rsid w:val="00911416"/>
    <w:rsid w:val="0091164E"/>
    <w:rsid w:val="009117EA"/>
    <w:rsid w:val="00911847"/>
    <w:rsid w:val="00911B63"/>
    <w:rsid w:val="00911DC6"/>
    <w:rsid w:val="00911E9B"/>
    <w:rsid w:val="00912281"/>
    <w:rsid w:val="00912741"/>
    <w:rsid w:val="009128C9"/>
    <w:rsid w:val="009129BC"/>
    <w:rsid w:val="00912A89"/>
    <w:rsid w:val="00912D4F"/>
    <w:rsid w:val="00912F78"/>
    <w:rsid w:val="00913700"/>
    <w:rsid w:val="009139A0"/>
    <w:rsid w:val="00913A15"/>
    <w:rsid w:val="00913A22"/>
    <w:rsid w:val="00913CA7"/>
    <w:rsid w:val="00913E33"/>
    <w:rsid w:val="00913E4D"/>
    <w:rsid w:val="009140DB"/>
    <w:rsid w:val="009147F4"/>
    <w:rsid w:val="00914B91"/>
    <w:rsid w:val="00914E3B"/>
    <w:rsid w:val="00914EEF"/>
    <w:rsid w:val="009152B4"/>
    <w:rsid w:val="00915594"/>
    <w:rsid w:val="0091559B"/>
    <w:rsid w:val="00915A09"/>
    <w:rsid w:val="00915DD3"/>
    <w:rsid w:val="00915FA4"/>
    <w:rsid w:val="009166DF"/>
    <w:rsid w:val="00917136"/>
    <w:rsid w:val="009176AA"/>
    <w:rsid w:val="009178A3"/>
    <w:rsid w:val="00917A97"/>
    <w:rsid w:val="00917BE4"/>
    <w:rsid w:val="00917D27"/>
    <w:rsid w:val="00920117"/>
    <w:rsid w:val="0092026F"/>
    <w:rsid w:val="0092028B"/>
    <w:rsid w:val="00920331"/>
    <w:rsid w:val="00920586"/>
    <w:rsid w:val="00920C6F"/>
    <w:rsid w:val="00920C95"/>
    <w:rsid w:val="00921002"/>
    <w:rsid w:val="0092174F"/>
    <w:rsid w:val="009218A5"/>
    <w:rsid w:val="00922CC7"/>
    <w:rsid w:val="00923005"/>
    <w:rsid w:val="009233F1"/>
    <w:rsid w:val="00923545"/>
    <w:rsid w:val="009254FF"/>
    <w:rsid w:val="0092563D"/>
    <w:rsid w:val="0092577B"/>
    <w:rsid w:val="00925883"/>
    <w:rsid w:val="00925BEE"/>
    <w:rsid w:val="00925EDE"/>
    <w:rsid w:val="0092627F"/>
    <w:rsid w:val="009262C8"/>
    <w:rsid w:val="0092635E"/>
    <w:rsid w:val="0092651E"/>
    <w:rsid w:val="00926888"/>
    <w:rsid w:val="0092702E"/>
    <w:rsid w:val="00927BA6"/>
    <w:rsid w:val="00927C7B"/>
    <w:rsid w:val="0093041C"/>
    <w:rsid w:val="00930F30"/>
    <w:rsid w:val="00931035"/>
    <w:rsid w:val="00931454"/>
    <w:rsid w:val="0093146B"/>
    <w:rsid w:val="00931A79"/>
    <w:rsid w:val="00931A8C"/>
    <w:rsid w:val="00932336"/>
    <w:rsid w:val="00932676"/>
    <w:rsid w:val="0093293D"/>
    <w:rsid w:val="0093296B"/>
    <w:rsid w:val="0093298A"/>
    <w:rsid w:val="00932D4B"/>
    <w:rsid w:val="009337E0"/>
    <w:rsid w:val="00933980"/>
    <w:rsid w:val="00933E17"/>
    <w:rsid w:val="009343E4"/>
    <w:rsid w:val="00934889"/>
    <w:rsid w:val="00934D21"/>
    <w:rsid w:val="00935C9A"/>
    <w:rsid w:val="009360E4"/>
    <w:rsid w:val="009361EC"/>
    <w:rsid w:val="009362CA"/>
    <w:rsid w:val="00936476"/>
    <w:rsid w:val="00936806"/>
    <w:rsid w:val="00936CCF"/>
    <w:rsid w:val="00936FB8"/>
    <w:rsid w:val="009372B1"/>
    <w:rsid w:val="009378E8"/>
    <w:rsid w:val="00937B90"/>
    <w:rsid w:val="00937B9A"/>
    <w:rsid w:val="0094052D"/>
    <w:rsid w:val="009405E0"/>
    <w:rsid w:val="00940900"/>
    <w:rsid w:val="00940C97"/>
    <w:rsid w:val="00941F5F"/>
    <w:rsid w:val="009429E1"/>
    <w:rsid w:val="00942A96"/>
    <w:rsid w:val="00942ADC"/>
    <w:rsid w:val="00942F09"/>
    <w:rsid w:val="009430FD"/>
    <w:rsid w:val="009432B0"/>
    <w:rsid w:val="00943446"/>
    <w:rsid w:val="00944676"/>
    <w:rsid w:val="00944966"/>
    <w:rsid w:val="00944CC6"/>
    <w:rsid w:val="00944EF0"/>
    <w:rsid w:val="00945565"/>
    <w:rsid w:val="009457BA"/>
    <w:rsid w:val="00945F48"/>
    <w:rsid w:val="00945F4F"/>
    <w:rsid w:val="0094601F"/>
    <w:rsid w:val="00946120"/>
    <w:rsid w:val="00946596"/>
    <w:rsid w:val="009466C3"/>
    <w:rsid w:val="00947140"/>
    <w:rsid w:val="00950243"/>
    <w:rsid w:val="0095046A"/>
    <w:rsid w:val="0095051E"/>
    <w:rsid w:val="009509A6"/>
    <w:rsid w:val="00950F09"/>
    <w:rsid w:val="00950F85"/>
    <w:rsid w:val="009519C7"/>
    <w:rsid w:val="00951B02"/>
    <w:rsid w:val="00951C18"/>
    <w:rsid w:val="009524C8"/>
    <w:rsid w:val="00952969"/>
    <w:rsid w:val="009529F3"/>
    <w:rsid w:val="00953756"/>
    <w:rsid w:val="00954302"/>
    <w:rsid w:val="00954696"/>
    <w:rsid w:val="00955172"/>
    <w:rsid w:val="0095526F"/>
    <w:rsid w:val="0095533C"/>
    <w:rsid w:val="009554B0"/>
    <w:rsid w:val="00955912"/>
    <w:rsid w:val="00955AD3"/>
    <w:rsid w:val="00956701"/>
    <w:rsid w:val="00956B31"/>
    <w:rsid w:val="009570BE"/>
    <w:rsid w:val="009573B7"/>
    <w:rsid w:val="0095783B"/>
    <w:rsid w:val="009578A7"/>
    <w:rsid w:val="009579ED"/>
    <w:rsid w:val="00960243"/>
    <w:rsid w:val="009604A0"/>
    <w:rsid w:val="0096081F"/>
    <w:rsid w:val="00961F0E"/>
    <w:rsid w:val="00962177"/>
    <w:rsid w:val="00962F25"/>
    <w:rsid w:val="00963171"/>
    <w:rsid w:val="00963558"/>
    <w:rsid w:val="00963B9E"/>
    <w:rsid w:val="009641DE"/>
    <w:rsid w:val="00964CAF"/>
    <w:rsid w:val="00965629"/>
    <w:rsid w:val="0096625E"/>
    <w:rsid w:val="0096647D"/>
    <w:rsid w:val="00966A24"/>
    <w:rsid w:val="00966A6C"/>
    <w:rsid w:val="0096718D"/>
    <w:rsid w:val="00967393"/>
    <w:rsid w:val="009676E5"/>
    <w:rsid w:val="00967780"/>
    <w:rsid w:val="009679A7"/>
    <w:rsid w:val="00967A49"/>
    <w:rsid w:val="00967BF7"/>
    <w:rsid w:val="00967C69"/>
    <w:rsid w:val="00967C8B"/>
    <w:rsid w:val="009704C1"/>
    <w:rsid w:val="009707BF"/>
    <w:rsid w:val="00970CB9"/>
    <w:rsid w:val="00970DC0"/>
    <w:rsid w:val="0097112B"/>
    <w:rsid w:val="00971B34"/>
    <w:rsid w:val="00972167"/>
    <w:rsid w:val="00972884"/>
    <w:rsid w:val="00972B46"/>
    <w:rsid w:val="00972B88"/>
    <w:rsid w:val="0097325B"/>
    <w:rsid w:val="009732EB"/>
    <w:rsid w:val="00973AB7"/>
    <w:rsid w:val="00973BEA"/>
    <w:rsid w:val="00973CC8"/>
    <w:rsid w:val="00974264"/>
    <w:rsid w:val="009743F0"/>
    <w:rsid w:val="00974580"/>
    <w:rsid w:val="00974B4D"/>
    <w:rsid w:val="00974D54"/>
    <w:rsid w:val="009754E0"/>
    <w:rsid w:val="0097590C"/>
    <w:rsid w:val="00975F73"/>
    <w:rsid w:val="0097661F"/>
    <w:rsid w:val="00976EA2"/>
    <w:rsid w:val="00976EE4"/>
    <w:rsid w:val="00977920"/>
    <w:rsid w:val="00977D02"/>
    <w:rsid w:val="0098034A"/>
    <w:rsid w:val="00980786"/>
    <w:rsid w:val="009808A0"/>
    <w:rsid w:val="00980D14"/>
    <w:rsid w:val="00981A34"/>
    <w:rsid w:val="00981B40"/>
    <w:rsid w:val="00981ED7"/>
    <w:rsid w:val="009828AA"/>
    <w:rsid w:val="009828D3"/>
    <w:rsid w:val="00982BC5"/>
    <w:rsid w:val="0098325A"/>
    <w:rsid w:val="0098353C"/>
    <w:rsid w:val="0098355D"/>
    <w:rsid w:val="00983679"/>
    <w:rsid w:val="00983721"/>
    <w:rsid w:val="00983A06"/>
    <w:rsid w:val="009845DD"/>
    <w:rsid w:val="0098498E"/>
    <w:rsid w:val="009849F1"/>
    <w:rsid w:val="00984A62"/>
    <w:rsid w:val="00985454"/>
    <w:rsid w:val="00985874"/>
    <w:rsid w:val="009859E7"/>
    <w:rsid w:val="00985B6F"/>
    <w:rsid w:val="00985E94"/>
    <w:rsid w:val="00986915"/>
    <w:rsid w:val="00986E23"/>
    <w:rsid w:val="009876AD"/>
    <w:rsid w:val="00987885"/>
    <w:rsid w:val="00990552"/>
    <w:rsid w:val="009906BB"/>
    <w:rsid w:val="00990D67"/>
    <w:rsid w:val="0099127A"/>
    <w:rsid w:val="009912DA"/>
    <w:rsid w:val="00991AA3"/>
    <w:rsid w:val="00991F51"/>
    <w:rsid w:val="00992958"/>
    <w:rsid w:val="00992B9F"/>
    <w:rsid w:val="00992C10"/>
    <w:rsid w:val="00993143"/>
    <w:rsid w:val="00993529"/>
    <w:rsid w:val="00993715"/>
    <w:rsid w:val="00994048"/>
    <w:rsid w:val="0099408E"/>
    <w:rsid w:val="00994168"/>
    <w:rsid w:val="00994C65"/>
    <w:rsid w:val="0099530F"/>
    <w:rsid w:val="0099588D"/>
    <w:rsid w:val="00995A94"/>
    <w:rsid w:val="00995BE6"/>
    <w:rsid w:val="0099624F"/>
    <w:rsid w:val="00996EC0"/>
    <w:rsid w:val="00997537"/>
    <w:rsid w:val="009976BC"/>
    <w:rsid w:val="00997BC5"/>
    <w:rsid w:val="00997BD9"/>
    <w:rsid w:val="00997D20"/>
    <w:rsid w:val="00997DCF"/>
    <w:rsid w:val="00997E31"/>
    <w:rsid w:val="00997EE9"/>
    <w:rsid w:val="009A0155"/>
    <w:rsid w:val="009A0500"/>
    <w:rsid w:val="009A05B9"/>
    <w:rsid w:val="009A077E"/>
    <w:rsid w:val="009A08D9"/>
    <w:rsid w:val="009A0F41"/>
    <w:rsid w:val="009A0F72"/>
    <w:rsid w:val="009A126C"/>
    <w:rsid w:val="009A1D0D"/>
    <w:rsid w:val="009A1FE4"/>
    <w:rsid w:val="009A214D"/>
    <w:rsid w:val="009A2AD6"/>
    <w:rsid w:val="009A2EAE"/>
    <w:rsid w:val="009A3FEB"/>
    <w:rsid w:val="009A4766"/>
    <w:rsid w:val="009A4857"/>
    <w:rsid w:val="009A4A75"/>
    <w:rsid w:val="009A4C49"/>
    <w:rsid w:val="009A5266"/>
    <w:rsid w:val="009A53D1"/>
    <w:rsid w:val="009A5515"/>
    <w:rsid w:val="009A5DAD"/>
    <w:rsid w:val="009A5FFF"/>
    <w:rsid w:val="009A60C2"/>
    <w:rsid w:val="009A7362"/>
    <w:rsid w:val="009A73AC"/>
    <w:rsid w:val="009A7FBE"/>
    <w:rsid w:val="009B072C"/>
    <w:rsid w:val="009B0920"/>
    <w:rsid w:val="009B0B6A"/>
    <w:rsid w:val="009B0CBC"/>
    <w:rsid w:val="009B1761"/>
    <w:rsid w:val="009B18DB"/>
    <w:rsid w:val="009B1FE8"/>
    <w:rsid w:val="009B20DD"/>
    <w:rsid w:val="009B2C6D"/>
    <w:rsid w:val="009B307D"/>
    <w:rsid w:val="009B3918"/>
    <w:rsid w:val="009B3B4D"/>
    <w:rsid w:val="009B3EFA"/>
    <w:rsid w:val="009B41EA"/>
    <w:rsid w:val="009B4300"/>
    <w:rsid w:val="009B4593"/>
    <w:rsid w:val="009B4E7F"/>
    <w:rsid w:val="009B4F51"/>
    <w:rsid w:val="009B5655"/>
    <w:rsid w:val="009B5950"/>
    <w:rsid w:val="009B5DCF"/>
    <w:rsid w:val="009B6341"/>
    <w:rsid w:val="009B68D5"/>
    <w:rsid w:val="009B6CAF"/>
    <w:rsid w:val="009B6EDA"/>
    <w:rsid w:val="009B7247"/>
    <w:rsid w:val="009B72B6"/>
    <w:rsid w:val="009B7B4E"/>
    <w:rsid w:val="009C19E9"/>
    <w:rsid w:val="009C1DEF"/>
    <w:rsid w:val="009C225C"/>
    <w:rsid w:val="009C24F1"/>
    <w:rsid w:val="009C2DE6"/>
    <w:rsid w:val="009C2F14"/>
    <w:rsid w:val="009C312A"/>
    <w:rsid w:val="009C35B9"/>
    <w:rsid w:val="009C3A98"/>
    <w:rsid w:val="009C3C33"/>
    <w:rsid w:val="009C4AA6"/>
    <w:rsid w:val="009C4B21"/>
    <w:rsid w:val="009C5449"/>
    <w:rsid w:val="009C575A"/>
    <w:rsid w:val="009C5E8F"/>
    <w:rsid w:val="009C62F4"/>
    <w:rsid w:val="009C66E6"/>
    <w:rsid w:val="009C6BCD"/>
    <w:rsid w:val="009C7567"/>
    <w:rsid w:val="009C780D"/>
    <w:rsid w:val="009C7D84"/>
    <w:rsid w:val="009D0341"/>
    <w:rsid w:val="009D0A67"/>
    <w:rsid w:val="009D0F0E"/>
    <w:rsid w:val="009D1659"/>
    <w:rsid w:val="009D1E60"/>
    <w:rsid w:val="009D21FD"/>
    <w:rsid w:val="009D2293"/>
    <w:rsid w:val="009D2BAC"/>
    <w:rsid w:val="009D3208"/>
    <w:rsid w:val="009D354F"/>
    <w:rsid w:val="009D3683"/>
    <w:rsid w:val="009D3BB3"/>
    <w:rsid w:val="009D3D02"/>
    <w:rsid w:val="009D49DB"/>
    <w:rsid w:val="009D4E49"/>
    <w:rsid w:val="009D6208"/>
    <w:rsid w:val="009D6666"/>
    <w:rsid w:val="009D75F4"/>
    <w:rsid w:val="009D7756"/>
    <w:rsid w:val="009E0893"/>
    <w:rsid w:val="009E0EC9"/>
    <w:rsid w:val="009E108C"/>
    <w:rsid w:val="009E121F"/>
    <w:rsid w:val="009E1245"/>
    <w:rsid w:val="009E174F"/>
    <w:rsid w:val="009E1847"/>
    <w:rsid w:val="009E18D9"/>
    <w:rsid w:val="009E1E7C"/>
    <w:rsid w:val="009E28B7"/>
    <w:rsid w:val="009E2C4B"/>
    <w:rsid w:val="009E2EC9"/>
    <w:rsid w:val="009E2F26"/>
    <w:rsid w:val="009E2F80"/>
    <w:rsid w:val="009E35C2"/>
    <w:rsid w:val="009E3678"/>
    <w:rsid w:val="009E399B"/>
    <w:rsid w:val="009E3D40"/>
    <w:rsid w:val="009E4188"/>
    <w:rsid w:val="009E4658"/>
    <w:rsid w:val="009E4768"/>
    <w:rsid w:val="009E4AC0"/>
    <w:rsid w:val="009E5009"/>
    <w:rsid w:val="009E5058"/>
    <w:rsid w:val="009E569A"/>
    <w:rsid w:val="009E56F3"/>
    <w:rsid w:val="009E5D28"/>
    <w:rsid w:val="009E6342"/>
    <w:rsid w:val="009E63A3"/>
    <w:rsid w:val="009E6619"/>
    <w:rsid w:val="009E66AB"/>
    <w:rsid w:val="009E691C"/>
    <w:rsid w:val="009E6EB9"/>
    <w:rsid w:val="009E7094"/>
    <w:rsid w:val="009E7257"/>
    <w:rsid w:val="009E7777"/>
    <w:rsid w:val="009F00EF"/>
    <w:rsid w:val="009F0EE6"/>
    <w:rsid w:val="009F1F06"/>
    <w:rsid w:val="009F305A"/>
    <w:rsid w:val="009F3222"/>
    <w:rsid w:val="009F33D7"/>
    <w:rsid w:val="009F381C"/>
    <w:rsid w:val="009F39A2"/>
    <w:rsid w:val="009F3E1D"/>
    <w:rsid w:val="009F41F8"/>
    <w:rsid w:val="009F4B0F"/>
    <w:rsid w:val="009F50F4"/>
    <w:rsid w:val="009F5223"/>
    <w:rsid w:val="009F5465"/>
    <w:rsid w:val="009F5E81"/>
    <w:rsid w:val="009F608A"/>
    <w:rsid w:val="009F64E4"/>
    <w:rsid w:val="009F687A"/>
    <w:rsid w:val="009F69A1"/>
    <w:rsid w:val="009F6A9C"/>
    <w:rsid w:val="009F6FC8"/>
    <w:rsid w:val="009F721D"/>
    <w:rsid w:val="009F7679"/>
    <w:rsid w:val="00A007FB"/>
    <w:rsid w:val="00A00DCE"/>
    <w:rsid w:val="00A01304"/>
    <w:rsid w:val="00A01A13"/>
    <w:rsid w:val="00A01A57"/>
    <w:rsid w:val="00A01CB0"/>
    <w:rsid w:val="00A01EA2"/>
    <w:rsid w:val="00A02151"/>
    <w:rsid w:val="00A02288"/>
    <w:rsid w:val="00A02A11"/>
    <w:rsid w:val="00A02BCA"/>
    <w:rsid w:val="00A02EA4"/>
    <w:rsid w:val="00A03C4F"/>
    <w:rsid w:val="00A03E92"/>
    <w:rsid w:val="00A03EA8"/>
    <w:rsid w:val="00A04032"/>
    <w:rsid w:val="00A04C3D"/>
    <w:rsid w:val="00A0507C"/>
    <w:rsid w:val="00A05B5B"/>
    <w:rsid w:val="00A064AD"/>
    <w:rsid w:val="00A07572"/>
    <w:rsid w:val="00A07956"/>
    <w:rsid w:val="00A10A91"/>
    <w:rsid w:val="00A10D7F"/>
    <w:rsid w:val="00A125F6"/>
    <w:rsid w:val="00A12687"/>
    <w:rsid w:val="00A12D56"/>
    <w:rsid w:val="00A1342F"/>
    <w:rsid w:val="00A13677"/>
    <w:rsid w:val="00A13C55"/>
    <w:rsid w:val="00A1496B"/>
    <w:rsid w:val="00A14A52"/>
    <w:rsid w:val="00A14FBC"/>
    <w:rsid w:val="00A153B6"/>
    <w:rsid w:val="00A15498"/>
    <w:rsid w:val="00A1550E"/>
    <w:rsid w:val="00A15C09"/>
    <w:rsid w:val="00A15C65"/>
    <w:rsid w:val="00A15E8C"/>
    <w:rsid w:val="00A16029"/>
    <w:rsid w:val="00A16037"/>
    <w:rsid w:val="00A161CC"/>
    <w:rsid w:val="00A16392"/>
    <w:rsid w:val="00A16A45"/>
    <w:rsid w:val="00A16BFC"/>
    <w:rsid w:val="00A1753C"/>
    <w:rsid w:val="00A17C40"/>
    <w:rsid w:val="00A17E1C"/>
    <w:rsid w:val="00A203FE"/>
    <w:rsid w:val="00A20E40"/>
    <w:rsid w:val="00A20F3B"/>
    <w:rsid w:val="00A22089"/>
    <w:rsid w:val="00A22763"/>
    <w:rsid w:val="00A22E66"/>
    <w:rsid w:val="00A22F65"/>
    <w:rsid w:val="00A237E5"/>
    <w:rsid w:val="00A23915"/>
    <w:rsid w:val="00A23A45"/>
    <w:rsid w:val="00A245F7"/>
    <w:rsid w:val="00A248D3"/>
    <w:rsid w:val="00A24D44"/>
    <w:rsid w:val="00A2510E"/>
    <w:rsid w:val="00A251B2"/>
    <w:rsid w:val="00A2521A"/>
    <w:rsid w:val="00A25231"/>
    <w:rsid w:val="00A25D30"/>
    <w:rsid w:val="00A26047"/>
    <w:rsid w:val="00A261CB"/>
    <w:rsid w:val="00A263CE"/>
    <w:rsid w:val="00A264C1"/>
    <w:rsid w:val="00A26993"/>
    <w:rsid w:val="00A26E71"/>
    <w:rsid w:val="00A27D2E"/>
    <w:rsid w:val="00A300F6"/>
    <w:rsid w:val="00A309CB"/>
    <w:rsid w:val="00A30AF4"/>
    <w:rsid w:val="00A30F12"/>
    <w:rsid w:val="00A31532"/>
    <w:rsid w:val="00A3153B"/>
    <w:rsid w:val="00A317C1"/>
    <w:rsid w:val="00A31B32"/>
    <w:rsid w:val="00A32134"/>
    <w:rsid w:val="00A323AE"/>
    <w:rsid w:val="00A32AE3"/>
    <w:rsid w:val="00A32E22"/>
    <w:rsid w:val="00A331E0"/>
    <w:rsid w:val="00A33EC2"/>
    <w:rsid w:val="00A34145"/>
    <w:rsid w:val="00A3415B"/>
    <w:rsid w:val="00A342A9"/>
    <w:rsid w:val="00A34723"/>
    <w:rsid w:val="00A347B2"/>
    <w:rsid w:val="00A34A0D"/>
    <w:rsid w:val="00A34C09"/>
    <w:rsid w:val="00A34CF8"/>
    <w:rsid w:val="00A35804"/>
    <w:rsid w:val="00A35DD7"/>
    <w:rsid w:val="00A3629A"/>
    <w:rsid w:val="00A36417"/>
    <w:rsid w:val="00A36473"/>
    <w:rsid w:val="00A369EB"/>
    <w:rsid w:val="00A36BA5"/>
    <w:rsid w:val="00A36E1D"/>
    <w:rsid w:val="00A36FDB"/>
    <w:rsid w:val="00A37006"/>
    <w:rsid w:val="00A37453"/>
    <w:rsid w:val="00A37EAD"/>
    <w:rsid w:val="00A37F15"/>
    <w:rsid w:val="00A40136"/>
    <w:rsid w:val="00A4077D"/>
    <w:rsid w:val="00A411AD"/>
    <w:rsid w:val="00A414DB"/>
    <w:rsid w:val="00A41FAB"/>
    <w:rsid w:val="00A4242A"/>
    <w:rsid w:val="00A424B1"/>
    <w:rsid w:val="00A424D4"/>
    <w:rsid w:val="00A42BE6"/>
    <w:rsid w:val="00A42C51"/>
    <w:rsid w:val="00A42DC7"/>
    <w:rsid w:val="00A43275"/>
    <w:rsid w:val="00A43B08"/>
    <w:rsid w:val="00A43CC2"/>
    <w:rsid w:val="00A44127"/>
    <w:rsid w:val="00A4456B"/>
    <w:rsid w:val="00A44EAC"/>
    <w:rsid w:val="00A44FEB"/>
    <w:rsid w:val="00A451D6"/>
    <w:rsid w:val="00A451E5"/>
    <w:rsid w:val="00A45266"/>
    <w:rsid w:val="00A45374"/>
    <w:rsid w:val="00A45426"/>
    <w:rsid w:val="00A45E4F"/>
    <w:rsid w:val="00A45EBD"/>
    <w:rsid w:val="00A4607C"/>
    <w:rsid w:val="00A46398"/>
    <w:rsid w:val="00A46587"/>
    <w:rsid w:val="00A466B8"/>
    <w:rsid w:val="00A46A0C"/>
    <w:rsid w:val="00A46C66"/>
    <w:rsid w:val="00A47283"/>
    <w:rsid w:val="00A477FD"/>
    <w:rsid w:val="00A47A06"/>
    <w:rsid w:val="00A5006F"/>
    <w:rsid w:val="00A505A7"/>
    <w:rsid w:val="00A50826"/>
    <w:rsid w:val="00A50A0B"/>
    <w:rsid w:val="00A50ACE"/>
    <w:rsid w:val="00A511A5"/>
    <w:rsid w:val="00A51541"/>
    <w:rsid w:val="00A51F46"/>
    <w:rsid w:val="00A5250E"/>
    <w:rsid w:val="00A530C1"/>
    <w:rsid w:val="00A533FA"/>
    <w:rsid w:val="00A53FB5"/>
    <w:rsid w:val="00A54079"/>
    <w:rsid w:val="00A543B4"/>
    <w:rsid w:val="00A54700"/>
    <w:rsid w:val="00A54CA5"/>
    <w:rsid w:val="00A54E7D"/>
    <w:rsid w:val="00A553D7"/>
    <w:rsid w:val="00A56547"/>
    <w:rsid w:val="00A565CF"/>
    <w:rsid w:val="00A574E8"/>
    <w:rsid w:val="00A5783B"/>
    <w:rsid w:val="00A57B42"/>
    <w:rsid w:val="00A57BF2"/>
    <w:rsid w:val="00A57ED5"/>
    <w:rsid w:val="00A60115"/>
    <w:rsid w:val="00A602D9"/>
    <w:rsid w:val="00A605E9"/>
    <w:rsid w:val="00A60E9A"/>
    <w:rsid w:val="00A6114B"/>
    <w:rsid w:val="00A614B6"/>
    <w:rsid w:val="00A614EF"/>
    <w:rsid w:val="00A61A14"/>
    <w:rsid w:val="00A6228B"/>
    <w:rsid w:val="00A6230D"/>
    <w:rsid w:val="00A6257A"/>
    <w:rsid w:val="00A62D72"/>
    <w:rsid w:val="00A631CE"/>
    <w:rsid w:val="00A63BD2"/>
    <w:rsid w:val="00A63C5F"/>
    <w:rsid w:val="00A64302"/>
    <w:rsid w:val="00A64462"/>
    <w:rsid w:val="00A6491B"/>
    <w:rsid w:val="00A64B06"/>
    <w:rsid w:val="00A64E41"/>
    <w:rsid w:val="00A65075"/>
    <w:rsid w:val="00A6551C"/>
    <w:rsid w:val="00A65970"/>
    <w:rsid w:val="00A66230"/>
    <w:rsid w:val="00A66FE5"/>
    <w:rsid w:val="00A67A92"/>
    <w:rsid w:val="00A67ADF"/>
    <w:rsid w:val="00A67FAA"/>
    <w:rsid w:val="00A70187"/>
    <w:rsid w:val="00A701F2"/>
    <w:rsid w:val="00A702A8"/>
    <w:rsid w:val="00A70346"/>
    <w:rsid w:val="00A70381"/>
    <w:rsid w:val="00A705D0"/>
    <w:rsid w:val="00A70A59"/>
    <w:rsid w:val="00A71377"/>
    <w:rsid w:val="00A7195C"/>
    <w:rsid w:val="00A71CF0"/>
    <w:rsid w:val="00A71FF6"/>
    <w:rsid w:val="00A722E3"/>
    <w:rsid w:val="00A727B0"/>
    <w:rsid w:val="00A72A21"/>
    <w:rsid w:val="00A72C91"/>
    <w:rsid w:val="00A72DB3"/>
    <w:rsid w:val="00A735BB"/>
    <w:rsid w:val="00A73CAF"/>
    <w:rsid w:val="00A73D2A"/>
    <w:rsid w:val="00A73D65"/>
    <w:rsid w:val="00A7422E"/>
    <w:rsid w:val="00A74246"/>
    <w:rsid w:val="00A748A4"/>
    <w:rsid w:val="00A74B6C"/>
    <w:rsid w:val="00A74DA4"/>
    <w:rsid w:val="00A75794"/>
    <w:rsid w:val="00A75C44"/>
    <w:rsid w:val="00A75CDC"/>
    <w:rsid w:val="00A76156"/>
    <w:rsid w:val="00A768BF"/>
    <w:rsid w:val="00A76966"/>
    <w:rsid w:val="00A76B99"/>
    <w:rsid w:val="00A80F2F"/>
    <w:rsid w:val="00A8159B"/>
    <w:rsid w:val="00A81633"/>
    <w:rsid w:val="00A81A3A"/>
    <w:rsid w:val="00A81F0F"/>
    <w:rsid w:val="00A821A5"/>
    <w:rsid w:val="00A8288C"/>
    <w:rsid w:val="00A82C85"/>
    <w:rsid w:val="00A82D4C"/>
    <w:rsid w:val="00A8331B"/>
    <w:rsid w:val="00A833CE"/>
    <w:rsid w:val="00A83849"/>
    <w:rsid w:val="00A83B11"/>
    <w:rsid w:val="00A83D7E"/>
    <w:rsid w:val="00A8412A"/>
    <w:rsid w:val="00A8425D"/>
    <w:rsid w:val="00A8472D"/>
    <w:rsid w:val="00A8480C"/>
    <w:rsid w:val="00A84BAC"/>
    <w:rsid w:val="00A84DCB"/>
    <w:rsid w:val="00A85AA3"/>
    <w:rsid w:val="00A86848"/>
    <w:rsid w:val="00A868C2"/>
    <w:rsid w:val="00A86920"/>
    <w:rsid w:val="00A8699A"/>
    <w:rsid w:val="00A86F30"/>
    <w:rsid w:val="00A87762"/>
    <w:rsid w:val="00A879A0"/>
    <w:rsid w:val="00A87C64"/>
    <w:rsid w:val="00A87CCC"/>
    <w:rsid w:val="00A87E82"/>
    <w:rsid w:val="00A9011C"/>
    <w:rsid w:val="00A90235"/>
    <w:rsid w:val="00A90819"/>
    <w:rsid w:val="00A91091"/>
    <w:rsid w:val="00A91137"/>
    <w:rsid w:val="00A916CB"/>
    <w:rsid w:val="00A91943"/>
    <w:rsid w:val="00A919F8"/>
    <w:rsid w:val="00A91BD3"/>
    <w:rsid w:val="00A91D7A"/>
    <w:rsid w:val="00A92166"/>
    <w:rsid w:val="00A92877"/>
    <w:rsid w:val="00A92FE4"/>
    <w:rsid w:val="00A93275"/>
    <w:rsid w:val="00A93A3F"/>
    <w:rsid w:val="00A93AC5"/>
    <w:rsid w:val="00A93D67"/>
    <w:rsid w:val="00A93D9D"/>
    <w:rsid w:val="00A93ED7"/>
    <w:rsid w:val="00A93FCC"/>
    <w:rsid w:val="00A940E6"/>
    <w:rsid w:val="00A94270"/>
    <w:rsid w:val="00A9441D"/>
    <w:rsid w:val="00A94550"/>
    <w:rsid w:val="00A94DFD"/>
    <w:rsid w:val="00A964F6"/>
    <w:rsid w:val="00A9680F"/>
    <w:rsid w:val="00A96E8F"/>
    <w:rsid w:val="00A97065"/>
    <w:rsid w:val="00A970FB"/>
    <w:rsid w:val="00A97202"/>
    <w:rsid w:val="00A97675"/>
    <w:rsid w:val="00A976CA"/>
    <w:rsid w:val="00A97E4C"/>
    <w:rsid w:val="00AA03B0"/>
    <w:rsid w:val="00AA03DA"/>
    <w:rsid w:val="00AA051E"/>
    <w:rsid w:val="00AA06DD"/>
    <w:rsid w:val="00AA0730"/>
    <w:rsid w:val="00AA13D7"/>
    <w:rsid w:val="00AA14C4"/>
    <w:rsid w:val="00AA2091"/>
    <w:rsid w:val="00AA2213"/>
    <w:rsid w:val="00AA24FB"/>
    <w:rsid w:val="00AA26BA"/>
    <w:rsid w:val="00AA2E18"/>
    <w:rsid w:val="00AA2E3A"/>
    <w:rsid w:val="00AA39E0"/>
    <w:rsid w:val="00AA4342"/>
    <w:rsid w:val="00AA44AA"/>
    <w:rsid w:val="00AA4647"/>
    <w:rsid w:val="00AA4897"/>
    <w:rsid w:val="00AA497C"/>
    <w:rsid w:val="00AA498B"/>
    <w:rsid w:val="00AA4CE3"/>
    <w:rsid w:val="00AA4D9C"/>
    <w:rsid w:val="00AA4EB6"/>
    <w:rsid w:val="00AA51C3"/>
    <w:rsid w:val="00AA549A"/>
    <w:rsid w:val="00AA5AC8"/>
    <w:rsid w:val="00AA5E64"/>
    <w:rsid w:val="00AA678F"/>
    <w:rsid w:val="00AA69CA"/>
    <w:rsid w:val="00AA6CCC"/>
    <w:rsid w:val="00AA6DF1"/>
    <w:rsid w:val="00AA6E4F"/>
    <w:rsid w:val="00AA71A2"/>
    <w:rsid w:val="00AA7B0A"/>
    <w:rsid w:val="00AA7B86"/>
    <w:rsid w:val="00AB06ED"/>
    <w:rsid w:val="00AB0744"/>
    <w:rsid w:val="00AB0D47"/>
    <w:rsid w:val="00AB0FCA"/>
    <w:rsid w:val="00AB10F8"/>
    <w:rsid w:val="00AB1A47"/>
    <w:rsid w:val="00AB1CB9"/>
    <w:rsid w:val="00AB1EF4"/>
    <w:rsid w:val="00AB276C"/>
    <w:rsid w:val="00AB291B"/>
    <w:rsid w:val="00AB291E"/>
    <w:rsid w:val="00AB35BD"/>
    <w:rsid w:val="00AB3CE0"/>
    <w:rsid w:val="00AB403C"/>
    <w:rsid w:val="00AB44EE"/>
    <w:rsid w:val="00AB4660"/>
    <w:rsid w:val="00AB4F28"/>
    <w:rsid w:val="00AB5236"/>
    <w:rsid w:val="00AB5484"/>
    <w:rsid w:val="00AB58A2"/>
    <w:rsid w:val="00AB59BF"/>
    <w:rsid w:val="00AB5EA4"/>
    <w:rsid w:val="00AB6153"/>
    <w:rsid w:val="00AB6952"/>
    <w:rsid w:val="00AB7600"/>
    <w:rsid w:val="00AB7721"/>
    <w:rsid w:val="00AB7A3E"/>
    <w:rsid w:val="00AC07F3"/>
    <w:rsid w:val="00AC0AF0"/>
    <w:rsid w:val="00AC0E87"/>
    <w:rsid w:val="00AC1277"/>
    <w:rsid w:val="00AC1328"/>
    <w:rsid w:val="00AC1895"/>
    <w:rsid w:val="00AC1F49"/>
    <w:rsid w:val="00AC2003"/>
    <w:rsid w:val="00AC2261"/>
    <w:rsid w:val="00AC2643"/>
    <w:rsid w:val="00AC30BE"/>
    <w:rsid w:val="00AC3596"/>
    <w:rsid w:val="00AC39DB"/>
    <w:rsid w:val="00AC43AE"/>
    <w:rsid w:val="00AC51C4"/>
    <w:rsid w:val="00AC5688"/>
    <w:rsid w:val="00AC6039"/>
    <w:rsid w:val="00AC61FB"/>
    <w:rsid w:val="00AC6227"/>
    <w:rsid w:val="00AC6E4D"/>
    <w:rsid w:val="00AC7736"/>
    <w:rsid w:val="00AC7A4B"/>
    <w:rsid w:val="00AC7A67"/>
    <w:rsid w:val="00AC7AB2"/>
    <w:rsid w:val="00AD0316"/>
    <w:rsid w:val="00AD0DDC"/>
    <w:rsid w:val="00AD1106"/>
    <w:rsid w:val="00AD12F6"/>
    <w:rsid w:val="00AD1382"/>
    <w:rsid w:val="00AD1923"/>
    <w:rsid w:val="00AD1B86"/>
    <w:rsid w:val="00AD2163"/>
    <w:rsid w:val="00AD23CE"/>
    <w:rsid w:val="00AD2485"/>
    <w:rsid w:val="00AD25A3"/>
    <w:rsid w:val="00AD2CB1"/>
    <w:rsid w:val="00AD2D98"/>
    <w:rsid w:val="00AD4205"/>
    <w:rsid w:val="00AD440C"/>
    <w:rsid w:val="00AD4671"/>
    <w:rsid w:val="00AD47F8"/>
    <w:rsid w:val="00AD4AF5"/>
    <w:rsid w:val="00AD5124"/>
    <w:rsid w:val="00AD5773"/>
    <w:rsid w:val="00AD5E26"/>
    <w:rsid w:val="00AD60BE"/>
    <w:rsid w:val="00AD73DF"/>
    <w:rsid w:val="00AD7A4F"/>
    <w:rsid w:val="00AE05C5"/>
    <w:rsid w:val="00AE08DC"/>
    <w:rsid w:val="00AE09AC"/>
    <w:rsid w:val="00AE16BA"/>
    <w:rsid w:val="00AE22F0"/>
    <w:rsid w:val="00AE2345"/>
    <w:rsid w:val="00AE25B0"/>
    <w:rsid w:val="00AE297D"/>
    <w:rsid w:val="00AE2BB4"/>
    <w:rsid w:val="00AE2CE8"/>
    <w:rsid w:val="00AE2FE6"/>
    <w:rsid w:val="00AE3173"/>
    <w:rsid w:val="00AE36B8"/>
    <w:rsid w:val="00AE390A"/>
    <w:rsid w:val="00AE3AF9"/>
    <w:rsid w:val="00AE3C47"/>
    <w:rsid w:val="00AE3EAB"/>
    <w:rsid w:val="00AE421B"/>
    <w:rsid w:val="00AE42DD"/>
    <w:rsid w:val="00AE46F4"/>
    <w:rsid w:val="00AE485D"/>
    <w:rsid w:val="00AE49A8"/>
    <w:rsid w:val="00AE4F0E"/>
    <w:rsid w:val="00AE5093"/>
    <w:rsid w:val="00AE5135"/>
    <w:rsid w:val="00AE515A"/>
    <w:rsid w:val="00AE533C"/>
    <w:rsid w:val="00AE6610"/>
    <w:rsid w:val="00AE7367"/>
    <w:rsid w:val="00AE7512"/>
    <w:rsid w:val="00AE7C03"/>
    <w:rsid w:val="00AE7C90"/>
    <w:rsid w:val="00AE7D4D"/>
    <w:rsid w:val="00AE7E6E"/>
    <w:rsid w:val="00AF0F13"/>
    <w:rsid w:val="00AF124F"/>
    <w:rsid w:val="00AF15A0"/>
    <w:rsid w:val="00AF192D"/>
    <w:rsid w:val="00AF1CB4"/>
    <w:rsid w:val="00AF1CF6"/>
    <w:rsid w:val="00AF1FEC"/>
    <w:rsid w:val="00AF2D9A"/>
    <w:rsid w:val="00AF322A"/>
    <w:rsid w:val="00AF32B0"/>
    <w:rsid w:val="00AF36F2"/>
    <w:rsid w:val="00AF3763"/>
    <w:rsid w:val="00AF37A4"/>
    <w:rsid w:val="00AF3CE9"/>
    <w:rsid w:val="00AF3EF6"/>
    <w:rsid w:val="00AF432D"/>
    <w:rsid w:val="00AF4BE1"/>
    <w:rsid w:val="00AF4FEC"/>
    <w:rsid w:val="00AF516B"/>
    <w:rsid w:val="00AF5B02"/>
    <w:rsid w:val="00AF5BB8"/>
    <w:rsid w:val="00AF5E38"/>
    <w:rsid w:val="00AF6FB5"/>
    <w:rsid w:val="00AF711B"/>
    <w:rsid w:val="00AF7162"/>
    <w:rsid w:val="00AF71FE"/>
    <w:rsid w:val="00AF7427"/>
    <w:rsid w:val="00AF7B23"/>
    <w:rsid w:val="00AF7C7A"/>
    <w:rsid w:val="00AF7F46"/>
    <w:rsid w:val="00B00087"/>
    <w:rsid w:val="00B0023F"/>
    <w:rsid w:val="00B00942"/>
    <w:rsid w:val="00B009F9"/>
    <w:rsid w:val="00B00A90"/>
    <w:rsid w:val="00B00A9B"/>
    <w:rsid w:val="00B00B61"/>
    <w:rsid w:val="00B00DFA"/>
    <w:rsid w:val="00B01182"/>
    <w:rsid w:val="00B015E5"/>
    <w:rsid w:val="00B01759"/>
    <w:rsid w:val="00B01BD0"/>
    <w:rsid w:val="00B02D07"/>
    <w:rsid w:val="00B037F2"/>
    <w:rsid w:val="00B03DE1"/>
    <w:rsid w:val="00B0444B"/>
    <w:rsid w:val="00B045A2"/>
    <w:rsid w:val="00B048D2"/>
    <w:rsid w:val="00B053F1"/>
    <w:rsid w:val="00B06884"/>
    <w:rsid w:val="00B06B8D"/>
    <w:rsid w:val="00B076D1"/>
    <w:rsid w:val="00B077EE"/>
    <w:rsid w:val="00B07C91"/>
    <w:rsid w:val="00B10017"/>
    <w:rsid w:val="00B1091D"/>
    <w:rsid w:val="00B10FA9"/>
    <w:rsid w:val="00B11036"/>
    <w:rsid w:val="00B110D2"/>
    <w:rsid w:val="00B11233"/>
    <w:rsid w:val="00B11BE5"/>
    <w:rsid w:val="00B11DD6"/>
    <w:rsid w:val="00B125D6"/>
    <w:rsid w:val="00B1299A"/>
    <w:rsid w:val="00B12A80"/>
    <w:rsid w:val="00B12B91"/>
    <w:rsid w:val="00B12DC9"/>
    <w:rsid w:val="00B13267"/>
    <w:rsid w:val="00B13DBD"/>
    <w:rsid w:val="00B13E19"/>
    <w:rsid w:val="00B1433C"/>
    <w:rsid w:val="00B14408"/>
    <w:rsid w:val="00B14445"/>
    <w:rsid w:val="00B15549"/>
    <w:rsid w:val="00B1569F"/>
    <w:rsid w:val="00B15956"/>
    <w:rsid w:val="00B15DD0"/>
    <w:rsid w:val="00B15DFB"/>
    <w:rsid w:val="00B1631F"/>
    <w:rsid w:val="00B163F7"/>
    <w:rsid w:val="00B1655B"/>
    <w:rsid w:val="00B165CF"/>
    <w:rsid w:val="00B16CA7"/>
    <w:rsid w:val="00B16DD8"/>
    <w:rsid w:val="00B17008"/>
    <w:rsid w:val="00B174B5"/>
    <w:rsid w:val="00B1767B"/>
    <w:rsid w:val="00B1767D"/>
    <w:rsid w:val="00B17AC9"/>
    <w:rsid w:val="00B201D2"/>
    <w:rsid w:val="00B201E5"/>
    <w:rsid w:val="00B204A7"/>
    <w:rsid w:val="00B20572"/>
    <w:rsid w:val="00B20B0D"/>
    <w:rsid w:val="00B21217"/>
    <w:rsid w:val="00B21525"/>
    <w:rsid w:val="00B21C98"/>
    <w:rsid w:val="00B22478"/>
    <w:rsid w:val="00B22633"/>
    <w:rsid w:val="00B22C63"/>
    <w:rsid w:val="00B23022"/>
    <w:rsid w:val="00B230D6"/>
    <w:rsid w:val="00B232BE"/>
    <w:rsid w:val="00B2345D"/>
    <w:rsid w:val="00B23912"/>
    <w:rsid w:val="00B23945"/>
    <w:rsid w:val="00B2494B"/>
    <w:rsid w:val="00B2494F"/>
    <w:rsid w:val="00B25691"/>
    <w:rsid w:val="00B25FE2"/>
    <w:rsid w:val="00B260DA"/>
    <w:rsid w:val="00B26420"/>
    <w:rsid w:val="00B26E2E"/>
    <w:rsid w:val="00B26EEF"/>
    <w:rsid w:val="00B27164"/>
    <w:rsid w:val="00B274E1"/>
    <w:rsid w:val="00B279BE"/>
    <w:rsid w:val="00B27BFF"/>
    <w:rsid w:val="00B27D2D"/>
    <w:rsid w:val="00B27D9F"/>
    <w:rsid w:val="00B30078"/>
    <w:rsid w:val="00B3029B"/>
    <w:rsid w:val="00B30652"/>
    <w:rsid w:val="00B30A44"/>
    <w:rsid w:val="00B30F12"/>
    <w:rsid w:val="00B30FB0"/>
    <w:rsid w:val="00B317D4"/>
    <w:rsid w:val="00B31B91"/>
    <w:rsid w:val="00B31EEF"/>
    <w:rsid w:val="00B32879"/>
    <w:rsid w:val="00B32949"/>
    <w:rsid w:val="00B32C17"/>
    <w:rsid w:val="00B32D4F"/>
    <w:rsid w:val="00B33A66"/>
    <w:rsid w:val="00B33EC8"/>
    <w:rsid w:val="00B343E1"/>
    <w:rsid w:val="00B346D2"/>
    <w:rsid w:val="00B34B24"/>
    <w:rsid w:val="00B34D0D"/>
    <w:rsid w:val="00B34E80"/>
    <w:rsid w:val="00B35058"/>
    <w:rsid w:val="00B354C9"/>
    <w:rsid w:val="00B3572F"/>
    <w:rsid w:val="00B35F0A"/>
    <w:rsid w:val="00B36447"/>
    <w:rsid w:val="00B364C7"/>
    <w:rsid w:val="00B365A4"/>
    <w:rsid w:val="00B366D1"/>
    <w:rsid w:val="00B36A9D"/>
    <w:rsid w:val="00B36D70"/>
    <w:rsid w:val="00B36E00"/>
    <w:rsid w:val="00B37083"/>
    <w:rsid w:val="00B37310"/>
    <w:rsid w:val="00B379B4"/>
    <w:rsid w:val="00B400AC"/>
    <w:rsid w:val="00B404B3"/>
    <w:rsid w:val="00B40A0A"/>
    <w:rsid w:val="00B40B93"/>
    <w:rsid w:val="00B40C83"/>
    <w:rsid w:val="00B41492"/>
    <w:rsid w:val="00B417D1"/>
    <w:rsid w:val="00B41815"/>
    <w:rsid w:val="00B41B9A"/>
    <w:rsid w:val="00B4243D"/>
    <w:rsid w:val="00B4269E"/>
    <w:rsid w:val="00B42814"/>
    <w:rsid w:val="00B43327"/>
    <w:rsid w:val="00B433CB"/>
    <w:rsid w:val="00B43643"/>
    <w:rsid w:val="00B437DE"/>
    <w:rsid w:val="00B43A73"/>
    <w:rsid w:val="00B43C36"/>
    <w:rsid w:val="00B448A0"/>
    <w:rsid w:val="00B44A43"/>
    <w:rsid w:val="00B44AF7"/>
    <w:rsid w:val="00B44CA5"/>
    <w:rsid w:val="00B45257"/>
    <w:rsid w:val="00B452D7"/>
    <w:rsid w:val="00B45CED"/>
    <w:rsid w:val="00B465B9"/>
    <w:rsid w:val="00B46980"/>
    <w:rsid w:val="00B46A0F"/>
    <w:rsid w:val="00B46D20"/>
    <w:rsid w:val="00B46EA5"/>
    <w:rsid w:val="00B475C1"/>
    <w:rsid w:val="00B479F0"/>
    <w:rsid w:val="00B47CA8"/>
    <w:rsid w:val="00B503CC"/>
    <w:rsid w:val="00B509B5"/>
    <w:rsid w:val="00B50B41"/>
    <w:rsid w:val="00B51B06"/>
    <w:rsid w:val="00B51F97"/>
    <w:rsid w:val="00B5269C"/>
    <w:rsid w:val="00B528AA"/>
    <w:rsid w:val="00B5342C"/>
    <w:rsid w:val="00B53542"/>
    <w:rsid w:val="00B54189"/>
    <w:rsid w:val="00B5494F"/>
    <w:rsid w:val="00B55289"/>
    <w:rsid w:val="00B5528D"/>
    <w:rsid w:val="00B5586A"/>
    <w:rsid w:val="00B55E83"/>
    <w:rsid w:val="00B56362"/>
    <w:rsid w:val="00B5764E"/>
    <w:rsid w:val="00B57B29"/>
    <w:rsid w:val="00B57D8E"/>
    <w:rsid w:val="00B60697"/>
    <w:rsid w:val="00B60A1F"/>
    <w:rsid w:val="00B60DE4"/>
    <w:rsid w:val="00B60F83"/>
    <w:rsid w:val="00B6137D"/>
    <w:rsid w:val="00B6152A"/>
    <w:rsid w:val="00B616BE"/>
    <w:rsid w:val="00B61829"/>
    <w:rsid w:val="00B61EB1"/>
    <w:rsid w:val="00B62565"/>
    <w:rsid w:val="00B6264D"/>
    <w:rsid w:val="00B626BB"/>
    <w:rsid w:val="00B62C6F"/>
    <w:rsid w:val="00B631A6"/>
    <w:rsid w:val="00B631A9"/>
    <w:rsid w:val="00B632A7"/>
    <w:rsid w:val="00B63551"/>
    <w:rsid w:val="00B6395C"/>
    <w:rsid w:val="00B63E23"/>
    <w:rsid w:val="00B642B0"/>
    <w:rsid w:val="00B642B3"/>
    <w:rsid w:val="00B642C0"/>
    <w:rsid w:val="00B642C5"/>
    <w:rsid w:val="00B6435C"/>
    <w:rsid w:val="00B64A86"/>
    <w:rsid w:val="00B64D12"/>
    <w:rsid w:val="00B657B5"/>
    <w:rsid w:val="00B65818"/>
    <w:rsid w:val="00B658EC"/>
    <w:rsid w:val="00B65DCE"/>
    <w:rsid w:val="00B66584"/>
    <w:rsid w:val="00B66D64"/>
    <w:rsid w:val="00B66E5D"/>
    <w:rsid w:val="00B6706F"/>
    <w:rsid w:val="00B67515"/>
    <w:rsid w:val="00B67A0C"/>
    <w:rsid w:val="00B67AE0"/>
    <w:rsid w:val="00B67E12"/>
    <w:rsid w:val="00B67FD1"/>
    <w:rsid w:val="00B7038E"/>
    <w:rsid w:val="00B711B8"/>
    <w:rsid w:val="00B711EF"/>
    <w:rsid w:val="00B717C2"/>
    <w:rsid w:val="00B7192D"/>
    <w:rsid w:val="00B71F23"/>
    <w:rsid w:val="00B72426"/>
    <w:rsid w:val="00B727C9"/>
    <w:rsid w:val="00B72ED6"/>
    <w:rsid w:val="00B73321"/>
    <w:rsid w:val="00B7410C"/>
    <w:rsid w:val="00B74A02"/>
    <w:rsid w:val="00B74F61"/>
    <w:rsid w:val="00B74F9F"/>
    <w:rsid w:val="00B7522D"/>
    <w:rsid w:val="00B75BEC"/>
    <w:rsid w:val="00B75C3D"/>
    <w:rsid w:val="00B76507"/>
    <w:rsid w:val="00B76842"/>
    <w:rsid w:val="00B769F8"/>
    <w:rsid w:val="00B77107"/>
    <w:rsid w:val="00B7713E"/>
    <w:rsid w:val="00B773EF"/>
    <w:rsid w:val="00B775DC"/>
    <w:rsid w:val="00B77600"/>
    <w:rsid w:val="00B776E2"/>
    <w:rsid w:val="00B77789"/>
    <w:rsid w:val="00B77938"/>
    <w:rsid w:val="00B77AAE"/>
    <w:rsid w:val="00B80454"/>
    <w:rsid w:val="00B806AE"/>
    <w:rsid w:val="00B8127A"/>
    <w:rsid w:val="00B814C2"/>
    <w:rsid w:val="00B81F88"/>
    <w:rsid w:val="00B81FB1"/>
    <w:rsid w:val="00B823BE"/>
    <w:rsid w:val="00B824F8"/>
    <w:rsid w:val="00B82D37"/>
    <w:rsid w:val="00B83241"/>
    <w:rsid w:val="00B83B43"/>
    <w:rsid w:val="00B846BA"/>
    <w:rsid w:val="00B84DC8"/>
    <w:rsid w:val="00B854E7"/>
    <w:rsid w:val="00B8554C"/>
    <w:rsid w:val="00B857FE"/>
    <w:rsid w:val="00B85B4A"/>
    <w:rsid w:val="00B85B8F"/>
    <w:rsid w:val="00B86013"/>
    <w:rsid w:val="00B86992"/>
    <w:rsid w:val="00B86BF4"/>
    <w:rsid w:val="00B86C2D"/>
    <w:rsid w:val="00B86D86"/>
    <w:rsid w:val="00B87087"/>
    <w:rsid w:val="00B871A5"/>
    <w:rsid w:val="00B87239"/>
    <w:rsid w:val="00B8755A"/>
    <w:rsid w:val="00B87692"/>
    <w:rsid w:val="00B879A0"/>
    <w:rsid w:val="00B87B3C"/>
    <w:rsid w:val="00B87EEC"/>
    <w:rsid w:val="00B87F00"/>
    <w:rsid w:val="00B903F3"/>
    <w:rsid w:val="00B90797"/>
    <w:rsid w:val="00B909E7"/>
    <w:rsid w:val="00B91122"/>
    <w:rsid w:val="00B9169B"/>
    <w:rsid w:val="00B91F57"/>
    <w:rsid w:val="00B928EB"/>
    <w:rsid w:val="00B92A67"/>
    <w:rsid w:val="00B9337A"/>
    <w:rsid w:val="00B93737"/>
    <w:rsid w:val="00B93E92"/>
    <w:rsid w:val="00B9459D"/>
    <w:rsid w:val="00B94F27"/>
    <w:rsid w:val="00B9508F"/>
    <w:rsid w:val="00B95754"/>
    <w:rsid w:val="00B95AC3"/>
    <w:rsid w:val="00B95DB6"/>
    <w:rsid w:val="00B95EE4"/>
    <w:rsid w:val="00B96349"/>
    <w:rsid w:val="00B96597"/>
    <w:rsid w:val="00B9666F"/>
    <w:rsid w:val="00B96B98"/>
    <w:rsid w:val="00B96F77"/>
    <w:rsid w:val="00B972C7"/>
    <w:rsid w:val="00B97750"/>
    <w:rsid w:val="00B97D91"/>
    <w:rsid w:val="00B97F03"/>
    <w:rsid w:val="00B97FA6"/>
    <w:rsid w:val="00BA0110"/>
    <w:rsid w:val="00BA0601"/>
    <w:rsid w:val="00BA08DD"/>
    <w:rsid w:val="00BA1527"/>
    <w:rsid w:val="00BA1B30"/>
    <w:rsid w:val="00BA1D54"/>
    <w:rsid w:val="00BA2BCE"/>
    <w:rsid w:val="00BA3130"/>
    <w:rsid w:val="00BA320A"/>
    <w:rsid w:val="00BA37E3"/>
    <w:rsid w:val="00BA383D"/>
    <w:rsid w:val="00BA3B97"/>
    <w:rsid w:val="00BA3D3B"/>
    <w:rsid w:val="00BA3D92"/>
    <w:rsid w:val="00BA448E"/>
    <w:rsid w:val="00BA44DF"/>
    <w:rsid w:val="00BA4501"/>
    <w:rsid w:val="00BA47C1"/>
    <w:rsid w:val="00BA48C4"/>
    <w:rsid w:val="00BA491E"/>
    <w:rsid w:val="00BA4987"/>
    <w:rsid w:val="00BA4A63"/>
    <w:rsid w:val="00BA5649"/>
    <w:rsid w:val="00BA6701"/>
    <w:rsid w:val="00BA6740"/>
    <w:rsid w:val="00BA68B6"/>
    <w:rsid w:val="00BA78BC"/>
    <w:rsid w:val="00BA797A"/>
    <w:rsid w:val="00BA7E3F"/>
    <w:rsid w:val="00BB1F7F"/>
    <w:rsid w:val="00BB26DA"/>
    <w:rsid w:val="00BB3BB8"/>
    <w:rsid w:val="00BB3CF8"/>
    <w:rsid w:val="00BB3FB5"/>
    <w:rsid w:val="00BB428A"/>
    <w:rsid w:val="00BB4772"/>
    <w:rsid w:val="00BB4D5D"/>
    <w:rsid w:val="00BB506F"/>
    <w:rsid w:val="00BB5641"/>
    <w:rsid w:val="00BB5D64"/>
    <w:rsid w:val="00BB5DB8"/>
    <w:rsid w:val="00BB60C6"/>
    <w:rsid w:val="00BB6446"/>
    <w:rsid w:val="00BB7075"/>
    <w:rsid w:val="00BB7681"/>
    <w:rsid w:val="00BB796F"/>
    <w:rsid w:val="00BC07F1"/>
    <w:rsid w:val="00BC09F9"/>
    <w:rsid w:val="00BC0F5F"/>
    <w:rsid w:val="00BC10AB"/>
    <w:rsid w:val="00BC10F1"/>
    <w:rsid w:val="00BC1C6A"/>
    <w:rsid w:val="00BC1F8C"/>
    <w:rsid w:val="00BC21FC"/>
    <w:rsid w:val="00BC27B0"/>
    <w:rsid w:val="00BC31DC"/>
    <w:rsid w:val="00BC3930"/>
    <w:rsid w:val="00BC4388"/>
    <w:rsid w:val="00BC5D0D"/>
    <w:rsid w:val="00BC6145"/>
    <w:rsid w:val="00BC622D"/>
    <w:rsid w:val="00BC6320"/>
    <w:rsid w:val="00BC6617"/>
    <w:rsid w:val="00BC747D"/>
    <w:rsid w:val="00BD024B"/>
    <w:rsid w:val="00BD04EA"/>
    <w:rsid w:val="00BD08BD"/>
    <w:rsid w:val="00BD0B4B"/>
    <w:rsid w:val="00BD131D"/>
    <w:rsid w:val="00BD1AB9"/>
    <w:rsid w:val="00BD2223"/>
    <w:rsid w:val="00BD2481"/>
    <w:rsid w:val="00BD2868"/>
    <w:rsid w:val="00BD291C"/>
    <w:rsid w:val="00BD3870"/>
    <w:rsid w:val="00BD39F4"/>
    <w:rsid w:val="00BD3A8F"/>
    <w:rsid w:val="00BD3E35"/>
    <w:rsid w:val="00BD3E51"/>
    <w:rsid w:val="00BD42BF"/>
    <w:rsid w:val="00BD4B63"/>
    <w:rsid w:val="00BD4D0C"/>
    <w:rsid w:val="00BD4FF2"/>
    <w:rsid w:val="00BD57F4"/>
    <w:rsid w:val="00BD7411"/>
    <w:rsid w:val="00BD770E"/>
    <w:rsid w:val="00BD7C06"/>
    <w:rsid w:val="00BE03C6"/>
    <w:rsid w:val="00BE05B3"/>
    <w:rsid w:val="00BE0649"/>
    <w:rsid w:val="00BE0723"/>
    <w:rsid w:val="00BE09AF"/>
    <w:rsid w:val="00BE128B"/>
    <w:rsid w:val="00BE138B"/>
    <w:rsid w:val="00BE1900"/>
    <w:rsid w:val="00BE1F1D"/>
    <w:rsid w:val="00BE2743"/>
    <w:rsid w:val="00BE33DB"/>
    <w:rsid w:val="00BE3760"/>
    <w:rsid w:val="00BE3907"/>
    <w:rsid w:val="00BE4CE2"/>
    <w:rsid w:val="00BE4FBB"/>
    <w:rsid w:val="00BE5026"/>
    <w:rsid w:val="00BE5118"/>
    <w:rsid w:val="00BE63FA"/>
    <w:rsid w:val="00BE64CF"/>
    <w:rsid w:val="00BE66B8"/>
    <w:rsid w:val="00BE6A85"/>
    <w:rsid w:val="00BE6F42"/>
    <w:rsid w:val="00BE7599"/>
    <w:rsid w:val="00BE7903"/>
    <w:rsid w:val="00BE7A1D"/>
    <w:rsid w:val="00BF0526"/>
    <w:rsid w:val="00BF06B3"/>
    <w:rsid w:val="00BF09D5"/>
    <w:rsid w:val="00BF1210"/>
    <w:rsid w:val="00BF1534"/>
    <w:rsid w:val="00BF179F"/>
    <w:rsid w:val="00BF19D9"/>
    <w:rsid w:val="00BF1CE6"/>
    <w:rsid w:val="00BF27FC"/>
    <w:rsid w:val="00BF2844"/>
    <w:rsid w:val="00BF2B6B"/>
    <w:rsid w:val="00BF2CC3"/>
    <w:rsid w:val="00BF333F"/>
    <w:rsid w:val="00BF355B"/>
    <w:rsid w:val="00BF3A83"/>
    <w:rsid w:val="00BF3AD7"/>
    <w:rsid w:val="00BF3B9C"/>
    <w:rsid w:val="00BF446A"/>
    <w:rsid w:val="00BF4727"/>
    <w:rsid w:val="00BF4885"/>
    <w:rsid w:val="00BF4C48"/>
    <w:rsid w:val="00BF4DFA"/>
    <w:rsid w:val="00BF4E04"/>
    <w:rsid w:val="00BF522A"/>
    <w:rsid w:val="00BF5323"/>
    <w:rsid w:val="00BF54AA"/>
    <w:rsid w:val="00BF583B"/>
    <w:rsid w:val="00BF5EBE"/>
    <w:rsid w:val="00BF6068"/>
    <w:rsid w:val="00BF6218"/>
    <w:rsid w:val="00BF6238"/>
    <w:rsid w:val="00BF6570"/>
    <w:rsid w:val="00BF65BA"/>
    <w:rsid w:val="00BF684F"/>
    <w:rsid w:val="00BF6E80"/>
    <w:rsid w:val="00BF7CBA"/>
    <w:rsid w:val="00C004CE"/>
    <w:rsid w:val="00C008A5"/>
    <w:rsid w:val="00C00916"/>
    <w:rsid w:val="00C00D64"/>
    <w:rsid w:val="00C01365"/>
    <w:rsid w:val="00C0146F"/>
    <w:rsid w:val="00C016E4"/>
    <w:rsid w:val="00C02064"/>
    <w:rsid w:val="00C02777"/>
    <w:rsid w:val="00C02FDA"/>
    <w:rsid w:val="00C0345D"/>
    <w:rsid w:val="00C03760"/>
    <w:rsid w:val="00C03C5B"/>
    <w:rsid w:val="00C03E6A"/>
    <w:rsid w:val="00C04077"/>
    <w:rsid w:val="00C04D34"/>
    <w:rsid w:val="00C052C8"/>
    <w:rsid w:val="00C058BA"/>
    <w:rsid w:val="00C06409"/>
    <w:rsid w:val="00C06597"/>
    <w:rsid w:val="00C067BD"/>
    <w:rsid w:val="00C06B9E"/>
    <w:rsid w:val="00C06FE8"/>
    <w:rsid w:val="00C071E6"/>
    <w:rsid w:val="00C07B6B"/>
    <w:rsid w:val="00C07F09"/>
    <w:rsid w:val="00C10322"/>
    <w:rsid w:val="00C10422"/>
    <w:rsid w:val="00C1052C"/>
    <w:rsid w:val="00C1053C"/>
    <w:rsid w:val="00C10619"/>
    <w:rsid w:val="00C10785"/>
    <w:rsid w:val="00C10A6A"/>
    <w:rsid w:val="00C11250"/>
    <w:rsid w:val="00C119D4"/>
    <w:rsid w:val="00C12B13"/>
    <w:rsid w:val="00C12EAC"/>
    <w:rsid w:val="00C13484"/>
    <w:rsid w:val="00C13F5A"/>
    <w:rsid w:val="00C143E3"/>
    <w:rsid w:val="00C1482A"/>
    <w:rsid w:val="00C1516F"/>
    <w:rsid w:val="00C15655"/>
    <w:rsid w:val="00C15A5D"/>
    <w:rsid w:val="00C15E99"/>
    <w:rsid w:val="00C16881"/>
    <w:rsid w:val="00C16A6B"/>
    <w:rsid w:val="00C16D08"/>
    <w:rsid w:val="00C16E2A"/>
    <w:rsid w:val="00C16F42"/>
    <w:rsid w:val="00C16FB6"/>
    <w:rsid w:val="00C1740E"/>
    <w:rsid w:val="00C17AAB"/>
    <w:rsid w:val="00C2013E"/>
    <w:rsid w:val="00C2070C"/>
    <w:rsid w:val="00C20CD1"/>
    <w:rsid w:val="00C21A7B"/>
    <w:rsid w:val="00C21EE8"/>
    <w:rsid w:val="00C22551"/>
    <w:rsid w:val="00C228B2"/>
    <w:rsid w:val="00C22C6E"/>
    <w:rsid w:val="00C22E04"/>
    <w:rsid w:val="00C230A1"/>
    <w:rsid w:val="00C23F32"/>
    <w:rsid w:val="00C23F4B"/>
    <w:rsid w:val="00C24BBC"/>
    <w:rsid w:val="00C24D4E"/>
    <w:rsid w:val="00C253F9"/>
    <w:rsid w:val="00C25E83"/>
    <w:rsid w:val="00C26973"/>
    <w:rsid w:val="00C26E4C"/>
    <w:rsid w:val="00C276AD"/>
    <w:rsid w:val="00C27E46"/>
    <w:rsid w:val="00C30080"/>
    <w:rsid w:val="00C30935"/>
    <w:rsid w:val="00C31018"/>
    <w:rsid w:val="00C31106"/>
    <w:rsid w:val="00C312F8"/>
    <w:rsid w:val="00C31606"/>
    <w:rsid w:val="00C31DC9"/>
    <w:rsid w:val="00C32530"/>
    <w:rsid w:val="00C32887"/>
    <w:rsid w:val="00C32F87"/>
    <w:rsid w:val="00C3304C"/>
    <w:rsid w:val="00C337B3"/>
    <w:rsid w:val="00C33C97"/>
    <w:rsid w:val="00C33D4D"/>
    <w:rsid w:val="00C34042"/>
    <w:rsid w:val="00C343F8"/>
    <w:rsid w:val="00C344D1"/>
    <w:rsid w:val="00C346A1"/>
    <w:rsid w:val="00C34A17"/>
    <w:rsid w:val="00C3510E"/>
    <w:rsid w:val="00C35BB9"/>
    <w:rsid w:val="00C3656F"/>
    <w:rsid w:val="00C36766"/>
    <w:rsid w:val="00C36AEA"/>
    <w:rsid w:val="00C36B54"/>
    <w:rsid w:val="00C36E35"/>
    <w:rsid w:val="00C3785F"/>
    <w:rsid w:val="00C37F7D"/>
    <w:rsid w:val="00C416FC"/>
    <w:rsid w:val="00C41D0D"/>
    <w:rsid w:val="00C41DB4"/>
    <w:rsid w:val="00C42B22"/>
    <w:rsid w:val="00C4300F"/>
    <w:rsid w:val="00C4376D"/>
    <w:rsid w:val="00C439C9"/>
    <w:rsid w:val="00C43EEF"/>
    <w:rsid w:val="00C44406"/>
    <w:rsid w:val="00C4463D"/>
    <w:rsid w:val="00C44AF2"/>
    <w:rsid w:val="00C44C63"/>
    <w:rsid w:val="00C44E28"/>
    <w:rsid w:val="00C44F64"/>
    <w:rsid w:val="00C450DE"/>
    <w:rsid w:val="00C45627"/>
    <w:rsid w:val="00C45C77"/>
    <w:rsid w:val="00C46058"/>
    <w:rsid w:val="00C46089"/>
    <w:rsid w:val="00C463C2"/>
    <w:rsid w:val="00C46C25"/>
    <w:rsid w:val="00C47088"/>
    <w:rsid w:val="00C47119"/>
    <w:rsid w:val="00C4753C"/>
    <w:rsid w:val="00C50012"/>
    <w:rsid w:val="00C504A9"/>
    <w:rsid w:val="00C506B0"/>
    <w:rsid w:val="00C50951"/>
    <w:rsid w:val="00C50C64"/>
    <w:rsid w:val="00C50C98"/>
    <w:rsid w:val="00C50E62"/>
    <w:rsid w:val="00C517F7"/>
    <w:rsid w:val="00C51933"/>
    <w:rsid w:val="00C52751"/>
    <w:rsid w:val="00C527ED"/>
    <w:rsid w:val="00C53B8E"/>
    <w:rsid w:val="00C542F0"/>
    <w:rsid w:val="00C54302"/>
    <w:rsid w:val="00C546D9"/>
    <w:rsid w:val="00C54AAE"/>
    <w:rsid w:val="00C55C39"/>
    <w:rsid w:val="00C55CA7"/>
    <w:rsid w:val="00C55D72"/>
    <w:rsid w:val="00C55DC6"/>
    <w:rsid w:val="00C561A0"/>
    <w:rsid w:val="00C564A1"/>
    <w:rsid w:val="00C56FBA"/>
    <w:rsid w:val="00C57656"/>
    <w:rsid w:val="00C57738"/>
    <w:rsid w:val="00C57CCD"/>
    <w:rsid w:val="00C605C7"/>
    <w:rsid w:val="00C6088A"/>
    <w:rsid w:val="00C60CD5"/>
    <w:rsid w:val="00C615EA"/>
    <w:rsid w:val="00C61784"/>
    <w:rsid w:val="00C61805"/>
    <w:rsid w:val="00C61A8E"/>
    <w:rsid w:val="00C61B3A"/>
    <w:rsid w:val="00C61CE0"/>
    <w:rsid w:val="00C621E8"/>
    <w:rsid w:val="00C624C6"/>
    <w:rsid w:val="00C629D6"/>
    <w:rsid w:val="00C62A24"/>
    <w:rsid w:val="00C638B7"/>
    <w:rsid w:val="00C639ED"/>
    <w:rsid w:val="00C63AB2"/>
    <w:rsid w:val="00C645F2"/>
    <w:rsid w:val="00C64F37"/>
    <w:rsid w:val="00C65208"/>
    <w:rsid w:val="00C65A2B"/>
    <w:rsid w:val="00C65CF3"/>
    <w:rsid w:val="00C660D1"/>
    <w:rsid w:val="00C66B31"/>
    <w:rsid w:val="00C670C8"/>
    <w:rsid w:val="00C67CEB"/>
    <w:rsid w:val="00C67FFB"/>
    <w:rsid w:val="00C706EB"/>
    <w:rsid w:val="00C70793"/>
    <w:rsid w:val="00C70A2E"/>
    <w:rsid w:val="00C70E04"/>
    <w:rsid w:val="00C70F9E"/>
    <w:rsid w:val="00C71288"/>
    <w:rsid w:val="00C71359"/>
    <w:rsid w:val="00C7192E"/>
    <w:rsid w:val="00C72309"/>
    <w:rsid w:val="00C72482"/>
    <w:rsid w:val="00C7278D"/>
    <w:rsid w:val="00C72B72"/>
    <w:rsid w:val="00C72B94"/>
    <w:rsid w:val="00C72DD9"/>
    <w:rsid w:val="00C733B6"/>
    <w:rsid w:val="00C73AFF"/>
    <w:rsid w:val="00C73D11"/>
    <w:rsid w:val="00C73F51"/>
    <w:rsid w:val="00C74172"/>
    <w:rsid w:val="00C741F9"/>
    <w:rsid w:val="00C74495"/>
    <w:rsid w:val="00C747DB"/>
    <w:rsid w:val="00C74853"/>
    <w:rsid w:val="00C7496A"/>
    <w:rsid w:val="00C75E20"/>
    <w:rsid w:val="00C761B0"/>
    <w:rsid w:val="00C767E2"/>
    <w:rsid w:val="00C768CF"/>
    <w:rsid w:val="00C76B79"/>
    <w:rsid w:val="00C77332"/>
    <w:rsid w:val="00C7768A"/>
    <w:rsid w:val="00C777A5"/>
    <w:rsid w:val="00C77B8B"/>
    <w:rsid w:val="00C80319"/>
    <w:rsid w:val="00C808D0"/>
    <w:rsid w:val="00C80A57"/>
    <w:rsid w:val="00C80B78"/>
    <w:rsid w:val="00C80D6D"/>
    <w:rsid w:val="00C80F1C"/>
    <w:rsid w:val="00C81084"/>
    <w:rsid w:val="00C81489"/>
    <w:rsid w:val="00C816D1"/>
    <w:rsid w:val="00C81AEE"/>
    <w:rsid w:val="00C81B20"/>
    <w:rsid w:val="00C8209E"/>
    <w:rsid w:val="00C82DE0"/>
    <w:rsid w:val="00C83188"/>
    <w:rsid w:val="00C833D6"/>
    <w:rsid w:val="00C83CC6"/>
    <w:rsid w:val="00C841F5"/>
    <w:rsid w:val="00C844A5"/>
    <w:rsid w:val="00C84627"/>
    <w:rsid w:val="00C84C9A"/>
    <w:rsid w:val="00C853CC"/>
    <w:rsid w:val="00C854A9"/>
    <w:rsid w:val="00C85AC2"/>
    <w:rsid w:val="00C861D0"/>
    <w:rsid w:val="00C862ED"/>
    <w:rsid w:val="00C865C8"/>
    <w:rsid w:val="00C86F04"/>
    <w:rsid w:val="00C872BA"/>
    <w:rsid w:val="00C875E5"/>
    <w:rsid w:val="00C8779C"/>
    <w:rsid w:val="00C87BCA"/>
    <w:rsid w:val="00C87C94"/>
    <w:rsid w:val="00C87F14"/>
    <w:rsid w:val="00C9025D"/>
    <w:rsid w:val="00C90437"/>
    <w:rsid w:val="00C909F4"/>
    <w:rsid w:val="00C90BCB"/>
    <w:rsid w:val="00C90CD3"/>
    <w:rsid w:val="00C90DF4"/>
    <w:rsid w:val="00C91230"/>
    <w:rsid w:val="00C91265"/>
    <w:rsid w:val="00C91568"/>
    <w:rsid w:val="00C925B6"/>
    <w:rsid w:val="00C92D49"/>
    <w:rsid w:val="00C92EFD"/>
    <w:rsid w:val="00C93096"/>
    <w:rsid w:val="00C9351C"/>
    <w:rsid w:val="00C93743"/>
    <w:rsid w:val="00C943B6"/>
    <w:rsid w:val="00C94A81"/>
    <w:rsid w:val="00C951D0"/>
    <w:rsid w:val="00C96456"/>
    <w:rsid w:val="00C96512"/>
    <w:rsid w:val="00C96A1E"/>
    <w:rsid w:val="00C96DA9"/>
    <w:rsid w:val="00C97030"/>
    <w:rsid w:val="00CA08D9"/>
    <w:rsid w:val="00CA0B5B"/>
    <w:rsid w:val="00CA0DE0"/>
    <w:rsid w:val="00CA0EC2"/>
    <w:rsid w:val="00CA1789"/>
    <w:rsid w:val="00CA1C04"/>
    <w:rsid w:val="00CA1E64"/>
    <w:rsid w:val="00CA290B"/>
    <w:rsid w:val="00CA378F"/>
    <w:rsid w:val="00CA3C17"/>
    <w:rsid w:val="00CA3DA5"/>
    <w:rsid w:val="00CA3F8C"/>
    <w:rsid w:val="00CA4155"/>
    <w:rsid w:val="00CA436E"/>
    <w:rsid w:val="00CA477C"/>
    <w:rsid w:val="00CA63EB"/>
    <w:rsid w:val="00CA6984"/>
    <w:rsid w:val="00CA6AAD"/>
    <w:rsid w:val="00CA6F08"/>
    <w:rsid w:val="00CA761A"/>
    <w:rsid w:val="00CA7897"/>
    <w:rsid w:val="00CA7A9D"/>
    <w:rsid w:val="00CB07ED"/>
    <w:rsid w:val="00CB0A3B"/>
    <w:rsid w:val="00CB0D9E"/>
    <w:rsid w:val="00CB0DEE"/>
    <w:rsid w:val="00CB14C0"/>
    <w:rsid w:val="00CB1666"/>
    <w:rsid w:val="00CB16E3"/>
    <w:rsid w:val="00CB2010"/>
    <w:rsid w:val="00CB25C6"/>
    <w:rsid w:val="00CB27ED"/>
    <w:rsid w:val="00CB2B1C"/>
    <w:rsid w:val="00CB2C0D"/>
    <w:rsid w:val="00CB37A0"/>
    <w:rsid w:val="00CB3B1D"/>
    <w:rsid w:val="00CB3BCC"/>
    <w:rsid w:val="00CB5167"/>
    <w:rsid w:val="00CB595C"/>
    <w:rsid w:val="00CB5AF0"/>
    <w:rsid w:val="00CB5B2A"/>
    <w:rsid w:val="00CB5B43"/>
    <w:rsid w:val="00CB5B6B"/>
    <w:rsid w:val="00CB5E8D"/>
    <w:rsid w:val="00CB62E8"/>
    <w:rsid w:val="00CB64CD"/>
    <w:rsid w:val="00CB6630"/>
    <w:rsid w:val="00CB69C1"/>
    <w:rsid w:val="00CB6E6F"/>
    <w:rsid w:val="00CB7800"/>
    <w:rsid w:val="00CB7C34"/>
    <w:rsid w:val="00CC0471"/>
    <w:rsid w:val="00CC14F2"/>
    <w:rsid w:val="00CC1637"/>
    <w:rsid w:val="00CC19C8"/>
    <w:rsid w:val="00CC1D91"/>
    <w:rsid w:val="00CC207D"/>
    <w:rsid w:val="00CC25DF"/>
    <w:rsid w:val="00CC2E66"/>
    <w:rsid w:val="00CC345A"/>
    <w:rsid w:val="00CC415D"/>
    <w:rsid w:val="00CC4965"/>
    <w:rsid w:val="00CC4FB0"/>
    <w:rsid w:val="00CC57C4"/>
    <w:rsid w:val="00CC5B90"/>
    <w:rsid w:val="00CC61AE"/>
    <w:rsid w:val="00CC68B6"/>
    <w:rsid w:val="00CC70DC"/>
    <w:rsid w:val="00CC71DA"/>
    <w:rsid w:val="00CC76E5"/>
    <w:rsid w:val="00CC7B9D"/>
    <w:rsid w:val="00CD003D"/>
    <w:rsid w:val="00CD02BB"/>
    <w:rsid w:val="00CD02F5"/>
    <w:rsid w:val="00CD088A"/>
    <w:rsid w:val="00CD098B"/>
    <w:rsid w:val="00CD0B31"/>
    <w:rsid w:val="00CD0E9D"/>
    <w:rsid w:val="00CD0F83"/>
    <w:rsid w:val="00CD1AF9"/>
    <w:rsid w:val="00CD1B06"/>
    <w:rsid w:val="00CD1E07"/>
    <w:rsid w:val="00CD2605"/>
    <w:rsid w:val="00CD2827"/>
    <w:rsid w:val="00CD28DA"/>
    <w:rsid w:val="00CD2A14"/>
    <w:rsid w:val="00CD2AA6"/>
    <w:rsid w:val="00CD2AF7"/>
    <w:rsid w:val="00CD2F58"/>
    <w:rsid w:val="00CD3135"/>
    <w:rsid w:val="00CD3494"/>
    <w:rsid w:val="00CD3695"/>
    <w:rsid w:val="00CD39F0"/>
    <w:rsid w:val="00CD3F6A"/>
    <w:rsid w:val="00CD4333"/>
    <w:rsid w:val="00CD442E"/>
    <w:rsid w:val="00CD4E29"/>
    <w:rsid w:val="00CD5B4E"/>
    <w:rsid w:val="00CD5C31"/>
    <w:rsid w:val="00CD5D45"/>
    <w:rsid w:val="00CD6073"/>
    <w:rsid w:val="00CD659B"/>
    <w:rsid w:val="00CD6C9E"/>
    <w:rsid w:val="00CD6CC6"/>
    <w:rsid w:val="00CD7CCF"/>
    <w:rsid w:val="00CE0425"/>
    <w:rsid w:val="00CE114D"/>
    <w:rsid w:val="00CE1231"/>
    <w:rsid w:val="00CE194A"/>
    <w:rsid w:val="00CE1A67"/>
    <w:rsid w:val="00CE2C7D"/>
    <w:rsid w:val="00CE35F8"/>
    <w:rsid w:val="00CE43FF"/>
    <w:rsid w:val="00CE44D0"/>
    <w:rsid w:val="00CE4547"/>
    <w:rsid w:val="00CE4FE4"/>
    <w:rsid w:val="00CE5571"/>
    <w:rsid w:val="00CE57C9"/>
    <w:rsid w:val="00CE6600"/>
    <w:rsid w:val="00CE6631"/>
    <w:rsid w:val="00CE671A"/>
    <w:rsid w:val="00CE6738"/>
    <w:rsid w:val="00CE688B"/>
    <w:rsid w:val="00CE6A9D"/>
    <w:rsid w:val="00CE7738"/>
    <w:rsid w:val="00CE7C17"/>
    <w:rsid w:val="00CF028C"/>
    <w:rsid w:val="00CF058C"/>
    <w:rsid w:val="00CF0B45"/>
    <w:rsid w:val="00CF0D3A"/>
    <w:rsid w:val="00CF0DD2"/>
    <w:rsid w:val="00CF0F2E"/>
    <w:rsid w:val="00CF10DD"/>
    <w:rsid w:val="00CF146B"/>
    <w:rsid w:val="00CF16BE"/>
    <w:rsid w:val="00CF1780"/>
    <w:rsid w:val="00CF1948"/>
    <w:rsid w:val="00CF1C19"/>
    <w:rsid w:val="00CF1DAB"/>
    <w:rsid w:val="00CF2323"/>
    <w:rsid w:val="00CF297E"/>
    <w:rsid w:val="00CF2A88"/>
    <w:rsid w:val="00CF2D73"/>
    <w:rsid w:val="00CF2F67"/>
    <w:rsid w:val="00CF33E0"/>
    <w:rsid w:val="00CF390D"/>
    <w:rsid w:val="00CF3A82"/>
    <w:rsid w:val="00CF3D06"/>
    <w:rsid w:val="00CF3D65"/>
    <w:rsid w:val="00CF406E"/>
    <w:rsid w:val="00CF44C3"/>
    <w:rsid w:val="00CF451B"/>
    <w:rsid w:val="00CF45BA"/>
    <w:rsid w:val="00CF58F7"/>
    <w:rsid w:val="00CF61CF"/>
    <w:rsid w:val="00CF6AF0"/>
    <w:rsid w:val="00D00563"/>
    <w:rsid w:val="00D0077D"/>
    <w:rsid w:val="00D00DBA"/>
    <w:rsid w:val="00D00E7D"/>
    <w:rsid w:val="00D01180"/>
    <w:rsid w:val="00D014EF"/>
    <w:rsid w:val="00D0177F"/>
    <w:rsid w:val="00D018CF"/>
    <w:rsid w:val="00D02348"/>
    <w:rsid w:val="00D02B59"/>
    <w:rsid w:val="00D02C04"/>
    <w:rsid w:val="00D02E22"/>
    <w:rsid w:val="00D03257"/>
    <w:rsid w:val="00D03DEE"/>
    <w:rsid w:val="00D04B08"/>
    <w:rsid w:val="00D04BA1"/>
    <w:rsid w:val="00D04EA3"/>
    <w:rsid w:val="00D05319"/>
    <w:rsid w:val="00D0557B"/>
    <w:rsid w:val="00D05E0C"/>
    <w:rsid w:val="00D06257"/>
    <w:rsid w:val="00D0672B"/>
    <w:rsid w:val="00D06813"/>
    <w:rsid w:val="00D06B9C"/>
    <w:rsid w:val="00D0738D"/>
    <w:rsid w:val="00D07B5E"/>
    <w:rsid w:val="00D07C59"/>
    <w:rsid w:val="00D10A13"/>
    <w:rsid w:val="00D112E8"/>
    <w:rsid w:val="00D11556"/>
    <w:rsid w:val="00D11CB8"/>
    <w:rsid w:val="00D12418"/>
    <w:rsid w:val="00D12E2D"/>
    <w:rsid w:val="00D13332"/>
    <w:rsid w:val="00D14320"/>
    <w:rsid w:val="00D143E0"/>
    <w:rsid w:val="00D144B1"/>
    <w:rsid w:val="00D14BBE"/>
    <w:rsid w:val="00D14F02"/>
    <w:rsid w:val="00D157CD"/>
    <w:rsid w:val="00D15EF2"/>
    <w:rsid w:val="00D164BE"/>
    <w:rsid w:val="00D17038"/>
    <w:rsid w:val="00D173D1"/>
    <w:rsid w:val="00D174AD"/>
    <w:rsid w:val="00D1753C"/>
    <w:rsid w:val="00D20071"/>
    <w:rsid w:val="00D20C2F"/>
    <w:rsid w:val="00D20C4C"/>
    <w:rsid w:val="00D20E17"/>
    <w:rsid w:val="00D211AD"/>
    <w:rsid w:val="00D21D0E"/>
    <w:rsid w:val="00D2218F"/>
    <w:rsid w:val="00D2268B"/>
    <w:rsid w:val="00D226E2"/>
    <w:rsid w:val="00D22AA8"/>
    <w:rsid w:val="00D22B94"/>
    <w:rsid w:val="00D22C32"/>
    <w:rsid w:val="00D23433"/>
    <w:rsid w:val="00D23BDB"/>
    <w:rsid w:val="00D240CE"/>
    <w:rsid w:val="00D242CB"/>
    <w:rsid w:val="00D2439C"/>
    <w:rsid w:val="00D243E2"/>
    <w:rsid w:val="00D247F8"/>
    <w:rsid w:val="00D24D45"/>
    <w:rsid w:val="00D24E8A"/>
    <w:rsid w:val="00D25269"/>
    <w:rsid w:val="00D25438"/>
    <w:rsid w:val="00D2554C"/>
    <w:rsid w:val="00D2658D"/>
    <w:rsid w:val="00D267EB"/>
    <w:rsid w:val="00D27BE0"/>
    <w:rsid w:val="00D27CFC"/>
    <w:rsid w:val="00D27F7B"/>
    <w:rsid w:val="00D30468"/>
    <w:rsid w:val="00D306AE"/>
    <w:rsid w:val="00D30B89"/>
    <w:rsid w:val="00D30BEC"/>
    <w:rsid w:val="00D30FC6"/>
    <w:rsid w:val="00D3137D"/>
    <w:rsid w:val="00D31498"/>
    <w:rsid w:val="00D318E5"/>
    <w:rsid w:val="00D31AB5"/>
    <w:rsid w:val="00D327F5"/>
    <w:rsid w:val="00D32950"/>
    <w:rsid w:val="00D32A3A"/>
    <w:rsid w:val="00D32E97"/>
    <w:rsid w:val="00D3389E"/>
    <w:rsid w:val="00D3392A"/>
    <w:rsid w:val="00D34149"/>
    <w:rsid w:val="00D34162"/>
    <w:rsid w:val="00D3433A"/>
    <w:rsid w:val="00D348C6"/>
    <w:rsid w:val="00D355C0"/>
    <w:rsid w:val="00D35627"/>
    <w:rsid w:val="00D35987"/>
    <w:rsid w:val="00D3678E"/>
    <w:rsid w:val="00D36EBF"/>
    <w:rsid w:val="00D36EDA"/>
    <w:rsid w:val="00D37B50"/>
    <w:rsid w:val="00D37E66"/>
    <w:rsid w:val="00D4005C"/>
    <w:rsid w:val="00D403A9"/>
    <w:rsid w:val="00D40A34"/>
    <w:rsid w:val="00D40AC7"/>
    <w:rsid w:val="00D40C01"/>
    <w:rsid w:val="00D41239"/>
    <w:rsid w:val="00D41973"/>
    <w:rsid w:val="00D420BA"/>
    <w:rsid w:val="00D42912"/>
    <w:rsid w:val="00D43939"/>
    <w:rsid w:val="00D44C3E"/>
    <w:rsid w:val="00D44D98"/>
    <w:rsid w:val="00D4558B"/>
    <w:rsid w:val="00D45600"/>
    <w:rsid w:val="00D460CD"/>
    <w:rsid w:val="00D46306"/>
    <w:rsid w:val="00D47924"/>
    <w:rsid w:val="00D47B8C"/>
    <w:rsid w:val="00D47ED4"/>
    <w:rsid w:val="00D50056"/>
    <w:rsid w:val="00D50141"/>
    <w:rsid w:val="00D50770"/>
    <w:rsid w:val="00D50964"/>
    <w:rsid w:val="00D51251"/>
    <w:rsid w:val="00D5189D"/>
    <w:rsid w:val="00D51A77"/>
    <w:rsid w:val="00D51BDB"/>
    <w:rsid w:val="00D51C9A"/>
    <w:rsid w:val="00D52676"/>
    <w:rsid w:val="00D532B8"/>
    <w:rsid w:val="00D53A0E"/>
    <w:rsid w:val="00D54B93"/>
    <w:rsid w:val="00D54E48"/>
    <w:rsid w:val="00D554F7"/>
    <w:rsid w:val="00D5555A"/>
    <w:rsid w:val="00D55703"/>
    <w:rsid w:val="00D55BC7"/>
    <w:rsid w:val="00D55CF7"/>
    <w:rsid w:val="00D5615B"/>
    <w:rsid w:val="00D56595"/>
    <w:rsid w:val="00D56711"/>
    <w:rsid w:val="00D5751D"/>
    <w:rsid w:val="00D57563"/>
    <w:rsid w:val="00D57CE9"/>
    <w:rsid w:val="00D6022B"/>
    <w:rsid w:val="00D60744"/>
    <w:rsid w:val="00D611FF"/>
    <w:rsid w:val="00D61675"/>
    <w:rsid w:val="00D61A2C"/>
    <w:rsid w:val="00D61A41"/>
    <w:rsid w:val="00D62733"/>
    <w:rsid w:val="00D6289F"/>
    <w:rsid w:val="00D62BFD"/>
    <w:rsid w:val="00D635C9"/>
    <w:rsid w:val="00D637B6"/>
    <w:rsid w:val="00D638BE"/>
    <w:rsid w:val="00D64420"/>
    <w:rsid w:val="00D6492D"/>
    <w:rsid w:val="00D6498F"/>
    <w:rsid w:val="00D64DFA"/>
    <w:rsid w:val="00D64F54"/>
    <w:rsid w:val="00D65D15"/>
    <w:rsid w:val="00D66583"/>
    <w:rsid w:val="00D66D2E"/>
    <w:rsid w:val="00D67890"/>
    <w:rsid w:val="00D67BB7"/>
    <w:rsid w:val="00D67EFB"/>
    <w:rsid w:val="00D718A1"/>
    <w:rsid w:val="00D72C01"/>
    <w:rsid w:val="00D72D3E"/>
    <w:rsid w:val="00D7332E"/>
    <w:rsid w:val="00D739C6"/>
    <w:rsid w:val="00D73B4E"/>
    <w:rsid w:val="00D7439A"/>
    <w:rsid w:val="00D74EB2"/>
    <w:rsid w:val="00D757E2"/>
    <w:rsid w:val="00D75A2A"/>
    <w:rsid w:val="00D75AAA"/>
    <w:rsid w:val="00D766A6"/>
    <w:rsid w:val="00D766E1"/>
    <w:rsid w:val="00D76C06"/>
    <w:rsid w:val="00D772DA"/>
    <w:rsid w:val="00D8016E"/>
    <w:rsid w:val="00D80938"/>
    <w:rsid w:val="00D8133B"/>
    <w:rsid w:val="00D81636"/>
    <w:rsid w:val="00D8170F"/>
    <w:rsid w:val="00D81ABF"/>
    <w:rsid w:val="00D81D01"/>
    <w:rsid w:val="00D820F6"/>
    <w:rsid w:val="00D8300E"/>
    <w:rsid w:val="00D8338A"/>
    <w:rsid w:val="00D83439"/>
    <w:rsid w:val="00D83B5E"/>
    <w:rsid w:val="00D83EDC"/>
    <w:rsid w:val="00D83EFF"/>
    <w:rsid w:val="00D84220"/>
    <w:rsid w:val="00D844CD"/>
    <w:rsid w:val="00D845AD"/>
    <w:rsid w:val="00D84A9C"/>
    <w:rsid w:val="00D84B48"/>
    <w:rsid w:val="00D84E69"/>
    <w:rsid w:val="00D856F8"/>
    <w:rsid w:val="00D858C2"/>
    <w:rsid w:val="00D85CD1"/>
    <w:rsid w:val="00D85EDF"/>
    <w:rsid w:val="00D85F30"/>
    <w:rsid w:val="00D85F82"/>
    <w:rsid w:val="00D86149"/>
    <w:rsid w:val="00D86513"/>
    <w:rsid w:val="00D866B4"/>
    <w:rsid w:val="00D86BEF"/>
    <w:rsid w:val="00D8700C"/>
    <w:rsid w:val="00D8728D"/>
    <w:rsid w:val="00D87631"/>
    <w:rsid w:val="00D8769D"/>
    <w:rsid w:val="00D8783A"/>
    <w:rsid w:val="00D87872"/>
    <w:rsid w:val="00D878B0"/>
    <w:rsid w:val="00D87C25"/>
    <w:rsid w:val="00D902A8"/>
    <w:rsid w:val="00D915EC"/>
    <w:rsid w:val="00D92075"/>
    <w:rsid w:val="00D9209A"/>
    <w:rsid w:val="00D939B0"/>
    <w:rsid w:val="00D93B7B"/>
    <w:rsid w:val="00D94444"/>
    <w:rsid w:val="00D944FA"/>
    <w:rsid w:val="00D9485D"/>
    <w:rsid w:val="00D94B7C"/>
    <w:rsid w:val="00D9556D"/>
    <w:rsid w:val="00D95869"/>
    <w:rsid w:val="00D97231"/>
    <w:rsid w:val="00D97618"/>
    <w:rsid w:val="00D97866"/>
    <w:rsid w:val="00D97B11"/>
    <w:rsid w:val="00D97E13"/>
    <w:rsid w:val="00DA034A"/>
    <w:rsid w:val="00DA045B"/>
    <w:rsid w:val="00DA0729"/>
    <w:rsid w:val="00DA134B"/>
    <w:rsid w:val="00DA1A3D"/>
    <w:rsid w:val="00DA1DDC"/>
    <w:rsid w:val="00DA22D4"/>
    <w:rsid w:val="00DA24E4"/>
    <w:rsid w:val="00DA268A"/>
    <w:rsid w:val="00DA2EE5"/>
    <w:rsid w:val="00DA356F"/>
    <w:rsid w:val="00DA35F2"/>
    <w:rsid w:val="00DA37B6"/>
    <w:rsid w:val="00DA3D7A"/>
    <w:rsid w:val="00DA4025"/>
    <w:rsid w:val="00DA4570"/>
    <w:rsid w:val="00DA4F0E"/>
    <w:rsid w:val="00DA524E"/>
    <w:rsid w:val="00DA5255"/>
    <w:rsid w:val="00DA570A"/>
    <w:rsid w:val="00DA5DA6"/>
    <w:rsid w:val="00DA664D"/>
    <w:rsid w:val="00DA6D91"/>
    <w:rsid w:val="00DA6F13"/>
    <w:rsid w:val="00DA75BA"/>
    <w:rsid w:val="00DA7858"/>
    <w:rsid w:val="00DB00E8"/>
    <w:rsid w:val="00DB0247"/>
    <w:rsid w:val="00DB02EB"/>
    <w:rsid w:val="00DB0514"/>
    <w:rsid w:val="00DB057D"/>
    <w:rsid w:val="00DB07DC"/>
    <w:rsid w:val="00DB0B1C"/>
    <w:rsid w:val="00DB0F20"/>
    <w:rsid w:val="00DB1825"/>
    <w:rsid w:val="00DB1B0B"/>
    <w:rsid w:val="00DB1D0A"/>
    <w:rsid w:val="00DB1F82"/>
    <w:rsid w:val="00DB229F"/>
    <w:rsid w:val="00DB2437"/>
    <w:rsid w:val="00DB2991"/>
    <w:rsid w:val="00DB2A67"/>
    <w:rsid w:val="00DB3031"/>
    <w:rsid w:val="00DB3306"/>
    <w:rsid w:val="00DB33BE"/>
    <w:rsid w:val="00DB39EC"/>
    <w:rsid w:val="00DB3B15"/>
    <w:rsid w:val="00DB4970"/>
    <w:rsid w:val="00DB4C05"/>
    <w:rsid w:val="00DB6B58"/>
    <w:rsid w:val="00DB6EE6"/>
    <w:rsid w:val="00DB72A8"/>
    <w:rsid w:val="00DB75FB"/>
    <w:rsid w:val="00DB7605"/>
    <w:rsid w:val="00DC0021"/>
    <w:rsid w:val="00DC034F"/>
    <w:rsid w:val="00DC0560"/>
    <w:rsid w:val="00DC06FB"/>
    <w:rsid w:val="00DC0BB5"/>
    <w:rsid w:val="00DC0D2C"/>
    <w:rsid w:val="00DC12A0"/>
    <w:rsid w:val="00DC1416"/>
    <w:rsid w:val="00DC14B2"/>
    <w:rsid w:val="00DC2800"/>
    <w:rsid w:val="00DC28B7"/>
    <w:rsid w:val="00DC3015"/>
    <w:rsid w:val="00DC3232"/>
    <w:rsid w:val="00DC34C1"/>
    <w:rsid w:val="00DC3758"/>
    <w:rsid w:val="00DC385B"/>
    <w:rsid w:val="00DC3BB2"/>
    <w:rsid w:val="00DC4097"/>
    <w:rsid w:val="00DC420E"/>
    <w:rsid w:val="00DC43DF"/>
    <w:rsid w:val="00DC4408"/>
    <w:rsid w:val="00DC4D67"/>
    <w:rsid w:val="00DC51D3"/>
    <w:rsid w:val="00DC5447"/>
    <w:rsid w:val="00DC54CB"/>
    <w:rsid w:val="00DC5946"/>
    <w:rsid w:val="00DC688B"/>
    <w:rsid w:val="00DC6AFA"/>
    <w:rsid w:val="00DC6D04"/>
    <w:rsid w:val="00DC7119"/>
    <w:rsid w:val="00DC731E"/>
    <w:rsid w:val="00DC7767"/>
    <w:rsid w:val="00DD1030"/>
    <w:rsid w:val="00DD10A9"/>
    <w:rsid w:val="00DD114B"/>
    <w:rsid w:val="00DD1208"/>
    <w:rsid w:val="00DD1433"/>
    <w:rsid w:val="00DD15D6"/>
    <w:rsid w:val="00DD1693"/>
    <w:rsid w:val="00DD19E7"/>
    <w:rsid w:val="00DD1D74"/>
    <w:rsid w:val="00DD1F10"/>
    <w:rsid w:val="00DD2108"/>
    <w:rsid w:val="00DD22C9"/>
    <w:rsid w:val="00DD24FD"/>
    <w:rsid w:val="00DD2A32"/>
    <w:rsid w:val="00DD2DBF"/>
    <w:rsid w:val="00DD3254"/>
    <w:rsid w:val="00DD348F"/>
    <w:rsid w:val="00DD3BC8"/>
    <w:rsid w:val="00DD4F04"/>
    <w:rsid w:val="00DD4FC1"/>
    <w:rsid w:val="00DD507B"/>
    <w:rsid w:val="00DD5A20"/>
    <w:rsid w:val="00DD5E30"/>
    <w:rsid w:val="00DD5F75"/>
    <w:rsid w:val="00DD66B6"/>
    <w:rsid w:val="00DD68E9"/>
    <w:rsid w:val="00DD6AEF"/>
    <w:rsid w:val="00DD739F"/>
    <w:rsid w:val="00DD756A"/>
    <w:rsid w:val="00DE011E"/>
    <w:rsid w:val="00DE0207"/>
    <w:rsid w:val="00DE0DC4"/>
    <w:rsid w:val="00DE11B2"/>
    <w:rsid w:val="00DE2113"/>
    <w:rsid w:val="00DE23E0"/>
    <w:rsid w:val="00DE2BC2"/>
    <w:rsid w:val="00DE2D63"/>
    <w:rsid w:val="00DE4335"/>
    <w:rsid w:val="00DE4EC3"/>
    <w:rsid w:val="00DE5477"/>
    <w:rsid w:val="00DE5711"/>
    <w:rsid w:val="00DE5A09"/>
    <w:rsid w:val="00DE623C"/>
    <w:rsid w:val="00DE66EE"/>
    <w:rsid w:val="00DE7712"/>
    <w:rsid w:val="00DF03C7"/>
    <w:rsid w:val="00DF1496"/>
    <w:rsid w:val="00DF183C"/>
    <w:rsid w:val="00DF229A"/>
    <w:rsid w:val="00DF2402"/>
    <w:rsid w:val="00DF2506"/>
    <w:rsid w:val="00DF2952"/>
    <w:rsid w:val="00DF2A62"/>
    <w:rsid w:val="00DF312A"/>
    <w:rsid w:val="00DF3AFA"/>
    <w:rsid w:val="00DF3DDB"/>
    <w:rsid w:val="00DF40B4"/>
    <w:rsid w:val="00DF4364"/>
    <w:rsid w:val="00DF5CCC"/>
    <w:rsid w:val="00DF67EF"/>
    <w:rsid w:val="00DF6BE1"/>
    <w:rsid w:val="00DF70E1"/>
    <w:rsid w:val="00DF7147"/>
    <w:rsid w:val="00DF747A"/>
    <w:rsid w:val="00E00025"/>
    <w:rsid w:val="00E001C7"/>
    <w:rsid w:val="00E00653"/>
    <w:rsid w:val="00E00857"/>
    <w:rsid w:val="00E008C0"/>
    <w:rsid w:val="00E00E64"/>
    <w:rsid w:val="00E019B1"/>
    <w:rsid w:val="00E01A22"/>
    <w:rsid w:val="00E01A71"/>
    <w:rsid w:val="00E038D1"/>
    <w:rsid w:val="00E04B06"/>
    <w:rsid w:val="00E04F5E"/>
    <w:rsid w:val="00E05666"/>
    <w:rsid w:val="00E058B5"/>
    <w:rsid w:val="00E05C88"/>
    <w:rsid w:val="00E05E26"/>
    <w:rsid w:val="00E069EC"/>
    <w:rsid w:val="00E06D9D"/>
    <w:rsid w:val="00E0790B"/>
    <w:rsid w:val="00E07A59"/>
    <w:rsid w:val="00E07FA0"/>
    <w:rsid w:val="00E10243"/>
    <w:rsid w:val="00E106BF"/>
    <w:rsid w:val="00E10974"/>
    <w:rsid w:val="00E10E0A"/>
    <w:rsid w:val="00E115A1"/>
    <w:rsid w:val="00E1192B"/>
    <w:rsid w:val="00E127A8"/>
    <w:rsid w:val="00E146CD"/>
    <w:rsid w:val="00E1471A"/>
    <w:rsid w:val="00E14AD8"/>
    <w:rsid w:val="00E14BFB"/>
    <w:rsid w:val="00E153B1"/>
    <w:rsid w:val="00E1561D"/>
    <w:rsid w:val="00E1590F"/>
    <w:rsid w:val="00E15D11"/>
    <w:rsid w:val="00E15E4F"/>
    <w:rsid w:val="00E16CEA"/>
    <w:rsid w:val="00E16E6D"/>
    <w:rsid w:val="00E16EE0"/>
    <w:rsid w:val="00E175E2"/>
    <w:rsid w:val="00E17957"/>
    <w:rsid w:val="00E2051E"/>
    <w:rsid w:val="00E21192"/>
    <w:rsid w:val="00E21278"/>
    <w:rsid w:val="00E21F46"/>
    <w:rsid w:val="00E22554"/>
    <w:rsid w:val="00E226E4"/>
    <w:rsid w:val="00E2328A"/>
    <w:rsid w:val="00E23549"/>
    <w:rsid w:val="00E2373E"/>
    <w:rsid w:val="00E23E82"/>
    <w:rsid w:val="00E23EE0"/>
    <w:rsid w:val="00E243BE"/>
    <w:rsid w:val="00E2474D"/>
    <w:rsid w:val="00E24760"/>
    <w:rsid w:val="00E255F7"/>
    <w:rsid w:val="00E256AA"/>
    <w:rsid w:val="00E2591C"/>
    <w:rsid w:val="00E25B57"/>
    <w:rsid w:val="00E25DE3"/>
    <w:rsid w:val="00E25F6D"/>
    <w:rsid w:val="00E26FF7"/>
    <w:rsid w:val="00E2712D"/>
    <w:rsid w:val="00E2717D"/>
    <w:rsid w:val="00E279A6"/>
    <w:rsid w:val="00E305E6"/>
    <w:rsid w:val="00E30662"/>
    <w:rsid w:val="00E30D3E"/>
    <w:rsid w:val="00E30E62"/>
    <w:rsid w:val="00E30FD4"/>
    <w:rsid w:val="00E31351"/>
    <w:rsid w:val="00E316E6"/>
    <w:rsid w:val="00E31AA8"/>
    <w:rsid w:val="00E3220C"/>
    <w:rsid w:val="00E326AA"/>
    <w:rsid w:val="00E333B9"/>
    <w:rsid w:val="00E3471A"/>
    <w:rsid w:val="00E34AE2"/>
    <w:rsid w:val="00E353DD"/>
    <w:rsid w:val="00E367C1"/>
    <w:rsid w:val="00E36AA1"/>
    <w:rsid w:val="00E36B52"/>
    <w:rsid w:val="00E37743"/>
    <w:rsid w:val="00E37C1D"/>
    <w:rsid w:val="00E37CFB"/>
    <w:rsid w:val="00E37F24"/>
    <w:rsid w:val="00E37F41"/>
    <w:rsid w:val="00E4021F"/>
    <w:rsid w:val="00E40572"/>
    <w:rsid w:val="00E405C0"/>
    <w:rsid w:val="00E40629"/>
    <w:rsid w:val="00E40806"/>
    <w:rsid w:val="00E40927"/>
    <w:rsid w:val="00E411C3"/>
    <w:rsid w:val="00E423A7"/>
    <w:rsid w:val="00E42741"/>
    <w:rsid w:val="00E428E2"/>
    <w:rsid w:val="00E42D27"/>
    <w:rsid w:val="00E440D6"/>
    <w:rsid w:val="00E44D0B"/>
    <w:rsid w:val="00E450A2"/>
    <w:rsid w:val="00E45958"/>
    <w:rsid w:val="00E45D75"/>
    <w:rsid w:val="00E45E81"/>
    <w:rsid w:val="00E45F61"/>
    <w:rsid w:val="00E460F0"/>
    <w:rsid w:val="00E461F7"/>
    <w:rsid w:val="00E462FE"/>
    <w:rsid w:val="00E4655B"/>
    <w:rsid w:val="00E46BD3"/>
    <w:rsid w:val="00E47329"/>
    <w:rsid w:val="00E47833"/>
    <w:rsid w:val="00E47949"/>
    <w:rsid w:val="00E507AB"/>
    <w:rsid w:val="00E50D80"/>
    <w:rsid w:val="00E51000"/>
    <w:rsid w:val="00E51521"/>
    <w:rsid w:val="00E51C8A"/>
    <w:rsid w:val="00E5287B"/>
    <w:rsid w:val="00E52CE3"/>
    <w:rsid w:val="00E53AF7"/>
    <w:rsid w:val="00E54812"/>
    <w:rsid w:val="00E5498A"/>
    <w:rsid w:val="00E54C63"/>
    <w:rsid w:val="00E550B0"/>
    <w:rsid w:val="00E5579E"/>
    <w:rsid w:val="00E55823"/>
    <w:rsid w:val="00E55A46"/>
    <w:rsid w:val="00E55C9B"/>
    <w:rsid w:val="00E55CD5"/>
    <w:rsid w:val="00E56270"/>
    <w:rsid w:val="00E566A1"/>
    <w:rsid w:val="00E56740"/>
    <w:rsid w:val="00E5727D"/>
    <w:rsid w:val="00E601ED"/>
    <w:rsid w:val="00E60798"/>
    <w:rsid w:val="00E6097A"/>
    <w:rsid w:val="00E61006"/>
    <w:rsid w:val="00E6176F"/>
    <w:rsid w:val="00E61B75"/>
    <w:rsid w:val="00E61CDC"/>
    <w:rsid w:val="00E61DC3"/>
    <w:rsid w:val="00E61F0A"/>
    <w:rsid w:val="00E62545"/>
    <w:rsid w:val="00E62BF1"/>
    <w:rsid w:val="00E6369B"/>
    <w:rsid w:val="00E63715"/>
    <w:rsid w:val="00E63A9E"/>
    <w:rsid w:val="00E63E8F"/>
    <w:rsid w:val="00E6405D"/>
    <w:rsid w:val="00E64156"/>
    <w:rsid w:val="00E64270"/>
    <w:rsid w:val="00E6436A"/>
    <w:rsid w:val="00E6476A"/>
    <w:rsid w:val="00E64A55"/>
    <w:rsid w:val="00E651E7"/>
    <w:rsid w:val="00E661CA"/>
    <w:rsid w:val="00E66663"/>
    <w:rsid w:val="00E66D91"/>
    <w:rsid w:val="00E6762B"/>
    <w:rsid w:val="00E67AD3"/>
    <w:rsid w:val="00E7089F"/>
    <w:rsid w:val="00E70C3C"/>
    <w:rsid w:val="00E70CD5"/>
    <w:rsid w:val="00E70E4F"/>
    <w:rsid w:val="00E7124D"/>
    <w:rsid w:val="00E7173B"/>
    <w:rsid w:val="00E71A8B"/>
    <w:rsid w:val="00E7241C"/>
    <w:rsid w:val="00E7242A"/>
    <w:rsid w:val="00E72940"/>
    <w:rsid w:val="00E733F4"/>
    <w:rsid w:val="00E7393A"/>
    <w:rsid w:val="00E73C13"/>
    <w:rsid w:val="00E74334"/>
    <w:rsid w:val="00E74B4F"/>
    <w:rsid w:val="00E74C0C"/>
    <w:rsid w:val="00E74EEE"/>
    <w:rsid w:val="00E75613"/>
    <w:rsid w:val="00E76388"/>
    <w:rsid w:val="00E767F4"/>
    <w:rsid w:val="00E773F4"/>
    <w:rsid w:val="00E77589"/>
    <w:rsid w:val="00E805CD"/>
    <w:rsid w:val="00E805E5"/>
    <w:rsid w:val="00E808A8"/>
    <w:rsid w:val="00E80E4E"/>
    <w:rsid w:val="00E81590"/>
    <w:rsid w:val="00E81BBC"/>
    <w:rsid w:val="00E81C8B"/>
    <w:rsid w:val="00E825C3"/>
    <w:rsid w:val="00E82C56"/>
    <w:rsid w:val="00E82E07"/>
    <w:rsid w:val="00E8320E"/>
    <w:rsid w:val="00E832EE"/>
    <w:rsid w:val="00E833BA"/>
    <w:rsid w:val="00E83681"/>
    <w:rsid w:val="00E83B1B"/>
    <w:rsid w:val="00E83D57"/>
    <w:rsid w:val="00E83FF3"/>
    <w:rsid w:val="00E841C5"/>
    <w:rsid w:val="00E84325"/>
    <w:rsid w:val="00E844AD"/>
    <w:rsid w:val="00E84729"/>
    <w:rsid w:val="00E84C84"/>
    <w:rsid w:val="00E850ED"/>
    <w:rsid w:val="00E86A5A"/>
    <w:rsid w:val="00E87B05"/>
    <w:rsid w:val="00E87BF7"/>
    <w:rsid w:val="00E90286"/>
    <w:rsid w:val="00E907EE"/>
    <w:rsid w:val="00E90A88"/>
    <w:rsid w:val="00E90AF8"/>
    <w:rsid w:val="00E90C72"/>
    <w:rsid w:val="00E911F3"/>
    <w:rsid w:val="00E914C0"/>
    <w:rsid w:val="00E921B9"/>
    <w:rsid w:val="00E929D5"/>
    <w:rsid w:val="00E93260"/>
    <w:rsid w:val="00E93683"/>
    <w:rsid w:val="00E94379"/>
    <w:rsid w:val="00E94822"/>
    <w:rsid w:val="00E949B0"/>
    <w:rsid w:val="00E94E42"/>
    <w:rsid w:val="00E9501C"/>
    <w:rsid w:val="00E95556"/>
    <w:rsid w:val="00E956DE"/>
    <w:rsid w:val="00E95AF9"/>
    <w:rsid w:val="00E95D92"/>
    <w:rsid w:val="00E95E32"/>
    <w:rsid w:val="00E95E60"/>
    <w:rsid w:val="00E95FDD"/>
    <w:rsid w:val="00E960E5"/>
    <w:rsid w:val="00E96B14"/>
    <w:rsid w:val="00E97AB5"/>
    <w:rsid w:val="00E97DDA"/>
    <w:rsid w:val="00EA00B3"/>
    <w:rsid w:val="00EA039A"/>
    <w:rsid w:val="00EA0586"/>
    <w:rsid w:val="00EA100B"/>
    <w:rsid w:val="00EA1195"/>
    <w:rsid w:val="00EA1199"/>
    <w:rsid w:val="00EA1944"/>
    <w:rsid w:val="00EA1B95"/>
    <w:rsid w:val="00EA1BEE"/>
    <w:rsid w:val="00EA1C09"/>
    <w:rsid w:val="00EA33FD"/>
    <w:rsid w:val="00EA38E2"/>
    <w:rsid w:val="00EA3939"/>
    <w:rsid w:val="00EA427D"/>
    <w:rsid w:val="00EA4C6C"/>
    <w:rsid w:val="00EA4DD7"/>
    <w:rsid w:val="00EA513E"/>
    <w:rsid w:val="00EA5B57"/>
    <w:rsid w:val="00EA6710"/>
    <w:rsid w:val="00EA6AB8"/>
    <w:rsid w:val="00EA6D40"/>
    <w:rsid w:val="00EA6EC5"/>
    <w:rsid w:val="00EA70AE"/>
    <w:rsid w:val="00EA7217"/>
    <w:rsid w:val="00EA755C"/>
    <w:rsid w:val="00EA7645"/>
    <w:rsid w:val="00EA7ADB"/>
    <w:rsid w:val="00EA7B44"/>
    <w:rsid w:val="00EA7B85"/>
    <w:rsid w:val="00EB0765"/>
    <w:rsid w:val="00EB0917"/>
    <w:rsid w:val="00EB11A3"/>
    <w:rsid w:val="00EB16EB"/>
    <w:rsid w:val="00EB2510"/>
    <w:rsid w:val="00EB25D8"/>
    <w:rsid w:val="00EB2AF5"/>
    <w:rsid w:val="00EB2D18"/>
    <w:rsid w:val="00EB3124"/>
    <w:rsid w:val="00EB377C"/>
    <w:rsid w:val="00EB37AA"/>
    <w:rsid w:val="00EB458D"/>
    <w:rsid w:val="00EB5626"/>
    <w:rsid w:val="00EB5EAB"/>
    <w:rsid w:val="00EB5EEE"/>
    <w:rsid w:val="00EB6724"/>
    <w:rsid w:val="00EB6740"/>
    <w:rsid w:val="00EB6A04"/>
    <w:rsid w:val="00EB6C09"/>
    <w:rsid w:val="00EB6DAA"/>
    <w:rsid w:val="00EB6E40"/>
    <w:rsid w:val="00EB7020"/>
    <w:rsid w:val="00EB7102"/>
    <w:rsid w:val="00EB72BA"/>
    <w:rsid w:val="00EB75F1"/>
    <w:rsid w:val="00EC0698"/>
    <w:rsid w:val="00EC085B"/>
    <w:rsid w:val="00EC0F04"/>
    <w:rsid w:val="00EC0F81"/>
    <w:rsid w:val="00EC13FA"/>
    <w:rsid w:val="00EC146D"/>
    <w:rsid w:val="00EC15A3"/>
    <w:rsid w:val="00EC168E"/>
    <w:rsid w:val="00EC18C5"/>
    <w:rsid w:val="00EC1CF2"/>
    <w:rsid w:val="00EC1E8F"/>
    <w:rsid w:val="00EC1F82"/>
    <w:rsid w:val="00EC20B4"/>
    <w:rsid w:val="00EC2958"/>
    <w:rsid w:val="00EC2BC4"/>
    <w:rsid w:val="00EC2CCD"/>
    <w:rsid w:val="00EC30BE"/>
    <w:rsid w:val="00EC30FE"/>
    <w:rsid w:val="00EC3751"/>
    <w:rsid w:val="00EC3768"/>
    <w:rsid w:val="00EC3AF5"/>
    <w:rsid w:val="00EC3C7C"/>
    <w:rsid w:val="00EC3F61"/>
    <w:rsid w:val="00EC403D"/>
    <w:rsid w:val="00EC4270"/>
    <w:rsid w:val="00EC4906"/>
    <w:rsid w:val="00EC5024"/>
    <w:rsid w:val="00EC542D"/>
    <w:rsid w:val="00EC5E9B"/>
    <w:rsid w:val="00EC6DB8"/>
    <w:rsid w:val="00EC6E22"/>
    <w:rsid w:val="00EC7CB7"/>
    <w:rsid w:val="00EC7F52"/>
    <w:rsid w:val="00ED01E2"/>
    <w:rsid w:val="00ED0245"/>
    <w:rsid w:val="00ED0281"/>
    <w:rsid w:val="00ED07D2"/>
    <w:rsid w:val="00ED0B27"/>
    <w:rsid w:val="00ED17AF"/>
    <w:rsid w:val="00ED1CD0"/>
    <w:rsid w:val="00ED2664"/>
    <w:rsid w:val="00ED284A"/>
    <w:rsid w:val="00ED2E03"/>
    <w:rsid w:val="00ED39C5"/>
    <w:rsid w:val="00ED3BD1"/>
    <w:rsid w:val="00ED42D4"/>
    <w:rsid w:val="00ED431F"/>
    <w:rsid w:val="00ED453E"/>
    <w:rsid w:val="00ED493C"/>
    <w:rsid w:val="00ED4DBF"/>
    <w:rsid w:val="00ED5232"/>
    <w:rsid w:val="00ED56C9"/>
    <w:rsid w:val="00ED6414"/>
    <w:rsid w:val="00ED645F"/>
    <w:rsid w:val="00ED64B7"/>
    <w:rsid w:val="00ED6A1C"/>
    <w:rsid w:val="00ED6AF4"/>
    <w:rsid w:val="00ED6BAE"/>
    <w:rsid w:val="00ED6C87"/>
    <w:rsid w:val="00ED6E5B"/>
    <w:rsid w:val="00ED7076"/>
    <w:rsid w:val="00ED7180"/>
    <w:rsid w:val="00ED7201"/>
    <w:rsid w:val="00ED7300"/>
    <w:rsid w:val="00ED74CE"/>
    <w:rsid w:val="00ED7ACE"/>
    <w:rsid w:val="00EE0244"/>
    <w:rsid w:val="00EE0DAE"/>
    <w:rsid w:val="00EE1539"/>
    <w:rsid w:val="00EE1C79"/>
    <w:rsid w:val="00EE1D50"/>
    <w:rsid w:val="00EE20E5"/>
    <w:rsid w:val="00EE2915"/>
    <w:rsid w:val="00EE3333"/>
    <w:rsid w:val="00EE3508"/>
    <w:rsid w:val="00EE3A4A"/>
    <w:rsid w:val="00EE3FAC"/>
    <w:rsid w:val="00EE455D"/>
    <w:rsid w:val="00EE478F"/>
    <w:rsid w:val="00EE50E8"/>
    <w:rsid w:val="00EE531F"/>
    <w:rsid w:val="00EE581A"/>
    <w:rsid w:val="00EE62AE"/>
    <w:rsid w:val="00EE6908"/>
    <w:rsid w:val="00EE70D1"/>
    <w:rsid w:val="00EE774C"/>
    <w:rsid w:val="00EF0100"/>
    <w:rsid w:val="00EF07E7"/>
    <w:rsid w:val="00EF1432"/>
    <w:rsid w:val="00EF1B1E"/>
    <w:rsid w:val="00EF2175"/>
    <w:rsid w:val="00EF2C44"/>
    <w:rsid w:val="00EF3052"/>
    <w:rsid w:val="00EF3144"/>
    <w:rsid w:val="00EF3C4C"/>
    <w:rsid w:val="00EF4148"/>
    <w:rsid w:val="00EF433E"/>
    <w:rsid w:val="00EF4443"/>
    <w:rsid w:val="00EF4563"/>
    <w:rsid w:val="00EF4B39"/>
    <w:rsid w:val="00EF4B71"/>
    <w:rsid w:val="00EF4C86"/>
    <w:rsid w:val="00EF50AE"/>
    <w:rsid w:val="00EF54B4"/>
    <w:rsid w:val="00EF595F"/>
    <w:rsid w:val="00EF5BDE"/>
    <w:rsid w:val="00EF5F87"/>
    <w:rsid w:val="00EF69C6"/>
    <w:rsid w:val="00EF71DD"/>
    <w:rsid w:val="00EF71F4"/>
    <w:rsid w:val="00EF74FB"/>
    <w:rsid w:val="00EF759B"/>
    <w:rsid w:val="00EF77A7"/>
    <w:rsid w:val="00EF7961"/>
    <w:rsid w:val="00EF7FAD"/>
    <w:rsid w:val="00F00850"/>
    <w:rsid w:val="00F00BC6"/>
    <w:rsid w:val="00F01C85"/>
    <w:rsid w:val="00F01CCE"/>
    <w:rsid w:val="00F0268A"/>
    <w:rsid w:val="00F026EB"/>
    <w:rsid w:val="00F0274A"/>
    <w:rsid w:val="00F02918"/>
    <w:rsid w:val="00F02B0E"/>
    <w:rsid w:val="00F02BD6"/>
    <w:rsid w:val="00F03445"/>
    <w:rsid w:val="00F0435B"/>
    <w:rsid w:val="00F04891"/>
    <w:rsid w:val="00F04CD8"/>
    <w:rsid w:val="00F05163"/>
    <w:rsid w:val="00F0551A"/>
    <w:rsid w:val="00F057D5"/>
    <w:rsid w:val="00F0599C"/>
    <w:rsid w:val="00F05A8F"/>
    <w:rsid w:val="00F05CCC"/>
    <w:rsid w:val="00F05D44"/>
    <w:rsid w:val="00F06836"/>
    <w:rsid w:val="00F06DDD"/>
    <w:rsid w:val="00F07236"/>
    <w:rsid w:val="00F0751B"/>
    <w:rsid w:val="00F07785"/>
    <w:rsid w:val="00F078F4"/>
    <w:rsid w:val="00F07AD5"/>
    <w:rsid w:val="00F07B17"/>
    <w:rsid w:val="00F07F30"/>
    <w:rsid w:val="00F1039E"/>
    <w:rsid w:val="00F10536"/>
    <w:rsid w:val="00F10694"/>
    <w:rsid w:val="00F1072A"/>
    <w:rsid w:val="00F10923"/>
    <w:rsid w:val="00F10A5E"/>
    <w:rsid w:val="00F10D16"/>
    <w:rsid w:val="00F11245"/>
    <w:rsid w:val="00F113F2"/>
    <w:rsid w:val="00F116FF"/>
    <w:rsid w:val="00F12AEC"/>
    <w:rsid w:val="00F12E20"/>
    <w:rsid w:val="00F134BC"/>
    <w:rsid w:val="00F13C80"/>
    <w:rsid w:val="00F13F10"/>
    <w:rsid w:val="00F14956"/>
    <w:rsid w:val="00F152BE"/>
    <w:rsid w:val="00F1536D"/>
    <w:rsid w:val="00F15A50"/>
    <w:rsid w:val="00F15CA7"/>
    <w:rsid w:val="00F15DB5"/>
    <w:rsid w:val="00F15F71"/>
    <w:rsid w:val="00F16360"/>
    <w:rsid w:val="00F16711"/>
    <w:rsid w:val="00F16AC3"/>
    <w:rsid w:val="00F16D3E"/>
    <w:rsid w:val="00F16E3C"/>
    <w:rsid w:val="00F17085"/>
    <w:rsid w:val="00F17843"/>
    <w:rsid w:val="00F20B19"/>
    <w:rsid w:val="00F20F36"/>
    <w:rsid w:val="00F216B6"/>
    <w:rsid w:val="00F218F3"/>
    <w:rsid w:val="00F21C16"/>
    <w:rsid w:val="00F225BF"/>
    <w:rsid w:val="00F22D96"/>
    <w:rsid w:val="00F22E18"/>
    <w:rsid w:val="00F22FD0"/>
    <w:rsid w:val="00F23143"/>
    <w:rsid w:val="00F2328A"/>
    <w:rsid w:val="00F233CA"/>
    <w:rsid w:val="00F239D1"/>
    <w:rsid w:val="00F23B65"/>
    <w:rsid w:val="00F23BCD"/>
    <w:rsid w:val="00F242F9"/>
    <w:rsid w:val="00F247E4"/>
    <w:rsid w:val="00F24B50"/>
    <w:rsid w:val="00F24D1D"/>
    <w:rsid w:val="00F24EF8"/>
    <w:rsid w:val="00F2530D"/>
    <w:rsid w:val="00F25BBD"/>
    <w:rsid w:val="00F261B5"/>
    <w:rsid w:val="00F26592"/>
    <w:rsid w:val="00F266AB"/>
    <w:rsid w:val="00F269A4"/>
    <w:rsid w:val="00F27309"/>
    <w:rsid w:val="00F276D0"/>
    <w:rsid w:val="00F277F3"/>
    <w:rsid w:val="00F2799F"/>
    <w:rsid w:val="00F30733"/>
    <w:rsid w:val="00F308F3"/>
    <w:rsid w:val="00F30F1C"/>
    <w:rsid w:val="00F31192"/>
    <w:rsid w:val="00F31D75"/>
    <w:rsid w:val="00F31F33"/>
    <w:rsid w:val="00F329AE"/>
    <w:rsid w:val="00F33296"/>
    <w:rsid w:val="00F337D8"/>
    <w:rsid w:val="00F33840"/>
    <w:rsid w:val="00F33960"/>
    <w:rsid w:val="00F33F71"/>
    <w:rsid w:val="00F3461A"/>
    <w:rsid w:val="00F34BDC"/>
    <w:rsid w:val="00F34F59"/>
    <w:rsid w:val="00F35970"/>
    <w:rsid w:val="00F35BFF"/>
    <w:rsid w:val="00F35C9C"/>
    <w:rsid w:val="00F3678D"/>
    <w:rsid w:val="00F36F71"/>
    <w:rsid w:val="00F372D7"/>
    <w:rsid w:val="00F37972"/>
    <w:rsid w:val="00F379D6"/>
    <w:rsid w:val="00F40DBE"/>
    <w:rsid w:val="00F40DF6"/>
    <w:rsid w:val="00F40EDA"/>
    <w:rsid w:val="00F41F25"/>
    <w:rsid w:val="00F425DD"/>
    <w:rsid w:val="00F42690"/>
    <w:rsid w:val="00F42CF2"/>
    <w:rsid w:val="00F4310C"/>
    <w:rsid w:val="00F438B4"/>
    <w:rsid w:val="00F446CE"/>
    <w:rsid w:val="00F45B10"/>
    <w:rsid w:val="00F45C0D"/>
    <w:rsid w:val="00F46156"/>
    <w:rsid w:val="00F462B4"/>
    <w:rsid w:val="00F46999"/>
    <w:rsid w:val="00F47108"/>
    <w:rsid w:val="00F47618"/>
    <w:rsid w:val="00F47826"/>
    <w:rsid w:val="00F50B1F"/>
    <w:rsid w:val="00F50D0F"/>
    <w:rsid w:val="00F51B09"/>
    <w:rsid w:val="00F51BDC"/>
    <w:rsid w:val="00F52534"/>
    <w:rsid w:val="00F53641"/>
    <w:rsid w:val="00F53C2B"/>
    <w:rsid w:val="00F53CCF"/>
    <w:rsid w:val="00F543EA"/>
    <w:rsid w:val="00F5480B"/>
    <w:rsid w:val="00F54A4F"/>
    <w:rsid w:val="00F54D23"/>
    <w:rsid w:val="00F54D60"/>
    <w:rsid w:val="00F54E4D"/>
    <w:rsid w:val="00F54FF9"/>
    <w:rsid w:val="00F5556E"/>
    <w:rsid w:val="00F555C3"/>
    <w:rsid w:val="00F55601"/>
    <w:rsid w:val="00F56269"/>
    <w:rsid w:val="00F56434"/>
    <w:rsid w:val="00F566F8"/>
    <w:rsid w:val="00F56E45"/>
    <w:rsid w:val="00F56E96"/>
    <w:rsid w:val="00F56F2F"/>
    <w:rsid w:val="00F573B1"/>
    <w:rsid w:val="00F5768C"/>
    <w:rsid w:val="00F57DAD"/>
    <w:rsid w:val="00F6036B"/>
    <w:rsid w:val="00F60648"/>
    <w:rsid w:val="00F61059"/>
    <w:rsid w:val="00F610FE"/>
    <w:rsid w:val="00F6163B"/>
    <w:rsid w:val="00F6189C"/>
    <w:rsid w:val="00F61DB7"/>
    <w:rsid w:val="00F62033"/>
    <w:rsid w:val="00F621CD"/>
    <w:rsid w:val="00F62456"/>
    <w:rsid w:val="00F62717"/>
    <w:rsid w:val="00F6280F"/>
    <w:rsid w:val="00F631BC"/>
    <w:rsid w:val="00F6344E"/>
    <w:rsid w:val="00F6362E"/>
    <w:rsid w:val="00F63D92"/>
    <w:rsid w:val="00F63E86"/>
    <w:rsid w:val="00F64F2B"/>
    <w:rsid w:val="00F65355"/>
    <w:rsid w:val="00F654D0"/>
    <w:rsid w:val="00F6573B"/>
    <w:rsid w:val="00F65A18"/>
    <w:rsid w:val="00F6604D"/>
    <w:rsid w:val="00F66121"/>
    <w:rsid w:val="00F66354"/>
    <w:rsid w:val="00F667B4"/>
    <w:rsid w:val="00F6720C"/>
    <w:rsid w:val="00F67591"/>
    <w:rsid w:val="00F676A5"/>
    <w:rsid w:val="00F67CB7"/>
    <w:rsid w:val="00F70388"/>
    <w:rsid w:val="00F70E02"/>
    <w:rsid w:val="00F7103E"/>
    <w:rsid w:val="00F719AD"/>
    <w:rsid w:val="00F71B56"/>
    <w:rsid w:val="00F721F2"/>
    <w:rsid w:val="00F72551"/>
    <w:rsid w:val="00F72A3A"/>
    <w:rsid w:val="00F72B54"/>
    <w:rsid w:val="00F72D2D"/>
    <w:rsid w:val="00F7355E"/>
    <w:rsid w:val="00F73B75"/>
    <w:rsid w:val="00F74B37"/>
    <w:rsid w:val="00F74DD6"/>
    <w:rsid w:val="00F75D17"/>
    <w:rsid w:val="00F762DF"/>
    <w:rsid w:val="00F76866"/>
    <w:rsid w:val="00F76887"/>
    <w:rsid w:val="00F76A99"/>
    <w:rsid w:val="00F76C44"/>
    <w:rsid w:val="00F76CBE"/>
    <w:rsid w:val="00F77C62"/>
    <w:rsid w:val="00F77F64"/>
    <w:rsid w:val="00F8007B"/>
    <w:rsid w:val="00F8049C"/>
    <w:rsid w:val="00F80555"/>
    <w:rsid w:val="00F8098E"/>
    <w:rsid w:val="00F80E9E"/>
    <w:rsid w:val="00F81043"/>
    <w:rsid w:val="00F8143A"/>
    <w:rsid w:val="00F81765"/>
    <w:rsid w:val="00F81ACB"/>
    <w:rsid w:val="00F81FED"/>
    <w:rsid w:val="00F824AA"/>
    <w:rsid w:val="00F82BAB"/>
    <w:rsid w:val="00F82BD1"/>
    <w:rsid w:val="00F8339D"/>
    <w:rsid w:val="00F83881"/>
    <w:rsid w:val="00F83C4A"/>
    <w:rsid w:val="00F84069"/>
    <w:rsid w:val="00F8457B"/>
    <w:rsid w:val="00F845B3"/>
    <w:rsid w:val="00F84990"/>
    <w:rsid w:val="00F84AB6"/>
    <w:rsid w:val="00F853E0"/>
    <w:rsid w:val="00F85E9D"/>
    <w:rsid w:val="00F8694D"/>
    <w:rsid w:val="00F873BC"/>
    <w:rsid w:val="00F87465"/>
    <w:rsid w:val="00F90196"/>
    <w:rsid w:val="00F903CB"/>
    <w:rsid w:val="00F90678"/>
    <w:rsid w:val="00F9068F"/>
    <w:rsid w:val="00F90875"/>
    <w:rsid w:val="00F90D41"/>
    <w:rsid w:val="00F9126A"/>
    <w:rsid w:val="00F913DD"/>
    <w:rsid w:val="00F91582"/>
    <w:rsid w:val="00F919D6"/>
    <w:rsid w:val="00F91D3D"/>
    <w:rsid w:val="00F91F14"/>
    <w:rsid w:val="00F927F9"/>
    <w:rsid w:val="00F93005"/>
    <w:rsid w:val="00F93206"/>
    <w:rsid w:val="00F9345C"/>
    <w:rsid w:val="00F935D8"/>
    <w:rsid w:val="00F9372C"/>
    <w:rsid w:val="00F93904"/>
    <w:rsid w:val="00F93A0D"/>
    <w:rsid w:val="00F93CE4"/>
    <w:rsid w:val="00F93EC5"/>
    <w:rsid w:val="00F93F9D"/>
    <w:rsid w:val="00F94079"/>
    <w:rsid w:val="00F94479"/>
    <w:rsid w:val="00F94890"/>
    <w:rsid w:val="00F948E7"/>
    <w:rsid w:val="00F94C45"/>
    <w:rsid w:val="00F94DE6"/>
    <w:rsid w:val="00F94F0F"/>
    <w:rsid w:val="00F95319"/>
    <w:rsid w:val="00F95671"/>
    <w:rsid w:val="00F95AA4"/>
    <w:rsid w:val="00F95B08"/>
    <w:rsid w:val="00F962B1"/>
    <w:rsid w:val="00F96534"/>
    <w:rsid w:val="00F969A2"/>
    <w:rsid w:val="00F97871"/>
    <w:rsid w:val="00F97B87"/>
    <w:rsid w:val="00F97EE3"/>
    <w:rsid w:val="00FA03A2"/>
    <w:rsid w:val="00FA05DC"/>
    <w:rsid w:val="00FA10B1"/>
    <w:rsid w:val="00FA23B3"/>
    <w:rsid w:val="00FA24FD"/>
    <w:rsid w:val="00FA26A5"/>
    <w:rsid w:val="00FA2894"/>
    <w:rsid w:val="00FA2DE6"/>
    <w:rsid w:val="00FA2E27"/>
    <w:rsid w:val="00FA3413"/>
    <w:rsid w:val="00FA3666"/>
    <w:rsid w:val="00FA3685"/>
    <w:rsid w:val="00FA3B53"/>
    <w:rsid w:val="00FA41D4"/>
    <w:rsid w:val="00FA41EF"/>
    <w:rsid w:val="00FA474F"/>
    <w:rsid w:val="00FA5333"/>
    <w:rsid w:val="00FA5419"/>
    <w:rsid w:val="00FA59F6"/>
    <w:rsid w:val="00FA5B2A"/>
    <w:rsid w:val="00FA5D5E"/>
    <w:rsid w:val="00FA66CB"/>
    <w:rsid w:val="00FA6CCB"/>
    <w:rsid w:val="00FA6CF3"/>
    <w:rsid w:val="00FA6D6D"/>
    <w:rsid w:val="00FA7019"/>
    <w:rsid w:val="00FA7B19"/>
    <w:rsid w:val="00FA7B65"/>
    <w:rsid w:val="00FA7F08"/>
    <w:rsid w:val="00FB00A2"/>
    <w:rsid w:val="00FB0352"/>
    <w:rsid w:val="00FB03F5"/>
    <w:rsid w:val="00FB0960"/>
    <w:rsid w:val="00FB11A8"/>
    <w:rsid w:val="00FB1A0D"/>
    <w:rsid w:val="00FB1A6D"/>
    <w:rsid w:val="00FB1B91"/>
    <w:rsid w:val="00FB1CF2"/>
    <w:rsid w:val="00FB2F5D"/>
    <w:rsid w:val="00FB312E"/>
    <w:rsid w:val="00FB3721"/>
    <w:rsid w:val="00FB3B21"/>
    <w:rsid w:val="00FB430C"/>
    <w:rsid w:val="00FB4D7C"/>
    <w:rsid w:val="00FB4FAE"/>
    <w:rsid w:val="00FB577E"/>
    <w:rsid w:val="00FB62F2"/>
    <w:rsid w:val="00FB6BA3"/>
    <w:rsid w:val="00FB76CA"/>
    <w:rsid w:val="00FB7CBC"/>
    <w:rsid w:val="00FC0628"/>
    <w:rsid w:val="00FC0B25"/>
    <w:rsid w:val="00FC0CB4"/>
    <w:rsid w:val="00FC0D3D"/>
    <w:rsid w:val="00FC24A6"/>
    <w:rsid w:val="00FC286D"/>
    <w:rsid w:val="00FC4508"/>
    <w:rsid w:val="00FC47A0"/>
    <w:rsid w:val="00FC4A69"/>
    <w:rsid w:val="00FC5A78"/>
    <w:rsid w:val="00FC698F"/>
    <w:rsid w:val="00FC6CF3"/>
    <w:rsid w:val="00FC6D34"/>
    <w:rsid w:val="00FC7354"/>
    <w:rsid w:val="00FC76FE"/>
    <w:rsid w:val="00FD0565"/>
    <w:rsid w:val="00FD0F6E"/>
    <w:rsid w:val="00FD1273"/>
    <w:rsid w:val="00FD18A4"/>
    <w:rsid w:val="00FD203F"/>
    <w:rsid w:val="00FD2BB7"/>
    <w:rsid w:val="00FD34D7"/>
    <w:rsid w:val="00FD354A"/>
    <w:rsid w:val="00FD3C25"/>
    <w:rsid w:val="00FD45D6"/>
    <w:rsid w:val="00FD4DD7"/>
    <w:rsid w:val="00FD5FC3"/>
    <w:rsid w:val="00FD6138"/>
    <w:rsid w:val="00FD61EA"/>
    <w:rsid w:val="00FD6EFF"/>
    <w:rsid w:val="00FE063C"/>
    <w:rsid w:val="00FE08C4"/>
    <w:rsid w:val="00FE0BF8"/>
    <w:rsid w:val="00FE0CB1"/>
    <w:rsid w:val="00FE1013"/>
    <w:rsid w:val="00FE141A"/>
    <w:rsid w:val="00FE1448"/>
    <w:rsid w:val="00FE1AA5"/>
    <w:rsid w:val="00FE24C7"/>
    <w:rsid w:val="00FE26F9"/>
    <w:rsid w:val="00FE2863"/>
    <w:rsid w:val="00FE375A"/>
    <w:rsid w:val="00FE39E5"/>
    <w:rsid w:val="00FE3BFA"/>
    <w:rsid w:val="00FE47E1"/>
    <w:rsid w:val="00FE4D74"/>
    <w:rsid w:val="00FE4E4D"/>
    <w:rsid w:val="00FE4E80"/>
    <w:rsid w:val="00FE54D7"/>
    <w:rsid w:val="00FE57DC"/>
    <w:rsid w:val="00FE5805"/>
    <w:rsid w:val="00FE5F3E"/>
    <w:rsid w:val="00FE61B1"/>
    <w:rsid w:val="00FE647E"/>
    <w:rsid w:val="00FE6FD9"/>
    <w:rsid w:val="00FE712F"/>
    <w:rsid w:val="00FE74F7"/>
    <w:rsid w:val="00FE7B82"/>
    <w:rsid w:val="00FF04CC"/>
    <w:rsid w:val="00FF0E9A"/>
    <w:rsid w:val="00FF1078"/>
    <w:rsid w:val="00FF14BD"/>
    <w:rsid w:val="00FF181A"/>
    <w:rsid w:val="00FF1A2F"/>
    <w:rsid w:val="00FF1E6B"/>
    <w:rsid w:val="00FF22BD"/>
    <w:rsid w:val="00FF24BB"/>
    <w:rsid w:val="00FF2B31"/>
    <w:rsid w:val="00FF2CD5"/>
    <w:rsid w:val="00FF2EA7"/>
    <w:rsid w:val="00FF318C"/>
    <w:rsid w:val="00FF34CE"/>
    <w:rsid w:val="00FF3727"/>
    <w:rsid w:val="00FF4463"/>
    <w:rsid w:val="00FF4606"/>
    <w:rsid w:val="00FF4E4F"/>
    <w:rsid w:val="00FF5593"/>
    <w:rsid w:val="00FF623D"/>
    <w:rsid w:val="00FF62E0"/>
    <w:rsid w:val="00FF6427"/>
    <w:rsid w:val="00FF6BEE"/>
    <w:rsid w:val="00FF6F83"/>
    <w:rsid w:val="00FF7652"/>
    <w:rsid w:val="00FF78D7"/>
    <w:rsid w:val="092FF27B"/>
    <w:rsid w:val="09AD785E"/>
    <w:rsid w:val="0F83F80D"/>
    <w:rsid w:val="10B0AD65"/>
    <w:rsid w:val="17BCE154"/>
    <w:rsid w:val="198CF11C"/>
    <w:rsid w:val="1A7CC3AA"/>
    <w:rsid w:val="1E749417"/>
    <w:rsid w:val="22DEC60B"/>
    <w:rsid w:val="24E1B37B"/>
    <w:rsid w:val="2AD8ABB7"/>
    <w:rsid w:val="2E4403BF"/>
    <w:rsid w:val="33FBF621"/>
    <w:rsid w:val="39558550"/>
    <w:rsid w:val="4475FED0"/>
    <w:rsid w:val="490921BB"/>
    <w:rsid w:val="4A32479E"/>
    <w:rsid w:val="4B5DB7B1"/>
    <w:rsid w:val="4F271CB1"/>
    <w:rsid w:val="53C6C480"/>
    <w:rsid w:val="565DFF02"/>
    <w:rsid w:val="5E262ABF"/>
    <w:rsid w:val="60065A97"/>
    <w:rsid w:val="60CB8B76"/>
    <w:rsid w:val="6766F01B"/>
    <w:rsid w:val="6CB0A03A"/>
    <w:rsid w:val="6CB9FD3B"/>
    <w:rsid w:val="7427E34F"/>
    <w:rsid w:val="7A371C5A"/>
    <w:rsid w:val="7AB8D50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53B7"/>
  <w15:chartTrackingRefBased/>
  <w15:docId w15:val="{4728B273-1369-4EAE-A346-9D078EAE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3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73A"/>
    <w:pPr>
      <w:ind w:left="720"/>
      <w:contextualSpacing/>
    </w:pPr>
  </w:style>
  <w:style w:type="table" w:customStyle="1" w:styleId="TableGrid1">
    <w:name w:val="Table Grid1"/>
    <w:basedOn w:val="TableNormal"/>
    <w:next w:val="TableGrid"/>
    <w:uiPriority w:val="59"/>
    <w:rsid w:val="006E573A"/>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E5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ubchapterheading">
    <w:name w:val="MAP Subchapter heading"/>
    <w:basedOn w:val="Normal"/>
    <w:qFormat/>
    <w:rsid w:val="006E573A"/>
    <w:pPr>
      <w:overflowPunct w:val="0"/>
      <w:autoSpaceDE w:val="0"/>
      <w:autoSpaceDN w:val="0"/>
      <w:adjustRightInd w:val="0"/>
      <w:spacing w:before="80" w:after="80"/>
      <w:ind w:firstLine="162"/>
      <w:jc w:val="both"/>
      <w:textAlignment w:val="baseline"/>
    </w:pPr>
    <w:rPr>
      <w:rFonts w:ascii="Arial" w:eastAsia="Times New Roman" w:hAnsi="Arial" w:cs="Arial"/>
      <w:b/>
      <w:sz w:val="28"/>
      <w:szCs w:val="20"/>
    </w:rPr>
  </w:style>
  <w:style w:type="paragraph" w:styleId="BalloonText">
    <w:name w:val="Balloon Text"/>
    <w:basedOn w:val="Normal"/>
    <w:link w:val="BalloonTextChar"/>
    <w:uiPriority w:val="99"/>
    <w:semiHidden/>
    <w:unhideWhenUsed/>
    <w:rsid w:val="00DC6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AFA"/>
    <w:rPr>
      <w:rFonts w:ascii="Segoe UI" w:hAnsi="Segoe UI" w:cs="Segoe UI"/>
      <w:sz w:val="18"/>
      <w:szCs w:val="18"/>
    </w:rPr>
  </w:style>
  <w:style w:type="character" w:styleId="CommentReference">
    <w:name w:val="annotation reference"/>
    <w:basedOn w:val="DefaultParagraphFont"/>
    <w:uiPriority w:val="99"/>
    <w:semiHidden/>
    <w:unhideWhenUsed/>
    <w:rsid w:val="00C31DC9"/>
    <w:rPr>
      <w:sz w:val="16"/>
      <w:szCs w:val="16"/>
    </w:rPr>
  </w:style>
  <w:style w:type="paragraph" w:styleId="CommentText">
    <w:name w:val="annotation text"/>
    <w:basedOn w:val="Normal"/>
    <w:link w:val="CommentTextChar"/>
    <w:uiPriority w:val="99"/>
    <w:unhideWhenUsed/>
    <w:rsid w:val="00C31DC9"/>
    <w:rPr>
      <w:sz w:val="20"/>
      <w:szCs w:val="20"/>
    </w:rPr>
  </w:style>
  <w:style w:type="character" w:customStyle="1" w:styleId="CommentTextChar">
    <w:name w:val="Comment Text Char"/>
    <w:basedOn w:val="DefaultParagraphFont"/>
    <w:link w:val="CommentText"/>
    <w:uiPriority w:val="99"/>
    <w:rsid w:val="00C31DC9"/>
    <w:rPr>
      <w:sz w:val="20"/>
      <w:szCs w:val="20"/>
    </w:rPr>
  </w:style>
  <w:style w:type="paragraph" w:styleId="CommentSubject">
    <w:name w:val="annotation subject"/>
    <w:basedOn w:val="CommentText"/>
    <w:next w:val="CommentText"/>
    <w:link w:val="CommentSubjectChar"/>
    <w:uiPriority w:val="99"/>
    <w:semiHidden/>
    <w:unhideWhenUsed/>
    <w:rsid w:val="00C31DC9"/>
    <w:rPr>
      <w:b/>
      <w:bCs/>
    </w:rPr>
  </w:style>
  <w:style w:type="character" w:customStyle="1" w:styleId="CommentSubjectChar">
    <w:name w:val="Comment Subject Char"/>
    <w:basedOn w:val="CommentTextChar"/>
    <w:link w:val="CommentSubject"/>
    <w:uiPriority w:val="99"/>
    <w:semiHidden/>
    <w:rsid w:val="00C31DC9"/>
    <w:rPr>
      <w:b/>
      <w:bCs/>
      <w:sz w:val="20"/>
      <w:szCs w:val="20"/>
    </w:rPr>
  </w:style>
  <w:style w:type="paragraph" w:styleId="Header">
    <w:name w:val="header"/>
    <w:basedOn w:val="Normal"/>
    <w:link w:val="HeaderChar"/>
    <w:uiPriority w:val="99"/>
    <w:unhideWhenUsed/>
    <w:rsid w:val="00A300F6"/>
    <w:pPr>
      <w:tabs>
        <w:tab w:val="center" w:pos="4680"/>
        <w:tab w:val="right" w:pos="9360"/>
      </w:tabs>
    </w:pPr>
  </w:style>
  <w:style w:type="character" w:customStyle="1" w:styleId="HeaderChar">
    <w:name w:val="Header Char"/>
    <w:basedOn w:val="DefaultParagraphFont"/>
    <w:link w:val="Header"/>
    <w:uiPriority w:val="99"/>
    <w:rsid w:val="00A300F6"/>
  </w:style>
  <w:style w:type="paragraph" w:styleId="Footer">
    <w:name w:val="footer"/>
    <w:basedOn w:val="Normal"/>
    <w:link w:val="FooterChar"/>
    <w:uiPriority w:val="99"/>
    <w:unhideWhenUsed/>
    <w:rsid w:val="00A300F6"/>
    <w:pPr>
      <w:tabs>
        <w:tab w:val="center" w:pos="4680"/>
        <w:tab w:val="right" w:pos="9360"/>
      </w:tabs>
    </w:pPr>
  </w:style>
  <w:style w:type="character" w:customStyle="1" w:styleId="FooterChar">
    <w:name w:val="Footer Char"/>
    <w:basedOn w:val="DefaultParagraphFont"/>
    <w:link w:val="Footer"/>
    <w:uiPriority w:val="99"/>
    <w:rsid w:val="00A300F6"/>
  </w:style>
  <w:style w:type="character" w:styleId="Hyperlink">
    <w:name w:val="Hyperlink"/>
    <w:basedOn w:val="DefaultParagraphFont"/>
    <w:uiPriority w:val="99"/>
    <w:unhideWhenUsed/>
    <w:rsid w:val="00AA4CE3"/>
    <w:rPr>
      <w:color w:val="0563C1" w:themeColor="hyperlink"/>
      <w:u w:val="single"/>
    </w:rPr>
  </w:style>
  <w:style w:type="character" w:customStyle="1" w:styleId="UnresolvedMention1">
    <w:name w:val="Unresolved Mention1"/>
    <w:basedOn w:val="DefaultParagraphFont"/>
    <w:uiPriority w:val="99"/>
    <w:semiHidden/>
    <w:unhideWhenUsed/>
    <w:rsid w:val="00AA4CE3"/>
    <w:rPr>
      <w:color w:val="605E5C"/>
      <w:shd w:val="clear" w:color="auto" w:fill="E1DFDD"/>
    </w:rPr>
  </w:style>
  <w:style w:type="character" w:styleId="FollowedHyperlink">
    <w:name w:val="FollowedHyperlink"/>
    <w:basedOn w:val="DefaultParagraphFont"/>
    <w:uiPriority w:val="99"/>
    <w:semiHidden/>
    <w:unhideWhenUsed/>
    <w:rsid w:val="00AA4CE3"/>
    <w:rPr>
      <w:color w:val="954F72" w:themeColor="followedHyperlink"/>
      <w:u w:val="single"/>
    </w:rPr>
  </w:style>
  <w:style w:type="character" w:styleId="Emphasis">
    <w:name w:val="Emphasis"/>
    <w:basedOn w:val="DefaultParagraphFont"/>
    <w:uiPriority w:val="20"/>
    <w:qFormat/>
    <w:rsid w:val="006E43F9"/>
    <w:rPr>
      <w:i/>
      <w:iCs/>
    </w:rPr>
  </w:style>
  <w:style w:type="paragraph" w:styleId="NoSpacing">
    <w:name w:val="No Spacing"/>
    <w:uiPriority w:val="1"/>
    <w:qFormat/>
    <w:rsid w:val="00450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356009">
      <w:bodyDiv w:val="1"/>
      <w:marLeft w:val="0"/>
      <w:marRight w:val="0"/>
      <w:marTop w:val="0"/>
      <w:marBottom w:val="0"/>
      <w:divBdr>
        <w:top w:val="none" w:sz="0" w:space="0" w:color="auto"/>
        <w:left w:val="none" w:sz="0" w:space="0" w:color="auto"/>
        <w:bottom w:val="none" w:sz="0" w:space="0" w:color="auto"/>
        <w:right w:val="none" w:sz="0" w:space="0" w:color="auto"/>
      </w:divBdr>
    </w:div>
    <w:div w:id="96700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Redevelopment" TargetMode="External"/><Relationship Id="rId18" Type="http://schemas.openxmlformats.org/officeDocument/2006/relationships/hyperlink" Target="https://www.hud.gov/program_offices/administration/hudclips/handbooks/cpd/1378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n.wikipedia.org/wiki/Subsidy" TargetMode="External"/><Relationship Id="rId17" Type="http://schemas.openxmlformats.org/officeDocument/2006/relationships/hyperlink" Target="https://www.hud.gov/program_offices/administration/hudclips/notices/hs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ud.gov/program_offices/administration/hudclips/notices/hsg" TargetMode="External"/><Relationship Id="rId20" Type="http://schemas.openxmlformats.org/officeDocument/2006/relationships/hyperlink" Target="https://www.hudexchange.info/programs/reloc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hud.gov/program_offices/administration/hudclips/notices/hsg"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hudexchange.info/programs/relocation/contac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ulations.gov/document?D=HUD-2016-0007-000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HUDDASMFH-1742398994-206091</_dlc_DocId>
    <_dlc_DocIdUrl xmlns="d4a638c4-874f-49c0-bb2b-5cb8563c2b18">
      <Url>https://hudgov.sharepoint.com/sites/DASMFH/OMHD/mapguiderevision/_layouts/15/DocIdRedir.aspx?ID=HUDDASMFH-1742398994-206091</Url>
      <Description>HUDDASMFH-1742398994-206091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CEE79-0D61-46CE-B0C5-325F10363D44}">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AA12A978-8B1B-45F7-8095-78201D3278E4}">
  <ds:schemaRefs>
    <ds:schemaRef ds:uri="http://schemas.microsoft.com/sharepoint/events"/>
  </ds:schemaRefs>
</ds:datastoreItem>
</file>

<file path=customXml/itemProps3.xml><?xml version="1.0" encoding="utf-8"?>
<ds:datastoreItem xmlns:ds="http://schemas.openxmlformats.org/officeDocument/2006/customXml" ds:itemID="{D83D4044-00B6-4097-9DE9-21F101CCF2E6}">
  <ds:schemaRefs>
    <ds:schemaRef ds:uri="http://schemas.microsoft.com/sharepoint/v3/contenttype/forms"/>
  </ds:schemaRefs>
</ds:datastoreItem>
</file>

<file path=customXml/itemProps4.xml><?xml version="1.0" encoding="utf-8"?>
<ds:datastoreItem xmlns:ds="http://schemas.openxmlformats.org/officeDocument/2006/customXml" ds:itemID="{2C376589-A1ED-4B2F-B3C2-EA9F11A4D278}">
  <ds:schemaRefs>
    <ds:schemaRef ds:uri="http://schemas.openxmlformats.org/officeDocument/2006/bibliography"/>
  </ds:schemaRefs>
</ds:datastoreItem>
</file>

<file path=customXml/itemProps5.xml><?xml version="1.0" encoding="utf-8"?>
<ds:datastoreItem xmlns:ds="http://schemas.openxmlformats.org/officeDocument/2006/customXml" ds:itemID="{F8D3E9A7-9A2D-474B-92D3-366F3892F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19516</Words>
  <Characters>111245</Characters>
  <Application>Microsoft Office Word</Application>
  <DocSecurity>0</DocSecurity>
  <Lines>927</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130501</CharactersWithSpaces>
  <SharedDoc>false</SharedDoc>
  <HLinks>
    <vt:vector size="72" baseType="variant">
      <vt:variant>
        <vt:i4>5308438</vt:i4>
      </vt:variant>
      <vt:variant>
        <vt:i4>30</vt:i4>
      </vt:variant>
      <vt:variant>
        <vt:i4>0</vt:i4>
      </vt:variant>
      <vt:variant>
        <vt:i4>5</vt:i4>
      </vt:variant>
      <vt:variant>
        <vt:lpwstr>https://www.hudexchange.info/programs/relocation/</vt:lpwstr>
      </vt:variant>
      <vt:variant>
        <vt:lpwstr/>
      </vt:variant>
      <vt:variant>
        <vt:i4>6684722</vt:i4>
      </vt:variant>
      <vt:variant>
        <vt:i4>27</vt:i4>
      </vt:variant>
      <vt:variant>
        <vt:i4>0</vt:i4>
      </vt:variant>
      <vt:variant>
        <vt:i4>5</vt:i4>
      </vt:variant>
      <vt:variant>
        <vt:lpwstr>https://www.hudexchange.info/programs/relocation/contacts/</vt:lpwstr>
      </vt:variant>
      <vt:variant>
        <vt:lpwstr/>
      </vt:variant>
      <vt:variant>
        <vt:i4>917606</vt:i4>
      </vt:variant>
      <vt:variant>
        <vt:i4>24</vt:i4>
      </vt:variant>
      <vt:variant>
        <vt:i4>0</vt:i4>
      </vt:variant>
      <vt:variant>
        <vt:i4>5</vt:i4>
      </vt:variant>
      <vt:variant>
        <vt:lpwstr>https://www.hud.gov/program_offices/administration/hudclips/handbooks/cpd/13780</vt:lpwstr>
      </vt:variant>
      <vt:variant>
        <vt:lpwstr/>
      </vt:variant>
      <vt:variant>
        <vt:i4>4915325</vt:i4>
      </vt:variant>
      <vt:variant>
        <vt:i4>20</vt:i4>
      </vt:variant>
      <vt:variant>
        <vt:i4>0</vt:i4>
      </vt:variant>
      <vt:variant>
        <vt:i4>5</vt:i4>
      </vt:variant>
      <vt:variant>
        <vt:lpwstr>https://www.hud.gov/program_offices/administration/hudclips/notices/hsg</vt:lpwstr>
      </vt:variant>
      <vt:variant>
        <vt:lpwstr/>
      </vt:variant>
      <vt:variant>
        <vt:i4>4915325</vt:i4>
      </vt:variant>
      <vt:variant>
        <vt:i4>18</vt:i4>
      </vt:variant>
      <vt:variant>
        <vt:i4>0</vt:i4>
      </vt:variant>
      <vt:variant>
        <vt:i4>5</vt:i4>
      </vt:variant>
      <vt:variant>
        <vt:lpwstr>https://www.hud.gov/program_offices/administration/hudclips/notices/hsg</vt:lpwstr>
      </vt:variant>
      <vt:variant>
        <vt:lpwstr/>
      </vt:variant>
      <vt:variant>
        <vt:i4>4915325</vt:i4>
      </vt:variant>
      <vt:variant>
        <vt:i4>15</vt:i4>
      </vt:variant>
      <vt:variant>
        <vt:i4>0</vt:i4>
      </vt:variant>
      <vt:variant>
        <vt:i4>5</vt:i4>
      </vt:variant>
      <vt:variant>
        <vt:lpwstr>https://www.hud.gov/program_offices/administration/hudclips/notices/hsg</vt:lpwstr>
      </vt:variant>
      <vt:variant>
        <vt:lpwstr/>
      </vt:variant>
      <vt:variant>
        <vt:i4>1703941</vt:i4>
      </vt:variant>
      <vt:variant>
        <vt:i4>9</vt:i4>
      </vt:variant>
      <vt:variant>
        <vt:i4>0</vt:i4>
      </vt:variant>
      <vt:variant>
        <vt:i4>5</vt:i4>
      </vt:variant>
      <vt:variant>
        <vt:lpwstr>https://www.regulations.gov/document?D=HUD-2016-0007-0001</vt:lpwstr>
      </vt:variant>
      <vt:variant>
        <vt:lpwstr/>
      </vt:variant>
      <vt:variant>
        <vt:i4>2359405</vt:i4>
      </vt:variant>
      <vt:variant>
        <vt:i4>6</vt:i4>
      </vt:variant>
      <vt:variant>
        <vt:i4>0</vt:i4>
      </vt:variant>
      <vt:variant>
        <vt:i4>5</vt:i4>
      </vt:variant>
      <vt:variant>
        <vt:lpwstr>https://en.wikipedia.org/wiki/Redevelopment</vt:lpwstr>
      </vt:variant>
      <vt:variant>
        <vt:lpwstr/>
      </vt:variant>
      <vt:variant>
        <vt:i4>5177356</vt:i4>
      </vt:variant>
      <vt:variant>
        <vt:i4>3</vt:i4>
      </vt:variant>
      <vt:variant>
        <vt:i4>0</vt:i4>
      </vt:variant>
      <vt:variant>
        <vt:i4>5</vt:i4>
      </vt:variant>
      <vt:variant>
        <vt:lpwstr>https://en.wikipedia.org/wiki/Subsidy</vt:lpwstr>
      </vt:variant>
      <vt:variant>
        <vt:lpwstr/>
      </vt:variant>
      <vt:variant>
        <vt:i4>1703941</vt:i4>
      </vt:variant>
      <vt:variant>
        <vt:i4>0</vt:i4>
      </vt:variant>
      <vt:variant>
        <vt:i4>0</vt:i4>
      </vt:variant>
      <vt:variant>
        <vt:i4>5</vt:i4>
      </vt:variant>
      <vt:variant>
        <vt:lpwstr>https://www.regulations.gov/document?D=HUD-2016-0007-0001</vt:lpwstr>
      </vt:variant>
      <vt:variant>
        <vt:lpwstr/>
      </vt:variant>
      <vt:variant>
        <vt:i4>262169</vt:i4>
      </vt:variant>
      <vt:variant>
        <vt:i4>3</vt:i4>
      </vt:variant>
      <vt:variant>
        <vt:i4>0</vt:i4>
      </vt:variant>
      <vt:variant>
        <vt:i4>5</vt:i4>
      </vt:variant>
      <vt:variant>
        <vt:lpwstr>https://www.hud.gov/sites/dfiles/OCHCO/documents/2019-07hsgn.pdf</vt:lpwstr>
      </vt:variant>
      <vt:variant>
        <vt:lpwstr/>
      </vt:variant>
      <vt:variant>
        <vt:i4>5701634</vt:i4>
      </vt:variant>
      <vt:variant>
        <vt:i4>0</vt:i4>
      </vt:variant>
      <vt:variant>
        <vt:i4>0</vt:i4>
      </vt:variant>
      <vt:variant>
        <vt:i4>5</vt:i4>
      </vt:variant>
      <vt:variant>
        <vt:lpwstr>https://www.law.cornell.edu/uscode/text/26/42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cp:lastPrinted>2019-10-04T18:35:00Z</cp:lastPrinted>
  <dcterms:created xsi:type="dcterms:W3CDTF">2020-10-27T18:34:00Z</dcterms:created>
  <dcterms:modified xsi:type="dcterms:W3CDTF">2020-10-27T18:34:00Z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85a7c057-0cb0-4cb1-a49d-568a83fc1bee</vt:lpwstr>
  </property>
</Properties>
</file>