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5C3D" w:rsidP="006A6949" w:rsidRDefault="00D73EE7" w14:paraId="4ACD2309" w14:textId="77777777">
      <w:pPr>
        <w:pStyle w:val="Heading1"/>
        <w:rPr>
          <w:rFonts w:ascii="Times New Roman" w:hAnsi="Times New Roman"/>
        </w:rPr>
      </w:pPr>
      <w:r w:rsidRPr="000D2DF6">
        <w:rPr>
          <w:rFonts w:ascii="Times New Roman" w:hAnsi="Times New Roman"/>
        </w:rPr>
        <w:t>Supporting Statement for Paperwork Reduction Act Submission</w:t>
      </w:r>
      <w:r w:rsidRPr="000D2DF6" w:rsidR="006A6949">
        <w:rPr>
          <w:rFonts w:ascii="Times New Roman" w:hAnsi="Times New Roman"/>
        </w:rPr>
        <w:t xml:space="preserve"> – Housing Opportunities for Persons </w:t>
      </w:r>
      <w:proofErr w:type="gramStart"/>
      <w:r w:rsidRPr="000D2DF6" w:rsidR="006A6949">
        <w:rPr>
          <w:rFonts w:ascii="Times New Roman" w:hAnsi="Times New Roman"/>
        </w:rPr>
        <w:t>With</w:t>
      </w:r>
      <w:proofErr w:type="gramEnd"/>
      <w:r w:rsidRPr="000D2DF6" w:rsidR="006A6949">
        <w:rPr>
          <w:rFonts w:ascii="Times New Roman" w:hAnsi="Times New Roman"/>
        </w:rPr>
        <w:t xml:space="preserve"> AIDS (HOPWA) </w:t>
      </w:r>
    </w:p>
    <w:p w:rsidRPr="000D2DF6" w:rsidR="006A6949" w:rsidP="006A6949" w:rsidRDefault="006A6949" w14:paraId="24E70ED7" w14:textId="5BCC61B4">
      <w:pPr>
        <w:pStyle w:val="Heading1"/>
        <w:rPr>
          <w:rFonts w:ascii="Times New Roman" w:hAnsi="Times New Roman"/>
        </w:rPr>
      </w:pPr>
      <w:r w:rsidRPr="00563D3E">
        <w:rPr>
          <w:rFonts w:ascii="Times New Roman" w:hAnsi="Times New Roman"/>
        </w:rPr>
        <w:t>OMB Control No. 2506-0133</w:t>
      </w:r>
    </w:p>
    <w:p w:rsidR="00D73EE7" w:rsidRDefault="00D73EE7" w14:paraId="4F3103C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Pr="00AF02E5" w:rsidR="004E185B" w:rsidP="00AF02E5" w:rsidRDefault="00CB5C3D" w14:paraId="28D6204B" w14:textId="3D655CF3">
      <w:pPr>
        <w:pStyle w:val="ListParagraph"/>
        <w:numPr>
          <w:ilvl w:val="0"/>
          <w:numId w:val="32"/>
        </w:numPr>
        <w:rPr>
          <w:color w:val="000000"/>
          <w:sz w:val="22"/>
          <w:szCs w:val="22"/>
        </w:rPr>
      </w:pPr>
      <w:r w:rsidRPr="00AF02E5">
        <w:rPr>
          <w:color w:val="000000"/>
          <w:sz w:val="22"/>
          <w:szCs w:val="22"/>
        </w:rPr>
        <w:t>Justification</w:t>
      </w:r>
    </w:p>
    <w:p w:rsidRPr="003B27A6" w:rsidR="00525CD7" w:rsidP="00525CD7" w:rsidRDefault="00525CD7" w14:paraId="60EF66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rsidRPr="00A9750E" w:rsidR="00883D60" w:rsidP="00AF02E5" w:rsidRDefault="004042AF" w14:paraId="4AFEC197" w14:textId="7E2C465D">
      <w:pPr>
        <w:pStyle w:val="BodyTextIndent"/>
        <w:numPr>
          <w:ilvl w:val="0"/>
          <w:numId w:val="31"/>
        </w:numPr>
        <w:tabs>
          <w:tab w:val="clear" w:pos="360"/>
          <w:tab w:val="left" w:pos="0"/>
        </w:tabs>
        <w:rPr>
          <w:b/>
          <w:szCs w:val="22"/>
        </w:rPr>
      </w:pPr>
      <w:r>
        <w:rPr>
          <w:b/>
          <w:szCs w:val="22"/>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r w:rsidR="00AA4851">
        <w:rPr>
          <w:b/>
          <w:szCs w:val="22"/>
        </w:rPr>
        <w:t xml:space="preserve"> </w:t>
      </w:r>
    </w:p>
    <w:p w:rsidRPr="00A9750E" w:rsidR="00DE447B" w:rsidP="00DE447B" w:rsidRDefault="00DE447B" w14:paraId="43877050" w14:textId="77777777">
      <w:pPr>
        <w:pStyle w:val="NoSpacing"/>
      </w:pPr>
    </w:p>
    <w:p w:rsidR="00B818B5" w:rsidP="00AF02E5" w:rsidRDefault="00C90FC6" w14:paraId="4A2D4C6D" w14:textId="76BB9101">
      <w:pPr>
        <w:ind w:left="360"/>
        <w:rPr>
          <w:color w:val="000000"/>
          <w:sz w:val="22"/>
          <w:szCs w:val="22"/>
        </w:rPr>
      </w:pPr>
      <w:r>
        <w:rPr>
          <w:szCs w:val="22"/>
        </w:rPr>
        <w:t xml:space="preserve">The currently approved HOPWA paperwork collection </w:t>
      </w:r>
      <w:r w:rsidR="00E67E14">
        <w:rPr>
          <w:szCs w:val="22"/>
        </w:rPr>
        <w:t>is</w:t>
      </w:r>
      <w:r>
        <w:rPr>
          <w:szCs w:val="22"/>
        </w:rPr>
        <w:t xml:space="preserve"> under OMB Control Number 2506-0133. </w:t>
      </w:r>
      <w:r w:rsidRPr="003B27A6">
        <w:rPr>
          <w:szCs w:val="22"/>
        </w:rPr>
        <w:t xml:space="preserve">HUD is requesting a revision of </w:t>
      </w:r>
      <w:r>
        <w:rPr>
          <w:szCs w:val="22"/>
        </w:rPr>
        <w:t xml:space="preserve">the </w:t>
      </w:r>
      <w:r w:rsidRPr="003B27A6">
        <w:rPr>
          <w:szCs w:val="22"/>
        </w:rPr>
        <w:t>currently approved collection.</w:t>
      </w:r>
      <w:r>
        <w:rPr>
          <w:szCs w:val="22"/>
        </w:rPr>
        <w:t xml:space="preserve"> This revision request would </w:t>
      </w:r>
      <w:r w:rsidR="008F6DF7">
        <w:rPr>
          <w:szCs w:val="22"/>
        </w:rPr>
        <w:t xml:space="preserve">phase-in the </w:t>
      </w:r>
      <w:r w:rsidR="00D51B63">
        <w:rPr>
          <w:szCs w:val="22"/>
        </w:rPr>
        <w:t>replace</w:t>
      </w:r>
      <w:r w:rsidR="008F6DF7">
        <w:rPr>
          <w:szCs w:val="22"/>
        </w:rPr>
        <w:t>ment of</w:t>
      </w:r>
      <w:r w:rsidR="00D51B63">
        <w:rPr>
          <w:szCs w:val="22"/>
        </w:rPr>
        <w:t xml:space="preserve"> forms HUD-40110-C (Annual Progress Report (APR) for competitive and renewal grantees), HUD-40110-D (Consolidated Annual Performance and Evaluation Report (CAPER) for formula grantees) with the attached data elements in this submission. </w:t>
      </w:r>
      <w:r w:rsidR="004075E3">
        <w:rPr>
          <w:szCs w:val="22"/>
        </w:rPr>
        <w:t xml:space="preserve">These data elements will be used in both a new Excel form, </w:t>
      </w:r>
      <w:r w:rsidRPr="00B54743" w:rsidR="004075E3">
        <w:rPr>
          <w:szCs w:val="22"/>
        </w:rPr>
        <w:t>and a new Word form for Section 508 accessibility</w:t>
      </w:r>
      <w:r w:rsidR="004075E3">
        <w:rPr>
          <w:szCs w:val="22"/>
        </w:rPr>
        <w:t>. The data elements in t</w:t>
      </w:r>
      <w:r w:rsidR="00ED3D1F">
        <w:rPr>
          <w:szCs w:val="22"/>
        </w:rPr>
        <w:t>his revision represents a consolidat</w:t>
      </w:r>
      <w:r w:rsidR="000129EC">
        <w:rPr>
          <w:szCs w:val="22"/>
        </w:rPr>
        <w:t>i</w:t>
      </w:r>
      <w:r w:rsidR="00ED3D1F">
        <w:rPr>
          <w:szCs w:val="22"/>
        </w:rPr>
        <w:t xml:space="preserve">on of the HUD-40110-C and HUD-40110-D, as well as additions, deletions, and modifications to the current data elements contained within these two forms. </w:t>
      </w:r>
      <w:r w:rsidR="00B818B5">
        <w:rPr>
          <w:color w:val="000000"/>
          <w:sz w:val="22"/>
          <w:szCs w:val="22"/>
        </w:rPr>
        <w:t>The revision also requests to add form</w:t>
      </w:r>
      <w:r w:rsidRPr="005D353E" w:rsidR="00B818B5">
        <w:rPr>
          <w:color w:val="000000"/>
          <w:sz w:val="22"/>
          <w:szCs w:val="22"/>
        </w:rPr>
        <w:t xml:space="preserve"> SF424D for HOPWA competitive grants that may utilize funding for new construction or </w:t>
      </w:r>
      <w:proofErr w:type="gramStart"/>
      <w:r w:rsidRPr="005D353E" w:rsidR="00B818B5">
        <w:rPr>
          <w:color w:val="000000"/>
          <w:sz w:val="22"/>
          <w:szCs w:val="22"/>
        </w:rPr>
        <w:t>rehabilitation, and</w:t>
      </w:r>
      <w:proofErr w:type="gramEnd"/>
      <w:r w:rsidRPr="005D353E" w:rsidR="00B818B5">
        <w:rPr>
          <w:color w:val="000000"/>
          <w:sz w:val="22"/>
          <w:szCs w:val="22"/>
        </w:rPr>
        <w:t xml:space="preserve"> adjust the burden accordingly.   </w:t>
      </w:r>
    </w:p>
    <w:p w:rsidR="00FE2AFE" w:rsidP="00AF02E5" w:rsidRDefault="00FE2AFE" w14:paraId="72A9305E" w14:textId="77777777">
      <w:pPr>
        <w:pStyle w:val="BodyTextIndent2"/>
        <w:rPr>
          <w:szCs w:val="22"/>
        </w:rPr>
      </w:pPr>
    </w:p>
    <w:p w:rsidR="00D86280" w:rsidP="00AF02E5" w:rsidRDefault="00D86280" w14:paraId="447E2934" w14:textId="16433D6E">
      <w:pPr>
        <w:pStyle w:val="BodyTextIndent2"/>
        <w:rPr>
          <w:szCs w:val="22"/>
        </w:rPr>
      </w:pPr>
      <w:r>
        <w:rPr>
          <w:szCs w:val="22"/>
        </w:rPr>
        <w:t xml:space="preserve">The currently approved HUD-40110-C and HUD-40110-D paperwork collection is for HOPWA annual reporting requirements. </w:t>
      </w:r>
      <w:r w:rsidR="009726E1">
        <w:rPr>
          <w:szCs w:val="22"/>
        </w:rPr>
        <w:t xml:space="preserve">In addition to the record keeping requirements cited below, grantees with HOPWA facilities under stewardship are also required to report until the minimum use period is met for the facility. </w:t>
      </w:r>
      <w:r>
        <w:rPr>
          <w:szCs w:val="22"/>
        </w:rPr>
        <w:t>The HOPWA statute and corresponding regulations requiring reporting and recordkeeping are listed below:</w:t>
      </w:r>
    </w:p>
    <w:p w:rsidR="00AB7688" w:rsidP="00AF02E5" w:rsidRDefault="00AB7688" w14:paraId="5BED2F6D" w14:textId="26A39D7C">
      <w:pPr>
        <w:pStyle w:val="BodyTextIndent2"/>
        <w:rPr>
          <w:szCs w:val="22"/>
        </w:rPr>
      </w:pPr>
    </w:p>
    <w:p w:rsidRPr="002E1334" w:rsidR="003B00BA" w:rsidP="00AF02E5" w:rsidRDefault="00DB2F37" w14:paraId="646DAA83" w14:textId="77777777">
      <w:pPr>
        <w:pStyle w:val="BodyTextIndent2"/>
        <w:numPr>
          <w:ilvl w:val="0"/>
          <w:numId w:val="16"/>
        </w:numPr>
        <w:tabs>
          <w:tab w:val="clear" w:pos="360"/>
        </w:tabs>
        <w:spacing w:after="0"/>
        <w:ind w:left="1080"/>
        <w:rPr>
          <w:szCs w:val="22"/>
        </w:rPr>
      </w:pPr>
      <w:r w:rsidRPr="002E1334">
        <w:rPr>
          <w:szCs w:val="22"/>
        </w:rPr>
        <w:t xml:space="preserve">42 U.S.C. 12911. Report. </w:t>
      </w:r>
      <w:r w:rsidRPr="000D2DF6" w:rsidR="003B00BA">
        <w:rPr>
          <w:szCs w:val="22"/>
        </w:rPr>
        <w:t>Any organization or agency that receives a grant under this chapter shall submit to the Secretary, for any fiscal year in which the organization or agency receives a grant under this chapter, a report describing the use of the amounts received, which shall include the number of individuals assisted, the types of assistance provided, and any other information that the Secretary determines to be appropriate.</w:t>
      </w:r>
    </w:p>
    <w:p w:rsidR="00062554" w:rsidP="00AF02E5" w:rsidRDefault="00062554" w14:paraId="5E33593A" w14:textId="77777777">
      <w:pPr>
        <w:pStyle w:val="Heading2"/>
        <w:numPr>
          <w:ilvl w:val="0"/>
          <w:numId w:val="14"/>
        </w:numPr>
        <w:shd w:val="clear" w:color="auto" w:fill="FFFFFF"/>
        <w:spacing w:before="0" w:after="0"/>
        <w:ind w:left="1080"/>
        <w:rPr>
          <w:rFonts w:ascii="Times New Roman" w:hAnsi="Times New Roman"/>
          <w:b w:val="0"/>
          <w:bCs w:val="0"/>
          <w:i w:val="0"/>
          <w:iCs w:val="0"/>
          <w:color w:val="000000"/>
          <w:sz w:val="22"/>
          <w:szCs w:val="22"/>
        </w:rPr>
      </w:pPr>
      <w:r>
        <w:rPr>
          <w:rFonts w:ascii="Times New Roman" w:hAnsi="Times New Roman"/>
          <w:b w:val="0"/>
          <w:bCs w:val="0"/>
          <w:i w:val="0"/>
          <w:iCs w:val="0"/>
          <w:color w:val="000000"/>
          <w:sz w:val="22"/>
          <w:szCs w:val="22"/>
        </w:rPr>
        <w:t xml:space="preserve">24 CFR </w:t>
      </w:r>
      <w:r w:rsidRPr="000D2DF6">
        <w:rPr>
          <w:rFonts w:ascii="Times New Roman" w:hAnsi="Times New Roman"/>
          <w:b w:val="0"/>
          <w:bCs w:val="0"/>
          <w:i w:val="0"/>
          <w:iCs w:val="0"/>
          <w:color w:val="000000"/>
          <w:sz w:val="22"/>
          <w:szCs w:val="22"/>
        </w:rPr>
        <w:t xml:space="preserve">574.520. Performance reports. </w:t>
      </w:r>
    </w:p>
    <w:p w:rsidR="00062554" w:rsidP="00AF02E5" w:rsidRDefault="00062554" w14:paraId="72F2E6A6" w14:textId="77777777">
      <w:pPr>
        <w:pStyle w:val="Heading2"/>
        <w:shd w:val="clear" w:color="auto" w:fill="FFFFFF"/>
        <w:spacing w:before="0" w:after="0"/>
        <w:ind w:left="144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(a)</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Formula grants.</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For a formula grant recipient, the performance reporting requirements are specified in 24 CFR part 91.</w:t>
      </w:r>
    </w:p>
    <w:p w:rsidR="00062554" w:rsidP="00AF02E5" w:rsidRDefault="00062554" w14:paraId="6B8773AD" w14:textId="77777777">
      <w:pPr>
        <w:pStyle w:val="Heading2"/>
        <w:shd w:val="clear" w:color="auto" w:fill="FFFFFF"/>
        <w:spacing w:before="0" w:after="0"/>
        <w:ind w:left="144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(b)</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Competitive grants.</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A grantee shall submit to HUD annually a report describing the use of the amounts received, including the number of individuals assisted, the types of assistance provided, data on emergency transfers requested under 24 CFR 5.2005(e), pertaining to victims of domestic violence, dating violence, sexual assault, or stalking, including data on the outcomes of such requests, and any other information that HUD may require. Annual reports are required until all grant funds are expended.</w:t>
      </w:r>
    </w:p>
    <w:p w:rsidRPr="000D2DF6" w:rsidR="00116FD8" w:rsidP="00AF02E5" w:rsidRDefault="00116FD8" w14:paraId="466D99FA" w14:textId="77777777">
      <w:pPr>
        <w:numPr>
          <w:ilvl w:val="0"/>
          <w:numId w:val="14"/>
        </w:numPr>
        <w:ind w:left="1080"/>
        <w:rPr>
          <w:color w:val="000000"/>
          <w:sz w:val="22"/>
          <w:szCs w:val="22"/>
        </w:rPr>
      </w:pPr>
      <w:r w:rsidRPr="000D2DF6">
        <w:rPr>
          <w:color w:val="000000"/>
          <w:sz w:val="22"/>
          <w:szCs w:val="22"/>
        </w:rPr>
        <w:t>24 CFR 91.520(f). HOPWA.</w:t>
      </w:r>
      <w:r w:rsidRPr="000D2DF6">
        <w:rPr>
          <w:sz w:val="22"/>
          <w:szCs w:val="22"/>
        </w:rPr>
        <w:t> </w:t>
      </w:r>
      <w:r w:rsidRPr="000D2DF6">
        <w:rPr>
          <w:color w:val="000000"/>
          <w:sz w:val="22"/>
          <w:szCs w:val="22"/>
        </w:rPr>
        <w:t xml:space="preserve">For jurisdictions receiving funding under the Housing Opportunities for Persons </w:t>
      </w:r>
      <w:proofErr w:type="gramStart"/>
      <w:r w:rsidRPr="000D2DF6">
        <w:rPr>
          <w:color w:val="000000"/>
          <w:sz w:val="22"/>
          <w:szCs w:val="22"/>
        </w:rPr>
        <w:t>With</w:t>
      </w:r>
      <w:proofErr w:type="gramEnd"/>
      <w:r w:rsidRPr="000D2DF6">
        <w:rPr>
          <w:color w:val="000000"/>
          <w:sz w:val="22"/>
          <w:szCs w:val="22"/>
        </w:rPr>
        <w:t xml:space="preserve"> AIDS program, the report must include the number of individuals assisted and the types of assistance provided, as well as data on emergency transfers requested under 24 CFR 5.2005(e), pertaining to victims of domestic violence, dating violence, sexual assault, or stalking, including data on the outcomes of such requests.</w:t>
      </w:r>
    </w:p>
    <w:p w:rsidRPr="000D2DF6" w:rsidR="00062554" w:rsidP="00AF02E5" w:rsidRDefault="00062554" w14:paraId="75B8D579" w14:textId="77777777">
      <w:pPr>
        <w:pStyle w:val="Heading2"/>
        <w:numPr>
          <w:ilvl w:val="0"/>
          <w:numId w:val="14"/>
        </w:numPr>
        <w:shd w:val="clear" w:color="auto" w:fill="FFFFFF"/>
        <w:spacing w:before="0" w:after="0"/>
        <w:ind w:left="1080"/>
        <w:rPr>
          <w:rFonts w:ascii="Times New Roman" w:hAnsi="Times New Roman"/>
          <w:b w:val="0"/>
          <w:bCs w:val="0"/>
          <w:i w:val="0"/>
          <w:iCs w:val="0"/>
          <w:color w:val="000000"/>
          <w:sz w:val="22"/>
          <w:szCs w:val="22"/>
        </w:rPr>
      </w:pPr>
      <w:bookmarkStart w:name="se24.3.574_1530" w:id="0"/>
      <w:bookmarkEnd w:id="0"/>
      <w:r>
        <w:rPr>
          <w:rFonts w:ascii="Times New Roman" w:hAnsi="Times New Roman"/>
          <w:b w:val="0"/>
          <w:bCs w:val="0"/>
          <w:i w:val="0"/>
          <w:iCs w:val="0"/>
          <w:color w:val="000000"/>
          <w:sz w:val="22"/>
          <w:szCs w:val="22"/>
        </w:rPr>
        <w:lastRenderedPageBreak/>
        <w:t xml:space="preserve">24 CFR </w:t>
      </w:r>
      <w:r w:rsidRPr="000D2DF6">
        <w:rPr>
          <w:rFonts w:ascii="Times New Roman" w:hAnsi="Times New Roman"/>
          <w:b w:val="0"/>
          <w:bCs w:val="0"/>
          <w:i w:val="0"/>
          <w:iCs w:val="0"/>
          <w:color w:val="000000"/>
          <w:sz w:val="22"/>
          <w:szCs w:val="22"/>
        </w:rPr>
        <w:t>574.530. Recordkeeping. Each grantee must ensure that records are maintained for a 4-year period to document compliance with the provisions of this part. Grantees must maintain the following:</w:t>
      </w:r>
    </w:p>
    <w:p w:rsidRPr="000D2DF6" w:rsidR="00062554" w:rsidP="00AF02E5" w:rsidRDefault="00062554" w14:paraId="4EE27200" w14:textId="77777777">
      <w:pPr>
        <w:pStyle w:val="Heading2"/>
        <w:shd w:val="clear" w:color="auto" w:fill="FFFFFF"/>
        <w:spacing w:before="0" w:after="0"/>
        <w:ind w:left="144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(a) Current and accurate data on the race and ethnicity of program participants.</w:t>
      </w:r>
    </w:p>
    <w:p w:rsidRPr="000D2DF6" w:rsidR="00062554" w:rsidP="00AF02E5" w:rsidRDefault="00062554" w14:paraId="603C4B55" w14:textId="77777777">
      <w:pPr>
        <w:pStyle w:val="Heading2"/>
        <w:shd w:val="clear" w:color="auto" w:fill="FFFFFF"/>
        <w:spacing w:before="0" w:after="0"/>
        <w:ind w:left="144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(b) Documentation related to the formula grantee's Assessment of Fair Housing, as described in 24 CFR 5.168.</w:t>
      </w:r>
    </w:p>
    <w:p w:rsidR="00062554" w:rsidP="00AF02E5" w:rsidRDefault="00062554" w14:paraId="0422D3D9" w14:textId="16C30757">
      <w:pPr>
        <w:pStyle w:val="Heading2"/>
        <w:shd w:val="clear" w:color="auto" w:fill="FFFFFF"/>
        <w:spacing w:before="0" w:after="0"/>
        <w:ind w:left="144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(c) Data on emergency transfers requested under 24 CFR 5.2005(e), pertaining to victims of domestic violence, dating violence, sexual assault, or stalking, including data on the outcomes of such requests.</w:t>
      </w:r>
    </w:p>
    <w:p w:rsidRPr="004075E3" w:rsidR="00ED3D1F" w:rsidP="00AF02E5" w:rsidRDefault="00ED3D1F" w14:paraId="52FD43E2" w14:textId="77777777">
      <w:pPr>
        <w:ind w:left="360"/>
        <w:rPr>
          <w:b/>
          <w:bCs/>
          <w:i/>
          <w:iCs/>
        </w:rPr>
      </w:pPr>
    </w:p>
    <w:p w:rsidR="00D73EE7" w:rsidP="00AF02E5" w:rsidRDefault="00ED3D1F" w14:paraId="4725E8C0" w14:textId="5C2C5CAF">
      <w:pPr>
        <w:tabs>
          <w:tab w:val="left" w:pos="360"/>
        </w:tabs>
        <w:ind w:left="360"/>
        <w:rPr>
          <w:sz w:val="22"/>
          <w:szCs w:val="22"/>
        </w:rPr>
      </w:pPr>
      <w:r w:rsidRPr="004075E3">
        <w:rPr>
          <w:sz w:val="22"/>
          <w:szCs w:val="22"/>
        </w:rPr>
        <w:t>The other information collections currently approved under this OMB Control Number will remain unchanged. Those information collections are: HOPWA Renewal Application (including HUD-40110-B, narratives, and other requirements listed in the renewal notice); HOPWA Competitive Application (including HUD-40110-B, narratives, and other requirements listed in the NOFA); HIV Housing Care Continuum Model Report</w:t>
      </w:r>
      <w:r w:rsidR="00B818B5">
        <w:rPr>
          <w:sz w:val="22"/>
          <w:szCs w:val="22"/>
        </w:rPr>
        <w:t xml:space="preserve"> (HUD-4154</w:t>
      </w:r>
      <w:proofErr w:type="gramStart"/>
      <w:r w:rsidR="00B818B5">
        <w:rPr>
          <w:sz w:val="22"/>
          <w:szCs w:val="22"/>
        </w:rPr>
        <w:t xml:space="preserve">) </w:t>
      </w:r>
      <w:r w:rsidRPr="004075E3">
        <w:rPr>
          <w:sz w:val="22"/>
          <w:szCs w:val="22"/>
        </w:rPr>
        <w:t>;</w:t>
      </w:r>
      <w:proofErr w:type="gramEnd"/>
      <w:r w:rsidRPr="004075E3">
        <w:rPr>
          <w:sz w:val="22"/>
          <w:szCs w:val="22"/>
        </w:rPr>
        <w:t xml:space="preserve"> Housing as an Intervention to Fight AIDS Model Report</w:t>
      </w:r>
      <w:r w:rsidR="00B818B5">
        <w:rPr>
          <w:sz w:val="22"/>
          <w:szCs w:val="22"/>
        </w:rPr>
        <w:t xml:space="preserve"> (HUD-4153)</w:t>
      </w:r>
      <w:r w:rsidRPr="004075E3">
        <w:rPr>
          <w:sz w:val="22"/>
          <w:szCs w:val="22"/>
        </w:rPr>
        <w:t>; Recordkeeping for Competitive, Renewal, and Formula Grantees; and Grant Amendments.</w:t>
      </w:r>
      <w:r w:rsidR="006D174D">
        <w:rPr>
          <w:sz w:val="22"/>
          <w:szCs w:val="22"/>
        </w:rPr>
        <w:t xml:space="preserve"> </w:t>
      </w:r>
      <w:r w:rsidRPr="002F6D3D" w:rsidR="006D174D">
        <w:rPr>
          <w:color w:val="000000"/>
          <w:sz w:val="22"/>
          <w:szCs w:val="22"/>
        </w:rPr>
        <w:t>HOPWA</w:t>
      </w:r>
      <w:r w:rsidR="006D174D">
        <w:rPr>
          <w:color w:val="000000"/>
          <w:sz w:val="22"/>
          <w:szCs w:val="22"/>
        </w:rPr>
        <w:t xml:space="preserve"> competitive and renewal application submission also continue to require submission of the following forms currently approved under this collection: SF-424 and SF-424B assurances; SFLLL; and HUD-2991. </w:t>
      </w:r>
    </w:p>
    <w:p w:rsidR="00816D51" w:rsidP="00AF02E5" w:rsidRDefault="00816D51" w14:paraId="1A0A8F86" w14:textId="2230B52A">
      <w:pPr>
        <w:tabs>
          <w:tab w:val="left" w:pos="360"/>
        </w:tabs>
        <w:ind w:left="360"/>
        <w:rPr>
          <w:sz w:val="22"/>
          <w:szCs w:val="22"/>
        </w:rPr>
      </w:pPr>
    </w:p>
    <w:p w:rsidR="00DD6C7C" w:rsidP="00AF02E5" w:rsidRDefault="009726E1" w14:paraId="78207CEA" w14:textId="0227906E">
      <w:pPr>
        <w:pStyle w:val="BodyTextIndent"/>
        <w:tabs>
          <w:tab w:val="clear" w:pos="360"/>
          <w:tab w:val="left" w:pos="0"/>
        </w:tabs>
        <w:ind w:firstLine="0"/>
        <w:rPr>
          <w:szCs w:val="22"/>
        </w:rPr>
      </w:pPr>
      <w:r>
        <w:rPr>
          <w:szCs w:val="22"/>
        </w:rPr>
        <w:t xml:space="preserve">The Office of HIV/AIDS Housing (OHH) </w:t>
      </w:r>
      <w:r w:rsidRPr="00DD6C7C" w:rsidR="00816D51">
        <w:rPr>
          <w:szCs w:val="22"/>
        </w:rPr>
        <w:t>requests that the data elements in this submission not immediately replace current forms HUD-40110-C and HUD-40110-D, but that the new data elements be phased in as HOPWA grantees complete their active reporting year</w:t>
      </w:r>
      <w:r w:rsidR="006B4AA1">
        <w:rPr>
          <w:szCs w:val="22"/>
        </w:rPr>
        <w:t xml:space="preserve"> and subsequent reporting year</w:t>
      </w:r>
      <w:r w:rsidR="00816D51">
        <w:rPr>
          <w:szCs w:val="22"/>
        </w:rPr>
        <w:t xml:space="preserve"> using the previously approved forms HUD-40110-C and HUD-40110-D.</w:t>
      </w:r>
      <w:r w:rsidR="00DD6C7C">
        <w:rPr>
          <w:szCs w:val="22"/>
        </w:rPr>
        <w:t xml:space="preserve"> If the new data elements immediately replaced the previous forms upon the approval of this revision request, this would result in a substantial change in grantee reporting requirements in the middle of their reporting years and would not provide grantees with adequate opportunity to plan for the new requirements. </w:t>
      </w:r>
      <w:r w:rsidR="006C4F72">
        <w:rPr>
          <w:szCs w:val="22"/>
        </w:rPr>
        <w:t xml:space="preserve">To ease the transition and avoid confusion, </w:t>
      </w:r>
      <w:r w:rsidR="00DD6C7C">
        <w:rPr>
          <w:szCs w:val="22"/>
        </w:rPr>
        <w:t>OHH therefore requests that grantees be allowed to complete their current reporting year</w:t>
      </w:r>
      <w:r w:rsidR="006B4AA1">
        <w:rPr>
          <w:szCs w:val="22"/>
        </w:rPr>
        <w:t xml:space="preserve"> and subsequent reporting</w:t>
      </w:r>
      <w:r w:rsidR="00DD6C7C">
        <w:rPr>
          <w:szCs w:val="22"/>
        </w:rPr>
        <w:t xml:space="preserve"> </w:t>
      </w:r>
      <w:r w:rsidR="006B4AA1">
        <w:rPr>
          <w:szCs w:val="22"/>
        </w:rPr>
        <w:t xml:space="preserve">year </w:t>
      </w:r>
      <w:r w:rsidR="00DD6C7C">
        <w:rPr>
          <w:szCs w:val="22"/>
        </w:rPr>
        <w:t xml:space="preserve">using the previous forms, and </w:t>
      </w:r>
      <w:r w:rsidR="006C4F72">
        <w:rPr>
          <w:szCs w:val="22"/>
        </w:rPr>
        <w:t xml:space="preserve">switch to the new data elements at the beginning of </w:t>
      </w:r>
      <w:r w:rsidR="006B4AA1">
        <w:rPr>
          <w:szCs w:val="22"/>
        </w:rPr>
        <w:t xml:space="preserve">the second </w:t>
      </w:r>
      <w:r w:rsidR="006C4F72">
        <w:rPr>
          <w:szCs w:val="22"/>
        </w:rPr>
        <w:t>reporting year</w:t>
      </w:r>
      <w:r w:rsidR="006B4AA1">
        <w:rPr>
          <w:szCs w:val="22"/>
        </w:rPr>
        <w:t xml:space="preserve"> after these changes are approved</w:t>
      </w:r>
      <w:r w:rsidR="006C4F72">
        <w:rPr>
          <w:szCs w:val="22"/>
        </w:rPr>
        <w:t xml:space="preserve">. </w:t>
      </w:r>
      <w:r w:rsidR="006B4AA1">
        <w:rPr>
          <w:szCs w:val="22"/>
        </w:rPr>
        <w:t xml:space="preserve">This will allow grantees over </w:t>
      </w:r>
      <w:r w:rsidR="00291926">
        <w:rPr>
          <w:szCs w:val="22"/>
        </w:rPr>
        <w:t xml:space="preserve">a </w:t>
      </w:r>
      <w:r w:rsidR="006B4AA1">
        <w:rPr>
          <w:szCs w:val="22"/>
        </w:rPr>
        <w:t xml:space="preserve">year to plan for the changes represented in this package. </w:t>
      </w:r>
      <w:r w:rsidR="006C4F72">
        <w:rPr>
          <w:szCs w:val="22"/>
        </w:rPr>
        <w:t xml:space="preserve">This does not represent a duplication in reporting requirements. </w:t>
      </w:r>
    </w:p>
    <w:p w:rsidRPr="003B27A6" w:rsidR="00ED3D1F" w:rsidRDefault="00ED3D1F" w14:paraId="020D80A9" w14:textId="77777777">
      <w:pPr>
        <w:tabs>
          <w:tab w:val="left" w:pos="360"/>
        </w:tabs>
        <w:rPr>
          <w:color w:val="000000"/>
          <w:sz w:val="22"/>
          <w:szCs w:val="22"/>
        </w:rPr>
      </w:pPr>
    </w:p>
    <w:p w:rsidRPr="00E07376" w:rsidR="00D73EE7" w:rsidP="003B27A6" w:rsidRDefault="00D73EE7" w14:paraId="145EDB14" w14:textId="49411F07">
      <w:pPr>
        <w:keepLines/>
        <w:tabs>
          <w:tab w:val="left" w:pos="360"/>
        </w:tabs>
        <w:spacing w:after="80"/>
        <w:ind w:left="360" w:hanging="360"/>
        <w:rPr>
          <w:b/>
          <w:color w:val="000000"/>
          <w:sz w:val="22"/>
          <w:szCs w:val="22"/>
        </w:rPr>
      </w:pPr>
      <w:r w:rsidRPr="00E07376">
        <w:rPr>
          <w:b/>
          <w:color w:val="000000"/>
          <w:sz w:val="22"/>
          <w:szCs w:val="22"/>
        </w:rPr>
        <w:t>2.</w:t>
      </w:r>
      <w:r w:rsidRPr="00E07376">
        <w:rPr>
          <w:b/>
          <w:color w:val="000000"/>
          <w:sz w:val="22"/>
          <w:szCs w:val="22"/>
        </w:rPr>
        <w:tab/>
      </w:r>
      <w:r w:rsidR="004042AF">
        <w:rPr>
          <w:b/>
          <w:sz w:val="22"/>
          <w:szCs w:val="22"/>
        </w:rPr>
        <w:t xml:space="preserve">Indicate how, by whom, and for what purpose the information is to be used. Except for a new collection, </w:t>
      </w:r>
      <w:r w:rsidR="000047C4">
        <w:rPr>
          <w:b/>
          <w:sz w:val="22"/>
          <w:szCs w:val="22"/>
        </w:rPr>
        <w:t>indicate</w:t>
      </w:r>
      <w:r w:rsidR="004042AF">
        <w:rPr>
          <w:b/>
          <w:sz w:val="22"/>
          <w:szCs w:val="22"/>
        </w:rPr>
        <w:t xml:space="preserve"> the actual use the agency has made of the information received from the current collection. </w:t>
      </w:r>
      <w:r w:rsidR="00AA4851">
        <w:rPr>
          <w:b/>
          <w:sz w:val="22"/>
          <w:szCs w:val="22"/>
        </w:rPr>
        <w:t xml:space="preserve"> </w:t>
      </w:r>
    </w:p>
    <w:p w:rsidR="00C31F2B" w:rsidP="00C31F2B" w:rsidRDefault="00C31F2B" w14:paraId="139CCDEB" w14:textId="77777777">
      <w:pPr>
        <w:rPr>
          <w:color w:val="000000"/>
          <w:sz w:val="22"/>
          <w:highlight w:val="yellow"/>
        </w:rPr>
      </w:pPr>
    </w:p>
    <w:p w:rsidR="00F34883" w:rsidP="00AF02E5" w:rsidRDefault="00F34883" w14:paraId="2C1D1D67" w14:textId="3FB7D5C3">
      <w:pPr>
        <w:ind w:left="360"/>
        <w:rPr>
          <w:color w:val="000000"/>
          <w:sz w:val="22"/>
          <w:szCs w:val="22"/>
        </w:rPr>
      </w:pPr>
      <w:r w:rsidRPr="002F6D3D">
        <w:rPr>
          <w:color w:val="000000"/>
          <w:sz w:val="22"/>
          <w:szCs w:val="22"/>
        </w:rPr>
        <w:t>The current Paperwork Reduction Act approval under OMB Control No. 2506-0133 covers both the HOPWA formula and competitive grant programs.</w:t>
      </w:r>
      <w:r>
        <w:rPr>
          <w:color w:val="000000"/>
          <w:sz w:val="22"/>
          <w:szCs w:val="22"/>
        </w:rPr>
        <w:t xml:space="preserve"> This revision would apply to reporting requirements for both formula and competitive grant programs</w:t>
      </w:r>
      <w:r w:rsidR="009C3724">
        <w:rPr>
          <w:color w:val="000000"/>
          <w:sz w:val="22"/>
          <w:szCs w:val="22"/>
        </w:rPr>
        <w:t xml:space="preserve">, and application </w:t>
      </w:r>
      <w:r w:rsidR="00A9795B">
        <w:rPr>
          <w:color w:val="000000"/>
          <w:sz w:val="22"/>
          <w:szCs w:val="22"/>
        </w:rPr>
        <w:t>submission for the competitive grant program</w:t>
      </w:r>
      <w:r>
        <w:rPr>
          <w:color w:val="000000"/>
          <w:sz w:val="22"/>
          <w:szCs w:val="22"/>
        </w:rPr>
        <w:t xml:space="preserve">. </w:t>
      </w:r>
    </w:p>
    <w:p w:rsidR="00F34883" w:rsidP="00AF02E5" w:rsidRDefault="00F34883" w14:paraId="66FFF31E" w14:textId="77777777">
      <w:pPr>
        <w:ind w:left="360"/>
        <w:rPr>
          <w:color w:val="000000"/>
          <w:sz w:val="22"/>
          <w:szCs w:val="22"/>
        </w:rPr>
      </w:pPr>
    </w:p>
    <w:p w:rsidR="00394B65" w:rsidP="00AF02E5" w:rsidRDefault="0089305F" w14:paraId="7FB56F1B" w14:textId="1E7D6C82">
      <w:pPr>
        <w:ind w:left="360"/>
        <w:rPr>
          <w:color w:val="000000"/>
          <w:sz w:val="22"/>
          <w:szCs w:val="22"/>
        </w:rPr>
      </w:pPr>
      <w:r>
        <w:rPr>
          <w:color w:val="000000"/>
          <w:sz w:val="22"/>
          <w:szCs w:val="22"/>
        </w:rPr>
        <w:t xml:space="preserve">For annual reporting, HOPWA grantees </w:t>
      </w:r>
      <w:r w:rsidR="00AA4851">
        <w:rPr>
          <w:color w:val="000000"/>
          <w:sz w:val="22"/>
          <w:szCs w:val="22"/>
        </w:rPr>
        <w:t>complete reporting forms by providing information</w:t>
      </w:r>
      <w:r w:rsidRPr="000D2DF6" w:rsidR="00EE6B3F">
        <w:rPr>
          <w:color w:val="000000"/>
          <w:sz w:val="22"/>
          <w:szCs w:val="22"/>
        </w:rPr>
        <w:t xml:space="preserve"> on </w:t>
      </w:r>
      <w:r w:rsidR="00586FD5">
        <w:rPr>
          <w:color w:val="000000"/>
          <w:sz w:val="22"/>
          <w:szCs w:val="22"/>
        </w:rPr>
        <w:t>activities undertaken</w:t>
      </w:r>
      <w:r w:rsidR="00F272F8">
        <w:rPr>
          <w:color w:val="000000"/>
          <w:sz w:val="22"/>
          <w:szCs w:val="22"/>
        </w:rPr>
        <w:t>, number of clients served, funds expended,</w:t>
      </w:r>
      <w:r w:rsidR="00586FD5">
        <w:rPr>
          <w:color w:val="000000"/>
          <w:sz w:val="22"/>
          <w:szCs w:val="22"/>
        </w:rPr>
        <w:t xml:space="preserve"> and </w:t>
      </w:r>
      <w:r w:rsidRPr="000D2DF6" w:rsidR="00EE6B3F">
        <w:rPr>
          <w:color w:val="000000"/>
          <w:sz w:val="22"/>
          <w:szCs w:val="22"/>
        </w:rPr>
        <w:t>accomplishments</w:t>
      </w:r>
      <w:r w:rsidR="007E33C3">
        <w:rPr>
          <w:color w:val="000000"/>
          <w:sz w:val="22"/>
          <w:szCs w:val="22"/>
        </w:rPr>
        <w:t xml:space="preserve"> achieved</w:t>
      </w:r>
      <w:r w:rsidR="00586FD5">
        <w:rPr>
          <w:color w:val="000000"/>
          <w:sz w:val="22"/>
          <w:szCs w:val="22"/>
        </w:rPr>
        <w:t xml:space="preserve">. This information </w:t>
      </w:r>
      <w:r w:rsidRPr="000D2DF6" w:rsidR="00EE6B3F">
        <w:rPr>
          <w:color w:val="000000"/>
          <w:sz w:val="22"/>
          <w:szCs w:val="22"/>
        </w:rPr>
        <w:t xml:space="preserve">supports program evaluation and the ability to measure program beneficiary outcomes related </w:t>
      </w:r>
      <w:proofErr w:type="gramStart"/>
      <w:r w:rsidRPr="000D2DF6" w:rsidR="00EE6B3F">
        <w:rPr>
          <w:color w:val="000000"/>
          <w:sz w:val="22"/>
          <w:szCs w:val="22"/>
        </w:rPr>
        <w:t>to:</w:t>
      </w:r>
      <w:proofErr w:type="gramEnd"/>
      <w:r w:rsidRPr="000D2DF6" w:rsidR="00EE6B3F">
        <w:rPr>
          <w:color w:val="000000"/>
          <w:sz w:val="22"/>
          <w:szCs w:val="22"/>
        </w:rPr>
        <w:t xml:space="preserve"> maintain</w:t>
      </w:r>
      <w:r w:rsidR="00EE6B3F">
        <w:rPr>
          <w:color w:val="000000"/>
          <w:sz w:val="22"/>
          <w:szCs w:val="22"/>
        </w:rPr>
        <w:t>ing</w:t>
      </w:r>
      <w:r w:rsidRPr="000D2DF6" w:rsidR="00EE6B3F">
        <w:rPr>
          <w:color w:val="000000"/>
          <w:sz w:val="22"/>
          <w:szCs w:val="22"/>
        </w:rPr>
        <w:t xml:space="preserve"> housing stability; prevent</w:t>
      </w:r>
      <w:r w:rsidR="00EE6B3F">
        <w:rPr>
          <w:color w:val="000000"/>
          <w:sz w:val="22"/>
          <w:szCs w:val="22"/>
        </w:rPr>
        <w:t>ing</w:t>
      </w:r>
      <w:r w:rsidRPr="000D2DF6" w:rsidR="00EE6B3F">
        <w:rPr>
          <w:color w:val="000000"/>
          <w:sz w:val="22"/>
          <w:szCs w:val="22"/>
        </w:rPr>
        <w:t xml:space="preserve"> homelessness; and improv</w:t>
      </w:r>
      <w:r w:rsidR="00EE6B3F">
        <w:rPr>
          <w:color w:val="000000"/>
          <w:sz w:val="22"/>
          <w:szCs w:val="22"/>
        </w:rPr>
        <w:t>ing</w:t>
      </w:r>
      <w:r w:rsidRPr="000D2DF6" w:rsidR="00EE6B3F">
        <w:rPr>
          <w:color w:val="000000"/>
          <w:sz w:val="22"/>
          <w:szCs w:val="22"/>
        </w:rPr>
        <w:t xml:space="preserve"> access to care and support.</w:t>
      </w:r>
      <w:r>
        <w:rPr>
          <w:color w:val="000000"/>
          <w:sz w:val="22"/>
          <w:szCs w:val="22"/>
        </w:rPr>
        <w:t xml:space="preserve"> </w:t>
      </w:r>
      <w:r w:rsidRPr="002F6D3D" w:rsidR="00394B65">
        <w:rPr>
          <w:color w:val="000000"/>
          <w:sz w:val="22"/>
          <w:szCs w:val="22"/>
        </w:rPr>
        <w:t>Grantees are required to report on the activities undertaken only</w:t>
      </w:r>
      <w:r w:rsidRPr="001159FC" w:rsidR="00394B65">
        <w:rPr>
          <w:sz w:val="22"/>
          <w:szCs w:val="22"/>
        </w:rPr>
        <w:t>, thus there may be components of these reporting requirements that may not be applicable</w:t>
      </w:r>
      <w:r w:rsidR="004679A2">
        <w:rPr>
          <w:sz w:val="22"/>
          <w:szCs w:val="22"/>
        </w:rPr>
        <w:t xml:space="preserve"> to every grantee</w:t>
      </w:r>
      <w:r w:rsidRPr="002F6D3D" w:rsidR="00394B65">
        <w:rPr>
          <w:color w:val="000000"/>
          <w:sz w:val="22"/>
          <w:szCs w:val="22"/>
        </w:rPr>
        <w:t>.</w:t>
      </w:r>
    </w:p>
    <w:p w:rsidR="00394B65" w:rsidP="00AF02E5" w:rsidRDefault="00394B65" w14:paraId="7E0F6EA2" w14:textId="77777777">
      <w:pPr>
        <w:ind w:left="360"/>
        <w:rPr>
          <w:color w:val="000000"/>
          <w:sz w:val="22"/>
          <w:szCs w:val="22"/>
        </w:rPr>
      </w:pPr>
    </w:p>
    <w:p w:rsidR="00E672CD" w:rsidP="00AF02E5" w:rsidRDefault="0089305F" w14:paraId="6AB06DA2" w14:textId="6E744888">
      <w:pPr>
        <w:ind w:left="360"/>
        <w:rPr>
          <w:sz w:val="22"/>
          <w:szCs w:val="22"/>
        </w:rPr>
      </w:pPr>
      <w:r>
        <w:rPr>
          <w:color w:val="000000"/>
          <w:sz w:val="22"/>
          <w:szCs w:val="22"/>
        </w:rPr>
        <w:t xml:space="preserve">The data elements in this submission represent the </w:t>
      </w:r>
      <w:r w:rsidR="00A61E36">
        <w:rPr>
          <w:color w:val="000000"/>
          <w:sz w:val="22"/>
          <w:szCs w:val="22"/>
        </w:rPr>
        <w:t xml:space="preserve">new annual reporting requirements for both HOPWA formula and competitive </w:t>
      </w:r>
      <w:proofErr w:type="gramStart"/>
      <w:r w:rsidR="00A61E36">
        <w:rPr>
          <w:color w:val="000000"/>
          <w:sz w:val="22"/>
          <w:szCs w:val="22"/>
        </w:rPr>
        <w:t>grantee</w:t>
      </w:r>
      <w:r w:rsidR="0017023E">
        <w:rPr>
          <w:color w:val="000000"/>
          <w:sz w:val="22"/>
          <w:szCs w:val="22"/>
        </w:rPr>
        <w:t>s, and</w:t>
      </w:r>
      <w:proofErr w:type="gramEnd"/>
      <w:r w:rsidR="0017023E">
        <w:rPr>
          <w:color w:val="000000"/>
          <w:sz w:val="22"/>
          <w:szCs w:val="22"/>
        </w:rPr>
        <w:t xml:space="preserve"> </w:t>
      </w:r>
      <w:r w:rsidR="004C3B38">
        <w:rPr>
          <w:color w:val="000000"/>
          <w:sz w:val="22"/>
          <w:szCs w:val="22"/>
        </w:rPr>
        <w:t>represent a consolidation of the data elements in HUD-40110-C and HUD-40110-</w:t>
      </w:r>
      <w:r w:rsidR="00047E12">
        <w:rPr>
          <w:color w:val="000000"/>
          <w:sz w:val="22"/>
          <w:szCs w:val="22"/>
        </w:rPr>
        <w:t>D</w:t>
      </w:r>
      <w:r w:rsidR="004C3B38">
        <w:rPr>
          <w:color w:val="000000"/>
          <w:sz w:val="22"/>
          <w:szCs w:val="22"/>
        </w:rPr>
        <w:t xml:space="preserve">. </w:t>
      </w:r>
      <w:r w:rsidRPr="00FD267C" w:rsidR="00FD267C">
        <w:rPr>
          <w:sz w:val="22"/>
          <w:szCs w:val="22"/>
        </w:rPr>
        <w:t xml:space="preserve">Compared to the HUD-40110-C and HUD-40110-D, the data elements in this submission represent data additions, deletions, and modifications </w:t>
      </w:r>
      <w:r w:rsidR="00586FD5">
        <w:rPr>
          <w:sz w:val="22"/>
          <w:szCs w:val="22"/>
        </w:rPr>
        <w:t>that</w:t>
      </w:r>
      <w:r w:rsidRPr="00FD267C" w:rsidR="00FD267C">
        <w:rPr>
          <w:sz w:val="22"/>
          <w:szCs w:val="22"/>
        </w:rPr>
        <w:t xml:space="preserve"> further clarify </w:t>
      </w:r>
      <w:r w:rsidRPr="00FD267C" w:rsidR="00FD267C">
        <w:rPr>
          <w:sz w:val="22"/>
          <w:szCs w:val="22"/>
        </w:rPr>
        <w:lastRenderedPageBreak/>
        <w:t>reporting requirements.</w:t>
      </w:r>
      <w:r w:rsidR="00D954B8">
        <w:rPr>
          <w:sz w:val="22"/>
          <w:szCs w:val="22"/>
        </w:rPr>
        <w:t xml:space="preserve"> The addition</w:t>
      </w:r>
      <w:r w:rsidR="00C31F2B">
        <w:rPr>
          <w:sz w:val="22"/>
          <w:szCs w:val="22"/>
        </w:rPr>
        <w:t xml:space="preserve"> </w:t>
      </w:r>
      <w:r w:rsidR="00D954B8">
        <w:rPr>
          <w:sz w:val="22"/>
          <w:szCs w:val="22"/>
        </w:rPr>
        <w:t xml:space="preserve">of new data elements will allow OHH to better respond to data calls from Congress and to make better programmatic decisions based on more relevant grantee annual data. </w:t>
      </w:r>
    </w:p>
    <w:p w:rsidR="009C2ABB" w:rsidP="00AF02E5" w:rsidRDefault="009C2ABB" w14:paraId="00D43749" w14:textId="68599F11">
      <w:pPr>
        <w:ind w:left="360"/>
        <w:rPr>
          <w:color w:val="000000"/>
          <w:sz w:val="22"/>
          <w:szCs w:val="22"/>
        </w:rPr>
      </w:pPr>
    </w:p>
    <w:p w:rsidR="00586FD5" w:rsidP="00AF02E5" w:rsidRDefault="00586FD5" w14:paraId="4BAF05B4" w14:textId="0F1FEB42">
      <w:pPr>
        <w:keepLines/>
        <w:tabs>
          <w:tab w:val="left" w:pos="360"/>
        </w:tabs>
        <w:spacing w:after="80"/>
        <w:ind w:left="360"/>
        <w:jc w:val="both"/>
        <w:rPr>
          <w:color w:val="000000"/>
          <w:sz w:val="22"/>
          <w:highlight w:val="yellow"/>
        </w:rPr>
      </w:pPr>
      <w:r>
        <w:rPr>
          <w:color w:val="000000"/>
          <w:sz w:val="22"/>
          <w:szCs w:val="22"/>
        </w:rPr>
        <w:t xml:space="preserve">HUD systematically reviews and conducts data analysis </w:t>
      </w:r>
      <w:proofErr w:type="gramStart"/>
      <w:r>
        <w:rPr>
          <w:color w:val="000000"/>
          <w:sz w:val="22"/>
          <w:szCs w:val="22"/>
        </w:rPr>
        <w:t>in order to</w:t>
      </w:r>
      <w:proofErr w:type="gramEnd"/>
      <w:r>
        <w:rPr>
          <w:color w:val="000000"/>
          <w:sz w:val="22"/>
          <w:szCs w:val="22"/>
        </w:rPr>
        <w:t xml:space="preserve"> prepare national and individual grantee performance profiles that are not only used to measure program performance against benchmark goals and objectives, but also to communicate the program’s achievement and contributions towards Departmental strategic goals. HUD plans to continue using the data elements in this submission for these purposes. </w:t>
      </w:r>
    </w:p>
    <w:p w:rsidR="00D76070" w:rsidP="00AF02E5" w:rsidRDefault="00D76070" w14:paraId="390CA9E5" w14:textId="76894C69">
      <w:pPr>
        <w:ind w:left="360"/>
        <w:rPr>
          <w:color w:val="000000"/>
          <w:sz w:val="22"/>
          <w:szCs w:val="22"/>
        </w:rPr>
      </w:pPr>
    </w:p>
    <w:p w:rsidR="00394B65" w:rsidP="00AF02E5" w:rsidRDefault="00394B65" w14:paraId="0C454877" w14:textId="5F62A54D">
      <w:pPr>
        <w:ind w:left="360"/>
        <w:rPr>
          <w:color w:val="000000"/>
          <w:sz w:val="22"/>
          <w:szCs w:val="22"/>
        </w:rPr>
      </w:pPr>
      <w:r w:rsidRPr="002F6D3D">
        <w:rPr>
          <w:color w:val="000000"/>
          <w:sz w:val="22"/>
          <w:szCs w:val="22"/>
        </w:rPr>
        <w:t>The currently approved collection also pertains to grant application submission requirements which will be used to rate applications, determine eligibility, and establish grant amounts. HOPWA will continue using application narratives and form HUD-40110-B, HOPWA Competitive Application &amp; Renewal of Permanent Supportive Housing Project Budget Summary, as a component of determining applicant eligibility and establishing grant amounts for competitive grants. HOPWA</w:t>
      </w:r>
      <w:r>
        <w:rPr>
          <w:color w:val="000000"/>
          <w:sz w:val="22"/>
          <w:szCs w:val="22"/>
        </w:rPr>
        <w:t xml:space="preserve"> competitive and renewal application submission also continue to require submission of the following forms currently approved under this collection: SF424 and </w:t>
      </w:r>
      <w:bookmarkStart w:name="_Hlk48563232" w:id="1"/>
      <w:r>
        <w:rPr>
          <w:color w:val="000000"/>
          <w:sz w:val="22"/>
          <w:szCs w:val="22"/>
        </w:rPr>
        <w:t xml:space="preserve">SF-424B assurances; SFLLL; </w:t>
      </w:r>
      <w:r w:rsidR="00B54743">
        <w:rPr>
          <w:color w:val="000000"/>
          <w:sz w:val="22"/>
          <w:szCs w:val="22"/>
        </w:rPr>
        <w:t xml:space="preserve">SF-424D; </w:t>
      </w:r>
      <w:r>
        <w:rPr>
          <w:color w:val="000000"/>
          <w:sz w:val="22"/>
          <w:szCs w:val="22"/>
        </w:rPr>
        <w:t>and HUD-2991. Form HUD-2991 is currently covered under OMB approval number 2506-0112</w:t>
      </w:r>
      <w:r>
        <w:rPr>
          <w:color w:val="000000"/>
        </w:rPr>
        <w:t>.</w:t>
      </w:r>
      <w:bookmarkEnd w:id="1"/>
      <w:r w:rsidR="00B438C2">
        <w:rPr>
          <w:color w:val="000000"/>
        </w:rPr>
        <w:t xml:space="preserve"> </w:t>
      </w:r>
      <w:r w:rsidR="00B438C2">
        <w:rPr>
          <w:color w:val="000000"/>
          <w:sz w:val="22"/>
          <w:szCs w:val="22"/>
        </w:rPr>
        <w:t xml:space="preserve">This revision will also include the SF-424D to include assurances for constructions programs for </w:t>
      </w:r>
      <w:r w:rsidR="00B438C2">
        <w:rPr>
          <w:szCs w:val="22"/>
        </w:rPr>
        <w:t xml:space="preserve">HOPWA competitive grants that may </w:t>
      </w:r>
      <w:r w:rsidR="00B438C2">
        <w:rPr>
          <w:color w:val="000000"/>
        </w:rPr>
        <w:t>utilize funding for new construction or rehabilitation.</w:t>
      </w:r>
    </w:p>
    <w:p w:rsidRPr="003B27A6" w:rsidR="00696B16" w:rsidRDefault="00D76070" w14:paraId="20247973" w14:textId="77777777">
      <w:pPr>
        <w:tabs>
          <w:tab w:val="left" w:pos="360"/>
        </w:tabs>
        <w:rPr>
          <w:color w:val="000000"/>
          <w:sz w:val="22"/>
          <w:szCs w:val="22"/>
        </w:rPr>
      </w:pPr>
      <w:r>
        <w:rPr>
          <w:color w:val="000000"/>
          <w:sz w:val="22"/>
          <w:szCs w:val="22"/>
        </w:rPr>
        <w:t xml:space="preserve">  </w:t>
      </w:r>
    </w:p>
    <w:p w:rsidR="00D73EE7" w:rsidP="003B27A6" w:rsidRDefault="00D73EE7" w14:paraId="32540286" w14:textId="625024CF">
      <w:pPr>
        <w:pStyle w:val="BodyTextIndent"/>
        <w:rPr>
          <w:b/>
          <w:szCs w:val="22"/>
        </w:rPr>
      </w:pPr>
      <w:r w:rsidRPr="00AC26D1">
        <w:rPr>
          <w:b/>
          <w:szCs w:val="22"/>
        </w:rPr>
        <w:t>3.</w:t>
      </w:r>
      <w:r w:rsidRPr="00AC26D1">
        <w:rPr>
          <w:b/>
          <w:szCs w:val="22"/>
        </w:rPr>
        <w:tab/>
      </w:r>
      <w:r w:rsidR="004042AF">
        <w:rPr>
          <w:b/>
          <w:szCs w:val="22"/>
        </w:rPr>
        <w:t xml:space="preserve">Describe whether, and to what extent, the collection of information involves the use of automated, electronic, mechanical, or other technological collection techniques or other forms of information technology, </w:t>
      </w:r>
      <w:proofErr w:type="gramStart"/>
      <w:r w:rsidR="004042AF">
        <w:rPr>
          <w:b/>
          <w:szCs w:val="22"/>
        </w:rPr>
        <w:t>e.g.</w:t>
      </w:r>
      <w:proofErr w:type="gramEnd"/>
      <w:r w:rsidR="004042AF">
        <w:rPr>
          <w:b/>
          <w:szCs w:val="22"/>
        </w:rPr>
        <w:t xml:space="preserve"> permitting electronic submission of responses, and the basis for the decision for adopting this means of collection. Also describe any consideration of using information technology to reduce burden. </w:t>
      </w:r>
    </w:p>
    <w:p w:rsidRPr="00AC26D1" w:rsidR="000047C4" w:rsidP="003B27A6" w:rsidRDefault="000047C4" w14:paraId="37A10E2A" w14:textId="77777777">
      <w:pPr>
        <w:pStyle w:val="BodyTextIndent"/>
        <w:rPr>
          <w:b/>
          <w:szCs w:val="22"/>
        </w:rPr>
      </w:pPr>
    </w:p>
    <w:p w:rsidRPr="007C519F" w:rsidR="00CD6533" w:rsidP="00AF02E5" w:rsidRDefault="00B51178" w14:paraId="7B7C6D6C" w14:textId="1CE405BC">
      <w:pPr>
        <w:ind w:left="360"/>
        <w:rPr>
          <w:color w:val="000000"/>
          <w:sz w:val="22"/>
          <w:szCs w:val="22"/>
        </w:rPr>
      </w:pPr>
      <w:r w:rsidRPr="007C519F">
        <w:rPr>
          <w:color w:val="000000"/>
          <w:sz w:val="22"/>
          <w:szCs w:val="22"/>
        </w:rPr>
        <w:t>The data elements in this submission will be used in both a new Excel form</w:t>
      </w:r>
      <w:r w:rsidRPr="007C519F" w:rsidR="009C148A">
        <w:rPr>
          <w:color w:val="000000"/>
          <w:sz w:val="22"/>
          <w:szCs w:val="22"/>
        </w:rPr>
        <w:t xml:space="preserve">, and </w:t>
      </w:r>
      <w:r w:rsidRPr="007C519F">
        <w:rPr>
          <w:color w:val="000000"/>
          <w:sz w:val="22"/>
          <w:szCs w:val="22"/>
        </w:rPr>
        <w:t>a new Word form</w:t>
      </w:r>
      <w:r w:rsidRPr="007C519F" w:rsidR="00F7399C">
        <w:rPr>
          <w:color w:val="000000"/>
          <w:sz w:val="22"/>
          <w:szCs w:val="22"/>
        </w:rPr>
        <w:t xml:space="preserve"> for Section 508 accessibility</w:t>
      </w:r>
      <w:r w:rsidRPr="007C519F">
        <w:rPr>
          <w:color w:val="000000"/>
          <w:sz w:val="22"/>
          <w:szCs w:val="22"/>
        </w:rPr>
        <w:t xml:space="preserve">. </w:t>
      </w:r>
      <w:r w:rsidRPr="007C519F" w:rsidR="00AC26D1">
        <w:rPr>
          <w:color w:val="000000"/>
          <w:sz w:val="22"/>
          <w:szCs w:val="22"/>
        </w:rPr>
        <w:t xml:space="preserve">Currently, the APR and CAPER forms are paper-based forms that grantees must complete </w:t>
      </w:r>
      <w:r w:rsidRPr="007C519F" w:rsidR="007E3B3D">
        <w:rPr>
          <w:color w:val="000000"/>
          <w:sz w:val="22"/>
          <w:szCs w:val="22"/>
        </w:rPr>
        <w:t xml:space="preserve">and submit to HUD via email. </w:t>
      </w:r>
      <w:r w:rsidRPr="007C519F">
        <w:rPr>
          <w:color w:val="000000"/>
          <w:sz w:val="22"/>
          <w:szCs w:val="22"/>
        </w:rPr>
        <w:t xml:space="preserve">The Excel form will ease grantee reporting burden by automating certain processes, such as calculating totals, and </w:t>
      </w:r>
      <w:r w:rsidRPr="007C519F" w:rsidR="00F7399C">
        <w:rPr>
          <w:color w:val="000000"/>
          <w:sz w:val="22"/>
          <w:szCs w:val="22"/>
        </w:rPr>
        <w:t>pre-</w:t>
      </w:r>
      <w:r w:rsidRPr="007C519F">
        <w:rPr>
          <w:color w:val="000000"/>
          <w:sz w:val="22"/>
          <w:szCs w:val="22"/>
        </w:rPr>
        <w:t>populating certain cells with information the grantee previously entered, which el</w:t>
      </w:r>
      <w:r w:rsidRPr="007C519F" w:rsidR="00662E38">
        <w:rPr>
          <w:color w:val="000000"/>
          <w:sz w:val="22"/>
          <w:szCs w:val="22"/>
        </w:rPr>
        <w:t>i</w:t>
      </w:r>
      <w:r w:rsidRPr="007C519F">
        <w:rPr>
          <w:color w:val="000000"/>
          <w:sz w:val="22"/>
          <w:szCs w:val="22"/>
        </w:rPr>
        <w:t xml:space="preserve">minates duplicative data entry. The Excel form will also produce higher quality data, as it allows for built-in data checks for accuracy, and eliminates the possibility of math errors by automating calculations. </w:t>
      </w:r>
    </w:p>
    <w:p w:rsidRPr="007C519F" w:rsidR="00CD6533" w:rsidP="00AF02E5" w:rsidRDefault="00CD6533" w14:paraId="6F96EE84" w14:textId="77777777">
      <w:pPr>
        <w:ind w:left="360"/>
        <w:rPr>
          <w:color w:val="000000"/>
          <w:sz w:val="22"/>
          <w:szCs w:val="22"/>
        </w:rPr>
      </w:pPr>
    </w:p>
    <w:p w:rsidR="00B51178" w:rsidP="00AF02E5" w:rsidRDefault="00CD6533" w14:paraId="46109189" w14:textId="2C8767CE">
      <w:pPr>
        <w:tabs>
          <w:tab w:val="left" w:pos="0"/>
        </w:tabs>
        <w:ind w:left="360"/>
        <w:rPr>
          <w:color w:val="000000"/>
          <w:sz w:val="22"/>
          <w:szCs w:val="22"/>
        </w:rPr>
      </w:pPr>
      <w:r w:rsidRPr="007C519F">
        <w:rPr>
          <w:color w:val="000000"/>
          <w:sz w:val="22"/>
          <w:szCs w:val="22"/>
        </w:rPr>
        <w:t>Currently, grantees must aggregate annual data across their project sponsors manually</w:t>
      </w:r>
      <w:r w:rsidRPr="007C519F" w:rsidR="00B71546">
        <w:rPr>
          <w:color w:val="000000"/>
          <w:sz w:val="22"/>
          <w:szCs w:val="22"/>
        </w:rPr>
        <w:t xml:space="preserve"> into the paper-based form</w:t>
      </w:r>
      <w:r w:rsidRPr="007C519F">
        <w:rPr>
          <w:color w:val="000000"/>
          <w:sz w:val="22"/>
          <w:szCs w:val="22"/>
        </w:rPr>
        <w:t xml:space="preserve">. </w:t>
      </w:r>
      <w:r w:rsidRPr="007C519F" w:rsidR="00F7399C">
        <w:rPr>
          <w:color w:val="000000"/>
          <w:sz w:val="22"/>
          <w:szCs w:val="22"/>
        </w:rPr>
        <w:t>The Excel form will eliminate the need for grantees to aggregate data across project sponsors, as project sponsor</w:t>
      </w:r>
      <w:r w:rsidR="00361DD7">
        <w:rPr>
          <w:color w:val="000000"/>
          <w:sz w:val="22"/>
          <w:szCs w:val="22"/>
        </w:rPr>
        <w:t xml:space="preserve"> data</w:t>
      </w:r>
      <w:r w:rsidRPr="007C519F" w:rsidR="00F7399C">
        <w:rPr>
          <w:color w:val="000000"/>
          <w:sz w:val="22"/>
          <w:szCs w:val="22"/>
        </w:rPr>
        <w:t xml:space="preserve"> will now </w:t>
      </w:r>
      <w:r w:rsidR="00361DD7">
        <w:rPr>
          <w:color w:val="000000"/>
          <w:sz w:val="22"/>
          <w:szCs w:val="22"/>
        </w:rPr>
        <w:t>be submitted</w:t>
      </w:r>
      <w:r w:rsidRPr="007C519F" w:rsidR="00361DD7">
        <w:rPr>
          <w:color w:val="000000"/>
          <w:sz w:val="22"/>
          <w:szCs w:val="22"/>
        </w:rPr>
        <w:t xml:space="preserve"> </w:t>
      </w:r>
      <w:r w:rsidR="00361DD7">
        <w:rPr>
          <w:color w:val="000000"/>
          <w:sz w:val="22"/>
          <w:szCs w:val="22"/>
        </w:rPr>
        <w:t>in separate</w:t>
      </w:r>
      <w:r w:rsidRPr="007C519F" w:rsidR="00361DD7">
        <w:rPr>
          <w:color w:val="000000"/>
          <w:sz w:val="22"/>
          <w:szCs w:val="22"/>
        </w:rPr>
        <w:t xml:space="preserve"> </w:t>
      </w:r>
      <w:r w:rsidRPr="007C519F" w:rsidR="00F7399C">
        <w:rPr>
          <w:color w:val="000000"/>
          <w:sz w:val="22"/>
          <w:szCs w:val="22"/>
        </w:rPr>
        <w:t>reporting form</w:t>
      </w:r>
      <w:r w:rsidR="00361DD7">
        <w:rPr>
          <w:color w:val="000000"/>
          <w:sz w:val="22"/>
          <w:szCs w:val="22"/>
        </w:rPr>
        <w:t>s</w:t>
      </w:r>
      <w:r w:rsidRPr="007C519F" w:rsidR="00F7399C">
        <w:rPr>
          <w:color w:val="000000"/>
          <w:sz w:val="22"/>
          <w:szCs w:val="22"/>
        </w:rPr>
        <w:t xml:space="preserve"> and the reporting aggregation for </w:t>
      </w:r>
      <w:r w:rsidRPr="007C519F" w:rsidR="007E3B3D">
        <w:rPr>
          <w:color w:val="000000"/>
          <w:sz w:val="22"/>
          <w:szCs w:val="22"/>
        </w:rPr>
        <w:t>each</w:t>
      </w:r>
      <w:r w:rsidRPr="007C519F" w:rsidR="00F7399C">
        <w:rPr>
          <w:color w:val="000000"/>
          <w:sz w:val="22"/>
          <w:szCs w:val="22"/>
        </w:rPr>
        <w:t xml:space="preserve"> grant wil</w:t>
      </w:r>
      <w:r w:rsidRPr="007C519F" w:rsidR="007E3B3D">
        <w:rPr>
          <w:color w:val="000000"/>
          <w:sz w:val="22"/>
          <w:szCs w:val="22"/>
        </w:rPr>
        <w:t>l be done automatically in the HOPWA database</w:t>
      </w:r>
      <w:r w:rsidRPr="007C519F" w:rsidR="00F570B9">
        <w:rPr>
          <w:color w:val="000000"/>
          <w:sz w:val="22"/>
          <w:szCs w:val="22"/>
        </w:rPr>
        <w:t>, eliminating the need for grantee manual aggregation</w:t>
      </w:r>
      <w:r w:rsidRPr="007C519F" w:rsidR="00F7399C">
        <w:rPr>
          <w:color w:val="000000"/>
          <w:sz w:val="22"/>
          <w:szCs w:val="22"/>
        </w:rPr>
        <w:t xml:space="preserve">. </w:t>
      </w:r>
      <w:r w:rsidRPr="007C519F" w:rsidR="006E17A8">
        <w:rPr>
          <w:color w:val="000000"/>
          <w:sz w:val="22"/>
          <w:szCs w:val="22"/>
        </w:rPr>
        <w:t xml:space="preserve">The reduction of reporting burden was the primary reason for choosing an Excel-based form for the new annual reporting form. </w:t>
      </w:r>
      <w:r w:rsidRPr="007C519F" w:rsidR="00B51178">
        <w:rPr>
          <w:color w:val="000000"/>
          <w:sz w:val="22"/>
          <w:szCs w:val="22"/>
        </w:rPr>
        <w:t>The Word version of the form will use the exact same data elements as the Excel form, but will be 508 compliant for accessibility</w:t>
      </w:r>
      <w:r w:rsidRPr="007C519F" w:rsidR="00AC26D1">
        <w:rPr>
          <w:color w:val="000000"/>
          <w:sz w:val="22"/>
          <w:szCs w:val="22"/>
        </w:rPr>
        <w:t xml:space="preserve">. The Word version of the new form will not contain the </w:t>
      </w:r>
      <w:r w:rsidRPr="007C519F" w:rsidR="003D7A50">
        <w:rPr>
          <w:color w:val="000000"/>
          <w:sz w:val="22"/>
          <w:szCs w:val="22"/>
        </w:rPr>
        <w:t>automation of the Excel version</w:t>
      </w:r>
      <w:r w:rsidRPr="006417B1" w:rsidR="003D7A50">
        <w:rPr>
          <w:color w:val="000000"/>
          <w:sz w:val="22"/>
          <w:szCs w:val="22"/>
        </w:rPr>
        <w:t xml:space="preserve">. </w:t>
      </w:r>
      <w:r w:rsidRPr="006417B1" w:rsidR="0074225D">
        <w:rPr>
          <w:color w:val="000000"/>
          <w:sz w:val="22"/>
          <w:szCs w:val="22"/>
        </w:rPr>
        <w:t xml:space="preserve"> </w:t>
      </w:r>
    </w:p>
    <w:p w:rsidRPr="007C519F" w:rsidR="006B2986" w:rsidP="00AF02E5" w:rsidRDefault="006B2986" w14:paraId="61A6264C" w14:textId="77777777">
      <w:pPr>
        <w:tabs>
          <w:tab w:val="left" w:pos="0"/>
        </w:tabs>
        <w:ind w:left="360"/>
        <w:rPr>
          <w:color w:val="000000"/>
          <w:sz w:val="22"/>
          <w:szCs w:val="22"/>
        </w:rPr>
      </w:pPr>
    </w:p>
    <w:p w:rsidRPr="00591147" w:rsidR="00D2075B" w:rsidDel="00931DB0" w:rsidP="00AF02E5" w:rsidRDefault="00F272F8" w14:paraId="199701D5" w14:textId="3106A658">
      <w:pPr>
        <w:ind w:left="360"/>
      </w:pPr>
      <w:r w:rsidRPr="007C519F">
        <w:rPr>
          <w:color w:val="000000"/>
          <w:sz w:val="22"/>
          <w:szCs w:val="22"/>
        </w:rPr>
        <w:t>Currently</w:t>
      </w:r>
      <w:r w:rsidRPr="007C519F" w:rsidR="00AC26D1">
        <w:rPr>
          <w:color w:val="000000"/>
          <w:sz w:val="22"/>
          <w:szCs w:val="22"/>
        </w:rPr>
        <w:t>, completed APRs and CAPERs are submitted by grantees via email to HUD</w:t>
      </w:r>
      <w:r w:rsidRPr="007C519F" w:rsidR="00C57FCD">
        <w:rPr>
          <w:color w:val="000000"/>
          <w:sz w:val="22"/>
          <w:szCs w:val="22"/>
        </w:rPr>
        <w:t>,</w:t>
      </w:r>
      <w:r w:rsidRPr="007C519F" w:rsidR="00AC26D1">
        <w:rPr>
          <w:color w:val="000000"/>
          <w:sz w:val="22"/>
          <w:szCs w:val="22"/>
        </w:rPr>
        <w:t xml:space="preserve"> and </w:t>
      </w:r>
      <w:r w:rsidRPr="007C519F" w:rsidR="00111B27">
        <w:rPr>
          <w:color w:val="000000"/>
          <w:sz w:val="22"/>
          <w:szCs w:val="22"/>
        </w:rPr>
        <w:t xml:space="preserve">data elements are </w:t>
      </w:r>
      <w:r w:rsidRPr="007C519F" w:rsidR="00AC26D1">
        <w:rPr>
          <w:color w:val="000000"/>
          <w:sz w:val="22"/>
          <w:szCs w:val="22"/>
        </w:rPr>
        <w:t xml:space="preserve">entered manually into an Access </w:t>
      </w:r>
      <w:r w:rsidRPr="007C519F" w:rsidR="004042AF">
        <w:rPr>
          <w:color w:val="000000"/>
          <w:sz w:val="22"/>
          <w:szCs w:val="22"/>
        </w:rPr>
        <w:t>D</w:t>
      </w:r>
      <w:r w:rsidRPr="007C519F" w:rsidR="00AC26D1">
        <w:rPr>
          <w:color w:val="000000"/>
          <w:sz w:val="22"/>
          <w:szCs w:val="22"/>
        </w:rPr>
        <w:t xml:space="preserve">atabase system. The Excel-based consolidated APR/CAPER will </w:t>
      </w:r>
      <w:r w:rsidRPr="007C519F" w:rsidR="00A33E8B">
        <w:rPr>
          <w:color w:val="000000"/>
          <w:sz w:val="22"/>
          <w:szCs w:val="22"/>
        </w:rPr>
        <w:t xml:space="preserve">allow for a </w:t>
      </w:r>
      <w:r w:rsidRPr="007C519F" w:rsidR="00AC26D1">
        <w:rPr>
          <w:color w:val="000000"/>
          <w:sz w:val="22"/>
          <w:szCs w:val="22"/>
        </w:rPr>
        <w:t xml:space="preserve">data </w:t>
      </w:r>
      <w:r w:rsidRPr="007C519F" w:rsidR="00A33E8B">
        <w:rPr>
          <w:color w:val="000000"/>
          <w:sz w:val="22"/>
          <w:szCs w:val="22"/>
        </w:rPr>
        <w:t xml:space="preserve">upload </w:t>
      </w:r>
      <w:r w:rsidRPr="007C519F" w:rsidR="00AC26D1">
        <w:rPr>
          <w:color w:val="000000"/>
          <w:sz w:val="22"/>
          <w:szCs w:val="22"/>
        </w:rPr>
        <w:t xml:space="preserve">into the </w:t>
      </w:r>
      <w:r w:rsidRPr="007C519F" w:rsidR="00A33E8B">
        <w:rPr>
          <w:color w:val="000000"/>
          <w:sz w:val="22"/>
          <w:szCs w:val="22"/>
        </w:rPr>
        <w:t xml:space="preserve">HOPWA </w:t>
      </w:r>
      <w:r w:rsidRPr="007C519F" w:rsidR="00AC26D1">
        <w:rPr>
          <w:color w:val="000000"/>
          <w:sz w:val="22"/>
          <w:szCs w:val="22"/>
        </w:rPr>
        <w:t>Access database</w:t>
      </w:r>
      <w:r w:rsidR="003C7B07">
        <w:rPr>
          <w:color w:val="000000"/>
          <w:sz w:val="22"/>
          <w:szCs w:val="22"/>
        </w:rPr>
        <w:t>,</w:t>
      </w:r>
      <w:r w:rsidRPr="007C519F" w:rsidR="00AC26D1">
        <w:rPr>
          <w:color w:val="000000"/>
          <w:sz w:val="22"/>
          <w:szCs w:val="22"/>
        </w:rPr>
        <w:t xml:space="preserve"> </w:t>
      </w:r>
      <w:r w:rsidRPr="007C519F" w:rsidR="00A33E8B">
        <w:rPr>
          <w:color w:val="000000"/>
          <w:sz w:val="22"/>
          <w:szCs w:val="22"/>
        </w:rPr>
        <w:t>eliminating user data entry errors. The capability to upload data will be more efficient</w:t>
      </w:r>
      <w:r w:rsidRPr="007C519F" w:rsidR="009726E1">
        <w:rPr>
          <w:color w:val="000000"/>
          <w:sz w:val="22"/>
          <w:szCs w:val="22"/>
        </w:rPr>
        <w:t xml:space="preserve"> </w:t>
      </w:r>
      <w:r w:rsidRPr="007C519F" w:rsidR="00A33E8B">
        <w:rPr>
          <w:color w:val="000000"/>
          <w:sz w:val="22"/>
          <w:szCs w:val="22"/>
        </w:rPr>
        <w:t xml:space="preserve">and less costly </w:t>
      </w:r>
      <w:r w:rsidRPr="007C519F" w:rsidR="009726E1">
        <w:rPr>
          <w:color w:val="000000"/>
          <w:sz w:val="22"/>
          <w:szCs w:val="22"/>
        </w:rPr>
        <w:t xml:space="preserve">when </w:t>
      </w:r>
      <w:r w:rsidRPr="007C519F" w:rsidR="00A33E8B">
        <w:rPr>
          <w:color w:val="000000"/>
          <w:sz w:val="22"/>
          <w:szCs w:val="22"/>
        </w:rPr>
        <w:t xml:space="preserve">processing </w:t>
      </w:r>
      <w:r w:rsidRPr="007C519F" w:rsidR="009726E1">
        <w:rPr>
          <w:color w:val="000000"/>
          <w:sz w:val="22"/>
          <w:szCs w:val="22"/>
        </w:rPr>
        <w:t>HOPWA</w:t>
      </w:r>
      <w:r w:rsidRPr="007C519F" w:rsidR="00A33E8B">
        <w:rPr>
          <w:color w:val="000000"/>
          <w:sz w:val="22"/>
          <w:szCs w:val="22"/>
        </w:rPr>
        <w:t xml:space="preserve"> data</w:t>
      </w:r>
      <w:r w:rsidRPr="007C519F" w:rsidR="006E17A8">
        <w:rPr>
          <w:color w:val="000000"/>
          <w:sz w:val="22"/>
          <w:szCs w:val="22"/>
        </w:rPr>
        <w:t>.</w:t>
      </w:r>
      <w:r w:rsidR="006E17A8">
        <w:rPr>
          <w:color w:val="000000"/>
          <w:sz w:val="22"/>
          <w:szCs w:val="22"/>
        </w:rPr>
        <w:t xml:space="preserve"> </w:t>
      </w:r>
    </w:p>
    <w:p w:rsidR="00FB024B" w:rsidP="00AF02E5" w:rsidRDefault="00FB024B" w14:paraId="0F245C3B" w14:textId="00F2F737">
      <w:pPr>
        <w:tabs>
          <w:tab w:val="left" w:pos="0"/>
        </w:tabs>
        <w:ind w:left="360"/>
        <w:rPr>
          <w:color w:val="000000"/>
          <w:sz w:val="22"/>
          <w:szCs w:val="22"/>
        </w:rPr>
      </w:pPr>
    </w:p>
    <w:p w:rsidR="00A141E6" w:rsidP="00AF02E5" w:rsidRDefault="00436438" w14:paraId="5BF1AF09" w14:textId="0575D536">
      <w:pPr>
        <w:tabs>
          <w:tab w:val="left" w:pos="0"/>
        </w:tabs>
        <w:ind w:left="360"/>
        <w:rPr>
          <w:color w:val="000000"/>
          <w:sz w:val="22"/>
          <w:szCs w:val="22"/>
        </w:rPr>
      </w:pPr>
      <w:r w:rsidRPr="00E76C32">
        <w:rPr>
          <w:color w:val="000000"/>
          <w:sz w:val="22"/>
          <w:szCs w:val="22"/>
        </w:rPr>
        <w:t xml:space="preserve">OHH is </w:t>
      </w:r>
      <w:r w:rsidRPr="00E76C32">
        <w:rPr>
          <w:sz w:val="22"/>
          <w:szCs w:val="22"/>
        </w:rPr>
        <w:t xml:space="preserve">seeking approval for this information collection in the form of a data table instead of as a specific form, </w:t>
      </w:r>
      <w:proofErr w:type="gramStart"/>
      <w:r w:rsidRPr="00E76C32">
        <w:rPr>
          <w:sz w:val="22"/>
          <w:szCs w:val="22"/>
        </w:rPr>
        <w:t>in order to</w:t>
      </w:r>
      <w:proofErr w:type="gramEnd"/>
      <w:r w:rsidRPr="00E76C32">
        <w:rPr>
          <w:sz w:val="22"/>
          <w:szCs w:val="22"/>
        </w:rPr>
        <w:t xml:space="preserve"> allow for the possibility of collecting these elements from new or existing </w:t>
      </w:r>
      <w:r w:rsidRPr="00E76C32">
        <w:rPr>
          <w:sz w:val="22"/>
          <w:szCs w:val="22"/>
        </w:rPr>
        <w:lastRenderedPageBreak/>
        <w:t xml:space="preserve">computer systems, </w:t>
      </w:r>
      <w:r w:rsidR="00143DD5">
        <w:rPr>
          <w:sz w:val="22"/>
          <w:szCs w:val="22"/>
        </w:rPr>
        <w:t>when</w:t>
      </w:r>
      <w:r w:rsidRPr="00E76C32" w:rsidR="00143DD5">
        <w:rPr>
          <w:sz w:val="22"/>
          <w:szCs w:val="22"/>
        </w:rPr>
        <w:t xml:space="preserve"> </w:t>
      </w:r>
      <w:r w:rsidRPr="00E76C32" w:rsidR="00D42BE5">
        <w:rPr>
          <w:sz w:val="22"/>
          <w:szCs w:val="22"/>
        </w:rPr>
        <w:t xml:space="preserve">possible and </w:t>
      </w:r>
      <w:r w:rsidRPr="00E76C32">
        <w:rPr>
          <w:sz w:val="22"/>
          <w:szCs w:val="22"/>
        </w:rPr>
        <w:t>as th</w:t>
      </w:r>
      <w:r w:rsidRPr="00E76C32" w:rsidR="00D42BE5">
        <w:rPr>
          <w:sz w:val="22"/>
          <w:szCs w:val="22"/>
        </w:rPr>
        <w:t>e</w:t>
      </w:r>
      <w:r w:rsidRPr="00E76C32" w:rsidR="00B54743">
        <w:rPr>
          <w:sz w:val="22"/>
          <w:szCs w:val="22"/>
        </w:rPr>
        <w:t xml:space="preserve"> </w:t>
      </w:r>
      <w:r w:rsidR="00143DD5">
        <w:rPr>
          <w:sz w:val="22"/>
          <w:szCs w:val="22"/>
        </w:rPr>
        <w:t>funding to adapt existing systems and/or purchase new software systems</w:t>
      </w:r>
      <w:r w:rsidRPr="00E76C32" w:rsidR="00143DD5">
        <w:rPr>
          <w:sz w:val="22"/>
          <w:szCs w:val="22"/>
        </w:rPr>
        <w:t xml:space="preserve"> </w:t>
      </w:r>
      <w:r w:rsidRPr="00E76C32">
        <w:rPr>
          <w:sz w:val="22"/>
          <w:szCs w:val="22"/>
        </w:rPr>
        <w:t>become</w:t>
      </w:r>
      <w:r w:rsidRPr="00E76C32" w:rsidR="00B54743">
        <w:rPr>
          <w:sz w:val="22"/>
          <w:szCs w:val="22"/>
        </w:rPr>
        <w:t>s</w:t>
      </w:r>
      <w:r w:rsidRPr="00E76C32">
        <w:rPr>
          <w:sz w:val="22"/>
          <w:szCs w:val="22"/>
        </w:rPr>
        <w:t xml:space="preserve"> available. </w:t>
      </w:r>
      <w:r w:rsidR="00143DD5">
        <w:rPr>
          <w:color w:val="000000"/>
          <w:sz w:val="22"/>
          <w:szCs w:val="22"/>
        </w:rPr>
        <w:t xml:space="preserve">These actions will </w:t>
      </w:r>
      <w:r w:rsidR="007E3B3D">
        <w:rPr>
          <w:color w:val="000000"/>
          <w:sz w:val="22"/>
          <w:szCs w:val="22"/>
        </w:rPr>
        <w:t xml:space="preserve">further alleviate grantee reporting burden. </w:t>
      </w:r>
    </w:p>
    <w:p w:rsidRPr="003B27A6" w:rsidR="00696B16" w:rsidP="003D7A50" w:rsidRDefault="00696B16" w14:paraId="2E1BAFD7" w14:textId="77777777">
      <w:pPr>
        <w:tabs>
          <w:tab w:val="left" w:pos="360"/>
        </w:tabs>
        <w:rPr>
          <w:color w:val="000000"/>
          <w:sz w:val="22"/>
          <w:szCs w:val="22"/>
        </w:rPr>
      </w:pPr>
    </w:p>
    <w:p w:rsidRPr="00033A85" w:rsidR="00D73EE7" w:rsidRDefault="00D73EE7" w14:paraId="77359761" w14:textId="5F18C32D">
      <w:pPr>
        <w:keepLines/>
        <w:tabs>
          <w:tab w:val="left" w:pos="360"/>
        </w:tabs>
        <w:spacing w:after="80"/>
        <w:ind w:left="360" w:hanging="360"/>
        <w:rPr>
          <w:b/>
          <w:color w:val="000000"/>
          <w:sz w:val="22"/>
          <w:szCs w:val="22"/>
        </w:rPr>
      </w:pPr>
      <w:r w:rsidRPr="00033A85">
        <w:rPr>
          <w:b/>
          <w:color w:val="000000"/>
          <w:sz w:val="22"/>
          <w:szCs w:val="22"/>
        </w:rPr>
        <w:t>4.</w:t>
      </w:r>
      <w:r w:rsidRPr="00033A85">
        <w:rPr>
          <w:b/>
          <w:color w:val="000000"/>
          <w:sz w:val="22"/>
          <w:szCs w:val="22"/>
        </w:rPr>
        <w:tab/>
      </w:r>
      <w:r w:rsidR="006E17A8">
        <w:rPr>
          <w:b/>
          <w:color w:val="000000"/>
          <w:sz w:val="22"/>
          <w:szCs w:val="22"/>
        </w:rPr>
        <w:t>Describe any efforts to identify duplication</w:t>
      </w:r>
      <w:r w:rsidRPr="00033A85" w:rsidR="003B27A6">
        <w:rPr>
          <w:b/>
          <w:color w:val="000000"/>
          <w:sz w:val="22"/>
          <w:szCs w:val="22"/>
        </w:rPr>
        <w:t>.</w:t>
      </w:r>
      <w:r w:rsidR="006E17A8">
        <w:rPr>
          <w:b/>
          <w:color w:val="000000"/>
          <w:sz w:val="22"/>
          <w:szCs w:val="22"/>
        </w:rPr>
        <w:t xml:space="preserve"> Show specifically why any similar information already available cannot be used or modified for use for the purposes described in Item 2 above.</w:t>
      </w:r>
    </w:p>
    <w:p w:rsidR="00033A85" w:rsidP="00AF02E5" w:rsidRDefault="00033A85" w14:paraId="29CFA83B" w14:textId="7A0B5CB7">
      <w:pPr>
        <w:keepLines/>
        <w:tabs>
          <w:tab w:val="left" w:pos="0"/>
        </w:tabs>
        <w:spacing w:before="240" w:after="80"/>
        <w:ind w:left="360"/>
        <w:rPr>
          <w:color w:val="000000"/>
          <w:sz w:val="22"/>
          <w:szCs w:val="22"/>
        </w:rPr>
      </w:pPr>
      <w:r>
        <w:rPr>
          <w:color w:val="000000"/>
          <w:sz w:val="22"/>
          <w:szCs w:val="22"/>
        </w:rPr>
        <w:t xml:space="preserve">The APR and CAPER forms are the only annual reporting forms required of HOPWA grantees. HOPWA output and performance data </w:t>
      </w:r>
      <w:proofErr w:type="gramStart"/>
      <w:r>
        <w:rPr>
          <w:color w:val="000000"/>
          <w:sz w:val="22"/>
          <w:szCs w:val="22"/>
        </w:rPr>
        <w:t>is</w:t>
      </w:r>
      <w:proofErr w:type="gramEnd"/>
      <w:r>
        <w:rPr>
          <w:color w:val="000000"/>
          <w:sz w:val="22"/>
          <w:szCs w:val="22"/>
        </w:rPr>
        <w:t xml:space="preserve"> not collected anywhere else.</w:t>
      </w:r>
      <w:r w:rsidR="006E17A8">
        <w:rPr>
          <w:color w:val="000000"/>
          <w:sz w:val="22"/>
          <w:szCs w:val="22"/>
        </w:rPr>
        <w:t xml:space="preserve"> </w:t>
      </w:r>
    </w:p>
    <w:p w:rsidR="006E17A8" w:rsidP="00AF02E5" w:rsidRDefault="006E17A8" w14:paraId="59EBA79B" w14:textId="6EE13299">
      <w:pPr>
        <w:keepLines/>
        <w:tabs>
          <w:tab w:val="left" w:pos="0"/>
        </w:tabs>
        <w:spacing w:before="240" w:after="80"/>
        <w:ind w:left="360"/>
        <w:rPr>
          <w:color w:val="000000"/>
          <w:sz w:val="22"/>
          <w:szCs w:val="22"/>
        </w:rPr>
      </w:pPr>
      <w:r>
        <w:rPr>
          <w:color w:val="000000"/>
          <w:sz w:val="22"/>
          <w:szCs w:val="22"/>
        </w:rPr>
        <w:t xml:space="preserve">The elements in this submission represent a consolidation of the APR and CAPER forms. Currently, the separate APR and CAPER </w:t>
      </w:r>
      <w:r w:rsidR="005D4446">
        <w:rPr>
          <w:color w:val="000000"/>
          <w:sz w:val="22"/>
          <w:szCs w:val="22"/>
        </w:rPr>
        <w:t xml:space="preserve">forms </w:t>
      </w:r>
      <w:r>
        <w:rPr>
          <w:color w:val="000000"/>
          <w:sz w:val="22"/>
          <w:szCs w:val="22"/>
        </w:rPr>
        <w:t xml:space="preserve">collect very similar information. While the current </w:t>
      </w:r>
      <w:r w:rsidR="00195A6C">
        <w:rPr>
          <w:color w:val="000000"/>
          <w:sz w:val="22"/>
          <w:szCs w:val="22"/>
        </w:rPr>
        <w:t>similarity of the different forms does</w:t>
      </w:r>
      <w:r w:rsidR="00684686">
        <w:rPr>
          <w:color w:val="000000"/>
          <w:sz w:val="22"/>
          <w:szCs w:val="22"/>
        </w:rPr>
        <w:t xml:space="preserve"> not </w:t>
      </w:r>
      <w:r w:rsidR="00195A6C">
        <w:rPr>
          <w:color w:val="000000"/>
          <w:sz w:val="22"/>
          <w:szCs w:val="22"/>
        </w:rPr>
        <w:t>represent a duplication of burden for grantees (grantees only complete one of the forms based on whether they receive competitive or formula HOPWA funds) the consolidat</w:t>
      </w:r>
      <w:r w:rsidR="005D4446">
        <w:rPr>
          <w:color w:val="000000"/>
          <w:sz w:val="22"/>
          <w:szCs w:val="22"/>
        </w:rPr>
        <w:t>ion</w:t>
      </w:r>
      <w:r w:rsidR="00195A6C">
        <w:rPr>
          <w:color w:val="000000"/>
          <w:sz w:val="22"/>
          <w:szCs w:val="22"/>
        </w:rPr>
        <w:t xml:space="preserve"> of the two forms will reduc</w:t>
      </w:r>
      <w:r w:rsidR="005D4446">
        <w:rPr>
          <w:color w:val="000000"/>
          <w:sz w:val="22"/>
          <w:szCs w:val="22"/>
        </w:rPr>
        <w:t xml:space="preserve">e confusion about the two forms and standardize the information collected across all HOPWA grantees. </w:t>
      </w:r>
    </w:p>
    <w:p w:rsidRPr="003B27A6" w:rsidR="00D73EE7" w:rsidRDefault="00D73EE7" w14:paraId="0E4B7A60" w14:textId="77777777">
      <w:pPr>
        <w:tabs>
          <w:tab w:val="left" w:pos="360"/>
        </w:tabs>
        <w:ind w:left="360" w:hanging="360"/>
        <w:rPr>
          <w:color w:val="000000"/>
          <w:sz w:val="22"/>
          <w:szCs w:val="22"/>
        </w:rPr>
      </w:pPr>
    </w:p>
    <w:p w:rsidR="00D73EE7" w:rsidRDefault="00D73EE7" w14:paraId="00A2632F" w14:textId="38A9297D">
      <w:pPr>
        <w:keepLines/>
        <w:tabs>
          <w:tab w:val="left" w:pos="360"/>
        </w:tabs>
        <w:spacing w:after="80"/>
        <w:ind w:left="360" w:hanging="360"/>
        <w:rPr>
          <w:b/>
          <w:color w:val="000000"/>
          <w:sz w:val="22"/>
          <w:szCs w:val="22"/>
        </w:rPr>
      </w:pPr>
      <w:r w:rsidRPr="00033A85">
        <w:rPr>
          <w:b/>
          <w:color w:val="000000"/>
          <w:sz w:val="22"/>
          <w:szCs w:val="22"/>
        </w:rPr>
        <w:t>5.</w:t>
      </w:r>
      <w:r w:rsidRPr="00033A85">
        <w:rPr>
          <w:b/>
          <w:color w:val="000000"/>
          <w:sz w:val="22"/>
          <w:szCs w:val="22"/>
        </w:rPr>
        <w:tab/>
      </w:r>
      <w:r w:rsidR="005D4446">
        <w:rPr>
          <w:b/>
          <w:color w:val="000000"/>
          <w:sz w:val="22"/>
          <w:szCs w:val="22"/>
        </w:rPr>
        <w:t>If the collection of information impacts small business or other small entities (Item 5 of OMB Form 83-I), describe any methods used to minimize burden.</w:t>
      </w:r>
    </w:p>
    <w:p w:rsidRPr="00591147" w:rsidR="000047C4" w:rsidP="00591147" w:rsidRDefault="000047C4" w14:paraId="4CA97E25" w14:textId="77777777">
      <w:pPr>
        <w:pStyle w:val="NoSpacing"/>
        <w:rPr>
          <w:b/>
          <w:color w:val="000000"/>
          <w:sz w:val="22"/>
        </w:rPr>
      </w:pPr>
    </w:p>
    <w:p w:rsidR="00033A85" w:rsidP="00AF02E5" w:rsidRDefault="00033A85" w14:paraId="232C9FCF" w14:textId="5B06674E">
      <w:pPr>
        <w:keepLines/>
        <w:tabs>
          <w:tab w:val="left" w:pos="0"/>
        </w:tabs>
        <w:spacing w:after="80"/>
        <w:ind w:left="360"/>
        <w:rPr>
          <w:color w:val="000000"/>
          <w:sz w:val="22"/>
          <w:szCs w:val="22"/>
        </w:rPr>
      </w:pPr>
      <w:r>
        <w:rPr>
          <w:color w:val="000000"/>
          <w:sz w:val="22"/>
          <w:szCs w:val="22"/>
        </w:rPr>
        <w:t>Small business or other small entities will not be</w:t>
      </w:r>
      <w:r w:rsidR="00A24C99">
        <w:rPr>
          <w:color w:val="000000"/>
          <w:sz w:val="22"/>
          <w:szCs w:val="22"/>
        </w:rPr>
        <w:t xml:space="preserve"> </w:t>
      </w:r>
      <w:r>
        <w:rPr>
          <w:color w:val="000000"/>
          <w:sz w:val="22"/>
          <w:szCs w:val="22"/>
        </w:rPr>
        <w:t xml:space="preserve">impacted by the consolidation of the APR and CAPER forms or the conversion of these forms into an Excel form. Eligibility for HOPWA formula and competitive grants is limited to States, units of local governments, and non-profits. While some non-profits may be small entities, the automation features in the new Excel version of the consolidated APR and CAPER </w:t>
      </w:r>
      <w:proofErr w:type="gramStart"/>
      <w:r>
        <w:rPr>
          <w:color w:val="000000"/>
          <w:sz w:val="22"/>
          <w:szCs w:val="22"/>
        </w:rPr>
        <w:t>is</w:t>
      </w:r>
      <w:proofErr w:type="gramEnd"/>
      <w:r>
        <w:rPr>
          <w:color w:val="000000"/>
          <w:sz w:val="22"/>
          <w:szCs w:val="22"/>
        </w:rPr>
        <w:t xml:space="preserve"> expected to keep reporting burden either the same or slightly less than the current Word versions of these forms. </w:t>
      </w:r>
    </w:p>
    <w:p w:rsidRPr="003B27A6" w:rsidR="00D73EE7" w:rsidP="00033A85" w:rsidRDefault="00D73EE7" w14:paraId="208E6316" w14:textId="77777777">
      <w:pPr>
        <w:tabs>
          <w:tab w:val="left" w:pos="360"/>
        </w:tabs>
        <w:rPr>
          <w:color w:val="000000"/>
          <w:sz w:val="22"/>
          <w:szCs w:val="22"/>
        </w:rPr>
      </w:pPr>
    </w:p>
    <w:p w:rsidRPr="006554C1" w:rsidR="0025369D" w:rsidP="006554C1" w:rsidRDefault="00D73EE7" w14:paraId="68EB7298" w14:textId="2EB67C59">
      <w:pPr>
        <w:pStyle w:val="BodyTextIndent"/>
        <w:rPr>
          <w:b/>
          <w:szCs w:val="22"/>
          <w:highlight w:val="green"/>
        </w:rPr>
      </w:pPr>
      <w:r w:rsidRPr="006554C1">
        <w:rPr>
          <w:b/>
          <w:szCs w:val="22"/>
        </w:rPr>
        <w:t>6.</w:t>
      </w:r>
      <w:r w:rsidRPr="006554C1">
        <w:rPr>
          <w:b/>
          <w:szCs w:val="22"/>
        </w:rPr>
        <w:tab/>
        <w:t xml:space="preserve">Describe the consequence to Federal program or policy activities if the collection is not conducted or is conducted less frequently, </w:t>
      </w:r>
      <w:r w:rsidRPr="00853EA6">
        <w:rPr>
          <w:b/>
          <w:szCs w:val="22"/>
        </w:rPr>
        <w:t>as well as any technical or legal obstacles to reducing burden.</w:t>
      </w:r>
    </w:p>
    <w:p w:rsidRPr="003B27A6" w:rsidR="00867DDE" w:rsidP="00AF02E5" w:rsidRDefault="00E40AE1" w14:paraId="525052F1" w14:textId="6E00A369">
      <w:pPr>
        <w:keepLines/>
        <w:tabs>
          <w:tab w:val="left" w:pos="360"/>
        </w:tabs>
        <w:spacing w:before="240" w:after="80"/>
        <w:ind w:left="360"/>
        <w:rPr>
          <w:color w:val="000000"/>
          <w:sz w:val="22"/>
          <w:szCs w:val="22"/>
        </w:rPr>
      </w:pPr>
      <w:r>
        <w:rPr>
          <w:color w:val="000000"/>
          <w:sz w:val="22"/>
          <w:szCs w:val="22"/>
        </w:rPr>
        <w:t>All grantees receiving HOPW</w:t>
      </w:r>
      <w:r w:rsidR="00790071">
        <w:rPr>
          <w:color w:val="000000"/>
          <w:sz w:val="22"/>
          <w:szCs w:val="22"/>
        </w:rPr>
        <w:t xml:space="preserve">A funding </w:t>
      </w:r>
      <w:r>
        <w:rPr>
          <w:color w:val="000000"/>
          <w:sz w:val="22"/>
          <w:szCs w:val="22"/>
        </w:rPr>
        <w:t>must maintain compliance throu</w:t>
      </w:r>
      <w:r w:rsidR="00DB2F37">
        <w:rPr>
          <w:color w:val="000000"/>
          <w:sz w:val="22"/>
          <w:szCs w:val="22"/>
        </w:rPr>
        <w:t>gh reporting and recordkeeping as required through HOPWA statute and regulations.</w:t>
      </w:r>
      <w:r w:rsidR="006F6265">
        <w:rPr>
          <w:color w:val="000000"/>
          <w:sz w:val="22"/>
          <w:szCs w:val="22"/>
        </w:rPr>
        <w:t xml:space="preserve"> APR and CAPER performance reports are collected and analyzed on an annual basis</w:t>
      </w:r>
      <w:r w:rsidR="00790071">
        <w:rPr>
          <w:color w:val="000000"/>
          <w:sz w:val="22"/>
          <w:szCs w:val="22"/>
        </w:rPr>
        <w:t xml:space="preserve"> per HOPWA regulations</w:t>
      </w:r>
      <w:r w:rsidR="006F6265">
        <w:rPr>
          <w:color w:val="000000"/>
          <w:sz w:val="22"/>
          <w:szCs w:val="22"/>
        </w:rPr>
        <w:t xml:space="preserve"> and are used to assess grantee performance, draft budget justifications, and to report to congress on program activities and performance accomplishments. Less frequent submission of information would considerably hinder the mission, efficiency, and legal aspects of program management. Information on the performance reports </w:t>
      </w:r>
      <w:proofErr w:type="gramStart"/>
      <w:r w:rsidR="006F6265">
        <w:rPr>
          <w:color w:val="000000"/>
          <w:sz w:val="22"/>
          <w:szCs w:val="22"/>
        </w:rPr>
        <w:t>are</w:t>
      </w:r>
      <w:proofErr w:type="gramEnd"/>
      <w:r w:rsidR="006F6265">
        <w:rPr>
          <w:color w:val="000000"/>
          <w:sz w:val="22"/>
          <w:szCs w:val="22"/>
        </w:rPr>
        <w:t xml:space="preserve"> used by HUD field offices, grantees, and the public. These forms serve as an accountability tool and allow HUD to monitor and evaluate the HOPWA Program. HOPWA grantees may also use the information to justify additional resources from state and local government </w:t>
      </w:r>
      <w:proofErr w:type="gramStart"/>
      <w:r w:rsidR="006F6265">
        <w:rPr>
          <w:color w:val="000000"/>
          <w:sz w:val="22"/>
          <w:szCs w:val="22"/>
        </w:rPr>
        <w:t>and also</w:t>
      </w:r>
      <w:proofErr w:type="gramEnd"/>
      <w:r w:rsidR="006F6265">
        <w:rPr>
          <w:color w:val="000000"/>
          <w:sz w:val="22"/>
          <w:szCs w:val="22"/>
        </w:rPr>
        <w:t xml:space="preserve"> to inform public awareness and support of their program.</w:t>
      </w:r>
      <w:r>
        <w:rPr>
          <w:color w:val="000000"/>
          <w:sz w:val="22"/>
          <w:szCs w:val="22"/>
        </w:rPr>
        <w:t xml:space="preserve"> </w:t>
      </w:r>
      <w:r w:rsidR="00853EA6">
        <w:rPr>
          <w:color w:val="000000"/>
          <w:sz w:val="22"/>
          <w:szCs w:val="22"/>
        </w:rPr>
        <w:t xml:space="preserve">Annual reporting by grantees is a HOPWA statutory and regulatory requirement. </w:t>
      </w:r>
    </w:p>
    <w:p w:rsidRPr="003B27A6" w:rsidR="00D73EE7" w:rsidRDefault="00D73EE7" w14:paraId="6E8ACD9A" w14:textId="77777777">
      <w:pPr>
        <w:tabs>
          <w:tab w:val="left" w:pos="360"/>
        </w:tabs>
        <w:ind w:left="360" w:hanging="360"/>
        <w:rPr>
          <w:color w:val="000000"/>
          <w:sz w:val="22"/>
          <w:szCs w:val="22"/>
        </w:rPr>
      </w:pPr>
    </w:p>
    <w:p w:rsidRPr="006554C1" w:rsidR="00D73EE7" w:rsidP="00AF02E5" w:rsidRDefault="00D73EE7" w14:paraId="5DFE75EB" w14:textId="53601FFB">
      <w:pPr>
        <w:ind w:left="360" w:hanging="360"/>
        <w:rPr>
          <w:b/>
          <w:color w:val="000000"/>
          <w:sz w:val="22"/>
          <w:szCs w:val="22"/>
        </w:rPr>
      </w:pPr>
      <w:r w:rsidRPr="001462F1">
        <w:rPr>
          <w:b/>
          <w:color w:val="000000"/>
          <w:sz w:val="22"/>
          <w:szCs w:val="22"/>
        </w:rPr>
        <w:t>7.</w:t>
      </w:r>
      <w:r w:rsidRPr="001462F1">
        <w:rPr>
          <w:b/>
          <w:color w:val="000000"/>
          <w:sz w:val="22"/>
          <w:szCs w:val="22"/>
        </w:rPr>
        <w:tab/>
      </w:r>
      <w:r w:rsidRPr="001462F1" w:rsidR="00853EA6">
        <w:rPr>
          <w:b/>
          <w:color w:val="000000"/>
          <w:sz w:val="22"/>
          <w:szCs w:val="22"/>
        </w:rPr>
        <w:t>Explain any special circumstances that would cause an information collection to be conducted in any of the different manners outlined in form 83-I.</w:t>
      </w:r>
      <w:r w:rsidRPr="00853EA6" w:rsidR="00853EA6">
        <w:rPr>
          <w:b/>
          <w:color w:val="000000"/>
          <w:sz w:val="22"/>
          <w:szCs w:val="22"/>
        </w:rPr>
        <w:t xml:space="preserve"> </w:t>
      </w:r>
    </w:p>
    <w:p w:rsidRPr="003B27A6" w:rsidR="00422A44" w:rsidP="00422A44" w:rsidRDefault="00422A44" w14:paraId="05FEA4A5" w14:textId="77777777">
      <w:pPr>
        <w:tabs>
          <w:tab w:val="left" w:pos="600"/>
        </w:tabs>
        <w:rPr>
          <w:color w:val="000000"/>
          <w:sz w:val="22"/>
          <w:szCs w:val="22"/>
        </w:rPr>
      </w:pPr>
    </w:p>
    <w:p w:rsidR="00393A57" w:rsidP="00AF02E5" w:rsidRDefault="00393A57" w14:paraId="14FF137A" w14:textId="77777777">
      <w:pPr>
        <w:overflowPunct w:val="0"/>
        <w:autoSpaceDE w:val="0"/>
        <w:autoSpaceDN w:val="0"/>
        <w:adjustRightInd w:val="0"/>
        <w:ind w:left="360"/>
        <w:textAlignment w:val="baseline"/>
        <w:rPr>
          <w:sz w:val="22"/>
          <w:szCs w:val="22"/>
        </w:rPr>
      </w:pPr>
      <w:r>
        <w:rPr>
          <w:sz w:val="22"/>
          <w:szCs w:val="22"/>
        </w:rPr>
        <w:t xml:space="preserve">In accordance </w:t>
      </w:r>
      <w:proofErr w:type="gramStart"/>
      <w:r>
        <w:rPr>
          <w:sz w:val="22"/>
          <w:szCs w:val="22"/>
        </w:rPr>
        <w:t>to</w:t>
      </w:r>
      <w:proofErr w:type="gramEnd"/>
      <w:r>
        <w:rPr>
          <w:sz w:val="22"/>
          <w:szCs w:val="22"/>
        </w:rPr>
        <w:t xml:space="preserve"> HOPWA regulation at 24 CFR 574.530, HOPWA grantees must ensure that records are maintained for a four-year period to document compliance. No other</w:t>
      </w:r>
      <w:r w:rsidRPr="00F15B40">
        <w:rPr>
          <w:sz w:val="22"/>
          <w:szCs w:val="22"/>
        </w:rPr>
        <w:t xml:space="preserve"> special circumstances </w:t>
      </w:r>
      <w:r>
        <w:rPr>
          <w:sz w:val="22"/>
          <w:szCs w:val="22"/>
        </w:rPr>
        <w:t xml:space="preserve">for the HOPWA program </w:t>
      </w:r>
      <w:r w:rsidRPr="00F15B40">
        <w:rPr>
          <w:sz w:val="22"/>
          <w:szCs w:val="22"/>
        </w:rPr>
        <w:t>would cause this information collection to be conducted in a manner that would impose additional requirements identified under this item.</w:t>
      </w:r>
      <w:r>
        <w:rPr>
          <w:sz w:val="22"/>
          <w:szCs w:val="22"/>
        </w:rPr>
        <w:t xml:space="preserve"> Special circumstances not required for this information collection are listed below.</w:t>
      </w:r>
    </w:p>
    <w:p w:rsidR="00393A57" w:rsidP="00AF02E5" w:rsidRDefault="00393A57" w14:paraId="189AF861" w14:textId="77777777">
      <w:pPr>
        <w:overflowPunct w:val="0"/>
        <w:autoSpaceDE w:val="0"/>
        <w:autoSpaceDN w:val="0"/>
        <w:adjustRightInd w:val="0"/>
        <w:ind w:left="360"/>
        <w:textAlignment w:val="baseline"/>
      </w:pPr>
    </w:p>
    <w:p w:rsidRPr="004904B0" w:rsidR="00393A57" w:rsidP="00AF02E5" w:rsidRDefault="00393A57" w14:paraId="0C37588A" w14:textId="7EAA6046">
      <w:pPr>
        <w:numPr>
          <w:ilvl w:val="0"/>
          <w:numId w:val="24"/>
        </w:numPr>
        <w:overflowPunct w:val="0"/>
        <w:autoSpaceDE w:val="0"/>
        <w:autoSpaceDN w:val="0"/>
        <w:adjustRightInd w:val="0"/>
        <w:ind w:left="1080"/>
        <w:textAlignment w:val="baseline"/>
        <w:rPr>
          <w:b/>
          <w:bCs/>
          <w:sz w:val="22"/>
          <w:szCs w:val="22"/>
        </w:rPr>
      </w:pPr>
      <w:r w:rsidRPr="007A7053">
        <w:rPr>
          <w:sz w:val="22"/>
          <w:szCs w:val="22"/>
        </w:rPr>
        <w:lastRenderedPageBreak/>
        <w:t xml:space="preserve">This information collection does not require respondents to report information more often than quarterly. </w:t>
      </w:r>
      <w:r w:rsidR="00853EA6">
        <w:rPr>
          <w:sz w:val="22"/>
          <w:szCs w:val="22"/>
        </w:rPr>
        <w:t xml:space="preserve">Grantees are only required to report annually. </w:t>
      </w:r>
      <w:r w:rsidRPr="004904B0" w:rsidR="0084766E">
        <w:rPr>
          <w:b/>
          <w:bCs/>
          <w:sz w:val="22"/>
          <w:szCs w:val="22"/>
        </w:rPr>
        <w:t>n/a</w:t>
      </w:r>
    </w:p>
    <w:p w:rsidRPr="007A7053" w:rsidR="00393A57" w:rsidP="00AF02E5" w:rsidRDefault="00393A57" w14:paraId="424C5B8F" w14:textId="22A3CC12">
      <w:pPr>
        <w:numPr>
          <w:ilvl w:val="0"/>
          <w:numId w:val="24"/>
        </w:numPr>
        <w:overflowPunct w:val="0"/>
        <w:autoSpaceDE w:val="0"/>
        <w:autoSpaceDN w:val="0"/>
        <w:adjustRightInd w:val="0"/>
        <w:ind w:left="1080"/>
        <w:textAlignment w:val="baseline"/>
        <w:rPr>
          <w:sz w:val="22"/>
          <w:szCs w:val="22"/>
        </w:rPr>
      </w:pPr>
      <w:r w:rsidRPr="007A7053">
        <w:rPr>
          <w:sz w:val="22"/>
          <w:szCs w:val="22"/>
        </w:rPr>
        <w:t xml:space="preserve">This information collection does not require respondents to prepare a written response in fewer than thirty days after they receive the request. </w:t>
      </w:r>
      <w:r w:rsidR="00853EA6">
        <w:rPr>
          <w:sz w:val="22"/>
          <w:szCs w:val="22"/>
        </w:rPr>
        <w:t xml:space="preserve">Grantees are required to submit their reporting forms 90 days after the end of their operating year. </w:t>
      </w:r>
      <w:r w:rsidR="0084766E">
        <w:rPr>
          <w:sz w:val="22"/>
          <w:szCs w:val="22"/>
        </w:rPr>
        <w:t>n/a</w:t>
      </w:r>
    </w:p>
    <w:p w:rsidRPr="007A7053" w:rsidR="00393A57" w:rsidP="00AF02E5" w:rsidRDefault="00393A57" w14:paraId="066143FC" w14:textId="0FD56BCB">
      <w:pPr>
        <w:numPr>
          <w:ilvl w:val="0"/>
          <w:numId w:val="24"/>
        </w:numPr>
        <w:overflowPunct w:val="0"/>
        <w:autoSpaceDE w:val="0"/>
        <w:autoSpaceDN w:val="0"/>
        <w:adjustRightInd w:val="0"/>
        <w:ind w:left="1080"/>
        <w:textAlignment w:val="baseline"/>
        <w:rPr>
          <w:sz w:val="22"/>
          <w:szCs w:val="22"/>
        </w:rPr>
      </w:pPr>
      <w:r w:rsidRPr="007A7053">
        <w:rPr>
          <w:sz w:val="22"/>
          <w:szCs w:val="22"/>
        </w:rPr>
        <w:t xml:space="preserve">This information collection does not require respondents to submit more than an original and two copies of any document. </w:t>
      </w:r>
      <w:r w:rsidR="008A1813">
        <w:rPr>
          <w:sz w:val="22"/>
          <w:szCs w:val="22"/>
        </w:rPr>
        <w:t xml:space="preserve">Grantees submit their completed forms by emailing the HOPWA </w:t>
      </w:r>
      <w:r w:rsidR="0084766E">
        <w:rPr>
          <w:sz w:val="22"/>
          <w:szCs w:val="22"/>
        </w:rPr>
        <w:t xml:space="preserve">inbox </w:t>
      </w:r>
      <w:r w:rsidR="00F13A48">
        <w:rPr>
          <w:sz w:val="22"/>
          <w:szCs w:val="22"/>
        </w:rPr>
        <w:t>and “cc-</w:t>
      </w:r>
      <w:proofErr w:type="spellStart"/>
      <w:r w:rsidR="00F13A48">
        <w:rPr>
          <w:sz w:val="22"/>
          <w:szCs w:val="22"/>
        </w:rPr>
        <w:t>ing</w:t>
      </w:r>
      <w:proofErr w:type="spellEnd"/>
      <w:r w:rsidR="00F13A48">
        <w:rPr>
          <w:sz w:val="22"/>
          <w:szCs w:val="22"/>
        </w:rPr>
        <w:t>” their HUD field office representative</w:t>
      </w:r>
      <w:r w:rsidR="0084766E">
        <w:rPr>
          <w:sz w:val="22"/>
          <w:szCs w:val="22"/>
        </w:rPr>
        <w:t xml:space="preserve">. </w:t>
      </w:r>
      <w:r w:rsidRPr="004904B0" w:rsidR="0084766E">
        <w:rPr>
          <w:b/>
          <w:bCs/>
          <w:sz w:val="22"/>
          <w:szCs w:val="22"/>
        </w:rPr>
        <w:t>n/a</w:t>
      </w:r>
    </w:p>
    <w:p w:rsidR="00C42838" w:rsidP="00AF02E5" w:rsidRDefault="00393A57" w14:paraId="7B420EA1" w14:textId="7DC64847">
      <w:pPr>
        <w:numPr>
          <w:ilvl w:val="0"/>
          <w:numId w:val="24"/>
        </w:numPr>
        <w:overflowPunct w:val="0"/>
        <w:autoSpaceDE w:val="0"/>
        <w:autoSpaceDN w:val="0"/>
        <w:adjustRightInd w:val="0"/>
        <w:ind w:left="1080"/>
        <w:textAlignment w:val="baseline"/>
        <w:rPr>
          <w:sz w:val="22"/>
          <w:szCs w:val="22"/>
        </w:rPr>
      </w:pPr>
      <w:r w:rsidRPr="007A7053">
        <w:rPr>
          <w:sz w:val="22"/>
          <w:szCs w:val="22"/>
        </w:rPr>
        <w:t>This information collection</w:t>
      </w:r>
      <w:r w:rsidR="00C42838">
        <w:rPr>
          <w:sz w:val="22"/>
          <w:szCs w:val="22"/>
        </w:rPr>
        <w:t xml:space="preserve"> is not conducted in connection with any statistical survey, designed to produce reliable results that can be generalized to the universe of the study, or otherwise. </w:t>
      </w:r>
      <w:r w:rsidRPr="004904B0" w:rsidR="0084766E">
        <w:rPr>
          <w:b/>
          <w:bCs/>
          <w:sz w:val="22"/>
          <w:szCs w:val="22"/>
        </w:rPr>
        <w:t>n/a</w:t>
      </w:r>
    </w:p>
    <w:p w:rsidRPr="004904B0" w:rsidR="00393A57" w:rsidP="00AF02E5" w:rsidRDefault="00393A57" w14:paraId="490100EB" w14:textId="1ECAA011">
      <w:pPr>
        <w:numPr>
          <w:ilvl w:val="0"/>
          <w:numId w:val="24"/>
        </w:numPr>
        <w:overflowPunct w:val="0"/>
        <w:autoSpaceDE w:val="0"/>
        <w:autoSpaceDN w:val="0"/>
        <w:adjustRightInd w:val="0"/>
        <w:ind w:left="1080"/>
        <w:textAlignment w:val="baseline"/>
        <w:rPr>
          <w:b/>
          <w:bCs/>
          <w:sz w:val="22"/>
          <w:szCs w:val="22"/>
        </w:rPr>
      </w:pPr>
      <w:r w:rsidRPr="007A7053">
        <w:rPr>
          <w:sz w:val="22"/>
          <w:szCs w:val="22"/>
        </w:rPr>
        <w:t xml:space="preserve">This information collection does not require the use of a statistical data classification that has not been reviewed and approved by OMB. </w:t>
      </w:r>
      <w:r w:rsidRPr="004904B0" w:rsidR="0084766E">
        <w:rPr>
          <w:b/>
          <w:bCs/>
          <w:sz w:val="22"/>
          <w:szCs w:val="22"/>
        </w:rPr>
        <w:t>n/a</w:t>
      </w:r>
    </w:p>
    <w:p w:rsidRPr="007A7053" w:rsidR="00393A57" w:rsidP="00AF02E5" w:rsidRDefault="00393A57" w14:paraId="468D1AA7" w14:textId="57EA9729">
      <w:pPr>
        <w:numPr>
          <w:ilvl w:val="0"/>
          <w:numId w:val="24"/>
        </w:numPr>
        <w:overflowPunct w:val="0"/>
        <w:autoSpaceDE w:val="0"/>
        <w:autoSpaceDN w:val="0"/>
        <w:adjustRightInd w:val="0"/>
        <w:ind w:left="1080"/>
        <w:textAlignment w:val="baseline"/>
        <w:rPr>
          <w:sz w:val="22"/>
          <w:szCs w:val="22"/>
        </w:rPr>
      </w:pPr>
      <w:r w:rsidRPr="007A7053">
        <w:rPr>
          <w:sz w:val="22"/>
          <w:szCs w:val="22"/>
        </w:rPr>
        <w:t xml:space="preserve">This information collection does not include a pledge of confidentiality that is not supported by authority established in statute or regulation, that is not supported by disclosure and security policies that are consistent with the pledge, or which unnecessarily impedes sharing of data with other agencies for compatible confidential use. </w:t>
      </w:r>
      <w:r w:rsidRPr="004904B0" w:rsidR="0084766E">
        <w:rPr>
          <w:b/>
          <w:bCs/>
          <w:sz w:val="22"/>
          <w:szCs w:val="22"/>
        </w:rPr>
        <w:t>n/a</w:t>
      </w:r>
    </w:p>
    <w:p w:rsidRPr="00F15B40" w:rsidR="00393A57" w:rsidP="00AF02E5" w:rsidRDefault="00393A57" w14:paraId="2E4445FF" w14:textId="7CA5BB1C">
      <w:pPr>
        <w:numPr>
          <w:ilvl w:val="0"/>
          <w:numId w:val="24"/>
        </w:numPr>
        <w:overflowPunct w:val="0"/>
        <w:autoSpaceDE w:val="0"/>
        <w:autoSpaceDN w:val="0"/>
        <w:adjustRightInd w:val="0"/>
        <w:ind w:left="1080"/>
        <w:textAlignment w:val="baseline"/>
        <w:rPr>
          <w:sz w:val="22"/>
          <w:szCs w:val="22"/>
        </w:rPr>
      </w:pPr>
      <w:r w:rsidRPr="007A7053">
        <w:rPr>
          <w:sz w:val="22"/>
          <w:szCs w:val="22"/>
        </w:rPr>
        <w:t>This information collection does not require respondents to submit proprietary, trade secret, or other confidential information unless the agency can demonstrate that it has instituted (and not just planned) procedures to protect its confidentiality to the extent permitted by law.</w:t>
      </w:r>
      <w:r w:rsidR="0084766E">
        <w:rPr>
          <w:sz w:val="22"/>
          <w:szCs w:val="22"/>
        </w:rPr>
        <w:t xml:space="preserve"> </w:t>
      </w:r>
      <w:r w:rsidRPr="004904B0" w:rsidR="0084766E">
        <w:rPr>
          <w:b/>
          <w:bCs/>
          <w:sz w:val="22"/>
          <w:szCs w:val="22"/>
        </w:rPr>
        <w:t>n/a</w:t>
      </w:r>
    </w:p>
    <w:p w:rsidRPr="00F15B40" w:rsidR="00393A57" w:rsidP="00393A57" w:rsidRDefault="00393A57" w14:paraId="0C3E0C80" w14:textId="77777777">
      <w:pPr>
        <w:overflowPunct w:val="0"/>
        <w:autoSpaceDE w:val="0"/>
        <w:autoSpaceDN w:val="0"/>
        <w:adjustRightInd w:val="0"/>
        <w:textAlignment w:val="baseline"/>
        <w:rPr>
          <w:sz w:val="22"/>
          <w:szCs w:val="22"/>
        </w:rPr>
      </w:pPr>
    </w:p>
    <w:p w:rsidR="00AF02E5" w:rsidP="00AF02E5" w:rsidRDefault="00D73EE7" w14:paraId="077FA177" w14:textId="77777777">
      <w:pPr>
        <w:keepLines/>
        <w:tabs>
          <w:tab w:val="left" w:pos="360"/>
        </w:tabs>
        <w:spacing w:after="80"/>
        <w:ind w:left="360" w:hanging="360"/>
        <w:rPr>
          <w:b/>
          <w:color w:val="000000"/>
          <w:sz w:val="22"/>
          <w:szCs w:val="22"/>
        </w:rPr>
      </w:pPr>
      <w:r w:rsidRPr="00867668">
        <w:rPr>
          <w:b/>
          <w:color w:val="000000"/>
          <w:sz w:val="22"/>
          <w:szCs w:val="22"/>
        </w:rPr>
        <w:t>8.</w:t>
      </w:r>
      <w:r w:rsidRPr="00867668">
        <w:rPr>
          <w:b/>
          <w:color w:val="000000"/>
          <w:sz w:val="22"/>
          <w:szCs w:val="22"/>
        </w:rPr>
        <w:tab/>
        <w:t>Date and page number of the Federal Register notice (provide a copy) soliciting comments and public input</w:t>
      </w:r>
      <w:r w:rsidRPr="00867668" w:rsidR="000007ED">
        <w:rPr>
          <w:b/>
          <w:color w:val="000000"/>
          <w:sz w:val="22"/>
          <w:szCs w:val="22"/>
        </w:rPr>
        <w:t>.</w:t>
      </w:r>
      <w:r w:rsidRPr="00867668">
        <w:rPr>
          <w:b/>
          <w:color w:val="000000"/>
          <w:sz w:val="22"/>
          <w:szCs w:val="22"/>
        </w:rPr>
        <w:t xml:space="preserve"> Summarize any public comments and describe response to comments.  Describe all efforts to consult with persons outside the agency to obtain their input. </w:t>
      </w:r>
    </w:p>
    <w:p w:rsidR="00AF02E5" w:rsidP="00AF02E5" w:rsidRDefault="00AF02E5" w14:paraId="39CF5EEF" w14:textId="77777777">
      <w:pPr>
        <w:pStyle w:val="NoSpacing"/>
      </w:pPr>
    </w:p>
    <w:p w:rsidR="006F6265" w:rsidP="00AF02E5" w:rsidRDefault="00AF02E5" w14:paraId="51A17A35" w14:textId="6379D408">
      <w:pPr>
        <w:keepLines/>
        <w:tabs>
          <w:tab w:val="left" w:pos="360"/>
        </w:tabs>
        <w:spacing w:after="80"/>
        <w:ind w:left="360" w:hanging="360"/>
        <w:rPr>
          <w:color w:val="000000"/>
          <w:sz w:val="22"/>
          <w:szCs w:val="22"/>
        </w:rPr>
      </w:pPr>
      <w:r>
        <w:rPr>
          <w:b/>
          <w:color w:val="000000"/>
          <w:sz w:val="22"/>
          <w:szCs w:val="22"/>
        </w:rPr>
        <w:tab/>
      </w:r>
      <w:r w:rsidR="000007ED">
        <w:rPr>
          <w:color w:val="000000"/>
          <w:sz w:val="22"/>
          <w:szCs w:val="22"/>
        </w:rPr>
        <w:t xml:space="preserve">HUD published a notice in the Federal Register to solicit public comment on </w:t>
      </w:r>
      <w:r w:rsidR="009B374A">
        <w:rPr>
          <w:sz w:val="22"/>
          <w:szCs w:val="22"/>
        </w:rPr>
        <w:t>October 30, 2020</w:t>
      </w:r>
      <w:r w:rsidR="000007ED">
        <w:rPr>
          <w:color w:val="000000"/>
          <w:sz w:val="22"/>
          <w:szCs w:val="22"/>
        </w:rPr>
        <w:t xml:space="preserve"> in vol </w:t>
      </w:r>
      <w:r w:rsidR="009B374A">
        <w:rPr>
          <w:color w:val="000000"/>
          <w:sz w:val="22"/>
          <w:szCs w:val="22"/>
        </w:rPr>
        <w:t>85</w:t>
      </w:r>
      <w:r w:rsidR="000007ED">
        <w:rPr>
          <w:color w:val="000000"/>
          <w:sz w:val="22"/>
          <w:szCs w:val="22"/>
        </w:rPr>
        <w:t xml:space="preserve">, page </w:t>
      </w:r>
      <w:r w:rsidR="009B374A">
        <w:rPr>
          <w:color w:val="000000"/>
          <w:sz w:val="22"/>
          <w:szCs w:val="22"/>
        </w:rPr>
        <w:t>68912</w:t>
      </w:r>
      <w:r w:rsidR="000007ED">
        <w:rPr>
          <w:color w:val="000000"/>
          <w:sz w:val="22"/>
          <w:szCs w:val="22"/>
        </w:rPr>
        <w:t xml:space="preserve">. HUD received </w:t>
      </w:r>
      <w:r w:rsidR="009B374A">
        <w:rPr>
          <w:color w:val="000000"/>
          <w:sz w:val="22"/>
          <w:szCs w:val="22"/>
        </w:rPr>
        <w:t>0</w:t>
      </w:r>
      <w:r w:rsidR="000007ED">
        <w:rPr>
          <w:color w:val="000000"/>
          <w:sz w:val="22"/>
          <w:szCs w:val="22"/>
        </w:rPr>
        <w:t xml:space="preserve"> comments. </w:t>
      </w:r>
    </w:p>
    <w:p w:rsidRPr="003B27A6" w:rsidR="00D73EE7" w:rsidRDefault="00D73EE7" w14:paraId="3ADA29FB" w14:textId="77777777">
      <w:pPr>
        <w:tabs>
          <w:tab w:val="left" w:pos="360"/>
        </w:tabs>
        <w:ind w:left="360" w:hanging="360"/>
        <w:rPr>
          <w:color w:val="000000"/>
          <w:sz w:val="22"/>
          <w:szCs w:val="22"/>
        </w:rPr>
      </w:pPr>
    </w:p>
    <w:p w:rsidR="00AF02E5" w:rsidP="00AF02E5" w:rsidRDefault="00D73EE7" w14:paraId="5B1426E4" w14:textId="77777777">
      <w:pPr>
        <w:keepLines/>
        <w:tabs>
          <w:tab w:val="left" w:pos="360"/>
        </w:tabs>
        <w:spacing w:after="80"/>
        <w:ind w:left="360" w:hanging="360"/>
        <w:rPr>
          <w:b/>
          <w:color w:val="000000"/>
          <w:sz w:val="22"/>
          <w:szCs w:val="22"/>
        </w:rPr>
      </w:pPr>
      <w:r w:rsidRPr="00867668">
        <w:rPr>
          <w:b/>
          <w:color w:val="000000"/>
          <w:sz w:val="22"/>
          <w:szCs w:val="22"/>
        </w:rPr>
        <w:t>9.</w:t>
      </w:r>
      <w:r w:rsidRPr="00867668">
        <w:rPr>
          <w:b/>
          <w:color w:val="000000"/>
          <w:sz w:val="22"/>
          <w:szCs w:val="22"/>
        </w:rPr>
        <w:tab/>
        <w:t xml:space="preserve">Explain any </w:t>
      </w:r>
      <w:r w:rsidRPr="00867668" w:rsidR="00867668">
        <w:rPr>
          <w:b/>
          <w:color w:val="000000"/>
          <w:sz w:val="22"/>
          <w:szCs w:val="22"/>
        </w:rPr>
        <w:t xml:space="preserve">decision to provide any </w:t>
      </w:r>
      <w:r w:rsidRPr="00867668">
        <w:rPr>
          <w:b/>
          <w:color w:val="000000"/>
          <w:sz w:val="22"/>
          <w:szCs w:val="22"/>
        </w:rPr>
        <w:t>payment or gift to respondents, other than remuneration of contractors or grantees.</w:t>
      </w:r>
    </w:p>
    <w:p w:rsidR="00AF02E5" w:rsidP="00AF02E5" w:rsidRDefault="00AF02E5" w14:paraId="32EF1914" w14:textId="77777777">
      <w:pPr>
        <w:pStyle w:val="NoSpacing"/>
      </w:pPr>
    </w:p>
    <w:p w:rsidRPr="00AF02E5" w:rsidR="00F15B40" w:rsidP="00AF02E5" w:rsidRDefault="00AF02E5" w14:paraId="56C741E9" w14:textId="19A1E3D8">
      <w:pPr>
        <w:keepLines/>
        <w:tabs>
          <w:tab w:val="left" w:pos="360"/>
        </w:tabs>
        <w:spacing w:after="80"/>
        <w:ind w:left="360" w:hanging="360"/>
        <w:rPr>
          <w:b/>
          <w:color w:val="000000"/>
          <w:sz w:val="22"/>
          <w:szCs w:val="22"/>
        </w:rPr>
      </w:pPr>
      <w:r>
        <w:rPr>
          <w:b/>
          <w:color w:val="000000"/>
          <w:sz w:val="22"/>
          <w:szCs w:val="22"/>
        </w:rPr>
        <w:tab/>
      </w:r>
      <w:r w:rsidR="000007ED">
        <w:rPr>
          <w:sz w:val="22"/>
          <w:szCs w:val="22"/>
        </w:rPr>
        <w:t>These circumstances are not applicable to the HOPWA program since HUD does not provide payment.</w:t>
      </w:r>
    </w:p>
    <w:p w:rsidRPr="003B27A6" w:rsidR="00D73EE7" w:rsidRDefault="00D73EE7" w14:paraId="35386FF2" w14:textId="77777777">
      <w:pPr>
        <w:tabs>
          <w:tab w:val="left" w:pos="360"/>
        </w:tabs>
        <w:ind w:left="360" w:hanging="360"/>
        <w:rPr>
          <w:color w:val="000000"/>
          <w:sz w:val="22"/>
          <w:szCs w:val="22"/>
        </w:rPr>
      </w:pPr>
    </w:p>
    <w:p w:rsidRPr="008A4BF0" w:rsidR="00D73EE7" w:rsidRDefault="00D73EE7" w14:paraId="512B6AC2" w14:textId="77777777">
      <w:pPr>
        <w:keepLines/>
        <w:tabs>
          <w:tab w:val="left" w:pos="360"/>
        </w:tabs>
        <w:spacing w:after="80"/>
        <w:ind w:left="360" w:hanging="360"/>
        <w:rPr>
          <w:b/>
          <w:color w:val="000000"/>
          <w:sz w:val="22"/>
          <w:szCs w:val="22"/>
        </w:rPr>
      </w:pPr>
      <w:r w:rsidRPr="00867668">
        <w:rPr>
          <w:b/>
          <w:color w:val="000000"/>
          <w:sz w:val="22"/>
          <w:szCs w:val="22"/>
        </w:rPr>
        <w:t>10.</w:t>
      </w:r>
      <w:r w:rsidRPr="00867668">
        <w:rPr>
          <w:b/>
          <w:color w:val="000000"/>
          <w:sz w:val="22"/>
          <w:szCs w:val="22"/>
        </w:rPr>
        <w:tab/>
        <w:t xml:space="preserve">Describe any assurance of confidentiality provided to respondents and the basis for assurance in statute, </w:t>
      </w:r>
      <w:proofErr w:type="gramStart"/>
      <w:r w:rsidRPr="00867668">
        <w:rPr>
          <w:b/>
          <w:color w:val="000000"/>
          <w:sz w:val="22"/>
          <w:szCs w:val="22"/>
        </w:rPr>
        <w:t>regulation</w:t>
      </w:r>
      <w:proofErr w:type="gramEnd"/>
      <w:r w:rsidRPr="00867668">
        <w:rPr>
          <w:b/>
          <w:color w:val="000000"/>
          <w:sz w:val="22"/>
          <w:szCs w:val="22"/>
        </w:rPr>
        <w:t xml:space="preserve"> or agency policy.</w:t>
      </w:r>
    </w:p>
    <w:p w:rsidR="000007ED" w:rsidP="00AF02E5" w:rsidRDefault="000C67AE" w14:paraId="122C7A29" w14:textId="5BAE0E15">
      <w:pPr>
        <w:keepLines/>
        <w:tabs>
          <w:tab w:val="left" w:pos="0"/>
        </w:tabs>
        <w:spacing w:before="240" w:after="80"/>
        <w:ind w:left="360"/>
        <w:rPr>
          <w:color w:val="000000"/>
          <w:sz w:val="22"/>
          <w:szCs w:val="22"/>
        </w:rPr>
      </w:pPr>
      <w:r>
        <w:rPr>
          <w:color w:val="000000"/>
          <w:sz w:val="22"/>
          <w:szCs w:val="22"/>
        </w:rPr>
        <w:t xml:space="preserve">42 U.S.C. § 12905(e) and </w:t>
      </w:r>
      <w:r w:rsidR="000007ED">
        <w:rPr>
          <w:color w:val="000000"/>
          <w:sz w:val="22"/>
          <w:szCs w:val="22"/>
        </w:rPr>
        <w:t xml:space="preserve">24 CFR 574.440 </w:t>
      </w:r>
      <w:r>
        <w:rPr>
          <w:color w:val="000000"/>
          <w:sz w:val="22"/>
          <w:szCs w:val="22"/>
        </w:rPr>
        <w:t>require</w:t>
      </w:r>
      <w:r w:rsidR="000007ED">
        <w:rPr>
          <w:color w:val="000000"/>
          <w:sz w:val="22"/>
          <w:szCs w:val="22"/>
        </w:rPr>
        <w:t xml:space="preserve"> that grantees and their respective project sponsors maintain the confidentiality and identities of HOPWA program participants</w:t>
      </w:r>
      <w:r>
        <w:rPr>
          <w:color w:val="000000"/>
          <w:sz w:val="22"/>
          <w:szCs w:val="22"/>
        </w:rPr>
        <w:t>, which includes</w:t>
      </w:r>
      <w:r w:rsidR="000007ED">
        <w:rPr>
          <w:color w:val="000000"/>
          <w:sz w:val="22"/>
          <w:szCs w:val="22"/>
        </w:rPr>
        <w:t xml:space="preserve"> that sufficient processes are in place to ensure sound confidential recordkeeping. </w:t>
      </w:r>
      <w:r>
        <w:rPr>
          <w:color w:val="000000"/>
          <w:sz w:val="22"/>
          <w:szCs w:val="22"/>
        </w:rPr>
        <w:t>A</w:t>
      </w:r>
      <w:r w:rsidR="000007ED">
        <w:rPr>
          <w:color w:val="000000"/>
          <w:sz w:val="22"/>
          <w:szCs w:val="22"/>
        </w:rPr>
        <w:t xml:space="preserve">ll forms </w:t>
      </w:r>
      <w:proofErr w:type="gramStart"/>
      <w:r w:rsidR="000007ED">
        <w:rPr>
          <w:color w:val="000000"/>
          <w:sz w:val="22"/>
          <w:szCs w:val="22"/>
        </w:rPr>
        <w:t xml:space="preserve">are in compliance </w:t>
      </w:r>
      <w:r w:rsidR="00F7313B">
        <w:rPr>
          <w:color w:val="000000"/>
          <w:sz w:val="22"/>
          <w:szCs w:val="22"/>
        </w:rPr>
        <w:t>with</w:t>
      </w:r>
      <w:proofErr w:type="gramEnd"/>
      <w:r w:rsidR="00F7313B">
        <w:rPr>
          <w:color w:val="000000"/>
          <w:sz w:val="22"/>
          <w:szCs w:val="22"/>
        </w:rPr>
        <w:t xml:space="preserve"> this requirement. </w:t>
      </w:r>
    </w:p>
    <w:p w:rsidRPr="003B27A6" w:rsidR="00D73EE7" w:rsidRDefault="00D73EE7" w14:paraId="4F572726" w14:textId="77777777">
      <w:pPr>
        <w:tabs>
          <w:tab w:val="left" w:pos="360"/>
        </w:tabs>
        <w:ind w:left="360" w:hanging="360"/>
        <w:rPr>
          <w:color w:val="000000"/>
          <w:sz w:val="22"/>
          <w:szCs w:val="22"/>
        </w:rPr>
      </w:pPr>
    </w:p>
    <w:p w:rsidRPr="004B50F0" w:rsidR="00B1027E" w:rsidP="00267E0E" w:rsidRDefault="00D73EE7" w14:paraId="5D85B5BE" w14:textId="77777777">
      <w:pPr>
        <w:keepLines/>
        <w:tabs>
          <w:tab w:val="left" w:pos="360"/>
          <w:tab w:val="left" w:pos="720"/>
        </w:tabs>
        <w:ind w:left="360" w:hanging="360"/>
        <w:rPr>
          <w:b/>
          <w:color w:val="000000"/>
          <w:sz w:val="22"/>
          <w:szCs w:val="22"/>
        </w:rPr>
      </w:pPr>
      <w:r w:rsidRPr="006D5A69">
        <w:rPr>
          <w:b/>
          <w:color w:val="000000"/>
          <w:sz w:val="22"/>
          <w:szCs w:val="22"/>
        </w:rPr>
        <w:t>11.</w:t>
      </w:r>
      <w:r w:rsidRPr="006D5A69">
        <w:rPr>
          <w:b/>
          <w:color w:val="000000"/>
          <w:sz w:val="22"/>
          <w:szCs w:val="22"/>
        </w:rPr>
        <w:tab/>
        <w:t>Justify any questions of a sensitive nature, such as sexual, religious beliefs, and other matters that are commonly considered private</w:t>
      </w:r>
      <w:r w:rsidRPr="006D5A69" w:rsidR="00B1027E">
        <w:rPr>
          <w:b/>
          <w:color w:val="000000"/>
          <w:sz w:val="22"/>
          <w:szCs w:val="22"/>
        </w:rPr>
        <w:t>.</w:t>
      </w:r>
    </w:p>
    <w:p w:rsidR="00B1027E" w:rsidP="00AF02E5" w:rsidRDefault="00F7313B" w14:paraId="6D9A2B2A" w14:textId="75C169D1">
      <w:pPr>
        <w:keepLines/>
        <w:tabs>
          <w:tab w:val="left" w:pos="0"/>
          <w:tab w:val="left" w:pos="720"/>
        </w:tabs>
        <w:spacing w:before="240"/>
        <w:ind w:left="360"/>
        <w:rPr>
          <w:color w:val="000000"/>
          <w:sz w:val="22"/>
          <w:szCs w:val="22"/>
        </w:rPr>
      </w:pPr>
      <w:r>
        <w:rPr>
          <w:color w:val="000000"/>
          <w:sz w:val="22"/>
          <w:szCs w:val="22"/>
        </w:rPr>
        <w:t xml:space="preserve">No questions of a sensitive matter are included as part of the requested or required submission of these application submission or reporting requirements. </w:t>
      </w:r>
    </w:p>
    <w:p w:rsidR="00AF02E5" w:rsidP="00AF02E5" w:rsidRDefault="00AF02E5" w14:paraId="180563BA" w14:textId="21CF8BB2">
      <w:pPr>
        <w:keepLines/>
        <w:tabs>
          <w:tab w:val="left" w:pos="0"/>
          <w:tab w:val="left" w:pos="720"/>
        </w:tabs>
        <w:spacing w:before="240"/>
        <w:ind w:left="360"/>
        <w:rPr>
          <w:color w:val="000000"/>
          <w:sz w:val="22"/>
          <w:szCs w:val="22"/>
        </w:rPr>
      </w:pPr>
    </w:p>
    <w:p w:rsidRPr="003B27A6" w:rsidR="00AF02E5" w:rsidP="00AF02E5" w:rsidRDefault="00AF02E5" w14:paraId="322EFD30" w14:textId="77777777">
      <w:pPr>
        <w:keepLines/>
        <w:tabs>
          <w:tab w:val="left" w:pos="0"/>
          <w:tab w:val="left" w:pos="720"/>
        </w:tabs>
        <w:spacing w:before="240"/>
        <w:ind w:left="360"/>
        <w:rPr>
          <w:color w:val="000000"/>
          <w:sz w:val="22"/>
          <w:szCs w:val="22"/>
        </w:rPr>
      </w:pPr>
    </w:p>
    <w:p w:rsidRPr="003B27A6" w:rsidR="00D73EE7" w:rsidRDefault="00D73EE7" w14:paraId="4E76CEBC" w14:textId="77777777">
      <w:pPr>
        <w:keepLines/>
        <w:tabs>
          <w:tab w:val="left" w:pos="360"/>
        </w:tabs>
        <w:ind w:left="360" w:hanging="360"/>
        <w:rPr>
          <w:color w:val="000000"/>
          <w:sz w:val="22"/>
          <w:szCs w:val="22"/>
        </w:rPr>
      </w:pPr>
    </w:p>
    <w:p w:rsidR="00E86574" w:rsidRDefault="00D73EE7" w14:paraId="3EE5F277" w14:textId="4C7983BA">
      <w:pPr>
        <w:keepLines/>
        <w:tabs>
          <w:tab w:val="left" w:pos="360"/>
          <w:tab w:val="left" w:pos="720"/>
        </w:tabs>
        <w:ind w:left="360" w:hanging="360"/>
        <w:rPr>
          <w:b/>
          <w:color w:val="000000"/>
          <w:sz w:val="22"/>
          <w:szCs w:val="22"/>
        </w:rPr>
      </w:pPr>
      <w:r w:rsidRPr="006D5A69">
        <w:rPr>
          <w:b/>
          <w:color w:val="000000"/>
          <w:sz w:val="22"/>
          <w:szCs w:val="22"/>
        </w:rPr>
        <w:lastRenderedPageBreak/>
        <w:t>12.</w:t>
      </w:r>
      <w:r w:rsidRPr="006D5A69">
        <w:rPr>
          <w:b/>
          <w:color w:val="000000"/>
          <w:sz w:val="22"/>
          <w:szCs w:val="22"/>
        </w:rPr>
        <w:tab/>
      </w:r>
      <w:r w:rsidRPr="006D5A69" w:rsidR="006D5A69">
        <w:rPr>
          <w:b/>
          <w:color w:val="000000"/>
          <w:sz w:val="22"/>
          <w:szCs w:val="22"/>
        </w:rPr>
        <w:t xml:space="preserve">Provide estimates of the hour burden </w:t>
      </w:r>
      <w:r w:rsidRPr="009B57FB" w:rsidR="006D5A69">
        <w:rPr>
          <w:b/>
          <w:color w:val="000000"/>
          <w:sz w:val="22"/>
          <w:szCs w:val="22"/>
        </w:rPr>
        <w:t xml:space="preserve">and </w:t>
      </w:r>
      <w:r w:rsidRPr="009B57FB" w:rsidR="009B57FB">
        <w:rPr>
          <w:b/>
          <w:color w:val="000000"/>
          <w:sz w:val="22"/>
          <w:szCs w:val="22"/>
        </w:rPr>
        <w:t xml:space="preserve">annualized </w:t>
      </w:r>
      <w:r w:rsidRPr="009B57FB" w:rsidR="006D5A69">
        <w:rPr>
          <w:b/>
          <w:color w:val="000000"/>
          <w:sz w:val="22"/>
          <w:szCs w:val="22"/>
        </w:rPr>
        <w:t>cost</w:t>
      </w:r>
      <w:r w:rsidRPr="009B57FB" w:rsidR="009B57FB">
        <w:rPr>
          <w:b/>
          <w:color w:val="000000"/>
          <w:sz w:val="22"/>
          <w:szCs w:val="22"/>
        </w:rPr>
        <w:t>s</w:t>
      </w:r>
      <w:r w:rsidRPr="006D5A69" w:rsidR="006D5A69">
        <w:rPr>
          <w:b/>
          <w:color w:val="000000"/>
          <w:sz w:val="22"/>
          <w:szCs w:val="22"/>
        </w:rPr>
        <w:t xml:space="preserve"> of the collection of information for Grant Recipients. </w:t>
      </w:r>
    </w:p>
    <w:p w:rsidR="00AF02E5" w:rsidRDefault="00AF02E5" w14:paraId="6CBF4983" w14:textId="77777777">
      <w:pPr>
        <w:keepLines/>
        <w:tabs>
          <w:tab w:val="left" w:pos="360"/>
          <w:tab w:val="left" w:pos="720"/>
        </w:tabs>
        <w:ind w:left="360" w:hanging="360"/>
        <w:rPr>
          <w:b/>
          <w:color w:val="000000"/>
          <w:sz w:val="22"/>
          <w:szCs w:val="22"/>
        </w:rPr>
      </w:pPr>
    </w:p>
    <w:p w:rsidRPr="0089639C" w:rsidR="00CC6264" w:rsidP="00AF02E5" w:rsidRDefault="00CC6264" w14:paraId="5EADFF10" w14:textId="6029616C">
      <w:pPr>
        <w:ind w:left="360"/>
        <w:jc w:val="both"/>
        <w:rPr>
          <w:rFonts w:eastAsia="Calibri" w:cs="Arial"/>
          <w:bCs/>
          <w:sz w:val="22"/>
          <w:szCs w:val="22"/>
        </w:rPr>
      </w:pPr>
      <w:r w:rsidRPr="0089639C">
        <w:rPr>
          <w:rFonts w:eastAsia="Calibri" w:cs="Arial"/>
          <w:bCs/>
          <w:sz w:val="22"/>
          <w:szCs w:val="22"/>
        </w:rPr>
        <w:t xml:space="preserve">The public reporting burden for this collection of information is estimated to average 40.0 hours, including the time for reviewing instructions, searching existing data sources, </w:t>
      </w:r>
      <w:proofErr w:type="gramStart"/>
      <w:r w:rsidRPr="0089639C">
        <w:rPr>
          <w:rFonts w:eastAsia="Calibri" w:cs="Arial"/>
          <w:bCs/>
          <w:sz w:val="22"/>
          <w:szCs w:val="22"/>
        </w:rPr>
        <w:t>gathering</w:t>
      </w:r>
      <w:proofErr w:type="gramEnd"/>
      <w:r w:rsidRPr="0089639C">
        <w:rPr>
          <w:rFonts w:eastAsia="Calibri" w:cs="Arial"/>
          <w:bCs/>
          <w:sz w:val="22"/>
          <w:szCs w:val="22"/>
        </w:rPr>
        <w:t xml:space="preserve"> and maintaining the data needed, and completing and reviewing the collection of information. </w:t>
      </w:r>
    </w:p>
    <w:p w:rsidRPr="0089639C" w:rsidR="006B2986" w:rsidP="00AF02E5" w:rsidRDefault="006B2986" w14:paraId="2E8B592E" w14:textId="77777777">
      <w:pPr>
        <w:ind w:left="360"/>
        <w:jc w:val="both"/>
        <w:rPr>
          <w:rFonts w:eastAsia="Calibri" w:cs="Arial"/>
          <w:bCs/>
          <w:sz w:val="22"/>
          <w:szCs w:val="22"/>
        </w:rPr>
      </w:pPr>
    </w:p>
    <w:p w:rsidRPr="0089639C" w:rsidR="00CC6264" w:rsidP="00AF02E5" w:rsidRDefault="00CC6264" w14:paraId="541EDE9B" w14:textId="32E91799">
      <w:pPr>
        <w:ind w:left="360"/>
        <w:jc w:val="both"/>
        <w:rPr>
          <w:rFonts w:eastAsia="Calibri" w:cs="Arial"/>
          <w:bCs/>
          <w:sz w:val="22"/>
          <w:szCs w:val="22"/>
        </w:rPr>
      </w:pPr>
      <w:r w:rsidRPr="0089639C">
        <w:rPr>
          <w:rFonts w:eastAsia="Calibri" w:cs="Arial"/>
          <w:bCs/>
          <w:sz w:val="22"/>
          <w:szCs w:val="22"/>
        </w:rPr>
        <w:t>APR and CAPER Reports for HOPWA formula grantees and competitive grantees provide HUD with annual information to support program evaluation and measure program beneficiary outcomes related to maintaining housing stability; preventing homelessness; and improving access to care and support.  This collection of information consolidates the information in the APR and CAPER reports and clarifies reporting requirements, which will allow HUD’s Office of HIV/AIDS Housing to better respond to data calls from Congress and make better program decisions based on more relevant grantee annual data.  Reporting is required for all HOPWA grantees pursuant to 42 U.S.C. § 12911; 24 CFR §§ 574.520(a) and (b); 24 CFR § 91.520(f). The information collected regarding grantees, their respective project sponsors, and the identities of HOPWA program participants will remain confidential pursuant to 42 U.S.C. § 12905(e) and 24 § CFR 574.440.  </w:t>
      </w:r>
    </w:p>
    <w:p w:rsidRPr="0089639C" w:rsidR="006B2986" w:rsidP="00AF02E5" w:rsidRDefault="006B2986" w14:paraId="333B12E9" w14:textId="77777777">
      <w:pPr>
        <w:ind w:left="360"/>
        <w:jc w:val="both"/>
        <w:rPr>
          <w:rFonts w:eastAsia="Calibri" w:cs="Arial"/>
          <w:bCs/>
          <w:sz w:val="22"/>
          <w:szCs w:val="22"/>
        </w:rPr>
      </w:pPr>
    </w:p>
    <w:p w:rsidRPr="0089639C" w:rsidR="00CC6264" w:rsidP="00AF02E5" w:rsidRDefault="00CC6264" w14:paraId="3F4EB953" w14:textId="77777777">
      <w:pPr>
        <w:ind w:left="360"/>
        <w:jc w:val="both"/>
        <w:rPr>
          <w:rFonts w:eastAsia="Calibri" w:cs="Arial"/>
          <w:bCs/>
          <w:sz w:val="22"/>
          <w:szCs w:val="22"/>
        </w:rPr>
      </w:pPr>
      <w:r w:rsidRPr="0089639C">
        <w:rPr>
          <w:rFonts w:eastAsia="Calibri" w:cs="Arial"/>
          <w:bCs/>
          <w:sz w:val="22"/>
          <w:szCs w:val="22"/>
        </w:rPr>
        <w:t>Send comments regarding this burden estimate or any other aspect of this collection of information, including suggestions to reduce this burden, to Colette Pollard, Reports Management Officer, Department of Housing and Urban Development, 451 7</w:t>
      </w:r>
      <w:r w:rsidRPr="0089639C">
        <w:rPr>
          <w:rFonts w:eastAsia="Calibri" w:cs="Arial"/>
          <w:bCs/>
          <w:sz w:val="22"/>
          <w:szCs w:val="22"/>
          <w:vertAlign w:val="superscript"/>
        </w:rPr>
        <w:t>th</w:t>
      </w:r>
      <w:r w:rsidRPr="0089639C">
        <w:rPr>
          <w:rFonts w:eastAsia="Calibri" w:cs="Arial"/>
          <w:bCs/>
          <w:sz w:val="22"/>
          <w:szCs w:val="22"/>
        </w:rPr>
        <w:t xml:space="preserve"> Street SW, Room 4176, Washington, DC 20410-5000. When providing comments, please refer to OMB Control No. 2506-0133.  HUD may not conduct and sponsor, and a person is not required to respond to, a collection of information unless the collection displays a valid OMB Control Number.  </w:t>
      </w:r>
    </w:p>
    <w:p w:rsidRPr="00525AFD" w:rsidR="00CC6264" w:rsidP="00AF02E5" w:rsidRDefault="00CC6264" w14:paraId="4A2876E6" w14:textId="77777777">
      <w:pPr>
        <w:ind w:left="1080"/>
        <w:jc w:val="both"/>
        <w:rPr>
          <w:rFonts w:cstheme="minorHAnsi"/>
          <w:color w:val="FF0000"/>
          <w:sz w:val="20"/>
          <w:szCs w:val="20"/>
        </w:rPr>
      </w:pPr>
    </w:p>
    <w:p w:rsidR="007639EC" w:rsidP="00AF02E5" w:rsidRDefault="007639EC" w14:paraId="0299B920" w14:textId="6448CA47">
      <w:pPr>
        <w:keepLines/>
        <w:tabs>
          <w:tab w:val="left" w:pos="0"/>
          <w:tab w:val="left" w:pos="720"/>
        </w:tabs>
        <w:ind w:left="360"/>
        <w:rPr>
          <w:color w:val="000000"/>
          <w:sz w:val="22"/>
          <w:szCs w:val="22"/>
        </w:rPr>
      </w:pPr>
      <w:r w:rsidRPr="009B57FB">
        <w:rPr>
          <w:color w:val="000000"/>
          <w:sz w:val="22"/>
          <w:szCs w:val="22"/>
        </w:rPr>
        <w:t>This chart reflects the public burden for OMB approval 2506-0133 adjusted</w:t>
      </w:r>
      <w:r>
        <w:rPr>
          <w:color w:val="000000"/>
          <w:sz w:val="22"/>
          <w:szCs w:val="22"/>
        </w:rPr>
        <w:t xml:space="preserve"> to </w:t>
      </w:r>
      <w:r w:rsidR="000044CA">
        <w:rPr>
          <w:color w:val="000000"/>
          <w:sz w:val="22"/>
          <w:szCs w:val="22"/>
        </w:rPr>
        <w:t xml:space="preserve">represent a phase-in of </w:t>
      </w:r>
      <w:r>
        <w:rPr>
          <w:color w:val="000000"/>
          <w:sz w:val="22"/>
          <w:szCs w:val="22"/>
        </w:rPr>
        <w:t>the new consolidated APR/CAPER data elements represented in this submission (see “</w:t>
      </w:r>
      <w:r w:rsidRPr="000044CA" w:rsidR="000044CA">
        <w:rPr>
          <w:color w:val="000000"/>
          <w:sz w:val="22"/>
          <w:szCs w:val="22"/>
        </w:rPr>
        <w:t>New consolidated data elements (HUD-</w:t>
      </w:r>
      <w:r w:rsidR="009021B0">
        <w:rPr>
          <w:color w:val="000000"/>
          <w:sz w:val="22"/>
          <w:szCs w:val="22"/>
        </w:rPr>
        <w:t>4155</w:t>
      </w:r>
      <w:r w:rsidRPr="000044CA" w:rsidR="000044CA">
        <w:rPr>
          <w:color w:val="000000"/>
          <w:sz w:val="22"/>
          <w:szCs w:val="22"/>
        </w:rPr>
        <w:t>)</w:t>
      </w:r>
      <w:r>
        <w:rPr>
          <w:color w:val="000000"/>
          <w:sz w:val="22"/>
          <w:szCs w:val="22"/>
        </w:rPr>
        <w:t>” line)</w:t>
      </w:r>
      <w:r w:rsidRPr="00F02998">
        <w:rPr>
          <w:color w:val="000000"/>
          <w:sz w:val="22"/>
          <w:szCs w:val="22"/>
        </w:rPr>
        <w:t>.</w:t>
      </w:r>
      <w:r>
        <w:rPr>
          <w:color w:val="000000"/>
          <w:sz w:val="22"/>
          <w:szCs w:val="22"/>
        </w:rPr>
        <w:t xml:space="preserve"> </w:t>
      </w:r>
      <w:r w:rsidR="000044CA">
        <w:rPr>
          <w:color w:val="000000"/>
          <w:sz w:val="22"/>
          <w:szCs w:val="22"/>
        </w:rPr>
        <w:t>After completion of a full reporting year using the currently approved HUD-40110-C and HUD-40110-D reporting forms, t</w:t>
      </w:r>
      <w:r>
        <w:rPr>
          <w:color w:val="000000"/>
          <w:sz w:val="22"/>
          <w:szCs w:val="22"/>
        </w:rPr>
        <w:t xml:space="preserve">he new consolidated APR/CAPER represented in this submission will be submitted annually by all 128 formula grantees, 82 competitive renewal grantees, eight (8) current HOPWA competitive grantees, and 26 expected new competitive SPNS grantees. </w:t>
      </w:r>
    </w:p>
    <w:p w:rsidR="00CC6264" w:rsidRDefault="00CC6264" w14:paraId="69C1BDF1" w14:textId="48A0ADA7">
      <w:pPr>
        <w:keepLines/>
        <w:tabs>
          <w:tab w:val="left" w:pos="360"/>
          <w:tab w:val="left" w:pos="720"/>
        </w:tabs>
        <w:ind w:left="360" w:hanging="360"/>
        <w:rPr>
          <w:b/>
          <w:color w:val="000000"/>
          <w:sz w:val="22"/>
          <w:szCs w:val="22"/>
        </w:rPr>
      </w:pPr>
    </w:p>
    <w:p w:rsidR="00CC6264" w:rsidRDefault="00CC6264" w14:paraId="5732B71C" w14:textId="77777777">
      <w:pPr>
        <w:keepLines/>
        <w:tabs>
          <w:tab w:val="left" w:pos="360"/>
          <w:tab w:val="left" w:pos="720"/>
        </w:tabs>
        <w:ind w:left="360" w:hanging="360"/>
        <w:rPr>
          <w:b/>
          <w:color w:val="000000"/>
          <w:sz w:val="22"/>
          <w:szCs w:val="22"/>
        </w:rPr>
      </w:pPr>
    </w:p>
    <w:tbl>
      <w:tblPr>
        <w:tblW w:w="9417"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0"/>
        <w:gridCol w:w="1170"/>
        <w:gridCol w:w="1107"/>
        <w:gridCol w:w="1083"/>
        <w:gridCol w:w="1000"/>
        <w:gridCol w:w="1000"/>
        <w:gridCol w:w="917"/>
        <w:gridCol w:w="1250"/>
      </w:tblGrid>
      <w:tr w:rsidRPr="00AF02E5" w:rsidR="000D6D4F" w:rsidTr="00AF02E5" w14:paraId="3D57AE1C" w14:textId="77777777">
        <w:trPr>
          <w:trHeight w:val="694"/>
        </w:trPr>
        <w:tc>
          <w:tcPr>
            <w:tcW w:w="1890" w:type="dxa"/>
            <w:shd w:val="clear" w:color="auto" w:fill="auto"/>
          </w:tcPr>
          <w:p w:rsidRPr="00AF02E5" w:rsidR="000D6D4F" w:rsidP="00A774F6" w:rsidRDefault="000D6D4F" w14:paraId="62A057AD" w14:textId="77777777">
            <w:pPr>
              <w:jc w:val="center"/>
              <w:rPr>
                <w:color w:val="000000"/>
                <w:sz w:val="18"/>
                <w:szCs w:val="18"/>
              </w:rPr>
            </w:pPr>
            <w:bookmarkStart w:name="_Hlk71266454" w:id="2"/>
            <w:r w:rsidRPr="00AF02E5">
              <w:rPr>
                <w:color w:val="000000"/>
                <w:sz w:val="18"/>
                <w:szCs w:val="18"/>
              </w:rPr>
              <w:t>Information Collection</w:t>
            </w:r>
          </w:p>
        </w:tc>
        <w:tc>
          <w:tcPr>
            <w:tcW w:w="1170" w:type="dxa"/>
            <w:shd w:val="clear" w:color="auto" w:fill="auto"/>
          </w:tcPr>
          <w:p w:rsidRPr="00AF02E5" w:rsidR="000D6D4F" w:rsidP="00A774F6" w:rsidRDefault="000D6D4F" w14:paraId="3C507FE2" w14:textId="77777777">
            <w:pPr>
              <w:jc w:val="center"/>
              <w:rPr>
                <w:color w:val="000000"/>
                <w:sz w:val="18"/>
                <w:szCs w:val="18"/>
              </w:rPr>
            </w:pPr>
            <w:r w:rsidRPr="00AF02E5">
              <w:rPr>
                <w:color w:val="000000"/>
                <w:sz w:val="18"/>
                <w:szCs w:val="18"/>
              </w:rPr>
              <w:t>Number of Respondents</w:t>
            </w:r>
          </w:p>
        </w:tc>
        <w:tc>
          <w:tcPr>
            <w:tcW w:w="1107" w:type="dxa"/>
            <w:shd w:val="clear" w:color="auto" w:fill="auto"/>
          </w:tcPr>
          <w:p w:rsidRPr="00AF02E5" w:rsidR="000D6D4F" w:rsidP="00A774F6" w:rsidRDefault="000D6D4F" w14:paraId="7746DA7D" w14:textId="3F68BC1E">
            <w:pPr>
              <w:jc w:val="center"/>
              <w:rPr>
                <w:color w:val="000000"/>
                <w:sz w:val="18"/>
                <w:szCs w:val="18"/>
              </w:rPr>
            </w:pPr>
            <w:r w:rsidRPr="00AF02E5">
              <w:rPr>
                <w:color w:val="000000"/>
                <w:sz w:val="18"/>
                <w:szCs w:val="18"/>
              </w:rPr>
              <w:t>Frequency of Response</w:t>
            </w:r>
          </w:p>
        </w:tc>
        <w:tc>
          <w:tcPr>
            <w:tcW w:w="1083" w:type="dxa"/>
            <w:shd w:val="clear" w:color="auto" w:fill="auto"/>
          </w:tcPr>
          <w:p w:rsidRPr="00AF02E5" w:rsidR="000D6D4F" w:rsidP="00A774F6" w:rsidRDefault="000D6D4F" w14:paraId="7438E1FF" w14:textId="77777777">
            <w:pPr>
              <w:autoSpaceDN w:val="0"/>
              <w:jc w:val="center"/>
              <w:rPr>
                <w:color w:val="000000"/>
                <w:sz w:val="18"/>
                <w:szCs w:val="18"/>
              </w:rPr>
            </w:pPr>
            <w:r w:rsidRPr="00AF02E5">
              <w:rPr>
                <w:color w:val="000000"/>
                <w:sz w:val="18"/>
                <w:szCs w:val="18"/>
              </w:rPr>
              <w:t>Responses</w:t>
            </w:r>
          </w:p>
          <w:p w:rsidRPr="00AF02E5" w:rsidR="000D6D4F" w:rsidP="00A774F6" w:rsidRDefault="000D6D4F" w14:paraId="4542E5C1" w14:textId="77777777">
            <w:pPr>
              <w:jc w:val="center"/>
              <w:rPr>
                <w:color w:val="000000"/>
                <w:sz w:val="18"/>
                <w:szCs w:val="18"/>
              </w:rPr>
            </w:pPr>
            <w:r w:rsidRPr="00AF02E5">
              <w:rPr>
                <w:color w:val="000000"/>
                <w:sz w:val="18"/>
                <w:szCs w:val="18"/>
              </w:rPr>
              <w:t>Per Annum</w:t>
            </w:r>
          </w:p>
        </w:tc>
        <w:tc>
          <w:tcPr>
            <w:tcW w:w="1000" w:type="dxa"/>
            <w:shd w:val="clear" w:color="auto" w:fill="auto"/>
          </w:tcPr>
          <w:p w:rsidRPr="00AF02E5" w:rsidR="000D6D4F" w:rsidP="00A774F6" w:rsidRDefault="000D6D4F" w14:paraId="3274E92B" w14:textId="77777777">
            <w:pPr>
              <w:jc w:val="center"/>
              <w:rPr>
                <w:color w:val="000000"/>
                <w:sz w:val="18"/>
                <w:szCs w:val="18"/>
              </w:rPr>
            </w:pPr>
            <w:r w:rsidRPr="00AF02E5">
              <w:rPr>
                <w:color w:val="000000"/>
                <w:sz w:val="18"/>
                <w:szCs w:val="18"/>
              </w:rPr>
              <w:t>Burden Hour Per Response</w:t>
            </w:r>
          </w:p>
        </w:tc>
        <w:tc>
          <w:tcPr>
            <w:tcW w:w="1000" w:type="dxa"/>
            <w:shd w:val="clear" w:color="auto" w:fill="auto"/>
          </w:tcPr>
          <w:p w:rsidRPr="00AF02E5" w:rsidR="000D6D4F" w:rsidP="00A774F6" w:rsidRDefault="000D6D4F" w14:paraId="4A21D81C" w14:textId="77777777">
            <w:pPr>
              <w:jc w:val="center"/>
              <w:rPr>
                <w:color w:val="000000"/>
                <w:sz w:val="18"/>
                <w:szCs w:val="18"/>
              </w:rPr>
            </w:pPr>
            <w:r w:rsidRPr="00AF02E5">
              <w:rPr>
                <w:color w:val="000000"/>
                <w:sz w:val="18"/>
                <w:szCs w:val="18"/>
              </w:rPr>
              <w:t>Annual Burden Hours</w:t>
            </w:r>
          </w:p>
        </w:tc>
        <w:tc>
          <w:tcPr>
            <w:tcW w:w="917" w:type="dxa"/>
          </w:tcPr>
          <w:p w:rsidRPr="00AF02E5" w:rsidR="000D6D4F" w:rsidP="00A774F6" w:rsidRDefault="000D6D4F" w14:paraId="0F6C7A93" w14:textId="77777777">
            <w:pPr>
              <w:jc w:val="center"/>
              <w:rPr>
                <w:color w:val="000000"/>
                <w:sz w:val="18"/>
                <w:szCs w:val="18"/>
              </w:rPr>
            </w:pPr>
            <w:r w:rsidRPr="00AF02E5">
              <w:rPr>
                <w:color w:val="000000"/>
                <w:sz w:val="18"/>
                <w:szCs w:val="18"/>
              </w:rPr>
              <w:t>Hourly Cost Per Response</w:t>
            </w:r>
          </w:p>
        </w:tc>
        <w:tc>
          <w:tcPr>
            <w:tcW w:w="1250" w:type="dxa"/>
          </w:tcPr>
          <w:p w:rsidRPr="00AF02E5" w:rsidR="000D6D4F" w:rsidP="00A774F6" w:rsidRDefault="000D6D4F" w14:paraId="4FA7090E" w14:textId="77777777">
            <w:pPr>
              <w:autoSpaceDN w:val="0"/>
              <w:jc w:val="center"/>
              <w:rPr>
                <w:color w:val="000000"/>
                <w:sz w:val="18"/>
                <w:szCs w:val="18"/>
              </w:rPr>
            </w:pPr>
            <w:r w:rsidRPr="00AF02E5">
              <w:rPr>
                <w:color w:val="000000"/>
                <w:sz w:val="18"/>
                <w:szCs w:val="18"/>
              </w:rPr>
              <w:t>Annual Cost</w:t>
            </w:r>
          </w:p>
          <w:p w:rsidRPr="00AF02E5" w:rsidR="000D6D4F" w:rsidP="00A774F6" w:rsidRDefault="000D6D4F" w14:paraId="56134C01" w14:textId="77777777">
            <w:pPr>
              <w:jc w:val="center"/>
              <w:rPr>
                <w:color w:val="000000"/>
                <w:sz w:val="18"/>
                <w:szCs w:val="18"/>
              </w:rPr>
            </w:pPr>
          </w:p>
        </w:tc>
      </w:tr>
      <w:tr w:rsidRPr="00AF02E5" w:rsidR="000D6D4F" w:rsidTr="00AF02E5" w14:paraId="12145FD8" w14:textId="77777777">
        <w:trPr>
          <w:trHeight w:val="1153"/>
        </w:trPr>
        <w:tc>
          <w:tcPr>
            <w:tcW w:w="1890" w:type="dxa"/>
            <w:shd w:val="clear" w:color="auto" w:fill="auto"/>
          </w:tcPr>
          <w:p w:rsidRPr="00AF02E5" w:rsidR="000D6D4F" w:rsidP="00A774F6" w:rsidRDefault="000D6D4F" w14:paraId="67BF49A7" w14:textId="1611F363">
            <w:pPr>
              <w:rPr>
                <w:color w:val="000000"/>
                <w:sz w:val="18"/>
                <w:szCs w:val="18"/>
              </w:rPr>
            </w:pPr>
            <w:r w:rsidRPr="00AF02E5">
              <w:rPr>
                <w:color w:val="000000"/>
                <w:sz w:val="18"/>
                <w:szCs w:val="18"/>
              </w:rPr>
              <w:t>HOPWA Renewal Application (including HUD-40110-B, narratives, and other requirements listed in the renewal notice)</w:t>
            </w:r>
          </w:p>
        </w:tc>
        <w:tc>
          <w:tcPr>
            <w:tcW w:w="1170" w:type="dxa"/>
            <w:shd w:val="clear" w:color="auto" w:fill="auto"/>
            <w:vAlign w:val="center"/>
          </w:tcPr>
          <w:p w:rsidRPr="00AF02E5" w:rsidR="000D6D4F" w:rsidP="00A774F6" w:rsidRDefault="000D6D4F" w14:paraId="30797192" w14:textId="77777777">
            <w:pPr>
              <w:pStyle w:val="NoSpacing"/>
              <w:jc w:val="right"/>
              <w:rPr>
                <w:sz w:val="18"/>
                <w:szCs w:val="18"/>
              </w:rPr>
            </w:pPr>
            <w:r w:rsidRPr="00AF02E5">
              <w:rPr>
                <w:color w:val="000000"/>
                <w:sz w:val="18"/>
                <w:szCs w:val="18"/>
              </w:rPr>
              <w:t>28.00</w:t>
            </w:r>
          </w:p>
        </w:tc>
        <w:tc>
          <w:tcPr>
            <w:tcW w:w="1107" w:type="dxa"/>
            <w:shd w:val="clear" w:color="auto" w:fill="auto"/>
            <w:vAlign w:val="center"/>
          </w:tcPr>
          <w:p w:rsidRPr="00AF02E5" w:rsidR="000D6D4F" w:rsidP="00A774F6" w:rsidRDefault="000D6D4F" w14:paraId="3E06C914" w14:textId="61884F9C">
            <w:pPr>
              <w:pStyle w:val="NoSpacing"/>
              <w:jc w:val="right"/>
              <w:rPr>
                <w:sz w:val="18"/>
                <w:szCs w:val="18"/>
              </w:rPr>
            </w:pPr>
            <w:r w:rsidRPr="00AF02E5">
              <w:rPr>
                <w:color w:val="000000"/>
                <w:sz w:val="18"/>
                <w:szCs w:val="18"/>
              </w:rPr>
              <w:t>1.00</w:t>
            </w:r>
          </w:p>
        </w:tc>
        <w:tc>
          <w:tcPr>
            <w:tcW w:w="1083" w:type="dxa"/>
            <w:shd w:val="clear" w:color="auto" w:fill="auto"/>
            <w:vAlign w:val="center"/>
          </w:tcPr>
          <w:p w:rsidRPr="00AF02E5" w:rsidR="000D6D4F" w:rsidP="00A774F6" w:rsidRDefault="000D6D4F" w14:paraId="255CD258" w14:textId="77777777">
            <w:pPr>
              <w:pStyle w:val="NoSpacing"/>
              <w:jc w:val="right"/>
              <w:rPr>
                <w:sz w:val="18"/>
                <w:szCs w:val="18"/>
              </w:rPr>
            </w:pPr>
            <w:r w:rsidRPr="00AF02E5">
              <w:rPr>
                <w:color w:val="000000"/>
                <w:sz w:val="18"/>
                <w:szCs w:val="18"/>
              </w:rPr>
              <w:t>28.00</w:t>
            </w:r>
          </w:p>
        </w:tc>
        <w:tc>
          <w:tcPr>
            <w:tcW w:w="1000" w:type="dxa"/>
            <w:shd w:val="clear" w:color="auto" w:fill="auto"/>
            <w:vAlign w:val="center"/>
          </w:tcPr>
          <w:p w:rsidRPr="00AF02E5" w:rsidR="000D6D4F" w:rsidP="00A774F6" w:rsidRDefault="000D6D4F" w14:paraId="74FE37C8" w14:textId="77777777">
            <w:pPr>
              <w:pStyle w:val="NoSpacing"/>
              <w:jc w:val="right"/>
              <w:rPr>
                <w:sz w:val="18"/>
                <w:szCs w:val="18"/>
              </w:rPr>
            </w:pPr>
            <w:r w:rsidRPr="00AF02E5">
              <w:rPr>
                <w:color w:val="000000"/>
                <w:sz w:val="18"/>
                <w:szCs w:val="18"/>
              </w:rPr>
              <w:t>15.00</w:t>
            </w:r>
          </w:p>
        </w:tc>
        <w:tc>
          <w:tcPr>
            <w:tcW w:w="1000" w:type="dxa"/>
            <w:shd w:val="clear" w:color="auto" w:fill="auto"/>
            <w:vAlign w:val="center"/>
          </w:tcPr>
          <w:p w:rsidRPr="00AF02E5" w:rsidR="000D6D4F" w:rsidP="00A774F6" w:rsidRDefault="000D6D4F" w14:paraId="57AEEE3D" w14:textId="77777777">
            <w:pPr>
              <w:pStyle w:val="NoSpacing"/>
              <w:jc w:val="right"/>
              <w:rPr>
                <w:sz w:val="18"/>
                <w:szCs w:val="18"/>
              </w:rPr>
            </w:pPr>
            <w:r w:rsidRPr="00AF02E5">
              <w:rPr>
                <w:color w:val="000000"/>
                <w:sz w:val="18"/>
                <w:szCs w:val="18"/>
              </w:rPr>
              <w:t>420.00</w:t>
            </w:r>
          </w:p>
        </w:tc>
        <w:tc>
          <w:tcPr>
            <w:tcW w:w="917" w:type="dxa"/>
            <w:vAlign w:val="center"/>
          </w:tcPr>
          <w:p w:rsidRPr="00AF02E5" w:rsidR="000D6D4F" w:rsidP="00A774F6" w:rsidRDefault="000D6D4F" w14:paraId="6CF67A4A" w14:textId="77777777">
            <w:pPr>
              <w:pStyle w:val="NoSpacing"/>
              <w:jc w:val="right"/>
              <w:rPr>
                <w:sz w:val="18"/>
                <w:szCs w:val="18"/>
              </w:rPr>
            </w:pPr>
            <w:r w:rsidRPr="00AF02E5">
              <w:rPr>
                <w:color w:val="000000"/>
                <w:sz w:val="18"/>
                <w:szCs w:val="18"/>
              </w:rPr>
              <w:t xml:space="preserve">$25.35 </w:t>
            </w:r>
          </w:p>
        </w:tc>
        <w:tc>
          <w:tcPr>
            <w:tcW w:w="1250" w:type="dxa"/>
            <w:vAlign w:val="center"/>
          </w:tcPr>
          <w:p w:rsidRPr="00AF02E5" w:rsidR="000D6D4F" w:rsidDel="00F7313B" w:rsidP="00A774F6" w:rsidRDefault="000D6D4F" w14:paraId="46BE6ACF" w14:textId="77777777">
            <w:pPr>
              <w:pStyle w:val="NoSpacing"/>
              <w:jc w:val="right"/>
              <w:rPr>
                <w:sz w:val="18"/>
                <w:szCs w:val="18"/>
              </w:rPr>
            </w:pPr>
            <w:r w:rsidRPr="00AF02E5">
              <w:rPr>
                <w:color w:val="000000"/>
                <w:sz w:val="18"/>
                <w:szCs w:val="18"/>
              </w:rPr>
              <w:t xml:space="preserve">$10,647.00 </w:t>
            </w:r>
          </w:p>
        </w:tc>
      </w:tr>
      <w:tr w:rsidRPr="00AF02E5" w:rsidR="007C6B75" w:rsidTr="00AF02E5" w14:paraId="0B6E60AC" w14:textId="77777777">
        <w:trPr>
          <w:trHeight w:val="227"/>
        </w:trPr>
        <w:tc>
          <w:tcPr>
            <w:tcW w:w="1890" w:type="dxa"/>
            <w:shd w:val="clear" w:color="auto" w:fill="auto"/>
          </w:tcPr>
          <w:p w:rsidRPr="00AF02E5" w:rsidR="007C6B75" w:rsidP="007C6B75" w:rsidRDefault="007C6B75" w14:paraId="68C4423C" w14:textId="1F2A9D19">
            <w:pPr>
              <w:rPr>
                <w:color w:val="000000"/>
                <w:sz w:val="18"/>
                <w:szCs w:val="18"/>
              </w:rPr>
            </w:pPr>
            <w:bookmarkStart w:name="_Hlk71264656" w:id="3"/>
            <w:r w:rsidRPr="00AF02E5">
              <w:rPr>
                <w:color w:val="000000"/>
                <w:sz w:val="18"/>
                <w:szCs w:val="18"/>
              </w:rPr>
              <w:t>SF-424</w:t>
            </w:r>
          </w:p>
        </w:tc>
        <w:tc>
          <w:tcPr>
            <w:tcW w:w="1170" w:type="dxa"/>
            <w:shd w:val="clear" w:color="auto" w:fill="auto"/>
            <w:vAlign w:val="center"/>
          </w:tcPr>
          <w:p w:rsidRPr="00AF02E5" w:rsidR="007C6B75" w:rsidP="007C6B75" w:rsidRDefault="007C6B75" w14:paraId="4C2DDF6C" w14:textId="7751E662">
            <w:pPr>
              <w:pStyle w:val="NoSpacing"/>
              <w:jc w:val="right"/>
              <w:rPr>
                <w:color w:val="000000"/>
                <w:sz w:val="18"/>
                <w:szCs w:val="18"/>
              </w:rPr>
            </w:pPr>
            <w:r w:rsidRPr="00AF02E5">
              <w:rPr>
                <w:color w:val="000000"/>
                <w:sz w:val="18"/>
                <w:szCs w:val="18"/>
              </w:rPr>
              <w:t>0.00</w:t>
            </w:r>
          </w:p>
        </w:tc>
        <w:tc>
          <w:tcPr>
            <w:tcW w:w="1107" w:type="dxa"/>
            <w:shd w:val="clear" w:color="auto" w:fill="auto"/>
            <w:vAlign w:val="center"/>
          </w:tcPr>
          <w:p w:rsidRPr="00AF02E5" w:rsidR="007C6B75" w:rsidP="007C6B75" w:rsidRDefault="007C6B75" w14:paraId="16E11418" w14:textId="1C003CD5">
            <w:pPr>
              <w:pStyle w:val="NoSpacing"/>
              <w:jc w:val="right"/>
              <w:rPr>
                <w:color w:val="000000"/>
                <w:sz w:val="18"/>
                <w:szCs w:val="18"/>
              </w:rPr>
            </w:pPr>
            <w:r w:rsidRPr="00AF02E5">
              <w:rPr>
                <w:color w:val="000000"/>
                <w:sz w:val="18"/>
                <w:szCs w:val="18"/>
              </w:rPr>
              <w:t>0.00</w:t>
            </w:r>
          </w:p>
        </w:tc>
        <w:tc>
          <w:tcPr>
            <w:tcW w:w="1083" w:type="dxa"/>
            <w:shd w:val="clear" w:color="auto" w:fill="auto"/>
            <w:vAlign w:val="center"/>
          </w:tcPr>
          <w:p w:rsidRPr="00AF02E5" w:rsidR="007C6B75" w:rsidP="007C6B75" w:rsidRDefault="007C6B75" w14:paraId="53CC98BC" w14:textId="502A7B57">
            <w:pPr>
              <w:pStyle w:val="NoSpacing"/>
              <w:jc w:val="right"/>
              <w:rPr>
                <w:color w:val="000000"/>
                <w:sz w:val="18"/>
                <w:szCs w:val="18"/>
              </w:rPr>
            </w:pPr>
            <w:r w:rsidRPr="00AF02E5">
              <w:rPr>
                <w:color w:val="000000"/>
                <w:sz w:val="18"/>
                <w:szCs w:val="18"/>
              </w:rPr>
              <w:t>0.00</w:t>
            </w:r>
          </w:p>
        </w:tc>
        <w:tc>
          <w:tcPr>
            <w:tcW w:w="1000" w:type="dxa"/>
            <w:shd w:val="clear" w:color="auto" w:fill="auto"/>
            <w:vAlign w:val="center"/>
          </w:tcPr>
          <w:p w:rsidRPr="00AF02E5" w:rsidR="007C6B75" w:rsidP="007C6B75" w:rsidRDefault="007C6B75" w14:paraId="6B0C5117" w14:textId="08CA88C8">
            <w:pPr>
              <w:pStyle w:val="NoSpacing"/>
              <w:jc w:val="right"/>
              <w:rPr>
                <w:color w:val="000000"/>
                <w:sz w:val="18"/>
                <w:szCs w:val="18"/>
              </w:rPr>
            </w:pPr>
            <w:r w:rsidRPr="00AF02E5">
              <w:rPr>
                <w:color w:val="000000"/>
                <w:sz w:val="18"/>
                <w:szCs w:val="18"/>
              </w:rPr>
              <w:t>0.00</w:t>
            </w:r>
          </w:p>
        </w:tc>
        <w:tc>
          <w:tcPr>
            <w:tcW w:w="1000" w:type="dxa"/>
            <w:shd w:val="clear" w:color="auto" w:fill="auto"/>
            <w:vAlign w:val="center"/>
          </w:tcPr>
          <w:p w:rsidRPr="00AF02E5" w:rsidR="007C6B75" w:rsidP="007C6B75" w:rsidRDefault="007C6B75" w14:paraId="528FD5AB" w14:textId="5CEE21C4">
            <w:pPr>
              <w:pStyle w:val="NoSpacing"/>
              <w:jc w:val="right"/>
              <w:rPr>
                <w:color w:val="000000"/>
                <w:sz w:val="18"/>
                <w:szCs w:val="18"/>
              </w:rPr>
            </w:pPr>
            <w:r w:rsidRPr="00AF02E5">
              <w:rPr>
                <w:color w:val="000000"/>
                <w:sz w:val="18"/>
                <w:szCs w:val="18"/>
              </w:rPr>
              <w:t>0.00</w:t>
            </w:r>
          </w:p>
        </w:tc>
        <w:tc>
          <w:tcPr>
            <w:tcW w:w="917" w:type="dxa"/>
            <w:shd w:val="clear" w:color="auto" w:fill="auto"/>
            <w:vAlign w:val="center"/>
          </w:tcPr>
          <w:p w:rsidRPr="00AF02E5" w:rsidR="007C6B75" w:rsidP="007C6B75" w:rsidRDefault="007C6B75" w14:paraId="7304D3C4" w14:textId="3692567D">
            <w:pPr>
              <w:pStyle w:val="NoSpacing"/>
              <w:jc w:val="right"/>
              <w:rPr>
                <w:color w:val="000000"/>
                <w:sz w:val="18"/>
                <w:szCs w:val="18"/>
              </w:rPr>
            </w:pPr>
            <w:r w:rsidRPr="00AF02E5">
              <w:rPr>
                <w:color w:val="000000"/>
                <w:sz w:val="18"/>
                <w:szCs w:val="18"/>
              </w:rPr>
              <w:t>0.00</w:t>
            </w:r>
          </w:p>
        </w:tc>
        <w:tc>
          <w:tcPr>
            <w:tcW w:w="1250" w:type="dxa"/>
            <w:shd w:val="clear" w:color="auto" w:fill="auto"/>
            <w:vAlign w:val="center"/>
          </w:tcPr>
          <w:p w:rsidRPr="00AF02E5" w:rsidR="007C6B75" w:rsidP="007C6B75" w:rsidRDefault="007C6B75" w14:paraId="1B3CED75" w14:textId="270CBDAC">
            <w:pPr>
              <w:pStyle w:val="NoSpacing"/>
              <w:jc w:val="right"/>
              <w:rPr>
                <w:color w:val="000000"/>
                <w:sz w:val="18"/>
                <w:szCs w:val="18"/>
              </w:rPr>
            </w:pPr>
            <w:r w:rsidRPr="00AF02E5">
              <w:rPr>
                <w:color w:val="000000"/>
                <w:sz w:val="18"/>
                <w:szCs w:val="18"/>
              </w:rPr>
              <w:t>0.00</w:t>
            </w:r>
          </w:p>
        </w:tc>
      </w:tr>
      <w:tr w:rsidRPr="00AF02E5" w:rsidR="007C6B75" w:rsidTr="00AF02E5" w14:paraId="721F4ACD" w14:textId="77777777">
        <w:trPr>
          <w:trHeight w:val="173"/>
        </w:trPr>
        <w:tc>
          <w:tcPr>
            <w:tcW w:w="1890" w:type="dxa"/>
            <w:shd w:val="clear" w:color="auto" w:fill="auto"/>
          </w:tcPr>
          <w:p w:rsidRPr="00AF02E5" w:rsidR="007C6B75" w:rsidP="007C6B75" w:rsidRDefault="007C6B75" w14:paraId="7E7DB761" w14:textId="1349DE65">
            <w:pPr>
              <w:rPr>
                <w:color w:val="000000"/>
                <w:sz w:val="18"/>
                <w:szCs w:val="18"/>
              </w:rPr>
            </w:pPr>
            <w:r w:rsidRPr="00AF02E5">
              <w:rPr>
                <w:color w:val="000000"/>
                <w:sz w:val="18"/>
                <w:szCs w:val="18"/>
              </w:rPr>
              <w:t>SF-424B</w:t>
            </w:r>
          </w:p>
        </w:tc>
        <w:tc>
          <w:tcPr>
            <w:tcW w:w="1170" w:type="dxa"/>
            <w:shd w:val="clear" w:color="auto" w:fill="auto"/>
            <w:vAlign w:val="center"/>
          </w:tcPr>
          <w:p w:rsidRPr="00AF02E5" w:rsidR="007C6B75" w:rsidP="007C6B75" w:rsidRDefault="007C6B75" w14:paraId="37F10AA9" w14:textId="2ED5352B">
            <w:pPr>
              <w:pStyle w:val="NoSpacing"/>
              <w:jc w:val="right"/>
              <w:rPr>
                <w:color w:val="000000"/>
                <w:sz w:val="18"/>
                <w:szCs w:val="18"/>
              </w:rPr>
            </w:pPr>
            <w:r w:rsidRPr="00AF02E5">
              <w:rPr>
                <w:color w:val="000000"/>
                <w:sz w:val="18"/>
                <w:szCs w:val="18"/>
              </w:rPr>
              <w:t>0.00</w:t>
            </w:r>
          </w:p>
        </w:tc>
        <w:tc>
          <w:tcPr>
            <w:tcW w:w="1107" w:type="dxa"/>
            <w:shd w:val="clear" w:color="auto" w:fill="auto"/>
            <w:vAlign w:val="center"/>
          </w:tcPr>
          <w:p w:rsidRPr="00AF02E5" w:rsidR="007C6B75" w:rsidP="007C6B75" w:rsidRDefault="007C6B75" w14:paraId="3532CA24" w14:textId="4465899D">
            <w:pPr>
              <w:pStyle w:val="NoSpacing"/>
              <w:jc w:val="right"/>
              <w:rPr>
                <w:color w:val="000000"/>
                <w:sz w:val="18"/>
                <w:szCs w:val="18"/>
              </w:rPr>
            </w:pPr>
            <w:r w:rsidRPr="00AF02E5">
              <w:rPr>
                <w:color w:val="000000"/>
                <w:sz w:val="18"/>
                <w:szCs w:val="18"/>
              </w:rPr>
              <w:t>0.00</w:t>
            </w:r>
          </w:p>
        </w:tc>
        <w:tc>
          <w:tcPr>
            <w:tcW w:w="1083" w:type="dxa"/>
            <w:shd w:val="clear" w:color="auto" w:fill="auto"/>
            <w:vAlign w:val="center"/>
          </w:tcPr>
          <w:p w:rsidRPr="00AF02E5" w:rsidR="007C6B75" w:rsidP="007C6B75" w:rsidRDefault="007C6B75" w14:paraId="78818B42" w14:textId="065D2175">
            <w:pPr>
              <w:pStyle w:val="NoSpacing"/>
              <w:jc w:val="right"/>
              <w:rPr>
                <w:color w:val="000000"/>
                <w:sz w:val="18"/>
                <w:szCs w:val="18"/>
              </w:rPr>
            </w:pPr>
            <w:r w:rsidRPr="00AF02E5">
              <w:rPr>
                <w:color w:val="000000"/>
                <w:sz w:val="18"/>
                <w:szCs w:val="18"/>
              </w:rPr>
              <w:t>0.00</w:t>
            </w:r>
          </w:p>
        </w:tc>
        <w:tc>
          <w:tcPr>
            <w:tcW w:w="1000" w:type="dxa"/>
            <w:shd w:val="clear" w:color="auto" w:fill="auto"/>
            <w:vAlign w:val="center"/>
          </w:tcPr>
          <w:p w:rsidRPr="00AF02E5" w:rsidR="007C6B75" w:rsidP="007C6B75" w:rsidRDefault="007C6B75" w14:paraId="1CC86E6C" w14:textId="3DD93BAD">
            <w:pPr>
              <w:pStyle w:val="NoSpacing"/>
              <w:jc w:val="right"/>
              <w:rPr>
                <w:color w:val="000000"/>
                <w:sz w:val="18"/>
                <w:szCs w:val="18"/>
              </w:rPr>
            </w:pPr>
            <w:r w:rsidRPr="00AF02E5">
              <w:rPr>
                <w:color w:val="000000"/>
                <w:sz w:val="18"/>
                <w:szCs w:val="18"/>
              </w:rPr>
              <w:t>0.00</w:t>
            </w:r>
          </w:p>
        </w:tc>
        <w:tc>
          <w:tcPr>
            <w:tcW w:w="1000" w:type="dxa"/>
            <w:shd w:val="clear" w:color="auto" w:fill="auto"/>
            <w:vAlign w:val="center"/>
          </w:tcPr>
          <w:p w:rsidRPr="00AF02E5" w:rsidR="007C6B75" w:rsidP="007C6B75" w:rsidRDefault="007C6B75" w14:paraId="5040DA0F" w14:textId="51D34233">
            <w:pPr>
              <w:pStyle w:val="NoSpacing"/>
              <w:jc w:val="right"/>
              <w:rPr>
                <w:color w:val="000000"/>
                <w:sz w:val="18"/>
                <w:szCs w:val="18"/>
              </w:rPr>
            </w:pPr>
            <w:r w:rsidRPr="00AF02E5">
              <w:rPr>
                <w:color w:val="000000"/>
                <w:sz w:val="18"/>
                <w:szCs w:val="18"/>
              </w:rPr>
              <w:t>0.00</w:t>
            </w:r>
          </w:p>
        </w:tc>
        <w:tc>
          <w:tcPr>
            <w:tcW w:w="917" w:type="dxa"/>
            <w:shd w:val="clear" w:color="auto" w:fill="auto"/>
            <w:vAlign w:val="center"/>
          </w:tcPr>
          <w:p w:rsidRPr="00AF02E5" w:rsidR="007C6B75" w:rsidP="007C6B75" w:rsidRDefault="007C6B75" w14:paraId="62FA4D76" w14:textId="309F7D03">
            <w:pPr>
              <w:pStyle w:val="NoSpacing"/>
              <w:jc w:val="right"/>
              <w:rPr>
                <w:color w:val="000000"/>
                <w:sz w:val="18"/>
                <w:szCs w:val="18"/>
              </w:rPr>
            </w:pPr>
            <w:r w:rsidRPr="00AF02E5">
              <w:rPr>
                <w:color w:val="000000"/>
                <w:sz w:val="18"/>
                <w:szCs w:val="18"/>
              </w:rPr>
              <w:t>0.00</w:t>
            </w:r>
          </w:p>
        </w:tc>
        <w:tc>
          <w:tcPr>
            <w:tcW w:w="1250" w:type="dxa"/>
            <w:shd w:val="clear" w:color="auto" w:fill="auto"/>
            <w:vAlign w:val="center"/>
          </w:tcPr>
          <w:p w:rsidRPr="00AF02E5" w:rsidR="007C6B75" w:rsidP="007C6B75" w:rsidRDefault="007C6B75" w14:paraId="377A83CE" w14:textId="718BB7CD">
            <w:pPr>
              <w:pStyle w:val="NoSpacing"/>
              <w:jc w:val="right"/>
              <w:rPr>
                <w:color w:val="000000"/>
                <w:sz w:val="18"/>
                <w:szCs w:val="18"/>
              </w:rPr>
            </w:pPr>
            <w:r w:rsidRPr="00AF02E5">
              <w:rPr>
                <w:color w:val="000000"/>
                <w:sz w:val="18"/>
                <w:szCs w:val="18"/>
              </w:rPr>
              <w:t>0.00</w:t>
            </w:r>
          </w:p>
        </w:tc>
      </w:tr>
      <w:tr w:rsidRPr="00AF02E5" w:rsidR="007C6B75" w:rsidTr="00AF02E5" w14:paraId="6956A4DD" w14:textId="77777777">
        <w:trPr>
          <w:trHeight w:val="227"/>
        </w:trPr>
        <w:tc>
          <w:tcPr>
            <w:tcW w:w="1890" w:type="dxa"/>
            <w:shd w:val="clear" w:color="auto" w:fill="auto"/>
          </w:tcPr>
          <w:p w:rsidRPr="00AF02E5" w:rsidR="007C6B75" w:rsidP="007C6B75" w:rsidRDefault="007C6B75" w14:paraId="682C0C16" w14:textId="37647383">
            <w:pPr>
              <w:rPr>
                <w:color w:val="000000"/>
                <w:sz w:val="18"/>
                <w:szCs w:val="18"/>
              </w:rPr>
            </w:pPr>
            <w:r w:rsidRPr="00AF02E5">
              <w:rPr>
                <w:color w:val="000000"/>
                <w:sz w:val="18"/>
                <w:szCs w:val="18"/>
              </w:rPr>
              <w:t>SF-LLL</w:t>
            </w:r>
          </w:p>
        </w:tc>
        <w:tc>
          <w:tcPr>
            <w:tcW w:w="1170" w:type="dxa"/>
            <w:shd w:val="clear" w:color="auto" w:fill="auto"/>
            <w:vAlign w:val="center"/>
          </w:tcPr>
          <w:p w:rsidRPr="00AF02E5" w:rsidR="007C6B75" w:rsidP="007C6B75" w:rsidRDefault="007C6B75" w14:paraId="7CD89157" w14:textId="181719E7">
            <w:pPr>
              <w:pStyle w:val="NoSpacing"/>
              <w:jc w:val="right"/>
              <w:rPr>
                <w:color w:val="000000"/>
                <w:sz w:val="18"/>
                <w:szCs w:val="18"/>
              </w:rPr>
            </w:pPr>
            <w:r w:rsidRPr="00AF02E5">
              <w:rPr>
                <w:color w:val="000000"/>
                <w:sz w:val="18"/>
                <w:szCs w:val="18"/>
              </w:rPr>
              <w:t>0.00</w:t>
            </w:r>
          </w:p>
        </w:tc>
        <w:tc>
          <w:tcPr>
            <w:tcW w:w="1107" w:type="dxa"/>
            <w:shd w:val="clear" w:color="auto" w:fill="auto"/>
            <w:vAlign w:val="center"/>
          </w:tcPr>
          <w:p w:rsidRPr="00AF02E5" w:rsidR="007C6B75" w:rsidP="007C6B75" w:rsidRDefault="007C6B75" w14:paraId="1B4C9F48" w14:textId="49497215">
            <w:pPr>
              <w:pStyle w:val="NoSpacing"/>
              <w:jc w:val="right"/>
              <w:rPr>
                <w:color w:val="000000"/>
                <w:sz w:val="18"/>
                <w:szCs w:val="18"/>
              </w:rPr>
            </w:pPr>
            <w:r w:rsidRPr="00AF02E5">
              <w:rPr>
                <w:color w:val="000000"/>
                <w:sz w:val="18"/>
                <w:szCs w:val="18"/>
              </w:rPr>
              <w:t>0.00</w:t>
            </w:r>
          </w:p>
        </w:tc>
        <w:tc>
          <w:tcPr>
            <w:tcW w:w="1083" w:type="dxa"/>
            <w:shd w:val="clear" w:color="auto" w:fill="auto"/>
            <w:vAlign w:val="center"/>
          </w:tcPr>
          <w:p w:rsidRPr="00AF02E5" w:rsidR="007C6B75" w:rsidP="007C6B75" w:rsidRDefault="007C6B75" w14:paraId="65875D8D" w14:textId="21AA6E31">
            <w:pPr>
              <w:pStyle w:val="NoSpacing"/>
              <w:jc w:val="right"/>
              <w:rPr>
                <w:color w:val="000000"/>
                <w:sz w:val="18"/>
                <w:szCs w:val="18"/>
              </w:rPr>
            </w:pPr>
            <w:r w:rsidRPr="00AF02E5">
              <w:rPr>
                <w:color w:val="000000"/>
                <w:sz w:val="18"/>
                <w:szCs w:val="18"/>
              </w:rPr>
              <w:t>0.00</w:t>
            </w:r>
          </w:p>
        </w:tc>
        <w:tc>
          <w:tcPr>
            <w:tcW w:w="1000" w:type="dxa"/>
            <w:shd w:val="clear" w:color="auto" w:fill="auto"/>
            <w:vAlign w:val="center"/>
          </w:tcPr>
          <w:p w:rsidRPr="00AF02E5" w:rsidR="007C6B75" w:rsidP="007C6B75" w:rsidRDefault="007C6B75" w14:paraId="151CE69B" w14:textId="22520A1F">
            <w:pPr>
              <w:pStyle w:val="NoSpacing"/>
              <w:jc w:val="right"/>
              <w:rPr>
                <w:color w:val="000000"/>
                <w:sz w:val="18"/>
                <w:szCs w:val="18"/>
              </w:rPr>
            </w:pPr>
            <w:r w:rsidRPr="00AF02E5">
              <w:rPr>
                <w:color w:val="000000"/>
                <w:sz w:val="18"/>
                <w:szCs w:val="18"/>
              </w:rPr>
              <w:t>0.00</w:t>
            </w:r>
          </w:p>
        </w:tc>
        <w:tc>
          <w:tcPr>
            <w:tcW w:w="1000" w:type="dxa"/>
            <w:shd w:val="clear" w:color="auto" w:fill="auto"/>
            <w:vAlign w:val="center"/>
          </w:tcPr>
          <w:p w:rsidRPr="00AF02E5" w:rsidR="007C6B75" w:rsidP="007C6B75" w:rsidRDefault="007C6B75" w14:paraId="10C78FDE" w14:textId="405B0334">
            <w:pPr>
              <w:pStyle w:val="NoSpacing"/>
              <w:jc w:val="right"/>
              <w:rPr>
                <w:color w:val="000000"/>
                <w:sz w:val="18"/>
                <w:szCs w:val="18"/>
              </w:rPr>
            </w:pPr>
            <w:r w:rsidRPr="00AF02E5">
              <w:rPr>
                <w:color w:val="000000"/>
                <w:sz w:val="18"/>
                <w:szCs w:val="18"/>
              </w:rPr>
              <w:t>0.00</w:t>
            </w:r>
          </w:p>
        </w:tc>
        <w:tc>
          <w:tcPr>
            <w:tcW w:w="917" w:type="dxa"/>
            <w:shd w:val="clear" w:color="auto" w:fill="auto"/>
            <w:vAlign w:val="center"/>
          </w:tcPr>
          <w:p w:rsidRPr="00AF02E5" w:rsidR="007C6B75" w:rsidP="007C6B75" w:rsidRDefault="007C6B75" w14:paraId="52E6FD08" w14:textId="7E96C7B7">
            <w:pPr>
              <w:pStyle w:val="NoSpacing"/>
              <w:jc w:val="right"/>
              <w:rPr>
                <w:color w:val="000000"/>
                <w:sz w:val="18"/>
                <w:szCs w:val="18"/>
              </w:rPr>
            </w:pPr>
            <w:r w:rsidRPr="00AF02E5">
              <w:rPr>
                <w:color w:val="000000"/>
                <w:sz w:val="18"/>
                <w:szCs w:val="18"/>
              </w:rPr>
              <w:t>0.00</w:t>
            </w:r>
          </w:p>
        </w:tc>
        <w:tc>
          <w:tcPr>
            <w:tcW w:w="1250" w:type="dxa"/>
            <w:shd w:val="clear" w:color="auto" w:fill="auto"/>
            <w:vAlign w:val="center"/>
          </w:tcPr>
          <w:p w:rsidRPr="00AF02E5" w:rsidR="007C6B75" w:rsidP="007C6B75" w:rsidRDefault="007C6B75" w14:paraId="0285FD64" w14:textId="7978B1E9">
            <w:pPr>
              <w:pStyle w:val="NoSpacing"/>
              <w:jc w:val="right"/>
              <w:rPr>
                <w:color w:val="000000"/>
                <w:sz w:val="18"/>
                <w:szCs w:val="18"/>
              </w:rPr>
            </w:pPr>
            <w:r w:rsidRPr="00AF02E5">
              <w:rPr>
                <w:color w:val="000000"/>
                <w:sz w:val="18"/>
                <w:szCs w:val="18"/>
              </w:rPr>
              <w:t>0.00</w:t>
            </w:r>
          </w:p>
        </w:tc>
      </w:tr>
      <w:tr w:rsidRPr="00AF02E5" w:rsidR="007C6B75" w:rsidTr="00AF02E5" w14:paraId="31F46E9C" w14:textId="77777777">
        <w:trPr>
          <w:trHeight w:val="164"/>
        </w:trPr>
        <w:tc>
          <w:tcPr>
            <w:tcW w:w="1890" w:type="dxa"/>
            <w:shd w:val="clear" w:color="auto" w:fill="auto"/>
          </w:tcPr>
          <w:p w:rsidRPr="00AF02E5" w:rsidR="007C6B75" w:rsidP="007C6B75" w:rsidRDefault="007C6B75" w14:paraId="6A40F56E" w14:textId="57EE36E4">
            <w:pPr>
              <w:rPr>
                <w:color w:val="000000"/>
                <w:sz w:val="18"/>
                <w:szCs w:val="18"/>
              </w:rPr>
            </w:pPr>
            <w:r w:rsidRPr="00AF02E5">
              <w:rPr>
                <w:color w:val="000000"/>
                <w:sz w:val="18"/>
                <w:szCs w:val="18"/>
              </w:rPr>
              <w:t>SF-424D</w:t>
            </w:r>
          </w:p>
        </w:tc>
        <w:tc>
          <w:tcPr>
            <w:tcW w:w="1170" w:type="dxa"/>
            <w:shd w:val="clear" w:color="auto" w:fill="auto"/>
            <w:vAlign w:val="center"/>
          </w:tcPr>
          <w:p w:rsidRPr="00AF02E5" w:rsidR="007C6B75" w:rsidP="007C6B75" w:rsidRDefault="007C6B75" w14:paraId="59145E37" w14:textId="264E305B">
            <w:pPr>
              <w:pStyle w:val="NoSpacing"/>
              <w:jc w:val="right"/>
              <w:rPr>
                <w:color w:val="000000"/>
                <w:sz w:val="18"/>
                <w:szCs w:val="18"/>
              </w:rPr>
            </w:pPr>
            <w:r w:rsidRPr="00AF02E5">
              <w:rPr>
                <w:color w:val="000000"/>
                <w:sz w:val="18"/>
                <w:szCs w:val="18"/>
              </w:rPr>
              <w:t>0.00</w:t>
            </w:r>
          </w:p>
        </w:tc>
        <w:tc>
          <w:tcPr>
            <w:tcW w:w="1107" w:type="dxa"/>
            <w:shd w:val="clear" w:color="auto" w:fill="auto"/>
            <w:vAlign w:val="center"/>
          </w:tcPr>
          <w:p w:rsidRPr="00AF02E5" w:rsidR="007C6B75" w:rsidP="007C6B75" w:rsidRDefault="007C6B75" w14:paraId="7D6F5B56" w14:textId="20A1DE83">
            <w:pPr>
              <w:pStyle w:val="NoSpacing"/>
              <w:jc w:val="right"/>
              <w:rPr>
                <w:color w:val="000000"/>
                <w:sz w:val="18"/>
                <w:szCs w:val="18"/>
              </w:rPr>
            </w:pPr>
            <w:r w:rsidRPr="00AF02E5">
              <w:rPr>
                <w:color w:val="000000"/>
                <w:sz w:val="18"/>
                <w:szCs w:val="18"/>
              </w:rPr>
              <w:t>0.00</w:t>
            </w:r>
          </w:p>
        </w:tc>
        <w:tc>
          <w:tcPr>
            <w:tcW w:w="1083" w:type="dxa"/>
            <w:shd w:val="clear" w:color="auto" w:fill="auto"/>
            <w:vAlign w:val="center"/>
          </w:tcPr>
          <w:p w:rsidRPr="00AF02E5" w:rsidR="007C6B75" w:rsidP="007C6B75" w:rsidRDefault="007C6B75" w14:paraId="34100002" w14:textId="7CE21E0E">
            <w:pPr>
              <w:pStyle w:val="NoSpacing"/>
              <w:jc w:val="right"/>
              <w:rPr>
                <w:color w:val="000000"/>
                <w:sz w:val="18"/>
                <w:szCs w:val="18"/>
              </w:rPr>
            </w:pPr>
            <w:r w:rsidRPr="00AF02E5">
              <w:rPr>
                <w:color w:val="000000"/>
                <w:sz w:val="18"/>
                <w:szCs w:val="18"/>
              </w:rPr>
              <w:t>0.00</w:t>
            </w:r>
          </w:p>
        </w:tc>
        <w:tc>
          <w:tcPr>
            <w:tcW w:w="1000" w:type="dxa"/>
            <w:shd w:val="clear" w:color="auto" w:fill="auto"/>
            <w:vAlign w:val="center"/>
          </w:tcPr>
          <w:p w:rsidRPr="00AF02E5" w:rsidR="007C6B75" w:rsidP="007C6B75" w:rsidRDefault="007C6B75" w14:paraId="64DD19AD" w14:textId="09A7F075">
            <w:pPr>
              <w:pStyle w:val="NoSpacing"/>
              <w:jc w:val="right"/>
              <w:rPr>
                <w:color w:val="000000"/>
                <w:sz w:val="18"/>
                <w:szCs w:val="18"/>
              </w:rPr>
            </w:pPr>
            <w:r w:rsidRPr="00AF02E5">
              <w:rPr>
                <w:color w:val="000000"/>
                <w:sz w:val="18"/>
                <w:szCs w:val="18"/>
              </w:rPr>
              <w:t>0.00</w:t>
            </w:r>
          </w:p>
        </w:tc>
        <w:tc>
          <w:tcPr>
            <w:tcW w:w="1000" w:type="dxa"/>
            <w:shd w:val="clear" w:color="auto" w:fill="auto"/>
            <w:vAlign w:val="center"/>
          </w:tcPr>
          <w:p w:rsidRPr="00AF02E5" w:rsidR="007C6B75" w:rsidP="007C6B75" w:rsidRDefault="007C6B75" w14:paraId="112EF098" w14:textId="0AC0653D">
            <w:pPr>
              <w:pStyle w:val="NoSpacing"/>
              <w:jc w:val="right"/>
              <w:rPr>
                <w:color w:val="000000"/>
                <w:sz w:val="18"/>
                <w:szCs w:val="18"/>
              </w:rPr>
            </w:pPr>
            <w:r w:rsidRPr="00AF02E5">
              <w:rPr>
                <w:color w:val="000000"/>
                <w:sz w:val="18"/>
                <w:szCs w:val="18"/>
              </w:rPr>
              <w:t>0.00</w:t>
            </w:r>
          </w:p>
        </w:tc>
        <w:tc>
          <w:tcPr>
            <w:tcW w:w="917" w:type="dxa"/>
            <w:shd w:val="clear" w:color="auto" w:fill="auto"/>
            <w:vAlign w:val="center"/>
          </w:tcPr>
          <w:p w:rsidRPr="00AF02E5" w:rsidR="007C6B75" w:rsidP="007C6B75" w:rsidRDefault="007C6B75" w14:paraId="50D0BC87" w14:textId="11F8997F">
            <w:pPr>
              <w:pStyle w:val="NoSpacing"/>
              <w:jc w:val="right"/>
              <w:rPr>
                <w:color w:val="000000"/>
                <w:sz w:val="18"/>
                <w:szCs w:val="18"/>
              </w:rPr>
            </w:pPr>
            <w:r w:rsidRPr="00AF02E5">
              <w:rPr>
                <w:color w:val="000000"/>
                <w:sz w:val="18"/>
                <w:szCs w:val="18"/>
              </w:rPr>
              <w:t>0.00</w:t>
            </w:r>
          </w:p>
        </w:tc>
        <w:tc>
          <w:tcPr>
            <w:tcW w:w="1250" w:type="dxa"/>
            <w:shd w:val="clear" w:color="auto" w:fill="auto"/>
            <w:vAlign w:val="center"/>
          </w:tcPr>
          <w:p w:rsidRPr="00AF02E5" w:rsidR="007C6B75" w:rsidP="007C6B75" w:rsidRDefault="007C6B75" w14:paraId="72DD618E" w14:textId="092569CB">
            <w:pPr>
              <w:pStyle w:val="NoSpacing"/>
              <w:jc w:val="right"/>
              <w:rPr>
                <w:color w:val="000000"/>
                <w:sz w:val="18"/>
                <w:szCs w:val="18"/>
              </w:rPr>
            </w:pPr>
            <w:r w:rsidRPr="00AF02E5">
              <w:rPr>
                <w:color w:val="000000"/>
                <w:sz w:val="18"/>
                <w:szCs w:val="18"/>
              </w:rPr>
              <w:t>0.00</w:t>
            </w:r>
          </w:p>
        </w:tc>
      </w:tr>
      <w:bookmarkEnd w:id="3"/>
      <w:tr w:rsidRPr="00AF02E5" w:rsidR="000D6D4F" w:rsidTr="00AF02E5" w14:paraId="0AE0DEF5" w14:textId="77777777">
        <w:trPr>
          <w:trHeight w:val="1251"/>
        </w:trPr>
        <w:tc>
          <w:tcPr>
            <w:tcW w:w="1890" w:type="dxa"/>
            <w:shd w:val="clear" w:color="auto" w:fill="auto"/>
          </w:tcPr>
          <w:p w:rsidRPr="00AF02E5" w:rsidR="000D6D4F" w:rsidP="00A774F6" w:rsidRDefault="000D6D4F" w14:paraId="32AD9060" w14:textId="7D00E03A">
            <w:pPr>
              <w:rPr>
                <w:color w:val="000000"/>
                <w:sz w:val="18"/>
                <w:szCs w:val="18"/>
              </w:rPr>
            </w:pPr>
            <w:r w:rsidRPr="00AF02E5">
              <w:rPr>
                <w:color w:val="000000"/>
                <w:sz w:val="18"/>
                <w:szCs w:val="18"/>
              </w:rPr>
              <w:t>HOPWA Competitive Application (including HUD-40110-B, narratives, and other requirements listed in the NOFA)</w:t>
            </w:r>
          </w:p>
        </w:tc>
        <w:tc>
          <w:tcPr>
            <w:tcW w:w="1170" w:type="dxa"/>
            <w:shd w:val="clear" w:color="auto" w:fill="auto"/>
            <w:vAlign w:val="center"/>
          </w:tcPr>
          <w:p w:rsidRPr="00AF02E5" w:rsidR="000D6D4F" w:rsidP="00A774F6" w:rsidRDefault="000D6D4F" w14:paraId="4788817A" w14:textId="77777777">
            <w:pPr>
              <w:pStyle w:val="NoSpacing"/>
              <w:jc w:val="right"/>
              <w:rPr>
                <w:sz w:val="18"/>
                <w:szCs w:val="18"/>
              </w:rPr>
            </w:pPr>
            <w:r w:rsidRPr="00AF02E5">
              <w:rPr>
                <w:color w:val="000000"/>
                <w:sz w:val="18"/>
                <w:szCs w:val="18"/>
              </w:rPr>
              <w:t>40.00</w:t>
            </w:r>
          </w:p>
        </w:tc>
        <w:tc>
          <w:tcPr>
            <w:tcW w:w="1107" w:type="dxa"/>
            <w:shd w:val="clear" w:color="auto" w:fill="auto"/>
            <w:vAlign w:val="center"/>
          </w:tcPr>
          <w:p w:rsidRPr="00AF02E5" w:rsidR="000D6D4F" w:rsidP="00A774F6" w:rsidRDefault="000D6D4F" w14:paraId="5ADBED8D" w14:textId="011BB6CC">
            <w:pPr>
              <w:pStyle w:val="NoSpacing"/>
              <w:jc w:val="right"/>
              <w:rPr>
                <w:sz w:val="18"/>
                <w:szCs w:val="18"/>
              </w:rPr>
            </w:pPr>
            <w:r w:rsidRPr="00AF02E5">
              <w:rPr>
                <w:color w:val="000000"/>
                <w:sz w:val="18"/>
                <w:szCs w:val="18"/>
              </w:rPr>
              <w:t>1.00</w:t>
            </w:r>
          </w:p>
        </w:tc>
        <w:tc>
          <w:tcPr>
            <w:tcW w:w="1083" w:type="dxa"/>
            <w:shd w:val="clear" w:color="auto" w:fill="auto"/>
            <w:vAlign w:val="center"/>
          </w:tcPr>
          <w:p w:rsidRPr="00AF02E5" w:rsidR="000D6D4F" w:rsidP="00A774F6" w:rsidRDefault="000D6D4F" w14:paraId="423517F5" w14:textId="77777777">
            <w:pPr>
              <w:pStyle w:val="NoSpacing"/>
              <w:jc w:val="right"/>
              <w:rPr>
                <w:sz w:val="18"/>
                <w:szCs w:val="18"/>
              </w:rPr>
            </w:pPr>
            <w:r w:rsidRPr="00AF02E5">
              <w:rPr>
                <w:color w:val="000000"/>
                <w:sz w:val="18"/>
                <w:szCs w:val="18"/>
              </w:rPr>
              <w:t>40.00</w:t>
            </w:r>
          </w:p>
        </w:tc>
        <w:tc>
          <w:tcPr>
            <w:tcW w:w="1000" w:type="dxa"/>
            <w:shd w:val="clear" w:color="auto" w:fill="auto"/>
            <w:vAlign w:val="center"/>
          </w:tcPr>
          <w:p w:rsidRPr="00AF02E5" w:rsidR="000D6D4F" w:rsidP="00A774F6" w:rsidRDefault="000D6D4F" w14:paraId="09E4F4C3" w14:textId="77777777">
            <w:pPr>
              <w:pStyle w:val="NoSpacing"/>
              <w:jc w:val="right"/>
              <w:rPr>
                <w:sz w:val="18"/>
                <w:szCs w:val="18"/>
              </w:rPr>
            </w:pPr>
            <w:r w:rsidRPr="00AF02E5">
              <w:rPr>
                <w:color w:val="000000"/>
                <w:sz w:val="18"/>
                <w:szCs w:val="18"/>
              </w:rPr>
              <w:t>45.00</w:t>
            </w:r>
          </w:p>
        </w:tc>
        <w:tc>
          <w:tcPr>
            <w:tcW w:w="1000" w:type="dxa"/>
            <w:shd w:val="clear" w:color="auto" w:fill="auto"/>
            <w:vAlign w:val="center"/>
          </w:tcPr>
          <w:p w:rsidRPr="00AF02E5" w:rsidR="000D6D4F" w:rsidP="00A774F6" w:rsidRDefault="000D6D4F" w14:paraId="2F8E9FC1" w14:textId="77777777">
            <w:pPr>
              <w:pStyle w:val="NoSpacing"/>
              <w:jc w:val="right"/>
              <w:rPr>
                <w:sz w:val="18"/>
                <w:szCs w:val="18"/>
              </w:rPr>
            </w:pPr>
            <w:r w:rsidRPr="00AF02E5">
              <w:rPr>
                <w:color w:val="000000"/>
                <w:sz w:val="18"/>
                <w:szCs w:val="18"/>
              </w:rPr>
              <w:t>1800.00</w:t>
            </w:r>
          </w:p>
        </w:tc>
        <w:tc>
          <w:tcPr>
            <w:tcW w:w="917" w:type="dxa"/>
            <w:vAlign w:val="center"/>
          </w:tcPr>
          <w:p w:rsidRPr="00AF02E5" w:rsidR="000D6D4F" w:rsidP="00A774F6" w:rsidRDefault="000D6D4F" w14:paraId="0D936A76" w14:textId="77777777">
            <w:pPr>
              <w:pStyle w:val="NoSpacing"/>
              <w:jc w:val="right"/>
              <w:rPr>
                <w:sz w:val="18"/>
                <w:szCs w:val="18"/>
              </w:rPr>
            </w:pPr>
            <w:r w:rsidRPr="00AF02E5">
              <w:rPr>
                <w:color w:val="000000"/>
                <w:sz w:val="18"/>
                <w:szCs w:val="18"/>
              </w:rPr>
              <w:t xml:space="preserve">$25.35 </w:t>
            </w:r>
          </w:p>
        </w:tc>
        <w:tc>
          <w:tcPr>
            <w:tcW w:w="1250" w:type="dxa"/>
            <w:vAlign w:val="center"/>
          </w:tcPr>
          <w:p w:rsidRPr="00AF02E5" w:rsidR="000D6D4F" w:rsidDel="00283F75" w:rsidP="00A774F6" w:rsidRDefault="000D6D4F" w14:paraId="6B67DEF2" w14:textId="77777777">
            <w:pPr>
              <w:pStyle w:val="NoSpacing"/>
              <w:jc w:val="right"/>
              <w:rPr>
                <w:sz w:val="18"/>
                <w:szCs w:val="18"/>
              </w:rPr>
            </w:pPr>
            <w:r w:rsidRPr="00AF02E5">
              <w:rPr>
                <w:color w:val="000000"/>
                <w:sz w:val="18"/>
                <w:szCs w:val="18"/>
              </w:rPr>
              <w:t xml:space="preserve">$45,630.00 </w:t>
            </w:r>
          </w:p>
        </w:tc>
      </w:tr>
      <w:tr w:rsidRPr="00AF02E5" w:rsidR="000D6D4F" w:rsidTr="00AF02E5" w14:paraId="38C69F9E" w14:textId="77777777">
        <w:trPr>
          <w:trHeight w:val="308"/>
        </w:trPr>
        <w:tc>
          <w:tcPr>
            <w:tcW w:w="1890" w:type="dxa"/>
            <w:shd w:val="clear" w:color="auto" w:fill="auto"/>
          </w:tcPr>
          <w:p w:rsidRPr="00AF02E5" w:rsidR="000D6D4F" w:rsidP="00A52A82" w:rsidRDefault="0035306A" w14:paraId="3DBF54D5" w14:textId="089474EB">
            <w:pPr>
              <w:rPr>
                <w:color w:val="000000"/>
                <w:sz w:val="18"/>
                <w:szCs w:val="18"/>
              </w:rPr>
            </w:pPr>
            <w:r w:rsidRPr="00AF02E5">
              <w:rPr>
                <w:color w:val="000000"/>
                <w:sz w:val="18"/>
                <w:szCs w:val="18"/>
              </w:rPr>
              <w:t>New consolidated data elements (HUD-</w:t>
            </w:r>
            <w:r w:rsidRPr="00AF02E5" w:rsidR="00D967A9">
              <w:rPr>
                <w:color w:val="000000"/>
                <w:sz w:val="18"/>
                <w:szCs w:val="18"/>
              </w:rPr>
              <w:t>4155</w:t>
            </w:r>
            <w:r w:rsidRPr="00AF02E5">
              <w:rPr>
                <w:color w:val="000000"/>
                <w:sz w:val="18"/>
                <w:szCs w:val="18"/>
              </w:rPr>
              <w:t>)</w:t>
            </w:r>
          </w:p>
        </w:tc>
        <w:tc>
          <w:tcPr>
            <w:tcW w:w="1170" w:type="dxa"/>
            <w:shd w:val="clear" w:color="auto" w:fill="auto"/>
            <w:vAlign w:val="center"/>
          </w:tcPr>
          <w:p w:rsidRPr="00AF02E5" w:rsidR="000D6D4F" w:rsidP="00A52A82" w:rsidRDefault="000D6D4F" w14:paraId="70264A90" w14:textId="138C7877">
            <w:pPr>
              <w:pStyle w:val="NoSpacing"/>
              <w:jc w:val="right"/>
              <w:rPr>
                <w:color w:val="000000"/>
                <w:sz w:val="18"/>
                <w:szCs w:val="18"/>
              </w:rPr>
            </w:pPr>
            <w:r w:rsidRPr="00AF02E5">
              <w:rPr>
                <w:color w:val="000000"/>
                <w:sz w:val="18"/>
                <w:szCs w:val="18"/>
              </w:rPr>
              <w:t>244.00</w:t>
            </w:r>
          </w:p>
        </w:tc>
        <w:tc>
          <w:tcPr>
            <w:tcW w:w="1107" w:type="dxa"/>
            <w:shd w:val="clear" w:color="auto" w:fill="auto"/>
            <w:vAlign w:val="center"/>
          </w:tcPr>
          <w:p w:rsidRPr="00AF02E5" w:rsidR="000D6D4F" w:rsidP="00A52A82" w:rsidRDefault="000D6D4F" w14:paraId="080778B1" w14:textId="051F38D3">
            <w:pPr>
              <w:pStyle w:val="NoSpacing"/>
              <w:jc w:val="right"/>
              <w:rPr>
                <w:color w:val="000000"/>
                <w:sz w:val="18"/>
                <w:szCs w:val="18"/>
              </w:rPr>
            </w:pPr>
            <w:r w:rsidRPr="00AF02E5">
              <w:rPr>
                <w:color w:val="000000"/>
                <w:sz w:val="18"/>
                <w:szCs w:val="18"/>
              </w:rPr>
              <w:t>1.00</w:t>
            </w:r>
          </w:p>
        </w:tc>
        <w:tc>
          <w:tcPr>
            <w:tcW w:w="1083" w:type="dxa"/>
            <w:shd w:val="clear" w:color="auto" w:fill="auto"/>
            <w:vAlign w:val="center"/>
          </w:tcPr>
          <w:p w:rsidRPr="00AF02E5" w:rsidR="000D6D4F" w:rsidP="00A52A82" w:rsidRDefault="000D6D4F" w14:paraId="21ADD3E0" w14:textId="2EAA9C71">
            <w:pPr>
              <w:pStyle w:val="NoSpacing"/>
              <w:jc w:val="right"/>
              <w:rPr>
                <w:color w:val="000000"/>
                <w:sz w:val="18"/>
                <w:szCs w:val="18"/>
              </w:rPr>
            </w:pPr>
            <w:r w:rsidRPr="00AF02E5">
              <w:rPr>
                <w:color w:val="000000"/>
                <w:sz w:val="18"/>
                <w:szCs w:val="18"/>
              </w:rPr>
              <w:t>2</w:t>
            </w:r>
            <w:r w:rsidRPr="00AF02E5" w:rsidR="004F3FD4">
              <w:rPr>
                <w:color w:val="000000"/>
                <w:sz w:val="18"/>
                <w:szCs w:val="18"/>
              </w:rPr>
              <w:t>4</w:t>
            </w:r>
            <w:r w:rsidRPr="00AF02E5">
              <w:rPr>
                <w:color w:val="000000"/>
                <w:sz w:val="18"/>
                <w:szCs w:val="18"/>
              </w:rPr>
              <w:t>4.00</w:t>
            </w:r>
          </w:p>
        </w:tc>
        <w:tc>
          <w:tcPr>
            <w:tcW w:w="1000" w:type="dxa"/>
            <w:shd w:val="clear" w:color="auto" w:fill="auto"/>
            <w:vAlign w:val="center"/>
          </w:tcPr>
          <w:p w:rsidRPr="00AF02E5" w:rsidR="000D6D4F" w:rsidP="00A52A82" w:rsidRDefault="000D6D4F" w14:paraId="24A60D58" w14:textId="09D0E4DE">
            <w:pPr>
              <w:pStyle w:val="NoSpacing"/>
              <w:jc w:val="right"/>
              <w:rPr>
                <w:color w:val="000000"/>
                <w:sz w:val="18"/>
                <w:szCs w:val="18"/>
              </w:rPr>
            </w:pPr>
            <w:r w:rsidRPr="00AF02E5">
              <w:rPr>
                <w:color w:val="000000"/>
                <w:sz w:val="18"/>
                <w:szCs w:val="18"/>
              </w:rPr>
              <w:t>40.0</w:t>
            </w:r>
          </w:p>
        </w:tc>
        <w:tc>
          <w:tcPr>
            <w:tcW w:w="1000" w:type="dxa"/>
            <w:shd w:val="clear" w:color="auto" w:fill="auto"/>
            <w:vAlign w:val="center"/>
          </w:tcPr>
          <w:p w:rsidRPr="00AF02E5" w:rsidR="000D6D4F" w:rsidP="00A52A82" w:rsidRDefault="000D6D4F" w14:paraId="115AC210" w14:textId="5BB798AF">
            <w:pPr>
              <w:pStyle w:val="NoSpacing"/>
              <w:jc w:val="right"/>
              <w:rPr>
                <w:color w:val="000000"/>
                <w:sz w:val="18"/>
                <w:szCs w:val="18"/>
              </w:rPr>
            </w:pPr>
            <w:r w:rsidRPr="00AF02E5">
              <w:rPr>
                <w:color w:val="000000"/>
                <w:sz w:val="18"/>
                <w:szCs w:val="18"/>
              </w:rPr>
              <w:t>9,760.00</w:t>
            </w:r>
          </w:p>
        </w:tc>
        <w:tc>
          <w:tcPr>
            <w:tcW w:w="917" w:type="dxa"/>
            <w:vAlign w:val="center"/>
          </w:tcPr>
          <w:p w:rsidRPr="00AF02E5" w:rsidR="000D6D4F" w:rsidP="00A52A82" w:rsidRDefault="000D6D4F" w14:paraId="61D3922A" w14:textId="59E57706">
            <w:pPr>
              <w:pStyle w:val="NoSpacing"/>
              <w:jc w:val="right"/>
              <w:rPr>
                <w:color w:val="000000"/>
                <w:sz w:val="18"/>
                <w:szCs w:val="18"/>
              </w:rPr>
            </w:pPr>
            <w:r w:rsidRPr="00AF02E5">
              <w:rPr>
                <w:color w:val="000000"/>
                <w:sz w:val="18"/>
                <w:szCs w:val="18"/>
              </w:rPr>
              <w:t>$25.35</w:t>
            </w:r>
          </w:p>
        </w:tc>
        <w:tc>
          <w:tcPr>
            <w:tcW w:w="1250" w:type="dxa"/>
            <w:vAlign w:val="center"/>
          </w:tcPr>
          <w:p w:rsidRPr="00AF02E5" w:rsidR="000D6D4F" w:rsidP="00A52A82" w:rsidRDefault="000D6D4F" w14:paraId="0C9B317F" w14:textId="3BEF0E23">
            <w:pPr>
              <w:pStyle w:val="NoSpacing"/>
              <w:jc w:val="right"/>
              <w:rPr>
                <w:color w:val="000000"/>
                <w:sz w:val="18"/>
                <w:szCs w:val="18"/>
              </w:rPr>
            </w:pPr>
            <w:r w:rsidRPr="00AF02E5">
              <w:rPr>
                <w:color w:val="000000"/>
                <w:sz w:val="18"/>
                <w:szCs w:val="18"/>
              </w:rPr>
              <w:t>$247,416.00</w:t>
            </w:r>
          </w:p>
        </w:tc>
      </w:tr>
      <w:tr w:rsidRPr="00AF02E5" w:rsidR="0035306A" w:rsidTr="00AF02E5" w14:paraId="7960D152" w14:textId="77777777">
        <w:trPr>
          <w:trHeight w:val="425"/>
        </w:trPr>
        <w:tc>
          <w:tcPr>
            <w:tcW w:w="1890" w:type="dxa"/>
            <w:shd w:val="clear" w:color="auto" w:fill="auto"/>
          </w:tcPr>
          <w:p w:rsidRPr="00AF02E5" w:rsidR="0035306A" w:rsidP="00A52A82" w:rsidRDefault="004138EC" w14:paraId="17606D27" w14:textId="20C43C4E">
            <w:pPr>
              <w:rPr>
                <w:color w:val="000000"/>
                <w:sz w:val="18"/>
                <w:szCs w:val="18"/>
              </w:rPr>
            </w:pPr>
            <w:r w:rsidRPr="00AF02E5">
              <w:rPr>
                <w:color w:val="000000"/>
                <w:sz w:val="18"/>
                <w:szCs w:val="18"/>
              </w:rPr>
              <w:t>HUD-40110-C Annual Progress Report (APR)</w:t>
            </w:r>
          </w:p>
        </w:tc>
        <w:tc>
          <w:tcPr>
            <w:tcW w:w="1170" w:type="dxa"/>
            <w:shd w:val="clear" w:color="auto" w:fill="auto"/>
            <w:vAlign w:val="center"/>
          </w:tcPr>
          <w:p w:rsidRPr="00AF02E5" w:rsidR="0035306A" w:rsidP="00A52A82" w:rsidRDefault="004138EC" w14:paraId="69481F66" w14:textId="5A25A40B">
            <w:pPr>
              <w:pStyle w:val="NoSpacing"/>
              <w:jc w:val="right"/>
              <w:rPr>
                <w:color w:val="000000"/>
                <w:sz w:val="18"/>
                <w:szCs w:val="18"/>
              </w:rPr>
            </w:pPr>
            <w:r w:rsidRPr="00AF02E5">
              <w:rPr>
                <w:color w:val="000000"/>
                <w:sz w:val="18"/>
                <w:szCs w:val="18"/>
              </w:rPr>
              <w:t>116.00</w:t>
            </w:r>
          </w:p>
        </w:tc>
        <w:tc>
          <w:tcPr>
            <w:tcW w:w="1107" w:type="dxa"/>
            <w:shd w:val="clear" w:color="auto" w:fill="auto"/>
            <w:vAlign w:val="center"/>
          </w:tcPr>
          <w:p w:rsidRPr="00AF02E5" w:rsidR="0035306A" w:rsidP="00A52A82" w:rsidRDefault="004138EC" w14:paraId="0EE968AB" w14:textId="2C5CA215">
            <w:pPr>
              <w:pStyle w:val="NoSpacing"/>
              <w:jc w:val="right"/>
              <w:rPr>
                <w:color w:val="000000"/>
                <w:sz w:val="18"/>
                <w:szCs w:val="18"/>
              </w:rPr>
            </w:pPr>
            <w:r w:rsidRPr="00AF02E5">
              <w:rPr>
                <w:color w:val="000000"/>
                <w:sz w:val="18"/>
                <w:szCs w:val="18"/>
              </w:rPr>
              <w:t>1.00</w:t>
            </w:r>
          </w:p>
        </w:tc>
        <w:tc>
          <w:tcPr>
            <w:tcW w:w="1083" w:type="dxa"/>
            <w:shd w:val="clear" w:color="auto" w:fill="auto"/>
            <w:vAlign w:val="center"/>
          </w:tcPr>
          <w:p w:rsidRPr="00AF02E5" w:rsidR="0035306A" w:rsidP="00A52A82" w:rsidRDefault="004138EC" w14:paraId="2B612F14" w14:textId="5A726D24">
            <w:pPr>
              <w:pStyle w:val="NoSpacing"/>
              <w:jc w:val="right"/>
              <w:rPr>
                <w:color w:val="000000"/>
                <w:sz w:val="18"/>
                <w:szCs w:val="18"/>
              </w:rPr>
            </w:pPr>
            <w:r w:rsidRPr="00AF02E5">
              <w:rPr>
                <w:color w:val="000000"/>
                <w:sz w:val="18"/>
                <w:szCs w:val="18"/>
              </w:rPr>
              <w:t>116.00</w:t>
            </w:r>
          </w:p>
        </w:tc>
        <w:tc>
          <w:tcPr>
            <w:tcW w:w="1000" w:type="dxa"/>
            <w:shd w:val="clear" w:color="auto" w:fill="auto"/>
            <w:vAlign w:val="center"/>
          </w:tcPr>
          <w:p w:rsidRPr="00AF02E5" w:rsidR="0035306A" w:rsidP="00A52A82" w:rsidRDefault="004138EC" w14:paraId="4A57ECA1" w14:textId="24478FAB">
            <w:pPr>
              <w:pStyle w:val="NoSpacing"/>
              <w:jc w:val="right"/>
              <w:rPr>
                <w:color w:val="000000"/>
                <w:sz w:val="18"/>
                <w:szCs w:val="18"/>
              </w:rPr>
            </w:pPr>
            <w:r w:rsidRPr="00AF02E5">
              <w:rPr>
                <w:color w:val="000000"/>
                <w:sz w:val="18"/>
                <w:szCs w:val="18"/>
              </w:rPr>
              <w:t>55.00</w:t>
            </w:r>
          </w:p>
        </w:tc>
        <w:tc>
          <w:tcPr>
            <w:tcW w:w="1000" w:type="dxa"/>
            <w:shd w:val="clear" w:color="auto" w:fill="auto"/>
            <w:vAlign w:val="center"/>
          </w:tcPr>
          <w:p w:rsidRPr="00AF02E5" w:rsidR="0035306A" w:rsidP="00A52A82" w:rsidRDefault="004138EC" w14:paraId="2A1DB894" w14:textId="47CCD4D6">
            <w:pPr>
              <w:pStyle w:val="NoSpacing"/>
              <w:jc w:val="right"/>
              <w:rPr>
                <w:color w:val="000000"/>
                <w:sz w:val="18"/>
                <w:szCs w:val="18"/>
              </w:rPr>
            </w:pPr>
            <w:r w:rsidRPr="00AF02E5">
              <w:rPr>
                <w:color w:val="000000"/>
                <w:sz w:val="18"/>
                <w:szCs w:val="18"/>
              </w:rPr>
              <w:t>6,380.00</w:t>
            </w:r>
          </w:p>
        </w:tc>
        <w:tc>
          <w:tcPr>
            <w:tcW w:w="917" w:type="dxa"/>
            <w:vAlign w:val="center"/>
          </w:tcPr>
          <w:p w:rsidRPr="00AF02E5" w:rsidR="0035306A" w:rsidP="00A52A82" w:rsidRDefault="004138EC" w14:paraId="513EC24F" w14:textId="0DC2742C">
            <w:pPr>
              <w:pStyle w:val="NoSpacing"/>
              <w:jc w:val="right"/>
              <w:rPr>
                <w:color w:val="000000"/>
                <w:sz w:val="18"/>
                <w:szCs w:val="18"/>
              </w:rPr>
            </w:pPr>
            <w:r w:rsidRPr="00AF02E5">
              <w:rPr>
                <w:color w:val="000000"/>
                <w:sz w:val="18"/>
                <w:szCs w:val="18"/>
              </w:rPr>
              <w:t>$25.35</w:t>
            </w:r>
          </w:p>
        </w:tc>
        <w:tc>
          <w:tcPr>
            <w:tcW w:w="1250" w:type="dxa"/>
            <w:vAlign w:val="center"/>
          </w:tcPr>
          <w:p w:rsidRPr="00AF02E5" w:rsidR="004138EC" w:rsidP="004138EC" w:rsidRDefault="004138EC" w14:paraId="4D3D5E01" w14:textId="77777777">
            <w:pPr>
              <w:pStyle w:val="NoSpacing"/>
              <w:jc w:val="right"/>
              <w:rPr>
                <w:sz w:val="18"/>
                <w:szCs w:val="18"/>
              </w:rPr>
            </w:pPr>
            <w:r w:rsidRPr="00AF02E5">
              <w:rPr>
                <w:color w:val="000000"/>
                <w:sz w:val="18"/>
                <w:szCs w:val="18"/>
              </w:rPr>
              <w:t xml:space="preserve">$161,733.00 </w:t>
            </w:r>
          </w:p>
          <w:p w:rsidRPr="00AF02E5" w:rsidR="0035306A" w:rsidP="00A52A82" w:rsidRDefault="0035306A" w14:paraId="6FB1218B" w14:textId="77777777">
            <w:pPr>
              <w:pStyle w:val="NoSpacing"/>
              <w:jc w:val="right"/>
              <w:rPr>
                <w:color w:val="000000"/>
                <w:sz w:val="18"/>
                <w:szCs w:val="18"/>
              </w:rPr>
            </w:pPr>
          </w:p>
        </w:tc>
      </w:tr>
      <w:tr w:rsidRPr="00AF02E5" w:rsidR="004138EC" w:rsidTr="00AF02E5" w14:paraId="3A227BF9" w14:textId="77777777">
        <w:trPr>
          <w:trHeight w:val="713"/>
        </w:trPr>
        <w:tc>
          <w:tcPr>
            <w:tcW w:w="1890" w:type="dxa"/>
            <w:shd w:val="clear" w:color="auto" w:fill="auto"/>
          </w:tcPr>
          <w:p w:rsidRPr="00AF02E5" w:rsidR="004138EC" w:rsidP="00A774F6" w:rsidRDefault="004138EC" w14:paraId="63EE51D5" w14:textId="33C51F27">
            <w:pPr>
              <w:rPr>
                <w:color w:val="000000"/>
                <w:sz w:val="18"/>
                <w:szCs w:val="18"/>
              </w:rPr>
            </w:pPr>
            <w:r w:rsidRPr="00AF02E5">
              <w:rPr>
                <w:color w:val="000000"/>
                <w:sz w:val="18"/>
                <w:szCs w:val="18"/>
              </w:rPr>
              <w:lastRenderedPageBreak/>
              <w:t>HUD-40110-D Consolidated Annual Performance and Evaluation Report (CAPER)</w:t>
            </w:r>
          </w:p>
        </w:tc>
        <w:tc>
          <w:tcPr>
            <w:tcW w:w="1170" w:type="dxa"/>
            <w:shd w:val="clear" w:color="auto" w:fill="auto"/>
            <w:vAlign w:val="center"/>
          </w:tcPr>
          <w:p w:rsidRPr="00AF02E5" w:rsidR="004138EC" w:rsidP="00A774F6" w:rsidRDefault="004138EC" w14:paraId="48C639C9" w14:textId="4AF61329">
            <w:pPr>
              <w:pStyle w:val="NoSpacing"/>
              <w:jc w:val="right"/>
              <w:rPr>
                <w:color w:val="000000"/>
                <w:sz w:val="18"/>
                <w:szCs w:val="18"/>
              </w:rPr>
            </w:pPr>
            <w:r w:rsidRPr="00AF02E5">
              <w:rPr>
                <w:color w:val="000000"/>
                <w:sz w:val="18"/>
                <w:szCs w:val="18"/>
              </w:rPr>
              <w:t>128.00</w:t>
            </w:r>
          </w:p>
        </w:tc>
        <w:tc>
          <w:tcPr>
            <w:tcW w:w="1107" w:type="dxa"/>
            <w:shd w:val="clear" w:color="auto" w:fill="auto"/>
            <w:vAlign w:val="center"/>
          </w:tcPr>
          <w:p w:rsidRPr="00AF02E5" w:rsidR="004138EC" w:rsidP="00A774F6" w:rsidRDefault="004138EC" w14:paraId="77A3B2F3" w14:textId="62792D60">
            <w:pPr>
              <w:pStyle w:val="NoSpacing"/>
              <w:jc w:val="right"/>
              <w:rPr>
                <w:color w:val="000000"/>
                <w:sz w:val="18"/>
                <w:szCs w:val="18"/>
              </w:rPr>
            </w:pPr>
            <w:r w:rsidRPr="00AF02E5">
              <w:rPr>
                <w:color w:val="000000"/>
                <w:sz w:val="18"/>
                <w:szCs w:val="18"/>
              </w:rPr>
              <w:t>1.00</w:t>
            </w:r>
          </w:p>
        </w:tc>
        <w:tc>
          <w:tcPr>
            <w:tcW w:w="1083" w:type="dxa"/>
            <w:shd w:val="clear" w:color="auto" w:fill="auto"/>
            <w:vAlign w:val="center"/>
          </w:tcPr>
          <w:p w:rsidRPr="00AF02E5" w:rsidR="004138EC" w:rsidP="00A774F6" w:rsidRDefault="004138EC" w14:paraId="5E1519CC" w14:textId="10CD7917">
            <w:pPr>
              <w:pStyle w:val="NoSpacing"/>
              <w:jc w:val="right"/>
              <w:rPr>
                <w:color w:val="000000"/>
                <w:sz w:val="18"/>
                <w:szCs w:val="18"/>
              </w:rPr>
            </w:pPr>
            <w:r w:rsidRPr="00AF02E5">
              <w:rPr>
                <w:color w:val="000000"/>
                <w:sz w:val="18"/>
                <w:szCs w:val="18"/>
              </w:rPr>
              <w:t>128.00</w:t>
            </w:r>
          </w:p>
        </w:tc>
        <w:tc>
          <w:tcPr>
            <w:tcW w:w="1000" w:type="dxa"/>
            <w:shd w:val="clear" w:color="auto" w:fill="auto"/>
            <w:vAlign w:val="center"/>
          </w:tcPr>
          <w:p w:rsidRPr="00AF02E5" w:rsidR="004138EC" w:rsidP="00A774F6" w:rsidRDefault="004138EC" w14:paraId="6A8B9B52" w14:textId="6D134D7D">
            <w:pPr>
              <w:pStyle w:val="NoSpacing"/>
              <w:jc w:val="right"/>
              <w:rPr>
                <w:color w:val="000000"/>
                <w:sz w:val="18"/>
                <w:szCs w:val="18"/>
              </w:rPr>
            </w:pPr>
            <w:r w:rsidRPr="00AF02E5">
              <w:rPr>
                <w:color w:val="000000"/>
                <w:sz w:val="18"/>
                <w:szCs w:val="18"/>
              </w:rPr>
              <w:t>41.00</w:t>
            </w:r>
          </w:p>
        </w:tc>
        <w:tc>
          <w:tcPr>
            <w:tcW w:w="1000" w:type="dxa"/>
            <w:shd w:val="clear" w:color="auto" w:fill="auto"/>
            <w:vAlign w:val="center"/>
          </w:tcPr>
          <w:p w:rsidRPr="00AF02E5" w:rsidR="004138EC" w:rsidP="00A774F6" w:rsidRDefault="004138EC" w14:paraId="08D28E6E" w14:textId="65714072">
            <w:pPr>
              <w:pStyle w:val="NoSpacing"/>
              <w:jc w:val="right"/>
              <w:rPr>
                <w:color w:val="000000"/>
                <w:sz w:val="18"/>
                <w:szCs w:val="18"/>
              </w:rPr>
            </w:pPr>
            <w:r w:rsidRPr="00AF02E5">
              <w:rPr>
                <w:color w:val="000000"/>
                <w:sz w:val="18"/>
                <w:szCs w:val="18"/>
              </w:rPr>
              <w:t>5,248.00</w:t>
            </w:r>
          </w:p>
        </w:tc>
        <w:tc>
          <w:tcPr>
            <w:tcW w:w="917" w:type="dxa"/>
            <w:vAlign w:val="center"/>
          </w:tcPr>
          <w:p w:rsidRPr="00AF02E5" w:rsidR="004138EC" w:rsidP="00A774F6" w:rsidRDefault="004138EC" w14:paraId="10AECC2F" w14:textId="4612D6A6">
            <w:pPr>
              <w:pStyle w:val="NoSpacing"/>
              <w:jc w:val="right"/>
              <w:rPr>
                <w:color w:val="000000"/>
                <w:sz w:val="18"/>
                <w:szCs w:val="18"/>
              </w:rPr>
            </w:pPr>
            <w:r w:rsidRPr="00AF02E5">
              <w:rPr>
                <w:color w:val="000000"/>
                <w:sz w:val="18"/>
                <w:szCs w:val="18"/>
              </w:rPr>
              <w:t>$25.35</w:t>
            </w:r>
          </w:p>
        </w:tc>
        <w:tc>
          <w:tcPr>
            <w:tcW w:w="1250" w:type="dxa"/>
            <w:vAlign w:val="center"/>
          </w:tcPr>
          <w:p w:rsidRPr="00AF02E5" w:rsidR="004138EC" w:rsidP="00A774F6" w:rsidRDefault="004138EC" w14:paraId="1CDBDFB9" w14:textId="0A2351F2">
            <w:pPr>
              <w:pStyle w:val="NoSpacing"/>
              <w:jc w:val="right"/>
              <w:rPr>
                <w:color w:val="000000"/>
                <w:sz w:val="18"/>
                <w:szCs w:val="18"/>
              </w:rPr>
            </w:pPr>
            <w:r w:rsidRPr="00AF02E5">
              <w:rPr>
                <w:color w:val="000000"/>
                <w:sz w:val="18"/>
                <w:szCs w:val="18"/>
              </w:rPr>
              <w:t>$133,036.80</w:t>
            </w:r>
          </w:p>
        </w:tc>
      </w:tr>
      <w:tr w:rsidRPr="00AF02E5" w:rsidR="000D6D4F" w:rsidTr="00AF02E5" w14:paraId="0B342339" w14:textId="77777777">
        <w:trPr>
          <w:trHeight w:val="929"/>
        </w:trPr>
        <w:tc>
          <w:tcPr>
            <w:tcW w:w="1890" w:type="dxa"/>
            <w:shd w:val="clear" w:color="auto" w:fill="auto"/>
          </w:tcPr>
          <w:p w:rsidRPr="00AF02E5" w:rsidR="000D6D4F" w:rsidP="00A774F6" w:rsidRDefault="00703D4E" w14:paraId="0FC4B116" w14:textId="2AD6E6B0">
            <w:pPr>
              <w:rPr>
                <w:color w:val="000000"/>
                <w:sz w:val="18"/>
                <w:szCs w:val="18"/>
              </w:rPr>
            </w:pPr>
            <w:r w:rsidRPr="00AF02E5">
              <w:rPr>
                <w:color w:val="000000"/>
                <w:sz w:val="18"/>
                <w:szCs w:val="18"/>
              </w:rPr>
              <w:t>HU</w:t>
            </w:r>
            <w:r w:rsidRPr="00AF02E5" w:rsidR="008438FD">
              <w:rPr>
                <w:color w:val="000000"/>
                <w:sz w:val="18"/>
                <w:szCs w:val="18"/>
              </w:rPr>
              <w:t xml:space="preserve">D-4154, </w:t>
            </w:r>
            <w:r w:rsidRPr="00AF02E5" w:rsidR="000D6D4F">
              <w:rPr>
                <w:color w:val="000000"/>
                <w:sz w:val="18"/>
                <w:szCs w:val="18"/>
              </w:rPr>
              <w:t>HIV Housing Care Continuum Model Report (new competitive SPNS grant only)</w:t>
            </w:r>
          </w:p>
        </w:tc>
        <w:tc>
          <w:tcPr>
            <w:tcW w:w="1170" w:type="dxa"/>
            <w:shd w:val="clear" w:color="auto" w:fill="auto"/>
            <w:vAlign w:val="center"/>
          </w:tcPr>
          <w:p w:rsidRPr="00AF02E5" w:rsidR="000D6D4F" w:rsidP="00A774F6" w:rsidRDefault="000D6D4F" w14:paraId="07CA4C3F" w14:textId="77777777">
            <w:pPr>
              <w:pStyle w:val="NoSpacing"/>
              <w:jc w:val="right"/>
              <w:rPr>
                <w:sz w:val="18"/>
                <w:szCs w:val="18"/>
              </w:rPr>
            </w:pPr>
            <w:r w:rsidRPr="00AF02E5">
              <w:rPr>
                <w:color w:val="000000"/>
                <w:sz w:val="18"/>
                <w:szCs w:val="18"/>
              </w:rPr>
              <w:t>26.00</w:t>
            </w:r>
          </w:p>
        </w:tc>
        <w:tc>
          <w:tcPr>
            <w:tcW w:w="1107" w:type="dxa"/>
            <w:shd w:val="clear" w:color="auto" w:fill="auto"/>
            <w:vAlign w:val="center"/>
          </w:tcPr>
          <w:p w:rsidRPr="00AF02E5" w:rsidR="000D6D4F" w:rsidP="00A774F6" w:rsidRDefault="000D6D4F" w14:paraId="76DBC9A7" w14:textId="6670A9E6">
            <w:pPr>
              <w:pStyle w:val="NoSpacing"/>
              <w:jc w:val="right"/>
              <w:rPr>
                <w:sz w:val="18"/>
                <w:szCs w:val="18"/>
              </w:rPr>
            </w:pPr>
            <w:r w:rsidRPr="00AF02E5">
              <w:rPr>
                <w:color w:val="000000"/>
                <w:sz w:val="18"/>
                <w:szCs w:val="18"/>
              </w:rPr>
              <w:t>1.00</w:t>
            </w:r>
          </w:p>
        </w:tc>
        <w:tc>
          <w:tcPr>
            <w:tcW w:w="1083" w:type="dxa"/>
            <w:shd w:val="clear" w:color="auto" w:fill="auto"/>
            <w:vAlign w:val="center"/>
          </w:tcPr>
          <w:p w:rsidRPr="00AF02E5" w:rsidR="000D6D4F" w:rsidP="00A774F6" w:rsidRDefault="000D6D4F" w14:paraId="68D3F16B" w14:textId="77777777">
            <w:pPr>
              <w:pStyle w:val="NoSpacing"/>
              <w:jc w:val="right"/>
              <w:rPr>
                <w:sz w:val="18"/>
                <w:szCs w:val="18"/>
              </w:rPr>
            </w:pPr>
            <w:r w:rsidRPr="00AF02E5">
              <w:rPr>
                <w:color w:val="000000"/>
                <w:sz w:val="18"/>
                <w:szCs w:val="18"/>
              </w:rPr>
              <w:t>26.00</w:t>
            </w:r>
          </w:p>
        </w:tc>
        <w:tc>
          <w:tcPr>
            <w:tcW w:w="1000" w:type="dxa"/>
            <w:shd w:val="clear" w:color="auto" w:fill="auto"/>
            <w:vAlign w:val="center"/>
          </w:tcPr>
          <w:p w:rsidRPr="00AF02E5" w:rsidR="000D6D4F" w:rsidP="00A774F6" w:rsidRDefault="000D6D4F" w14:paraId="25E1897D" w14:textId="77777777">
            <w:pPr>
              <w:pStyle w:val="NoSpacing"/>
              <w:jc w:val="right"/>
              <w:rPr>
                <w:sz w:val="18"/>
                <w:szCs w:val="18"/>
              </w:rPr>
            </w:pPr>
            <w:r w:rsidRPr="00AF02E5">
              <w:rPr>
                <w:color w:val="000000"/>
                <w:sz w:val="18"/>
                <w:szCs w:val="18"/>
              </w:rPr>
              <w:t>20.00</w:t>
            </w:r>
          </w:p>
        </w:tc>
        <w:tc>
          <w:tcPr>
            <w:tcW w:w="1000" w:type="dxa"/>
            <w:shd w:val="clear" w:color="auto" w:fill="auto"/>
            <w:vAlign w:val="center"/>
          </w:tcPr>
          <w:p w:rsidRPr="00AF02E5" w:rsidR="000D6D4F" w:rsidP="00A774F6" w:rsidRDefault="000D6D4F" w14:paraId="58643E4D" w14:textId="77777777">
            <w:pPr>
              <w:pStyle w:val="NoSpacing"/>
              <w:jc w:val="right"/>
              <w:rPr>
                <w:sz w:val="18"/>
                <w:szCs w:val="18"/>
              </w:rPr>
            </w:pPr>
            <w:r w:rsidRPr="00AF02E5">
              <w:rPr>
                <w:color w:val="000000"/>
                <w:sz w:val="18"/>
                <w:szCs w:val="18"/>
              </w:rPr>
              <w:t>520.00</w:t>
            </w:r>
          </w:p>
        </w:tc>
        <w:tc>
          <w:tcPr>
            <w:tcW w:w="917" w:type="dxa"/>
            <w:vAlign w:val="center"/>
          </w:tcPr>
          <w:p w:rsidRPr="00AF02E5" w:rsidR="000D6D4F" w:rsidP="00A774F6" w:rsidRDefault="000D6D4F" w14:paraId="18B6EB2A" w14:textId="77777777">
            <w:pPr>
              <w:pStyle w:val="NoSpacing"/>
              <w:jc w:val="right"/>
              <w:rPr>
                <w:sz w:val="18"/>
                <w:szCs w:val="18"/>
              </w:rPr>
            </w:pPr>
            <w:r w:rsidRPr="00AF02E5">
              <w:rPr>
                <w:color w:val="000000"/>
                <w:sz w:val="18"/>
                <w:szCs w:val="18"/>
              </w:rPr>
              <w:t xml:space="preserve">$25.35 </w:t>
            </w:r>
          </w:p>
        </w:tc>
        <w:tc>
          <w:tcPr>
            <w:tcW w:w="1250" w:type="dxa"/>
            <w:vAlign w:val="center"/>
          </w:tcPr>
          <w:p w:rsidRPr="00AF02E5" w:rsidR="000D6D4F" w:rsidP="00A774F6" w:rsidRDefault="000D6D4F" w14:paraId="3C685FE8" w14:textId="77777777">
            <w:pPr>
              <w:pStyle w:val="NoSpacing"/>
              <w:jc w:val="right"/>
              <w:rPr>
                <w:sz w:val="18"/>
                <w:szCs w:val="18"/>
              </w:rPr>
            </w:pPr>
            <w:r w:rsidRPr="00AF02E5">
              <w:rPr>
                <w:color w:val="000000"/>
                <w:sz w:val="18"/>
                <w:szCs w:val="18"/>
              </w:rPr>
              <w:t xml:space="preserve">$13,182.00 </w:t>
            </w:r>
          </w:p>
        </w:tc>
      </w:tr>
      <w:tr w:rsidRPr="00AF02E5" w:rsidR="000D6D4F" w:rsidTr="00AF02E5" w14:paraId="30DC4620" w14:textId="77777777">
        <w:trPr>
          <w:trHeight w:val="1240"/>
        </w:trPr>
        <w:tc>
          <w:tcPr>
            <w:tcW w:w="1890" w:type="dxa"/>
            <w:shd w:val="clear" w:color="auto" w:fill="auto"/>
          </w:tcPr>
          <w:p w:rsidRPr="00AF02E5" w:rsidR="000D6D4F" w:rsidP="00A774F6" w:rsidRDefault="008438FD" w14:paraId="6A37F04F" w14:textId="213C25E0">
            <w:pPr>
              <w:rPr>
                <w:color w:val="000000"/>
                <w:sz w:val="18"/>
                <w:szCs w:val="18"/>
              </w:rPr>
            </w:pPr>
            <w:r w:rsidRPr="00AF02E5">
              <w:rPr>
                <w:color w:val="000000"/>
                <w:sz w:val="18"/>
                <w:szCs w:val="18"/>
              </w:rPr>
              <w:t xml:space="preserve">HUD-4153, </w:t>
            </w:r>
            <w:r w:rsidRPr="00AF02E5" w:rsidR="000D6D4F">
              <w:rPr>
                <w:color w:val="000000"/>
                <w:sz w:val="18"/>
                <w:szCs w:val="18"/>
              </w:rPr>
              <w:t>Housing as an Intervention to Fight AIDS (HIFA) Model Report (new competitive SPNS grant only)</w:t>
            </w:r>
          </w:p>
        </w:tc>
        <w:tc>
          <w:tcPr>
            <w:tcW w:w="1170" w:type="dxa"/>
            <w:shd w:val="clear" w:color="auto" w:fill="auto"/>
            <w:vAlign w:val="center"/>
          </w:tcPr>
          <w:p w:rsidRPr="00AF02E5" w:rsidR="000D6D4F" w:rsidP="00A774F6" w:rsidRDefault="000D6D4F" w14:paraId="7F0B0626" w14:textId="77777777">
            <w:pPr>
              <w:pStyle w:val="NoSpacing"/>
              <w:jc w:val="right"/>
              <w:rPr>
                <w:sz w:val="18"/>
                <w:szCs w:val="18"/>
              </w:rPr>
            </w:pPr>
            <w:r w:rsidRPr="00AF02E5">
              <w:rPr>
                <w:color w:val="000000"/>
                <w:sz w:val="18"/>
                <w:szCs w:val="18"/>
              </w:rPr>
              <w:t>26.00</w:t>
            </w:r>
          </w:p>
        </w:tc>
        <w:tc>
          <w:tcPr>
            <w:tcW w:w="1107" w:type="dxa"/>
            <w:shd w:val="clear" w:color="auto" w:fill="auto"/>
            <w:vAlign w:val="center"/>
          </w:tcPr>
          <w:p w:rsidRPr="00AF02E5" w:rsidR="000D6D4F" w:rsidP="00A774F6" w:rsidRDefault="000D6D4F" w14:paraId="64F7DEE2" w14:textId="35454E8D">
            <w:pPr>
              <w:pStyle w:val="NoSpacing"/>
              <w:jc w:val="right"/>
              <w:rPr>
                <w:sz w:val="18"/>
                <w:szCs w:val="18"/>
              </w:rPr>
            </w:pPr>
            <w:r w:rsidRPr="00AF02E5">
              <w:rPr>
                <w:color w:val="000000"/>
                <w:sz w:val="18"/>
                <w:szCs w:val="18"/>
              </w:rPr>
              <w:t>1.00</w:t>
            </w:r>
          </w:p>
        </w:tc>
        <w:tc>
          <w:tcPr>
            <w:tcW w:w="1083" w:type="dxa"/>
            <w:shd w:val="clear" w:color="auto" w:fill="auto"/>
            <w:vAlign w:val="center"/>
          </w:tcPr>
          <w:p w:rsidRPr="00AF02E5" w:rsidR="000D6D4F" w:rsidP="00A774F6" w:rsidRDefault="000D6D4F" w14:paraId="142E6057" w14:textId="77777777">
            <w:pPr>
              <w:pStyle w:val="NoSpacing"/>
              <w:jc w:val="right"/>
              <w:rPr>
                <w:sz w:val="18"/>
                <w:szCs w:val="18"/>
              </w:rPr>
            </w:pPr>
            <w:r w:rsidRPr="00AF02E5">
              <w:rPr>
                <w:color w:val="000000"/>
                <w:sz w:val="18"/>
                <w:szCs w:val="18"/>
              </w:rPr>
              <w:t>26.00</w:t>
            </w:r>
          </w:p>
        </w:tc>
        <w:tc>
          <w:tcPr>
            <w:tcW w:w="1000" w:type="dxa"/>
            <w:shd w:val="clear" w:color="auto" w:fill="auto"/>
            <w:vAlign w:val="center"/>
          </w:tcPr>
          <w:p w:rsidRPr="00AF02E5" w:rsidR="000D6D4F" w:rsidP="00A774F6" w:rsidRDefault="000D6D4F" w14:paraId="5232B415" w14:textId="77777777">
            <w:pPr>
              <w:pStyle w:val="NoSpacing"/>
              <w:jc w:val="right"/>
              <w:rPr>
                <w:sz w:val="18"/>
                <w:szCs w:val="18"/>
              </w:rPr>
            </w:pPr>
            <w:r w:rsidRPr="00AF02E5">
              <w:rPr>
                <w:color w:val="000000"/>
                <w:sz w:val="18"/>
                <w:szCs w:val="18"/>
              </w:rPr>
              <w:t>40.00</w:t>
            </w:r>
          </w:p>
        </w:tc>
        <w:tc>
          <w:tcPr>
            <w:tcW w:w="1000" w:type="dxa"/>
            <w:shd w:val="clear" w:color="auto" w:fill="auto"/>
            <w:vAlign w:val="center"/>
          </w:tcPr>
          <w:p w:rsidRPr="00AF02E5" w:rsidR="000D6D4F" w:rsidP="00A774F6" w:rsidRDefault="000D6D4F" w14:paraId="7E337898" w14:textId="77777777">
            <w:pPr>
              <w:pStyle w:val="NoSpacing"/>
              <w:jc w:val="right"/>
              <w:rPr>
                <w:sz w:val="18"/>
                <w:szCs w:val="18"/>
              </w:rPr>
            </w:pPr>
            <w:r w:rsidRPr="00AF02E5">
              <w:rPr>
                <w:color w:val="000000"/>
                <w:sz w:val="18"/>
                <w:szCs w:val="18"/>
              </w:rPr>
              <w:t>1040.00</w:t>
            </w:r>
          </w:p>
        </w:tc>
        <w:tc>
          <w:tcPr>
            <w:tcW w:w="917" w:type="dxa"/>
            <w:vAlign w:val="center"/>
          </w:tcPr>
          <w:p w:rsidRPr="00AF02E5" w:rsidR="000D6D4F" w:rsidP="00A774F6" w:rsidRDefault="000D6D4F" w14:paraId="17A65FCC" w14:textId="77777777">
            <w:pPr>
              <w:pStyle w:val="NoSpacing"/>
              <w:jc w:val="right"/>
              <w:rPr>
                <w:sz w:val="18"/>
                <w:szCs w:val="18"/>
              </w:rPr>
            </w:pPr>
            <w:r w:rsidRPr="00AF02E5">
              <w:rPr>
                <w:color w:val="000000"/>
                <w:sz w:val="18"/>
                <w:szCs w:val="18"/>
              </w:rPr>
              <w:t xml:space="preserve">$25.35 </w:t>
            </w:r>
          </w:p>
        </w:tc>
        <w:tc>
          <w:tcPr>
            <w:tcW w:w="1250" w:type="dxa"/>
            <w:vAlign w:val="center"/>
          </w:tcPr>
          <w:p w:rsidRPr="00AF02E5" w:rsidR="000D6D4F" w:rsidP="00A774F6" w:rsidRDefault="000D6D4F" w14:paraId="64B5E342" w14:textId="77777777">
            <w:pPr>
              <w:pStyle w:val="NoSpacing"/>
              <w:jc w:val="right"/>
              <w:rPr>
                <w:sz w:val="18"/>
                <w:szCs w:val="18"/>
              </w:rPr>
            </w:pPr>
            <w:r w:rsidRPr="00AF02E5">
              <w:rPr>
                <w:color w:val="000000"/>
                <w:sz w:val="18"/>
                <w:szCs w:val="18"/>
              </w:rPr>
              <w:t xml:space="preserve">$26,364.00 </w:t>
            </w:r>
          </w:p>
        </w:tc>
      </w:tr>
      <w:tr w:rsidRPr="00AF02E5" w:rsidR="000D6D4F" w:rsidTr="00AF02E5" w14:paraId="0F10B8B3" w14:textId="77777777">
        <w:trPr>
          <w:trHeight w:val="620"/>
        </w:trPr>
        <w:tc>
          <w:tcPr>
            <w:tcW w:w="1890" w:type="dxa"/>
            <w:shd w:val="clear" w:color="auto" w:fill="auto"/>
          </w:tcPr>
          <w:p w:rsidRPr="00AF02E5" w:rsidR="000D6D4F" w:rsidP="00A774F6" w:rsidRDefault="000D6D4F" w14:paraId="0D7B09BA" w14:textId="77777777">
            <w:pPr>
              <w:rPr>
                <w:color w:val="000000"/>
                <w:sz w:val="18"/>
                <w:szCs w:val="18"/>
              </w:rPr>
            </w:pPr>
            <w:r w:rsidRPr="00AF02E5">
              <w:rPr>
                <w:color w:val="000000"/>
                <w:sz w:val="18"/>
                <w:szCs w:val="18"/>
              </w:rPr>
              <w:t>Recordkeeping for Competitive, Renewal, and Formula Grantees</w:t>
            </w:r>
          </w:p>
        </w:tc>
        <w:tc>
          <w:tcPr>
            <w:tcW w:w="1170" w:type="dxa"/>
            <w:shd w:val="clear" w:color="auto" w:fill="auto"/>
            <w:vAlign w:val="center"/>
          </w:tcPr>
          <w:p w:rsidRPr="00AF02E5" w:rsidR="000D6D4F" w:rsidDel="00283F75" w:rsidP="00A774F6" w:rsidRDefault="000D6D4F" w14:paraId="4430DEB7" w14:textId="77777777">
            <w:pPr>
              <w:pStyle w:val="NoSpacing"/>
              <w:jc w:val="right"/>
              <w:rPr>
                <w:sz w:val="18"/>
                <w:szCs w:val="18"/>
              </w:rPr>
            </w:pPr>
            <w:r w:rsidRPr="00AF02E5">
              <w:rPr>
                <w:color w:val="000000"/>
                <w:sz w:val="18"/>
                <w:szCs w:val="18"/>
              </w:rPr>
              <w:t>244.00</w:t>
            </w:r>
          </w:p>
        </w:tc>
        <w:tc>
          <w:tcPr>
            <w:tcW w:w="1107" w:type="dxa"/>
            <w:shd w:val="clear" w:color="auto" w:fill="auto"/>
            <w:vAlign w:val="center"/>
          </w:tcPr>
          <w:p w:rsidRPr="00AF02E5" w:rsidR="000D6D4F" w:rsidP="00A774F6" w:rsidRDefault="000D6D4F" w14:paraId="21DCEA86" w14:textId="2F4DFFA5">
            <w:pPr>
              <w:pStyle w:val="NoSpacing"/>
              <w:jc w:val="right"/>
              <w:rPr>
                <w:sz w:val="18"/>
                <w:szCs w:val="18"/>
              </w:rPr>
            </w:pPr>
            <w:r w:rsidRPr="00AF02E5">
              <w:rPr>
                <w:color w:val="000000"/>
                <w:sz w:val="18"/>
                <w:szCs w:val="18"/>
              </w:rPr>
              <w:t>1.00</w:t>
            </w:r>
          </w:p>
        </w:tc>
        <w:tc>
          <w:tcPr>
            <w:tcW w:w="1083" w:type="dxa"/>
            <w:shd w:val="clear" w:color="auto" w:fill="auto"/>
            <w:vAlign w:val="center"/>
          </w:tcPr>
          <w:p w:rsidRPr="00AF02E5" w:rsidR="000D6D4F" w:rsidDel="00283F75" w:rsidP="00A774F6" w:rsidRDefault="000D6D4F" w14:paraId="331DDA91" w14:textId="77777777">
            <w:pPr>
              <w:pStyle w:val="NoSpacing"/>
              <w:jc w:val="right"/>
              <w:rPr>
                <w:sz w:val="18"/>
                <w:szCs w:val="18"/>
              </w:rPr>
            </w:pPr>
            <w:r w:rsidRPr="00AF02E5">
              <w:rPr>
                <w:color w:val="000000"/>
                <w:sz w:val="18"/>
                <w:szCs w:val="18"/>
              </w:rPr>
              <w:t>244.00</w:t>
            </w:r>
          </w:p>
        </w:tc>
        <w:tc>
          <w:tcPr>
            <w:tcW w:w="1000" w:type="dxa"/>
            <w:shd w:val="clear" w:color="auto" w:fill="auto"/>
            <w:vAlign w:val="center"/>
          </w:tcPr>
          <w:p w:rsidRPr="00AF02E5" w:rsidR="000D6D4F" w:rsidP="00A774F6" w:rsidRDefault="000D6D4F" w14:paraId="1B56B5E2" w14:textId="77777777">
            <w:pPr>
              <w:pStyle w:val="NoSpacing"/>
              <w:jc w:val="right"/>
              <w:rPr>
                <w:sz w:val="18"/>
                <w:szCs w:val="18"/>
              </w:rPr>
            </w:pPr>
            <w:r w:rsidRPr="00AF02E5">
              <w:rPr>
                <w:color w:val="000000"/>
                <w:sz w:val="18"/>
                <w:szCs w:val="18"/>
              </w:rPr>
              <w:t>60.00</w:t>
            </w:r>
          </w:p>
        </w:tc>
        <w:tc>
          <w:tcPr>
            <w:tcW w:w="1000" w:type="dxa"/>
            <w:shd w:val="clear" w:color="auto" w:fill="auto"/>
            <w:vAlign w:val="center"/>
          </w:tcPr>
          <w:p w:rsidRPr="00AF02E5" w:rsidR="000D6D4F" w:rsidP="00A774F6" w:rsidRDefault="000D6D4F" w14:paraId="688C6455" w14:textId="77777777">
            <w:pPr>
              <w:pStyle w:val="NoSpacing"/>
              <w:jc w:val="right"/>
              <w:rPr>
                <w:sz w:val="18"/>
                <w:szCs w:val="18"/>
              </w:rPr>
            </w:pPr>
            <w:r w:rsidRPr="00AF02E5">
              <w:rPr>
                <w:color w:val="000000"/>
                <w:sz w:val="18"/>
                <w:szCs w:val="18"/>
              </w:rPr>
              <w:t>14640.00</w:t>
            </w:r>
          </w:p>
        </w:tc>
        <w:tc>
          <w:tcPr>
            <w:tcW w:w="917" w:type="dxa"/>
            <w:vAlign w:val="center"/>
          </w:tcPr>
          <w:p w:rsidRPr="00AF02E5" w:rsidR="000D6D4F" w:rsidP="00A774F6" w:rsidRDefault="000D6D4F" w14:paraId="6CF20AC9" w14:textId="77777777">
            <w:pPr>
              <w:pStyle w:val="NoSpacing"/>
              <w:jc w:val="right"/>
              <w:rPr>
                <w:sz w:val="18"/>
                <w:szCs w:val="18"/>
              </w:rPr>
            </w:pPr>
            <w:r w:rsidRPr="00AF02E5">
              <w:rPr>
                <w:color w:val="000000"/>
                <w:sz w:val="18"/>
                <w:szCs w:val="18"/>
              </w:rPr>
              <w:t xml:space="preserve">$25.35 </w:t>
            </w:r>
          </w:p>
        </w:tc>
        <w:tc>
          <w:tcPr>
            <w:tcW w:w="1250" w:type="dxa"/>
            <w:vAlign w:val="center"/>
          </w:tcPr>
          <w:p w:rsidRPr="00AF02E5" w:rsidR="000D6D4F" w:rsidP="00A774F6" w:rsidRDefault="000D6D4F" w14:paraId="1C94AF2B" w14:textId="77777777">
            <w:pPr>
              <w:pStyle w:val="NoSpacing"/>
              <w:jc w:val="right"/>
              <w:rPr>
                <w:sz w:val="18"/>
                <w:szCs w:val="18"/>
              </w:rPr>
            </w:pPr>
            <w:r w:rsidRPr="00AF02E5">
              <w:rPr>
                <w:color w:val="000000"/>
                <w:sz w:val="18"/>
                <w:szCs w:val="18"/>
              </w:rPr>
              <w:t xml:space="preserve">$371,124.00 </w:t>
            </w:r>
          </w:p>
        </w:tc>
      </w:tr>
      <w:tr w:rsidRPr="00AF02E5" w:rsidR="000D6D4F" w:rsidTr="00AF02E5" w14:paraId="224874B0" w14:textId="77777777">
        <w:trPr>
          <w:trHeight w:val="830"/>
        </w:trPr>
        <w:tc>
          <w:tcPr>
            <w:tcW w:w="1890" w:type="dxa"/>
            <w:shd w:val="clear" w:color="auto" w:fill="auto"/>
          </w:tcPr>
          <w:p w:rsidRPr="00AF02E5" w:rsidR="000D6D4F" w:rsidP="00A774F6" w:rsidRDefault="000D6D4F" w14:paraId="0F8A67B9" w14:textId="77777777">
            <w:pPr>
              <w:rPr>
                <w:color w:val="000000"/>
                <w:sz w:val="18"/>
                <w:szCs w:val="18"/>
              </w:rPr>
            </w:pPr>
            <w:r w:rsidRPr="00AF02E5">
              <w:rPr>
                <w:color w:val="000000"/>
                <w:sz w:val="18"/>
                <w:szCs w:val="18"/>
              </w:rPr>
              <w:t>Grant Amendments (budget change, extension, or early termination)</w:t>
            </w:r>
          </w:p>
        </w:tc>
        <w:tc>
          <w:tcPr>
            <w:tcW w:w="1170" w:type="dxa"/>
            <w:shd w:val="clear" w:color="auto" w:fill="auto"/>
            <w:vAlign w:val="center"/>
          </w:tcPr>
          <w:p w:rsidRPr="00AF02E5" w:rsidR="000D6D4F" w:rsidP="00A774F6" w:rsidRDefault="000D6D4F" w14:paraId="4BB9DCA1" w14:textId="77777777">
            <w:pPr>
              <w:pStyle w:val="NoSpacing"/>
              <w:jc w:val="right"/>
              <w:rPr>
                <w:sz w:val="18"/>
                <w:szCs w:val="18"/>
              </w:rPr>
            </w:pPr>
            <w:r w:rsidRPr="00AF02E5">
              <w:rPr>
                <w:color w:val="000000"/>
                <w:sz w:val="18"/>
                <w:szCs w:val="18"/>
              </w:rPr>
              <w:t>30.00</w:t>
            </w:r>
          </w:p>
        </w:tc>
        <w:tc>
          <w:tcPr>
            <w:tcW w:w="1107" w:type="dxa"/>
            <w:shd w:val="clear" w:color="auto" w:fill="auto"/>
            <w:vAlign w:val="center"/>
          </w:tcPr>
          <w:p w:rsidRPr="00AF02E5" w:rsidR="000D6D4F" w:rsidP="00A774F6" w:rsidRDefault="000D6D4F" w14:paraId="3451DDB6" w14:textId="03888656">
            <w:pPr>
              <w:pStyle w:val="NoSpacing"/>
              <w:jc w:val="right"/>
              <w:rPr>
                <w:sz w:val="18"/>
                <w:szCs w:val="18"/>
              </w:rPr>
            </w:pPr>
            <w:r w:rsidRPr="00AF02E5">
              <w:rPr>
                <w:color w:val="000000"/>
                <w:sz w:val="18"/>
                <w:szCs w:val="18"/>
              </w:rPr>
              <w:t>1.00</w:t>
            </w:r>
          </w:p>
        </w:tc>
        <w:tc>
          <w:tcPr>
            <w:tcW w:w="1083" w:type="dxa"/>
            <w:shd w:val="clear" w:color="auto" w:fill="auto"/>
            <w:vAlign w:val="center"/>
          </w:tcPr>
          <w:p w:rsidRPr="00AF02E5" w:rsidR="000D6D4F" w:rsidP="00A774F6" w:rsidRDefault="000D6D4F" w14:paraId="43B3650F" w14:textId="77777777">
            <w:pPr>
              <w:pStyle w:val="NoSpacing"/>
              <w:jc w:val="right"/>
              <w:rPr>
                <w:sz w:val="18"/>
                <w:szCs w:val="18"/>
              </w:rPr>
            </w:pPr>
            <w:r w:rsidRPr="00AF02E5">
              <w:rPr>
                <w:color w:val="000000"/>
                <w:sz w:val="18"/>
                <w:szCs w:val="18"/>
              </w:rPr>
              <w:t>30.00</w:t>
            </w:r>
          </w:p>
        </w:tc>
        <w:tc>
          <w:tcPr>
            <w:tcW w:w="1000" w:type="dxa"/>
            <w:shd w:val="clear" w:color="auto" w:fill="auto"/>
            <w:vAlign w:val="center"/>
          </w:tcPr>
          <w:p w:rsidRPr="00AF02E5" w:rsidR="000D6D4F" w:rsidP="00A774F6" w:rsidRDefault="000D6D4F" w14:paraId="5438D766" w14:textId="77777777">
            <w:pPr>
              <w:pStyle w:val="NoSpacing"/>
              <w:jc w:val="right"/>
              <w:rPr>
                <w:sz w:val="18"/>
                <w:szCs w:val="18"/>
              </w:rPr>
            </w:pPr>
            <w:r w:rsidRPr="00AF02E5">
              <w:rPr>
                <w:color w:val="000000"/>
                <w:sz w:val="18"/>
                <w:szCs w:val="18"/>
              </w:rPr>
              <w:t>6.00</w:t>
            </w:r>
          </w:p>
        </w:tc>
        <w:tc>
          <w:tcPr>
            <w:tcW w:w="1000" w:type="dxa"/>
            <w:shd w:val="clear" w:color="auto" w:fill="auto"/>
            <w:vAlign w:val="center"/>
          </w:tcPr>
          <w:p w:rsidRPr="00AF02E5" w:rsidR="000D6D4F" w:rsidP="00A774F6" w:rsidRDefault="000D6D4F" w14:paraId="23AC53ED" w14:textId="77777777">
            <w:pPr>
              <w:pStyle w:val="NoSpacing"/>
              <w:jc w:val="right"/>
              <w:rPr>
                <w:sz w:val="18"/>
                <w:szCs w:val="18"/>
              </w:rPr>
            </w:pPr>
            <w:r w:rsidRPr="00AF02E5">
              <w:rPr>
                <w:color w:val="000000"/>
                <w:sz w:val="18"/>
                <w:szCs w:val="18"/>
              </w:rPr>
              <w:t>180.00</w:t>
            </w:r>
          </w:p>
        </w:tc>
        <w:tc>
          <w:tcPr>
            <w:tcW w:w="917" w:type="dxa"/>
            <w:vAlign w:val="center"/>
          </w:tcPr>
          <w:p w:rsidRPr="00AF02E5" w:rsidR="000D6D4F" w:rsidP="00A774F6" w:rsidRDefault="000D6D4F" w14:paraId="251C65D8" w14:textId="77777777">
            <w:pPr>
              <w:pStyle w:val="NoSpacing"/>
              <w:jc w:val="right"/>
              <w:rPr>
                <w:sz w:val="18"/>
                <w:szCs w:val="18"/>
              </w:rPr>
            </w:pPr>
            <w:r w:rsidRPr="00AF02E5">
              <w:rPr>
                <w:color w:val="000000"/>
                <w:sz w:val="18"/>
                <w:szCs w:val="18"/>
              </w:rPr>
              <w:t xml:space="preserve">$25.35 </w:t>
            </w:r>
          </w:p>
        </w:tc>
        <w:tc>
          <w:tcPr>
            <w:tcW w:w="1250" w:type="dxa"/>
            <w:vAlign w:val="center"/>
          </w:tcPr>
          <w:p w:rsidRPr="00AF02E5" w:rsidR="000D6D4F" w:rsidP="00A774F6" w:rsidRDefault="000D6D4F" w14:paraId="4D7BD287" w14:textId="77777777">
            <w:pPr>
              <w:pStyle w:val="NoSpacing"/>
              <w:jc w:val="right"/>
              <w:rPr>
                <w:sz w:val="18"/>
                <w:szCs w:val="18"/>
              </w:rPr>
            </w:pPr>
            <w:r w:rsidRPr="00AF02E5">
              <w:rPr>
                <w:color w:val="000000"/>
                <w:sz w:val="18"/>
                <w:szCs w:val="18"/>
              </w:rPr>
              <w:t xml:space="preserve">$4,563.00 </w:t>
            </w:r>
          </w:p>
        </w:tc>
      </w:tr>
      <w:tr w:rsidRPr="00AF02E5" w:rsidR="000D6D4F" w:rsidTr="00AF02E5" w14:paraId="35DA4786" w14:textId="77777777">
        <w:trPr>
          <w:trHeight w:val="272"/>
        </w:trPr>
        <w:tc>
          <w:tcPr>
            <w:tcW w:w="1890" w:type="dxa"/>
            <w:shd w:val="clear" w:color="auto" w:fill="auto"/>
            <w:vAlign w:val="center"/>
          </w:tcPr>
          <w:p w:rsidRPr="00AF02E5" w:rsidR="000D6D4F" w:rsidP="00A774F6" w:rsidRDefault="000D6D4F" w14:paraId="50B15024" w14:textId="77777777">
            <w:pPr>
              <w:rPr>
                <w:b/>
                <w:color w:val="000000"/>
                <w:sz w:val="18"/>
                <w:szCs w:val="18"/>
              </w:rPr>
            </w:pPr>
            <w:r w:rsidRPr="00AF02E5">
              <w:rPr>
                <w:b/>
                <w:color w:val="000000"/>
                <w:sz w:val="18"/>
                <w:szCs w:val="18"/>
              </w:rPr>
              <w:t>Total</w:t>
            </w:r>
          </w:p>
        </w:tc>
        <w:tc>
          <w:tcPr>
            <w:tcW w:w="1170" w:type="dxa"/>
            <w:shd w:val="clear" w:color="auto" w:fill="auto"/>
          </w:tcPr>
          <w:p w:rsidRPr="00AF02E5" w:rsidR="000D6D4F" w:rsidP="00A774F6" w:rsidRDefault="000044CA" w14:paraId="3D5C4481" w14:textId="42561178">
            <w:pPr>
              <w:pStyle w:val="NoSpacing"/>
              <w:jc w:val="right"/>
              <w:rPr>
                <w:b/>
                <w:bCs/>
                <w:sz w:val="18"/>
                <w:szCs w:val="18"/>
              </w:rPr>
            </w:pPr>
            <w:r w:rsidRPr="00AF02E5">
              <w:rPr>
                <w:b/>
                <w:bCs/>
                <w:sz w:val="18"/>
                <w:szCs w:val="18"/>
              </w:rPr>
              <w:t>882.00</w:t>
            </w:r>
          </w:p>
        </w:tc>
        <w:tc>
          <w:tcPr>
            <w:tcW w:w="1107" w:type="dxa"/>
            <w:shd w:val="clear" w:color="auto" w:fill="auto"/>
          </w:tcPr>
          <w:p w:rsidRPr="00AF02E5" w:rsidR="000D6D4F" w:rsidP="00A774F6" w:rsidRDefault="000D6D4F" w14:paraId="17BCD106" w14:textId="4A52DE77">
            <w:pPr>
              <w:pStyle w:val="NoSpacing"/>
              <w:jc w:val="right"/>
              <w:rPr>
                <w:b/>
                <w:bCs/>
                <w:sz w:val="18"/>
                <w:szCs w:val="18"/>
              </w:rPr>
            </w:pPr>
            <w:r w:rsidRPr="00AF02E5">
              <w:rPr>
                <w:b/>
                <w:bCs/>
                <w:sz w:val="18"/>
                <w:szCs w:val="18"/>
              </w:rPr>
              <w:t>-</w:t>
            </w:r>
          </w:p>
        </w:tc>
        <w:tc>
          <w:tcPr>
            <w:tcW w:w="1083" w:type="dxa"/>
            <w:shd w:val="clear" w:color="auto" w:fill="auto"/>
          </w:tcPr>
          <w:p w:rsidRPr="00AF02E5" w:rsidR="000D6D4F" w:rsidP="00A774F6" w:rsidRDefault="000044CA" w14:paraId="41AB8395" w14:textId="7AE907F9">
            <w:pPr>
              <w:pStyle w:val="NoSpacing"/>
              <w:jc w:val="right"/>
              <w:rPr>
                <w:b/>
                <w:bCs/>
                <w:sz w:val="18"/>
                <w:szCs w:val="18"/>
              </w:rPr>
            </w:pPr>
            <w:r w:rsidRPr="00AF02E5">
              <w:rPr>
                <w:b/>
                <w:bCs/>
                <w:sz w:val="18"/>
                <w:szCs w:val="18"/>
              </w:rPr>
              <w:t>882.00</w:t>
            </w:r>
          </w:p>
        </w:tc>
        <w:tc>
          <w:tcPr>
            <w:tcW w:w="1000" w:type="dxa"/>
            <w:shd w:val="clear" w:color="auto" w:fill="auto"/>
          </w:tcPr>
          <w:p w:rsidRPr="00AF02E5" w:rsidR="000D6D4F" w:rsidP="00A774F6" w:rsidRDefault="000D6D4F" w14:paraId="6BE3D201" w14:textId="77777777">
            <w:pPr>
              <w:pStyle w:val="NoSpacing"/>
              <w:jc w:val="right"/>
              <w:rPr>
                <w:b/>
                <w:bCs/>
                <w:sz w:val="18"/>
                <w:szCs w:val="18"/>
              </w:rPr>
            </w:pPr>
            <w:r w:rsidRPr="00AF02E5">
              <w:rPr>
                <w:b/>
                <w:bCs/>
                <w:sz w:val="18"/>
                <w:szCs w:val="18"/>
              </w:rPr>
              <w:t>-</w:t>
            </w:r>
          </w:p>
        </w:tc>
        <w:tc>
          <w:tcPr>
            <w:tcW w:w="1000" w:type="dxa"/>
            <w:shd w:val="clear" w:color="auto" w:fill="auto"/>
          </w:tcPr>
          <w:p w:rsidRPr="00AF02E5" w:rsidR="000D6D4F" w:rsidP="005C3443" w:rsidRDefault="000044CA" w14:paraId="1DFC5944" w14:textId="58E3E46D">
            <w:pPr>
              <w:pStyle w:val="NoSpacing"/>
              <w:jc w:val="center"/>
              <w:rPr>
                <w:b/>
                <w:bCs/>
                <w:sz w:val="18"/>
                <w:szCs w:val="18"/>
              </w:rPr>
            </w:pPr>
            <w:r w:rsidRPr="00AF02E5">
              <w:rPr>
                <w:b/>
                <w:bCs/>
                <w:sz w:val="18"/>
                <w:szCs w:val="18"/>
              </w:rPr>
              <w:t>39,988.00</w:t>
            </w:r>
          </w:p>
        </w:tc>
        <w:tc>
          <w:tcPr>
            <w:tcW w:w="917" w:type="dxa"/>
            <w:vAlign w:val="center"/>
          </w:tcPr>
          <w:p w:rsidRPr="00AF02E5" w:rsidR="000D6D4F" w:rsidP="005C3443" w:rsidRDefault="000D6D4F" w14:paraId="74F94491" w14:textId="618D6D93">
            <w:pPr>
              <w:pStyle w:val="NoSpacing"/>
              <w:rPr>
                <w:b/>
                <w:bCs/>
                <w:sz w:val="18"/>
                <w:szCs w:val="18"/>
              </w:rPr>
            </w:pPr>
            <w:r w:rsidRPr="00AF02E5">
              <w:rPr>
                <w:b/>
                <w:bCs/>
                <w:sz w:val="18"/>
                <w:szCs w:val="18"/>
              </w:rPr>
              <w:t>-</w:t>
            </w:r>
          </w:p>
        </w:tc>
        <w:tc>
          <w:tcPr>
            <w:tcW w:w="1250" w:type="dxa"/>
            <w:vAlign w:val="center"/>
          </w:tcPr>
          <w:p w:rsidRPr="00AF02E5" w:rsidR="000D6D4F" w:rsidP="00A774F6" w:rsidRDefault="000044CA" w14:paraId="17E9FDEF" w14:textId="702D2EC5">
            <w:pPr>
              <w:pStyle w:val="NoSpacing"/>
              <w:jc w:val="right"/>
              <w:rPr>
                <w:b/>
                <w:bCs/>
                <w:color w:val="000000"/>
                <w:sz w:val="18"/>
                <w:szCs w:val="18"/>
              </w:rPr>
            </w:pPr>
            <w:r w:rsidRPr="00AF02E5">
              <w:rPr>
                <w:b/>
                <w:bCs/>
                <w:color w:val="000000"/>
                <w:sz w:val="18"/>
                <w:szCs w:val="18"/>
              </w:rPr>
              <w:t>$1,013,695.8</w:t>
            </w:r>
          </w:p>
          <w:p w:rsidRPr="00AF02E5" w:rsidR="000D6D4F" w:rsidP="00A774F6" w:rsidRDefault="000D6D4F" w14:paraId="19C857BA" w14:textId="329973B7">
            <w:pPr>
              <w:pStyle w:val="NoSpacing"/>
              <w:jc w:val="right"/>
              <w:rPr>
                <w:b/>
                <w:bCs/>
                <w:sz w:val="18"/>
                <w:szCs w:val="18"/>
              </w:rPr>
            </w:pPr>
          </w:p>
        </w:tc>
      </w:tr>
      <w:bookmarkEnd w:id="2"/>
    </w:tbl>
    <w:p w:rsidR="007C6B75" w:rsidP="00BC30AD" w:rsidRDefault="007C6B75" w14:paraId="7D16D071" w14:textId="77777777">
      <w:pPr>
        <w:keepLines/>
        <w:tabs>
          <w:tab w:val="left" w:pos="360"/>
          <w:tab w:val="left" w:pos="720"/>
        </w:tabs>
        <w:rPr>
          <w:color w:val="000000"/>
          <w:sz w:val="22"/>
          <w:szCs w:val="22"/>
        </w:rPr>
      </w:pPr>
    </w:p>
    <w:p w:rsidR="00D04A65" w:rsidP="004904B0" w:rsidRDefault="00D04A65" w14:paraId="5424F163" w14:textId="615B0D37">
      <w:pPr>
        <w:keepLines/>
        <w:tabs>
          <w:tab w:val="left" w:pos="360"/>
          <w:tab w:val="left" w:pos="720"/>
        </w:tabs>
        <w:rPr>
          <w:color w:val="000000"/>
          <w:sz w:val="22"/>
          <w:szCs w:val="22"/>
        </w:rPr>
      </w:pPr>
      <w:r>
        <w:rPr>
          <w:color w:val="000000"/>
          <w:sz w:val="22"/>
          <w:szCs w:val="22"/>
        </w:rPr>
        <w:t xml:space="preserve">HOPWA grantees and applicants may be required to respond to more than one piece of information collection. All annualized costs reflect staff time spent on tasks in the table. The hourly rate of $25.35 is based on a GS-9 for Rest of United States. </w:t>
      </w:r>
      <w:r w:rsidR="00702DC6">
        <w:rPr>
          <w:color w:val="000000"/>
          <w:sz w:val="22"/>
          <w:szCs w:val="22"/>
        </w:rPr>
        <w:t xml:space="preserve">9,760 </w:t>
      </w:r>
      <w:r w:rsidRPr="00305E84">
        <w:rPr>
          <w:color w:val="000000"/>
          <w:sz w:val="22"/>
          <w:szCs w:val="22"/>
        </w:rPr>
        <w:t>hours * $</w:t>
      </w:r>
      <w:r>
        <w:rPr>
          <w:color w:val="000000"/>
          <w:sz w:val="22"/>
          <w:szCs w:val="22"/>
        </w:rPr>
        <w:t>25</w:t>
      </w:r>
      <w:r w:rsidRPr="00305E84">
        <w:rPr>
          <w:color w:val="000000"/>
          <w:sz w:val="22"/>
          <w:szCs w:val="22"/>
        </w:rPr>
        <w:t>.</w:t>
      </w:r>
      <w:r>
        <w:rPr>
          <w:color w:val="000000"/>
          <w:sz w:val="22"/>
          <w:szCs w:val="22"/>
        </w:rPr>
        <w:t>35</w:t>
      </w:r>
      <w:r w:rsidRPr="00305E84">
        <w:rPr>
          <w:color w:val="000000"/>
          <w:sz w:val="22"/>
          <w:szCs w:val="22"/>
        </w:rPr>
        <w:t xml:space="preserve"> = $</w:t>
      </w:r>
      <w:r w:rsidRPr="00702DC6" w:rsidR="00702DC6">
        <w:rPr>
          <w:color w:val="000000"/>
          <w:sz w:val="22"/>
          <w:szCs w:val="22"/>
        </w:rPr>
        <w:t>247,416.00</w:t>
      </w:r>
    </w:p>
    <w:p w:rsidR="00544329" w:rsidP="0002731C" w:rsidRDefault="00544329" w14:paraId="3D5DD7A1" w14:textId="6624E3FB">
      <w:pPr>
        <w:keepLines/>
        <w:tabs>
          <w:tab w:val="left" w:pos="0"/>
          <w:tab w:val="left" w:pos="720"/>
        </w:tabs>
        <w:spacing w:before="240"/>
        <w:rPr>
          <w:color w:val="000000"/>
          <w:sz w:val="22"/>
          <w:szCs w:val="22"/>
        </w:rPr>
      </w:pPr>
      <w:r>
        <w:rPr>
          <w:color w:val="000000"/>
          <w:sz w:val="22"/>
          <w:szCs w:val="22"/>
        </w:rPr>
        <w:t xml:space="preserve">There are no updates to the estimated burden hours </w:t>
      </w:r>
      <w:r w:rsidR="00341800">
        <w:rPr>
          <w:color w:val="000000"/>
          <w:sz w:val="22"/>
          <w:szCs w:val="22"/>
        </w:rPr>
        <w:t xml:space="preserve">or costs </w:t>
      </w:r>
      <w:r>
        <w:rPr>
          <w:color w:val="000000"/>
          <w:sz w:val="22"/>
          <w:szCs w:val="22"/>
        </w:rPr>
        <w:t>to the other document</w:t>
      </w:r>
      <w:r w:rsidR="00341800">
        <w:rPr>
          <w:color w:val="000000"/>
          <w:sz w:val="22"/>
          <w:szCs w:val="22"/>
        </w:rPr>
        <w:t>s</w:t>
      </w:r>
      <w:r>
        <w:rPr>
          <w:color w:val="000000"/>
          <w:sz w:val="22"/>
          <w:szCs w:val="22"/>
        </w:rPr>
        <w:t xml:space="preserve"> under this OM</w:t>
      </w:r>
      <w:r w:rsidR="00D04A65">
        <w:rPr>
          <w:color w:val="000000"/>
          <w:sz w:val="22"/>
          <w:szCs w:val="22"/>
        </w:rPr>
        <w:t>B</w:t>
      </w:r>
      <w:r>
        <w:rPr>
          <w:color w:val="000000"/>
          <w:sz w:val="22"/>
          <w:szCs w:val="22"/>
        </w:rPr>
        <w:t xml:space="preserve"> approval number. </w:t>
      </w:r>
    </w:p>
    <w:p w:rsidR="00F02998" w:rsidP="00F02998" w:rsidRDefault="00F02998" w14:paraId="3A9FC443" w14:textId="77777777">
      <w:pPr>
        <w:keepLines/>
        <w:tabs>
          <w:tab w:val="left" w:pos="0"/>
          <w:tab w:val="left" w:pos="720"/>
        </w:tabs>
        <w:rPr>
          <w:color w:val="000000"/>
          <w:sz w:val="22"/>
          <w:szCs w:val="22"/>
        </w:rPr>
      </w:pPr>
    </w:p>
    <w:p w:rsidR="0061056B" w:rsidP="00496EF5" w:rsidRDefault="0061056B" w14:paraId="0DE7A586" w14:textId="77777777">
      <w:pPr>
        <w:keepLines/>
        <w:tabs>
          <w:tab w:val="left" w:pos="0"/>
          <w:tab w:val="left" w:pos="720"/>
        </w:tabs>
        <w:rPr>
          <w:color w:val="000000"/>
          <w:sz w:val="22"/>
          <w:szCs w:val="22"/>
        </w:rPr>
      </w:pPr>
    </w:p>
    <w:p w:rsidRPr="004B50F0" w:rsidR="00F673E0" w:rsidRDefault="004051C1" w14:paraId="0AC5BAA8" w14:textId="77777777">
      <w:pPr>
        <w:tabs>
          <w:tab w:val="left" w:pos="360"/>
        </w:tabs>
        <w:ind w:left="360" w:hanging="360"/>
        <w:rPr>
          <w:b/>
          <w:color w:val="000000"/>
          <w:sz w:val="22"/>
          <w:szCs w:val="22"/>
        </w:rPr>
      </w:pPr>
      <w:r w:rsidRPr="004B50F0">
        <w:rPr>
          <w:b/>
          <w:color w:val="000000"/>
          <w:sz w:val="22"/>
          <w:szCs w:val="22"/>
        </w:rPr>
        <w:t xml:space="preserve"> </w:t>
      </w:r>
      <w:r w:rsidRPr="004B50F0" w:rsidR="00D73EE7">
        <w:rPr>
          <w:b/>
          <w:color w:val="000000"/>
          <w:sz w:val="22"/>
          <w:szCs w:val="22"/>
        </w:rPr>
        <w:t>13.</w:t>
      </w:r>
      <w:r w:rsidRPr="004B50F0" w:rsidR="00D73EE7">
        <w:rPr>
          <w:b/>
          <w:color w:val="000000"/>
          <w:sz w:val="22"/>
          <w:szCs w:val="22"/>
        </w:rPr>
        <w:tab/>
        <w:t xml:space="preserve">Estimate of the average, annual cost beyond the cost of hour burden shown in Items 12.  </w:t>
      </w:r>
    </w:p>
    <w:p w:rsidR="00F673E0" w:rsidP="001869A0" w:rsidRDefault="001869A0" w14:paraId="5E96829D" w14:textId="12ABB48A">
      <w:pPr>
        <w:tabs>
          <w:tab w:val="left" w:pos="0"/>
        </w:tabs>
        <w:spacing w:before="240"/>
        <w:rPr>
          <w:color w:val="000000"/>
          <w:sz w:val="22"/>
          <w:szCs w:val="22"/>
        </w:rPr>
      </w:pPr>
      <w:r>
        <w:rPr>
          <w:color w:val="000000"/>
          <w:sz w:val="22"/>
          <w:szCs w:val="22"/>
        </w:rPr>
        <w:t>The only additional</w:t>
      </w:r>
      <w:r w:rsidR="004D1AAF">
        <w:rPr>
          <w:color w:val="000000"/>
          <w:sz w:val="22"/>
          <w:szCs w:val="22"/>
        </w:rPr>
        <w:t xml:space="preserve"> known</w:t>
      </w:r>
      <w:r>
        <w:rPr>
          <w:color w:val="000000"/>
          <w:sz w:val="22"/>
          <w:szCs w:val="22"/>
        </w:rPr>
        <w:t xml:space="preserve"> cost is the staff hours needed to become acquainted with and trained on the new </w:t>
      </w:r>
      <w:r w:rsidR="00C425AF">
        <w:rPr>
          <w:color w:val="000000"/>
          <w:sz w:val="22"/>
          <w:szCs w:val="22"/>
        </w:rPr>
        <w:t>consolidated APR/CAPER data elements in Excel format</w:t>
      </w:r>
      <w:r>
        <w:rPr>
          <w:color w:val="000000"/>
          <w:sz w:val="22"/>
          <w:szCs w:val="22"/>
        </w:rPr>
        <w:t xml:space="preserve">. This additional cost will only be for the first year </w:t>
      </w:r>
      <w:r w:rsidR="004D1AAF">
        <w:rPr>
          <w:color w:val="000000"/>
          <w:sz w:val="22"/>
          <w:szCs w:val="22"/>
        </w:rPr>
        <w:t xml:space="preserve">that grantees use the new </w:t>
      </w:r>
      <w:r w:rsidR="00816D51">
        <w:rPr>
          <w:color w:val="000000"/>
          <w:sz w:val="22"/>
          <w:szCs w:val="22"/>
        </w:rPr>
        <w:t xml:space="preserve">Excel </w:t>
      </w:r>
      <w:r w:rsidR="004D1AAF">
        <w:rPr>
          <w:color w:val="000000"/>
          <w:sz w:val="22"/>
          <w:szCs w:val="22"/>
        </w:rPr>
        <w:t xml:space="preserve">form. </w:t>
      </w:r>
    </w:p>
    <w:p w:rsidR="00C425AF" w:rsidP="001869A0" w:rsidRDefault="00C425AF" w14:paraId="27A8BB30" w14:textId="77777777">
      <w:pPr>
        <w:tabs>
          <w:tab w:val="left" w:pos="0"/>
        </w:tabs>
        <w:spacing w:before="240"/>
        <w:rPr>
          <w:color w:val="000000"/>
          <w:sz w:val="22"/>
          <w:szCs w:val="22"/>
        </w:rPr>
      </w:pPr>
    </w:p>
    <w:tbl>
      <w:tblPr>
        <w:tblW w:w="1017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0"/>
        <w:gridCol w:w="1530"/>
        <w:gridCol w:w="1080"/>
        <w:gridCol w:w="1170"/>
        <w:gridCol w:w="1080"/>
        <w:gridCol w:w="1080"/>
        <w:gridCol w:w="990"/>
        <w:gridCol w:w="1350"/>
      </w:tblGrid>
      <w:tr w:rsidRPr="00A73D8E" w:rsidR="00C425AF" w:rsidTr="00A774F6" w14:paraId="219C983C" w14:textId="77777777">
        <w:tc>
          <w:tcPr>
            <w:tcW w:w="1890" w:type="dxa"/>
            <w:shd w:val="clear" w:color="auto" w:fill="auto"/>
          </w:tcPr>
          <w:p w:rsidRPr="00A73D8E" w:rsidR="00C425AF" w:rsidP="00A774F6" w:rsidRDefault="00C425AF" w14:paraId="6D2B105A" w14:textId="77777777">
            <w:pPr>
              <w:jc w:val="center"/>
              <w:rPr>
                <w:color w:val="000000"/>
                <w:sz w:val="18"/>
                <w:szCs w:val="18"/>
              </w:rPr>
            </w:pPr>
            <w:r w:rsidRPr="00A73D8E">
              <w:rPr>
                <w:color w:val="000000"/>
                <w:sz w:val="20"/>
                <w:szCs w:val="20"/>
              </w:rPr>
              <w:t>Information Collection</w:t>
            </w:r>
          </w:p>
        </w:tc>
        <w:tc>
          <w:tcPr>
            <w:tcW w:w="1530" w:type="dxa"/>
            <w:shd w:val="clear" w:color="auto" w:fill="auto"/>
          </w:tcPr>
          <w:p w:rsidRPr="00A73D8E" w:rsidR="00C425AF" w:rsidP="00A774F6" w:rsidRDefault="00C425AF" w14:paraId="281F43FC" w14:textId="77777777">
            <w:pPr>
              <w:jc w:val="center"/>
              <w:rPr>
                <w:color w:val="000000"/>
                <w:sz w:val="18"/>
                <w:szCs w:val="18"/>
              </w:rPr>
            </w:pPr>
            <w:r w:rsidRPr="00A73D8E">
              <w:rPr>
                <w:color w:val="000000"/>
                <w:sz w:val="20"/>
                <w:szCs w:val="20"/>
              </w:rPr>
              <w:t>Number of Respondents</w:t>
            </w:r>
          </w:p>
        </w:tc>
        <w:tc>
          <w:tcPr>
            <w:tcW w:w="1080" w:type="dxa"/>
            <w:shd w:val="clear" w:color="auto" w:fill="auto"/>
          </w:tcPr>
          <w:p w:rsidRPr="00A73D8E" w:rsidR="00C425AF" w:rsidP="00A774F6" w:rsidRDefault="00C425AF" w14:paraId="527FEBB2" w14:textId="77777777">
            <w:pPr>
              <w:jc w:val="center"/>
              <w:rPr>
                <w:color w:val="000000"/>
                <w:sz w:val="18"/>
                <w:szCs w:val="18"/>
              </w:rPr>
            </w:pPr>
            <w:r w:rsidRPr="00A73D8E">
              <w:rPr>
                <w:color w:val="000000"/>
                <w:sz w:val="20"/>
                <w:szCs w:val="20"/>
              </w:rPr>
              <w:t>Frequency of Response</w:t>
            </w:r>
          </w:p>
        </w:tc>
        <w:tc>
          <w:tcPr>
            <w:tcW w:w="1170" w:type="dxa"/>
            <w:shd w:val="clear" w:color="auto" w:fill="auto"/>
          </w:tcPr>
          <w:p w:rsidRPr="00A73D8E" w:rsidR="00C425AF" w:rsidP="00A774F6" w:rsidRDefault="00C425AF" w14:paraId="1081DAA4" w14:textId="77777777">
            <w:pPr>
              <w:autoSpaceDN w:val="0"/>
              <w:jc w:val="center"/>
              <w:rPr>
                <w:color w:val="000000"/>
                <w:sz w:val="20"/>
                <w:szCs w:val="20"/>
              </w:rPr>
            </w:pPr>
            <w:r w:rsidRPr="00A73D8E">
              <w:rPr>
                <w:color w:val="000000"/>
                <w:sz w:val="20"/>
                <w:szCs w:val="20"/>
              </w:rPr>
              <w:t>Responses</w:t>
            </w:r>
          </w:p>
          <w:p w:rsidRPr="00A73D8E" w:rsidR="00C425AF" w:rsidP="00A774F6" w:rsidRDefault="00C425AF" w14:paraId="60AD8A49" w14:textId="77777777">
            <w:pPr>
              <w:jc w:val="center"/>
              <w:rPr>
                <w:color w:val="000000"/>
                <w:sz w:val="18"/>
                <w:szCs w:val="18"/>
              </w:rPr>
            </w:pPr>
            <w:r w:rsidRPr="00A73D8E">
              <w:rPr>
                <w:color w:val="000000"/>
                <w:sz w:val="20"/>
                <w:szCs w:val="20"/>
              </w:rPr>
              <w:t>Per Annum</w:t>
            </w:r>
          </w:p>
        </w:tc>
        <w:tc>
          <w:tcPr>
            <w:tcW w:w="1080" w:type="dxa"/>
            <w:shd w:val="clear" w:color="auto" w:fill="auto"/>
          </w:tcPr>
          <w:p w:rsidRPr="00A73D8E" w:rsidR="00C425AF" w:rsidP="00A774F6" w:rsidRDefault="00C425AF" w14:paraId="7C9F0202" w14:textId="77777777">
            <w:pPr>
              <w:jc w:val="center"/>
              <w:rPr>
                <w:color w:val="000000"/>
                <w:sz w:val="18"/>
                <w:szCs w:val="18"/>
              </w:rPr>
            </w:pPr>
            <w:r w:rsidRPr="00A73D8E">
              <w:rPr>
                <w:color w:val="000000"/>
                <w:sz w:val="20"/>
                <w:szCs w:val="20"/>
              </w:rPr>
              <w:t>Burden Hour Per Response</w:t>
            </w:r>
          </w:p>
        </w:tc>
        <w:tc>
          <w:tcPr>
            <w:tcW w:w="1080" w:type="dxa"/>
            <w:shd w:val="clear" w:color="auto" w:fill="auto"/>
          </w:tcPr>
          <w:p w:rsidRPr="00A73D8E" w:rsidR="00C425AF" w:rsidP="00A774F6" w:rsidRDefault="00C425AF" w14:paraId="7B1D11B7" w14:textId="77777777">
            <w:pPr>
              <w:jc w:val="center"/>
              <w:rPr>
                <w:color w:val="000000"/>
                <w:sz w:val="18"/>
                <w:szCs w:val="18"/>
              </w:rPr>
            </w:pPr>
            <w:r w:rsidRPr="00A73D8E">
              <w:rPr>
                <w:color w:val="000000"/>
                <w:sz w:val="20"/>
                <w:szCs w:val="20"/>
              </w:rPr>
              <w:t>Annual Burden Hours</w:t>
            </w:r>
          </w:p>
        </w:tc>
        <w:tc>
          <w:tcPr>
            <w:tcW w:w="990" w:type="dxa"/>
          </w:tcPr>
          <w:p w:rsidRPr="00A73D8E" w:rsidR="00C425AF" w:rsidP="00A774F6" w:rsidRDefault="00C425AF" w14:paraId="253D9796" w14:textId="77777777">
            <w:pPr>
              <w:jc w:val="center"/>
              <w:rPr>
                <w:color w:val="000000"/>
                <w:sz w:val="18"/>
                <w:szCs w:val="18"/>
              </w:rPr>
            </w:pPr>
            <w:r w:rsidRPr="00A73D8E">
              <w:rPr>
                <w:color w:val="000000"/>
                <w:sz w:val="20"/>
                <w:szCs w:val="20"/>
              </w:rPr>
              <w:t>Hourly Cost Per Response</w:t>
            </w:r>
          </w:p>
        </w:tc>
        <w:tc>
          <w:tcPr>
            <w:tcW w:w="1350" w:type="dxa"/>
          </w:tcPr>
          <w:p w:rsidRPr="00A73D8E" w:rsidR="00C425AF" w:rsidP="00A774F6" w:rsidRDefault="00C425AF" w14:paraId="46ED23F1" w14:textId="77777777">
            <w:pPr>
              <w:autoSpaceDN w:val="0"/>
              <w:jc w:val="center"/>
              <w:rPr>
                <w:color w:val="000000"/>
                <w:sz w:val="20"/>
                <w:szCs w:val="20"/>
              </w:rPr>
            </w:pPr>
            <w:r w:rsidRPr="00A73D8E">
              <w:rPr>
                <w:color w:val="000000"/>
                <w:sz w:val="20"/>
                <w:szCs w:val="20"/>
              </w:rPr>
              <w:t>Annual Cost</w:t>
            </w:r>
          </w:p>
          <w:p w:rsidRPr="00A73D8E" w:rsidR="00C425AF" w:rsidP="00A774F6" w:rsidRDefault="00C425AF" w14:paraId="1288B536" w14:textId="77777777">
            <w:pPr>
              <w:jc w:val="center"/>
              <w:rPr>
                <w:color w:val="000000"/>
                <w:sz w:val="18"/>
                <w:szCs w:val="18"/>
              </w:rPr>
            </w:pPr>
          </w:p>
        </w:tc>
      </w:tr>
      <w:tr w:rsidRPr="00A73D8E" w:rsidR="00C425AF" w:rsidTr="00C425AF" w14:paraId="2CA917E5" w14:textId="77777777">
        <w:tc>
          <w:tcPr>
            <w:tcW w:w="1890" w:type="dxa"/>
            <w:shd w:val="clear" w:color="auto" w:fill="auto"/>
          </w:tcPr>
          <w:p w:rsidRPr="00A73D8E" w:rsidR="00C425AF" w:rsidP="00A774F6" w:rsidRDefault="00C425AF" w14:paraId="318018A7" w14:textId="34ECEBD2">
            <w:pPr>
              <w:jc w:val="center"/>
              <w:rPr>
                <w:color w:val="000000"/>
                <w:sz w:val="20"/>
                <w:szCs w:val="20"/>
              </w:rPr>
            </w:pPr>
            <w:r>
              <w:rPr>
                <w:color w:val="000000"/>
                <w:sz w:val="20"/>
                <w:szCs w:val="20"/>
              </w:rPr>
              <w:t>Staff hours to be trained on the new consolidated APR/CAPER data elements in Excel format</w:t>
            </w:r>
          </w:p>
        </w:tc>
        <w:tc>
          <w:tcPr>
            <w:tcW w:w="1530" w:type="dxa"/>
            <w:shd w:val="clear" w:color="auto" w:fill="auto"/>
            <w:vAlign w:val="center"/>
          </w:tcPr>
          <w:p w:rsidRPr="00A73D8E" w:rsidR="00C425AF" w:rsidP="00A774F6" w:rsidRDefault="00C425AF" w14:paraId="1A3E887A" w14:textId="000546B7">
            <w:pPr>
              <w:jc w:val="center"/>
              <w:rPr>
                <w:color w:val="000000"/>
                <w:sz w:val="20"/>
                <w:szCs w:val="20"/>
              </w:rPr>
            </w:pPr>
            <w:r>
              <w:rPr>
                <w:color w:val="000000"/>
                <w:sz w:val="20"/>
                <w:szCs w:val="20"/>
              </w:rPr>
              <w:t>244.00</w:t>
            </w:r>
          </w:p>
        </w:tc>
        <w:tc>
          <w:tcPr>
            <w:tcW w:w="1080" w:type="dxa"/>
            <w:shd w:val="clear" w:color="auto" w:fill="auto"/>
            <w:vAlign w:val="center"/>
          </w:tcPr>
          <w:p w:rsidRPr="00A73D8E" w:rsidR="00C425AF" w:rsidP="00A774F6" w:rsidRDefault="00C425AF" w14:paraId="6C066092" w14:textId="7B590274">
            <w:pPr>
              <w:jc w:val="center"/>
              <w:rPr>
                <w:color w:val="000000"/>
                <w:sz w:val="20"/>
                <w:szCs w:val="20"/>
              </w:rPr>
            </w:pPr>
            <w:r>
              <w:rPr>
                <w:color w:val="000000"/>
                <w:sz w:val="20"/>
                <w:szCs w:val="20"/>
              </w:rPr>
              <w:t>1.00</w:t>
            </w:r>
          </w:p>
        </w:tc>
        <w:tc>
          <w:tcPr>
            <w:tcW w:w="1170" w:type="dxa"/>
            <w:shd w:val="clear" w:color="auto" w:fill="auto"/>
            <w:vAlign w:val="center"/>
          </w:tcPr>
          <w:p w:rsidRPr="00A73D8E" w:rsidR="00C425AF" w:rsidP="00A774F6" w:rsidRDefault="00C425AF" w14:paraId="4BB3C058" w14:textId="2D112003">
            <w:pPr>
              <w:autoSpaceDN w:val="0"/>
              <w:jc w:val="center"/>
              <w:rPr>
                <w:color w:val="000000"/>
                <w:sz w:val="20"/>
                <w:szCs w:val="20"/>
              </w:rPr>
            </w:pPr>
            <w:r>
              <w:rPr>
                <w:color w:val="000000"/>
                <w:sz w:val="20"/>
                <w:szCs w:val="20"/>
              </w:rPr>
              <w:t>244.00</w:t>
            </w:r>
          </w:p>
        </w:tc>
        <w:tc>
          <w:tcPr>
            <w:tcW w:w="1080" w:type="dxa"/>
            <w:shd w:val="clear" w:color="auto" w:fill="auto"/>
            <w:vAlign w:val="center"/>
          </w:tcPr>
          <w:p w:rsidRPr="00A73D8E" w:rsidR="00C425AF" w:rsidP="00A774F6" w:rsidRDefault="00C425AF" w14:paraId="49E6BAD2" w14:textId="4A6011AF">
            <w:pPr>
              <w:jc w:val="center"/>
              <w:rPr>
                <w:color w:val="000000"/>
                <w:sz w:val="20"/>
                <w:szCs w:val="20"/>
              </w:rPr>
            </w:pPr>
            <w:r>
              <w:rPr>
                <w:color w:val="000000"/>
                <w:sz w:val="20"/>
                <w:szCs w:val="20"/>
              </w:rPr>
              <w:t>10</w:t>
            </w:r>
          </w:p>
        </w:tc>
        <w:tc>
          <w:tcPr>
            <w:tcW w:w="1080" w:type="dxa"/>
            <w:shd w:val="clear" w:color="auto" w:fill="auto"/>
            <w:vAlign w:val="center"/>
          </w:tcPr>
          <w:p w:rsidRPr="00A73D8E" w:rsidR="00C425AF" w:rsidP="00A774F6" w:rsidRDefault="00C425AF" w14:paraId="3399F5BD" w14:textId="21EA9F6D">
            <w:pPr>
              <w:jc w:val="center"/>
              <w:rPr>
                <w:color w:val="000000"/>
                <w:sz w:val="20"/>
                <w:szCs w:val="20"/>
              </w:rPr>
            </w:pPr>
            <w:r>
              <w:rPr>
                <w:color w:val="000000"/>
                <w:sz w:val="20"/>
                <w:szCs w:val="20"/>
              </w:rPr>
              <w:t>2,440.00</w:t>
            </w:r>
          </w:p>
        </w:tc>
        <w:tc>
          <w:tcPr>
            <w:tcW w:w="990" w:type="dxa"/>
            <w:vAlign w:val="center"/>
          </w:tcPr>
          <w:p w:rsidRPr="00A73D8E" w:rsidR="00C425AF" w:rsidP="00A774F6" w:rsidRDefault="00C425AF" w14:paraId="34751945" w14:textId="4D1567C6">
            <w:pPr>
              <w:jc w:val="center"/>
              <w:rPr>
                <w:color w:val="000000"/>
                <w:sz w:val="20"/>
                <w:szCs w:val="20"/>
              </w:rPr>
            </w:pPr>
            <w:r>
              <w:rPr>
                <w:color w:val="000000"/>
                <w:sz w:val="20"/>
                <w:szCs w:val="20"/>
              </w:rPr>
              <w:t>$25.35</w:t>
            </w:r>
          </w:p>
        </w:tc>
        <w:tc>
          <w:tcPr>
            <w:tcW w:w="1350" w:type="dxa"/>
            <w:vAlign w:val="center"/>
          </w:tcPr>
          <w:p w:rsidRPr="00A73D8E" w:rsidR="00C425AF" w:rsidP="00A774F6" w:rsidRDefault="00C425AF" w14:paraId="0B573C18" w14:textId="7D95DC74">
            <w:pPr>
              <w:autoSpaceDN w:val="0"/>
              <w:jc w:val="center"/>
              <w:rPr>
                <w:color w:val="000000"/>
                <w:sz w:val="20"/>
                <w:szCs w:val="20"/>
              </w:rPr>
            </w:pPr>
            <w:r>
              <w:rPr>
                <w:color w:val="000000"/>
                <w:sz w:val="20"/>
                <w:szCs w:val="20"/>
              </w:rPr>
              <w:t>$61,854.00</w:t>
            </w:r>
          </w:p>
        </w:tc>
      </w:tr>
    </w:tbl>
    <w:p w:rsidR="001869A0" w:rsidP="001869A0" w:rsidRDefault="001869A0" w14:paraId="58C6BCE8" w14:textId="77777777">
      <w:pPr>
        <w:tabs>
          <w:tab w:val="left" w:pos="0"/>
        </w:tabs>
        <w:spacing w:before="240"/>
        <w:rPr>
          <w:color w:val="000000"/>
          <w:sz w:val="22"/>
          <w:szCs w:val="22"/>
        </w:rPr>
      </w:pPr>
    </w:p>
    <w:p w:rsidR="00D73EE7" w:rsidRDefault="00D73EE7" w14:paraId="4F1DBB18" w14:textId="479E0BDF">
      <w:pPr>
        <w:tabs>
          <w:tab w:val="left" w:pos="360"/>
        </w:tabs>
        <w:ind w:left="360" w:hanging="360"/>
        <w:rPr>
          <w:color w:val="000000"/>
          <w:sz w:val="22"/>
          <w:szCs w:val="22"/>
        </w:rPr>
      </w:pPr>
    </w:p>
    <w:p w:rsidR="007C6B75" w:rsidRDefault="007C6B75" w14:paraId="153A370A" w14:textId="755E49FB">
      <w:pPr>
        <w:tabs>
          <w:tab w:val="left" w:pos="360"/>
        </w:tabs>
        <w:ind w:left="360" w:hanging="360"/>
        <w:rPr>
          <w:color w:val="000000"/>
          <w:sz w:val="22"/>
          <w:szCs w:val="22"/>
        </w:rPr>
      </w:pPr>
    </w:p>
    <w:p w:rsidR="007C6B75" w:rsidRDefault="007C6B75" w14:paraId="3D4909BC" w14:textId="36074C56">
      <w:pPr>
        <w:tabs>
          <w:tab w:val="left" w:pos="360"/>
        </w:tabs>
        <w:ind w:left="360" w:hanging="360"/>
        <w:rPr>
          <w:color w:val="000000"/>
          <w:sz w:val="22"/>
          <w:szCs w:val="22"/>
        </w:rPr>
      </w:pPr>
    </w:p>
    <w:p w:rsidR="007C6B75" w:rsidRDefault="007C6B75" w14:paraId="51084D51" w14:textId="468B009B">
      <w:pPr>
        <w:tabs>
          <w:tab w:val="left" w:pos="360"/>
        </w:tabs>
        <w:ind w:left="360" w:hanging="360"/>
        <w:rPr>
          <w:color w:val="000000"/>
          <w:sz w:val="22"/>
          <w:szCs w:val="22"/>
        </w:rPr>
      </w:pPr>
    </w:p>
    <w:p w:rsidR="007C6B75" w:rsidRDefault="007C6B75" w14:paraId="5DA30E87" w14:textId="5371312D">
      <w:pPr>
        <w:tabs>
          <w:tab w:val="left" w:pos="360"/>
        </w:tabs>
        <w:ind w:left="360" w:hanging="360"/>
        <w:rPr>
          <w:color w:val="000000"/>
          <w:sz w:val="22"/>
          <w:szCs w:val="22"/>
        </w:rPr>
      </w:pPr>
    </w:p>
    <w:p w:rsidR="007C6B75" w:rsidRDefault="007C6B75" w14:paraId="387866E9" w14:textId="7E10D122">
      <w:pPr>
        <w:tabs>
          <w:tab w:val="left" w:pos="360"/>
        </w:tabs>
        <w:ind w:left="360" w:hanging="360"/>
        <w:rPr>
          <w:color w:val="000000"/>
          <w:sz w:val="22"/>
          <w:szCs w:val="22"/>
        </w:rPr>
      </w:pPr>
    </w:p>
    <w:p w:rsidR="007C6B75" w:rsidRDefault="007C6B75" w14:paraId="6633F30B" w14:textId="71FFEA33">
      <w:pPr>
        <w:tabs>
          <w:tab w:val="left" w:pos="360"/>
        </w:tabs>
        <w:ind w:left="360" w:hanging="360"/>
        <w:rPr>
          <w:color w:val="000000"/>
          <w:sz w:val="22"/>
          <w:szCs w:val="22"/>
        </w:rPr>
      </w:pPr>
    </w:p>
    <w:p w:rsidR="007C6B75" w:rsidRDefault="007C6B75" w14:paraId="01C89460" w14:textId="06F0E572">
      <w:pPr>
        <w:tabs>
          <w:tab w:val="left" w:pos="360"/>
        </w:tabs>
        <w:ind w:left="360" w:hanging="360"/>
        <w:rPr>
          <w:color w:val="000000"/>
          <w:sz w:val="22"/>
          <w:szCs w:val="22"/>
        </w:rPr>
      </w:pPr>
    </w:p>
    <w:p w:rsidR="007C6B75" w:rsidRDefault="007C6B75" w14:paraId="629EED3A" w14:textId="6F477A9B">
      <w:pPr>
        <w:tabs>
          <w:tab w:val="left" w:pos="360"/>
        </w:tabs>
        <w:ind w:left="360" w:hanging="360"/>
        <w:rPr>
          <w:color w:val="000000"/>
          <w:sz w:val="22"/>
          <w:szCs w:val="22"/>
        </w:rPr>
      </w:pPr>
    </w:p>
    <w:p w:rsidR="007C6B75" w:rsidRDefault="007C6B75" w14:paraId="24377A61" w14:textId="7F5EAEA1">
      <w:pPr>
        <w:tabs>
          <w:tab w:val="left" w:pos="360"/>
        </w:tabs>
        <w:ind w:left="360" w:hanging="360"/>
        <w:rPr>
          <w:color w:val="000000"/>
          <w:sz w:val="22"/>
          <w:szCs w:val="22"/>
        </w:rPr>
      </w:pPr>
    </w:p>
    <w:p w:rsidR="007C6B75" w:rsidRDefault="007C6B75" w14:paraId="6E5E5D0F" w14:textId="77777777">
      <w:pPr>
        <w:tabs>
          <w:tab w:val="left" w:pos="360"/>
        </w:tabs>
        <w:ind w:left="360" w:hanging="360"/>
        <w:rPr>
          <w:color w:val="000000"/>
          <w:sz w:val="22"/>
          <w:szCs w:val="22"/>
        </w:rPr>
      </w:pPr>
    </w:p>
    <w:p w:rsidR="007C6B75" w:rsidRDefault="007C6B75" w14:paraId="3F3649A7" w14:textId="20B46609">
      <w:pPr>
        <w:tabs>
          <w:tab w:val="left" w:pos="360"/>
        </w:tabs>
        <w:ind w:left="360" w:hanging="360"/>
        <w:rPr>
          <w:color w:val="000000"/>
          <w:sz w:val="22"/>
          <w:szCs w:val="22"/>
        </w:rPr>
      </w:pPr>
    </w:p>
    <w:p w:rsidR="007C6B75" w:rsidRDefault="007C6B75" w14:paraId="43BB1CFE" w14:textId="7C541F2D">
      <w:pPr>
        <w:tabs>
          <w:tab w:val="left" w:pos="360"/>
        </w:tabs>
        <w:ind w:left="360" w:hanging="360"/>
        <w:rPr>
          <w:color w:val="000000"/>
          <w:sz w:val="22"/>
          <w:szCs w:val="22"/>
        </w:rPr>
      </w:pPr>
    </w:p>
    <w:p w:rsidRPr="003B27A6" w:rsidR="007C6B75" w:rsidRDefault="007C6B75" w14:paraId="423CF88F" w14:textId="77777777">
      <w:pPr>
        <w:tabs>
          <w:tab w:val="left" w:pos="360"/>
        </w:tabs>
        <w:ind w:left="360" w:hanging="360"/>
        <w:rPr>
          <w:color w:val="000000"/>
          <w:sz w:val="22"/>
          <w:szCs w:val="22"/>
        </w:rPr>
      </w:pPr>
    </w:p>
    <w:p w:rsidR="00D73EE7" w:rsidRDefault="00D73EE7" w14:paraId="429F5D70" w14:textId="3662EFAE">
      <w:pPr>
        <w:keepLines/>
        <w:tabs>
          <w:tab w:val="left" w:pos="360"/>
        </w:tabs>
        <w:spacing w:after="80"/>
        <w:ind w:left="360" w:hanging="360"/>
        <w:rPr>
          <w:b/>
          <w:color w:val="000000"/>
          <w:sz w:val="22"/>
          <w:szCs w:val="22"/>
        </w:rPr>
      </w:pPr>
      <w:r w:rsidRPr="00262C8E">
        <w:rPr>
          <w:b/>
          <w:color w:val="000000"/>
          <w:sz w:val="22"/>
          <w:szCs w:val="22"/>
        </w:rPr>
        <w:t>14.</w:t>
      </w:r>
      <w:r w:rsidRPr="00262C8E">
        <w:rPr>
          <w:b/>
          <w:color w:val="000000"/>
          <w:sz w:val="22"/>
          <w:szCs w:val="22"/>
        </w:rPr>
        <w:tab/>
        <w:t>Estimate annualized costs to HUD of collecting the information, including processing the information.</w:t>
      </w:r>
      <w:r w:rsidRPr="007B0BCF">
        <w:rPr>
          <w:b/>
          <w:color w:val="000000"/>
          <w:sz w:val="22"/>
          <w:szCs w:val="22"/>
        </w:rPr>
        <w:t xml:space="preserve"> </w:t>
      </w:r>
    </w:p>
    <w:p w:rsidR="00C425AF" w:rsidP="00C425AF" w:rsidRDefault="00C425AF" w14:paraId="7D725683" w14:textId="266DC917">
      <w:pPr>
        <w:keepLines/>
        <w:tabs>
          <w:tab w:val="left" w:pos="360"/>
        </w:tabs>
        <w:spacing w:after="80"/>
        <w:rPr>
          <w:b/>
          <w:color w:val="000000"/>
          <w:sz w:val="22"/>
          <w:szCs w:val="22"/>
        </w:rPr>
      </w:pPr>
    </w:p>
    <w:tbl>
      <w:tblPr>
        <w:tblW w:w="9799" w:type="dxa"/>
        <w:tblInd w:w="-190" w:type="dxa"/>
        <w:tblLayout w:type="fixed"/>
        <w:tblLook w:val="04A0" w:firstRow="1" w:lastRow="0" w:firstColumn="1" w:lastColumn="0" w:noHBand="0" w:noVBand="1"/>
      </w:tblPr>
      <w:tblGrid>
        <w:gridCol w:w="2070"/>
        <w:gridCol w:w="1260"/>
        <w:gridCol w:w="1170"/>
        <w:gridCol w:w="1080"/>
        <w:gridCol w:w="1170"/>
        <w:gridCol w:w="900"/>
        <w:gridCol w:w="1033"/>
        <w:gridCol w:w="1116"/>
      </w:tblGrid>
      <w:tr w:rsidR="00C425AF" w:rsidTr="00C425AF" w14:paraId="02E36D3E" w14:textId="77777777">
        <w:trPr>
          <w:trHeight w:val="930"/>
        </w:trPr>
        <w:tc>
          <w:tcPr>
            <w:tcW w:w="20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C425AF" w:rsidP="00A774F6" w:rsidRDefault="00C425AF" w14:paraId="0A6FCD65" w14:textId="77777777">
            <w:pPr>
              <w:rPr>
                <w:b/>
                <w:bCs/>
                <w:color w:val="000000"/>
                <w:sz w:val="18"/>
                <w:szCs w:val="18"/>
              </w:rPr>
            </w:pPr>
            <w:r>
              <w:rPr>
                <w:b/>
                <w:bCs/>
                <w:color w:val="000000"/>
                <w:sz w:val="18"/>
                <w:szCs w:val="18"/>
              </w:rPr>
              <w:t xml:space="preserve">Type of Collection </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00C425AF" w:rsidP="00A774F6" w:rsidRDefault="00C425AF" w14:paraId="7E274520" w14:textId="77777777">
            <w:pPr>
              <w:rPr>
                <w:b/>
                <w:bCs/>
                <w:color w:val="000000"/>
                <w:sz w:val="18"/>
                <w:szCs w:val="18"/>
              </w:rPr>
            </w:pPr>
            <w:r>
              <w:rPr>
                <w:b/>
                <w:bCs/>
                <w:color w:val="000000"/>
                <w:sz w:val="18"/>
                <w:szCs w:val="18"/>
              </w:rPr>
              <w:t>Number of Respondents</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00C425AF" w:rsidP="00A774F6" w:rsidRDefault="00C425AF" w14:paraId="4393C79F" w14:textId="77777777">
            <w:pPr>
              <w:rPr>
                <w:b/>
                <w:bCs/>
                <w:color w:val="000000"/>
                <w:sz w:val="18"/>
                <w:szCs w:val="18"/>
              </w:rPr>
            </w:pPr>
            <w:r>
              <w:rPr>
                <w:b/>
                <w:bCs/>
                <w:color w:val="000000"/>
                <w:sz w:val="18"/>
                <w:szCs w:val="18"/>
              </w:rPr>
              <w:t>Frequency of Response</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00C425AF" w:rsidP="00A774F6" w:rsidRDefault="00C425AF" w14:paraId="175E074A" w14:textId="77777777">
            <w:pPr>
              <w:rPr>
                <w:b/>
                <w:bCs/>
                <w:color w:val="000000"/>
                <w:sz w:val="18"/>
                <w:szCs w:val="18"/>
              </w:rPr>
            </w:pPr>
            <w:r>
              <w:rPr>
                <w:b/>
                <w:bCs/>
                <w:color w:val="000000"/>
                <w:sz w:val="18"/>
                <w:szCs w:val="18"/>
              </w:rPr>
              <w:t>Responses Per Annum</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00C425AF" w:rsidP="00A774F6" w:rsidRDefault="00C425AF" w14:paraId="0D4A6446" w14:textId="77777777">
            <w:pPr>
              <w:rPr>
                <w:b/>
                <w:bCs/>
                <w:color w:val="000000"/>
                <w:sz w:val="18"/>
                <w:szCs w:val="18"/>
              </w:rPr>
            </w:pPr>
            <w:r>
              <w:rPr>
                <w:b/>
                <w:bCs/>
                <w:color w:val="000000"/>
                <w:sz w:val="18"/>
                <w:szCs w:val="18"/>
              </w:rPr>
              <w:t>Burden Hour per Respondent</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00C425AF" w:rsidP="00A774F6" w:rsidRDefault="00C425AF" w14:paraId="79F5825B" w14:textId="77777777">
            <w:pPr>
              <w:rPr>
                <w:b/>
                <w:bCs/>
                <w:color w:val="000000"/>
                <w:sz w:val="18"/>
                <w:szCs w:val="18"/>
              </w:rPr>
            </w:pPr>
            <w:r>
              <w:rPr>
                <w:b/>
                <w:bCs/>
                <w:color w:val="000000"/>
                <w:sz w:val="18"/>
                <w:szCs w:val="18"/>
              </w:rPr>
              <w:t>Annual Burden Hours</w:t>
            </w:r>
            <w:r>
              <w:rPr>
                <w:color w:val="000000"/>
                <w:sz w:val="16"/>
                <w:szCs w:val="16"/>
              </w:rPr>
              <w:t> </w:t>
            </w:r>
          </w:p>
        </w:tc>
        <w:tc>
          <w:tcPr>
            <w:tcW w:w="1033" w:type="dxa"/>
            <w:tcBorders>
              <w:top w:val="single" w:color="auto" w:sz="8" w:space="0"/>
              <w:left w:val="nil"/>
              <w:bottom w:val="single" w:color="auto" w:sz="8" w:space="0"/>
              <w:right w:val="single" w:color="auto" w:sz="8" w:space="0"/>
            </w:tcBorders>
            <w:shd w:val="clear" w:color="auto" w:fill="auto"/>
            <w:vAlign w:val="center"/>
            <w:hideMark/>
          </w:tcPr>
          <w:p w:rsidR="00C425AF" w:rsidP="00A774F6" w:rsidRDefault="00C425AF" w14:paraId="5A96CE59" w14:textId="77777777">
            <w:pPr>
              <w:rPr>
                <w:b/>
                <w:bCs/>
                <w:color w:val="000000"/>
                <w:sz w:val="18"/>
                <w:szCs w:val="18"/>
              </w:rPr>
            </w:pPr>
            <w:r>
              <w:rPr>
                <w:b/>
                <w:bCs/>
                <w:color w:val="000000"/>
                <w:sz w:val="18"/>
                <w:szCs w:val="18"/>
              </w:rPr>
              <w:t>Hourly Cost Per Response</w:t>
            </w:r>
          </w:p>
        </w:tc>
        <w:tc>
          <w:tcPr>
            <w:tcW w:w="1116" w:type="dxa"/>
            <w:tcBorders>
              <w:top w:val="single" w:color="auto" w:sz="8" w:space="0"/>
              <w:left w:val="nil"/>
              <w:bottom w:val="single" w:color="auto" w:sz="8" w:space="0"/>
              <w:right w:val="single" w:color="auto" w:sz="8" w:space="0"/>
            </w:tcBorders>
            <w:shd w:val="clear" w:color="auto" w:fill="auto"/>
            <w:vAlign w:val="center"/>
            <w:hideMark/>
          </w:tcPr>
          <w:p w:rsidR="00C425AF" w:rsidP="00A774F6" w:rsidRDefault="00C425AF" w14:paraId="66771EBF" w14:textId="77777777">
            <w:pPr>
              <w:rPr>
                <w:b/>
                <w:bCs/>
                <w:color w:val="000000"/>
                <w:sz w:val="18"/>
                <w:szCs w:val="18"/>
              </w:rPr>
            </w:pPr>
            <w:r>
              <w:rPr>
                <w:b/>
                <w:bCs/>
                <w:color w:val="000000"/>
                <w:sz w:val="18"/>
                <w:szCs w:val="18"/>
              </w:rPr>
              <w:t xml:space="preserve">Annual Cost </w:t>
            </w:r>
          </w:p>
        </w:tc>
      </w:tr>
      <w:tr w:rsidR="00C425AF" w:rsidTr="00C425AF" w14:paraId="501D1064" w14:textId="77777777">
        <w:trPr>
          <w:trHeight w:val="93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C425AF" w:rsidP="00A774F6" w:rsidRDefault="00C425AF" w14:paraId="69E28D8E" w14:textId="77777777">
            <w:pPr>
              <w:rPr>
                <w:color w:val="000000"/>
                <w:sz w:val="18"/>
                <w:szCs w:val="18"/>
              </w:rPr>
            </w:pPr>
            <w:r>
              <w:rPr>
                <w:color w:val="000000"/>
                <w:sz w:val="18"/>
                <w:szCs w:val="18"/>
              </w:rPr>
              <w:t>Review of Renewal Application (including HUD-40110-B and narratives)</w:t>
            </w:r>
          </w:p>
        </w:tc>
        <w:tc>
          <w:tcPr>
            <w:tcW w:w="126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335D7CF8" w14:textId="77777777">
            <w:pPr>
              <w:jc w:val="right"/>
              <w:rPr>
                <w:color w:val="000000"/>
                <w:sz w:val="18"/>
                <w:szCs w:val="18"/>
              </w:rPr>
            </w:pPr>
            <w:r>
              <w:rPr>
                <w:color w:val="000000"/>
                <w:sz w:val="18"/>
                <w:szCs w:val="18"/>
              </w:rPr>
              <w:t>28.00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249014A8"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6752D59" w14:textId="77777777">
            <w:pPr>
              <w:jc w:val="right"/>
              <w:rPr>
                <w:color w:val="000000"/>
                <w:sz w:val="18"/>
                <w:szCs w:val="18"/>
              </w:rPr>
            </w:pPr>
            <w:r>
              <w:rPr>
                <w:color w:val="000000"/>
                <w:sz w:val="18"/>
                <w:szCs w:val="18"/>
              </w:rPr>
              <w:t>28.00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185991A4" w14:textId="77777777">
            <w:pPr>
              <w:jc w:val="right"/>
              <w:rPr>
                <w:color w:val="000000"/>
                <w:sz w:val="18"/>
                <w:szCs w:val="18"/>
              </w:rPr>
            </w:pPr>
            <w:r>
              <w:rPr>
                <w:color w:val="000000"/>
                <w:sz w:val="18"/>
                <w:szCs w:val="18"/>
              </w:rPr>
              <w:t>20.00</w:t>
            </w:r>
          </w:p>
        </w:tc>
        <w:tc>
          <w:tcPr>
            <w:tcW w:w="90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3F35000B" w14:textId="77777777">
            <w:pPr>
              <w:jc w:val="right"/>
              <w:rPr>
                <w:color w:val="000000"/>
                <w:sz w:val="18"/>
                <w:szCs w:val="18"/>
              </w:rPr>
            </w:pPr>
            <w:r>
              <w:rPr>
                <w:color w:val="000000"/>
                <w:sz w:val="18"/>
                <w:szCs w:val="18"/>
              </w:rPr>
              <w:t>560.00</w:t>
            </w:r>
          </w:p>
        </w:tc>
        <w:tc>
          <w:tcPr>
            <w:tcW w:w="1033" w:type="dxa"/>
            <w:tcBorders>
              <w:top w:val="nil"/>
              <w:left w:val="nil"/>
              <w:bottom w:val="single" w:color="auto" w:sz="8" w:space="0"/>
              <w:right w:val="single" w:color="auto" w:sz="8" w:space="0"/>
            </w:tcBorders>
            <w:shd w:val="clear" w:color="auto" w:fill="auto"/>
            <w:vAlign w:val="center"/>
            <w:hideMark/>
          </w:tcPr>
          <w:p w:rsidR="00C425AF" w:rsidP="00A774F6" w:rsidRDefault="00C425AF" w14:paraId="6F4F7A10"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425AF" w:rsidP="00A774F6" w:rsidRDefault="00C425AF" w14:paraId="570AB05F" w14:textId="77777777">
            <w:pPr>
              <w:jc w:val="right"/>
              <w:rPr>
                <w:color w:val="000000"/>
                <w:sz w:val="18"/>
                <w:szCs w:val="18"/>
              </w:rPr>
            </w:pPr>
            <w:r>
              <w:rPr>
                <w:color w:val="000000"/>
                <w:sz w:val="18"/>
                <w:szCs w:val="18"/>
              </w:rPr>
              <w:t xml:space="preserve">$23,167.20 </w:t>
            </w:r>
          </w:p>
        </w:tc>
      </w:tr>
      <w:tr w:rsidRPr="009B73E6" w:rsidR="007C6B75" w:rsidTr="004904B0" w14:paraId="3063310F" w14:textId="77777777">
        <w:trPr>
          <w:trHeight w:val="361"/>
        </w:trPr>
        <w:tc>
          <w:tcPr>
            <w:tcW w:w="2070" w:type="dxa"/>
            <w:tcBorders>
              <w:top w:val="nil"/>
              <w:left w:val="single" w:color="auto" w:sz="8" w:space="0"/>
              <w:bottom w:val="single" w:color="auto" w:sz="8" w:space="0"/>
              <w:right w:val="single" w:color="auto" w:sz="8" w:space="0"/>
            </w:tcBorders>
            <w:shd w:val="clear" w:color="auto" w:fill="auto"/>
            <w:vAlign w:val="center"/>
            <w:hideMark/>
          </w:tcPr>
          <w:p w:rsidRPr="009B73E6" w:rsidR="007C6B75" w:rsidP="008119B6" w:rsidRDefault="007C6B75" w14:paraId="3DA64A87" w14:textId="77777777">
            <w:pPr>
              <w:rPr>
                <w:color w:val="000000"/>
                <w:sz w:val="18"/>
                <w:szCs w:val="18"/>
              </w:rPr>
            </w:pPr>
            <w:r>
              <w:rPr>
                <w:color w:val="000000"/>
                <w:sz w:val="18"/>
                <w:szCs w:val="18"/>
              </w:rPr>
              <w:t xml:space="preserve">SF-424 </w:t>
            </w:r>
          </w:p>
        </w:tc>
        <w:tc>
          <w:tcPr>
            <w:tcW w:w="1260" w:type="dxa"/>
            <w:tcBorders>
              <w:top w:val="nil"/>
              <w:left w:val="nil"/>
              <w:bottom w:val="single" w:color="auto" w:sz="8" w:space="0"/>
              <w:right w:val="single" w:color="auto" w:sz="8" w:space="0"/>
            </w:tcBorders>
            <w:shd w:val="clear" w:color="auto" w:fill="auto"/>
            <w:vAlign w:val="center"/>
            <w:hideMark/>
          </w:tcPr>
          <w:p w:rsidRPr="009B73E6" w:rsidR="007C6B75" w:rsidP="004904B0" w:rsidRDefault="007C6B75" w14:paraId="2F85E833" w14:textId="77777777">
            <w:pPr>
              <w:jc w:val="right"/>
              <w:rPr>
                <w:color w:val="000000"/>
                <w:sz w:val="18"/>
                <w:szCs w:val="18"/>
              </w:rPr>
            </w:pPr>
            <w:r>
              <w:rPr>
                <w:color w:val="000000"/>
                <w:sz w:val="18"/>
                <w:szCs w:val="18"/>
              </w:rPr>
              <w:t>0.00</w:t>
            </w:r>
          </w:p>
        </w:tc>
        <w:tc>
          <w:tcPr>
            <w:tcW w:w="1170" w:type="dxa"/>
            <w:tcBorders>
              <w:top w:val="nil"/>
              <w:left w:val="nil"/>
              <w:bottom w:val="single" w:color="auto" w:sz="8" w:space="0"/>
              <w:right w:val="single" w:color="auto" w:sz="8" w:space="0"/>
            </w:tcBorders>
            <w:shd w:val="clear" w:color="auto" w:fill="auto"/>
            <w:vAlign w:val="center"/>
            <w:hideMark/>
          </w:tcPr>
          <w:p w:rsidRPr="009B73E6" w:rsidR="007C6B75" w:rsidP="004904B0" w:rsidRDefault="007C6B75" w14:paraId="3F29A71F" w14:textId="77777777">
            <w:pPr>
              <w:jc w:val="right"/>
              <w:rPr>
                <w:color w:val="000000"/>
                <w:sz w:val="18"/>
                <w:szCs w:val="18"/>
              </w:rPr>
            </w:pPr>
            <w:r>
              <w:rPr>
                <w:color w:val="000000"/>
                <w:sz w:val="18"/>
                <w:szCs w:val="18"/>
              </w:rPr>
              <w:t>0.00</w:t>
            </w:r>
          </w:p>
        </w:tc>
        <w:tc>
          <w:tcPr>
            <w:tcW w:w="1080" w:type="dxa"/>
            <w:tcBorders>
              <w:top w:val="nil"/>
              <w:left w:val="nil"/>
              <w:bottom w:val="single" w:color="auto" w:sz="8" w:space="0"/>
              <w:right w:val="single" w:color="auto" w:sz="8" w:space="0"/>
            </w:tcBorders>
            <w:shd w:val="clear" w:color="auto" w:fill="auto"/>
            <w:vAlign w:val="center"/>
            <w:hideMark/>
          </w:tcPr>
          <w:p w:rsidRPr="009B73E6" w:rsidR="007C6B75" w:rsidP="004904B0" w:rsidRDefault="007C6B75" w14:paraId="3BFD2BC0" w14:textId="77777777">
            <w:pPr>
              <w:jc w:val="right"/>
              <w:rPr>
                <w:color w:val="000000"/>
                <w:sz w:val="18"/>
                <w:szCs w:val="18"/>
              </w:rPr>
            </w:pPr>
            <w:r>
              <w:rPr>
                <w:color w:val="000000"/>
                <w:sz w:val="18"/>
                <w:szCs w:val="18"/>
              </w:rPr>
              <w:t>0.00</w:t>
            </w:r>
          </w:p>
        </w:tc>
        <w:tc>
          <w:tcPr>
            <w:tcW w:w="1170" w:type="dxa"/>
            <w:tcBorders>
              <w:top w:val="nil"/>
              <w:left w:val="nil"/>
              <w:bottom w:val="single" w:color="auto" w:sz="8" w:space="0"/>
              <w:right w:val="single" w:color="auto" w:sz="8" w:space="0"/>
            </w:tcBorders>
            <w:shd w:val="clear" w:color="auto" w:fill="auto"/>
            <w:vAlign w:val="center"/>
            <w:hideMark/>
          </w:tcPr>
          <w:p w:rsidRPr="009B73E6" w:rsidR="007C6B75" w:rsidP="004904B0" w:rsidRDefault="007C6B75" w14:paraId="7A843645" w14:textId="77777777">
            <w:pPr>
              <w:jc w:val="right"/>
              <w:rPr>
                <w:color w:val="000000"/>
                <w:sz w:val="18"/>
                <w:szCs w:val="18"/>
              </w:rPr>
            </w:pPr>
            <w:r>
              <w:rPr>
                <w:color w:val="000000"/>
                <w:sz w:val="18"/>
                <w:szCs w:val="18"/>
              </w:rPr>
              <w:t>0.00</w:t>
            </w:r>
          </w:p>
        </w:tc>
        <w:tc>
          <w:tcPr>
            <w:tcW w:w="900" w:type="dxa"/>
            <w:tcBorders>
              <w:top w:val="nil"/>
              <w:left w:val="nil"/>
              <w:bottom w:val="single" w:color="auto" w:sz="8" w:space="0"/>
              <w:right w:val="single" w:color="auto" w:sz="8" w:space="0"/>
            </w:tcBorders>
            <w:shd w:val="clear" w:color="auto" w:fill="auto"/>
            <w:vAlign w:val="center"/>
            <w:hideMark/>
          </w:tcPr>
          <w:p w:rsidRPr="009B73E6" w:rsidR="007C6B75" w:rsidP="004904B0" w:rsidRDefault="007C6B75" w14:paraId="3D22E6E2" w14:textId="77777777">
            <w:pPr>
              <w:jc w:val="right"/>
              <w:rPr>
                <w:color w:val="000000"/>
                <w:sz w:val="18"/>
                <w:szCs w:val="18"/>
              </w:rPr>
            </w:pPr>
            <w:r>
              <w:rPr>
                <w:color w:val="000000"/>
                <w:sz w:val="18"/>
                <w:szCs w:val="18"/>
              </w:rPr>
              <w:t>0.00</w:t>
            </w:r>
          </w:p>
        </w:tc>
        <w:tc>
          <w:tcPr>
            <w:tcW w:w="1033" w:type="dxa"/>
            <w:tcBorders>
              <w:top w:val="nil"/>
              <w:left w:val="nil"/>
              <w:bottom w:val="single" w:color="auto" w:sz="8" w:space="0"/>
              <w:right w:val="single" w:color="auto" w:sz="8" w:space="0"/>
            </w:tcBorders>
            <w:shd w:val="clear" w:color="auto" w:fill="auto"/>
            <w:vAlign w:val="center"/>
            <w:hideMark/>
          </w:tcPr>
          <w:p w:rsidRPr="009B73E6" w:rsidR="007C6B75" w:rsidP="004904B0" w:rsidRDefault="007C6B75" w14:paraId="7F0042A4" w14:textId="77777777">
            <w:pPr>
              <w:jc w:val="right"/>
              <w:rPr>
                <w:color w:val="000000"/>
                <w:sz w:val="18"/>
                <w:szCs w:val="18"/>
              </w:rPr>
            </w:pPr>
            <w:r>
              <w:rPr>
                <w:color w:val="000000"/>
                <w:sz w:val="18"/>
                <w:szCs w:val="18"/>
              </w:rPr>
              <w:t>0.00</w:t>
            </w:r>
          </w:p>
        </w:tc>
        <w:tc>
          <w:tcPr>
            <w:tcW w:w="1116" w:type="dxa"/>
            <w:tcBorders>
              <w:top w:val="nil"/>
              <w:left w:val="nil"/>
              <w:bottom w:val="single" w:color="auto" w:sz="8" w:space="0"/>
              <w:right w:val="single" w:color="auto" w:sz="8" w:space="0"/>
            </w:tcBorders>
            <w:shd w:val="clear" w:color="auto" w:fill="auto"/>
            <w:vAlign w:val="center"/>
            <w:hideMark/>
          </w:tcPr>
          <w:p w:rsidRPr="009B73E6" w:rsidR="007C6B75" w:rsidP="004904B0" w:rsidRDefault="007C6B75" w14:paraId="480985EA" w14:textId="77777777">
            <w:pPr>
              <w:jc w:val="right"/>
              <w:rPr>
                <w:color w:val="000000"/>
                <w:sz w:val="18"/>
                <w:szCs w:val="18"/>
              </w:rPr>
            </w:pPr>
            <w:r>
              <w:rPr>
                <w:color w:val="000000"/>
                <w:sz w:val="18"/>
                <w:szCs w:val="18"/>
              </w:rPr>
              <w:t>0.00</w:t>
            </w:r>
          </w:p>
        </w:tc>
      </w:tr>
      <w:tr w:rsidRPr="009B73E6" w:rsidR="007C6B75" w:rsidTr="004904B0" w14:paraId="5B2C388B" w14:textId="77777777">
        <w:trPr>
          <w:trHeight w:val="433"/>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7C6B75" w:rsidP="008119B6" w:rsidRDefault="007C6B75" w14:paraId="685DD820" w14:textId="77777777">
            <w:pPr>
              <w:rPr>
                <w:color w:val="000000"/>
                <w:sz w:val="18"/>
                <w:szCs w:val="18"/>
              </w:rPr>
            </w:pPr>
            <w:r>
              <w:rPr>
                <w:color w:val="000000"/>
                <w:sz w:val="18"/>
                <w:szCs w:val="18"/>
              </w:rPr>
              <w:t>SF-424B</w:t>
            </w:r>
          </w:p>
        </w:tc>
        <w:tc>
          <w:tcPr>
            <w:tcW w:w="126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73392EFF" w14:textId="77777777">
            <w:pPr>
              <w:jc w:val="right"/>
              <w:rPr>
                <w:color w:val="000000"/>
                <w:sz w:val="18"/>
                <w:szCs w:val="18"/>
              </w:rPr>
            </w:pPr>
            <w:r>
              <w:rPr>
                <w:color w:val="000000"/>
                <w:sz w:val="18"/>
                <w:szCs w:val="18"/>
              </w:rPr>
              <w:t>0.00</w:t>
            </w:r>
          </w:p>
        </w:tc>
        <w:tc>
          <w:tcPr>
            <w:tcW w:w="117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73CCD1A3" w14:textId="77777777">
            <w:pPr>
              <w:jc w:val="right"/>
              <w:rPr>
                <w:color w:val="000000"/>
                <w:sz w:val="18"/>
                <w:szCs w:val="18"/>
              </w:rPr>
            </w:pPr>
            <w:r>
              <w:rPr>
                <w:color w:val="000000"/>
                <w:sz w:val="18"/>
                <w:szCs w:val="18"/>
              </w:rPr>
              <w:t>0.00</w:t>
            </w:r>
          </w:p>
        </w:tc>
        <w:tc>
          <w:tcPr>
            <w:tcW w:w="108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139354BA" w14:textId="77777777">
            <w:pPr>
              <w:jc w:val="right"/>
              <w:rPr>
                <w:color w:val="000000"/>
                <w:sz w:val="18"/>
                <w:szCs w:val="18"/>
              </w:rPr>
            </w:pPr>
            <w:r>
              <w:rPr>
                <w:color w:val="000000"/>
                <w:sz w:val="18"/>
                <w:szCs w:val="18"/>
              </w:rPr>
              <w:t>0.00</w:t>
            </w:r>
          </w:p>
        </w:tc>
        <w:tc>
          <w:tcPr>
            <w:tcW w:w="117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16261673" w14:textId="77777777">
            <w:pPr>
              <w:jc w:val="right"/>
              <w:rPr>
                <w:color w:val="000000"/>
                <w:sz w:val="18"/>
                <w:szCs w:val="18"/>
              </w:rPr>
            </w:pPr>
            <w:r>
              <w:rPr>
                <w:color w:val="000000"/>
                <w:sz w:val="18"/>
                <w:szCs w:val="18"/>
              </w:rPr>
              <w:t>0.00</w:t>
            </w:r>
          </w:p>
        </w:tc>
        <w:tc>
          <w:tcPr>
            <w:tcW w:w="90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4E37FA11" w14:textId="77777777">
            <w:pPr>
              <w:jc w:val="right"/>
              <w:rPr>
                <w:color w:val="000000"/>
                <w:sz w:val="18"/>
                <w:szCs w:val="18"/>
              </w:rPr>
            </w:pPr>
            <w:r>
              <w:rPr>
                <w:color w:val="000000"/>
                <w:sz w:val="18"/>
                <w:szCs w:val="18"/>
              </w:rPr>
              <w:t>0.00</w:t>
            </w:r>
          </w:p>
        </w:tc>
        <w:tc>
          <w:tcPr>
            <w:tcW w:w="1033" w:type="dxa"/>
            <w:tcBorders>
              <w:top w:val="nil"/>
              <w:left w:val="nil"/>
              <w:bottom w:val="single" w:color="auto" w:sz="8" w:space="0"/>
              <w:right w:val="single" w:color="auto" w:sz="8" w:space="0"/>
            </w:tcBorders>
            <w:shd w:val="clear" w:color="auto" w:fill="auto"/>
            <w:vAlign w:val="center"/>
            <w:hideMark/>
          </w:tcPr>
          <w:p w:rsidR="007C6B75" w:rsidP="004904B0" w:rsidRDefault="007C6B75" w14:paraId="5481322B" w14:textId="77777777">
            <w:pPr>
              <w:jc w:val="right"/>
              <w:rPr>
                <w:color w:val="000000"/>
                <w:sz w:val="18"/>
                <w:szCs w:val="18"/>
              </w:rPr>
            </w:pPr>
            <w:r>
              <w:rPr>
                <w:color w:val="000000"/>
                <w:sz w:val="18"/>
                <w:szCs w:val="18"/>
              </w:rPr>
              <w:t>0.00</w:t>
            </w:r>
          </w:p>
        </w:tc>
        <w:tc>
          <w:tcPr>
            <w:tcW w:w="1116" w:type="dxa"/>
            <w:tcBorders>
              <w:top w:val="nil"/>
              <w:left w:val="nil"/>
              <w:bottom w:val="single" w:color="auto" w:sz="8" w:space="0"/>
              <w:right w:val="single" w:color="auto" w:sz="8" w:space="0"/>
            </w:tcBorders>
            <w:shd w:val="clear" w:color="auto" w:fill="auto"/>
            <w:vAlign w:val="center"/>
            <w:hideMark/>
          </w:tcPr>
          <w:p w:rsidR="007C6B75" w:rsidP="004904B0" w:rsidRDefault="007C6B75" w14:paraId="7B6E8D36" w14:textId="77777777">
            <w:pPr>
              <w:jc w:val="right"/>
              <w:rPr>
                <w:color w:val="000000"/>
                <w:sz w:val="18"/>
                <w:szCs w:val="18"/>
              </w:rPr>
            </w:pPr>
            <w:r>
              <w:rPr>
                <w:color w:val="000000"/>
                <w:sz w:val="18"/>
                <w:szCs w:val="18"/>
              </w:rPr>
              <w:t>0.00</w:t>
            </w:r>
          </w:p>
        </w:tc>
      </w:tr>
      <w:tr w:rsidRPr="009B73E6" w:rsidR="007C6B75" w:rsidTr="004904B0" w14:paraId="6079B167" w14:textId="77777777">
        <w:trPr>
          <w:trHeight w:val="424"/>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7C6B75" w:rsidP="008119B6" w:rsidRDefault="007C6B75" w14:paraId="4A8203F0" w14:textId="77777777">
            <w:pPr>
              <w:rPr>
                <w:color w:val="000000"/>
                <w:sz w:val="18"/>
                <w:szCs w:val="18"/>
              </w:rPr>
            </w:pPr>
            <w:r>
              <w:rPr>
                <w:color w:val="000000"/>
                <w:sz w:val="18"/>
                <w:szCs w:val="18"/>
              </w:rPr>
              <w:t>SF-LLL</w:t>
            </w:r>
          </w:p>
        </w:tc>
        <w:tc>
          <w:tcPr>
            <w:tcW w:w="126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78DDE70D" w14:textId="77777777">
            <w:pPr>
              <w:jc w:val="right"/>
              <w:rPr>
                <w:color w:val="000000"/>
                <w:sz w:val="18"/>
                <w:szCs w:val="18"/>
              </w:rPr>
            </w:pPr>
            <w:r>
              <w:rPr>
                <w:color w:val="000000"/>
                <w:sz w:val="18"/>
                <w:szCs w:val="18"/>
              </w:rPr>
              <w:t>0.00</w:t>
            </w:r>
          </w:p>
        </w:tc>
        <w:tc>
          <w:tcPr>
            <w:tcW w:w="117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73F5C7E5" w14:textId="77777777">
            <w:pPr>
              <w:jc w:val="right"/>
              <w:rPr>
                <w:color w:val="000000"/>
                <w:sz w:val="18"/>
                <w:szCs w:val="18"/>
              </w:rPr>
            </w:pPr>
            <w:r>
              <w:rPr>
                <w:color w:val="000000"/>
                <w:sz w:val="18"/>
                <w:szCs w:val="18"/>
              </w:rPr>
              <w:t>0.00</w:t>
            </w:r>
          </w:p>
        </w:tc>
        <w:tc>
          <w:tcPr>
            <w:tcW w:w="108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370284DE" w14:textId="77777777">
            <w:pPr>
              <w:jc w:val="right"/>
              <w:rPr>
                <w:color w:val="000000"/>
                <w:sz w:val="18"/>
                <w:szCs w:val="18"/>
              </w:rPr>
            </w:pPr>
            <w:r>
              <w:rPr>
                <w:color w:val="000000"/>
                <w:sz w:val="18"/>
                <w:szCs w:val="18"/>
              </w:rPr>
              <w:t>0.00</w:t>
            </w:r>
          </w:p>
        </w:tc>
        <w:tc>
          <w:tcPr>
            <w:tcW w:w="117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76B0090B" w14:textId="77777777">
            <w:pPr>
              <w:jc w:val="right"/>
              <w:rPr>
                <w:color w:val="000000"/>
                <w:sz w:val="18"/>
                <w:szCs w:val="18"/>
              </w:rPr>
            </w:pPr>
            <w:r>
              <w:rPr>
                <w:color w:val="000000"/>
                <w:sz w:val="18"/>
                <w:szCs w:val="18"/>
              </w:rPr>
              <w:t>0.00</w:t>
            </w:r>
          </w:p>
        </w:tc>
        <w:tc>
          <w:tcPr>
            <w:tcW w:w="90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5A57E760" w14:textId="77777777">
            <w:pPr>
              <w:jc w:val="right"/>
              <w:rPr>
                <w:color w:val="000000"/>
                <w:sz w:val="18"/>
                <w:szCs w:val="18"/>
              </w:rPr>
            </w:pPr>
            <w:r>
              <w:rPr>
                <w:color w:val="000000"/>
                <w:sz w:val="18"/>
                <w:szCs w:val="18"/>
              </w:rPr>
              <w:t>0.00</w:t>
            </w:r>
          </w:p>
        </w:tc>
        <w:tc>
          <w:tcPr>
            <w:tcW w:w="1033" w:type="dxa"/>
            <w:tcBorders>
              <w:top w:val="nil"/>
              <w:left w:val="nil"/>
              <w:bottom w:val="single" w:color="auto" w:sz="8" w:space="0"/>
              <w:right w:val="single" w:color="auto" w:sz="8" w:space="0"/>
            </w:tcBorders>
            <w:shd w:val="clear" w:color="auto" w:fill="auto"/>
            <w:vAlign w:val="center"/>
            <w:hideMark/>
          </w:tcPr>
          <w:p w:rsidR="007C6B75" w:rsidP="004904B0" w:rsidRDefault="007C6B75" w14:paraId="79543BCB" w14:textId="77777777">
            <w:pPr>
              <w:jc w:val="right"/>
              <w:rPr>
                <w:color w:val="000000"/>
                <w:sz w:val="18"/>
                <w:szCs w:val="18"/>
              </w:rPr>
            </w:pPr>
            <w:r>
              <w:rPr>
                <w:color w:val="000000"/>
                <w:sz w:val="18"/>
                <w:szCs w:val="18"/>
              </w:rPr>
              <w:t>0.00</w:t>
            </w:r>
          </w:p>
        </w:tc>
        <w:tc>
          <w:tcPr>
            <w:tcW w:w="1116" w:type="dxa"/>
            <w:tcBorders>
              <w:top w:val="nil"/>
              <w:left w:val="nil"/>
              <w:bottom w:val="single" w:color="auto" w:sz="8" w:space="0"/>
              <w:right w:val="single" w:color="auto" w:sz="8" w:space="0"/>
            </w:tcBorders>
            <w:shd w:val="clear" w:color="auto" w:fill="auto"/>
            <w:vAlign w:val="center"/>
            <w:hideMark/>
          </w:tcPr>
          <w:p w:rsidR="007C6B75" w:rsidP="004904B0" w:rsidRDefault="007C6B75" w14:paraId="2F86C67F" w14:textId="77777777">
            <w:pPr>
              <w:jc w:val="right"/>
              <w:rPr>
                <w:color w:val="000000"/>
                <w:sz w:val="18"/>
                <w:szCs w:val="18"/>
              </w:rPr>
            </w:pPr>
            <w:r>
              <w:rPr>
                <w:color w:val="000000"/>
                <w:sz w:val="18"/>
                <w:szCs w:val="18"/>
              </w:rPr>
              <w:t>0.00</w:t>
            </w:r>
          </w:p>
        </w:tc>
      </w:tr>
      <w:tr w:rsidRPr="009B73E6" w:rsidR="007C6B75" w:rsidTr="004904B0" w14:paraId="0C056FC8" w14:textId="77777777">
        <w:trPr>
          <w:trHeight w:val="343"/>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7C6B75" w:rsidP="008119B6" w:rsidRDefault="007C6B75" w14:paraId="3797B042" w14:textId="77777777">
            <w:pPr>
              <w:rPr>
                <w:color w:val="000000"/>
                <w:sz w:val="18"/>
                <w:szCs w:val="18"/>
              </w:rPr>
            </w:pPr>
            <w:r>
              <w:rPr>
                <w:color w:val="000000"/>
                <w:sz w:val="18"/>
                <w:szCs w:val="18"/>
              </w:rPr>
              <w:t>SF-424D</w:t>
            </w:r>
          </w:p>
        </w:tc>
        <w:tc>
          <w:tcPr>
            <w:tcW w:w="126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5151A6C6" w14:textId="77777777">
            <w:pPr>
              <w:jc w:val="right"/>
              <w:rPr>
                <w:color w:val="000000"/>
                <w:sz w:val="18"/>
                <w:szCs w:val="18"/>
              </w:rPr>
            </w:pPr>
            <w:r>
              <w:rPr>
                <w:color w:val="000000"/>
                <w:sz w:val="18"/>
                <w:szCs w:val="18"/>
              </w:rPr>
              <w:t>0.00</w:t>
            </w:r>
          </w:p>
        </w:tc>
        <w:tc>
          <w:tcPr>
            <w:tcW w:w="117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4477C8C1" w14:textId="77777777">
            <w:pPr>
              <w:jc w:val="right"/>
              <w:rPr>
                <w:color w:val="000000"/>
                <w:sz w:val="18"/>
                <w:szCs w:val="18"/>
              </w:rPr>
            </w:pPr>
            <w:r>
              <w:rPr>
                <w:color w:val="000000"/>
                <w:sz w:val="18"/>
                <w:szCs w:val="18"/>
              </w:rPr>
              <w:t>0.00</w:t>
            </w:r>
          </w:p>
        </w:tc>
        <w:tc>
          <w:tcPr>
            <w:tcW w:w="108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425D7140" w14:textId="77777777">
            <w:pPr>
              <w:jc w:val="right"/>
              <w:rPr>
                <w:color w:val="000000"/>
                <w:sz w:val="18"/>
                <w:szCs w:val="18"/>
              </w:rPr>
            </w:pPr>
            <w:r>
              <w:rPr>
                <w:color w:val="000000"/>
                <w:sz w:val="18"/>
                <w:szCs w:val="18"/>
              </w:rPr>
              <w:t>0.00</w:t>
            </w:r>
          </w:p>
        </w:tc>
        <w:tc>
          <w:tcPr>
            <w:tcW w:w="117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15CE75A0" w14:textId="77777777">
            <w:pPr>
              <w:jc w:val="right"/>
              <w:rPr>
                <w:color w:val="000000"/>
                <w:sz w:val="18"/>
                <w:szCs w:val="18"/>
              </w:rPr>
            </w:pPr>
            <w:r>
              <w:rPr>
                <w:color w:val="000000"/>
                <w:sz w:val="18"/>
                <w:szCs w:val="18"/>
              </w:rPr>
              <w:t>0.00</w:t>
            </w:r>
          </w:p>
        </w:tc>
        <w:tc>
          <w:tcPr>
            <w:tcW w:w="900" w:type="dxa"/>
            <w:tcBorders>
              <w:top w:val="nil"/>
              <w:left w:val="nil"/>
              <w:bottom w:val="single" w:color="auto" w:sz="8" w:space="0"/>
              <w:right w:val="single" w:color="auto" w:sz="8" w:space="0"/>
            </w:tcBorders>
            <w:shd w:val="clear" w:color="auto" w:fill="auto"/>
            <w:vAlign w:val="center"/>
            <w:hideMark/>
          </w:tcPr>
          <w:p w:rsidR="007C6B75" w:rsidP="004904B0" w:rsidRDefault="007C6B75" w14:paraId="2C8338A5" w14:textId="77777777">
            <w:pPr>
              <w:jc w:val="right"/>
              <w:rPr>
                <w:color w:val="000000"/>
                <w:sz w:val="18"/>
                <w:szCs w:val="18"/>
              </w:rPr>
            </w:pPr>
            <w:r>
              <w:rPr>
                <w:color w:val="000000"/>
                <w:sz w:val="18"/>
                <w:szCs w:val="18"/>
              </w:rPr>
              <w:t>0.00</w:t>
            </w:r>
          </w:p>
        </w:tc>
        <w:tc>
          <w:tcPr>
            <w:tcW w:w="1033" w:type="dxa"/>
            <w:tcBorders>
              <w:top w:val="nil"/>
              <w:left w:val="nil"/>
              <w:bottom w:val="single" w:color="auto" w:sz="8" w:space="0"/>
              <w:right w:val="single" w:color="auto" w:sz="8" w:space="0"/>
            </w:tcBorders>
            <w:shd w:val="clear" w:color="auto" w:fill="auto"/>
            <w:vAlign w:val="center"/>
            <w:hideMark/>
          </w:tcPr>
          <w:p w:rsidR="007C6B75" w:rsidP="004904B0" w:rsidRDefault="007C6B75" w14:paraId="4120CA4A" w14:textId="77777777">
            <w:pPr>
              <w:jc w:val="right"/>
              <w:rPr>
                <w:color w:val="000000"/>
                <w:sz w:val="18"/>
                <w:szCs w:val="18"/>
              </w:rPr>
            </w:pPr>
            <w:r>
              <w:rPr>
                <w:color w:val="000000"/>
                <w:sz w:val="18"/>
                <w:szCs w:val="18"/>
              </w:rPr>
              <w:t>0.00</w:t>
            </w:r>
          </w:p>
        </w:tc>
        <w:tc>
          <w:tcPr>
            <w:tcW w:w="1116" w:type="dxa"/>
            <w:tcBorders>
              <w:top w:val="nil"/>
              <w:left w:val="nil"/>
              <w:bottom w:val="single" w:color="auto" w:sz="8" w:space="0"/>
              <w:right w:val="single" w:color="auto" w:sz="8" w:space="0"/>
            </w:tcBorders>
            <w:shd w:val="clear" w:color="auto" w:fill="auto"/>
            <w:vAlign w:val="center"/>
            <w:hideMark/>
          </w:tcPr>
          <w:p w:rsidR="007C6B75" w:rsidP="004904B0" w:rsidRDefault="007C6B75" w14:paraId="21FD4324" w14:textId="77777777">
            <w:pPr>
              <w:jc w:val="right"/>
              <w:rPr>
                <w:color w:val="000000"/>
                <w:sz w:val="18"/>
                <w:szCs w:val="18"/>
              </w:rPr>
            </w:pPr>
            <w:r>
              <w:rPr>
                <w:color w:val="000000"/>
                <w:sz w:val="18"/>
                <w:szCs w:val="18"/>
              </w:rPr>
              <w:t>0.00</w:t>
            </w:r>
          </w:p>
        </w:tc>
      </w:tr>
      <w:tr w:rsidR="00C425AF" w:rsidTr="00C425AF" w14:paraId="607AE653" w14:textId="77777777">
        <w:trPr>
          <w:trHeight w:val="93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C425AF" w:rsidP="00A774F6" w:rsidRDefault="00C425AF" w14:paraId="060AAB0B" w14:textId="77777777">
            <w:pPr>
              <w:rPr>
                <w:color w:val="000000"/>
                <w:sz w:val="18"/>
                <w:szCs w:val="18"/>
              </w:rPr>
            </w:pPr>
            <w:r>
              <w:rPr>
                <w:color w:val="000000"/>
                <w:sz w:val="18"/>
                <w:szCs w:val="18"/>
              </w:rPr>
              <w:t>Review of HOPWA Competitive Application (including HUD-40110-B and narratives)</w:t>
            </w:r>
          </w:p>
        </w:tc>
        <w:tc>
          <w:tcPr>
            <w:tcW w:w="126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625068E3" w14:textId="77777777">
            <w:pPr>
              <w:jc w:val="right"/>
              <w:rPr>
                <w:color w:val="000000"/>
                <w:sz w:val="18"/>
                <w:szCs w:val="18"/>
              </w:rPr>
            </w:pPr>
            <w:r>
              <w:rPr>
                <w:color w:val="000000"/>
                <w:sz w:val="18"/>
                <w:szCs w:val="18"/>
              </w:rPr>
              <w:t>40.00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1D4A687"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16056F9F" w14:textId="77777777">
            <w:pPr>
              <w:jc w:val="right"/>
              <w:rPr>
                <w:color w:val="000000"/>
                <w:sz w:val="18"/>
                <w:szCs w:val="18"/>
              </w:rPr>
            </w:pPr>
            <w:r>
              <w:rPr>
                <w:color w:val="000000"/>
                <w:sz w:val="18"/>
                <w:szCs w:val="18"/>
              </w:rPr>
              <w:t>40.00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6997F3C9" w14:textId="77777777">
            <w:pPr>
              <w:jc w:val="right"/>
              <w:rPr>
                <w:color w:val="000000"/>
                <w:sz w:val="18"/>
                <w:szCs w:val="18"/>
              </w:rPr>
            </w:pPr>
            <w:r>
              <w:rPr>
                <w:color w:val="000000"/>
                <w:sz w:val="18"/>
                <w:szCs w:val="18"/>
              </w:rPr>
              <w:t>30.00</w:t>
            </w:r>
          </w:p>
        </w:tc>
        <w:tc>
          <w:tcPr>
            <w:tcW w:w="90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05705BBC" w14:textId="77777777">
            <w:pPr>
              <w:jc w:val="right"/>
              <w:rPr>
                <w:color w:val="000000"/>
                <w:sz w:val="18"/>
                <w:szCs w:val="18"/>
              </w:rPr>
            </w:pPr>
            <w:r>
              <w:rPr>
                <w:color w:val="000000"/>
                <w:sz w:val="18"/>
                <w:szCs w:val="18"/>
              </w:rPr>
              <w:t>1200.00</w:t>
            </w:r>
          </w:p>
        </w:tc>
        <w:tc>
          <w:tcPr>
            <w:tcW w:w="1033"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27BFC7C"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425AF" w:rsidP="00A774F6" w:rsidRDefault="00C425AF" w14:paraId="2991FBF0" w14:textId="77777777">
            <w:pPr>
              <w:jc w:val="right"/>
              <w:rPr>
                <w:color w:val="000000"/>
                <w:sz w:val="18"/>
                <w:szCs w:val="18"/>
              </w:rPr>
            </w:pPr>
            <w:r>
              <w:rPr>
                <w:color w:val="000000"/>
                <w:sz w:val="18"/>
                <w:szCs w:val="18"/>
              </w:rPr>
              <w:t xml:space="preserve">$49,644.00 </w:t>
            </w:r>
          </w:p>
        </w:tc>
      </w:tr>
      <w:tr w:rsidR="00C425AF" w:rsidTr="00C425AF" w14:paraId="5B3F8907" w14:textId="77777777">
        <w:trPr>
          <w:trHeight w:val="47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C425AF" w:rsidP="00A774F6" w:rsidRDefault="00C425AF" w14:paraId="65E2EA92" w14:textId="77777777">
            <w:pPr>
              <w:rPr>
                <w:color w:val="000000"/>
                <w:sz w:val="18"/>
                <w:szCs w:val="18"/>
              </w:rPr>
            </w:pPr>
            <w:r>
              <w:rPr>
                <w:color w:val="000000"/>
                <w:sz w:val="18"/>
                <w:szCs w:val="18"/>
              </w:rPr>
              <w:t>Awarding of Competitive and Renewal Grants</w:t>
            </w:r>
          </w:p>
        </w:tc>
        <w:tc>
          <w:tcPr>
            <w:tcW w:w="126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D4DDCDF" w14:textId="77777777">
            <w:pPr>
              <w:jc w:val="right"/>
              <w:rPr>
                <w:color w:val="000000"/>
                <w:sz w:val="18"/>
                <w:szCs w:val="18"/>
              </w:rPr>
            </w:pPr>
            <w:r>
              <w:rPr>
                <w:color w:val="000000"/>
                <w:sz w:val="18"/>
                <w:szCs w:val="18"/>
              </w:rPr>
              <w:t>54.00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3F1F3E30"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2CA195D9" w14:textId="77777777">
            <w:pPr>
              <w:jc w:val="right"/>
              <w:rPr>
                <w:color w:val="000000"/>
                <w:sz w:val="18"/>
                <w:szCs w:val="18"/>
              </w:rPr>
            </w:pPr>
            <w:r>
              <w:rPr>
                <w:color w:val="000000"/>
                <w:sz w:val="18"/>
                <w:szCs w:val="18"/>
              </w:rPr>
              <w:t>54.00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DFE7A93" w14:textId="77777777">
            <w:pPr>
              <w:jc w:val="right"/>
              <w:rPr>
                <w:color w:val="000000"/>
                <w:sz w:val="18"/>
                <w:szCs w:val="18"/>
              </w:rPr>
            </w:pPr>
            <w:r>
              <w:rPr>
                <w:color w:val="000000"/>
                <w:sz w:val="18"/>
                <w:szCs w:val="18"/>
              </w:rPr>
              <w:t>10.00</w:t>
            </w:r>
          </w:p>
        </w:tc>
        <w:tc>
          <w:tcPr>
            <w:tcW w:w="90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36B143F4" w14:textId="77777777">
            <w:pPr>
              <w:jc w:val="right"/>
              <w:rPr>
                <w:color w:val="000000"/>
                <w:sz w:val="18"/>
                <w:szCs w:val="18"/>
              </w:rPr>
            </w:pPr>
            <w:r>
              <w:rPr>
                <w:color w:val="000000"/>
                <w:sz w:val="18"/>
                <w:szCs w:val="18"/>
              </w:rPr>
              <w:t>540.00</w:t>
            </w:r>
          </w:p>
        </w:tc>
        <w:tc>
          <w:tcPr>
            <w:tcW w:w="1033"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988A65B"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425AF" w:rsidP="00A774F6" w:rsidRDefault="00C425AF" w14:paraId="1A62CC2D" w14:textId="77777777">
            <w:pPr>
              <w:jc w:val="right"/>
              <w:rPr>
                <w:color w:val="000000"/>
                <w:sz w:val="18"/>
                <w:szCs w:val="18"/>
              </w:rPr>
            </w:pPr>
            <w:r>
              <w:rPr>
                <w:color w:val="000000"/>
                <w:sz w:val="18"/>
                <w:szCs w:val="18"/>
              </w:rPr>
              <w:t xml:space="preserve">$22,339.80 </w:t>
            </w:r>
          </w:p>
        </w:tc>
      </w:tr>
      <w:tr w:rsidR="004520E6" w:rsidTr="000C2DB8" w14:paraId="5B5C3A7E" w14:textId="77777777">
        <w:trPr>
          <w:trHeight w:val="469"/>
        </w:trPr>
        <w:tc>
          <w:tcPr>
            <w:tcW w:w="2070" w:type="dxa"/>
            <w:tcBorders>
              <w:top w:val="nil"/>
              <w:left w:val="single" w:color="auto" w:sz="8" w:space="0"/>
              <w:bottom w:val="single" w:color="auto" w:sz="8" w:space="0"/>
              <w:right w:val="single" w:color="auto" w:sz="8" w:space="0"/>
            </w:tcBorders>
            <w:shd w:val="clear" w:color="auto" w:fill="auto"/>
            <w:vAlign w:val="center"/>
          </w:tcPr>
          <w:p w:rsidR="004520E6" w:rsidP="00AB384B" w:rsidRDefault="004520E6" w14:paraId="1F1A4FA9" w14:textId="761C07B5">
            <w:pPr>
              <w:rPr>
                <w:color w:val="000000"/>
                <w:sz w:val="18"/>
                <w:szCs w:val="18"/>
              </w:rPr>
            </w:pPr>
            <w:r>
              <w:rPr>
                <w:color w:val="000000"/>
                <w:sz w:val="18"/>
                <w:szCs w:val="18"/>
              </w:rPr>
              <w:t xml:space="preserve">Review </w:t>
            </w:r>
            <w:r w:rsidR="000A79D9">
              <w:rPr>
                <w:color w:val="000000"/>
                <w:sz w:val="18"/>
                <w:szCs w:val="18"/>
              </w:rPr>
              <w:t>of new consolidated data elements (HUD-4155)</w:t>
            </w:r>
          </w:p>
        </w:tc>
        <w:tc>
          <w:tcPr>
            <w:tcW w:w="1260" w:type="dxa"/>
            <w:tcBorders>
              <w:top w:val="nil"/>
              <w:left w:val="nil"/>
              <w:bottom w:val="single" w:color="auto" w:sz="8" w:space="0"/>
              <w:right w:val="single" w:color="auto" w:sz="8" w:space="0"/>
            </w:tcBorders>
            <w:shd w:val="clear" w:color="auto" w:fill="auto"/>
            <w:vAlign w:val="center"/>
          </w:tcPr>
          <w:p w:rsidR="004520E6" w:rsidP="00A774F6" w:rsidRDefault="004520E6" w14:paraId="4F6EB7FF" w14:textId="27A42AAC">
            <w:pPr>
              <w:jc w:val="right"/>
              <w:rPr>
                <w:color w:val="000000"/>
                <w:sz w:val="18"/>
                <w:szCs w:val="18"/>
              </w:rPr>
            </w:pPr>
            <w:r>
              <w:rPr>
                <w:color w:val="000000"/>
                <w:sz w:val="18"/>
                <w:szCs w:val="18"/>
              </w:rPr>
              <w:t>244.00</w:t>
            </w:r>
          </w:p>
        </w:tc>
        <w:tc>
          <w:tcPr>
            <w:tcW w:w="1170" w:type="dxa"/>
            <w:tcBorders>
              <w:top w:val="nil"/>
              <w:left w:val="nil"/>
              <w:bottom w:val="single" w:color="auto" w:sz="8" w:space="0"/>
              <w:right w:val="single" w:color="auto" w:sz="8" w:space="0"/>
            </w:tcBorders>
            <w:shd w:val="clear" w:color="auto" w:fill="auto"/>
            <w:vAlign w:val="center"/>
          </w:tcPr>
          <w:p w:rsidR="004520E6" w:rsidP="00A774F6" w:rsidRDefault="004520E6" w14:paraId="659594EA" w14:textId="29E5D6AB">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tcPr>
          <w:p w:rsidR="004520E6" w:rsidP="00A774F6" w:rsidRDefault="004520E6" w14:paraId="367EC8B3" w14:textId="73576A6A">
            <w:pPr>
              <w:jc w:val="right"/>
              <w:rPr>
                <w:color w:val="000000"/>
                <w:sz w:val="18"/>
                <w:szCs w:val="18"/>
              </w:rPr>
            </w:pPr>
            <w:r>
              <w:rPr>
                <w:color w:val="000000"/>
                <w:sz w:val="18"/>
                <w:szCs w:val="18"/>
              </w:rPr>
              <w:t>244.00</w:t>
            </w:r>
          </w:p>
        </w:tc>
        <w:tc>
          <w:tcPr>
            <w:tcW w:w="1170" w:type="dxa"/>
            <w:tcBorders>
              <w:top w:val="nil"/>
              <w:left w:val="nil"/>
              <w:bottom w:val="single" w:color="auto" w:sz="8" w:space="0"/>
              <w:right w:val="single" w:color="auto" w:sz="8" w:space="0"/>
            </w:tcBorders>
            <w:shd w:val="clear" w:color="auto" w:fill="auto"/>
            <w:vAlign w:val="center"/>
          </w:tcPr>
          <w:p w:rsidR="004520E6" w:rsidP="00A774F6" w:rsidRDefault="00D65359" w14:paraId="38E63FE3" w14:textId="05FE00A3">
            <w:pPr>
              <w:jc w:val="right"/>
              <w:rPr>
                <w:color w:val="000000"/>
                <w:sz w:val="18"/>
                <w:szCs w:val="18"/>
              </w:rPr>
            </w:pPr>
            <w:r>
              <w:rPr>
                <w:color w:val="000000"/>
                <w:sz w:val="18"/>
                <w:szCs w:val="18"/>
              </w:rPr>
              <w:t>11.00</w:t>
            </w:r>
          </w:p>
        </w:tc>
        <w:tc>
          <w:tcPr>
            <w:tcW w:w="900" w:type="dxa"/>
            <w:tcBorders>
              <w:top w:val="nil"/>
              <w:left w:val="nil"/>
              <w:bottom w:val="single" w:color="auto" w:sz="8" w:space="0"/>
              <w:right w:val="single" w:color="auto" w:sz="8" w:space="0"/>
            </w:tcBorders>
            <w:shd w:val="clear" w:color="auto" w:fill="auto"/>
            <w:vAlign w:val="center"/>
          </w:tcPr>
          <w:p w:rsidR="004520E6" w:rsidP="00A774F6" w:rsidRDefault="00D65359" w14:paraId="742DBE87" w14:textId="789B6658">
            <w:pPr>
              <w:jc w:val="right"/>
              <w:rPr>
                <w:color w:val="000000"/>
                <w:sz w:val="18"/>
                <w:szCs w:val="18"/>
              </w:rPr>
            </w:pPr>
            <w:r>
              <w:rPr>
                <w:color w:val="000000"/>
                <w:sz w:val="18"/>
                <w:szCs w:val="18"/>
              </w:rPr>
              <w:t>2,684.00</w:t>
            </w:r>
          </w:p>
        </w:tc>
        <w:tc>
          <w:tcPr>
            <w:tcW w:w="1033" w:type="dxa"/>
            <w:tcBorders>
              <w:top w:val="nil"/>
              <w:left w:val="nil"/>
              <w:bottom w:val="single" w:color="auto" w:sz="8" w:space="0"/>
              <w:right w:val="single" w:color="auto" w:sz="8" w:space="0"/>
            </w:tcBorders>
            <w:shd w:val="clear" w:color="auto" w:fill="auto"/>
            <w:vAlign w:val="center"/>
          </w:tcPr>
          <w:p w:rsidR="004520E6" w:rsidP="00A774F6" w:rsidRDefault="004520E6" w14:paraId="19F343CC" w14:textId="6A94BF7A">
            <w:pPr>
              <w:jc w:val="right"/>
              <w:rPr>
                <w:color w:val="000000"/>
                <w:sz w:val="18"/>
                <w:szCs w:val="18"/>
              </w:rPr>
            </w:pPr>
            <w:r>
              <w:rPr>
                <w:color w:val="000000"/>
                <w:sz w:val="18"/>
                <w:szCs w:val="18"/>
              </w:rPr>
              <w:t>$41.37</w:t>
            </w:r>
          </w:p>
        </w:tc>
        <w:tc>
          <w:tcPr>
            <w:tcW w:w="1116" w:type="dxa"/>
            <w:tcBorders>
              <w:top w:val="nil"/>
              <w:left w:val="nil"/>
              <w:bottom w:val="single" w:color="auto" w:sz="8" w:space="0"/>
              <w:right w:val="single" w:color="auto" w:sz="8" w:space="0"/>
            </w:tcBorders>
            <w:shd w:val="clear" w:color="auto" w:fill="auto"/>
            <w:vAlign w:val="center"/>
          </w:tcPr>
          <w:p w:rsidR="004520E6" w:rsidP="00A774F6" w:rsidRDefault="00D65359" w14:paraId="247C9B3D" w14:textId="6F520348">
            <w:pPr>
              <w:jc w:val="right"/>
              <w:rPr>
                <w:color w:val="000000"/>
                <w:sz w:val="18"/>
                <w:szCs w:val="18"/>
              </w:rPr>
            </w:pPr>
            <w:r>
              <w:rPr>
                <w:color w:val="000000"/>
                <w:sz w:val="18"/>
                <w:szCs w:val="18"/>
              </w:rPr>
              <w:t>$111,037.08</w:t>
            </w:r>
          </w:p>
        </w:tc>
      </w:tr>
      <w:tr w:rsidR="00E1446D" w:rsidTr="000C2DB8" w14:paraId="4BA6F40C" w14:textId="77777777">
        <w:trPr>
          <w:trHeight w:val="640"/>
        </w:trPr>
        <w:tc>
          <w:tcPr>
            <w:tcW w:w="2070" w:type="dxa"/>
            <w:tcBorders>
              <w:top w:val="nil"/>
              <w:left w:val="single" w:color="auto" w:sz="8" w:space="0"/>
              <w:bottom w:val="single" w:color="auto" w:sz="8" w:space="0"/>
              <w:right w:val="single" w:color="auto" w:sz="8" w:space="0"/>
            </w:tcBorders>
            <w:shd w:val="clear" w:color="auto" w:fill="auto"/>
            <w:vAlign w:val="center"/>
          </w:tcPr>
          <w:p w:rsidR="00E1446D" w:rsidP="00E1446D" w:rsidRDefault="00E1446D" w14:paraId="1D097D60" w14:textId="73EF4F28">
            <w:pPr>
              <w:rPr>
                <w:color w:val="000000"/>
                <w:sz w:val="18"/>
                <w:szCs w:val="18"/>
              </w:rPr>
            </w:pPr>
            <w:r>
              <w:rPr>
                <w:color w:val="000000"/>
                <w:sz w:val="18"/>
                <w:szCs w:val="18"/>
              </w:rPr>
              <w:t>Review of HUD-40110-C Annual Progress Report (APR)</w:t>
            </w:r>
          </w:p>
        </w:tc>
        <w:tc>
          <w:tcPr>
            <w:tcW w:w="1260" w:type="dxa"/>
            <w:tcBorders>
              <w:top w:val="nil"/>
              <w:left w:val="nil"/>
              <w:bottom w:val="single" w:color="auto" w:sz="8" w:space="0"/>
              <w:right w:val="single" w:color="auto" w:sz="8" w:space="0"/>
            </w:tcBorders>
            <w:shd w:val="clear" w:color="auto" w:fill="auto"/>
            <w:vAlign w:val="center"/>
          </w:tcPr>
          <w:p w:rsidR="00E1446D" w:rsidP="00E1446D" w:rsidRDefault="00E1446D" w14:paraId="101B7AA2" w14:textId="2B54F889">
            <w:pPr>
              <w:jc w:val="right"/>
              <w:rPr>
                <w:color w:val="000000"/>
                <w:sz w:val="18"/>
                <w:szCs w:val="18"/>
              </w:rPr>
            </w:pPr>
            <w:r>
              <w:rPr>
                <w:color w:val="000000"/>
                <w:sz w:val="18"/>
                <w:szCs w:val="18"/>
              </w:rPr>
              <w:t>116.00</w:t>
            </w:r>
          </w:p>
        </w:tc>
        <w:tc>
          <w:tcPr>
            <w:tcW w:w="1170" w:type="dxa"/>
            <w:tcBorders>
              <w:top w:val="nil"/>
              <w:left w:val="nil"/>
              <w:bottom w:val="single" w:color="auto" w:sz="8" w:space="0"/>
              <w:right w:val="single" w:color="auto" w:sz="8" w:space="0"/>
            </w:tcBorders>
            <w:shd w:val="clear" w:color="auto" w:fill="auto"/>
            <w:vAlign w:val="center"/>
          </w:tcPr>
          <w:p w:rsidR="00E1446D" w:rsidP="00E1446D" w:rsidRDefault="00E1446D" w14:paraId="093C5985" w14:textId="75CF652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tcPr>
          <w:p w:rsidR="00E1446D" w:rsidP="00E1446D" w:rsidRDefault="00E1446D" w14:paraId="6B42ED6C" w14:textId="30687627">
            <w:pPr>
              <w:jc w:val="right"/>
              <w:rPr>
                <w:color w:val="000000"/>
                <w:sz w:val="18"/>
                <w:szCs w:val="18"/>
              </w:rPr>
            </w:pPr>
            <w:r>
              <w:rPr>
                <w:color w:val="000000"/>
                <w:sz w:val="18"/>
                <w:szCs w:val="18"/>
              </w:rPr>
              <w:t>116.00</w:t>
            </w:r>
          </w:p>
        </w:tc>
        <w:tc>
          <w:tcPr>
            <w:tcW w:w="1170" w:type="dxa"/>
            <w:tcBorders>
              <w:top w:val="nil"/>
              <w:left w:val="nil"/>
              <w:bottom w:val="single" w:color="auto" w:sz="8" w:space="0"/>
              <w:right w:val="single" w:color="auto" w:sz="8" w:space="0"/>
            </w:tcBorders>
            <w:shd w:val="clear" w:color="auto" w:fill="auto"/>
            <w:vAlign w:val="center"/>
          </w:tcPr>
          <w:p w:rsidR="00E1446D" w:rsidP="00E1446D" w:rsidRDefault="00E1446D" w14:paraId="019B4B96" w14:textId="32898478">
            <w:pPr>
              <w:jc w:val="right"/>
              <w:rPr>
                <w:color w:val="000000"/>
                <w:sz w:val="18"/>
                <w:szCs w:val="18"/>
              </w:rPr>
            </w:pPr>
            <w:r>
              <w:rPr>
                <w:color w:val="000000"/>
                <w:sz w:val="18"/>
                <w:szCs w:val="18"/>
              </w:rPr>
              <w:t>16.00</w:t>
            </w:r>
          </w:p>
        </w:tc>
        <w:tc>
          <w:tcPr>
            <w:tcW w:w="900" w:type="dxa"/>
            <w:tcBorders>
              <w:top w:val="nil"/>
              <w:left w:val="nil"/>
              <w:bottom w:val="single" w:color="auto" w:sz="8" w:space="0"/>
              <w:right w:val="single" w:color="auto" w:sz="8" w:space="0"/>
            </w:tcBorders>
            <w:shd w:val="clear" w:color="auto" w:fill="auto"/>
            <w:vAlign w:val="center"/>
          </w:tcPr>
          <w:p w:rsidR="00E1446D" w:rsidP="00E1446D" w:rsidRDefault="00E1446D" w14:paraId="3DAF7D01" w14:textId="60ABC250">
            <w:pPr>
              <w:jc w:val="right"/>
              <w:rPr>
                <w:color w:val="000000"/>
                <w:sz w:val="18"/>
                <w:szCs w:val="18"/>
              </w:rPr>
            </w:pPr>
            <w:r>
              <w:rPr>
                <w:color w:val="000000"/>
                <w:sz w:val="18"/>
                <w:szCs w:val="18"/>
              </w:rPr>
              <w:t>1856.00</w:t>
            </w:r>
          </w:p>
        </w:tc>
        <w:tc>
          <w:tcPr>
            <w:tcW w:w="1033" w:type="dxa"/>
            <w:tcBorders>
              <w:top w:val="nil"/>
              <w:left w:val="nil"/>
              <w:bottom w:val="single" w:color="auto" w:sz="8" w:space="0"/>
              <w:right w:val="single" w:color="auto" w:sz="8" w:space="0"/>
            </w:tcBorders>
            <w:shd w:val="clear" w:color="auto" w:fill="auto"/>
            <w:vAlign w:val="center"/>
          </w:tcPr>
          <w:p w:rsidR="00E1446D" w:rsidP="00E1446D" w:rsidRDefault="00E1446D" w14:paraId="105B5C18" w14:textId="384A6548">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tcPr>
          <w:p w:rsidR="00E1446D" w:rsidP="00E1446D" w:rsidRDefault="00E1446D" w14:paraId="1BE8C3A9" w14:textId="191C5C6A">
            <w:pPr>
              <w:jc w:val="right"/>
              <w:rPr>
                <w:color w:val="000000"/>
                <w:sz w:val="18"/>
                <w:szCs w:val="18"/>
              </w:rPr>
            </w:pPr>
            <w:r>
              <w:rPr>
                <w:color w:val="000000"/>
                <w:sz w:val="18"/>
                <w:szCs w:val="18"/>
              </w:rPr>
              <w:t xml:space="preserve">$76,782.72 </w:t>
            </w:r>
          </w:p>
        </w:tc>
      </w:tr>
      <w:tr w:rsidR="00E1446D" w:rsidTr="00C425AF" w14:paraId="24099D49" w14:textId="77777777">
        <w:trPr>
          <w:trHeight w:val="1160"/>
        </w:trPr>
        <w:tc>
          <w:tcPr>
            <w:tcW w:w="2070" w:type="dxa"/>
            <w:tcBorders>
              <w:top w:val="nil"/>
              <w:left w:val="single" w:color="auto" w:sz="8" w:space="0"/>
              <w:bottom w:val="single" w:color="auto" w:sz="8" w:space="0"/>
              <w:right w:val="single" w:color="auto" w:sz="8" w:space="0"/>
            </w:tcBorders>
            <w:shd w:val="clear" w:color="auto" w:fill="auto"/>
            <w:vAlign w:val="center"/>
          </w:tcPr>
          <w:p w:rsidR="00E1446D" w:rsidP="00E1446D" w:rsidRDefault="00E1446D" w14:paraId="3F4E7F5C" w14:textId="024F7F45">
            <w:pPr>
              <w:rPr>
                <w:color w:val="000000"/>
                <w:sz w:val="18"/>
                <w:szCs w:val="18"/>
              </w:rPr>
            </w:pPr>
            <w:r>
              <w:rPr>
                <w:color w:val="000000"/>
                <w:sz w:val="18"/>
                <w:szCs w:val="18"/>
              </w:rPr>
              <w:t>Review of HUD-40110-D Consolidated Annual Performance and Evaluation Report (CAPER)</w:t>
            </w:r>
          </w:p>
        </w:tc>
        <w:tc>
          <w:tcPr>
            <w:tcW w:w="1260" w:type="dxa"/>
            <w:tcBorders>
              <w:top w:val="nil"/>
              <w:left w:val="nil"/>
              <w:bottom w:val="single" w:color="auto" w:sz="8" w:space="0"/>
              <w:right w:val="single" w:color="auto" w:sz="8" w:space="0"/>
            </w:tcBorders>
            <w:shd w:val="clear" w:color="auto" w:fill="auto"/>
            <w:vAlign w:val="center"/>
          </w:tcPr>
          <w:p w:rsidR="00E1446D" w:rsidP="00E1446D" w:rsidRDefault="00E1446D" w14:paraId="4178C1FD" w14:textId="5F29A44C">
            <w:pPr>
              <w:jc w:val="right"/>
              <w:rPr>
                <w:color w:val="000000"/>
                <w:sz w:val="18"/>
                <w:szCs w:val="18"/>
              </w:rPr>
            </w:pPr>
            <w:r>
              <w:rPr>
                <w:color w:val="000000"/>
                <w:sz w:val="18"/>
                <w:szCs w:val="18"/>
              </w:rPr>
              <w:t>128.00</w:t>
            </w:r>
          </w:p>
        </w:tc>
        <w:tc>
          <w:tcPr>
            <w:tcW w:w="1170" w:type="dxa"/>
            <w:tcBorders>
              <w:top w:val="nil"/>
              <w:left w:val="nil"/>
              <w:bottom w:val="single" w:color="auto" w:sz="8" w:space="0"/>
              <w:right w:val="single" w:color="auto" w:sz="8" w:space="0"/>
            </w:tcBorders>
            <w:shd w:val="clear" w:color="auto" w:fill="auto"/>
            <w:vAlign w:val="center"/>
          </w:tcPr>
          <w:p w:rsidR="00E1446D" w:rsidP="00E1446D" w:rsidRDefault="00E1446D" w14:paraId="50B6F162" w14:textId="5B90D98A">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tcPr>
          <w:p w:rsidR="00E1446D" w:rsidP="00E1446D" w:rsidRDefault="00E1446D" w14:paraId="15571AB7" w14:textId="5EF66C7B">
            <w:pPr>
              <w:jc w:val="right"/>
              <w:rPr>
                <w:color w:val="000000"/>
                <w:sz w:val="18"/>
                <w:szCs w:val="18"/>
              </w:rPr>
            </w:pPr>
            <w:r>
              <w:rPr>
                <w:color w:val="000000"/>
                <w:sz w:val="18"/>
                <w:szCs w:val="18"/>
              </w:rPr>
              <w:t>128.00</w:t>
            </w:r>
          </w:p>
        </w:tc>
        <w:tc>
          <w:tcPr>
            <w:tcW w:w="1170" w:type="dxa"/>
            <w:tcBorders>
              <w:top w:val="nil"/>
              <w:left w:val="nil"/>
              <w:bottom w:val="single" w:color="auto" w:sz="8" w:space="0"/>
              <w:right w:val="single" w:color="auto" w:sz="8" w:space="0"/>
            </w:tcBorders>
            <w:shd w:val="clear" w:color="auto" w:fill="auto"/>
            <w:vAlign w:val="center"/>
          </w:tcPr>
          <w:p w:rsidR="00E1446D" w:rsidP="00E1446D" w:rsidRDefault="00E1446D" w14:paraId="49A8975A" w14:textId="2EAC935C">
            <w:pPr>
              <w:jc w:val="right"/>
              <w:rPr>
                <w:color w:val="000000"/>
                <w:sz w:val="18"/>
                <w:szCs w:val="18"/>
              </w:rPr>
            </w:pPr>
            <w:r>
              <w:rPr>
                <w:color w:val="000000"/>
                <w:sz w:val="18"/>
                <w:szCs w:val="18"/>
              </w:rPr>
              <w:t>12.00</w:t>
            </w:r>
          </w:p>
        </w:tc>
        <w:tc>
          <w:tcPr>
            <w:tcW w:w="900" w:type="dxa"/>
            <w:tcBorders>
              <w:top w:val="nil"/>
              <w:left w:val="nil"/>
              <w:bottom w:val="single" w:color="auto" w:sz="8" w:space="0"/>
              <w:right w:val="single" w:color="auto" w:sz="8" w:space="0"/>
            </w:tcBorders>
            <w:shd w:val="clear" w:color="auto" w:fill="auto"/>
            <w:vAlign w:val="center"/>
          </w:tcPr>
          <w:p w:rsidR="00E1446D" w:rsidP="00E1446D" w:rsidRDefault="00E1446D" w14:paraId="63C32C5D" w14:textId="2D9E00BF">
            <w:pPr>
              <w:jc w:val="right"/>
              <w:rPr>
                <w:color w:val="000000"/>
                <w:sz w:val="18"/>
                <w:szCs w:val="18"/>
              </w:rPr>
            </w:pPr>
            <w:r>
              <w:rPr>
                <w:color w:val="000000"/>
                <w:sz w:val="18"/>
                <w:szCs w:val="18"/>
              </w:rPr>
              <w:t>1536.00</w:t>
            </w:r>
          </w:p>
        </w:tc>
        <w:tc>
          <w:tcPr>
            <w:tcW w:w="1033" w:type="dxa"/>
            <w:tcBorders>
              <w:top w:val="nil"/>
              <w:left w:val="nil"/>
              <w:bottom w:val="single" w:color="auto" w:sz="8" w:space="0"/>
              <w:right w:val="single" w:color="auto" w:sz="8" w:space="0"/>
            </w:tcBorders>
            <w:shd w:val="clear" w:color="auto" w:fill="auto"/>
            <w:vAlign w:val="center"/>
          </w:tcPr>
          <w:p w:rsidR="00E1446D" w:rsidP="00E1446D" w:rsidRDefault="00E1446D" w14:paraId="5189CF5D" w14:textId="218F6E70">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tcPr>
          <w:p w:rsidR="00E1446D" w:rsidP="00E1446D" w:rsidRDefault="00E1446D" w14:paraId="2EE50BFC" w14:textId="168C8A5E">
            <w:pPr>
              <w:jc w:val="right"/>
              <w:rPr>
                <w:color w:val="000000"/>
                <w:sz w:val="18"/>
                <w:szCs w:val="18"/>
              </w:rPr>
            </w:pPr>
            <w:r>
              <w:rPr>
                <w:color w:val="000000"/>
                <w:sz w:val="18"/>
                <w:szCs w:val="18"/>
              </w:rPr>
              <w:t xml:space="preserve">$63,544.32 </w:t>
            </w:r>
          </w:p>
        </w:tc>
      </w:tr>
      <w:tr w:rsidR="00C425AF" w:rsidTr="00C425AF" w14:paraId="1C935E94" w14:textId="77777777">
        <w:trPr>
          <w:trHeight w:val="93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C425AF" w:rsidP="00A774F6" w:rsidRDefault="008438FD" w14:paraId="19601961" w14:textId="32A17248">
            <w:pPr>
              <w:rPr>
                <w:color w:val="000000"/>
                <w:sz w:val="18"/>
                <w:szCs w:val="18"/>
              </w:rPr>
            </w:pPr>
            <w:r>
              <w:rPr>
                <w:color w:val="000000"/>
                <w:sz w:val="18"/>
                <w:szCs w:val="18"/>
              </w:rPr>
              <w:t xml:space="preserve">HUD-4154, </w:t>
            </w:r>
            <w:r w:rsidR="00C425AF">
              <w:rPr>
                <w:color w:val="000000"/>
                <w:sz w:val="18"/>
                <w:szCs w:val="18"/>
              </w:rPr>
              <w:t>HIV Housing Care Continuum Model Report (new competitive SPNS grant only)</w:t>
            </w:r>
          </w:p>
        </w:tc>
        <w:tc>
          <w:tcPr>
            <w:tcW w:w="126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16BA5EAE" w14:textId="77777777">
            <w:pPr>
              <w:jc w:val="right"/>
              <w:rPr>
                <w:color w:val="000000"/>
                <w:sz w:val="18"/>
                <w:szCs w:val="18"/>
              </w:rPr>
            </w:pPr>
            <w:r>
              <w:rPr>
                <w:color w:val="000000"/>
                <w:sz w:val="18"/>
                <w:szCs w:val="18"/>
              </w:rPr>
              <w:t>26.00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06CEF4C8"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C915FA4" w14:textId="77777777">
            <w:pPr>
              <w:jc w:val="right"/>
              <w:rPr>
                <w:color w:val="000000"/>
                <w:sz w:val="18"/>
                <w:szCs w:val="18"/>
              </w:rPr>
            </w:pPr>
            <w:r>
              <w:rPr>
                <w:color w:val="000000"/>
                <w:sz w:val="18"/>
                <w:szCs w:val="18"/>
              </w:rPr>
              <w:t>26.00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000EFF42" w14:textId="77777777">
            <w:pPr>
              <w:jc w:val="right"/>
              <w:rPr>
                <w:color w:val="000000"/>
                <w:sz w:val="18"/>
                <w:szCs w:val="18"/>
              </w:rPr>
            </w:pPr>
            <w:r>
              <w:rPr>
                <w:color w:val="000000"/>
                <w:sz w:val="18"/>
                <w:szCs w:val="18"/>
              </w:rPr>
              <w:t>10.00</w:t>
            </w:r>
          </w:p>
        </w:tc>
        <w:tc>
          <w:tcPr>
            <w:tcW w:w="90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5A6330EF" w14:textId="77777777">
            <w:pPr>
              <w:jc w:val="right"/>
              <w:rPr>
                <w:color w:val="000000"/>
                <w:sz w:val="18"/>
                <w:szCs w:val="18"/>
              </w:rPr>
            </w:pPr>
            <w:r>
              <w:rPr>
                <w:color w:val="000000"/>
                <w:sz w:val="18"/>
                <w:szCs w:val="18"/>
              </w:rPr>
              <w:t>260.00</w:t>
            </w:r>
          </w:p>
        </w:tc>
        <w:tc>
          <w:tcPr>
            <w:tcW w:w="1033" w:type="dxa"/>
            <w:tcBorders>
              <w:top w:val="nil"/>
              <w:left w:val="nil"/>
              <w:bottom w:val="single" w:color="auto" w:sz="8" w:space="0"/>
              <w:right w:val="single" w:color="auto" w:sz="8" w:space="0"/>
            </w:tcBorders>
            <w:shd w:val="clear" w:color="auto" w:fill="auto"/>
            <w:vAlign w:val="center"/>
            <w:hideMark/>
          </w:tcPr>
          <w:p w:rsidR="00C425AF" w:rsidP="00A774F6" w:rsidRDefault="00C425AF" w14:paraId="2A59363D"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425AF" w:rsidP="00A774F6" w:rsidRDefault="00C425AF" w14:paraId="3B829B7A" w14:textId="77777777">
            <w:pPr>
              <w:jc w:val="right"/>
              <w:rPr>
                <w:color w:val="000000"/>
                <w:sz w:val="18"/>
                <w:szCs w:val="18"/>
              </w:rPr>
            </w:pPr>
            <w:r>
              <w:rPr>
                <w:color w:val="000000"/>
                <w:sz w:val="18"/>
                <w:szCs w:val="18"/>
              </w:rPr>
              <w:t xml:space="preserve">$10,756.20 </w:t>
            </w:r>
          </w:p>
        </w:tc>
      </w:tr>
      <w:tr w:rsidR="00C425AF" w:rsidTr="00C425AF" w14:paraId="538037F1" w14:textId="77777777">
        <w:trPr>
          <w:trHeight w:val="116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C425AF" w:rsidP="00A774F6" w:rsidRDefault="008438FD" w14:paraId="5CA023A3" w14:textId="0D661CFA">
            <w:pPr>
              <w:rPr>
                <w:color w:val="000000"/>
                <w:sz w:val="18"/>
                <w:szCs w:val="18"/>
              </w:rPr>
            </w:pPr>
            <w:r>
              <w:rPr>
                <w:color w:val="000000"/>
                <w:sz w:val="18"/>
                <w:szCs w:val="18"/>
              </w:rPr>
              <w:t xml:space="preserve">HUD-4153, </w:t>
            </w:r>
            <w:r w:rsidR="00C425AF">
              <w:rPr>
                <w:color w:val="000000"/>
                <w:sz w:val="18"/>
                <w:szCs w:val="18"/>
              </w:rPr>
              <w:t>Housing as an Intervention to Fight AIDS (HIFA) Model Report (new competitive SPNS grant only)</w:t>
            </w:r>
          </w:p>
        </w:tc>
        <w:tc>
          <w:tcPr>
            <w:tcW w:w="126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0684162F" w14:textId="77777777">
            <w:pPr>
              <w:jc w:val="right"/>
              <w:rPr>
                <w:color w:val="000000"/>
                <w:sz w:val="18"/>
                <w:szCs w:val="18"/>
              </w:rPr>
            </w:pPr>
            <w:r>
              <w:rPr>
                <w:color w:val="000000"/>
                <w:sz w:val="18"/>
                <w:szCs w:val="18"/>
              </w:rPr>
              <w:t>26.00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1453C71E"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6D0A8CA8" w14:textId="77777777">
            <w:pPr>
              <w:jc w:val="right"/>
              <w:rPr>
                <w:color w:val="000000"/>
                <w:sz w:val="18"/>
                <w:szCs w:val="18"/>
              </w:rPr>
            </w:pPr>
            <w:r>
              <w:rPr>
                <w:color w:val="000000"/>
                <w:sz w:val="18"/>
                <w:szCs w:val="18"/>
              </w:rPr>
              <w:t>26.00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8C3032A" w14:textId="77777777">
            <w:pPr>
              <w:jc w:val="right"/>
              <w:rPr>
                <w:color w:val="000000"/>
                <w:sz w:val="18"/>
                <w:szCs w:val="18"/>
              </w:rPr>
            </w:pPr>
            <w:r>
              <w:rPr>
                <w:color w:val="000000"/>
                <w:sz w:val="18"/>
                <w:szCs w:val="18"/>
              </w:rPr>
              <w:t>20.00</w:t>
            </w:r>
          </w:p>
        </w:tc>
        <w:tc>
          <w:tcPr>
            <w:tcW w:w="90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7C5D3F17" w14:textId="77777777">
            <w:pPr>
              <w:jc w:val="right"/>
              <w:rPr>
                <w:color w:val="000000"/>
                <w:sz w:val="18"/>
                <w:szCs w:val="18"/>
              </w:rPr>
            </w:pPr>
            <w:r>
              <w:rPr>
                <w:color w:val="000000"/>
                <w:sz w:val="18"/>
                <w:szCs w:val="18"/>
              </w:rPr>
              <w:t>520.00</w:t>
            </w:r>
          </w:p>
        </w:tc>
        <w:tc>
          <w:tcPr>
            <w:tcW w:w="1033" w:type="dxa"/>
            <w:tcBorders>
              <w:top w:val="nil"/>
              <w:left w:val="nil"/>
              <w:bottom w:val="single" w:color="auto" w:sz="8" w:space="0"/>
              <w:right w:val="single" w:color="auto" w:sz="8" w:space="0"/>
            </w:tcBorders>
            <w:shd w:val="clear" w:color="auto" w:fill="auto"/>
            <w:vAlign w:val="center"/>
            <w:hideMark/>
          </w:tcPr>
          <w:p w:rsidR="00C425AF" w:rsidP="00A774F6" w:rsidRDefault="00C425AF" w14:paraId="204A5795"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425AF" w:rsidP="00A774F6" w:rsidRDefault="00C425AF" w14:paraId="5F0EBD47" w14:textId="77777777">
            <w:pPr>
              <w:jc w:val="right"/>
              <w:rPr>
                <w:color w:val="000000"/>
                <w:sz w:val="18"/>
                <w:szCs w:val="18"/>
              </w:rPr>
            </w:pPr>
            <w:r>
              <w:rPr>
                <w:color w:val="000000"/>
                <w:sz w:val="18"/>
                <w:szCs w:val="18"/>
              </w:rPr>
              <w:t xml:space="preserve">$21,512.40 </w:t>
            </w:r>
          </w:p>
        </w:tc>
      </w:tr>
      <w:tr w:rsidR="00C425AF" w:rsidTr="00C425AF" w14:paraId="130E6A99" w14:textId="77777777">
        <w:trPr>
          <w:trHeight w:val="116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C425AF" w:rsidP="00A774F6" w:rsidRDefault="00C425AF" w14:paraId="78EEE8A5" w14:textId="77777777">
            <w:pPr>
              <w:rPr>
                <w:color w:val="000000"/>
                <w:sz w:val="18"/>
                <w:szCs w:val="18"/>
              </w:rPr>
            </w:pPr>
            <w:r>
              <w:rPr>
                <w:color w:val="000000"/>
                <w:sz w:val="18"/>
                <w:szCs w:val="18"/>
              </w:rPr>
              <w:t>Compiling and publicly publishing grantee performance and accomplishment summaries</w:t>
            </w:r>
          </w:p>
        </w:tc>
        <w:tc>
          <w:tcPr>
            <w:tcW w:w="126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006008D1" w14:textId="77777777">
            <w:pPr>
              <w:jc w:val="right"/>
              <w:rPr>
                <w:color w:val="000000"/>
                <w:sz w:val="18"/>
                <w:szCs w:val="18"/>
              </w:rPr>
            </w:pPr>
            <w:r>
              <w:rPr>
                <w:color w:val="000000"/>
                <w:sz w:val="18"/>
                <w:szCs w:val="18"/>
              </w:rPr>
              <w:t>244.00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7F3EEB9A"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2BE15D32" w14:textId="77777777">
            <w:pPr>
              <w:jc w:val="right"/>
              <w:rPr>
                <w:color w:val="000000"/>
                <w:sz w:val="18"/>
                <w:szCs w:val="18"/>
              </w:rPr>
            </w:pPr>
            <w:r>
              <w:rPr>
                <w:color w:val="000000"/>
                <w:sz w:val="18"/>
                <w:szCs w:val="18"/>
              </w:rPr>
              <w:t>244.00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7FC11EC0" w14:textId="77777777">
            <w:pPr>
              <w:jc w:val="right"/>
              <w:rPr>
                <w:color w:val="000000"/>
                <w:sz w:val="18"/>
                <w:szCs w:val="18"/>
              </w:rPr>
            </w:pPr>
            <w:r>
              <w:rPr>
                <w:color w:val="000000"/>
                <w:sz w:val="18"/>
                <w:szCs w:val="18"/>
              </w:rPr>
              <w:t>4.00</w:t>
            </w:r>
          </w:p>
        </w:tc>
        <w:tc>
          <w:tcPr>
            <w:tcW w:w="90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2EC5B8EB" w14:textId="77777777">
            <w:pPr>
              <w:jc w:val="right"/>
              <w:rPr>
                <w:color w:val="000000"/>
                <w:sz w:val="18"/>
                <w:szCs w:val="18"/>
              </w:rPr>
            </w:pPr>
            <w:r>
              <w:rPr>
                <w:color w:val="000000"/>
                <w:sz w:val="18"/>
                <w:szCs w:val="18"/>
              </w:rPr>
              <w:t>976.00</w:t>
            </w:r>
          </w:p>
        </w:tc>
        <w:tc>
          <w:tcPr>
            <w:tcW w:w="1033" w:type="dxa"/>
            <w:tcBorders>
              <w:top w:val="nil"/>
              <w:left w:val="nil"/>
              <w:bottom w:val="single" w:color="auto" w:sz="8" w:space="0"/>
              <w:right w:val="single" w:color="auto" w:sz="8" w:space="0"/>
            </w:tcBorders>
            <w:shd w:val="clear" w:color="auto" w:fill="auto"/>
            <w:vAlign w:val="center"/>
            <w:hideMark/>
          </w:tcPr>
          <w:p w:rsidR="00C425AF" w:rsidP="00A774F6" w:rsidRDefault="00C425AF" w14:paraId="7253CAF0"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425AF" w:rsidP="00A774F6" w:rsidRDefault="00C425AF" w14:paraId="139D428A" w14:textId="77777777">
            <w:pPr>
              <w:jc w:val="right"/>
              <w:rPr>
                <w:color w:val="000000"/>
                <w:sz w:val="18"/>
                <w:szCs w:val="18"/>
              </w:rPr>
            </w:pPr>
            <w:r>
              <w:rPr>
                <w:color w:val="000000"/>
                <w:sz w:val="18"/>
                <w:szCs w:val="18"/>
              </w:rPr>
              <w:t xml:space="preserve">$40,377.12 </w:t>
            </w:r>
          </w:p>
        </w:tc>
      </w:tr>
      <w:tr w:rsidR="00C425AF" w:rsidTr="00C425AF" w14:paraId="5537D8D2" w14:textId="77777777">
        <w:trPr>
          <w:trHeight w:val="93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C425AF" w:rsidP="00A774F6" w:rsidRDefault="00C425AF" w14:paraId="2B1C277B" w14:textId="77777777">
            <w:pPr>
              <w:rPr>
                <w:color w:val="000000"/>
                <w:sz w:val="18"/>
                <w:szCs w:val="18"/>
              </w:rPr>
            </w:pPr>
            <w:r>
              <w:rPr>
                <w:color w:val="000000"/>
                <w:sz w:val="18"/>
                <w:szCs w:val="18"/>
              </w:rPr>
              <w:lastRenderedPageBreak/>
              <w:t>Execution of Grant Amendments (budget change, extension, or early termination)</w:t>
            </w:r>
          </w:p>
        </w:tc>
        <w:tc>
          <w:tcPr>
            <w:tcW w:w="126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7223607D" w14:textId="77777777">
            <w:pPr>
              <w:jc w:val="right"/>
              <w:rPr>
                <w:color w:val="000000"/>
                <w:sz w:val="18"/>
                <w:szCs w:val="18"/>
              </w:rPr>
            </w:pPr>
            <w:r>
              <w:rPr>
                <w:color w:val="000000"/>
                <w:sz w:val="18"/>
                <w:szCs w:val="18"/>
              </w:rPr>
              <w:t>30.00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52398E33" w14:textId="77777777">
            <w:pPr>
              <w:jc w:val="right"/>
              <w:rPr>
                <w:color w:val="000000"/>
                <w:sz w:val="18"/>
                <w:szCs w:val="18"/>
              </w:rPr>
            </w:pPr>
            <w:r>
              <w:rPr>
                <w:color w:val="000000"/>
                <w:sz w:val="18"/>
                <w:szCs w:val="18"/>
              </w:rPr>
              <w:t>1.00</w:t>
            </w:r>
          </w:p>
        </w:tc>
        <w:tc>
          <w:tcPr>
            <w:tcW w:w="108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05111EDC" w14:textId="77777777">
            <w:pPr>
              <w:jc w:val="right"/>
              <w:rPr>
                <w:color w:val="000000"/>
                <w:sz w:val="18"/>
                <w:szCs w:val="18"/>
              </w:rPr>
            </w:pPr>
            <w:r>
              <w:rPr>
                <w:color w:val="000000"/>
                <w:sz w:val="18"/>
                <w:szCs w:val="18"/>
              </w:rPr>
              <w:t>30.00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7CD999B6" w14:textId="77777777">
            <w:pPr>
              <w:jc w:val="right"/>
              <w:rPr>
                <w:color w:val="000000"/>
                <w:sz w:val="18"/>
                <w:szCs w:val="18"/>
              </w:rPr>
            </w:pPr>
            <w:r>
              <w:rPr>
                <w:color w:val="000000"/>
                <w:sz w:val="18"/>
                <w:szCs w:val="18"/>
              </w:rPr>
              <w:t>6.00</w:t>
            </w:r>
          </w:p>
        </w:tc>
        <w:tc>
          <w:tcPr>
            <w:tcW w:w="90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2EAD95F" w14:textId="77777777">
            <w:pPr>
              <w:jc w:val="right"/>
              <w:rPr>
                <w:color w:val="000000"/>
                <w:sz w:val="18"/>
                <w:szCs w:val="18"/>
              </w:rPr>
            </w:pPr>
            <w:r>
              <w:rPr>
                <w:color w:val="000000"/>
                <w:sz w:val="18"/>
                <w:szCs w:val="18"/>
              </w:rPr>
              <w:t>180.00</w:t>
            </w:r>
          </w:p>
        </w:tc>
        <w:tc>
          <w:tcPr>
            <w:tcW w:w="1033"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6A1EDE6" w14:textId="77777777">
            <w:pPr>
              <w:jc w:val="right"/>
              <w:rPr>
                <w:color w:val="000000"/>
                <w:sz w:val="18"/>
                <w:szCs w:val="18"/>
              </w:rPr>
            </w:pPr>
            <w:r>
              <w:rPr>
                <w:color w:val="000000"/>
                <w:sz w:val="18"/>
                <w:szCs w:val="18"/>
              </w:rPr>
              <w:t xml:space="preserve">$41.37 </w:t>
            </w:r>
          </w:p>
        </w:tc>
        <w:tc>
          <w:tcPr>
            <w:tcW w:w="1116" w:type="dxa"/>
            <w:tcBorders>
              <w:top w:val="nil"/>
              <w:left w:val="nil"/>
              <w:bottom w:val="single" w:color="auto" w:sz="8" w:space="0"/>
              <w:right w:val="single" w:color="auto" w:sz="8" w:space="0"/>
            </w:tcBorders>
            <w:shd w:val="clear" w:color="auto" w:fill="auto"/>
            <w:vAlign w:val="center"/>
            <w:hideMark/>
          </w:tcPr>
          <w:p w:rsidR="00C425AF" w:rsidP="00A774F6" w:rsidRDefault="00C425AF" w14:paraId="4D3068F8" w14:textId="77777777">
            <w:pPr>
              <w:jc w:val="right"/>
              <w:rPr>
                <w:color w:val="000000"/>
                <w:sz w:val="18"/>
                <w:szCs w:val="18"/>
              </w:rPr>
            </w:pPr>
            <w:r>
              <w:rPr>
                <w:color w:val="000000"/>
                <w:sz w:val="18"/>
                <w:szCs w:val="18"/>
              </w:rPr>
              <w:t xml:space="preserve">$7,446.60 </w:t>
            </w:r>
          </w:p>
        </w:tc>
      </w:tr>
      <w:tr w:rsidR="00C425AF" w:rsidTr="00C425AF" w14:paraId="7743924A" w14:textId="77777777">
        <w:trPr>
          <w:trHeight w:val="66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C425AF" w:rsidP="00A774F6" w:rsidRDefault="00C425AF" w14:paraId="5A85CB40" w14:textId="77777777">
            <w:pPr>
              <w:rPr>
                <w:b/>
                <w:bCs/>
                <w:color w:val="000000"/>
                <w:sz w:val="18"/>
                <w:szCs w:val="18"/>
              </w:rPr>
            </w:pPr>
            <w:r>
              <w:rPr>
                <w:b/>
                <w:bCs/>
                <w:color w:val="000000"/>
                <w:sz w:val="18"/>
                <w:szCs w:val="18"/>
              </w:rPr>
              <w:t>Total</w:t>
            </w:r>
          </w:p>
        </w:tc>
        <w:tc>
          <w:tcPr>
            <w:tcW w:w="1260" w:type="dxa"/>
            <w:tcBorders>
              <w:top w:val="nil"/>
              <w:left w:val="nil"/>
              <w:bottom w:val="single" w:color="auto" w:sz="8" w:space="0"/>
              <w:right w:val="single" w:color="auto" w:sz="8" w:space="0"/>
            </w:tcBorders>
            <w:shd w:val="clear" w:color="auto" w:fill="auto"/>
            <w:vAlign w:val="center"/>
            <w:hideMark/>
          </w:tcPr>
          <w:p w:rsidR="00C425AF" w:rsidP="00A774F6" w:rsidRDefault="00E1446D" w14:paraId="59D343B8" w14:textId="2C60B17A">
            <w:pPr>
              <w:jc w:val="right"/>
              <w:rPr>
                <w:b/>
                <w:bCs/>
                <w:color w:val="000000"/>
                <w:sz w:val="18"/>
                <w:szCs w:val="18"/>
              </w:rPr>
            </w:pPr>
            <w:r>
              <w:rPr>
                <w:b/>
                <w:bCs/>
                <w:color w:val="000000"/>
                <w:sz w:val="18"/>
                <w:szCs w:val="18"/>
              </w:rPr>
              <w:t>936</w:t>
            </w:r>
            <w:r w:rsidR="00C425AF">
              <w:rPr>
                <w:b/>
                <w:bCs/>
                <w:color w:val="000000"/>
                <w:sz w:val="18"/>
                <w:szCs w:val="18"/>
              </w:rPr>
              <w:t>.00</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18D9D226" w14:textId="77777777">
            <w:pPr>
              <w:jc w:val="right"/>
              <w:rPr>
                <w:color w:val="000000"/>
                <w:sz w:val="18"/>
                <w:szCs w:val="18"/>
              </w:rPr>
            </w:pPr>
            <w:r>
              <w:rPr>
                <w:color w:val="000000"/>
                <w:sz w:val="18"/>
                <w:szCs w:val="18"/>
              </w:rPr>
              <w:t> </w:t>
            </w:r>
          </w:p>
        </w:tc>
        <w:tc>
          <w:tcPr>
            <w:tcW w:w="108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775FA948" w14:textId="77777777">
            <w:pPr>
              <w:jc w:val="right"/>
              <w:rPr>
                <w:b/>
                <w:bCs/>
                <w:color w:val="000000"/>
                <w:sz w:val="18"/>
                <w:szCs w:val="18"/>
              </w:rPr>
            </w:pPr>
            <w:r>
              <w:rPr>
                <w:b/>
                <w:bCs/>
                <w:color w:val="000000"/>
                <w:sz w:val="18"/>
                <w:szCs w:val="18"/>
              </w:rPr>
              <w:t> </w:t>
            </w:r>
          </w:p>
        </w:tc>
        <w:tc>
          <w:tcPr>
            <w:tcW w:w="1170" w:type="dxa"/>
            <w:tcBorders>
              <w:top w:val="nil"/>
              <w:left w:val="nil"/>
              <w:bottom w:val="single" w:color="auto" w:sz="8" w:space="0"/>
              <w:right w:val="single" w:color="auto" w:sz="8" w:space="0"/>
            </w:tcBorders>
            <w:shd w:val="clear" w:color="auto" w:fill="auto"/>
            <w:vAlign w:val="center"/>
            <w:hideMark/>
          </w:tcPr>
          <w:p w:rsidR="00C425AF" w:rsidP="00A774F6" w:rsidRDefault="00C425AF" w14:paraId="2BEE392D" w14:textId="77777777">
            <w:pPr>
              <w:ind w:firstLine="720" w:firstLineChars="400"/>
              <w:jc w:val="right"/>
              <w:rPr>
                <w:rFonts w:ascii="Calibri" w:hAnsi="Calibri" w:cs="Calibri"/>
                <w:color w:val="000000"/>
                <w:sz w:val="18"/>
                <w:szCs w:val="18"/>
              </w:rPr>
            </w:pPr>
            <w:r>
              <w:rPr>
                <w:rFonts w:ascii="Calibri" w:hAnsi="Calibri" w:eastAsia="Calibri" w:cs="Calibri"/>
                <w:color w:val="000000"/>
                <w:sz w:val="18"/>
                <w:szCs w:val="18"/>
              </w:rPr>
              <w:t>-</w:t>
            </w:r>
            <w:r>
              <w:rPr>
                <w:rFonts w:eastAsia="Calibri"/>
                <w:color w:val="000000"/>
                <w:sz w:val="14"/>
                <w:szCs w:val="14"/>
              </w:rPr>
              <w:t xml:space="preserve">          </w:t>
            </w:r>
            <w:r>
              <w:rPr>
                <w:rFonts w:eastAsia="Calibri"/>
                <w:b/>
                <w:bCs/>
                <w:color w:val="000000"/>
                <w:sz w:val="18"/>
                <w:szCs w:val="18"/>
              </w:rPr>
              <w:t> </w:t>
            </w:r>
          </w:p>
        </w:tc>
        <w:tc>
          <w:tcPr>
            <w:tcW w:w="900" w:type="dxa"/>
            <w:tcBorders>
              <w:top w:val="nil"/>
              <w:left w:val="nil"/>
              <w:bottom w:val="single" w:color="auto" w:sz="8" w:space="0"/>
              <w:right w:val="single" w:color="auto" w:sz="8" w:space="0"/>
            </w:tcBorders>
            <w:shd w:val="clear" w:color="auto" w:fill="auto"/>
            <w:vAlign w:val="center"/>
            <w:hideMark/>
          </w:tcPr>
          <w:p w:rsidR="002C2382" w:rsidP="00A774F6" w:rsidRDefault="00E1446D" w14:paraId="2BAECB43" w14:textId="14855F94">
            <w:pPr>
              <w:jc w:val="right"/>
              <w:rPr>
                <w:b/>
                <w:bCs/>
                <w:color w:val="000000"/>
                <w:sz w:val="18"/>
                <w:szCs w:val="18"/>
              </w:rPr>
            </w:pPr>
            <w:r>
              <w:rPr>
                <w:b/>
                <w:bCs/>
                <w:color w:val="000000"/>
                <w:sz w:val="18"/>
                <w:szCs w:val="18"/>
              </w:rPr>
              <w:t>10,312</w:t>
            </w:r>
          </w:p>
          <w:p w:rsidR="00C425AF" w:rsidP="00A774F6" w:rsidRDefault="00C425AF" w14:paraId="6D143D4D" w14:textId="6A3FE1FF">
            <w:pPr>
              <w:jc w:val="right"/>
              <w:rPr>
                <w:b/>
                <w:bCs/>
                <w:color w:val="000000"/>
                <w:sz w:val="18"/>
                <w:szCs w:val="18"/>
              </w:rPr>
            </w:pPr>
          </w:p>
        </w:tc>
        <w:tc>
          <w:tcPr>
            <w:tcW w:w="1033" w:type="dxa"/>
            <w:tcBorders>
              <w:top w:val="nil"/>
              <w:left w:val="nil"/>
              <w:bottom w:val="single" w:color="auto" w:sz="8" w:space="0"/>
              <w:right w:val="single" w:color="auto" w:sz="8" w:space="0"/>
            </w:tcBorders>
            <w:shd w:val="clear" w:color="auto" w:fill="auto"/>
            <w:vAlign w:val="center"/>
            <w:hideMark/>
          </w:tcPr>
          <w:p w:rsidR="00C425AF" w:rsidP="00A774F6" w:rsidRDefault="00C425AF" w14:paraId="3C809787" w14:textId="77777777">
            <w:pPr>
              <w:ind w:firstLine="720" w:firstLineChars="400"/>
              <w:jc w:val="right"/>
              <w:rPr>
                <w:rFonts w:ascii="Calibri" w:hAnsi="Calibri" w:cs="Calibri"/>
                <w:color w:val="000000"/>
                <w:sz w:val="18"/>
                <w:szCs w:val="18"/>
              </w:rPr>
            </w:pPr>
            <w:r>
              <w:rPr>
                <w:rFonts w:ascii="Calibri" w:hAnsi="Calibri" w:eastAsia="Calibri" w:cs="Calibri"/>
                <w:color w:val="000000"/>
                <w:sz w:val="18"/>
                <w:szCs w:val="18"/>
              </w:rPr>
              <w:t>-</w:t>
            </w:r>
            <w:r>
              <w:rPr>
                <w:rFonts w:eastAsia="Calibri"/>
                <w:color w:val="000000"/>
                <w:sz w:val="14"/>
                <w:szCs w:val="14"/>
              </w:rPr>
              <w:t xml:space="preserve">          </w:t>
            </w:r>
            <w:r>
              <w:rPr>
                <w:rFonts w:eastAsia="Calibri"/>
                <w:b/>
                <w:bCs/>
                <w:color w:val="000000"/>
                <w:sz w:val="18"/>
                <w:szCs w:val="18"/>
              </w:rPr>
              <w:t> </w:t>
            </w:r>
          </w:p>
        </w:tc>
        <w:tc>
          <w:tcPr>
            <w:tcW w:w="1116" w:type="dxa"/>
            <w:tcBorders>
              <w:top w:val="nil"/>
              <w:left w:val="nil"/>
              <w:bottom w:val="single" w:color="auto" w:sz="8" w:space="0"/>
              <w:right w:val="single" w:color="auto" w:sz="8" w:space="0"/>
            </w:tcBorders>
            <w:shd w:val="clear" w:color="auto" w:fill="auto"/>
            <w:vAlign w:val="center"/>
            <w:hideMark/>
          </w:tcPr>
          <w:p w:rsidR="00C425AF" w:rsidP="00A774F6" w:rsidRDefault="002C2382" w14:paraId="2C41E6E4" w14:textId="5BB06477">
            <w:pPr>
              <w:jc w:val="right"/>
              <w:rPr>
                <w:b/>
                <w:bCs/>
                <w:color w:val="000000"/>
                <w:sz w:val="18"/>
                <w:szCs w:val="18"/>
              </w:rPr>
            </w:pPr>
            <w:r>
              <w:rPr>
                <w:b/>
                <w:bCs/>
                <w:color w:val="000000"/>
                <w:sz w:val="18"/>
                <w:szCs w:val="18"/>
              </w:rPr>
              <w:t>$</w:t>
            </w:r>
            <w:r w:rsidR="00E1446D">
              <w:rPr>
                <w:b/>
                <w:bCs/>
                <w:color w:val="000000"/>
                <w:sz w:val="18"/>
                <w:szCs w:val="18"/>
              </w:rPr>
              <w:t>426,607.44</w:t>
            </w:r>
          </w:p>
        </w:tc>
      </w:tr>
    </w:tbl>
    <w:p w:rsidRPr="003B27A6" w:rsidR="00BA4EF7" w:rsidP="00400B17" w:rsidRDefault="00BA4EF7" w14:paraId="15E80B46" w14:textId="77777777">
      <w:pPr>
        <w:keepLines/>
        <w:tabs>
          <w:tab w:val="left" w:pos="360"/>
        </w:tabs>
        <w:spacing w:after="80"/>
        <w:rPr>
          <w:color w:val="000000"/>
          <w:sz w:val="22"/>
          <w:szCs w:val="22"/>
        </w:rPr>
      </w:pPr>
    </w:p>
    <w:p w:rsidR="00A61A8C" w:rsidP="00A61A8C" w:rsidRDefault="00A61A8C" w14:paraId="525AB848" w14:textId="6CE08963">
      <w:pPr>
        <w:keepLines/>
        <w:tabs>
          <w:tab w:val="left" w:pos="0"/>
          <w:tab w:val="left" w:pos="720"/>
        </w:tabs>
        <w:rPr>
          <w:color w:val="000000"/>
          <w:sz w:val="22"/>
          <w:szCs w:val="22"/>
        </w:rPr>
      </w:pPr>
      <w:r w:rsidRPr="009B57FB">
        <w:rPr>
          <w:color w:val="000000"/>
          <w:sz w:val="22"/>
          <w:szCs w:val="22"/>
        </w:rPr>
        <w:t xml:space="preserve">This chart reflects the </w:t>
      </w:r>
      <w:r>
        <w:rPr>
          <w:color w:val="000000"/>
          <w:sz w:val="22"/>
          <w:szCs w:val="22"/>
        </w:rPr>
        <w:t>cost to the federal government</w:t>
      </w:r>
      <w:r w:rsidRPr="009B57FB">
        <w:rPr>
          <w:color w:val="000000"/>
          <w:sz w:val="22"/>
          <w:szCs w:val="22"/>
        </w:rPr>
        <w:t xml:space="preserve"> for OMB approval 2506-0133 adjusted</w:t>
      </w:r>
      <w:r>
        <w:rPr>
          <w:color w:val="000000"/>
          <w:sz w:val="22"/>
          <w:szCs w:val="22"/>
        </w:rPr>
        <w:t xml:space="preserve"> to</w:t>
      </w:r>
      <w:r w:rsidR="008F6DF7">
        <w:rPr>
          <w:color w:val="000000"/>
          <w:sz w:val="22"/>
          <w:szCs w:val="22"/>
        </w:rPr>
        <w:t xml:space="preserve"> represent a phase-in of the new consolidated APR/CAPER data elements represented in this submission (see “</w:t>
      </w:r>
      <w:r w:rsidRPr="000044CA" w:rsidR="008F6DF7">
        <w:rPr>
          <w:color w:val="000000"/>
          <w:sz w:val="22"/>
          <w:szCs w:val="22"/>
        </w:rPr>
        <w:t>New consolidated data elements (HUD-</w:t>
      </w:r>
      <w:r w:rsidR="000C2DB8">
        <w:rPr>
          <w:color w:val="000000"/>
          <w:sz w:val="22"/>
          <w:szCs w:val="22"/>
        </w:rPr>
        <w:t>4155</w:t>
      </w:r>
      <w:r w:rsidRPr="000044CA" w:rsidR="008F6DF7">
        <w:rPr>
          <w:color w:val="000000"/>
          <w:sz w:val="22"/>
          <w:szCs w:val="22"/>
        </w:rPr>
        <w:t>)</w:t>
      </w:r>
      <w:r w:rsidR="008F6DF7">
        <w:rPr>
          <w:color w:val="000000"/>
          <w:sz w:val="22"/>
          <w:szCs w:val="22"/>
        </w:rPr>
        <w:t>” line</w:t>
      </w:r>
      <w:r w:rsidR="00124738">
        <w:rPr>
          <w:color w:val="000000"/>
          <w:sz w:val="22"/>
          <w:szCs w:val="22"/>
        </w:rPr>
        <w:t xml:space="preserve"> </w:t>
      </w:r>
      <w:r>
        <w:rPr>
          <w:color w:val="000000"/>
          <w:sz w:val="22"/>
          <w:szCs w:val="22"/>
        </w:rPr>
        <w:t>above for the added information)</w:t>
      </w:r>
      <w:r w:rsidRPr="00F02998">
        <w:rPr>
          <w:color w:val="000000"/>
          <w:sz w:val="22"/>
          <w:szCs w:val="22"/>
        </w:rPr>
        <w:t>.</w:t>
      </w:r>
      <w:r>
        <w:rPr>
          <w:color w:val="000000"/>
          <w:sz w:val="22"/>
          <w:szCs w:val="22"/>
        </w:rPr>
        <w:t xml:space="preserve"> </w:t>
      </w:r>
    </w:p>
    <w:p w:rsidR="00400B17" w:rsidP="00400B17" w:rsidRDefault="00400B17" w14:paraId="67DFE062" w14:textId="3E31442F">
      <w:pPr>
        <w:keepLines/>
        <w:tabs>
          <w:tab w:val="left" w:pos="0"/>
          <w:tab w:val="left" w:pos="720"/>
        </w:tabs>
        <w:spacing w:before="240"/>
        <w:rPr>
          <w:color w:val="000000"/>
          <w:sz w:val="22"/>
          <w:szCs w:val="22"/>
        </w:rPr>
      </w:pPr>
      <w:r>
        <w:rPr>
          <w:color w:val="000000"/>
          <w:sz w:val="22"/>
          <w:szCs w:val="22"/>
        </w:rPr>
        <w:t xml:space="preserve">All annualized costs reflect staff time spent on tasks in the table. The hourly rate is based on a GS-12 in Washington, DC. </w:t>
      </w:r>
      <w:r w:rsidR="00557E2F">
        <w:rPr>
          <w:color w:val="000000"/>
          <w:sz w:val="22"/>
          <w:szCs w:val="22"/>
        </w:rPr>
        <w:t>10,312</w:t>
      </w:r>
      <w:r w:rsidRPr="00305E84">
        <w:rPr>
          <w:color w:val="000000"/>
          <w:sz w:val="22"/>
          <w:szCs w:val="22"/>
        </w:rPr>
        <w:t xml:space="preserve"> hours * $</w:t>
      </w:r>
      <w:r>
        <w:rPr>
          <w:color w:val="000000"/>
          <w:sz w:val="22"/>
          <w:szCs w:val="22"/>
        </w:rPr>
        <w:t>41.37</w:t>
      </w:r>
      <w:r w:rsidRPr="00305E84">
        <w:rPr>
          <w:color w:val="000000"/>
          <w:sz w:val="22"/>
          <w:szCs w:val="22"/>
        </w:rPr>
        <w:t xml:space="preserve"> = </w:t>
      </w:r>
      <w:r w:rsidRPr="00A73D8E">
        <w:rPr>
          <w:color w:val="000000"/>
          <w:sz w:val="22"/>
          <w:szCs w:val="22"/>
        </w:rPr>
        <w:t>$</w:t>
      </w:r>
      <w:r w:rsidR="00557E2F">
        <w:rPr>
          <w:color w:val="000000"/>
          <w:sz w:val="22"/>
          <w:szCs w:val="22"/>
        </w:rPr>
        <w:t>426,607.44</w:t>
      </w:r>
    </w:p>
    <w:p w:rsidRPr="00124738" w:rsidR="00124738" w:rsidP="0061056B" w:rsidRDefault="00124738" w14:paraId="67178E51" w14:textId="4098F90C">
      <w:pPr>
        <w:keepLines/>
        <w:tabs>
          <w:tab w:val="left" w:pos="0"/>
          <w:tab w:val="left" w:pos="720"/>
        </w:tabs>
        <w:spacing w:before="240"/>
        <w:rPr>
          <w:color w:val="000000"/>
          <w:sz w:val="22"/>
          <w:szCs w:val="22"/>
        </w:rPr>
      </w:pPr>
      <w:r w:rsidRPr="00611278">
        <w:rPr>
          <w:color w:val="000000"/>
          <w:sz w:val="22"/>
          <w:szCs w:val="22"/>
        </w:rPr>
        <w:t>There are no updates to the estimated costs to the other documents under this OM</w:t>
      </w:r>
      <w:r w:rsidRPr="00611278" w:rsidR="00611278">
        <w:rPr>
          <w:color w:val="000000"/>
          <w:sz w:val="22"/>
          <w:szCs w:val="22"/>
        </w:rPr>
        <w:t>B</w:t>
      </w:r>
      <w:r w:rsidRPr="00611278">
        <w:rPr>
          <w:color w:val="000000"/>
          <w:sz w:val="22"/>
          <w:szCs w:val="22"/>
        </w:rPr>
        <w:t xml:space="preserve"> approval number.</w:t>
      </w:r>
      <w:r>
        <w:rPr>
          <w:color w:val="000000"/>
          <w:sz w:val="22"/>
          <w:szCs w:val="22"/>
        </w:rPr>
        <w:t xml:space="preserve"> </w:t>
      </w:r>
    </w:p>
    <w:p w:rsidRPr="003B27A6" w:rsidR="00994883" w:rsidP="00124738" w:rsidRDefault="00994883" w14:paraId="1BFA69BB" w14:textId="77777777">
      <w:pPr>
        <w:tabs>
          <w:tab w:val="left" w:pos="360"/>
        </w:tabs>
        <w:rPr>
          <w:color w:val="000000"/>
          <w:sz w:val="22"/>
          <w:szCs w:val="22"/>
        </w:rPr>
      </w:pPr>
    </w:p>
    <w:p w:rsidRPr="0077601F" w:rsidR="00B220AD" w:rsidP="00EB1763" w:rsidRDefault="00D73EE7" w14:paraId="6AA1B9FA" w14:textId="76AAA357">
      <w:pPr>
        <w:pStyle w:val="BodyTextIndent"/>
        <w:rPr>
          <w:b/>
          <w:szCs w:val="22"/>
        </w:rPr>
      </w:pPr>
      <w:r w:rsidRPr="00B32550">
        <w:rPr>
          <w:b/>
          <w:szCs w:val="22"/>
        </w:rPr>
        <w:t>15.</w:t>
      </w:r>
      <w:r w:rsidRPr="00B32550">
        <w:rPr>
          <w:b/>
          <w:szCs w:val="22"/>
        </w:rPr>
        <w:tab/>
        <w:t>Explain any program changes or adjustments reported in items 13 and 14 of the OMB Form 83i.</w:t>
      </w:r>
      <w:r w:rsidRPr="00B32550" w:rsidR="00BC1CB4">
        <w:rPr>
          <w:b/>
          <w:szCs w:val="22"/>
        </w:rPr>
        <w:t xml:space="preserve"> </w:t>
      </w:r>
      <w:r w:rsidRPr="00B32550">
        <w:rPr>
          <w:b/>
          <w:szCs w:val="22"/>
        </w:rPr>
        <w:t>Also explain any other changes/revisions to the information collection.</w:t>
      </w:r>
    </w:p>
    <w:p w:rsidR="00EB1763" w:rsidP="00352637" w:rsidRDefault="007C25A9" w14:paraId="58143633" w14:textId="7512C102">
      <w:pPr>
        <w:keepLines/>
        <w:tabs>
          <w:tab w:val="left" w:pos="360"/>
        </w:tabs>
        <w:spacing w:before="240" w:after="80"/>
        <w:rPr>
          <w:color w:val="000000"/>
          <w:sz w:val="22"/>
          <w:szCs w:val="22"/>
        </w:rPr>
      </w:pPr>
      <w:r>
        <w:rPr>
          <w:color w:val="000000"/>
          <w:sz w:val="22"/>
          <w:szCs w:val="22"/>
        </w:rPr>
        <w:t xml:space="preserve">This submission is to request a revision of a currently approved collection for the annual reporting burden associated with the Housing Opportunities for Persons </w:t>
      </w:r>
      <w:proofErr w:type="gramStart"/>
      <w:r>
        <w:rPr>
          <w:color w:val="000000"/>
          <w:sz w:val="22"/>
          <w:szCs w:val="22"/>
        </w:rPr>
        <w:t>With</w:t>
      </w:r>
      <w:proofErr w:type="gramEnd"/>
      <w:r>
        <w:rPr>
          <w:color w:val="000000"/>
          <w:sz w:val="22"/>
          <w:szCs w:val="22"/>
        </w:rPr>
        <w:t xml:space="preserve"> AIDS (HOPWA) Program. This submission is requesting to replace forms </w:t>
      </w:r>
      <w:r w:rsidR="00352637">
        <w:rPr>
          <w:color w:val="000000"/>
          <w:sz w:val="22"/>
          <w:szCs w:val="22"/>
        </w:rPr>
        <w:t>HUD-40110-</w:t>
      </w:r>
      <w:r w:rsidR="00EB1763">
        <w:rPr>
          <w:color w:val="000000"/>
          <w:sz w:val="22"/>
          <w:szCs w:val="22"/>
        </w:rPr>
        <w:t>C</w:t>
      </w:r>
      <w:r w:rsidR="00352637">
        <w:rPr>
          <w:color w:val="000000"/>
          <w:sz w:val="22"/>
          <w:szCs w:val="22"/>
        </w:rPr>
        <w:t xml:space="preserve"> </w:t>
      </w:r>
      <w:r w:rsidRPr="00352637" w:rsidR="00352637">
        <w:rPr>
          <w:color w:val="000000"/>
          <w:sz w:val="22"/>
          <w:szCs w:val="22"/>
        </w:rPr>
        <w:t>(</w:t>
      </w:r>
      <w:r w:rsidRPr="00352637" w:rsidR="00352637">
        <w:rPr>
          <w:sz w:val="22"/>
          <w:szCs w:val="22"/>
        </w:rPr>
        <w:t xml:space="preserve">Annual Progress Report (APR) for competitive and renewal grantees), </w:t>
      </w:r>
      <w:r w:rsidR="00352637">
        <w:rPr>
          <w:sz w:val="22"/>
          <w:szCs w:val="22"/>
        </w:rPr>
        <w:t xml:space="preserve">and </w:t>
      </w:r>
      <w:r w:rsidRPr="00352637" w:rsidR="00352637">
        <w:rPr>
          <w:sz w:val="22"/>
          <w:szCs w:val="22"/>
        </w:rPr>
        <w:t>HUD-40110-D (Consolidated Annual Performance and Evaluation Report (CAPER) for formula grantees)</w:t>
      </w:r>
      <w:r w:rsidRPr="00352637" w:rsidR="00B220AD">
        <w:rPr>
          <w:color w:val="000000"/>
          <w:sz w:val="22"/>
          <w:szCs w:val="22"/>
        </w:rPr>
        <w:t xml:space="preserve"> </w:t>
      </w:r>
      <w:r w:rsidR="00352637">
        <w:rPr>
          <w:color w:val="000000"/>
          <w:sz w:val="22"/>
          <w:szCs w:val="22"/>
        </w:rPr>
        <w:t>from this OMB Control Number and replace those forms with the data elements in this submission</w:t>
      </w:r>
      <w:r w:rsidRPr="00EB1763" w:rsidR="00352637">
        <w:rPr>
          <w:color w:val="000000"/>
          <w:sz w:val="22"/>
          <w:szCs w:val="22"/>
        </w:rPr>
        <w:t xml:space="preserve">. </w:t>
      </w:r>
      <w:r w:rsidRPr="00EB1763" w:rsidR="00EB1763">
        <w:rPr>
          <w:sz w:val="22"/>
          <w:szCs w:val="22"/>
        </w:rPr>
        <w:t>The data elements in this submission represent a consolidation of the data elements in the HUD-40110-C and HUD-40110-D</w:t>
      </w:r>
      <w:r w:rsidR="00816D51">
        <w:rPr>
          <w:sz w:val="22"/>
          <w:szCs w:val="22"/>
        </w:rPr>
        <w:t xml:space="preserve">, as well as </w:t>
      </w:r>
      <w:r w:rsidRPr="00EB1763" w:rsidR="00EB1763">
        <w:rPr>
          <w:sz w:val="22"/>
          <w:szCs w:val="22"/>
        </w:rPr>
        <w:t>data additions, deletions, and modifications to further clarify reporting requirements.</w:t>
      </w:r>
    </w:p>
    <w:p w:rsidR="0086028F" w:rsidP="00890693" w:rsidRDefault="00352637" w14:paraId="109F9E96" w14:textId="617A61AD">
      <w:pPr>
        <w:rPr>
          <w:color w:val="000000"/>
          <w:sz w:val="22"/>
          <w:szCs w:val="22"/>
        </w:rPr>
      </w:pPr>
      <w:r>
        <w:rPr>
          <w:color w:val="000000"/>
          <w:sz w:val="22"/>
          <w:szCs w:val="22"/>
        </w:rPr>
        <w:t>The data elements in this submission will be used in both an Excel-based form and an alternative paper form</w:t>
      </w:r>
      <w:r w:rsidR="000B3B7B">
        <w:rPr>
          <w:color w:val="000000"/>
          <w:sz w:val="22"/>
          <w:szCs w:val="22"/>
        </w:rPr>
        <w:t xml:space="preserve"> for Section 508 accessibility</w:t>
      </w:r>
      <w:r>
        <w:rPr>
          <w:color w:val="000000"/>
          <w:sz w:val="22"/>
          <w:szCs w:val="22"/>
        </w:rPr>
        <w:t xml:space="preserve">. </w:t>
      </w:r>
      <w:r w:rsidR="000B3B7B">
        <w:rPr>
          <w:color w:val="000000"/>
          <w:sz w:val="22"/>
          <w:szCs w:val="22"/>
        </w:rPr>
        <w:t>The Excel form will ease grantee reporting burden by automating certain processes, such as calculating totals</w:t>
      </w:r>
      <w:r w:rsidRPr="007E3B3D" w:rsidR="000B3B7B">
        <w:rPr>
          <w:color w:val="000000"/>
          <w:sz w:val="22"/>
          <w:szCs w:val="22"/>
        </w:rPr>
        <w:t>, and pre-populating certain cells with information the grantee previously entered,</w:t>
      </w:r>
      <w:r w:rsidR="000B3B7B">
        <w:rPr>
          <w:color w:val="000000"/>
          <w:sz w:val="22"/>
          <w:szCs w:val="22"/>
        </w:rPr>
        <w:t xml:space="preserve"> which eliminates duplicative data entry. The Excel form will also produce higher quality data, as it allows for built-in data checks for accuracy, and eliminates the possibility of math errors by automating calculations.</w:t>
      </w:r>
      <w:r>
        <w:rPr>
          <w:color w:val="000000"/>
          <w:sz w:val="22"/>
          <w:szCs w:val="22"/>
        </w:rPr>
        <w:t xml:space="preserve"> </w:t>
      </w:r>
      <w:r w:rsidR="00EB6BD2">
        <w:rPr>
          <w:color w:val="000000"/>
          <w:sz w:val="22"/>
          <w:szCs w:val="22"/>
        </w:rPr>
        <w:t>Additionally, the Excel form will eliminate the need for grantees to aggregate data across project sponsors, as project sponsors will now complete their own reporting form and the reporting aggregation for each grant will be done automatically in the HOPWA database, eliminating the need for grantee manual aggregation.</w:t>
      </w:r>
      <w:r w:rsidR="00156940">
        <w:rPr>
          <w:color w:val="000000"/>
          <w:sz w:val="22"/>
          <w:szCs w:val="22"/>
        </w:rPr>
        <w:t xml:space="preserve"> Finally, the Excel version will make data input in the</w:t>
      </w:r>
      <w:r w:rsidR="00B32550">
        <w:rPr>
          <w:color w:val="000000"/>
          <w:sz w:val="22"/>
          <w:szCs w:val="22"/>
        </w:rPr>
        <w:t xml:space="preserve"> HOPWA</w:t>
      </w:r>
      <w:r w:rsidR="00156940">
        <w:rPr>
          <w:color w:val="000000"/>
          <w:sz w:val="22"/>
          <w:szCs w:val="22"/>
        </w:rPr>
        <w:t xml:space="preserve"> Access database easie</w:t>
      </w:r>
      <w:r w:rsidR="00707458">
        <w:rPr>
          <w:color w:val="000000"/>
          <w:sz w:val="22"/>
          <w:szCs w:val="22"/>
        </w:rPr>
        <w:t xml:space="preserve">r, thereby reducing HUD’s burden hours for processing the data. </w:t>
      </w:r>
      <w:r w:rsidRPr="00731437" w:rsidR="00EB6BD2">
        <w:rPr>
          <w:color w:val="000000"/>
          <w:sz w:val="22"/>
          <w:szCs w:val="22"/>
        </w:rPr>
        <w:t>The Word version of the form will use the exact same data elements as the Excel form, but will be 508 compliant for accessibility. The Word version of the new form will not contain the automation of the Excel version.</w:t>
      </w:r>
      <w:r w:rsidRPr="00731437" w:rsidDel="00931DB0" w:rsidR="00731437">
        <w:rPr>
          <w:color w:val="000000"/>
          <w:sz w:val="22"/>
          <w:szCs w:val="22"/>
        </w:rPr>
        <w:t xml:space="preserve"> </w:t>
      </w:r>
    </w:p>
    <w:p w:rsidR="0086028F" w:rsidP="0086028F" w:rsidRDefault="0086028F" w14:paraId="36C5B349" w14:textId="29709ECF">
      <w:pPr>
        <w:keepLines/>
        <w:tabs>
          <w:tab w:val="left" w:pos="360"/>
        </w:tabs>
        <w:spacing w:before="240" w:after="80"/>
        <w:rPr>
          <w:color w:val="000000"/>
          <w:sz w:val="22"/>
          <w:szCs w:val="22"/>
        </w:rPr>
      </w:pPr>
      <w:r w:rsidRPr="00707458">
        <w:rPr>
          <w:color w:val="000000"/>
          <w:sz w:val="22"/>
          <w:szCs w:val="22"/>
        </w:rPr>
        <w:t xml:space="preserve">OHH is </w:t>
      </w:r>
      <w:r w:rsidRPr="00707458">
        <w:rPr>
          <w:sz w:val="22"/>
          <w:szCs w:val="22"/>
        </w:rPr>
        <w:t xml:space="preserve">seeking approval for this information collection in the form of a data table instead of as a specific form, </w:t>
      </w:r>
      <w:proofErr w:type="gramStart"/>
      <w:r w:rsidRPr="00707458">
        <w:rPr>
          <w:sz w:val="22"/>
          <w:szCs w:val="22"/>
        </w:rPr>
        <w:t>in order to</w:t>
      </w:r>
      <w:proofErr w:type="gramEnd"/>
      <w:r w:rsidRPr="00707458">
        <w:rPr>
          <w:sz w:val="22"/>
          <w:szCs w:val="22"/>
        </w:rPr>
        <w:t xml:space="preserve"> allow for the possibility of collecting these elements from new or existing computer </w:t>
      </w:r>
      <w:r w:rsidRPr="00816D51">
        <w:rPr>
          <w:sz w:val="22"/>
          <w:szCs w:val="22"/>
        </w:rPr>
        <w:t xml:space="preserve">systems, if possible and as the option becomes available. For example, </w:t>
      </w:r>
      <w:r w:rsidRPr="00816D51">
        <w:rPr>
          <w:color w:val="000000"/>
          <w:sz w:val="22"/>
          <w:szCs w:val="22"/>
        </w:rPr>
        <w:t>OHH</w:t>
      </w:r>
      <w:r>
        <w:rPr>
          <w:color w:val="000000"/>
          <w:sz w:val="22"/>
          <w:szCs w:val="22"/>
        </w:rPr>
        <w:t xml:space="preserve"> is exploring the possibility of pulling expenditure data out of the grant financial </w:t>
      </w:r>
      <w:proofErr w:type="spellStart"/>
      <w:r>
        <w:rPr>
          <w:color w:val="000000"/>
          <w:sz w:val="22"/>
          <w:szCs w:val="22"/>
        </w:rPr>
        <w:t>dispursement</w:t>
      </w:r>
      <w:proofErr w:type="spellEnd"/>
      <w:r>
        <w:rPr>
          <w:color w:val="000000"/>
          <w:sz w:val="22"/>
          <w:szCs w:val="22"/>
        </w:rPr>
        <w:t xml:space="preserve"> system used by grantees to eliminate the need for grantees to report expenditure data in the APR/CAPER. If this proves possible, this will further alleviate grantee reporting burden.</w:t>
      </w:r>
    </w:p>
    <w:p w:rsidR="00124738" w:rsidP="00B32550" w:rsidRDefault="00156940" w14:paraId="4625011F" w14:textId="2303FFB1">
      <w:pPr>
        <w:keepLines/>
        <w:tabs>
          <w:tab w:val="left" w:pos="360"/>
        </w:tabs>
        <w:spacing w:before="240" w:after="80"/>
        <w:rPr>
          <w:color w:val="000000"/>
          <w:sz w:val="22"/>
          <w:szCs w:val="22"/>
        </w:rPr>
      </w:pPr>
      <w:r>
        <w:rPr>
          <w:color w:val="000000"/>
          <w:sz w:val="22"/>
          <w:szCs w:val="22"/>
        </w:rPr>
        <w:t xml:space="preserve">It is projected that these proposed revisions </w:t>
      </w:r>
      <w:r w:rsidR="00B32550">
        <w:rPr>
          <w:color w:val="000000"/>
          <w:sz w:val="22"/>
          <w:szCs w:val="22"/>
        </w:rPr>
        <w:t>represent</w:t>
      </w:r>
      <w:r w:rsidR="00124738">
        <w:rPr>
          <w:color w:val="000000"/>
          <w:sz w:val="22"/>
          <w:szCs w:val="22"/>
        </w:rPr>
        <w:t xml:space="preserve"> </w:t>
      </w:r>
      <w:proofErr w:type="gramStart"/>
      <w:r w:rsidR="00124738">
        <w:rPr>
          <w:color w:val="000000"/>
          <w:sz w:val="22"/>
          <w:szCs w:val="22"/>
        </w:rPr>
        <w:t>a</w:t>
      </w:r>
      <w:proofErr w:type="gramEnd"/>
      <w:r w:rsidR="003A3523">
        <w:rPr>
          <w:color w:val="000000"/>
          <w:sz w:val="22"/>
          <w:szCs w:val="22"/>
        </w:rPr>
        <w:t xml:space="preserve"> </w:t>
      </w:r>
      <w:r w:rsidR="00E17E5A">
        <w:rPr>
          <w:color w:val="000000"/>
          <w:sz w:val="22"/>
          <w:szCs w:val="22"/>
        </w:rPr>
        <w:t>1,868</w:t>
      </w:r>
      <w:r w:rsidR="00124738">
        <w:rPr>
          <w:color w:val="000000"/>
          <w:sz w:val="22"/>
          <w:szCs w:val="22"/>
        </w:rPr>
        <w:t xml:space="preserve"> hour </w:t>
      </w:r>
      <w:r w:rsidRPr="003A3523" w:rsidR="00124738">
        <w:rPr>
          <w:color w:val="000000"/>
          <w:sz w:val="22"/>
          <w:szCs w:val="22"/>
        </w:rPr>
        <w:t>reduction</w:t>
      </w:r>
      <w:r w:rsidR="00124738">
        <w:rPr>
          <w:color w:val="000000"/>
          <w:sz w:val="22"/>
          <w:szCs w:val="22"/>
        </w:rPr>
        <w:t xml:space="preserve"> </w:t>
      </w:r>
      <w:r w:rsidR="00E17E5A">
        <w:rPr>
          <w:color w:val="000000"/>
          <w:sz w:val="22"/>
          <w:szCs w:val="22"/>
        </w:rPr>
        <w:t xml:space="preserve">for HOPWA grantees </w:t>
      </w:r>
      <w:r w:rsidR="00124738">
        <w:rPr>
          <w:color w:val="000000"/>
          <w:sz w:val="22"/>
          <w:szCs w:val="22"/>
        </w:rPr>
        <w:t xml:space="preserve">from the previous HUD-40110-C and HUD-40110-D. </w:t>
      </w:r>
    </w:p>
    <w:p w:rsidR="007E4664" w:rsidP="000D2DF6" w:rsidRDefault="007E4664" w14:paraId="59174D1D" w14:textId="77777777">
      <w:pPr>
        <w:keepLines/>
        <w:tabs>
          <w:tab w:val="left" w:pos="360"/>
        </w:tabs>
        <w:spacing w:after="80"/>
        <w:rPr>
          <w:color w:val="000000"/>
          <w:sz w:val="22"/>
          <w:szCs w:val="22"/>
        </w:rPr>
      </w:pPr>
    </w:p>
    <w:p w:rsidRPr="000D2DF6" w:rsidR="007E4664" w:rsidP="000D2DF6" w:rsidRDefault="0083523E" w14:paraId="6DF63C61" w14:textId="77777777">
      <w:pPr>
        <w:keepLines/>
        <w:tabs>
          <w:tab w:val="left" w:pos="360"/>
        </w:tabs>
        <w:spacing w:after="80"/>
        <w:rPr>
          <w:sz w:val="22"/>
          <w:szCs w:val="22"/>
        </w:rPr>
      </w:pPr>
      <w:r w:rsidRPr="000D2DF6">
        <w:rPr>
          <w:sz w:val="22"/>
          <w:szCs w:val="22"/>
        </w:rPr>
        <w:t xml:space="preserve">BURDEN: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5"/>
        <w:gridCol w:w="3119"/>
        <w:gridCol w:w="3106"/>
      </w:tblGrid>
      <w:tr w:rsidRPr="000D2DF6" w:rsidR="007E4664" w:rsidTr="005C17CF" w14:paraId="5CA6BAB9" w14:textId="77777777">
        <w:tc>
          <w:tcPr>
            <w:tcW w:w="3192" w:type="dxa"/>
            <w:shd w:val="clear" w:color="auto" w:fill="auto"/>
          </w:tcPr>
          <w:p w:rsidRPr="000D2DF6" w:rsidR="007E4664" w:rsidP="00A54704" w:rsidRDefault="007E4664" w14:paraId="1A775631" w14:textId="77777777">
            <w:pPr>
              <w:keepLines/>
              <w:tabs>
                <w:tab w:val="left" w:pos="360"/>
              </w:tabs>
              <w:spacing w:after="80"/>
              <w:rPr>
                <w:sz w:val="22"/>
                <w:szCs w:val="22"/>
              </w:rPr>
            </w:pPr>
          </w:p>
        </w:tc>
        <w:tc>
          <w:tcPr>
            <w:tcW w:w="3192" w:type="dxa"/>
            <w:shd w:val="clear" w:color="auto" w:fill="auto"/>
          </w:tcPr>
          <w:p w:rsidRPr="000D2DF6" w:rsidR="007E4664" w:rsidP="00A54704" w:rsidRDefault="007E4664" w14:paraId="6F326080" w14:textId="77777777">
            <w:pPr>
              <w:keepLines/>
              <w:tabs>
                <w:tab w:val="left" w:pos="360"/>
              </w:tabs>
              <w:spacing w:after="80"/>
              <w:rPr>
                <w:b/>
                <w:sz w:val="22"/>
                <w:szCs w:val="22"/>
              </w:rPr>
            </w:pPr>
            <w:r w:rsidRPr="000D2DF6">
              <w:rPr>
                <w:b/>
                <w:sz w:val="22"/>
                <w:szCs w:val="22"/>
              </w:rPr>
              <w:t>Responses</w:t>
            </w:r>
          </w:p>
        </w:tc>
        <w:tc>
          <w:tcPr>
            <w:tcW w:w="3192" w:type="dxa"/>
            <w:shd w:val="clear" w:color="auto" w:fill="auto"/>
          </w:tcPr>
          <w:p w:rsidRPr="000D2DF6" w:rsidR="007E4664" w:rsidP="00A54704" w:rsidRDefault="007E4664" w14:paraId="7AAD125F" w14:textId="77777777">
            <w:pPr>
              <w:keepLines/>
              <w:tabs>
                <w:tab w:val="left" w:pos="360"/>
              </w:tabs>
              <w:spacing w:after="80"/>
              <w:rPr>
                <w:b/>
                <w:sz w:val="22"/>
                <w:szCs w:val="22"/>
              </w:rPr>
            </w:pPr>
            <w:r w:rsidRPr="000D2DF6">
              <w:rPr>
                <w:b/>
                <w:sz w:val="22"/>
                <w:szCs w:val="22"/>
              </w:rPr>
              <w:t>Hours</w:t>
            </w:r>
          </w:p>
        </w:tc>
      </w:tr>
      <w:tr w:rsidRPr="000D2DF6" w:rsidR="007E4664" w:rsidTr="005C17CF" w14:paraId="1795E044" w14:textId="77777777">
        <w:tc>
          <w:tcPr>
            <w:tcW w:w="3192" w:type="dxa"/>
            <w:shd w:val="clear" w:color="auto" w:fill="auto"/>
          </w:tcPr>
          <w:p w:rsidRPr="000D2DF6" w:rsidR="007E4664" w:rsidP="00A54704" w:rsidRDefault="007E4664" w14:paraId="035640EC" w14:textId="77777777">
            <w:pPr>
              <w:keepLines/>
              <w:tabs>
                <w:tab w:val="left" w:pos="360"/>
              </w:tabs>
              <w:spacing w:after="80"/>
              <w:rPr>
                <w:b/>
                <w:sz w:val="22"/>
                <w:szCs w:val="22"/>
              </w:rPr>
            </w:pPr>
            <w:r w:rsidRPr="000D2DF6">
              <w:rPr>
                <w:b/>
                <w:sz w:val="22"/>
                <w:szCs w:val="22"/>
              </w:rPr>
              <w:lastRenderedPageBreak/>
              <w:t>Previous</w:t>
            </w:r>
          </w:p>
        </w:tc>
        <w:tc>
          <w:tcPr>
            <w:tcW w:w="3192" w:type="dxa"/>
            <w:shd w:val="clear" w:color="auto" w:fill="auto"/>
          </w:tcPr>
          <w:p w:rsidRPr="00D05413" w:rsidR="007E4664" w:rsidP="00A54704" w:rsidRDefault="007E4664" w14:paraId="1F055EED" w14:textId="3C5E5001">
            <w:pPr>
              <w:keepLines/>
              <w:tabs>
                <w:tab w:val="left" w:pos="360"/>
              </w:tabs>
              <w:spacing w:after="80"/>
              <w:rPr>
                <w:sz w:val="22"/>
                <w:szCs w:val="22"/>
              </w:rPr>
            </w:pPr>
            <w:r w:rsidRPr="00D05413">
              <w:rPr>
                <w:sz w:val="22"/>
                <w:szCs w:val="22"/>
              </w:rPr>
              <w:t>2</w:t>
            </w:r>
            <w:r w:rsidRPr="00D05413" w:rsidR="00D05413">
              <w:rPr>
                <w:sz w:val="22"/>
                <w:szCs w:val="22"/>
              </w:rPr>
              <w:t>84</w:t>
            </w:r>
          </w:p>
        </w:tc>
        <w:tc>
          <w:tcPr>
            <w:tcW w:w="3192" w:type="dxa"/>
            <w:shd w:val="clear" w:color="auto" w:fill="auto"/>
          </w:tcPr>
          <w:p w:rsidRPr="00D05413" w:rsidR="007E4664" w:rsidP="00A54704" w:rsidRDefault="00D05413" w14:paraId="2C175EA0" w14:textId="3E905B29">
            <w:pPr>
              <w:keepLines/>
              <w:tabs>
                <w:tab w:val="left" w:pos="360"/>
              </w:tabs>
              <w:spacing w:after="80"/>
              <w:rPr>
                <w:sz w:val="22"/>
                <w:szCs w:val="22"/>
              </w:rPr>
            </w:pPr>
            <w:r w:rsidRPr="00D05413">
              <w:rPr>
                <w:sz w:val="22"/>
                <w:szCs w:val="22"/>
              </w:rPr>
              <w:t>30,228</w:t>
            </w:r>
          </w:p>
        </w:tc>
      </w:tr>
      <w:tr w:rsidRPr="000D2DF6" w:rsidR="007E4664" w:rsidTr="005C17CF" w14:paraId="3A3CF287" w14:textId="77777777">
        <w:tc>
          <w:tcPr>
            <w:tcW w:w="3192" w:type="dxa"/>
            <w:shd w:val="clear" w:color="auto" w:fill="auto"/>
          </w:tcPr>
          <w:p w:rsidRPr="000D2DF6" w:rsidR="007E4664" w:rsidP="00A54704" w:rsidRDefault="007E4664" w14:paraId="6BC956C2" w14:textId="77777777">
            <w:pPr>
              <w:keepLines/>
              <w:tabs>
                <w:tab w:val="left" w:pos="360"/>
              </w:tabs>
              <w:spacing w:after="80"/>
              <w:rPr>
                <w:b/>
                <w:sz w:val="22"/>
                <w:szCs w:val="22"/>
              </w:rPr>
            </w:pPr>
            <w:r w:rsidRPr="000D2DF6">
              <w:rPr>
                <w:b/>
                <w:sz w:val="22"/>
                <w:szCs w:val="22"/>
              </w:rPr>
              <w:t>New</w:t>
            </w:r>
          </w:p>
        </w:tc>
        <w:tc>
          <w:tcPr>
            <w:tcW w:w="3192" w:type="dxa"/>
            <w:shd w:val="clear" w:color="auto" w:fill="auto"/>
          </w:tcPr>
          <w:p w:rsidRPr="003137F1" w:rsidR="007E4664" w:rsidP="00A54704" w:rsidRDefault="00D05413" w14:paraId="26124A50" w14:textId="045D571B">
            <w:pPr>
              <w:keepLines/>
              <w:tabs>
                <w:tab w:val="left" w:pos="360"/>
              </w:tabs>
              <w:spacing w:after="80"/>
              <w:rPr>
                <w:sz w:val="22"/>
                <w:szCs w:val="22"/>
              </w:rPr>
            </w:pPr>
            <w:r w:rsidRPr="003137F1">
              <w:rPr>
                <w:sz w:val="22"/>
                <w:szCs w:val="22"/>
              </w:rPr>
              <w:t>284</w:t>
            </w:r>
          </w:p>
        </w:tc>
        <w:tc>
          <w:tcPr>
            <w:tcW w:w="3192" w:type="dxa"/>
            <w:shd w:val="clear" w:color="auto" w:fill="auto"/>
          </w:tcPr>
          <w:p w:rsidRPr="00EB1763" w:rsidR="007E4664" w:rsidP="00A54704" w:rsidRDefault="00E17E5A" w14:paraId="26B9A007" w14:textId="584D621E">
            <w:pPr>
              <w:keepLines/>
              <w:tabs>
                <w:tab w:val="left" w:pos="360"/>
              </w:tabs>
              <w:spacing w:after="80"/>
              <w:rPr>
                <w:sz w:val="22"/>
                <w:szCs w:val="22"/>
                <w:highlight w:val="yellow"/>
              </w:rPr>
            </w:pPr>
            <w:r>
              <w:rPr>
                <w:bCs/>
                <w:color w:val="000000"/>
                <w:sz w:val="22"/>
                <w:szCs w:val="22"/>
              </w:rPr>
              <w:t>28,360</w:t>
            </w:r>
          </w:p>
        </w:tc>
      </w:tr>
      <w:tr w:rsidRPr="000D2DF6" w:rsidR="007E4664" w:rsidTr="005C17CF" w14:paraId="0A7901ED" w14:textId="77777777">
        <w:tc>
          <w:tcPr>
            <w:tcW w:w="3192" w:type="dxa"/>
            <w:shd w:val="clear" w:color="auto" w:fill="auto"/>
          </w:tcPr>
          <w:p w:rsidRPr="000D2DF6" w:rsidR="007E4664" w:rsidP="00A54704" w:rsidRDefault="007E4664" w14:paraId="4F30F18B" w14:textId="77777777">
            <w:pPr>
              <w:keepLines/>
              <w:tabs>
                <w:tab w:val="left" w:pos="360"/>
              </w:tabs>
              <w:spacing w:after="80"/>
              <w:rPr>
                <w:b/>
                <w:sz w:val="22"/>
                <w:szCs w:val="22"/>
              </w:rPr>
            </w:pPr>
            <w:r w:rsidRPr="000D2DF6">
              <w:rPr>
                <w:b/>
                <w:sz w:val="22"/>
                <w:szCs w:val="22"/>
              </w:rPr>
              <w:t>Adjustment</w:t>
            </w:r>
          </w:p>
        </w:tc>
        <w:tc>
          <w:tcPr>
            <w:tcW w:w="3192" w:type="dxa"/>
            <w:shd w:val="clear" w:color="auto" w:fill="auto"/>
          </w:tcPr>
          <w:p w:rsidRPr="00EB1763" w:rsidR="007E4664" w:rsidP="00A54704" w:rsidRDefault="007E4664" w14:paraId="23AF4CCC" w14:textId="2AA7043B">
            <w:pPr>
              <w:keepLines/>
              <w:tabs>
                <w:tab w:val="left" w:pos="360"/>
              </w:tabs>
              <w:spacing w:after="80"/>
              <w:rPr>
                <w:sz w:val="22"/>
                <w:szCs w:val="22"/>
                <w:highlight w:val="yellow"/>
              </w:rPr>
            </w:pPr>
            <w:r w:rsidRPr="003137F1">
              <w:rPr>
                <w:sz w:val="22"/>
                <w:szCs w:val="22"/>
              </w:rPr>
              <w:t xml:space="preserve">+ </w:t>
            </w:r>
            <w:r w:rsidRPr="003137F1" w:rsidR="00D05413">
              <w:rPr>
                <w:sz w:val="22"/>
                <w:szCs w:val="22"/>
              </w:rPr>
              <w:t>0</w:t>
            </w:r>
          </w:p>
        </w:tc>
        <w:tc>
          <w:tcPr>
            <w:tcW w:w="3192" w:type="dxa"/>
            <w:shd w:val="clear" w:color="auto" w:fill="auto"/>
          </w:tcPr>
          <w:p w:rsidRPr="00EB1763" w:rsidR="007E4664" w:rsidP="000E29EE" w:rsidRDefault="003137F1" w14:paraId="1721E5C9" w14:textId="2BBA0360">
            <w:pPr>
              <w:keepLines/>
              <w:tabs>
                <w:tab w:val="left" w:pos="360"/>
              </w:tabs>
              <w:spacing w:after="80"/>
              <w:rPr>
                <w:sz w:val="22"/>
                <w:szCs w:val="22"/>
                <w:highlight w:val="yellow"/>
              </w:rPr>
            </w:pPr>
            <w:r w:rsidRPr="003137F1">
              <w:rPr>
                <w:sz w:val="22"/>
                <w:szCs w:val="22"/>
              </w:rPr>
              <w:t xml:space="preserve">- </w:t>
            </w:r>
            <w:r w:rsidR="00E17E5A">
              <w:rPr>
                <w:sz w:val="22"/>
                <w:szCs w:val="22"/>
              </w:rPr>
              <w:t>1,868</w:t>
            </w:r>
          </w:p>
        </w:tc>
      </w:tr>
    </w:tbl>
    <w:p w:rsidR="00D73EE7" w:rsidRDefault="00D73EE7" w14:paraId="5F4B9386" w14:textId="3B0181B7">
      <w:pPr>
        <w:tabs>
          <w:tab w:val="left" w:pos="360"/>
        </w:tabs>
        <w:ind w:left="360" w:hanging="360"/>
        <w:rPr>
          <w:color w:val="000000"/>
          <w:sz w:val="22"/>
          <w:szCs w:val="22"/>
        </w:rPr>
      </w:pPr>
    </w:p>
    <w:p w:rsidR="006C4F72" w:rsidP="006C4F72" w:rsidRDefault="006C4F72" w14:paraId="20310D7E" w14:textId="77777777">
      <w:pPr>
        <w:pStyle w:val="BodyTextIndent"/>
        <w:tabs>
          <w:tab w:val="clear" w:pos="360"/>
          <w:tab w:val="left" w:pos="0"/>
        </w:tabs>
        <w:ind w:left="0" w:firstLine="0"/>
        <w:rPr>
          <w:szCs w:val="22"/>
        </w:rPr>
      </w:pPr>
      <w:r w:rsidRPr="00DD6C7C">
        <w:rPr>
          <w:szCs w:val="22"/>
        </w:rPr>
        <w:t>OHH requests that the data elements in this submission not immediately replace current forms HUD-40110-C and HUD-40110-D, but that the new data elements be phased in as HOPWA grantees complete their active reporting year</w:t>
      </w:r>
      <w:r>
        <w:rPr>
          <w:szCs w:val="22"/>
        </w:rPr>
        <w:t xml:space="preserve"> using the previously approved forms HUD-40110-C and HUD-40110-D. If the new data elements immediately replaced the previous forms upon the approval of this revision request, this would result in a substantial change in grantee reporting requirements in the middle of their reporting years and would not provide grantees with adequate opportunity to plan for the new requirements. To ease the transition and avoid confusion, OHH therefore requests that grantees be allowed to complete their current reporting year using the previous forms, and switch to the new data elements at the beginning of their new reporting year. This does not represent a duplication in reporting requirements. </w:t>
      </w:r>
    </w:p>
    <w:p w:rsidRPr="003B27A6" w:rsidR="00DE447B" w:rsidRDefault="00DE447B" w14:paraId="687D7FD8" w14:textId="77777777">
      <w:pPr>
        <w:tabs>
          <w:tab w:val="left" w:pos="360"/>
        </w:tabs>
        <w:ind w:left="360" w:hanging="360"/>
        <w:rPr>
          <w:color w:val="000000"/>
          <w:sz w:val="22"/>
          <w:szCs w:val="22"/>
        </w:rPr>
      </w:pPr>
    </w:p>
    <w:p w:rsidRPr="00BC1CB4" w:rsidR="00D73EE7" w:rsidRDefault="00D73EE7" w14:paraId="71675EE2" w14:textId="77777777">
      <w:pPr>
        <w:keepLines/>
        <w:tabs>
          <w:tab w:val="left" w:pos="360"/>
          <w:tab w:val="left" w:pos="720"/>
        </w:tabs>
        <w:ind w:left="360" w:hanging="360"/>
        <w:rPr>
          <w:b/>
          <w:color w:val="000000"/>
          <w:sz w:val="22"/>
          <w:szCs w:val="22"/>
        </w:rPr>
      </w:pPr>
      <w:r w:rsidRPr="00EB1763">
        <w:rPr>
          <w:b/>
          <w:color w:val="000000"/>
          <w:sz w:val="22"/>
          <w:szCs w:val="22"/>
        </w:rPr>
        <w:t>16.</w:t>
      </w:r>
      <w:r w:rsidRPr="00EB1763">
        <w:rPr>
          <w:b/>
          <w:color w:val="000000"/>
          <w:sz w:val="22"/>
          <w:szCs w:val="22"/>
        </w:rPr>
        <w:tab/>
        <w:t>If the information will be published, outline plans for tabulation and publication.</w:t>
      </w:r>
      <w:r w:rsidRPr="00BC1CB4">
        <w:rPr>
          <w:b/>
          <w:color w:val="000000"/>
          <w:sz w:val="22"/>
          <w:szCs w:val="22"/>
        </w:rPr>
        <w:t xml:space="preserve">  </w:t>
      </w:r>
    </w:p>
    <w:p w:rsidR="007A3488" w:rsidP="007A3488" w:rsidRDefault="00B37D9B" w14:paraId="17125925" w14:textId="1A2031A0">
      <w:pPr>
        <w:keepLines/>
        <w:tabs>
          <w:tab w:val="left" w:pos="0"/>
          <w:tab w:val="left" w:pos="720"/>
        </w:tabs>
        <w:spacing w:before="240"/>
        <w:rPr>
          <w:color w:val="000000"/>
          <w:sz w:val="22"/>
          <w:szCs w:val="22"/>
        </w:rPr>
      </w:pPr>
      <w:r w:rsidRPr="000D2DF6">
        <w:rPr>
          <w:color w:val="000000"/>
          <w:sz w:val="22"/>
          <w:szCs w:val="22"/>
        </w:rPr>
        <w:t>The Department analyzes grantee performance and accomplishment data on an annual basis and responds to congressional and budget inquiries for specific reporting of program accomplishments.</w:t>
      </w:r>
      <w:r w:rsidR="007E4664">
        <w:rPr>
          <w:color w:val="000000"/>
          <w:sz w:val="22"/>
          <w:szCs w:val="22"/>
        </w:rPr>
        <w:t xml:space="preserve"> </w:t>
      </w:r>
      <w:r w:rsidR="007A3488">
        <w:rPr>
          <w:color w:val="000000"/>
          <w:sz w:val="22"/>
          <w:szCs w:val="22"/>
        </w:rPr>
        <w:t xml:space="preserve"> National and grantee-level performance profiles based on information submitted in the APR and CAPER are posted on</w:t>
      </w:r>
      <w:r w:rsidR="00504AB1">
        <w:rPr>
          <w:color w:val="000000"/>
          <w:sz w:val="22"/>
          <w:szCs w:val="22"/>
        </w:rPr>
        <w:t xml:space="preserve"> HUD websites quarterly</w:t>
      </w:r>
      <w:r w:rsidR="007A3488">
        <w:rPr>
          <w:color w:val="000000"/>
          <w:sz w:val="22"/>
          <w:szCs w:val="22"/>
        </w:rPr>
        <w:t>.</w:t>
      </w:r>
    </w:p>
    <w:p w:rsidRPr="00FE3697" w:rsidR="00D73EE7" w:rsidP="00FE3697" w:rsidRDefault="00D73EE7" w14:paraId="69B697B5" w14:textId="35F2B111">
      <w:pPr>
        <w:keepLines/>
        <w:tabs>
          <w:tab w:val="left" w:pos="360"/>
          <w:tab w:val="left" w:pos="720"/>
        </w:tabs>
        <w:ind w:left="360" w:hanging="360"/>
        <w:rPr>
          <w:b/>
          <w:color w:val="000000"/>
          <w:sz w:val="22"/>
        </w:rPr>
      </w:pPr>
    </w:p>
    <w:p w:rsidRPr="009C2ABB" w:rsidR="00D73EE7" w:rsidRDefault="00D73EE7" w14:paraId="1CE6D86B" w14:textId="77777777">
      <w:pPr>
        <w:keepLines/>
        <w:tabs>
          <w:tab w:val="left" w:pos="360"/>
          <w:tab w:val="left" w:pos="720"/>
        </w:tabs>
        <w:ind w:left="360" w:hanging="360"/>
        <w:rPr>
          <w:b/>
          <w:color w:val="000000"/>
          <w:sz w:val="22"/>
          <w:szCs w:val="22"/>
        </w:rPr>
      </w:pPr>
      <w:r w:rsidRPr="009C2ABB">
        <w:rPr>
          <w:b/>
          <w:color w:val="000000"/>
          <w:sz w:val="22"/>
          <w:szCs w:val="22"/>
        </w:rPr>
        <w:t>17.</w:t>
      </w:r>
      <w:r w:rsidRPr="009C2ABB">
        <w:rPr>
          <w:b/>
          <w:color w:val="000000"/>
          <w:sz w:val="22"/>
          <w:szCs w:val="22"/>
        </w:rPr>
        <w:tab/>
        <w:t xml:space="preserve">Explain any request to not display the expiration date. </w:t>
      </w:r>
    </w:p>
    <w:p w:rsidRPr="003B27A6" w:rsidR="00994883" w:rsidP="000D2DF6" w:rsidRDefault="00994883" w14:paraId="5F09364B" w14:textId="77777777">
      <w:pPr>
        <w:tabs>
          <w:tab w:val="left" w:pos="0"/>
        </w:tabs>
        <w:spacing w:before="240" w:after="240"/>
        <w:rPr>
          <w:color w:val="000000"/>
          <w:sz w:val="22"/>
          <w:szCs w:val="22"/>
        </w:rPr>
      </w:pPr>
      <w:r>
        <w:rPr>
          <w:color w:val="000000"/>
          <w:sz w:val="22"/>
          <w:szCs w:val="22"/>
        </w:rPr>
        <w:t>No approval is sought to not display the expiration date for the OMB approval of the information collected.</w:t>
      </w:r>
    </w:p>
    <w:p w:rsidRPr="009C2ABB" w:rsidR="00D73EE7" w:rsidP="000D2DF6" w:rsidRDefault="00D73EE7" w14:paraId="7F74C8A3" w14:textId="77777777">
      <w:pPr>
        <w:pStyle w:val="BodyTextIndent"/>
        <w:keepLines w:val="0"/>
        <w:spacing w:before="240"/>
        <w:rPr>
          <w:b/>
          <w:szCs w:val="22"/>
        </w:rPr>
      </w:pPr>
      <w:r w:rsidRPr="009C2ABB">
        <w:rPr>
          <w:b/>
          <w:szCs w:val="22"/>
        </w:rPr>
        <w:t>18.</w:t>
      </w:r>
      <w:r w:rsidRPr="009C2ABB">
        <w:rPr>
          <w:b/>
          <w:szCs w:val="22"/>
        </w:rPr>
        <w:tab/>
        <w:t xml:space="preserve">Explain each exception to the certification statement identified in item 83i-19.  </w:t>
      </w:r>
    </w:p>
    <w:p w:rsidR="002260F4" w:rsidP="000D2DF6" w:rsidRDefault="001A62FC" w14:paraId="3E421CE9" w14:textId="77777777">
      <w:pPr>
        <w:spacing w:before="240"/>
        <w:rPr>
          <w:color w:val="000000"/>
          <w:sz w:val="22"/>
          <w:szCs w:val="22"/>
        </w:rPr>
      </w:pPr>
      <w:r>
        <w:rPr>
          <w:color w:val="000000"/>
          <w:sz w:val="22"/>
          <w:szCs w:val="22"/>
        </w:rPr>
        <w:t>No exception is sought to the certification statement.</w:t>
      </w:r>
      <w:r w:rsidRPr="003B27A6" w:rsidR="00D73EE7">
        <w:rPr>
          <w:color w:val="000000"/>
          <w:sz w:val="22"/>
          <w:szCs w:val="22"/>
        </w:rPr>
        <w:t xml:space="preserve"> </w:t>
      </w:r>
    </w:p>
    <w:p w:rsidRPr="009C2ABB" w:rsidR="00B37D9B" w:rsidP="000D2DF6" w:rsidRDefault="00B37D9B" w14:paraId="26E099D3" w14:textId="77777777">
      <w:pPr>
        <w:spacing w:before="240"/>
        <w:jc w:val="both"/>
        <w:rPr>
          <w:b/>
          <w:color w:val="000000"/>
          <w:sz w:val="22"/>
          <w:szCs w:val="22"/>
        </w:rPr>
      </w:pPr>
      <w:r w:rsidRPr="009C2ABB">
        <w:rPr>
          <w:b/>
          <w:color w:val="000000"/>
          <w:sz w:val="22"/>
          <w:szCs w:val="22"/>
        </w:rPr>
        <w:t>B. Collections of Information Employing Statistical Methods</w:t>
      </w:r>
    </w:p>
    <w:p w:rsidR="00B37D9B" w:rsidP="000D2DF6" w:rsidRDefault="00B37D9B" w14:paraId="1179FCDC" w14:textId="77777777">
      <w:pPr>
        <w:spacing w:before="240"/>
        <w:jc w:val="both"/>
        <w:rPr>
          <w:color w:val="000000"/>
          <w:sz w:val="22"/>
          <w:szCs w:val="22"/>
        </w:rPr>
      </w:pPr>
      <w:r w:rsidRPr="000D2DF6">
        <w:rPr>
          <w:color w:val="000000"/>
          <w:sz w:val="22"/>
          <w:szCs w:val="22"/>
        </w:rPr>
        <w:t>The HOPWA program does not use statistical methods.</w:t>
      </w:r>
    </w:p>
    <w:p w:rsidR="00B37D9B" w:rsidP="000D2DF6" w:rsidRDefault="00B37D9B" w14:paraId="0FE64929" w14:textId="7EA13356">
      <w:pPr>
        <w:rPr>
          <w:color w:val="000000"/>
          <w:sz w:val="22"/>
          <w:szCs w:val="22"/>
        </w:rPr>
      </w:pPr>
    </w:p>
    <w:p w:rsidRPr="003B27A6" w:rsidR="009C2ABB" w:rsidP="000D2DF6" w:rsidRDefault="009C2ABB" w14:paraId="42BB95D2" w14:textId="2F0C5E12">
      <w:pPr>
        <w:rPr>
          <w:color w:val="000000"/>
          <w:sz w:val="22"/>
          <w:szCs w:val="22"/>
        </w:rPr>
      </w:pPr>
    </w:p>
    <w:sectPr w:rsidRPr="003B27A6" w:rsidR="009C2ABB">
      <w:headerReference w:type="default" r:id="rId14"/>
      <w:footerReference w:type="default" r:id="rId15"/>
      <w:pgSz w:w="12240" w:h="15840"/>
      <w:pgMar w:top="960" w:right="1440" w:bottom="9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16FD" w14:textId="77777777" w:rsidR="00EC4745" w:rsidRDefault="00EC4745" w:rsidP="000D2DF6">
      <w:r>
        <w:separator/>
      </w:r>
    </w:p>
  </w:endnote>
  <w:endnote w:type="continuationSeparator" w:id="0">
    <w:p w14:paraId="303EE0DB" w14:textId="77777777" w:rsidR="00EC4745" w:rsidRDefault="00EC4745" w:rsidP="000D2DF6">
      <w:r>
        <w:continuationSeparator/>
      </w:r>
    </w:p>
  </w:endnote>
  <w:endnote w:type="continuationNotice" w:id="1">
    <w:p w14:paraId="2BD0BC63" w14:textId="77777777" w:rsidR="00EC4745" w:rsidRDefault="00EC4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D3DD" w14:textId="77777777" w:rsidR="00B71860" w:rsidRDefault="00B71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3525" w14:textId="77777777" w:rsidR="00EC4745" w:rsidRDefault="00EC4745" w:rsidP="000D2DF6">
      <w:r>
        <w:separator/>
      </w:r>
    </w:p>
  </w:footnote>
  <w:footnote w:type="continuationSeparator" w:id="0">
    <w:p w14:paraId="51471EC8" w14:textId="77777777" w:rsidR="00EC4745" w:rsidRDefault="00EC4745" w:rsidP="000D2DF6">
      <w:r>
        <w:continuationSeparator/>
      </w:r>
    </w:p>
  </w:footnote>
  <w:footnote w:type="continuationNotice" w:id="1">
    <w:p w14:paraId="08721657" w14:textId="77777777" w:rsidR="00EC4745" w:rsidRDefault="00EC4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D405" w14:textId="77777777" w:rsidR="00B71860" w:rsidRDefault="00B71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AE59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26EA4E0"/>
    <w:lvl w:ilvl="0">
      <w:numFmt w:val="decimal"/>
      <w:lvlText w:val="*"/>
      <w:lvlJc w:val="left"/>
    </w:lvl>
  </w:abstractNum>
  <w:abstractNum w:abstractNumId="2" w15:restartNumberingAfterBreak="0">
    <w:nsid w:val="021D4B79"/>
    <w:multiLevelType w:val="hybridMultilevel"/>
    <w:tmpl w:val="2BF6F4D4"/>
    <w:lvl w:ilvl="0" w:tplc="AF5835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4701B"/>
    <w:multiLevelType w:val="hybridMultilevel"/>
    <w:tmpl w:val="9C60A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FC7495"/>
    <w:multiLevelType w:val="hybridMultilevel"/>
    <w:tmpl w:val="E2C40664"/>
    <w:lvl w:ilvl="0" w:tplc="77708098">
      <w:start w:val="18"/>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4C6E04"/>
    <w:multiLevelType w:val="hybridMultilevel"/>
    <w:tmpl w:val="BCEE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82209"/>
    <w:multiLevelType w:val="hybridMultilevel"/>
    <w:tmpl w:val="BA249918"/>
    <w:lvl w:ilvl="0" w:tplc="42DECB1E">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2C3703"/>
    <w:multiLevelType w:val="hybridMultilevel"/>
    <w:tmpl w:val="364A2B8E"/>
    <w:lvl w:ilvl="0" w:tplc="BB621BD6">
      <w:start w:val="1"/>
      <w:numFmt w:val="upperRoman"/>
      <w:lvlText w:val="%1."/>
      <w:lvlJc w:val="left"/>
      <w:pPr>
        <w:ind w:left="829" w:hanging="360"/>
      </w:pPr>
      <w:rPr>
        <w:rFonts w:ascii="Times New Roman" w:hAnsi="Times New Roman" w:cs="Times New Roman" w:hint="default"/>
        <w:sz w:val="40"/>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9" w15:restartNumberingAfterBreak="0">
    <w:nsid w:val="109E242E"/>
    <w:multiLevelType w:val="hybridMultilevel"/>
    <w:tmpl w:val="1DD4C2A0"/>
    <w:lvl w:ilvl="0" w:tplc="07C6A42A">
      <w:start w:val="1"/>
      <w:numFmt w:val="upperRoman"/>
      <w:lvlText w:val="%1."/>
      <w:lvlJc w:val="left"/>
      <w:pPr>
        <w:ind w:left="1080" w:hanging="720"/>
      </w:pPr>
      <w:rPr>
        <w:rFonts w:hint="default"/>
        <w:b w:val="0"/>
      </w:rPr>
    </w:lvl>
    <w:lvl w:ilvl="1" w:tplc="1A8A61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9756C"/>
    <w:multiLevelType w:val="hybridMultilevel"/>
    <w:tmpl w:val="E564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971A5"/>
    <w:multiLevelType w:val="hybridMultilevel"/>
    <w:tmpl w:val="87B83E00"/>
    <w:lvl w:ilvl="0" w:tplc="71DA1588">
      <w:start w:val="8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15914"/>
    <w:multiLevelType w:val="hybridMultilevel"/>
    <w:tmpl w:val="6C06BC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2F0811"/>
    <w:multiLevelType w:val="hybridMultilevel"/>
    <w:tmpl w:val="30FE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6F0B2A"/>
    <w:multiLevelType w:val="hybridMultilevel"/>
    <w:tmpl w:val="F8A0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E77525"/>
    <w:multiLevelType w:val="hybridMultilevel"/>
    <w:tmpl w:val="757698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E84B42"/>
    <w:multiLevelType w:val="hybridMultilevel"/>
    <w:tmpl w:val="15F0E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3D2C1A"/>
    <w:multiLevelType w:val="hybridMultilevel"/>
    <w:tmpl w:val="6F7C82EC"/>
    <w:lvl w:ilvl="0" w:tplc="14EAAE26">
      <w:start w:val="8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046FE"/>
    <w:multiLevelType w:val="hybridMultilevel"/>
    <w:tmpl w:val="9650F3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AD04174"/>
    <w:multiLevelType w:val="hybridMultilevel"/>
    <w:tmpl w:val="3EB652CC"/>
    <w:lvl w:ilvl="0" w:tplc="383492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D461C8"/>
    <w:multiLevelType w:val="hybridMultilevel"/>
    <w:tmpl w:val="EECE0A5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2" w15:restartNumberingAfterBreak="0">
    <w:nsid w:val="5B1D3F69"/>
    <w:multiLevelType w:val="hybridMultilevel"/>
    <w:tmpl w:val="298652C2"/>
    <w:lvl w:ilvl="0" w:tplc="78C6D55E">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343427"/>
    <w:multiLevelType w:val="hybridMultilevel"/>
    <w:tmpl w:val="AA5E6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B7C70"/>
    <w:multiLevelType w:val="hybridMultilevel"/>
    <w:tmpl w:val="39805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7C37CA"/>
    <w:multiLevelType w:val="hybridMultilevel"/>
    <w:tmpl w:val="71007460"/>
    <w:lvl w:ilvl="0" w:tplc="9BEC3D5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C07339"/>
    <w:multiLevelType w:val="hybridMultilevel"/>
    <w:tmpl w:val="54F0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551E5"/>
    <w:multiLevelType w:val="hybridMultilevel"/>
    <w:tmpl w:val="39BC55D0"/>
    <w:lvl w:ilvl="0" w:tplc="A678C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22B4B"/>
    <w:multiLevelType w:val="hybridMultilevel"/>
    <w:tmpl w:val="D63C4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798F"/>
    <w:multiLevelType w:val="hybridMultilevel"/>
    <w:tmpl w:val="675479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1" w15:restartNumberingAfterBreak="0">
    <w:nsid w:val="7CC44AC7"/>
    <w:multiLevelType w:val="hybridMultilevel"/>
    <w:tmpl w:val="114AA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25"/>
  </w:num>
  <w:num w:numId="3">
    <w:abstractNumId w:val="6"/>
  </w:num>
  <w:num w:numId="4">
    <w:abstractNumId w:val="22"/>
  </w:num>
  <w:num w:numId="5">
    <w:abstractNumId w:val="15"/>
  </w:num>
  <w:num w:numId="6">
    <w:abstractNumId w:val="14"/>
  </w:num>
  <w:num w:numId="7">
    <w:abstractNumId w:val="4"/>
  </w:num>
  <w:num w:numId="8">
    <w:abstractNumId w:val="30"/>
  </w:num>
  <w:num w:numId="9">
    <w:abstractNumId w:val="20"/>
  </w:num>
  <w:num w:numId="10">
    <w:abstractNumId w:val="7"/>
  </w:num>
  <w:num w:numId="11">
    <w:abstractNumId w:val="0"/>
  </w:num>
  <w:num w:numId="12">
    <w:abstractNumId w:val="26"/>
  </w:num>
  <w:num w:numId="13">
    <w:abstractNumId w:val="18"/>
  </w:num>
  <w:num w:numId="14">
    <w:abstractNumId w:val="23"/>
  </w:num>
  <w:num w:numId="15">
    <w:abstractNumId w:val="21"/>
  </w:num>
  <w:num w:numId="16">
    <w:abstractNumId w:val="5"/>
  </w:num>
  <w:num w:numId="17">
    <w:abstractNumId w:val="9"/>
  </w:num>
  <w:num w:numId="18">
    <w:abstractNumId w:val="13"/>
  </w:num>
  <w:num w:numId="19">
    <w:abstractNumId w:val="8"/>
  </w:num>
  <w:num w:numId="20">
    <w:abstractNumId w:val="24"/>
  </w:num>
  <w:num w:numId="21">
    <w:abstractNumId w:val="31"/>
  </w:num>
  <w:num w:numId="22">
    <w:abstractNumId w:val="17"/>
  </w:num>
  <w:num w:numId="23">
    <w:abstractNumId w:val="11"/>
  </w:num>
  <w:num w:numId="24">
    <w:abstractNumId w:val="10"/>
  </w:num>
  <w:num w:numId="25">
    <w:abstractNumId w:val="28"/>
  </w:num>
  <w:num w:numId="26">
    <w:abstractNumId w:val="27"/>
  </w:num>
  <w:num w:numId="27">
    <w:abstractNumId w:val="19"/>
  </w:num>
  <w:num w:numId="28">
    <w:abstractNumId w:val="2"/>
  </w:num>
  <w:num w:numId="29">
    <w:abstractNumId w:val="12"/>
  </w:num>
  <w:num w:numId="30">
    <w:abstractNumId w:val="16"/>
  </w:num>
  <w:num w:numId="31">
    <w:abstractNumId w:val="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5F"/>
    <w:rsid w:val="000007ED"/>
    <w:rsid w:val="000044CA"/>
    <w:rsid w:val="000047C4"/>
    <w:rsid w:val="000129EC"/>
    <w:rsid w:val="00023801"/>
    <w:rsid w:val="00024179"/>
    <w:rsid w:val="0002468B"/>
    <w:rsid w:val="0002731C"/>
    <w:rsid w:val="00030661"/>
    <w:rsid w:val="00030FE7"/>
    <w:rsid w:val="000314AB"/>
    <w:rsid w:val="00033A85"/>
    <w:rsid w:val="00034625"/>
    <w:rsid w:val="00047E12"/>
    <w:rsid w:val="00053B4C"/>
    <w:rsid w:val="00062554"/>
    <w:rsid w:val="000628ED"/>
    <w:rsid w:val="00065C67"/>
    <w:rsid w:val="00077887"/>
    <w:rsid w:val="000853F3"/>
    <w:rsid w:val="000973E1"/>
    <w:rsid w:val="000A1385"/>
    <w:rsid w:val="000A3E60"/>
    <w:rsid w:val="000A79D9"/>
    <w:rsid w:val="000B3B7B"/>
    <w:rsid w:val="000B5411"/>
    <w:rsid w:val="000B5C46"/>
    <w:rsid w:val="000B73CC"/>
    <w:rsid w:val="000C2DB8"/>
    <w:rsid w:val="000C67AE"/>
    <w:rsid w:val="000D20CC"/>
    <w:rsid w:val="000D2DF6"/>
    <w:rsid w:val="000D4B55"/>
    <w:rsid w:val="000D6D4F"/>
    <w:rsid w:val="000E0627"/>
    <w:rsid w:val="000E29EE"/>
    <w:rsid w:val="000E63B5"/>
    <w:rsid w:val="0011100F"/>
    <w:rsid w:val="00111B27"/>
    <w:rsid w:val="001131D7"/>
    <w:rsid w:val="00116FD8"/>
    <w:rsid w:val="001206E6"/>
    <w:rsid w:val="00124738"/>
    <w:rsid w:val="00124792"/>
    <w:rsid w:val="001326A8"/>
    <w:rsid w:val="00136362"/>
    <w:rsid w:val="00136C0B"/>
    <w:rsid w:val="00142A8B"/>
    <w:rsid w:val="00143444"/>
    <w:rsid w:val="00143DD5"/>
    <w:rsid w:val="00145EE0"/>
    <w:rsid w:val="001462F1"/>
    <w:rsid w:val="00156405"/>
    <w:rsid w:val="00156940"/>
    <w:rsid w:val="0015724F"/>
    <w:rsid w:val="00163B97"/>
    <w:rsid w:val="00166184"/>
    <w:rsid w:val="0017023E"/>
    <w:rsid w:val="00175586"/>
    <w:rsid w:val="001762A6"/>
    <w:rsid w:val="00176810"/>
    <w:rsid w:val="001770C9"/>
    <w:rsid w:val="00181A8D"/>
    <w:rsid w:val="0018369A"/>
    <w:rsid w:val="00183FA6"/>
    <w:rsid w:val="001869A0"/>
    <w:rsid w:val="001942C9"/>
    <w:rsid w:val="00195A6C"/>
    <w:rsid w:val="00196E73"/>
    <w:rsid w:val="001A3A0C"/>
    <w:rsid w:val="001A44B1"/>
    <w:rsid w:val="001A62FC"/>
    <w:rsid w:val="001A7450"/>
    <w:rsid w:val="001B2E7A"/>
    <w:rsid w:val="001B5D2A"/>
    <w:rsid w:val="001C1BF1"/>
    <w:rsid w:val="001C28CD"/>
    <w:rsid w:val="001C7B64"/>
    <w:rsid w:val="001D03BD"/>
    <w:rsid w:val="001F1395"/>
    <w:rsid w:val="001F3738"/>
    <w:rsid w:val="001F5A2C"/>
    <w:rsid w:val="00201869"/>
    <w:rsid w:val="00213D25"/>
    <w:rsid w:val="00215E6B"/>
    <w:rsid w:val="002260F4"/>
    <w:rsid w:val="002271FD"/>
    <w:rsid w:val="002332C7"/>
    <w:rsid w:val="00242305"/>
    <w:rsid w:val="002444C1"/>
    <w:rsid w:val="0025023B"/>
    <w:rsid w:val="00250462"/>
    <w:rsid w:val="0025369D"/>
    <w:rsid w:val="002601CE"/>
    <w:rsid w:val="00260D23"/>
    <w:rsid w:val="00261A4C"/>
    <w:rsid w:val="00262C8E"/>
    <w:rsid w:val="00267E0E"/>
    <w:rsid w:val="00283F75"/>
    <w:rsid w:val="00286022"/>
    <w:rsid w:val="00290B4C"/>
    <w:rsid w:val="00291926"/>
    <w:rsid w:val="002971AC"/>
    <w:rsid w:val="002A07A8"/>
    <w:rsid w:val="002A1EE5"/>
    <w:rsid w:val="002B6A87"/>
    <w:rsid w:val="002C0D66"/>
    <w:rsid w:val="002C2382"/>
    <w:rsid w:val="002D065C"/>
    <w:rsid w:val="002D2D13"/>
    <w:rsid w:val="002E1334"/>
    <w:rsid w:val="002E5AD5"/>
    <w:rsid w:val="002F07EF"/>
    <w:rsid w:val="002F4F33"/>
    <w:rsid w:val="003016EA"/>
    <w:rsid w:val="00310075"/>
    <w:rsid w:val="00310533"/>
    <w:rsid w:val="003126EB"/>
    <w:rsid w:val="003137F1"/>
    <w:rsid w:val="00323F07"/>
    <w:rsid w:val="00341800"/>
    <w:rsid w:val="00344FE4"/>
    <w:rsid w:val="00345A0F"/>
    <w:rsid w:val="00350768"/>
    <w:rsid w:val="00351547"/>
    <w:rsid w:val="00352637"/>
    <w:rsid w:val="00352995"/>
    <w:rsid w:val="0035306A"/>
    <w:rsid w:val="00361DD7"/>
    <w:rsid w:val="00362C82"/>
    <w:rsid w:val="003644F8"/>
    <w:rsid w:val="00373B77"/>
    <w:rsid w:val="0038472A"/>
    <w:rsid w:val="00387B1F"/>
    <w:rsid w:val="00393A57"/>
    <w:rsid w:val="00394B65"/>
    <w:rsid w:val="003A3523"/>
    <w:rsid w:val="003B00BA"/>
    <w:rsid w:val="003B27A6"/>
    <w:rsid w:val="003C11AF"/>
    <w:rsid w:val="003C13CD"/>
    <w:rsid w:val="003C7B07"/>
    <w:rsid w:val="003D3AA1"/>
    <w:rsid w:val="003D50AE"/>
    <w:rsid w:val="003D7A50"/>
    <w:rsid w:val="003E743F"/>
    <w:rsid w:val="003F1177"/>
    <w:rsid w:val="003F44B3"/>
    <w:rsid w:val="00400B17"/>
    <w:rsid w:val="00400B1F"/>
    <w:rsid w:val="004042AF"/>
    <w:rsid w:val="00404849"/>
    <w:rsid w:val="004051C1"/>
    <w:rsid w:val="004075E3"/>
    <w:rsid w:val="004138EC"/>
    <w:rsid w:val="00422A44"/>
    <w:rsid w:val="00422AEF"/>
    <w:rsid w:val="00425F2F"/>
    <w:rsid w:val="00436438"/>
    <w:rsid w:val="004520E6"/>
    <w:rsid w:val="00456BD5"/>
    <w:rsid w:val="00463216"/>
    <w:rsid w:val="004651F4"/>
    <w:rsid w:val="00466396"/>
    <w:rsid w:val="004670BC"/>
    <w:rsid w:val="004679A2"/>
    <w:rsid w:val="00486AA9"/>
    <w:rsid w:val="004904B0"/>
    <w:rsid w:val="00492FE1"/>
    <w:rsid w:val="00495ADC"/>
    <w:rsid w:val="00496BF0"/>
    <w:rsid w:val="00496EF5"/>
    <w:rsid w:val="004A49D6"/>
    <w:rsid w:val="004B50F0"/>
    <w:rsid w:val="004B56C0"/>
    <w:rsid w:val="004C3B38"/>
    <w:rsid w:val="004D1AAF"/>
    <w:rsid w:val="004D2403"/>
    <w:rsid w:val="004E185B"/>
    <w:rsid w:val="004E5F1F"/>
    <w:rsid w:val="004F3FD4"/>
    <w:rsid w:val="004F645C"/>
    <w:rsid w:val="004F7A96"/>
    <w:rsid w:val="00504AB1"/>
    <w:rsid w:val="005050C7"/>
    <w:rsid w:val="005102E8"/>
    <w:rsid w:val="00512C44"/>
    <w:rsid w:val="00514FE1"/>
    <w:rsid w:val="005254F0"/>
    <w:rsid w:val="00525CD7"/>
    <w:rsid w:val="00526514"/>
    <w:rsid w:val="00526AC0"/>
    <w:rsid w:val="00544329"/>
    <w:rsid w:val="005502D4"/>
    <w:rsid w:val="00557E2F"/>
    <w:rsid w:val="00563D3E"/>
    <w:rsid w:val="005722F6"/>
    <w:rsid w:val="00583DBD"/>
    <w:rsid w:val="00586FD5"/>
    <w:rsid w:val="00591147"/>
    <w:rsid w:val="005A7FB7"/>
    <w:rsid w:val="005B4C15"/>
    <w:rsid w:val="005B6F1A"/>
    <w:rsid w:val="005C17CF"/>
    <w:rsid w:val="005C3443"/>
    <w:rsid w:val="005D1AB4"/>
    <w:rsid w:val="005D3312"/>
    <w:rsid w:val="005D4446"/>
    <w:rsid w:val="005E062F"/>
    <w:rsid w:val="006067D6"/>
    <w:rsid w:val="0061056B"/>
    <w:rsid w:val="00611278"/>
    <w:rsid w:val="00613D7F"/>
    <w:rsid w:val="0062065C"/>
    <w:rsid w:val="00623B2B"/>
    <w:rsid w:val="00630881"/>
    <w:rsid w:val="00631CF9"/>
    <w:rsid w:val="00635EFA"/>
    <w:rsid w:val="006417B1"/>
    <w:rsid w:val="00642DE2"/>
    <w:rsid w:val="006554C1"/>
    <w:rsid w:val="00656375"/>
    <w:rsid w:val="0066108F"/>
    <w:rsid w:val="00662E38"/>
    <w:rsid w:val="00672029"/>
    <w:rsid w:val="00677B03"/>
    <w:rsid w:val="00684686"/>
    <w:rsid w:val="00691073"/>
    <w:rsid w:val="0069208E"/>
    <w:rsid w:val="00696B16"/>
    <w:rsid w:val="006A6949"/>
    <w:rsid w:val="006B2986"/>
    <w:rsid w:val="006B4AA1"/>
    <w:rsid w:val="006B743E"/>
    <w:rsid w:val="006C05C3"/>
    <w:rsid w:val="006C4F72"/>
    <w:rsid w:val="006D0489"/>
    <w:rsid w:val="006D174D"/>
    <w:rsid w:val="006D3BA7"/>
    <w:rsid w:val="006D5381"/>
    <w:rsid w:val="006D5A69"/>
    <w:rsid w:val="006E17A8"/>
    <w:rsid w:val="006E6376"/>
    <w:rsid w:val="006F6265"/>
    <w:rsid w:val="00702DC6"/>
    <w:rsid w:val="00703D4E"/>
    <w:rsid w:val="00707458"/>
    <w:rsid w:val="00724680"/>
    <w:rsid w:val="00731437"/>
    <w:rsid w:val="0074225D"/>
    <w:rsid w:val="0075494F"/>
    <w:rsid w:val="00760373"/>
    <w:rsid w:val="00762B02"/>
    <w:rsid w:val="007639EC"/>
    <w:rsid w:val="00765FFA"/>
    <w:rsid w:val="00766BA6"/>
    <w:rsid w:val="00770370"/>
    <w:rsid w:val="0077066D"/>
    <w:rsid w:val="00770968"/>
    <w:rsid w:val="0077601F"/>
    <w:rsid w:val="00777DAB"/>
    <w:rsid w:val="00780022"/>
    <w:rsid w:val="007859C7"/>
    <w:rsid w:val="00790071"/>
    <w:rsid w:val="007923F4"/>
    <w:rsid w:val="00796CB1"/>
    <w:rsid w:val="00797F82"/>
    <w:rsid w:val="007A14E8"/>
    <w:rsid w:val="007A1512"/>
    <w:rsid w:val="007A3488"/>
    <w:rsid w:val="007A4639"/>
    <w:rsid w:val="007A4D87"/>
    <w:rsid w:val="007A53F7"/>
    <w:rsid w:val="007B077B"/>
    <w:rsid w:val="007B0BCF"/>
    <w:rsid w:val="007B1A45"/>
    <w:rsid w:val="007C25A9"/>
    <w:rsid w:val="007C46C1"/>
    <w:rsid w:val="007C519F"/>
    <w:rsid w:val="007C6B75"/>
    <w:rsid w:val="007D2E95"/>
    <w:rsid w:val="007E0075"/>
    <w:rsid w:val="007E2B9D"/>
    <w:rsid w:val="007E33C3"/>
    <w:rsid w:val="007E3B3D"/>
    <w:rsid w:val="007E4664"/>
    <w:rsid w:val="007F6466"/>
    <w:rsid w:val="0080589B"/>
    <w:rsid w:val="008058D5"/>
    <w:rsid w:val="00816D51"/>
    <w:rsid w:val="00824197"/>
    <w:rsid w:val="008252CE"/>
    <w:rsid w:val="00834514"/>
    <w:rsid w:val="0083523E"/>
    <w:rsid w:val="008437C2"/>
    <w:rsid w:val="008438FD"/>
    <w:rsid w:val="0084427D"/>
    <w:rsid w:val="008466EA"/>
    <w:rsid w:val="0084766E"/>
    <w:rsid w:val="00850CE9"/>
    <w:rsid w:val="008513B5"/>
    <w:rsid w:val="00853EA6"/>
    <w:rsid w:val="0086028F"/>
    <w:rsid w:val="00861B4D"/>
    <w:rsid w:val="00867668"/>
    <w:rsid w:val="00867DDE"/>
    <w:rsid w:val="00870DC1"/>
    <w:rsid w:val="00874C65"/>
    <w:rsid w:val="008769C3"/>
    <w:rsid w:val="00883D60"/>
    <w:rsid w:val="0088526D"/>
    <w:rsid w:val="00890693"/>
    <w:rsid w:val="0089274C"/>
    <w:rsid w:val="0089305F"/>
    <w:rsid w:val="0089639C"/>
    <w:rsid w:val="00896E1D"/>
    <w:rsid w:val="008A1813"/>
    <w:rsid w:val="008A4BF0"/>
    <w:rsid w:val="008C33A5"/>
    <w:rsid w:val="008C557C"/>
    <w:rsid w:val="008C6F27"/>
    <w:rsid w:val="008D72E0"/>
    <w:rsid w:val="008D7C9D"/>
    <w:rsid w:val="008E7A98"/>
    <w:rsid w:val="008F112C"/>
    <w:rsid w:val="008F6DF7"/>
    <w:rsid w:val="009021B0"/>
    <w:rsid w:val="00902F16"/>
    <w:rsid w:val="00903C0F"/>
    <w:rsid w:val="00903F9E"/>
    <w:rsid w:val="0090425C"/>
    <w:rsid w:val="00905D48"/>
    <w:rsid w:val="0091584A"/>
    <w:rsid w:val="00915D7F"/>
    <w:rsid w:val="00931DB0"/>
    <w:rsid w:val="00934637"/>
    <w:rsid w:val="00934B38"/>
    <w:rsid w:val="00957E1D"/>
    <w:rsid w:val="00961750"/>
    <w:rsid w:val="00963C0D"/>
    <w:rsid w:val="009726E1"/>
    <w:rsid w:val="00972CE5"/>
    <w:rsid w:val="00976762"/>
    <w:rsid w:val="009812FD"/>
    <w:rsid w:val="00994883"/>
    <w:rsid w:val="009A046F"/>
    <w:rsid w:val="009B374A"/>
    <w:rsid w:val="009B3D16"/>
    <w:rsid w:val="009B57FB"/>
    <w:rsid w:val="009C148A"/>
    <w:rsid w:val="009C2ABB"/>
    <w:rsid w:val="009C3724"/>
    <w:rsid w:val="009C7161"/>
    <w:rsid w:val="009F02CC"/>
    <w:rsid w:val="00A02A6C"/>
    <w:rsid w:val="00A0692B"/>
    <w:rsid w:val="00A06F26"/>
    <w:rsid w:val="00A141E6"/>
    <w:rsid w:val="00A24C99"/>
    <w:rsid w:val="00A3391A"/>
    <w:rsid w:val="00A33E8B"/>
    <w:rsid w:val="00A36DB2"/>
    <w:rsid w:val="00A50D0D"/>
    <w:rsid w:val="00A5143B"/>
    <w:rsid w:val="00A52A82"/>
    <w:rsid w:val="00A54704"/>
    <w:rsid w:val="00A61A8C"/>
    <w:rsid w:val="00A61E36"/>
    <w:rsid w:val="00A66E36"/>
    <w:rsid w:val="00A72A07"/>
    <w:rsid w:val="00A73F47"/>
    <w:rsid w:val="00A833A7"/>
    <w:rsid w:val="00A85CE3"/>
    <w:rsid w:val="00A85EC4"/>
    <w:rsid w:val="00A9750E"/>
    <w:rsid w:val="00A9795B"/>
    <w:rsid w:val="00AA4851"/>
    <w:rsid w:val="00AA4BA8"/>
    <w:rsid w:val="00AB384B"/>
    <w:rsid w:val="00AB7688"/>
    <w:rsid w:val="00AC26D1"/>
    <w:rsid w:val="00AD0354"/>
    <w:rsid w:val="00AD0A9C"/>
    <w:rsid w:val="00AD20E1"/>
    <w:rsid w:val="00AE36F4"/>
    <w:rsid w:val="00AF02E5"/>
    <w:rsid w:val="00AF5457"/>
    <w:rsid w:val="00B066E8"/>
    <w:rsid w:val="00B1027E"/>
    <w:rsid w:val="00B12BFE"/>
    <w:rsid w:val="00B220AD"/>
    <w:rsid w:val="00B24D1F"/>
    <w:rsid w:val="00B32550"/>
    <w:rsid w:val="00B35F6F"/>
    <w:rsid w:val="00B378E9"/>
    <w:rsid w:val="00B37D9B"/>
    <w:rsid w:val="00B4088E"/>
    <w:rsid w:val="00B438C2"/>
    <w:rsid w:val="00B43A9B"/>
    <w:rsid w:val="00B51178"/>
    <w:rsid w:val="00B51744"/>
    <w:rsid w:val="00B54743"/>
    <w:rsid w:val="00B563D8"/>
    <w:rsid w:val="00B71546"/>
    <w:rsid w:val="00B71860"/>
    <w:rsid w:val="00B72E4C"/>
    <w:rsid w:val="00B734D8"/>
    <w:rsid w:val="00B818B5"/>
    <w:rsid w:val="00B81FF7"/>
    <w:rsid w:val="00B8474A"/>
    <w:rsid w:val="00B91F12"/>
    <w:rsid w:val="00BA401E"/>
    <w:rsid w:val="00BA4EF7"/>
    <w:rsid w:val="00BA5DFF"/>
    <w:rsid w:val="00BB5E35"/>
    <w:rsid w:val="00BB7F78"/>
    <w:rsid w:val="00BC1CB4"/>
    <w:rsid w:val="00BC30AD"/>
    <w:rsid w:val="00BC6A29"/>
    <w:rsid w:val="00BD1DC3"/>
    <w:rsid w:val="00BD7BCB"/>
    <w:rsid w:val="00BE001F"/>
    <w:rsid w:val="00BE30D0"/>
    <w:rsid w:val="00BE569F"/>
    <w:rsid w:val="00BF1C14"/>
    <w:rsid w:val="00BF3AFA"/>
    <w:rsid w:val="00C00B7F"/>
    <w:rsid w:val="00C10DD6"/>
    <w:rsid w:val="00C202BD"/>
    <w:rsid w:val="00C31F2B"/>
    <w:rsid w:val="00C32492"/>
    <w:rsid w:val="00C35DAA"/>
    <w:rsid w:val="00C40AD2"/>
    <w:rsid w:val="00C425AF"/>
    <w:rsid w:val="00C42838"/>
    <w:rsid w:val="00C54751"/>
    <w:rsid w:val="00C57FCD"/>
    <w:rsid w:val="00C65CEB"/>
    <w:rsid w:val="00C712DF"/>
    <w:rsid w:val="00C76D72"/>
    <w:rsid w:val="00C778CC"/>
    <w:rsid w:val="00C9012F"/>
    <w:rsid w:val="00C90FC6"/>
    <w:rsid w:val="00C94A0B"/>
    <w:rsid w:val="00CA0BE7"/>
    <w:rsid w:val="00CA1EE4"/>
    <w:rsid w:val="00CB5C3D"/>
    <w:rsid w:val="00CB6B1C"/>
    <w:rsid w:val="00CC22D9"/>
    <w:rsid w:val="00CC6264"/>
    <w:rsid w:val="00CD52C6"/>
    <w:rsid w:val="00CD6533"/>
    <w:rsid w:val="00CE1D3C"/>
    <w:rsid w:val="00D02957"/>
    <w:rsid w:val="00D04A65"/>
    <w:rsid w:val="00D05413"/>
    <w:rsid w:val="00D14244"/>
    <w:rsid w:val="00D14F7B"/>
    <w:rsid w:val="00D1529F"/>
    <w:rsid w:val="00D15AE6"/>
    <w:rsid w:val="00D16E22"/>
    <w:rsid w:val="00D170A9"/>
    <w:rsid w:val="00D2075B"/>
    <w:rsid w:val="00D25D75"/>
    <w:rsid w:val="00D321DA"/>
    <w:rsid w:val="00D32C7E"/>
    <w:rsid w:val="00D342C7"/>
    <w:rsid w:val="00D34E92"/>
    <w:rsid w:val="00D3766D"/>
    <w:rsid w:val="00D4231B"/>
    <w:rsid w:val="00D42BE5"/>
    <w:rsid w:val="00D441C1"/>
    <w:rsid w:val="00D5015D"/>
    <w:rsid w:val="00D505D7"/>
    <w:rsid w:val="00D51B63"/>
    <w:rsid w:val="00D65359"/>
    <w:rsid w:val="00D66659"/>
    <w:rsid w:val="00D73BBA"/>
    <w:rsid w:val="00D73D85"/>
    <w:rsid w:val="00D73EE7"/>
    <w:rsid w:val="00D76070"/>
    <w:rsid w:val="00D86280"/>
    <w:rsid w:val="00D954B8"/>
    <w:rsid w:val="00D967A9"/>
    <w:rsid w:val="00D97738"/>
    <w:rsid w:val="00DA4A73"/>
    <w:rsid w:val="00DA596A"/>
    <w:rsid w:val="00DA5F60"/>
    <w:rsid w:val="00DB2F37"/>
    <w:rsid w:val="00DB6ABF"/>
    <w:rsid w:val="00DC1697"/>
    <w:rsid w:val="00DC1F49"/>
    <w:rsid w:val="00DC73A8"/>
    <w:rsid w:val="00DD1804"/>
    <w:rsid w:val="00DD1902"/>
    <w:rsid w:val="00DD45E8"/>
    <w:rsid w:val="00DD6C7C"/>
    <w:rsid w:val="00DE447B"/>
    <w:rsid w:val="00DF03EB"/>
    <w:rsid w:val="00DF1EAD"/>
    <w:rsid w:val="00DF4C0D"/>
    <w:rsid w:val="00DF5CE0"/>
    <w:rsid w:val="00DF7ED2"/>
    <w:rsid w:val="00E0000D"/>
    <w:rsid w:val="00E07376"/>
    <w:rsid w:val="00E10951"/>
    <w:rsid w:val="00E10F05"/>
    <w:rsid w:val="00E13AC5"/>
    <w:rsid w:val="00E13E73"/>
    <w:rsid w:val="00E1446D"/>
    <w:rsid w:val="00E156BC"/>
    <w:rsid w:val="00E15BCA"/>
    <w:rsid w:val="00E17E5A"/>
    <w:rsid w:val="00E25EA1"/>
    <w:rsid w:val="00E40AE1"/>
    <w:rsid w:val="00E45781"/>
    <w:rsid w:val="00E5285F"/>
    <w:rsid w:val="00E52AB2"/>
    <w:rsid w:val="00E57ED5"/>
    <w:rsid w:val="00E60382"/>
    <w:rsid w:val="00E672CD"/>
    <w:rsid w:val="00E67E14"/>
    <w:rsid w:val="00E71071"/>
    <w:rsid w:val="00E74021"/>
    <w:rsid w:val="00E76C32"/>
    <w:rsid w:val="00E802D0"/>
    <w:rsid w:val="00E86574"/>
    <w:rsid w:val="00E9425C"/>
    <w:rsid w:val="00EA28BB"/>
    <w:rsid w:val="00EA799C"/>
    <w:rsid w:val="00EB1763"/>
    <w:rsid w:val="00EB3F74"/>
    <w:rsid w:val="00EB6BD2"/>
    <w:rsid w:val="00EC4745"/>
    <w:rsid w:val="00EC64DF"/>
    <w:rsid w:val="00ED2128"/>
    <w:rsid w:val="00ED3D1F"/>
    <w:rsid w:val="00EE6050"/>
    <w:rsid w:val="00EE6B3F"/>
    <w:rsid w:val="00EF4EA4"/>
    <w:rsid w:val="00F02998"/>
    <w:rsid w:val="00F1280D"/>
    <w:rsid w:val="00F13418"/>
    <w:rsid w:val="00F13A48"/>
    <w:rsid w:val="00F13C09"/>
    <w:rsid w:val="00F15B40"/>
    <w:rsid w:val="00F15FEF"/>
    <w:rsid w:val="00F16DF1"/>
    <w:rsid w:val="00F20F42"/>
    <w:rsid w:val="00F219B5"/>
    <w:rsid w:val="00F272F8"/>
    <w:rsid w:val="00F307A0"/>
    <w:rsid w:val="00F31EC0"/>
    <w:rsid w:val="00F34883"/>
    <w:rsid w:val="00F407F1"/>
    <w:rsid w:val="00F44758"/>
    <w:rsid w:val="00F46932"/>
    <w:rsid w:val="00F557E1"/>
    <w:rsid w:val="00F570B9"/>
    <w:rsid w:val="00F673E0"/>
    <w:rsid w:val="00F72D57"/>
    <w:rsid w:val="00F7313B"/>
    <w:rsid w:val="00F7327B"/>
    <w:rsid w:val="00F7399C"/>
    <w:rsid w:val="00F8142F"/>
    <w:rsid w:val="00F96459"/>
    <w:rsid w:val="00FA6296"/>
    <w:rsid w:val="00FB024B"/>
    <w:rsid w:val="00FB726F"/>
    <w:rsid w:val="00FD267C"/>
    <w:rsid w:val="00FD526B"/>
    <w:rsid w:val="00FE04B9"/>
    <w:rsid w:val="00FE2AFE"/>
    <w:rsid w:val="00FE3697"/>
    <w:rsid w:val="00FF1060"/>
    <w:rsid w:val="00FF47F3"/>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81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paragraph" w:styleId="Heading2">
    <w:name w:val="heading 2"/>
    <w:basedOn w:val="Normal"/>
    <w:next w:val="Normal"/>
    <w:link w:val="Heading2Char"/>
    <w:uiPriority w:val="9"/>
    <w:unhideWhenUsed/>
    <w:qFormat/>
    <w:rsid w:val="006A694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3B00B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B00B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alloonText">
    <w:name w:val="Balloon Text"/>
    <w:basedOn w:val="Normal"/>
    <w:link w:val="BalloonTextChar"/>
    <w:uiPriority w:val="99"/>
    <w:semiHidden/>
    <w:unhideWhenUsed/>
    <w:rsid w:val="007E0075"/>
    <w:rPr>
      <w:rFonts w:ascii="Segoe UI" w:hAnsi="Segoe UI" w:cs="Segoe UI"/>
      <w:sz w:val="18"/>
      <w:szCs w:val="18"/>
    </w:rPr>
  </w:style>
  <w:style w:type="character" w:customStyle="1" w:styleId="BalloonTextChar">
    <w:name w:val="Balloon Text Char"/>
    <w:link w:val="BalloonText"/>
    <w:uiPriority w:val="99"/>
    <w:semiHidden/>
    <w:rsid w:val="007E0075"/>
    <w:rPr>
      <w:rFonts w:ascii="Segoe UI" w:hAnsi="Segoe UI" w:cs="Segoe UI"/>
      <w:sz w:val="18"/>
      <w:szCs w:val="18"/>
    </w:rPr>
  </w:style>
  <w:style w:type="character" w:styleId="Hyperlink">
    <w:name w:val="Hyperlink"/>
    <w:uiPriority w:val="99"/>
    <w:unhideWhenUsed/>
    <w:rsid w:val="006A6949"/>
    <w:rPr>
      <w:color w:val="0000FF"/>
      <w:u w:val="single"/>
    </w:rPr>
  </w:style>
  <w:style w:type="character" w:customStyle="1" w:styleId="Heading2Char">
    <w:name w:val="Heading 2 Char"/>
    <w:link w:val="Heading2"/>
    <w:uiPriority w:val="9"/>
    <w:rsid w:val="006A6949"/>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6A6949"/>
    <w:pPr>
      <w:spacing w:before="100" w:beforeAutospacing="1" w:after="100" w:afterAutospacing="1"/>
    </w:pPr>
  </w:style>
  <w:style w:type="character" w:customStyle="1" w:styleId="apple-converted-space">
    <w:name w:val="apple-converted-space"/>
    <w:rsid w:val="006A6949"/>
  </w:style>
  <w:style w:type="character" w:styleId="CommentReference">
    <w:name w:val="annotation reference"/>
    <w:uiPriority w:val="99"/>
    <w:semiHidden/>
    <w:unhideWhenUsed/>
    <w:rsid w:val="00696B16"/>
    <w:rPr>
      <w:sz w:val="16"/>
      <w:szCs w:val="16"/>
    </w:rPr>
  </w:style>
  <w:style w:type="paragraph" w:styleId="CommentText">
    <w:name w:val="annotation text"/>
    <w:basedOn w:val="Normal"/>
    <w:link w:val="CommentTextChar"/>
    <w:uiPriority w:val="99"/>
    <w:unhideWhenUsed/>
    <w:rsid w:val="00696B16"/>
    <w:rPr>
      <w:sz w:val="20"/>
      <w:szCs w:val="20"/>
    </w:rPr>
  </w:style>
  <w:style w:type="character" w:customStyle="1" w:styleId="CommentTextChar">
    <w:name w:val="Comment Text Char"/>
    <w:basedOn w:val="DefaultParagraphFont"/>
    <w:link w:val="CommentText"/>
    <w:uiPriority w:val="99"/>
    <w:rsid w:val="00696B16"/>
  </w:style>
  <w:style w:type="paragraph" w:styleId="CommentSubject">
    <w:name w:val="annotation subject"/>
    <w:basedOn w:val="CommentText"/>
    <w:next w:val="CommentText"/>
    <w:link w:val="CommentSubjectChar"/>
    <w:uiPriority w:val="99"/>
    <w:semiHidden/>
    <w:unhideWhenUsed/>
    <w:rsid w:val="00696B16"/>
    <w:rPr>
      <w:b/>
      <w:bCs/>
    </w:rPr>
  </w:style>
  <w:style w:type="character" w:customStyle="1" w:styleId="CommentSubjectChar">
    <w:name w:val="Comment Subject Char"/>
    <w:link w:val="CommentSubject"/>
    <w:uiPriority w:val="99"/>
    <w:semiHidden/>
    <w:rsid w:val="00696B16"/>
    <w:rPr>
      <w:b/>
      <w:bCs/>
    </w:rPr>
  </w:style>
  <w:style w:type="table" w:styleId="TableGrid">
    <w:name w:val="Table Grid"/>
    <w:basedOn w:val="TableNormal"/>
    <w:uiPriority w:val="59"/>
    <w:rsid w:val="00E865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
    <w:name w:val="cita"/>
    <w:basedOn w:val="Normal"/>
    <w:rsid w:val="00062554"/>
    <w:pPr>
      <w:spacing w:before="100" w:beforeAutospacing="1" w:after="100" w:afterAutospacing="1"/>
    </w:pPr>
  </w:style>
  <w:style w:type="paragraph" w:customStyle="1" w:styleId="fp">
    <w:name w:val="fp"/>
    <w:basedOn w:val="Normal"/>
    <w:rsid w:val="00062554"/>
    <w:pPr>
      <w:spacing w:before="100" w:beforeAutospacing="1" w:after="100" w:afterAutospacing="1"/>
    </w:pPr>
  </w:style>
  <w:style w:type="character" w:customStyle="1" w:styleId="Heading4Char">
    <w:name w:val="Heading 4 Char"/>
    <w:link w:val="Heading4"/>
    <w:uiPriority w:val="9"/>
    <w:semiHidden/>
    <w:rsid w:val="003B00BA"/>
    <w:rPr>
      <w:rFonts w:ascii="Calibri" w:eastAsia="Times New Roman" w:hAnsi="Calibri" w:cs="Times New Roman"/>
      <w:b/>
      <w:bCs/>
      <w:sz w:val="28"/>
      <w:szCs w:val="28"/>
    </w:rPr>
  </w:style>
  <w:style w:type="paragraph" w:customStyle="1" w:styleId="statutory-body">
    <w:name w:val="statutory-body"/>
    <w:basedOn w:val="Normal"/>
    <w:rsid w:val="003B00BA"/>
    <w:pPr>
      <w:spacing w:before="100" w:beforeAutospacing="1" w:after="100" w:afterAutospacing="1"/>
    </w:pPr>
  </w:style>
  <w:style w:type="paragraph" w:customStyle="1" w:styleId="statutory-body-1em">
    <w:name w:val="statutory-body-1em"/>
    <w:basedOn w:val="Normal"/>
    <w:rsid w:val="003B00BA"/>
    <w:pPr>
      <w:spacing w:before="100" w:beforeAutospacing="1" w:after="100" w:afterAutospacing="1"/>
    </w:pPr>
  </w:style>
  <w:style w:type="character" w:customStyle="1" w:styleId="Heading3Char">
    <w:name w:val="Heading 3 Char"/>
    <w:link w:val="Heading3"/>
    <w:uiPriority w:val="9"/>
    <w:semiHidden/>
    <w:rsid w:val="003B00BA"/>
    <w:rPr>
      <w:rFonts w:ascii="Calibri Light" w:eastAsia="Times New Roman" w:hAnsi="Calibri Light" w:cs="Times New Roman"/>
      <w:b/>
      <w:bCs/>
      <w:sz w:val="26"/>
      <w:szCs w:val="26"/>
    </w:rPr>
  </w:style>
  <w:style w:type="paragraph" w:styleId="Revision">
    <w:name w:val="Revision"/>
    <w:hidden/>
    <w:uiPriority w:val="99"/>
    <w:semiHidden/>
    <w:rsid w:val="00425F2F"/>
    <w:rPr>
      <w:sz w:val="24"/>
      <w:szCs w:val="24"/>
    </w:rPr>
  </w:style>
  <w:style w:type="paragraph" w:styleId="Header">
    <w:name w:val="header"/>
    <w:basedOn w:val="Normal"/>
    <w:link w:val="HeaderChar"/>
    <w:uiPriority w:val="99"/>
    <w:unhideWhenUsed/>
    <w:rsid w:val="000D2DF6"/>
    <w:pPr>
      <w:tabs>
        <w:tab w:val="center" w:pos="4680"/>
        <w:tab w:val="right" w:pos="9360"/>
      </w:tabs>
    </w:pPr>
  </w:style>
  <w:style w:type="character" w:customStyle="1" w:styleId="HeaderChar">
    <w:name w:val="Header Char"/>
    <w:link w:val="Header"/>
    <w:uiPriority w:val="99"/>
    <w:rsid w:val="000D2DF6"/>
    <w:rPr>
      <w:sz w:val="24"/>
      <w:szCs w:val="24"/>
    </w:rPr>
  </w:style>
  <w:style w:type="paragraph" w:styleId="Footer">
    <w:name w:val="footer"/>
    <w:basedOn w:val="Normal"/>
    <w:link w:val="FooterChar"/>
    <w:uiPriority w:val="99"/>
    <w:unhideWhenUsed/>
    <w:rsid w:val="000D2DF6"/>
    <w:pPr>
      <w:tabs>
        <w:tab w:val="center" w:pos="4680"/>
        <w:tab w:val="right" w:pos="9360"/>
      </w:tabs>
    </w:pPr>
  </w:style>
  <w:style w:type="character" w:customStyle="1" w:styleId="FooterChar">
    <w:name w:val="Footer Char"/>
    <w:link w:val="Footer"/>
    <w:uiPriority w:val="99"/>
    <w:rsid w:val="000D2DF6"/>
    <w:rPr>
      <w:sz w:val="24"/>
      <w:szCs w:val="24"/>
    </w:rPr>
  </w:style>
  <w:style w:type="paragraph" w:styleId="DocumentMap">
    <w:name w:val="Document Map"/>
    <w:basedOn w:val="Normal"/>
    <w:link w:val="DocumentMapChar"/>
    <w:uiPriority w:val="99"/>
    <w:semiHidden/>
    <w:unhideWhenUsed/>
    <w:rsid w:val="000C67AE"/>
    <w:rPr>
      <w:rFonts w:ascii="Tahoma" w:hAnsi="Tahoma" w:cs="Tahoma"/>
      <w:sz w:val="16"/>
      <w:szCs w:val="16"/>
    </w:rPr>
  </w:style>
  <w:style w:type="character" w:customStyle="1" w:styleId="DocumentMapChar">
    <w:name w:val="Document Map Char"/>
    <w:basedOn w:val="DefaultParagraphFont"/>
    <w:link w:val="DocumentMap"/>
    <w:uiPriority w:val="99"/>
    <w:semiHidden/>
    <w:rsid w:val="000C67AE"/>
    <w:rPr>
      <w:rFonts w:ascii="Tahoma" w:hAnsi="Tahoma" w:cs="Tahoma"/>
      <w:sz w:val="16"/>
      <w:szCs w:val="16"/>
    </w:rPr>
  </w:style>
  <w:style w:type="paragraph" w:styleId="ListParagraph">
    <w:name w:val="List Paragraph"/>
    <w:basedOn w:val="Normal"/>
    <w:uiPriority w:val="34"/>
    <w:qFormat/>
    <w:rsid w:val="00525CD7"/>
    <w:pPr>
      <w:ind w:left="720"/>
      <w:contextualSpacing/>
    </w:pPr>
  </w:style>
  <w:style w:type="character" w:styleId="UnresolvedMention">
    <w:name w:val="Unresolved Mention"/>
    <w:basedOn w:val="DefaultParagraphFont"/>
    <w:uiPriority w:val="99"/>
    <w:semiHidden/>
    <w:unhideWhenUsed/>
    <w:rsid w:val="00F13A48"/>
    <w:rPr>
      <w:color w:val="605E5C"/>
      <w:shd w:val="clear" w:color="auto" w:fill="E1DFDD"/>
    </w:rPr>
  </w:style>
  <w:style w:type="paragraph" w:styleId="NoSpacing">
    <w:name w:val="No Spacing"/>
    <w:uiPriority w:val="1"/>
    <w:qFormat/>
    <w:rsid w:val="00A52A82"/>
    <w:rPr>
      <w:sz w:val="24"/>
      <w:szCs w:val="24"/>
    </w:rPr>
  </w:style>
  <w:style w:type="character" w:styleId="FollowedHyperlink">
    <w:name w:val="FollowedHyperlink"/>
    <w:basedOn w:val="DefaultParagraphFont"/>
    <w:uiPriority w:val="99"/>
    <w:semiHidden/>
    <w:unhideWhenUsed/>
    <w:rsid w:val="009F0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3180">
      <w:bodyDiv w:val="1"/>
      <w:marLeft w:val="0"/>
      <w:marRight w:val="0"/>
      <w:marTop w:val="0"/>
      <w:marBottom w:val="0"/>
      <w:divBdr>
        <w:top w:val="none" w:sz="0" w:space="0" w:color="auto"/>
        <w:left w:val="none" w:sz="0" w:space="0" w:color="auto"/>
        <w:bottom w:val="none" w:sz="0" w:space="0" w:color="auto"/>
        <w:right w:val="none" w:sz="0" w:space="0" w:color="auto"/>
      </w:divBdr>
    </w:div>
    <w:div w:id="282227136">
      <w:bodyDiv w:val="1"/>
      <w:marLeft w:val="0"/>
      <w:marRight w:val="0"/>
      <w:marTop w:val="0"/>
      <w:marBottom w:val="0"/>
      <w:divBdr>
        <w:top w:val="none" w:sz="0" w:space="0" w:color="auto"/>
        <w:left w:val="none" w:sz="0" w:space="0" w:color="auto"/>
        <w:bottom w:val="none" w:sz="0" w:space="0" w:color="auto"/>
        <w:right w:val="none" w:sz="0" w:space="0" w:color="auto"/>
      </w:divBdr>
    </w:div>
    <w:div w:id="453867954">
      <w:bodyDiv w:val="1"/>
      <w:marLeft w:val="0"/>
      <w:marRight w:val="0"/>
      <w:marTop w:val="0"/>
      <w:marBottom w:val="0"/>
      <w:divBdr>
        <w:top w:val="none" w:sz="0" w:space="0" w:color="auto"/>
        <w:left w:val="none" w:sz="0" w:space="0" w:color="auto"/>
        <w:bottom w:val="none" w:sz="0" w:space="0" w:color="auto"/>
        <w:right w:val="none" w:sz="0" w:space="0" w:color="auto"/>
      </w:divBdr>
    </w:div>
    <w:div w:id="718359741">
      <w:bodyDiv w:val="1"/>
      <w:marLeft w:val="0"/>
      <w:marRight w:val="0"/>
      <w:marTop w:val="0"/>
      <w:marBottom w:val="0"/>
      <w:divBdr>
        <w:top w:val="none" w:sz="0" w:space="0" w:color="auto"/>
        <w:left w:val="none" w:sz="0" w:space="0" w:color="auto"/>
        <w:bottom w:val="none" w:sz="0" w:space="0" w:color="auto"/>
        <w:right w:val="none" w:sz="0" w:space="0" w:color="auto"/>
      </w:divBdr>
    </w:div>
    <w:div w:id="854538458">
      <w:bodyDiv w:val="1"/>
      <w:marLeft w:val="0"/>
      <w:marRight w:val="0"/>
      <w:marTop w:val="0"/>
      <w:marBottom w:val="0"/>
      <w:divBdr>
        <w:top w:val="none" w:sz="0" w:space="0" w:color="auto"/>
        <w:left w:val="none" w:sz="0" w:space="0" w:color="auto"/>
        <w:bottom w:val="none" w:sz="0" w:space="0" w:color="auto"/>
        <w:right w:val="none" w:sz="0" w:space="0" w:color="auto"/>
      </w:divBdr>
    </w:div>
    <w:div w:id="1094470642">
      <w:bodyDiv w:val="1"/>
      <w:marLeft w:val="0"/>
      <w:marRight w:val="0"/>
      <w:marTop w:val="0"/>
      <w:marBottom w:val="0"/>
      <w:divBdr>
        <w:top w:val="none" w:sz="0" w:space="0" w:color="auto"/>
        <w:left w:val="none" w:sz="0" w:space="0" w:color="auto"/>
        <w:bottom w:val="none" w:sz="0" w:space="0" w:color="auto"/>
        <w:right w:val="none" w:sz="0" w:space="0" w:color="auto"/>
      </w:divBdr>
    </w:div>
    <w:div w:id="1132670037">
      <w:bodyDiv w:val="1"/>
      <w:marLeft w:val="0"/>
      <w:marRight w:val="0"/>
      <w:marTop w:val="0"/>
      <w:marBottom w:val="0"/>
      <w:divBdr>
        <w:top w:val="none" w:sz="0" w:space="0" w:color="auto"/>
        <w:left w:val="none" w:sz="0" w:space="0" w:color="auto"/>
        <w:bottom w:val="none" w:sz="0" w:space="0" w:color="auto"/>
        <w:right w:val="none" w:sz="0" w:space="0" w:color="auto"/>
      </w:divBdr>
    </w:div>
    <w:div w:id="1239680244">
      <w:bodyDiv w:val="1"/>
      <w:marLeft w:val="0"/>
      <w:marRight w:val="0"/>
      <w:marTop w:val="0"/>
      <w:marBottom w:val="0"/>
      <w:divBdr>
        <w:top w:val="none" w:sz="0" w:space="0" w:color="auto"/>
        <w:left w:val="none" w:sz="0" w:space="0" w:color="auto"/>
        <w:bottom w:val="none" w:sz="0" w:space="0" w:color="auto"/>
        <w:right w:val="none" w:sz="0" w:space="0" w:color="auto"/>
      </w:divBdr>
    </w:div>
    <w:div w:id="1428889792">
      <w:bodyDiv w:val="1"/>
      <w:marLeft w:val="0"/>
      <w:marRight w:val="0"/>
      <w:marTop w:val="0"/>
      <w:marBottom w:val="0"/>
      <w:divBdr>
        <w:top w:val="none" w:sz="0" w:space="0" w:color="auto"/>
        <w:left w:val="none" w:sz="0" w:space="0" w:color="auto"/>
        <w:bottom w:val="none" w:sz="0" w:space="0" w:color="auto"/>
        <w:right w:val="none" w:sz="0" w:space="0" w:color="auto"/>
      </w:divBdr>
    </w:div>
    <w:div w:id="1506558526">
      <w:bodyDiv w:val="1"/>
      <w:marLeft w:val="0"/>
      <w:marRight w:val="0"/>
      <w:marTop w:val="0"/>
      <w:marBottom w:val="0"/>
      <w:divBdr>
        <w:top w:val="none" w:sz="0" w:space="0" w:color="auto"/>
        <w:left w:val="none" w:sz="0" w:space="0" w:color="auto"/>
        <w:bottom w:val="none" w:sz="0" w:space="0" w:color="auto"/>
        <w:right w:val="none" w:sz="0" w:space="0" w:color="auto"/>
      </w:divBdr>
    </w:div>
    <w:div w:id="19000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F8DC0173ECA442AD6B8A66EC694B2E" ma:contentTypeVersion="6" ma:contentTypeDescription="Create a new document." ma:contentTypeScope="" ma:versionID="b3b6b58fe6bcd5cc7ba8c10a49fa6ce0">
  <xsd:schema xmlns:xsd="http://www.w3.org/2001/XMLSchema" xmlns:xs="http://www.w3.org/2001/XMLSchema" xmlns:p="http://schemas.microsoft.com/office/2006/metadata/properties" xmlns:ns3="66e54068-9fc2-44f6-abb7-38db03799aa7" targetNamespace="http://schemas.microsoft.com/office/2006/metadata/properties" ma:root="true" ma:fieldsID="2fd2c896c7dc368e4918bae6945bab1d" ns3:_="">
    <xsd:import namespace="66e54068-9fc2-44f6-abb7-38db03799a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54068-9fc2-44f6-abb7-38db03799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F490B1FB0B9442811475CFB98693D2" ma:contentTypeVersion="2" ma:contentTypeDescription="Create a new document." ma:contentTypeScope="" ma:versionID="261816a6d1d59270a0719f52b0f94d68">
  <xsd:schema xmlns:xsd="http://www.w3.org/2001/XMLSchema" xmlns:xs="http://www.w3.org/2001/XMLSchema" xmlns:p="http://schemas.microsoft.com/office/2006/metadata/properties" xmlns:ns2="bca64ba1-97f3-4d8d-bc00-3bed2b1dffb1" targetNamespace="http://schemas.microsoft.com/office/2006/metadata/properties" ma:root="true" ma:fieldsID="bf510303dd044b62600e3f9decc03f5c" ns2:_="">
    <xsd:import namespace="bca64ba1-97f3-4d8d-bc00-3bed2b1dff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64ba1-97f3-4d8d-bc00-3bed2b1df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7559E-790C-451C-9155-5FF1A2F0A6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23CAB2-E9D0-4048-A5CE-B46BB2145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54068-9fc2-44f6-abb7-38db03799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129AA-2B47-406B-A9AF-34EB906A67D1}">
  <ds:schemaRefs>
    <ds:schemaRef ds:uri="http://schemas.microsoft.com/office/2006/metadata/longProperties"/>
  </ds:schemaRefs>
</ds:datastoreItem>
</file>

<file path=customXml/itemProps4.xml><?xml version="1.0" encoding="utf-8"?>
<ds:datastoreItem xmlns:ds="http://schemas.openxmlformats.org/officeDocument/2006/customXml" ds:itemID="{F559AE6D-F232-48AD-BE10-8B7574C66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64ba1-97f3-4d8d-bc00-3bed2b1df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35D52D-C0FF-453B-86B5-F34E0FD94B75}">
  <ds:schemaRefs>
    <ds:schemaRef ds:uri="http://schemas.microsoft.com/sharepoint/v3/contenttype/forms"/>
  </ds:schemaRefs>
</ds:datastoreItem>
</file>

<file path=customXml/itemProps6.xml><?xml version="1.0" encoding="utf-8"?>
<ds:datastoreItem xmlns:ds="http://schemas.openxmlformats.org/officeDocument/2006/customXml" ds:itemID="{AB340712-74DB-4EBC-80ED-913A61B5D6A5}">
  <ds:schemaRefs>
    <ds:schemaRef ds:uri="http://schemas.openxmlformats.org/officeDocument/2006/bibliography"/>
  </ds:schemaRefs>
</ds:datastoreItem>
</file>

<file path=customXml/itemProps7.xml><?xml version="1.0" encoding="utf-8"?>
<ds:datastoreItem xmlns:ds="http://schemas.openxmlformats.org/officeDocument/2006/customXml" ds:itemID="{406BC15A-E9D3-43A0-9DD5-61F089FEF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4430</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2021-06-23T23:24:00Z</dcterms:created>
  <dcterms:modified xsi:type="dcterms:W3CDTF">2021-06-23T23:24:00Z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0x0101006FF8DC0173ECA442AD6B8A66EC694B2E</vt:lpwstr>
  </property>
  <property fmtid="{D5CDD505-2E9C-101B-9397-08002B2CF9AE}" pid="3" name="_dlc_DocIdItemGuid">
    <vt:lpwstr>ff228df7-1322-40a6-83a5-32d62edc1ba4</vt:lpwstr>
  </property>
</Properties>
</file>