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3B1" w:rsidP="006C7FAE" w:rsidRDefault="009E13B1" w14:paraId="75FA5705" w14:textId="77777777">
      <w:pPr>
        <w:jc w:val="center"/>
        <w:rPr>
          <w:b/>
          <w:sz w:val="24"/>
          <w:szCs w:val="24"/>
        </w:rPr>
      </w:pPr>
      <w:r w:rsidRPr="00167E53">
        <w:rPr>
          <w:b/>
          <w:sz w:val="24"/>
          <w:szCs w:val="24"/>
        </w:rPr>
        <w:t>Supporting Statement for Paperwork Reduction Act Submissions</w:t>
      </w:r>
    </w:p>
    <w:p w:rsidRPr="00167E53" w:rsidR="00167E53" w:rsidRDefault="00B32E77" w14:paraId="1FE94F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CoC Program Registration</w:t>
      </w:r>
    </w:p>
    <w:p w:rsidR="00167E53" w:rsidRDefault="00167E53" w14:paraId="548F74FF" w14:textId="5C0D4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Pr="00B32E77" w:rsidR="00B32E77">
        <w:rPr>
          <w:b/>
          <w:sz w:val="24"/>
          <w:szCs w:val="24"/>
        </w:rPr>
        <w:t>2506-</w:t>
      </w:r>
      <w:r w:rsidRPr="0008470B" w:rsidR="0008470B">
        <w:rPr>
          <w:b/>
          <w:sz w:val="24"/>
          <w:szCs w:val="24"/>
        </w:rPr>
        <w:t>0182</w:t>
      </w:r>
      <w:r w:rsidRPr="00167E53">
        <w:rPr>
          <w:b/>
          <w:sz w:val="24"/>
          <w:szCs w:val="24"/>
        </w:rPr>
        <w:t>)</w:t>
      </w:r>
    </w:p>
    <w:p w:rsidRPr="00167E53" w:rsidR="007C0C9D" w:rsidRDefault="007C0C9D" w14:paraId="05A4B4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Pr="00167E53" w:rsidR="009E13B1" w:rsidP="006C7FAE" w:rsidRDefault="009E13B1" w14:paraId="1E8839F3" w14:textId="77777777">
      <w:pPr>
        <w:rPr>
          <w:b/>
          <w:sz w:val="24"/>
          <w:szCs w:val="24"/>
        </w:rPr>
      </w:pPr>
    </w:p>
    <w:p w:rsidRPr="006C7FAE" w:rsidR="009E13B1" w:rsidRDefault="009E13B1" w14:paraId="6B23D48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589E0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7C0C9D" w:rsidR="000A6E3A" w:rsidP="007C0C9D" w:rsidRDefault="009E13B1" w14:paraId="412670EF" w14:textId="1BC43557">
      <w:pPr>
        <w:pStyle w:val="ListParagraph"/>
        <w:keepLines/>
        <w:numPr>
          <w:ilvl w:val="0"/>
          <w:numId w:val="17"/>
        </w:numPr>
        <w:tabs>
          <w:tab w:val="left" w:pos="360"/>
        </w:tabs>
        <w:spacing w:after="80"/>
        <w:rPr>
          <w:sz w:val="24"/>
          <w:szCs w:val="24"/>
        </w:rPr>
      </w:pPr>
      <w:r w:rsidRPr="007C0C9D">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C0C9D" w:rsidR="007C0C9D" w:rsidP="007C0C9D" w:rsidRDefault="007C0C9D" w14:paraId="31D854AB" w14:textId="77777777">
      <w:pPr>
        <w:keepLines/>
        <w:tabs>
          <w:tab w:val="left" w:pos="360"/>
        </w:tabs>
        <w:spacing w:after="80"/>
        <w:ind w:left="360"/>
        <w:rPr>
          <w:sz w:val="24"/>
          <w:szCs w:val="24"/>
        </w:rPr>
      </w:pPr>
    </w:p>
    <w:p w:rsidR="006C3ACD" w:rsidP="000A6E3A" w:rsidRDefault="00600B2C" w14:paraId="7AC765F9" w14:textId="7924DF63">
      <w:pPr>
        <w:keepLines/>
        <w:tabs>
          <w:tab w:val="left" w:pos="360"/>
        </w:tabs>
        <w:spacing w:after="80"/>
        <w:ind w:left="360"/>
        <w:rPr>
          <w:sz w:val="24"/>
          <w:szCs w:val="24"/>
        </w:rPr>
      </w:pPr>
      <w:bookmarkStart w:name="_Hlk65569227" w:id="0"/>
      <w:r w:rsidRPr="00600B2C">
        <w:rPr>
          <w:sz w:val="24"/>
          <w:szCs w:val="24"/>
        </w:rPr>
        <w:t xml:space="preserve">Information is collected through the electronic e-snaps system that collects responses to the Continuum of Care (CoC) registration process to prepare CoCs for the annual Competition and is being revised to include Indian Tribes and Tribally Designated Housing Entities (TDHEs) as authorized by the Consolidated Appropriations Act, 2021 (Public Law 116-260, approved December 27, 2020). </w:t>
      </w:r>
      <w:bookmarkEnd w:id="0"/>
      <w:r w:rsidRPr="000A6E3A" w:rsidR="000A6E3A">
        <w:rPr>
          <w:sz w:val="24"/>
          <w:szCs w:val="24"/>
        </w:rPr>
        <w:t>The Continuum of Care Registration (CoC) is the first part of the information collection process used by</w:t>
      </w:r>
      <w:r>
        <w:rPr>
          <w:sz w:val="24"/>
          <w:szCs w:val="24"/>
        </w:rPr>
        <w:t xml:space="preserve"> the U.S. Department of Housing and Urban Development</w:t>
      </w:r>
      <w:r w:rsidRPr="000A6E3A" w:rsidR="000A6E3A">
        <w:rPr>
          <w:sz w:val="24"/>
          <w:szCs w:val="24"/>
        </w:rPr>
        <w:t xml:space="preserve"> </w:t>
      </w:r>
      <w:r>
        <w:rPr>
          <w:sz w:val="24"/>
          <w:szCs w:val="24"/>
        </w:rPr>
        <w:t>(</w:t>
      </w:r>
      <w:r w:rsidRPr="000A6E3A" w:rsidR="000A6E3A">
        <w:rPr>
          <w:sz w:val="24"/>
          <w:szCs w:val="24"/>
        </w:rPr>
        <w:t>HUD</w:t>
      </w:r>
      <w:r>
        <w:rPr>
          <w:sz w:val="24"/>
          <w:szCs w:val="24"/>
        </w:rPr>
        <w:t>)</w:t>
      </w:r>
      <w:r w:rsidRPr="000A6E3A" w:rsidR="000A6E3A">
        <w:rPr>
          <w:sz w:val="24"/>
          <w:szCs w:val="24"/>
        </w:rPr>
        <w:t xml:space="preserve"> in the annual competitive homeless assistance program, the CoC program, authorized by the </w:t>
      </w:r>
      <w:bookmarkStart w:name="_Hlk65479242" w:id="1"/>
      <w:r w:rsidR="000E4AE2">
        <w:rPr>
          <w:sz w:val="24"/>
          <w:szCs w:val="24"/>
        </w:rPr>
        <w:t xml:space="preserve">McKinney-Vento Homeless Assistance Act </w:t>
      </w:r>
      <w:bookmarkEnd w:id="1"/>
      <w:r w:rsidR="000817F1">
        <w:rPr>
          <w:sz w:val="24"/>
          <w:szCs w:val="24"/>
        </w:rPr>
        <w:t>(the Act)</w:t>
      </w:r>
      <w:r w:rsidRPr="000A6E3A" w:rsidR="000A6E3A">
        <w:rPr>
          <w:sz w:val="24"/>
          <w:szCs w:val="24"/>
        </w:rPr>
        <w:t xml:space="preserve">.  This request, however, is separate from the Continuum of Care Program Application.  This separation is necessary due in part to the electronic management system and the fact that the CoC Registration occurs prior to the collection of the CoC Program Application.  Additionally, the information collected during CoC Program Registration does not frequently change; therefore, HUD will only need to seek OMB approval every three years, as required by the Paperwork Reduction Act. </w:t>
      </w:r>
    </w:p>
    <w:p w:rsidR="007C0C9D" w:rsidP="000A6E3A" w:rsidRDefault="000A6E3A" w14:paraId="7D471534" w14:textId="77777777">
      <w:pPr>
        <w:keepLines/>
        <w:tabs>
          <w:tab w:val="left" w:pos="360"/>
        </w:tabs>
        <w:spacing w:after="80"/>
        <w:ind w:left="360"/>
        <w:rPr>
          <w:sz w:val="24"/>
          <w:szCs w:val="24"/>
        </w:rPr>
      </w:pPr>
      <w:r w:rsidRPr="000A6E3A">
        <w:rPr>
          <w:sz w:val="24"/>
          <w:szCs w:val="24"/>
        </w:rPr>
        <w:t>CoC Program Registration comprises the first phase of the combined CoC Program information collection form.  During this phase, HUD collects the contact information of the CoC designated Collaborative Applicant, Homeless Management Information System (HMIS) Lead, and Homeless Resource Contact Person, as well as the geographic areas claimed by each CoC.  Collaborative Applicant</w:t>
      </w:r>
      <w:r>
        <w:rPr>
          <w:sz w:val="24"/>
          <w:szCs w:val="24"/>
        </w:rPr>
        <w:t>s</w:t>
      </w:r>
      <w:r w:rsidRPr="000A6E3A">
        <w:rPr>
          <w:sz w:val="24"/>
          <w:szCs w:val="24"/>
        </w:rPr>
        <w:t xml:space="preserve"> </w:t>
      </w:r>
      <w:r>
        <w:rPr>
          <w:sz w:val="24"/>
          <w:szCs w:val="24"/>
        </w:rPr>
        <w:t xml:space="preserve">review, update, and </w:t>
      </w:r>
      <w:r w:rsidRPr="000A6E3A">
        <w:rPr>
          <w:sz w:val="24"/>
          <w:szCs w:val="24"/>
        </w:rPr>
        <w:t xml:space="preserve">approve the </w:t>
      </w:r>
      <w:r>
        <w:rPr>
          <w:sz w:val="24"/>
          <w:szCs w:val="24"/>
        </w:rPr>
        <w:t>geographic codes the CoC covers to provide housing and services to individuals and families experiencing homelessness.</w:t>
      </w:r>
      <w:r w:rsidRPr="000A6E3A">
        <w:rPr>
          <w:sz w:val="24"/>
          <w:szCs w:val="24"/>
        </w:rPr>
        <w:t xml:space="preserve"> If a Collaborative Applicant chooses to apply for Unified Funding Agency (UFA) designation, HUD will collect information regarding the CoC’s board structure and the capacity of the CoC to carry out the various activities outlined in 24 CFR 578.11.  Further, if a Collaborative Applicant, at the request of the CoC applies for High Performing Community Designation (HPC), the Collaborative Applicant will complete additional information </w:t>
      </w:r>
      <w:r>
        <w:rPr>
          <w:sz w:val="24"/>
          <w:szCs w:val="24"/>
        </w:rPr>
        <w:t>to</w:t>
      </w:r>
      <w:r w:rsidRPr="000A6E3A">
        <w:rPr>
          <w:sz w:val="24"/>
          <w:szCs w:val="24"/>
        </w:rPr>
        <w:t xml:space="preserve"> demonstrate it meets the requirements of subpart E as outlined in 24 CFR part 578.  The registration information is necessary to assist in the selection of proposals submitted to HUD (by </w:t>
      </w:r>
      <w:bookmarkStart w:name="_Hlk65479323" w:id="2"/>
      <w:r>
        <w:rPr>
          <w:sz w:val="24"/>
          <w:szCs w:val="24"/>
        </w:rPr>
        <w:t>n</w:t>
      </w:r>
      <w:r w:rsidRPr="000A6E3A">
        <w:rPr>
          <w:sz w:val="24"/>
          <w:szCs w:val="24"/>
        </w:rPr>
        <w:t>onprofit organizations, states, local governments, and instrumentalities of state and local governments</w:t>
      </w:r>
      <w:r w:rsidR="00C00355">
        <w:rPr>
          <w:sz w:val="24"/>
          <w:szCs w:val="24"/>
        </w:rPr>
        <w:t xml:space="preserve">, </w:t>
      </w:r>
      <w:bookmarkStart w:name="_Hlk65569382" w:id="3"/>
      <w:r w:rsidR="00C00355">
        <w:rPr>
          <w:sz w:val="24"/>
          <w:szCs w:val="24"/>
        </w:rPr>
        <w:t>Indian Tribes</w:t>
      </w:r>
      <w:r w:rsidR="00D47C21">
        <w:rPr>
          <w:sz w:val="24"/>
          <w:szCs w:val="24"/>
        </w:rPr>
        <w:t xml:space="preserve"> or</w:t>
      </w:r>
      <w:r w:rsidR="00C00355">
        <w:rPr>
          <w:sz w:val="24"/>
          <w:szCs w:val="24"/>
        </w:rPr>
        <w:t xml:space="preserve"> Tribally Designated Housing Entities (TDHEs) (as defined in section 4 of the Native American Housing Assistance and Self-Determination Act of 1996 (24 U.S.C. 4103)</w:t>
      </w:r>
      <w:r w:rsidR="004654AA">
        <w:rPr>
          <w:sz w:val="24"/>
          <w:szCs w:val="24"/>
        </w:rPr>
        <w:t xml:space="preserve">, </w:t>
      </w:r>
      <w:bookmarkEnd w:id="3"/>
      <w:r w:rsidR="00513D0F">
        <w:rPr>
          <w:sz w:val="24"/>
          <w:szCs w:val="24"/>
        </w:rPr>
        <w:t>and</w:t>
      </w:r>
      <w:r w:rsidRPr="000A6E3A">
        <w:rPr>
          <w:sz w:val="24"/>
          <w:szCs w:val="24"/>
        </w:rPr>
        <w:t xml:space="preserve"> Public Housing Agencies (PHAs), as such term is defined in 24 </w:t>
      </w:r>
      <w:bookmarkEnd w:id="2"/>
      <w:r w:rsidRPr="000A6E3A">
        <w:rPr>
          <w:sz w:val="24"/>
          <w:szCs w:val="24"/>
        </w:rPr>
        <w:t xml:space="preserve">CFR 5.100) for the awarded funds under the CoC Consolidated Application. </w:t>
      </w:r>
    </w:p>
    <w:p w:rsidRPr="000A6E3A" w:rsidR="000A6E3A" w:rsidP="000A6E3A" w:rsidRDefault="000A6E3A" w14:paraId="4EA009E7" w14:textId="5405CAEF">
      <w:pPr>
        <w:keepLines/>
        <w:tabs>
          <w:tab w:val="left" w:pos="360"/>
        </w:tabs>
        <w:spacing w:after="80"/>
        <w:ind w:left="360"/>
        <w:rPr>
          <w:sz w:val="24"/>
          <w:szCs w:val="24"/>
        </w:rPr>
      </w:pPr>
      <w:r w:rsidRPr="000A6E3A">
        <w:rPr>
          <w:sz w:val="24"/>
          <w:szCs w:val="24"/>
        </w:rPr>
        <w:t xml:space="preserve"> </w:t>
      </w:r>
    </w:p>
    <w:p w:rsidR="009E13B1" w:rsidP="00FB2724" w:rsidRDefault="000A6E3A" w14:paraId="6CA8B3EA" w14:textId="658EA7D7">
      <w:pPr>
        <w:keepLines/>
        <w:tabs>
          <w:tab w:val="left" w:pos="360"/>
        </w:tabs>
        <w:spacing w:after="80"/>
        <w:ind w:left="360"/>
        <w:rPr>
          <w:sz w:val="24"/>
          <w:szCs w:val="24"/>
        </w:rPr>
      </w:pPr>
      <w:r w:rsidRPr="000A6E3A">
        <w:rPr>
          <w:sz w:val="24"/>
          <w:szCs w:val="24"/>
        </w:rPr>
        <w:t>The regulatory authority to collect this information is contained in</w:t>
      </w:r>
      <w:r w:rsidR="000817F1">
        <w:rPr>
          <w:sz w:val="24"/>
          <w:szCs w:val="24"/>
        </w:rPr>
        <w:t xml:space="preserve"> the Act and</w:t>
      </w:r>
      <w:r w:rsidRPr="000A6E3A">
        <w:rPr>
          <w:sz w:val="24"/>
          <w:szCs w:val="24"/>
        </w:rPr>
        <w:t xml:space="preserve"> </w:t>
      </w:r>
      <w:r>
        <w:rPr>
          <w:sz w:val="24"/>
          <w:szCs w:val="24"/>
        </w:rPr>
        <w:t>24 CFR part 578</w:t>
      </w:r>
      <w:r w:rsidR="000817F1">
        <w:rPr>
          <w:sz w:val="24"/>
          <w:szCs w:val="24"/>
        </w:rPr>
        <w:t xml:space="preserve"> (the Rule)</w:t>
      </w:r>
      <w:r w:rsidRPr="000A6E3A">
        <w:rPr>
          <w:sz w:val="24"/>
          <w:szCs w:val="24"/>
        </w:rPr>
        <w:t>.</w:t>
      </w:r>
      <w:r w:rsidR="000817F1">
        <w:rPr>
          <w:sz w:val="24"/>
          <w:szCs w:val="24"/>
        </w:rPr>
        <w:t xml:space="preserve"> </w:t>
      </w:r>
      <w:r w:rsidRPr="000A6E3A">
        <w:rPr>
          <w:sz w:val="24"/>
          <w:szCs w:val="24"/>
        </w:rPr>
        <w:t xml:space="preserve">Selection of applications for funding under CoC Program is based on rating factors listed in the </w:t>
      </w:r>
      <w:r>
        <w:rPr>
          <w:sz w:val="24"/>
          <w:szCs w:val="24"/>
        </w:rPr>
        <w:t xml:space="preserve">annual </w:t>
      </w:r>
      <w:r w:rsidRPr="000A6E3A">
        <w:rPr>
          <w:sz w:val="24"/>
          <w:szCs w:val="24"/>
        </w:rPr>
        <w:t>Notice of Funding Availability (NOFA)</w:t>
      </w:r>
      <w:r>
        <w:rPr>
          <w:sz w:val="24"/>
          <w:szCs w:val="24"/>
        </w:rPr>
        <w:t>.</w:t>
      </w:r>
    </w:p>
    <w:p w:rsidR="009E13B1" w:rsidRDefault="009E13B1" w14:paraId="1F0AFF69" w14:textId="72B77FD2">
      <w:pPr>
        <w:keepLines/>
        <w:tabs>
          <w:tab w:val="left" w:pos="360"/>
        </w:tabs>
        <w:spacing w:after="80"/>
        <w:ind w:left="360" w:hanging="360"/>
        <w:rPr>
          <w:sz w:val="24"/>
          <w:szCs w:val="24"/>
        </w:rPr>
      </w:pPr>
      <w:r w:rsidRPr="006C7FAE">
        <w:rPr>
          <w:sz w:val="24"/>
          <w:szCs w:val="24"/>
        </w:rPr>
        <w:lastRenderedPageBreak/>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Pr="006C7FAE" w:rsidR="007C0C9D" w:rsidRDefault="007C0C9D" w14:paraId="04AF81A5" w14:textId="77777777">
      <w:pPr>
        <w:keepLines/>
        <w:tabs>
          <w:tab w:val="left" w:pos="360"/>
        </w:tabs>
        <w:spacing w:after="80"/>
        <w:ind w:left="360" w:hanging="360"/>
        <w:rPr>
          <w:sz w:val="24"/>
          <w:szCs w:val="24"/>
        </w:rPr>
      </w:pPr>
    </w:p>
    <w:p w:rsidR="000817F1" w:rsidP="000A6E3A" w:rsidRDefault="000A6E3A" w14:paraId="03F52C1A" w14:textId="77777777">
      <w:pPr>
        <w:keepLines/>
        <w:tabs>
          <w:tab w:val="left" w:pos="360"/>
          <w:tab w:val="left" w:pos="720"/>
        </w:tabs>
        <w:ind w:left="360"/>
        <w:rPr>
          <w:sz w:val="24"/>
          <w:szCs w:val="24"/>
        </w:rPr>
      </w:pPr>
      <w:r w:rsidRPr="000A6E3A">
        <w:rPr>
          <w:sz w:val="24"/>
          <w:szCs w:val="24"/>
        </w:rPr>
        <w:t xml:space="preserve">All Collaborative Applicants </w:t>
      </w:r>
      <w:r>
        <w:rPr>
          <w:sz w:val="24"/>
          <w:szCs w:val="24"/>
        </w:rPr>
        <w:t>are</w:t>
      </w:r>
      <w:r w:rsidRPr="000A6E3A">
        <w:rPr>
          <w:sz w:val="24"/>
          <w:szCs w:val="24"/>
        </w:rPr>
        <w:t xml:space="preserve"> required to register their CoCs in the </w:t>
      </w:r>
      <w:r w:rsidRPr="000A6E3A">
        <w:rPr>
          <w:i/>
          <w:iCs/>
          <w:sz w:val="24"/>
          <w:szCs w:val="24"/>
        </w:rPr>
        <w:t>e-snaps</w:t>
      </w:r>
      <w:r w:rsidRPr="000A6E3A">
        <w:rPr>
          <w:sz w:val="24"/>
          <w:szCs w:val="24"/>
        </w:rPr>
        <w:t xml:space="preserve"> electronic grants management system prior to the opening of the </w:t>
      </w:r>
      <w:r>
        <w:rPr>
          <w:sz w:val="24"/>
          <w:szCs w:val="24"/>
        </w:rPr>
        <w:t xml:space="preserve">annual </w:t>
      </w:r>
      <w:r w:rsidRPr="000A6E3A">
        <w:rPr>
          <w:sz w:val="24"/>
          <w:szCs w:val="24"/>
        </w:rPr>
        <w:t xml:space="preserve">CoC Program Competition.  The registration requirements include a basic description of the CoC’s Collaborative Applicant, contact information, and geographic area claimed by the CoC.  </w:t>
      </w:r>
      <w:r w:rsidR="000817F1">
        <w:rPr>
          <w:sz w:val="24"/>
          <w:szCs w:val="24"/>
        </w:rPr>
        <w:t>If a Collaborative Applicant requests UFA designation or the CoC requests HPC designation, additional information is collected to determine if the Collaborative Applicant or CoC has the capacity to adhere to the requirements outlined in the Act and the Rule.</w:t>
      </w:r>
    </w:p>
    <w:p w:rsidR="000817F1" w:rsidP="000A6E3A" w:rsidRDefault="000817F1" w14:paraId="6FA98376" w14:textId="77777777">
      <w:pPr>
        <w:keepLines/>
        <w:tabs>
          <w:tab w:val="left" w:pos="360"/>
          <w:tab w:val="left" w:pos="720"/>
        </w:tabs>
        <w:ind w:left="360"/>
        <w:rPr>
          <w:sz w:val="24"/>
          <w:szCs w:val="24"/>
        </w:rPr>
      </w:pPr>
    </w:p>
    <w:p w:rsidR="000A6E3A" w:rsidP="000A6E3A" w:rsidRDefault="000A6E3A" w14:paraId="5525318A" w14:textId="77777777">
      <w:pPr>
        <w:keepLines/>
        <w:tabs>
          <w:tab w:val="left" w:pos="360"/>
          <w:tab w:val="left" w:pos="720"/>
        </w:tabs>
        <w:ind w:left="360"/>
        <w:rPr>
          <w:sz w:val="24"/>
          <w:szCs w:val="24"/>
        </w:rPr>
      </w:pPr>
      <w:r w:rsidRPr="000A6E3A">
        <w:rPr>
          <w:sz w:val="24"/>
          <w:szCs w:val="24"/>
        </w:rPr>
        <w:t xml:space="preserve">In tandem, Collaborative Applicants will also </w:t>
      </w:r>
      <w:r>
        <w:rPr>
          <w:sz w:val="24"/>
          <w:szCs w:val="24"/>
        </w:rPr>
        <w:t xml:space="preserve">review, update as needed, and provide changes </w:t>
      </w:r>
      <w:r w:rsidR="006C3ACD">
        <w:rPr>
          <w:sz w:val="24"/>
          <w:szCs w:val="24"/>
        </w:rPr>
        <w:t>to</w:t>
      </w:r>
      <w:r w:rsidRPr="000A6E3A">
        <w:rPr>
          <w:sz w:val="24"/>
          <w:szCs w:val="24"/>
        </w:rPr>
        <w:t xml:space="preserve"> the CoC’s eligible renewal projects on a Grant Inventory Worksheet (GIW) (see attachment) that will allow HUD to accurately assess individual project applications during the CoC Program Application process.</w:t>
      </w:r>
    </w:p>
    <w:p w:rsidRPr="000A6E3A" w:rsidR="000A6E3A" w:rsidP="000A6E3A" w:rsidRDefault="000A6E3A" w14:paraId="0EEA55B9" w14:textId="77777777">
      <w:pPr>
        <w:keepLines/>
        <w:tabs>
          <w:tab w:val="left" w:pos="360"/>
          <w:tab w:val="left" w:pos="720"/>
        </w:tabs>
        <w:ind w:left="360"/>
        <w:rPr>
          <w:sz w:val="24"/>
          <w:szCs w:val="24"/>
        </w:rPr>
      </w:pPr>
    </w:p>
    <w:p w:rsidR="000A6E3A" w:rsidP="000A6E3A" w:rsidRDefault="000A6E3A" w14:paraId="4EE764D6" w14:textId="77777777">
      <w:pPr>
        <w:keepLines/>
        <w:tabs>
          <w:tab w:val="left" w:pos="360"/>
          <w:tab w:val="left" w:pos="720"/>
        </w:tabs>
        <w:ind w:left="360"/>
        <w:rPr>
          <w:sz w:val="24"/>
          <w:szCs w:val="24"/>
        </w:rPr>
      </w:pPr>
      <w:r w:rsidRPr="000A6E3A">
        <w:rPr>
          <w:sz w:val="24"/>
          <w:szCs w:val="24"/>
        </w:rPr>
        <w:t>The GIW is prepopulated with basic project information for all eligible renewal</w:t>
      </w:r>
      <w:r w:rsidR="000817F1">
        <w:rPr>
          <w:sz w:val="24"/>
          <w:szCs w:val="24"/>
        </w:rPr>
        <w:t xml:space="preserve"> projects</w:t>
      </w:r>
      <w:r w:rsidRPr="000A6E3A">
        <w:rPr>
          <w:sz w:val="24"/>
          <w:szCs w:val="24"/>
        </w:rPr>
        <w:t xml:space="preserve"> in the </w:t>
      </w:r>
      <w:r w:rsidR="006C3ACD">
        <w:rPr>
          <w:sz w:val="24"/>
          <w:szCs w:val="24"/>
        </w:rPr>
        <w:t>annual</w:t>
      </w:r>
      <w:r w:rsidRPr="000A6E3A">
        <w:rPr>
          <w:sz w:val="24"/>
          <w:szCs w:val="24"/>
        </w:rPr>
        <w:t xml:space="preserve"> Competition, including the current grants’ budget details</w:t>
      </w:r>
      <w:r w:rsidR="006C3ACD">
        <w:rPr>
          <w:sz w:val="24"/>
          <w:szCs w:val="24"/>
        </w:rPr>
        <w:t xml:space="preserve"> and is reviewed by HUD staff for accuracy prior to release to the public</w:t>
      </w:r>
      <w:r w:rsidRPr="000A6E3A">
        <w:rPr>
          <w:sz w:val="24"/>
          <w:szCs w:val="24"/>
        </w:rPr>
        <w:t xml:space="preserve">.  Respondents must </w:t>
      </w:r>
      <w:r w:rsidR="006C3ACD">
        <w:rPr>
          <w:sz w:val="24"/>
          <w:szCs w:val="24"/>
        </w:rPr>
        <w:t xml:space="preserve">review the GIWs to determine accuracy and notify HUD if there are any changes via the GIW Change Form which will only include changes HUD will need to </w:t>
      </w:r>
      <w:r w:rsidR="004E6F8D">
        <w:rPr>
          <w:sz w:val="24"/>
          <w:szCs w:val="24"/>
        </w:rPr>
        <w:t>update on the original file</w:t>
      </w:r>
      <w:r w:rsidR="006C3ACD">
        <w:rPr>
          <w:sz w:val="24"/>
          <w:szCs w:val="24"/>
        </w:rPr>
        <w:t xml:space="preserve"> and may include the addition of a project that is missing, removal of a project that is deemed ineligible for the Competition, and budget changes due to executed grant agreement amendments.  </w:t>
      </w:r>
      <w:r w:rsidRPr="000A6E3A">
        <w:rPr>
          <w:sz w:val="24"/>
          <w:szCs w:val="24"/>
        </w:rPr>
        <w:t xml:space="preserve">The information from the GIW is essential for operation of the CoC Program Competition.  </w:t>
      </w:r>
      <w:r w:rsidR="004E6F8D">
        <w:rPr>
          <w:sz w:val="24"/>
          <w:szCs w:val="24"/>
        </w:rPr>
        <w:t>The</w:t>
      </w:r>
      <w:r w:rsidRPr="000A6E3A">
        <w:rPr>
          <w:sz w:val="24"/>
          <w:szCs w:val="24"/>
        </w:rPr>
        <w:t xml:space="preserve"> budget information </w:t>
      </w:r>
      <w:r w:rsidR="004E6F8D">
        <w:rPr>
          <w:sz w:val="24"/>
          <w:szCs w:val="24"/>
        </w:rPr>
        <w:t>included</w:t>
      </w:r>
      <w:r w:rsidRPr="000A6E3A">
        <w:rPr>
          <w:sz w:val="24"/>
          <w:szCs w:val="24"/>
        </w:rPr>
        <w:t xml:space="preserve"> on the GIW </w:t>
      </w:r>
      <w:r w:rsidR="004E6F8D">
        <w:rPr>
          <w:sz w:val="24"/>
          <w:szCs w:val="24"/>
        </w:rPr>
        <w:t>is</w:t>
      </w:r>
      <w:r w:rsidRPr="000A6E3A">
        <w:rPr>
          <w:sz w:val="24"/>
          <w:szCs w:val="24"/>
        </w:rPr>
        <w:t xml:space="preserve"> used to estimate the national </w:t>
      </w:r>
      <w:r w:rsidR="004E6F8D">
        <w:rPr>
          <w:sz w:val="24"/>
          <w:szCs w:val="24"/>
        </w:rPr>
        <w:t xml:space="preserve">Annual </w:t>
      </w:r>
      <w:r w:rsidRPr="000A6E3A">
        <w:rPr>
          <w:sz w:val="24"/>
          <w:szCs w:val="24"/>
        </w:rPr>
        <w:t>R</w:t>
      </w:r>
      <w:r w:rsidR="004E6F8D">
        <w:rPr>
          <w:sz w:val="24"/>
          <w:szCs w:val="24"/>
        </w:rPr>
        <w:t xml:space="preserve">enewal </w:t>
      </w:r>
      <w:r w:rsidRPr="000A6E3A">
        <w:rPr>
          <w:sz w:val="24"/>
          <w:szCs w:val="24"/>
        </w:rPr>
        <w:t>D</w:t>
      </w:r>
      <w:r w:rsidR="004E6F8D">
        <w:rPr>
          <w:sz w:val="24"/>
          <w:szCs w:val="24"/>
        </w:rPr>
        <w:t>emand (ARD)</w:t>
      </w:r>
      <w:r w:rsidRPr="000A6E3A">
        <w:rPr>
          <w:sz w:val="24"/>
          <w:szCs w:val="24"/>
        </w:rPr>
        <w:t xml:space="preserve">, </w:t>
      </w:r>
      <w:r w:rsidR="004E6F8D">
        <w:rPr>
          <w:sz w:val="24"/>
          <w:szCs w:val="24"/>
        </w:rPr>
        <w:t>which provides the estimated amount of renewal funding request expected in the Competition</w:t>
      </w:r>
      <w:r w:rsidRPr="000A6E3A">
        <w:rPr>
          <w:sz w:val="24"/>
          <w:szCs w:val="24"/>
        </w:rPr>
        <w:t xml:space="preserve">.  The program details, verified by the Collaborative Applicant, </w:t>
      </w:r>
      <w:r w:rsidR="004E6F8D">
        <w:rPr>
          <w:sz w:val="24"/>
          <w:szCs w:val="24"/>
        </w:rPr>
        <w:t>allows</w:t>
      </w:r>
      <w:r w:rsidRPr="000A6E3A">
        <w:rPr>
          <w:sz w:val="24"/>
          <w:szCs w:val="24"/>
        </w:rPr>
        <w:t xml:space="preserve"> HUD to conduct an accurate assessment of renewal project applications at the completion of the application phase of the competition.</w:t>
      </w:r>
    </w:p>
    <w:p w:rsidRPr="000A6E3A" w:rsidR="006C3ACD" w:rsidP="000A6E3A" w:rsidRDefault="006C3ACD" w14:paraId="1E143C49" w14:textId="77777777">
      <w:pPr>
        <w:keepLines/>
        <w:tabs>
          <w:tab w:val="left" w:pos="360"/>
          <w:tab w:val="left" w:pos="720"/>
        </w:tabs>
        <w:ind w:left="360"/>
        <w:rPr>
          <w:sz w:val="24"/>
          <w:szCs w:val="24"/>
        </w:rPr>
      </w:pPr>
    </w:p>
    <w:p w:rsidR="000A6E3A" w:rsidP="000A6E3A" w:rsidRDefault="004E6F8D" w14:paraId="09598E7F" w14:textId="77777777">
      <w:pPr>
        <w:keepLines/>
        <w:tabs>
          <w:tab w:val="left" w:pos="360"/>
          <w:tab w:val="left" w:pos="720"/>
        </w:tabs>
        <w:ind w:left="360"/>
        <w:rPr>
          <w:sz w:val="24"/>
          <w:szCs w:val="24"/>
        </w:rPr>
      </w:pPr>
      <w:r>
        <w:rPr>
          <w:sz w:val="24"/>
          <w:szCs w:val="24"/>
        </w:rPr>
        <w:t xml:space="preserve">CoCs that merged after the previous year’s registration process </w:t>
      </w:r>
      <w:r w:rsidRPr="000A6E3A" w:rsidR="000A6E3A">
        <w:rPr>
          <w:sz w:val="24"/>
          <w:szCs w:val="24"/>
        </w:rPr>
        <w:t xml:space="preserve">have </w:t>
      </w:r>
      <w:r>
        <w:rPr>
          <w:sz w:val="24"/>
          <w:szCs w:val="24"/>
        </w:rPr>
        <w:t xml:space="preserve">are asked to complete </w:t>
      </w:r>
      <w:r w:rsidRPr="000A6E3A" w:rsidR="000A6E3A">
        <w:rPr>
          <w:sz w:val="24"/>
          <w:szCs w:val="24"/>
        </w:rPr>
        <w:t xml:space="preserve">the CoC Merger Worksheet.  </w:t>
      </w:r>
      <w:r>
        <w:rPr>
          <w:sz w:val="24"/>
          <w:szCs w:val="24"/>
        </w:rPr>
        <w:t>This worksheet</w:t>
      </w:r>
      <w:r w:rsidRPr="000A6E3A" w:rsidR="000A6E3A">
        <w:rPr>
          <w:sz w:val="24"/>
          <w:szCs w:val="24"/>
        </w:rPr>
        <w:t xml:space="preserve"> is designed to help </w:t>
      </w:r>
      <w:r>
        <w:rPr>
          <w:sz w:val="24"/>
          <w:szCs w:val="24"/>
        </w:rPr>
        <w:t xml:space="preserve">CoCs </w:t>
      </w:r>
      <w:r w:rsidRPr="000A6E3A" w:rsidR="000A6E3A">
        <w:rPr>
          <w:sz w:val="24"/>
          <w:szCs w:val="24"/>
        </w:rPr>
        <w:t>understand the Final Pro</w:t>
      </w:r>
      <w:r>
        <w:rPr>
          <w:sz w:val="24"/>
          <w:szCs w:val="24"/>
        </w:rPr>
        <w:t xml:space="preserve"> </w:t>
      </w:r>
      <w:r w:rsidRPr="000A6E3A" w:rsidR="000A6E3A">
        <w:rPr>
          <w:sz w:val="24"/>
          <w:szCs w:val="24"/>
        </w:rPr>
        <w:t xml:space="preserve">Rata Need </w:t>
      </w:r>
      <w:r>
        <w:rPr>
          <w:sz w:val="24"/>
          <w:szCs w:val="24"/>
        </w:rPr>
        <w:t xml:space="preserve">(PPRN) </w:t>
      </w:r>
      <w:r w:rsidRPr="000A6E3A" w:rsidR="000A6E3A">
        <w:rPr>
          <w:sz w:val="24"/>
          <w:szCs w:val="24"/>
        </w:rPr>
        <w:t xml:space="preserve">that will be available to a merged CoC during the </w:t>
      </w:r>
      <w:r w:rsidR="00AC3922">
        <w:rPr>
          <w:sz w:val="24"/>
          <w:szCs w:val="24"/>
        </w:rPr>
        <w:t>Competition process</w:t>
      </w:r>
      <w:r w:rsidRPr="000A6E3A" w:rsidR="000A6E3A">
        <w:rPr>
          <w:sz w:val="24"/>
          <w:szCs w:val="24"/>
        </w:rPr>
        <w:t xml:space="preserve">.  Merging CoCs may complete these calculations independently from the worksheet, however the tool is a useful aid that simplifies the process for </w:t>
      </w:r>
      <w:r w:rsidR="00AC3922">
        <w:rPr>
          <w:sz w:val="24"/>
          <w:szCs w:val="24"/>
        </w:rPr>
        <w:t>CoCs</w:t>
      </w:r>
      <w:r w:rsidRPr="000A6E3A" w:rsidR="000A6E3A">
        <w:rPr>
          <w:sz w:val="24"/>
          <w:szCs w:val="24"/>
        </w:rPr>
        <w:t xml:space="preserve"> and reduces reporting burden.  This tool is not required by HUD and, when used, does not have to be returned to HUD.  HUD estimates that a very small percentage of CoCs will merge </w:t>
      </w:r>
      <w:r w:rsidR="00AC3922">
        <w:rPr>
          <w:sz w:val="24"/>
          <w:szCs w:val="24"/>
        </w:rPr>
        <w:t>each year</w:t>
      </w:r>
      <w:r w:rsidRPr="000A6E3A" w:rsidR="000A6E3A">
        <w:rPr>
          <w:sz w:val="24"/>
          <w:szCs w:val="24"/>
        </w:rPr>
        <w:t>.</w:t>
      </w:r>
    </w:p>
    <w:p w:rsidR="00AC3922" w:rsidP="000A6E3A" w:rsidRDefault="00AC3922" w14:paraId="4BBC46AC" w14:textId="2B0558B0">
      <w:pPr>
        <w:keepLines/>
        <w:tabs>
          <w:tab w:val="left" w:pos="360"/>
          <w:tab w:val="left" w:pos="720"/>
        </w:tabs>
        <w:ind w:left="360"/>
        <w:rPr>
          <w:sz w:val="24"/>
          <w:szCs w:val="24"/>
        </w:rPr>
      </w:pPr>
    </w:p>
    <w:p w:rsidR="007C0C9D" w:rsidP="000A6E3A" w:rsidRDefault="007C0C9D" w14:paraId="072827E4" w14:textId="2A8F020A">
      <w:pPr>
        <w:keepLines/>
        <w:tabs>
          <w:tab w:val="left" w:pos="360"/>
          <w:tab w:val="left" w:pos="720"/>
        </w:tabs>
        <w:ind w:left="360"/>
        <w:rPr>
          <w:sz w:val="24"/>
          <w:szCs w:val="24"/>
        </w:rPr>
      </w:pPr>
    </w:p>
    <w:p w:rsidR="007C0C9D" w:rsidP="000A6E3A" w:rsidRDefault="007C0C9D" w14:paraId="4B4DF38D" w14:textId="088551BA">
      <w:pPr>
        <w:keepLines/>
        <w:tabs>
          <w:tab w:val="left" w:pos="360"/>
          <w:tab w:val="left" w:pos="720"/>
        </w:tabs>
        <w:ind w:left="360"/>
        <w:rPr>
          <w:sz w:val="24"/>
          <w:szCs w:val="24"/>
        </w:rPr>
      </w:pPr>
    </w:p>
    <w:p w:rsidR="007C0C9D" w:rsidP="000A6E3A" w:rsidRDefault="007C0C9D" w14:paraId="7D9CF674" w14:textId="09A7AE97">
      <w:pPr>
        <w:keepLines/>
        <w:tabs>
          <w:tab w:val="left" w:pos="360"/>
          <w:tab w:val="left" w:pos="720"/>
        </w:tabs>
        <w:ind w:left="360"/>
        <w:rPr>
          <w:sz w:val="24"/>
          <w:szCs w:val="24"/>
        </w:rPr>
      </w:pPr>
    </w:p>
    <w:p w:rsidRPr="000A6E3A" w:rsidR="007C0C9D" w:rsidP="000A6E3A" w:rsidRDefault="007C0C9D" w14:paraId="00E18072" w14:textId="77777777">
      <w:pPr>
        <w:keepLines/>
        <w:tabs>
          <w:tab w:val="left" w:pos="360"/>
          <w:tab w:val="left" w:pos="720"/>
        </w:tabs>
        <w:ind w:left="360"/>
        <w:rPr>
          <w:sz w:val="24"/>
          <w:szCs w:val="24"/>
        </w:rPr>
      </w:pPr>
    </w:p>
    <w:p w:rsidRPr="007C0C9D" w:rsidR="009E13B1" w:rsidP="007C0C9D" w:rsidRDefault="009E13B1" w14:paraId="10F01897" w14:textId="5B5D07F5">
      <w:pPr>
        <w:pStyle w:val="ListParagraph"/>
        <w:keepLines/>
        <w:numPr>
          <w:ilvl w:val="0"/>
          <w:numId w:val="17"/>
        </w:numPr>
        <w:tabs>
          <w:tab w:val="left" w:pos="360"/>
        </w:tabs>
        <w:spacing w:after="80"/>
        <w:rPr>
          <w:sz w:val="24"/>
          <w:szCs w:val="24"/>
        </w:rPr>
      </w:pPr>
      <w:r w:rsidRPr="007C0C9D">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C0C9D" w:rsidR="007C0C9D" w:rsidP="007C0C9D" w:rsidRDefault="007C0C9D" w14:paraId="0C27510D" w14:textId="77777777">
      <w:pPr>
        <w:pStyle w:val="ListParagraph"/>
        <w:keepLines/>
        <w:tabs>
          <w:tab w:val="left" w:pos="360"/>
        </w:tabs>
        <w:spacing w:after="80"/>
        <w:ind w:left="360"/>
        <w:rPr>
          <w:sz w:val="24"/>
          <w:szCs w:val="24"/>
        </w:rPr>
      </w:pPr>
    </w:p>
    <w:p w:rsidR="007C0C9D" w:rsidP="00AC3922" w:rsidRDefault="00AC3922" w14:paraId="157D6A0D" w14:textId="77777777">
      <w:pPr>
        <w:keepLines/>
        <w:tabs>
          <w:tab w:val="left" w:pos="360"/>
        </w:tabs>
        <w:spacing w:after="80"/>
        <w:ind w:left="360"/>
        <w:rPr>
          <w:sz w:val="24"/>
          <w:szCs w:val="24"/>
        </w:rPr>
      </w:pPr>
      <w:r>
        <w:rPr>
          <w:sz w:val="24"/>
          <w:szCs w:val="24"/>
        </w:rPr>
        <w:t xml:space="preserve">The collection of information for the registration process is electronic and for most of the Collaborative Applicants can also be automatic if they choose this option.  HUD uses </w:t>
      </w:r>
      <w:r>
        <w:rPr>
          <w:i/>
          <w:iCs/>
          <w:sz w:val="24"/>
          <w:szCs w:val="24"/>
        </w:rPr>
        <w:t>e-snaps</w:t>
      </w:r>
      <w:r>
        <w:rPr>
          <w:sz w:val="24"/>
          <w:szCs w:val="24"/>
        </w:rPr>
        <w:t xml:space="preserve">, an electronic grants management system, for the CoC Program Registration process which streamlines the collection of data and lessens the amount of time needed to complete this task.  All Collaborative Applicants can import the previous year’s information into the current year’s electronic forms which reduces the amount of time needed to complete information and all they need to do is review the imported information for accuracy.  Further, beginning in FY </w:t>
      </w:r>
      <w:r w:rsidR="00F568DC">
        <w:rPr>
          <w:sz w:val="24"/>
          <w:szCs w:val="24"/>
        </w:rPr>
        <w:t xml:space="preserve">2018 registration process, Collaborative Applicants were given the opportunity to not complete the registration process if they did not have any changes to the Collaborative Applicant or geographic codes, or if they did not want to apply for UFA and/or HPC designation.  As stated in CPD-18-03: </w:t>
      </w:r>
      <w:r w:rsidRPr="00F568DC" w:rsidR="00F568DC">
        <w:rPr>
          <w:i/>
          <w:iCs/>
          <w:sz w:val="24"/>
          <w:szCs w:val="24"/>
        </w:rPr>
        <w:t>CoC Program Registration Notice</w:t>
      </w:r>
      <w:r w:rsidRPr="00F568DC" w:rsidR="00F568DC">
        <w:rPr>
          <w:sz w:val="24"/>
          <w:szCs w:val="24"/>
        </w:rPr>
        <w:t xml:space="preserve">, </w:t>
      </w:r>
      <w:r w:rsidR="00F568DC">
        <w:rPr>
          <w:sz w:val="24"/>
          <w:szCs w:val="24"/>
        </w:rPr>
        <w:t>Collaborative Applicants that chose not to complete the registration forms would have the previous year’s information automatically imported by HUD with no changes.  Collaborative Applicants that take advantage of this availability will still have an opportunity to review the automatically imported information for accuracy before the process closes.</w:t>
      </w:r>
    </w:p>
    <w:p w:rsidR="00AC3922" w:rsidP="00AC3922" w:rsidRDefault="00AC3922" w14:paraId="65EC261B" w14:textId="22EA66FB">
      <w:pPr>
        <w:keepLines/>
        <w:tabs>
          <w:tab w:val="left" w:pos="360"/>
        </w:tabs>
        <w:spacing w:after="80"/>
        <w:ind w:left="360"/>
        <w:rPr>
          <w:sz w:val="24"/>
          <w:szCs w:val="24"/>
        </w:rPr>
      </w:pPr>
      <w:r>
        <w:rPr>
          <w:sz w:val="24"/>
          <w:szCs w:val="24"/>
        </w:rPr>
        <w:t xml:space="preserve">  </w:t>
      </w:r>
    </w:p>
    <w:p w:rsidR="00F568DC" w:rsidP="00AC3922" w:rsidRDefault="00F568DC" w14:paraId="2F7EBE10" w14:textId="77777777">
      <w:pPr>
        <w:keepLines/>
        <w:tabs>
          <w:tab w:val="left" w:pos="360"/>
        </w:tabs>
        <w:spacing w:after="80"/>
        <w:ind w:left="360"/>
        <w:rPr>
          <w:sz w:val="24"/>
          <w:szCs w:val="24"/>
        </w:rPr>
      </w:pPr>
      <w:r>
        <w:rPr>
          <w:sz w:val="24"/>
          <w:szCs w:val="24"/>
        </w:rPr>
        <w:t>Additionally, d</w:t>
      </w:r>
      <w:r w:rsidRPr="00F568DC">
        <w:rPr>
          <w:sz w:val="24"/>
          <w:szCs w:val="24"/>
        </w:rPr>
        <w:t xml:space="preserve">ue </w:t>
      </w:r>
      <w:r w:rsidR="00073A8B">
        <w:rPr>
          <w:sz w:val="24"/>
          <w:szCs w:val="24"/>
        </w:rPr>
        <w:t xml:space="preserve">to </w:t>
      </w:r>
      <w:r w:rsidRPr="00F568DC">
        <w:rPr>
          <w:sz w:val="24"/>
          <w:szCs w:val="24"/>
        </w:rPr>
        <w:t>language in the Act, any Collaborative Applicant requesting UFA designation must continue to request this designation annually.</w:t>
      </w:r>
      <w:r>
        <w:rPr>
          <w:sz w:val="24"/>
          <w:szCs w:val="24"/>
        </w:rPr>
        <w:t xml:space="preserve">  Collaborative Applicants that were awarded UFA designation in the previous year’s registration process also have the availability to import the information into the current year’s UFA forms and will only update information as needed.  Only those Collaborative Applicants requesting UFA designation for the first-time</w:t>
      </w:r>
      <w:r w:rsidR="00023952">
        <w:rPr>
          <w:sz w:val="24"/>
          <w:szCs w:val="24"/>
        </w:rPr>
        <w:t xml:space="preserve">, or previously requested and were denied, </w:t>
      </w:r>
      <w:r>
        <w:rPr>
          <w:sz w:val="24"/>
          <w:szCs w:val="24"/>
        </w:rPr>
        <w:t xml:space="preserve">will need to complete all forms related to UFA designation in the registration process.  This includes any Collaborative Applicant that applied for UFA designation in the previous registration process </w:t>
      </w:r>
      <w:r w:rsidR="00023952">
        <w:rPr>
          <w:sz w:val="24"/>
          <w:szCs w:val="24"/>
        </w:rPr>
        <w:t>that was</w:t>
      </w:r>
      <w:r>
        <w:rPr>
          <w:sz w:val="24"/>
          <w:szCs w:val="24"/>
        </w:rPr>
        <w:t xml:space="preserve"> denied.</w:t>
      </w:r>
    </w:p>
    <w:p w:rsidRPr="006C7FAE" w:rsidR="009E13B1" w:rsidRDefault="009E13B1" w14:paraId="2C4E4700" w14:textId="77777777">
      <w:pPr>
        <w:tabs>
          <w:tab w:val="left" w:pos="360"/>
        </w:tabs>
        <w:ind w:left="360" w:hanging="360"/>
        <w:rPr>
          <w:sz w:val="24"/>
          <w:szCs w:val="24"/>
        </w:rPr>
      </w:pPr>
    </w:p>
    <w:p w:rsidR="009E13B1" w:rsidRDefault="009E13B1" w14:paraId="5206A703" w14:textId="57982594">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08370C" w:rsidRDefault="0008370C" w14:paraId="02E67E27" w14:textId="77777777">
      <w:pPr>
        <w:keepLines/>
        <w:tabs>
          <w:tab w:val="left" w:pos="360"/>
        </w:tabs>
        <w:spacing w:after="80"/>
        <w:ind w:left="360" w:hanging="360"/>
        <w:rPr>
          <w:sz w:val="24"/>
          <w:szCs w:val="24"/>
        </w:rPr>
      </w:pPr>
    </w:p>
    <w:p w:rsidR="0008370C" w:rsidP="00AB3FFB" w:rsidRDefault="00AB3FFB" w14:paraId="26D3497C" w14:textId="77777777">
      <w:pPr>
        <w:keepLines/>
        <w:tabs>
          <w:tab w:val="left" w:pos="360"/>
        </w:tabs>
        <w:spacing w:after="80"/>
        <w:ind w:left="360"/>
        <w:rPr>
          <w:sz w:val="24"/>
          <w:szCs w:val="24"/>
        </w:rPr>
      </w:pPr>
      <w:r w:rsidRPr="00AB3FFB">
        <w:rPr>
          <w:sz w:val="24"/>
          <w:szCs w:val="24"/>
        </w:rPr>
        <w:t xml:space="preserve">To avoid duplication of information, the </w:t>
      </w:r>
      <w:r>
        <w:rPr>
          <w:sz w:val="24"/>
          <w:szCs w:val="24"/>
        </w:rPr>
        <w:t>process</w:t>
      </w:r>
      <w:r w:rsidRPr="00AB3FFB">
        <w:rPr>
          <w:sz w:val="24"/>
          <w:szCs w:val="24"/>
        </w:rPr>
        <w:t xml:space="preserve"> has been streamlined, with each data element collected only once, stored in a database, and placed in all appropriate sections of the </w:t>
      </w:r>
      <w:r w:rsidR="00733986">
        <w:rPr>
          <w:sz w:val="24"/>
          <w:szCs w:val="24"/>
        </w:rPr>
        <w:t>forms</w:t>
      </w:r>
      <w:r w:rsidRPr="00AB3FFB">
        <w:rPr>
          <w:sz w:val="24"/>
          <w:szCs w:val="24"/>
        </w:rPr>
        <w:t>.  Applicable information entered during CoC Program Registration will be imported to the CoC Consolidated application</w:t>
      </w:r>
      <w:r w:rsidR="00733986">
        <w:rPr>
          <w:sz w:val="24"/>
          <w:szCs w:val="24"/>
        </w:rPr>
        <w:t xml:space="preserve"> when the annual competition opens</w:t>
      </w:r>
      <w:r w:rsidRPr="00AB3FFB">
        <w:rPr>
          <w:sz w:val="24"/>
          <w:szCs w:val="24"/>
        </w:rPr>
        <w:t xml:space="preserve">.  For CoC’s that applied in the previous year’s competition, information that remains the same from competition to competition will be stored in the database and may be utilized by applicants in the next year’s competition. </w:t>
      </w:r>
    </w:p>
    <w:p w:rsidRPr="00AB3FFB" w:rsidR="00AB3FFB" w:rsidP="00AB3FFB" w:rsidRDefault="00AB3FFB" w14:paraId="6441FA06" w14:textId="5F825A69">
      <w:pPr>
        <w:keepLines/>
        <w:tabs>
          <w:tab w:val="left" w:pos="360"/>
        </w:tabs>
        <w:spacing w:after="80"/>
        <w:ind w:left="360"/>
        <w:rPr>
          <w:sz w:val="24"/>
          <w:szCs w:val="24"/>
        </w:rPr>
      </w:pPr>
      <w:r w:rsidRPr="00AB3FFB">
        <w:rPr>
          <w:sz w:val="24"/>
          <w:szCs w:val="24"/>
        </w:rPr>
        <w:t xml:space="preserve"> </w:t>
      </w:r>
    </w:p>
    <w:p w:rsidRPr="006C7FAE" w:rsidR="00AB3FFB" w:rsidP="00AB3FFB" w:rsidRDefault="00AB3FFB" w14:paraId="5221B383" w14:textId="77777777">
      <w:pPr>
        <w:keepLines/>
        <w:tabs>
          <w:tab w:val="left" w:pos="360"/>
        </w:tabs>
        <w:spacing w:after="80"/>
        <w:ind w:left="360"/>
        <w:rPr>
          <w:sz w:val="24"/>
          <w:szCs w:val="24"/>
        </w:rPr>
      </w:pPr>
      <w:r w:rsidRPr="00AB3FFB">
        <w:rPr>
          <w:sz w:val="24"/>
          <w:szCs w:val="24"/>
        </w:rPr>
        <w:t xml:space="preserve">The CoC model is only used by the CoC Program; therefore, information from other HUD programs is not relevant to the data collected during CoC Registration.  </w:t>
      </w:r>
    </w:p>
    <w:p w:rsidR="009E13B1" w:rsidRDefault="009E13B1" w14:paraId="71F081AD" w14:textId="12B6F4A3">
      <w:pPr>
        <w:keepLines/>
        <w:tabs>
          <w:tab w:val="left" w:pos="360"/>
          <w:tab w:val="left" w:pos="720"/>
        </w:tabs>
        <w:ind w:left="360"/>
        <w:rPr>
          <w:sz w:val="24"/>
          <w:szCs w:val="24"/>
        </w:rPr>
      </w:pPr>
    </w:p>
    <w:p w:rsidR="009E13B1" w:rsidRDefault="009E13B1" w14:paraId="32ABC8ED" w14:textId="31760F2B">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0008370C" w:rsidRDefault="0008370C" w14:paraId="4D3004BA" w14:textId="77777777">
      <w:pPr>
        <w:keepLines/>
        <w:tabs>
          <w:tab w:val="left" w:pos="360"/>
        </w:tabs>
        <w:spacing w:after="80"/>
        <w:ind w:left="360" w:hanging="360"/>
        <w:rPr>
          <w:sz w:val="24"/>
          <w:szCs w:val="24"/>
        </w:rPr>
      </w:pPr>
    </w:p>
    <w:p w:rsidRPr="006C7FAE" w:rsidR="00A2290A" w:rsidP="00A2290A" w:rsidRDefault="00A2290A" w14:paraId="03480857" w14:textId="13ECF461">
      <w:pPr>
        <w:keepLines/>
        <w:tabs>
          <w:tab w:val="left" w:pos="360"/>
        </w:tabs>
        <w:spacing w:after="80"/>
        <w:ind w:left="360"/>
        <w:rPr>
          <w:sz w:val="24"/>
          <w:szCs w:val="24"/>
        </w:rPr>
      </w:pPr>
      <w:r w:rsidRPr="00A2290A">
        <w:rPr>
          <w:sz w:val="24"/>
          <w:szCs w:val="24"/>
        </w:rPr>
        <w:t xml:space="preserve">The </w:t>
      </w:r>
      <w:proofErr w:type="gramStart"/>
      <w:r w:rsidRPr="00A2290A">
        <w:rPr>
          <w:sz w:val="24"/>
          <w:szCs w:val="24"/>
        </w:rPr>
        <w:t>wide-range</w:t>
      </w:r>
      <w:proofErr w:type="gramEnd"/>
      <w:r w:rsidRPr="00A2290A">
        <w:rPr>
          <w:sz w:val="24"/>
          <w:szCs w:val="24"/>
        </w:rPr>
        <w:t xml:space="preserve"> of applicants for CoC funding (including</w:t>
      </w:r>
      <w:r w:rsidR="00C00355">
        <w:rPr>
          <w:sz w:val="24"/>
          <w:szCs w:val="24"/>
        </w:rPr>
        <w:t xml:space="preserve"> </w:t>
      </w:r>
      <w:r w:rsidRPr="00A2290A">
        <w:rPr>
          <w:sz w:val="24"/>
          <w:szCs w:val="24"/>
        </w:rPr>
        <w:t xml:space="preserve">nonprofit organizations, States, local governments, instrumentalities of State and local governments, </w:t>
      </w:r>
      <w:bookmarkStart w:name="_Hlk65569469" w:id="4"/>
      <w:r w:rsidR="00C00355">
        <w:rPr>
          <w:sz w:val="24"/>
          <w:szCs w:val="24"/>
        </w:rPr>
        <w:t xml:space="preserve">Indian Tribes, THDEs, </w:t>
      </w:r>
      <w:bookmarkEnd w:id="4"/>
      <w:r w:rsidRPr="00A2290A">
        <w:rPr>
          <w:sz w:val="24"/>
          <w:szCs w:val="24"/>
        </w:rPr>
        <w:t>and public housing agencies as such term is defined in 24 CFR 5.100) and the need to consider all applications on an equal basis makes it difficult to give special consideration to the burden placed on small entities by the collection of information.  Instead, efforts were made to minimize the burden placed on all applicants, while at the same time ensuring sufficient information will be provided to allow HUD to determine and select the best proposals.</w:t>
      </w:r>
    </w:p>
    <w:p w:rsidRPr="006C7FAE" w:rsidR="009E13B1" w:rsidRDefault="009E13B1" w14:paraId="7D7495B8" w14:textId="77777777">
      <w:pPr>
        <w:tabs>
          <w:tab w:val="left" w:pos="360"/>
        </w:tabs>
        <w:ind w:left="360" w:hanging="360"/>
        <w:rPr>
          <w:sz w:val="24"/>
          <w:szCs w:val="24"/>
        </w:rPr>
      </w:pPr>
    </w:p>
    <w:p w:rsidR="009E13B1" w:rsidRDefault="009E13B1" w14:paraId="7CA0A2D0" w14:textId="463242B0">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08370C" w:rsidRDefault="0008370C" w14:paraId="11354217" w14:textId="77777777">
      <w:pPr>
        <w:keepLines/>
        <w:tabs>
          <w:tab w:val="left" w:pos="360"/>
        </w:tabs>
        <w:spacing w:after="80"/>
        <w:ind w:left="360" w:hanging="360"/>
        <w:rPr>
          <w:sz w:val="24"/>
          <w:szCs w:val="24"/>
        </w:rPr>
      </w:pPr>
    </w:p>
    <w:p w:rsidRPr="006C7FAE" w:rsidR="00A2290A" w:rsidP="00A2290A" w:rsidRDefault="00A2290A" w14:paraId="3992F6C8" w14:textId="77777777">
      <w:pPr>
        <w:keepLines/>
        <w:tabs>
          <w:tab w:val="left" w:pos="360"/>
        </w:tabs>
        <w:spacing w:after="80"/>
        <w:ind w:left="360"/>
        <w:rPr>
          <w:sz w:val="24"/>
          <w:szCs w:val="24"/>
        </w:rPr>
      </w:pPr>
      <w:r w:rsidRPr="00A2290A">
        <w:rPr>
          <w:sz w:val="24"/>
          <w:szCs w:val="24"/>
        </w:rPr>
        <w:t>All information collected is used to carefully to consider applications for funding.  If HUD collects less information, or collects less frequently, the Department will not be able to determine the eligibility of applicants for grant funds and applicants will not be eligible to receive funding for the fiscal year.</w:t>
      </w:r>
    </w:p>
    <w:p w:rsidRPr="006C7FAE" w:rsidR="009E13B1" w:rsidRDefault="009E13B1" w14:paraId="56121BD0" w14:textId="77777777">
      <w:pPr>
        <w:keepLines/>
        <w:tabs>
          <w:tab w:val="left" w:pos="360"/>
          <w:tab w:val="left" w:pos="720"/>
        </w:tabs>
        <w:ind w:left="360"/>
        <w:rPr>
          <w:sz w:val="24"/>
          <w:szCs w:val="24"/>
        </w:rPr>
      </w:pPr>
    </w:p>
    <w:p w:rsidRPr="006C7FAE" w:rsidR="009E13B1" w:rsidRDefault="009E13B1" w14:paraId="0FC1ED81"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1DC139C5" w14:textId="77777777">
      <w:pPr>
        <w:numPr>
          <w:ilvl w:val="0"/>
          <w:numId w:val="14"/>
        </w:numPr>
        <w:tabs>
          <w:tab w:val="left" w:pos="600"/>
        </w:tabs>
        <w:rPr>
          <w:sz w:val="24"/>
          <w:szCs w:val="24"/>
        </w:rPr>
      </w:pPr>
      <w:r w:rsidRPr="006C7FAE">
        <w:rPr>
          <w:sz w:val="24"/>
          <w:szCs w:val="24"/>
        </w:rPr>
        <w:t>requiring respondents to report information to the agency more than quarterly</w:t>
      </w:r>
      <w:r w:rsidR="00600B2C">
        <w:rPr>
          <w:sz w:val="24"/>
          <w:szCs w:val="24"/>
        </w:rPr>
        <w:t xml:space="preserve"> – N/A</w:t>
      </w:r>
      <w:r w:rsidRPr="006C7FAE">
        <w:rPr>
          <w:sz w:val="24"/>
          <w:szCs w:val="24"/>
        </w:rPr>
        <w:t xml:space="preserve">; </w:t>
      </w:r>
    </w:p>
    <w:p w:rsidRPr="006C7FAE" w:rsidR="009E13B1" w:rsidRDefault="009E13B1" w14:paraId="18D1EE1F" w14:textId="77777777">
      <w:pPr>
        <w:numPr>
          <w:ilvl w:val="0"/>
          <w:numId w:val="14"/>
        </w:numPr>
        <w:tabs>
          <w:tab w:val="left" w:pos="600"/>
        </w:tabs>
        <w:rPr>
          <w:sz w:val="24"/>
          <w:szCs w:val="24"/>
        </w:rPr>
      </w:pPr>
      <w:r w:rsidRPr="006C7FAE">
        <w:rPr>
          <w:sz w:val="24"/>
          <w:szCs w:val="24"/>
        </w:rPr>
        <w:t>requiring respondents to prepare a written response to a collection of information in fewer than 30 days after receipt of it</w:t>
      </w:r>
      <w:r w:rsidR="00600B2C">
        <w:rPr>
          <w:sz w:val="24"/>
          <w:szCs w:val="24"/>
        </w:rPr>
        <w:t xml:space="preserve"> – N/A</w:t>
      </w:r>
      <w:r w:rsidRPr="006C7FAE">
        <w:rPr>
          <w:sz w:val="24"/>
          <w:szCs w:val="24"/>
        </w:rPr>
        <w:t xml:space="preserve">; </w:t>
      </w:r>
    </w:p>
    <w:p w:rsidRPr="006C7FAE" w:rsidR="009E13B1" w:rsidRDefault="009E13B1" w14:paraId="48A8CD8A" w14:textId="0467F33A">
      <w:pPr>
        <w:numPr>
          <w:ilvl w:val="0"/>
          <w:numId w:val="14"/>
        </w:numPr>
        <w:tabs>
          <w:tab w:val="left" w:pos="600"/>
        </w:tabs>
        <w:rPr>
          <w:sz w:val="24"/>
          <w:szCs w:val="24"/>
        </w:rPr>
      </w:pPr>
      <w:r w:rsidRPr="006C7FAE">
        <w:rPr>
          <w:sz w:val="24"/>
          <w:szCs w:val="24"/>
        </w:rPr>
        <w:t>requiring respondents to submit more than an original and two copies of any document</w:t>
      </w:r>
      <w:r w:rsidR="00600B2C">
        <w:rPr>
          <w:sz w:val="24"/>
          <w:szCs w:val="24"/>
        </w:rPr>
        <w:t xml:space="preserve"> – N/A</w:t>
      </w:r>
      <w:r w:rsidRPr="006C7FAE">
        <w:rPr>
          <w:sz w:val="24"/>
          <w:szCs w:val="24"/>
        </w:rPr>
        <w:t xml:space="preserve">; </w:t>
      </w:r>
    </w:p>
    <w:p w:rsidRPr="006C7FAE" w:rsidR="009E13B1" w:rsidRDefault="009E13B1" w14:paraId="0EE1FC68" w14:textId="77777777">
      <w:pPr>
        <w:numPr>
          <w:ilvl w:val="0"/>
          <w:numId w:val="14"/>
        </w:numPr>
        <w:tabs>
          <w:tab w:val="left" w:pos="600"/>
        </w:tabs>
        <w:rPr>
          <w:sz w:val="24"/>
          <w:szCs w:val="24"/>
        </w:rPr>
      </w:pPr>
      <w:r w:rsidRPr="006C7FAE">
        <w:rPr>
          <w:sz w:val="24"/>
          <w:szCs w:val="24"/>
        </w:rPr>
        <w:t>requiring respondents to retain records other than health, medical, government contract, grant-in-aid, or tax records for more than three years</w:t>
      </w:r>
      <w:r w:rsidR="00600B2C">
        <w:rPr>
          <w:sz w:val="24"/>
          <w:szCs w:val="24"/>
        </w:rPr>
        <w:t xml:space="preserve"> – N/A</w:t>
      </w:r>
      <w:r w:rsidRPr="006C7FAE">
        <w:rPr>
          <w:sz w:val="24"/>
          <w:szCs w:val="24"/>
        </w:rPr>
        <w:t xml:space="preserve">; </w:t>
      </w:r>
    </w:p>
    <w:p w:rsidRPr="006C7FAE" w:rsidR="009E13B1" w:rsidRDefault="009E13B1" w14:paraId="0E9CCA05" w14:textId="77777777">
      <w:pPr>
        <w:numPr>
          <w:ilvl w:val="0"/>
          <w:numId w:val="14"/>
        </w:numPr>
        <w:tabs>
          <w:tab w:val="left" w:pos="600"/>
        </w:tabs>
        <w:rPr>
          <w:sz w:val="24"/>
          <w:szCs w:val="24"/>
        </w:rPr>
      </w:pPr>
      <w:r w:rsidRPr="006C7FAE">
        <w:rPr>
          <w:sz w:val="24"/>
          <w:szCs w:val="24"/>
        </w:rPr>
        <w:t>in connection with a statistical survey, that is not designed to produce valid and reliable results than can be generalized to the universe of study</w:t>
      </w:r>
      <w:r w:rsidR="00600B2C">
        <w:rPr>
          <w:sz w:val="24"/>
          <w:szCs w:val="24"/>
        </w:rPr>
        <w:t xml:space="preserve"> – N/A</w:t>
      </w:r>
      <w:r w:rsidRPr="006C7FAE">
        <w:rPr>
          <w:sz w:val="24"/>
          <w:szCs w:val="24"/>
        </w:rPr>
        <w:t xml:space="preserve">; </w:t>
      </w:r>
    </w:p>
    <w:p w:rsidRPr="006C7FAE" w:rsidR="009E13B1" w:rsidRDefault="009E13B1" w14:paraId="2FFEEA0C" w14:textId="77777777">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600B2C">
        <w:rPr>
          <w:sz w:val="24"/>
          <w:szCs w:val="24"/>
        </w:rPr>
        <w:t xml:space="preserve"> – N/A</w:t>
      </w:r>
      <w:r w:rsidRPr="006C7FAE">
        <w:rPr>
          <w:sz w:val="24"/>
          <w:szCs w:val="24"/>
        </w:rPr>
        <w:t xml:space="preserve">; </w:t>
      </w:r>
    </w:p>
    <w:p w:rsidRPr="006C7FAE" w:rsidR="009E13B1" w:rsidRDefault="009E13B1" w14:paraId="6165AC18" w14:textId="77777777">
      <w:pPr>
        <w:numPr>
          <w:ilvl w:val="0"/>
          <w:numId w:val="14"/>
        </w:numPr>
        <w:tabs>
          <w:tab w:val="left" w:pos="600"/>
        </w:tabs>
        <w:rPr>
          <w:sz w:val="24"/>
          <w:szCs w:val="24"/>
        </w:rPr>
      </w:pPr>
      <w:r w:rsidRPr="006C7FAE">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600B2C">
        <w:rPr>
          <w:sz w:val="24"/>
          <w:szCs w:val="24"/>
        </w:rPr>
        <w:t xml:space="preserve"> – N/A</w:t>
      </w:r>
      <w:r w:rsidRPr="006C7FAE">
        <w:rPr>
          <w:sz w:val="24"/>
          <w:szCs w:val="24"/>
        </w:rPr>
        <w:t xml:space="preserve">; or </w:t>
      </w:r>
    </w:p>
    <w:p w:rsidR="009E13B1" w:rsidRDefault="009E13B1" w14:paraId="1487F77A"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600B2C">
        <w:rPr>
          <w:sz w:val="24"/>
          <w:szCs w:val="24"/>
        </w:rPr>
        <w:t xml:space="preserve"> – N/A</w:t>
      </w:r>
      <w:r w:rsidRPr="006C7FAE">
        <w:rPr>
          <w:sz w:val="24"/>
          <w:szCs w:val="24"/>
        </w:rPr>
        <w:t>.</w:t>
      </w:r>
    </w:p>
    <w:p w:rsidRPr="006C7FAE" w:rsidR="00A2290A" w:rsidP="00A2290A" w:rsidRDefault="00A2290A" w14:paraId="3F2DC63B" w14:textId="77777777">
      <w:pPr>
        <w:keepLines/>
        <w:tabs>
          <w:tab w:val="left" w:pos="600"/>
        </w:tabs>
        <w:spacing w:after="80"/>
        <w:ind w:left="450"/>
        <w:rPr>
          <w:sz w:val="24"/>
          <w:szCs w:val="24"/>
        </w:rPr>
      </w:pPr>
      <w:r>
        <w:rPr>
          <w:sz w:val="24"/>
          <w:szCs w:val="24"/>
        </w:rPr>
        <w:t>The special circumstances cited above do not apply to the CoC Program Registration process as it occurs annually, captures information electronically, and only collects information directly related to the registration of an organization to apply for CoC Program funds when the annual competition opens, including requests for UFA and HPC designation.</w:t>
      </w:r>
    </w:p>
    <w:p w:rsidR="007C0C9D" w:rsidRDefault="007C0C9D" w14:paraId="0DE475C3" w14:textId="77777777">
      <w:pPr>
        <w:tabs>
          <w:tab w:val="left" w:pos="360"/>
        </w:tabs>
        <w:ind w:left="360" w:hanging="360"/>
        <w:rPr>
          <w:sz w:val="24"/>
          <w:szCs w:val="24"/>
        </w:rPr>
      </w:pPr>
    </w:p>
    <w:p w:rsidRPr="006C7FAE" w:rsidR="009E13B1" w:rsidRDefault="009E13B1" w14:paraId="4B8AE486" w14:textId="1A2EBBB9">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2A6DB75B"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Default="009E13B1" w14:paraId="4E1FED42" w14:textId="43353244">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08370C" w:rsidP="0008370C" w:rsidRDefault="0008370C" w14:paraId="6AD6203C" w14:textId="77777777">
      <w:pPr>
        <w:keepLines/>
        <w:tabs>
          <w:tab w:val="left" w:pos="360"/>
        </w:tabs>
        <w:spacing w:after="80"/>
        <w:ind w:left="480"/>
        <w:rPr>
          <w:sz w:val="24"/>
          <w:szCs w:val="24"/>
        </w:rPr>
      </w:pPr>
    </w:p>
    <w:p w:rsidRPr="006C7FAE" w:rsidR="00A2290A" w:rsidP="00A2290A" w:rsidRDefault="00A2290A" w14:paraId="39DDD697" w14:textId="60BAB774">
      <w:pPr>
        <w:keepLines/>
        <w:tabs>
          <w:tab w:val="left" w:pos="360"/>
        </w:tabs>
        <w:spacing w:after="80"/>
        <w:ind w:left="480"/>
        <w:rPr>
          <w:sz w:val="24"/>
          <w:szCs w:val="24"/>
        </w:rPr>
      </w:pPr>
      <w:r>
        <w:rPr>
          <w:sz w:val="24"/>
          <w:szCs w:val="24"/>
        </w:rPr>
        <w:t xml:space="preserve">The last placement in the Federal Register occurred </w:t>
      </w:r>
      <w:r w:rsidR="007657A2">
        <w:rPr>
          <w:sz w:val="24"/>
          <w:szCs w:val="24"/>
        </w:rPr>
        <w:t>December 17, 2020</w:t>
      </w:r>
      <w:r>
        <w:rPr>
          <w:sz w:val="24"/>
          <w:szCs w:val="24"/>
        </w:rPr>
        <w:t xml:space="preserve">, pages </w:t>
      </w:r>
      <w:r w:rsidR="007657A2">
        <w:rPr>
          <w:sz w:val="24"/>
          <w:szCs w:val="24"/>
        </w:rPr>
        <w:t>81946</w:t>
      </w:r>
      <w:r>
        <w:rPr>
          <w:sz w:val="24"/>
          <w:szCs w:val="24"/>
        </w:rPr>
        <w:t>, vol 8</w:t>
      </w:r>
      <w:r w:rsidR="007657A2">
        <w:rPr>
          <w:sz w:val="24"/>
          <w:szCs w:val="24"/>
        </w:rPr>
        <w:t>5</w:t>
      </w:r>
      <w:r>
        <w:rPr>
          <w:sz w:val="24"/>
          <w:szCs w:val="24"/>
        </w:rPr>
        <w:t xml:space="preserve"> and HUD did not receive comments. </w:t>
      </w:r>
      <w:bookmarkStart w:name="_Hlk67028154" w:id="5"/>
      <w:bookmarkStart w:name="_Hlk65569645" w:id="6"/>
      <w:r w:rsidRPr="00DF1BE4" w:rsidR="00DF1BE4">
        <w:rPr>
          <w:sz w:val="24"/>
          <w:szCs w:val="24"/>
        </w:rPr>
        <w:t>The Consolidated Appropriations Act, 2021 (Public Law 116-260, approved December 27, 2020) added eligibility for Indian Tribes and TDHEs to form CoCs, be designated a Collaborative Applicant for a CoC, participate in the CoC as project applicant/recipient, and become a subrecipient for a project applicant/recipient.  Additionally, information from Indian Tribes and TDHEs can be included the CoC Consolidated Application as it applies to the state of homelessness within their tribal area(s). Indian Tribes and TDHEs designated as a Collaborative Applicant can apply for UFA designation, and CoCs formed by Indian Tribes and TDHEs can apply for HPC designation</w:t>
      </w:r>
      <w:bookmarkEnd w:id="5"/>
      <w:r w:rsidR="00C00355">
        <w:rPr>
          <w:sz w:val="24"/>
          <w:szCs w:val="24"/>
        </w:rPr>
        <w:t>.</w:t>
      </w:r>
      <w:bookmarkEnd w:id="6"/>
    </w:p>
    <w:p w:rsidRPr="006C7FAE" w:rsidR="009E13B1" w:rsidRDefault="009E13B1" w14:paraId="0E7E41FD" w14:textId="77777777">
      <w:pPr>
        <w:tabs>
          <w:tab w:val="left" w:pos="360"/>
        </w:tabs>
        <w:ind w:left="360" w:hanging="360"/>
        <w:rPr>
          <w:sz w:val="24"/>
          <w:szCs w:val="24"/>
        </w:rPr>
      </w:pPr>
    </w:p>
    <w:p w:rsidRPr="007C0C9D" w:rsidR="009E13B1" w:rsidP="007C0C9D" w:rsidRDefault="009E13B1" w14:paraId="1CB6464D" w14:textId="412988FF">
      <w:pPr>
        <w:pStyle w:val="ListParagraph"/>
        <w:keepLines/>
        <w:numPr>
          <w:ilvl w:val="0"/>
          <w:numId w:val="15"/>
        </w:numPr>
        <w:tabs>
          <w:tab w:val="left" w:pos="360"/>
        </w:tabs>
        <w:spacing w:after="80"/>
        <w:rPr>
          <w:sz w:val="24"/>
          <w:szCs w:val="24"/>
        </w:rPr>
      </w:pPr>
      <w:r w:rsidRPr="007C0C9D">
        <w:rPr>
          <w:sz w:val="24"/>
          <w:szCs w:val="24"/>
        </w:rPr>
        <w:t xml:space="preserve">Explain any decision to provide any payment or gift to respondents, other than </w:t>
      </w:r>
      <w:proofErr w:type="spellStart"/>
      <w:r w:rsidRPr="007C0C9D">
        <w:rPr>
          <w:sz w:val="24"/>
          <w:szCs w:val="24"/>
        </w:rPr>
        <w:t>reenumeration</w:t>
      </w:r>
      <w:proofErr w:type="spellEnd"/>
      <w:r w:rsidRPr="007C0C9D">
        <w:rPr>
          <w:sz w:val="24"/>
          <w:szCs w:val="24"/>
        </w:rPr>
        <w:t xml:space="preserve"> of contractors or grantees.</w:t>
      </w:r>
    </w:p>
    <w:p w:rsidR="007C0C9D" w:rsidP="00A2290A" w:rsidRDefault="007C0C9D" w14:paraId="1019AE3B" w14:textId="77777777">
      <w:pPr>
        <w:keepLines/>
        <w:tabs>
          <w:tab w:val="left" w:pos="360"/>
        </w:tabs>
        <w:spacing w:after="80"/>
        <w:ind w:left="360"/>
        <w:rPr>
          <w:sz w:val="24"/>
          <w:szCs w:val="24"/>
        </w:rPr>
      </w:pPr>
    </w:p>
    <w:p w:rsidRPr="006C7FAE" w:rsidR="00A2290A" w:rsidP="00A2290A" w:rsidRDefault="00A2290A" w14:paraId="17B3C514" w14:textId="10866D3E">
      <w:pPr>
        <w:keepLines/>
        <w:tabs>
          <w:tab w:val="left" w:pos="360"/>
        </w:tabs>
        <w:spacing w:after="80"/>
        <w:ind w:left="360"/>
        <w:rPr>
          <w:sz w:val="24"/>
          <w:szCs w:val="24"/>
        </w:rPr>
      </w:pPr>
      <w:r w:rsidRPr="00A2290A">
        <w:rPr>
          <w:sz w:val="24"/>
          <w:szCs w:val="24"/>
        </w:rPr>
        <w:t>No payment or gift to respondents is allowed.</w:t>
      </w:r>
    </w:p>
    <w:p w:rsidRPr="006C7FAE" w:rsidR="009E13B1" w:rsidRDefault="009E13B1" w14:paraId="669C4038" w14:textId="77777777">
      <w:pPr>
        <w:tabs>
          <w:tab w:val="left" w:pos="360"/>
        </w:tabs>
        <w:ind w:left="360" w:hanging="360"/>
        <w:rPr>
          <w:sz w:val="24"/>
          <w:szCs w:val="24"/>
        </w:rPr>
      </w:pPr>
    </w:p>
    <w:p w:rsidR="009E13B1" w:rsidP="007C0C9D" w:rsidRDefault="009E13B1" w14:paraId="135887C7" w14:textId="694BB2E5">
      <w:pPr>
        <w:keepLines/>
        <w:numPr>
          <w:ilvl w:val="0"/>
          <w:numId w:val="15"/>
        </w:numPr>
        <w:tabs>
          <w:tab w:val="left" w:pos="360"/>
        </w:tabs>
        <w:spacing w:after="80"/>
        <w:rPr>
          <w:sz w:val="24"/>
          <w:szCs w:val="24"/>
        </w:rPr>
      </w:pPr>
      <w:r w:rsidRPr="006C7FAE">
        <w:rPr>
          <w:sz w:val="24"/>
          <w:szCs w:val="24"/>
        </w:rPr>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007C0C9D" w:rsidP="00A2290A" w:rsidRDefault="007C0C9D" w14:paraId="10AB55FC" w14:textId="77777777">
      <w:pPr>
        <w:keepLines/>
        <w:tabs>
          <w:tab w:val="left" w:pos="360"/>
        </w:tabs>
        <w:spacing w:after="80"/>
        <w:ind w:left="360"/>
        <w:rPr>
          <w:sz w:val="24"/>
          <w:szCs w:val="24"/>
        </w:rPr>
      </w:pPr>
    </w:p>
    <w:p w:rsidRPr="006C7FAE" w:rsidR="00A2290A" w:rsidP="00A2290A" w:rsidRDefault="00A2290A" w14:paraId="465D9231" w14:textId="443DC495">
      <w:pPr>
        <w:keepLines/>
        <w:tabs>
          <w:tab w:val="left" w:pos="360"/>
        </w:tabs>
        <w:spacing w:after="80"/>
        <w:ind w:left="360"/>
        <w:rPr>
          <w:sz w:val="24"/>
          <w:szCs w:val="24"/>
        </w:rPr>
      </w:pPr>
      <w:r w:rsidRPr="00A2290A">
        <w:rPr>
          <w:sz w:val="24"/>
          <w:szCs w:val="24"/>
        </w:rPr>
        <w:t xml:space="preserve">No assurances of confidentiality are involved.  </w:t>
      </w:r>
    </w:p>
    <w:p w:rsidRPr="006C7FAE" w:rsidR="009E13B1" w:rsidRDefault="009E13B1" w14:paraId="0EBE44C9" w14:textId="77777777">
      <w:pPr>
        <w:tabs>
          <w:tab w:val="left" w:pos="360"/>
        </w:tabs>
        <w:ind w:left="360" w:hanging="360"/>
        <w:rPr>
          <w:sz w:val="24"/>
          <w:szCs w:val="24"/>
        </w:rPr>
      </w:pPr>
    </w:p>
    <w:p w:rsidR="009E13B1" w:rsidP="007C0C9D" w:rsidRDefault="009E13B1" w14:paraId="34618479" w14:textId="181ADA5A">
      <w:pPr>
        <w:keepLines/>
        <w:numPr>
          <w:ilvl w:val="0"/>
          <w:numId w:val="15"/>
        </w:numPr>
        <w:tabs>
          <w:tab w:val="left" w:pos="360"/>
        </w:tabs>
        <w:spacing w:after="80"/>
        <w:rPr>
          <w:sz w:val="24"/>
          <w:szCs w:val="24"/>
        </w:rPr>
      </w:pPr>
      <w:r w:rsidRPr="006C7FAE">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C0C9D" w:rsidP="007C0C9D" w:rsidRDefault="007C0C9D" w14:paraId="77BE6215" w14:textId="77777777">
      <w:pPr>
        <w:keepLines/>
        <w:tabs>
          <w:tab w:val="left" w:pos="360"/>
        </w:tabs>
        <w:spacing w:after="80"/>
        <w:ind w:left="360"/>
        <w:rPr>
          <w:sz w:val="24"/>
          <w:szCs w:val="24"/>
        </w:rPr>
      </w:pPr>
    </w:p>
    <w:p w:rsidR="007C0C9D" w:rsidP="007C0C9D" w:rsidRDefault="00A2290A" w14:paraId="7C047BD2" w14:textId="180E4D76">
      <w:pPr>
        <w:keepLines/>
        <w:tabs>
          <w:tab w:val="left" w:pos="360"/>
        </w:tabs>
        <w:spacing w:after="80"/>
        <w:ind w:left="360"/>
        <w:rPr>
          <w:sz w:val="24"/>
          <w:szCs w:val="24"/>
        </w:rPr>
      </w:pPr>
      <w:r w:rsidRPr="00A2290A">
        <w:rPr>
          <w:sz w:val="24"/>
          <w:szCs w:val="24"/>
        </w:rPr>
        <w:t>This information collection does not include any questions of a sensitive nature.</w:t>
      </w:r>
    </w:p>
    <w:p w:rsidR="007C0C9D" w:rsidP="007C0C9D" w:rsidRDefault="007C0C9D" w14:paraId="5C6438B2" w14:textId="5DC5C500">
      <w:pPr>
        <w:keepLines/>
        <w:tabs>
          <w:tab w:val="left" w:pos="360"/>
        </w:tabs>
        <w:spacing w:after="80"/>
        <w:rPr>
          <w:sz w:val="24"/>
          <w:szCs w:val="24"/>
        </w:rPr>
      </w:pPr>
    </w:p>
    <w:p w:rsidR="007C0C9D" w:rsidP="007C0C9D" w:rsidRDefault="007C0C9D" w14:paraId="07237722" w14:textId="77777777">
      <w:pPr>
        <w:keepLines/>
        <w:tabs>
          <w:tab w:val="left" w:pos="360"/>
        </w:tabs>
        <w:spacing w:after="80"/>
        <w:rPr>
          <w:sz w:val="24"/>
          <w:szCs w:val="24"/>
        </w:rPr>
      </w:pPr>
    </w:p>
    <w:p w:rsidRPr="007C0C9D" w:rsidR="009E13B1" w:rsidP="007C0C9D" w:rsidRDefault="009E13B1" w14:paraId="02C89E9C" w14:textId="636D49DD">
      <w:pPr>
        <w:pStyle w:val="ListParagraph"/>
        <w:keepLines/>
        <w:numPr>
          <w:ilvl w:val="0"/>
          <w:numId w:val="15"/>
        </w:numPr>
        <w:tabs>
          <w:tab w:val="left" w:pos="360"/>
        </w:tabs>
        <w:spacing w:after="80"/>
        <w:rPr>
          <w:sz w:val="24"/>
          <w:szCs w:val="24"/>
        </w:rPr>
      </w:pPr>
      <w:r w:rsidRPr="007C0C9D">
        <w:rPr>
          <w:sz w:val="24"/>
          <w:szCs w:val="24"/>
        </w:rPr>
        <w:t xml:space="preserve">Provide estimates of the hour burden of the collection of information.  The statement should: </w:t>
      </w:r>
    </w:p>
    <w:p w:rsidRPr="006C7FAE" w:rsidR="009E13B1" w:rsidRDefault="009E13B1" w14:paraId="65797E6B"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RDefault="009E13B1" w14:paraId="00F3AE1D"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009E13B1" w:rsidRDefault="009E13B1" w14:paraId="1F6B2D7C" w14:textId="59377C65">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C7FAE">
        <w:rPr>
          <w:sz w:val="24"/>
          <w:szCs w:val="24"/>
        </w:rPr>
        <w:t>Instead</w:t>
      </w:r>
      <w:proofErr w:type="gramEnd"/>
      <w:r w:rsidRPr="006C7FAE">
        <w:rPr>
          <w:sz w:val="24"/>
          <w:szCs w:val="24"/>
        </w:rPr>
        <w:t xml:space="preserve"> this cost should be included in Item 13.</w:t>
      </w:r>
    </w:p>
    <w:p w:rsidR="00A2290A" w:rsidP="00A2290A" w:rsidRDefault="00A2290A" w14:paraId="6DBCA232" w14:textId="77777777">
      <w:pPr>
        <w:keepLines/>
        <w:tabs>
          <w:tab w:val="left" w:pos="480"/>
        </w:tabs>
        <w:spacing w:after="80"/>
        <w:ind w:left="480"/>
        <w:rPr>
          <w:sz w:val="24"/>
          <w:szCs w:val="24"/>
        </w:rPr>
      </w:pPr>
    </w:p>
    <w:p w:rsidR="00A2290A" w:rsidP="00A2290A" w:rsidRDefault="00A2290A" w14:paraId="78A74DB0" w14:textId="77777777">
      <w:pPr>
        <w:keepLines/>
        <w:tabs>
          <w:tab w:val="left" w:pos="480"/>
        </w:tabs>
        <w:spacing w:after="80"/>
        <w:ind w:left="480"/>
        <w:rPr>
          <w:sz w:val="24"/>
          <w:szCs w:val="24"/>
        </w:rPr>
      </w:pPr>
      <w:r>
        <w:rPr>
          <w:sz w:val="24"/>
          <w:szCs w:val="24"/>
        </w:rPr>
        <w:t>The information below</w:t>
      </w:r>
      <w:r w:rsidRPr="00A2290A">
        <w:rPr>
          <w:sz w:val="24"/>
          <w:szCs w:val="24"/>
        </w:rPr>
        <w:t xml:space="preserve"> demonstrates the public burden for the CoC </w:t>
      </w:r>
      <w:r w:rsidR="00D275C6">
        <w:rPr>
          <w:sz w:val="24"/>
          <w:szCs w:val="24"/>
        </w:rPr>
        <w:t>Program</w:t>
      </w:r>
      <w:r w:rsidRPr="00A2290A">
        <w:rPr>
          <w:sz w:val="24"/>
          <w:szCs w:val="24"/>
        </w:rPr>
        <w:t xml:space="preserve"> Registration.  Approximately </w:t>
      </w:r>
      <w:r w:rsidR="001F5403">
        <w:rPr>
          <w:sz w:val="24"/>
          <w:szCs w:val="24"/>
        </w:rPr>
        <w:t>405</w:t>
      </w:r>
      <w:r w:rsidRPr="00A2290A" w:rsidR="001F5403">
        <w:rPr>
          <w:sz w:val="24"/>
          <w:szCs w:val="24"/>
        </w:rPr>
        <w:t xml:space="preserve"> </w:t>
      </w:r>
      <w:r w:rsidRPr="00A2290A">
        <w:rPr>
          <w:sz w:val="24"/>
          <w:szCs w:val="24"/>
        </w:rPr>
        <w:t>CoCs, covering every geographic area of every state</w:t>
      </w:r>
      <w:r w:rsidR="00D275C6">
        <w:rPr>
          <w:sz w:val="24"/>
          <w:szCs w:val="24"/>
        </w:rPr>
        <w:t xml:space="preserve"> and most U.S. territories</w:t>
      </w:r>
      <w:r w:rsidRPr="00A2290A">
        <w:rPr>
          <w:sz w:val="24"/>
          <w:szCs w:val="24"/>
        </w:rPr>
        <w:t xml:space="preserve">, will submit this form, including the GIW.  Estimates of public burden have been derived through program staff experience and input from previous </w:t>
      </w:r>
      <w:r w:rsidR="00D275C6">
        <w:rPr>
          <w:sz w:val="24"/>
          <w:szCs w:val="24"/>
        </w:rPr>
        <w:t>processes</w:t>
      </w:r>
      <w:r w:rsidRPr="00A2290A">
        <w:rPr>
          <w:sz w:val="24"/>
          <w:szCs w:val="24"/>
        </w:rPr>
        <w:t xml:space="preserve"> regarding the time it takes to verify the GIW and update all relevant Registration forms.</w:t>
      </w:r>
    </w:p>
    <w:p w:rsidR="00D275C6" w:rsidP="00A2290A" w:rsidRDefault="00D275C6" w14:paraId="455C425D" w14:textId="77777777">
      <w:pPr>
        <w:keepLines/>
        <w:tabs>
          <w:tab w:val="left" w:pos="480"/>
        </w:tabs>
        <w:spacing w:after="80"/>
        <w:ind w:left="480"/>
        <w:rPr>
          <w:sz w:val="24"/>
          <w:szCs w:val="24"/>
        </w:rPr>
      </w:pPr>
      <w:r>
        <w:rPr>
          <w:sz w:val="24"/>
          <w:szCs w:val="24"/>
        </w:rPr>
        <w:t xml:space="preserve">The hourly cost per response is based on </w:t>
      </w:r>
      <w:r w:rsidR="000C5DF4">
        <w:rPr>
          <w:sz w:val="24"/>
          <w:szCs w:val="24"/>
        </w:rPr>
        <w:t xml:space="preserve">GS-12, step 1 salary for government employees; however, most organizations submitting information have lower pay scales </w:t>
      </w:r>
      <w:proofErr w:type="gramStart"/>
      <w:r w:rsidR="000C5DF4">
        <w:rPr>
          <w:sz w:val="24"/>
          <w:szCs w:val="24"/>
        </w:rPr>
        <w:t>with the possible exception of</w:t>
      </w:r>
      <w:proofErr w:type="gramEnd"/>
      <w:r w:rsidR="000C5DF4">
        <w:rPr>
          <w:sz w:val="24"/>
          <w:szCs w:val="24"/>
        </w:rPr>
        <w:t xml:space="preserve"> state and local governments.</w:t>
      </w:r>
    </w:p>
    <w:p w:rsidRPr="006C7FAE" w:rsidR="009E13B1" w:rsidRDefault="009E13B1" w14:paraId="3B673F40"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757" w:type="dxa"/>
        <w:tblInd w:w="170" w:type="dxa"/>
        <w:tblCellMar>
          <w:left w:w="0" w:type="dxa"/>
          <w:right w:w="0" w:type="dxa"/>
        </w:tblCellMar>
        <w:tblLook w:val="04A0" w:firstRow="1" w:lastRow="0" w:firstColumn="1" w:lastColumn="0" w:noHBand="0" w:noVBand="1"/>
      </w:tblPr>
      <w:tblGrid>
        <w:gridCol w:w="1731"/>
        <w:gridCol w:w="1197"/>
        <w:gridCol w:w="1233"/>
        <w:gridCol w:w="1229"/>
        <w:gridCol w:w="983"/>
        <w:gridCol w:w="1046"/>
        <w:gridCol w:w="1063"/>
        <w:gridCol w:w="1275"/>
      </w:tblGrid>
      <w:tr w:rsidRPr="007C0C9D" w:rsidR="00E34199" w:rsidTr="005E519F" w14:paraId="173DB3C9" w14:textId="77777777">
        <w:tc>
          <w:tcPr>
            <w:tcW w:w="18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02F245B5" w14:textId="77777777">
            <w:pPr>
              <w:adjustRightInd/>
              <w:jc w:val="center"/>
              <w:textAlignment w:val="auto"/>
              <w:rPr>
                <w:rFonts w:eastAsia="Calibri"/>
                <w:b/>
                <w:bCs/>
                <w:color w:val="000000"/>
                <w:sz w:val="18"/>
                <w:szCs w:val="18"/>
              </w:rPr>
            </w:pPr>
            <w:r w:rsidRPr="007C0C9D">
              <w:rPr>
                <w:rFonts w:eastAsia="Calibri"/>
                <w:b/>
                <w:bCs/>
                <w:color w:val="000000"/>
                <w:sz w:val="18"/>
                <w:szCs w:val="18"/>
              </w:rPr>
              <w:t>Information Collection</w:t>
            </w:r>
          </w:p>
        </w:tc>
        <w:tc>
          <w:tcPr>
            <w:tcW w:w="1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2368E0DC" w14:textId="77777777">
            <w:pPr>
              <w:adjustRightInd/>
              <w:jc w:val="center"/>
              <w:textAlignment w:val="auto"/>
              <w:rPr>
                <w:rFonts w:eastAsia="Calibri"/>
                <w:b/>
                <w:bCs/>
                <w:color w:val="000000"/>
                <w:sz w:val="18"/>
                <w:szCs w:val="18"/>
              </w:rPr>
            </w:pPr>
            <w:r w:rsidRPr="007C0C9D">
              <w:rPr>
                <w:rFonts w:eastAsia="Calibri"/>
                <w:b/>
                <w:bCs/>
                <w:color w:val="000000"/>
                <w:sz w:val="18"/>
                <w:szCs w:val="18"/>
              </w:rPr>
              <w:t>Number of Respondents</w:t>
            </w:r>
          </w:p>
        </w:tc>
        <w:tc>
          <w:tcPr>
            <w:tcW w:w="12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098722EE" w14:textId="77777777">
            <w:pPr>
              <w:adjustRightInd/>
              <w:jc w:val="center"/>
              <w:textAlignment w:val="auto"/>
              <w:rPr>
                <w:rFonts w:eastAsia="Calibri"/>
                <w:b/>
                <w:bCs/>
                <w:color w:val="000000"/>
                <w:sz w:val="18"/>
                <w:szCs w:val="18"/>
              </w:rPr>
            </w:pPr>
            <w:r w:rsidRPr="007C0C9D">
              <w:rPr>
                <w:rFonts w:eastAsia="Calibri"/>
                <w:b/>
                <w:bCs/>
                <w:color w:val="000000"/>
                <w:sz w:val="18"/>
                <w:szCs w:val="18"/>
              </w:rPr>
              <w:t>Frequency of Response</w:t>
            </w:r>
          </w:p>
        </w:tc>
        <w:tc>
          <w:tcPr>
            <w:tcW w:w="125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2053C820" w14:textId="77777777">
            <w:pPr>
              <w:overflowPunct/>
              <w:autoSpaceDE/>
              <w:autoSpaceDN/>
              <w:adjustRightInd/>
              <w:jc w:val="center"/>
              <w:textAlignment w:val="auto"/>
              <w:rPr>
                <w:rFonts w:eastAsia="Calibri"/>
                <w:b/>
                <w:bCs/>
                <w:color w:val="000000"/>
                <w:sz w:val="18"/>
                <w:szCs w:val="18"/>
              </w:rPr>
            </w:pPr>
            <w:r w:rsidRPr="007C0C9D">
              <w:rPr>
                <w:rFonts w:eastAsia="Calibri"/>
                <w:b/>
                <w:bCs/>
                <w:color w:val="000000"/>
                <w:sz w:val="18"/>
                <w:szCs w:val="18"/>
              </w:rPr>
              <w:t>Responses</w:t>
            </w:r>
          </w:p>
          <w:p w:rsidRPr="007C0C9D" w:rsidR="00167E53" w:rsidP="00167E53" w:rsidRDefault="00167E53" w14:paraId="493127ED" w14:textId="77777777">
            <w:pPr>
              <w:adjustRightInd/>
              <w:jc w:val="center"/>
              <w:textAlignment w:val="auto"/>
              <w:rPr>
                <w:rFonts w:eastAsia="Calibri"/>
                <w:b/>
                <w:bCs/>
                <w:color w:val="000000"/>
                <w:sz w:val="18"/>
                <w:szCs w:val="18"/>
              </w:rPr>
            </w:pPr>
            <w:r w:rsidRPr="007C0C9D">
              <w:rPr>
                <w:rFonts w:eastAsia="Calibri"/>
                <w:b/>
                <w:bCs/>
                <w:color w:val="000000"/>
                <w:sz w:val="18"/>
                <w:szCs w:val="18"/>
              </w:rPr>
              <w:t>Per Annum</w:t>
            </w:r>
          </w:p>
        </w:tc>
        <w:tc>
          <w:tcPr>
            <w:tcW w:w="9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7DD580B1" w14:textId="77777777">
            <w:pPr>
              <w:adjustRightInd/>
              <w:jc w:val="center"/>
              <w:textAlignment w:val="auto"/>
              <w:rPr>
                <w:rFonts w:eastAsia="Calibri"/>
                <w:b/>
                <w:bCs/>
                <w:color w:val="000000"/>
                <w:sz w:val="18"/>
                <w:szCs w:val="18"/>
              </w:rPr>
            </w:pPr>
            <w:r w:rsidRPr="007C0C9D">
              <w:rPr>
                <w:rFonts w:eastAsia="Calibri"/>
                <w:b/>
                <w:bCs/>
                <w:color w:val="000000"/>
                <w:sz w:val="18"/>
                <w:szCs w:val="18"/>
              </w:rPr>
              <w:t>Burden Hour Per Response</w:t>
            </w:r>
          </w:p>
        </w:tc>
        <w:tc>
          <w:tcPr>
            <w:tcW w:w="10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02B6FF17" w14:textId="77777777">
            <w:pPr>
              <w:adjustRightInd/>
              <w:jc w:val="center"/>
              <w:textAlignment w:val="auto"/>
              <w:rPr>
                <w:rFonts w:eastAsia="Calibri"/>
                <w:b/>
                <w:bCs/>
                <w:color w:val="000000"/>
                <w:sz w:val="18"/>
                <w:szCs w:val="18"/>
              </w:rPr>
            </w:pPr>
            <w:r w:rsidRPr="007C0C9D">
              <w:rPr>
                <w:rFonts w:eastAsia="Calibri"/>
                <w:b/>
                <w:bCs/>
                <w:color w:val="000000"/>
                <w:sz w:val="18"/>
                <w:szCs w:val="18"/>
              </w:rPr>
              <w:t>Annual Burden Hours</w:t>
            </w:r>
          </w:p>
        </w:tc>
        <w:tc>
          <w:tcPr>
            <w:tcW w:w="107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0C9D" w:rsidR="00167E53" w:rsidP="00167E53" w:rsidRDefault="00167E53" w14:paraId="4164C157" w14:textId="77777777">
            <w:pPr>
              <w:adjustRightInd/>
              <w:jc w:val="center"/>
              <w:textAlignment w:val="auto"/>
              <w:rPr>
                <w:rFonts w:eastAsia="Calibri"/>
                <w:b/>
                <w:bCs/>
                <w:color w:val="000000"/>
                <w:sz w:val="18"/>
                <w:szCs w:val="18"/>
              </w:rPr>
            </w:pPr>
            <w:r w:rsidRPr="007C0C9D">
              <w:rPr>
                <w:rFonts w:eastAsia="Calibri"/>
                <w:b/>
                <w:bCs/>
                <w:color w:val="000000"/>
                <w:sz w:val="18"/>
                <w:szCs w:val="18"/>
              </w:rPr>
              <w:t>Hourly Cost Per Response</w:t>
            </w:r>
          </w:p>
        </w:tc>
        <w:tc>
          <w:tcPr>
            <w:tcW w:w="12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7C0C9D" w:rsidR="00167E53" w:rsidP="00167E53" w:rsidRDefault="00167E53" w14:paraId="5159F1FC" w14:textId="77777777">
            <w:pPr>
              <w:overflowPunct/>
              <w:autoSpaceDE/>
              <w:autoSpaceDN/>
              <w:adjustRightInd/>
              <w:jc w:val="center"/>
              <w:textAlignment w:val="auto"/>
              <w:rPr>
                <w:rFonts w:eastAsia="Calibri"/>
                <w:b/>
                <w:bCs/>
                <w:color w:val="000000"/>
                <w:sz w:val="18"/>
                <w:szCs w:val="18"/>
              </w:rPr>
            </w:pPr>
            <w:r w:rsidRPr="007C0C9D">
              <w:rPr>
                <w:rFonts w:eastAsia="Calibri"/>
                <w:b/>
                <w:bCs/>
                <w:color w:val="000000"/>
                <w:sz w:val="18"/>
                <w:szCs w:val="18"/>
              </w:rPr>
              <w:t>Annual Cost</w:t>
            </w:r>
          </w:p>
          <w:p w:rsidRPr="007C0C9D" w:rsidR="00167E53" w:rsidP="00167E53" w:rsidRDefault="00167E53" w14:paraId="02A5370E" w14:textId="77777777">
            <w:pPr>
              <w:adjustRightInd/>
              <w:jc w:val="center"/>
              <w:textAlignment w:val="auto"/>
              <w:rPr>
                <w:rFonts w:eastAsia="Calibri"/>
                <w:b/>
                <w:bCs/>
                <w:color w:val="000000"/>
                <w:sz w:val="18"/>
                <w:szCs w:val="18"/>
              </w:rPr>
            </w:pPr>
          </w:p>
        </w:tc>
      </w:tr>
      <w:tr w:rsidRPr="007C0C9D" w:rsidR="00E34199" w:rsidTr="005E519F" w14:paraId="0E17C7E0" w14:textId="77777777">
        <w:trPr>
          <w:trHeight w:val="349"/>
        </w:trPr>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3526D321" w14:textId="40AC1664">
            <w:pPr>
              <w:adjustRightInd/>
              <w:textAlignment w:val="auto"/>
              <w:rPr>
                <w:rFonts w:eastAsia="Calibri"/>
                <w:b/>
                <w:bCs/>
                <w:color w:val="000000"/>
                <w:sz w:val="18"/>
                <w:szCs w:val="18"/>
              </w:rPr>
            </w:pPr>
            <w:bookmarkStart w:name="_Hlk56408175" w:id="7"/>
            <w:r w:rsidRPr="007C0C9D">
              <w:rPr>
                <w:b/>
                <w:bCs/>
                <w:color w:val="000000"/>
                <w:sz w:val="18"/>
                <w:szCs w:val="18"/>
              </w:rPr>
              <w:t>CoC Registration – Basic</w:t>
            </w:r>
          </w:p>
        </w:tc>
        <w:tc>
          <w:tcPr>
            <w:tcW w:w="10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2D7E70CE" w14:textId="77777777">
            <w:pPr>
              <w:adjustRightInd/>
              <w:jc w:val="center"/>
              <w:textAlignment w:val="auto"/>
              <w:rPr>
                <w:rFonts w:eastAsia="Calibri"/>
                <w:b/>
                <w:bCs/>
                <w:color w:val="000000"/>
                <w:sz w:val="18"/>
                <w:szCs w:val="18"/>
              </w:rPr>
            </w:pPr>
            <w:r w:rsidRPr="007C0C9D">
              <w:rPr>
                <w:b/>
                <w:bCs/>
                <w:color w:val="000000"/>
                <w:sz w:val="18"/>
                <w:szCs w:val="18"/>
              </w:rPr>
              <w:t>40</w:t>
            </w:r>
            <w:r w:rsidRPr="007C0C9D" w:rsidR="00C00355">
              <w:rPr>
                <w:b/>
                <w:bCs/>
                <w:color w:val="000000"/>
                <w:sz w:val="18"/>
                <w:szCs w:val="18"/>
              </w:rPr>
              <w:t>5</w:t>
            </w: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66BA642D" w14:textId="77777777">
            <w:pPr>
              <w:adjustRightInd/>
              <w:jc w:val="center"/>
              <w:textAlignment w:val="auto"/>
              <w:rPr>
                <w:rFonts w:eastAsia="Calibri"/>
                <w:b/>
                <w:bCs/>
                <w:color w:val="000000"/>
                <w:sz w:val="18"/>
                <w:szCs w:val="18"/>
              </w:rPr>
            </w:pPr>
            <w:r w:rsidRPr="007C0C9D">
              <w:rPr>
                <w:rFonts w:eastAsia="Calibri"/>
                <w:b/>
                <w:bCs/>
                <w:color w:val="000000"/>
                <w:sz w:val="18"/>
                <w:szCs w:val="18"/>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E34199" w14:paraId="17A20E48" w14:textId="77777777">
            <w:pPr>
              <w:adjustRightInd/>
              <w:jc w:val="center"/>
              <w:textAlignment w:val="auto"/>
              <w:rPr>
                <w:rFonts w:eastAsia="Calibri"/>
                <w:b/>
                <w:bCs/>
                <w:color w:val="000000"/>
                <w:sz w:val="18"/>
                <w:szCs w:val="18"/>
              </w:rPr>
            </w:pPr>
            <w:r w:rsidRPr="007C0C9D">
              <w:rPr>
                <w:rFonts w:eastAsia="Calibri"/>
                <w:b/>
                <w:bCs/>
                <w:color w:val="000000"/>
                <w:sz w:val="18"/>
                <w:szCs w:val="18"/>
              </w:rPr>
              <w:t>405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3F0AA444" w14:textId="77777777">
            <w:pPr>
              <w:adjustRightInd/>
              <w:jc w:val="center"/>
              <w:textAlignment w:val="auto"/>
              <w:rPr>
                <w:rFonts w:eastAsia="Calibri"/>
                <w:b/>
                <w:bCs/>
                <w:color w:val="000000"/>
                <w:sz w:val="18"/>
                <w:szCs w:val="18"/>
              </w:rPr>
            </w:pPr>
            <w:r w:rsidRPr="007C0C9D">
              <w:rPr>
                <w:rFonts w:eastAsia="Calibri"/>
                <w:b/>
                <w:bCs/>
                <w:color w:val="000000"/>
                <w:sz w:val="18"/>
                <w:szCs w:val="18"/>
              </w:rPr>
              <w:t>1</w:t>
            </w:r>
          </w:p>
        </w:tc>
        <w:tc>
          <w:tcPr>
            <w:tcW w:w="1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185E7F" w14:paraId="164CA2D1" w14:textId="67D4D850">
            <w:pPr>
              <w:adjustRightInd/>
              <w:jc w:val="center"/>
              <w:textAlignment w:val="auto"/>
              <w:rPr>
                <w:rFonts w:eastAsia="Calibri"/>
                <w:b/>
                <w:bCs/>
                <w:color w:val="000000"/>
                <w:sz w:val="18"/>
                <w:szCs w:val="18"/>
              </w:rPr>
            </w:pPr>
            <w:r w:rsidRPr="007C0C9D">
              <w:rPr>
                <w:rFonts w:eastAsia="Calibri"/>
                <w:b/>
                <w:bCs/>
                <w:color w:val="000000"/>
                <w:sz w:val="18"/>
                <w:szCs w:val="18"/>
              </w:rPr>
              <w:t>405</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150EE4CD" w14:textId="77777777">
            <w:pPr>
              <w:adjustRightInd/>
              <w:jc w:val="right"/>
              <w:textAlignment w:val="auto"/>
              <w:rPr>
                <w:rFonts w:eastAsia="Calibri"/>
                <w:b/>
                <w:bCs/>
                <w:color w:val="000000"/>
                <w:sz w:val="18"/>
                <w:szCs w:val="18"/>
              </w:rPr>
            </w:pPr>
            <w:r w:rsidRPr="007C0C9D">
              <w:rPr>
                <w:rFonts w:eastAsia="Calibri"/>
                <w:b/>
                <w:bCs/>
                <w:color w:val="000000"/>
                <w:sz w:val="18"/>
                <w:szCs w:val="18"/>
              </w:rPr>
              <w:t>$41.</w:t>
            </w:r>
            <w:r w:rsidRPr="007C0C9D" w:rsidR="00600B2C">
              <w:rPr>
                <w:rFonts w:eastAsia="Calibri"/>
                <w:b/>
                <w:bCs/>
                <w:color w:val="000000"/>
                <w:sz w:val="18"/>
                <w:szCs w:val="18"/>
              </w:rPr>
              <w:t>78</w:t>
            </w: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776C3AC6" w14:textId="3FD26421">
            <w:pPr>
              <w:adjustRightInd/>
              <w:jc w:val="right"/>
              <w:textAlignment w:val="auto"/>
              <w:rPr>
                <w:rFonts w:eastAsia="Calibri"/>
                <w:b/>
                <w:bCs/>
                <w:color w:val="000000"/>
                <w:sz w:val="18"/>
                <w:szCs w:val="18"/>
              </w:rPr>
            </w:pPr>
            <w:r w:rsidRPr="007C0C9D">
              <w:rPr>
                <w:rFonts w:eastAsia="Calibri"/>
                <w:b/>
                <w:bCs/>
                <w:color w:val="000000"/>
                <w:sz w:val="18"/>
                <w:szCs w:val="18"/>
              </w:rPr>
              <w:t>$</w:t>
            </w:r>
            <w:r w:rsidRPr="007C0C9D" w:rsidR="00A400AD">
              <w:rPr>
                <w:rFonts w:eastAsia="Calibri"/>
                <w:b/>
                <w:bCs/>
                <w:color w:val="000000"/>
                <w:sz w:val="18"/>
                <w:szCs w:val="18"/>
              </w:rPr>
              <w:t>16,920.90</w:t>
            </w:r>
          </w:p>
        </w:tc>
      </w:tr>
      <w:tr w:rsidRPr="007C0C9D" w:rsidR="00E34199" w:rsidTr="005E519F" w14:paraId="17AC05F2" w14:textId="77777777">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415B9F49" w14:textId="77777777">
            <w:pPr>
              <w:adjustRightInd/>
              <w:textAlignment w:val="auto"/>
              <w:rPr>
                <w:rFonts w:eastAsia="Calibri"/>
                <w:b/>
                <w:bCs/>
                <w:color w:val="000000"/>
                <w:sz w:val="18"/>
                <w:szCs w:val="18"/>
              </w:rPr>
            </w:pPr>
            <w:bookmarkStart w:name="_Hlk56407893" w:id="8"/>
            <w:r w:rsidRPr="007C0C9D">
              <w:rPr>
                <w:b/>
                <w:bCs/>
                <w:color w:val="000000"/>
                <w:sz w:val="18"/>
                <w:szCs w:val="18"/>
              </w:rPr>
              <w:t>CoC Registration – UFA designation request*</w:t>
            </w:r>
          </w:p>
        </w:tc>
        <w:tc>
          <w:tcPr>
            <w:tcW w:w="10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72FA9539" w14:textId="77777777">
            <w:pPr>
              <w:adjustRightInd/>
              <w:jc w:val="center"/>
              <w:textAlignment w:val="auto"/>
              <w:rPr>
                <w:rFonts w:eastAsia="Calibri"/>
                <w:b/>
                <w:bCs/>
                <w:color w:val="000000"/>
                <w:sz w:val="18"/>
                <w:szCs w:val="18"/>
              </w:rPr>
            </w:pPr>
            <w:r w:rsidRPr="007C0C9D">
              <w:rPr>
                <w:b/>
                <w:bCs/>
                <w:color w:val="000000"/>
                <w:sz w:val="18"/>
                <w:szCs w:val="18"/>
              </w:rPr>
              <w:t>20</w:t>
            </w: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123BA685" w14:textId="77777777">
            <w:pPr>
              <w:adjustRightInd/>
              <w:jc w:val="center"/>
              <w:textAlignment w:val="auto"/>
              <w:rPr>
                <w:rFonts w:eastAsia="Calibri"/>
                <w:b/>
                <w:bCs/>
                <w:color w:val="000000"/>
                <w:sz w:val="18"/>
                <w:szCs w:val="18"/>
              </w:rPr>
            </w:pPr>
            <w:r w:rsidRPr="007C0C9D">
              <w:rPr>
                <w:rFonts w:eastAsia="Calibri"/>
                <w:b/>
                <w:bCs/>
                <w:color w:val="000000"/>
                <w:sz w:val="18"/>
                <w:szCs w:val="18"/>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156FE4B5" w14:textId="77777777">
            <w:pPr>
              <w:adjustRightInd/>
              <w:jc w:val="center"/>
              <w:textAlignment w:val="auto"/>
              <w:rPr>
                <w:rFonts w:eastAsia="Calibri"/>
                <w:b/>
                <w:bCs/>
                <w:color w:val="000000"/>
                <w:sz w:val="18"/>
                <w:szCs w:val="18"/>
              </w:rPr>
            </w:pPr>
            <w:r w:rsidRPr="007C0C9D">
              <w:rPr>
                <w:rFonts w:eastAsia="Calibri"/>
                <w:b/>
                <w:bCs/>
                <w:color w:val="000000"/>
                <w:sz w:val="18"/>
                <w:szCs w:val="18"/>
              </w:rPr>
              <w:t>20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00A5A390" w14:textId="77777777">
            <w:pPr>
              <w:adjustRightInd/>
              <w:jc w:val="center"/>
              <w:textAlignment w:val="auto"/>
              <w:rPr>
                <w:rFonts w:eastAsia="Calibri"/>
                <w:b/>
                <w:bCs/>
                <w:color w:val="000000"/>
                <w:sz w:val="18"/>
                <w:szCs w:val="18"/>
              </w:rPr>
            </w:pPr>
            <w:r w:rsidRPr="007C0C9D">
              <w:rPr>
                <w:rFonts w:eastAsia="Calibri"/>
                <w:b/>
                <w:bCs/>
                <w:color w:val="000000"/>
                <w:sz w:val="18"/>
                <w:szCs w:val="18"/>
              </w:rPr>
              <w:t>15</w:t>
            </w:r>
          </w:p>
        </w:tc>
        <w:tc>
          <w:tcPr>
            <w:tcW w:w="1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6D807A71" w14:textId="77777777">
            <w:pPr>
              <w:adjustRightInd/>
              <w:jc w:val="center"/>
              <w:textAlignment w:val="auto"/>
              <w:rPr>
                <w:rFonts w:eastAsia="Calibri"/>
                <w:b/>
                <w:bCs/>
                <w:color w:val="000000"/>
                <w:sz w:val="18"/>
                <w:szCs w:val="18"/>
              </w:rPr>
            </w:pPr>
            <w:r w:rsidRPr="007C0C9D">
              <w:rPr>
                <w:rFonts w:eastAsia="Calibri"/>
                <w:b/>
                <w:bCs/>
                <w:color w:val="000000"/>
                <w:sz w:val="18"/>
                <w:szCs w:val="18"/>
              </w:rPr>
              <w:t>300</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74E6248E" w14:textId="77777777">
            <w:pPr>
              <w:adjustRightInd/>
              <w:jc w:val="right"/>
              <w:textAlignment w:val="auto"/>
              <w:rPr>
                <w:rFonts w:eastAsia="Calibri"/>
                <w:b/>
                <w:bCs/>
                <w:color w:val="000000"/>
                <w:sz w:val="18"/>
                <w:szCs w:val="18"/>
              </w:rPr>
            </w:pPr>
            <w:r w:rsidRPr="007C0C9D">
              <w:rPr>
                <w:rFonts w:eastAsia="Calibri"/>
                <w:b/>
                <w:bCs/>
                <w:color w:val="000000"/>
                <w:sz w:val="18"/>
                <w:szCs w:val="18"/>
              </w:rPr>
              <w:t>$41.</w:t>
            </w:r>
            <w:r w:rsidRPr="007C0C9D" w:rsidR="00600B2C">
              <w:rPr>
                <w:rFonts w:eastAsia="Calibri"/>
                <w:b/>
                <w:bCs/>
                <w:color w:val="000000"/>
                <w:sz w:val="18"/>
                <w:szCs w:val="18"/>
              </w:rPr>
              <w:t>78</w:t>
            </w: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8B43AB" w:rsidRDefault="00D275C6" w14:paraId="3C15495B" w14:textId="186AE945">
            <w:pPr>
              <w:adjustRightInd/>
              <w:jc w:val="right"/>
              <w:textAlignment w:val="auto"/>
              <w:rPr>
                <w:rFonts w:eastAsia="Calibri"/>
                <w:b/>
                <w:bCs/>
                <w:color w:val="000000"/>
                <w:sz w:val="18"/>
                <w:szCs w:val="18"/>
              </w:rPr>
            </w:pPr>
            <w:r w:rsidRPr="007C0C9D">
              <w:rPr>
                <w:rFonts w:eastAsia="Calibri"/>
                <w:b/>
                <w:bCs/>
                <w:color w:val="000000"/>
                <w:sz w:val="18"/>
                <w:szCs w:val="18"/>
              </w:rPr>
              <w:t>$</w:t>
            </w:r>
            <w:r w:rsidRPr="007C0C9D" w:rsidR="00DF1BE4">
              <w:rPr>
                <w:rFonts w:eastAsia="Calibri"/>
                <w:b/>
                <w:bCs/>
                <w:color w:val="000000"/>
                <w:sz w:val="18"/>
                <w:szCs w:val="18"/>
              </w:rPr>
              <w:t>12,</w:t>
            </w:r>
            <w:r w:rsidRPr="007C0C9D" w:rsidR="00D00100">
              <w:rPr>
                <w:rFonts w:eastAsia="Calibri"/>
                <w:b/>
                <w:bCs/>
                <w:color w:val="000000"/>
                <w:sz w:val="18"/>
                <w:szCs w:val="18"/>
              </w:rPr>
              <w:t>534</w:t>
            </w:r>
            <w:r w:rsidRPr="007C0C9D" w:rsidR="00A400AD">
              <w:rPr>
                <w:rFonts w:eastAsia="Calibri"/>
                <w:b/>
                <w:bCs/>
                <w:color w:val="000000"/>
                <w:sz w:val="18"/>
                <w:szCs w:val="18"/>
              </w:rPr>
              <w:t>.00</w:t>
            </w:r>
          </w:p>
        </w:tc>
      </w:tr>
      <w:bookmarkEnd w:id="8"/>
      <w:tr w:rsidRPr="007C0C9D" w:rsidR="00E34199" w:rsidTr="005E519F" w14:paraId="2600B379" w14:textId="77777777">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3D6CDF3E" w14:textId="77777777">
            <w:pPr>
              <w:adjustRightInd/>
              <w:textAlignment w:val="auto"/>
              <w:rPr>
                <w:rFonts w:eastAsia="Calibri"/>
                <w:b/>
                <w:bCs/>
                <w:color w:val="000000"/>
                <w:sz w:val="18"/>
                <w:szCs w:val="18"/>
              </w:rPr>
            </w:pPr>
            <w:r w:rsidRPr="007C0C9D">
              <w:rPr>
                <w:b/>
                <w:bCs/>
                <w:color w:val="000000"/>
                <w:sz w:val="18"/>
                <w:szCs w:val="18"/>
              </w:rPr>
              <w:t>CoC Registration – HPC designation request*</w:t>
            </w:r>
          </w:p>
        </w:tc>
        <w:tc>
          <w:tcPr>
            <w:tcW w:w="10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14BD2E8F" w14:textId="77777777">
            <w:pPr>
              <w:adjustRightInd/>
              <w:jc w:val="center"/>
              <w:textAlignment w:val="auto"/>
              <w:rPr>
                <w:rFonts w:eastAsia="Calibri"/>
                <w:b/>
                <w:bCs/>
                <w:color w:val="000000"/>
                <w:sz w:val="18"/>
                <w:szCs w:val="18"/>
              </w:rPr>
            </w:pPr>
            <w:r w:rsidRPr="007C0C9D">
              <w:rPr>
                <w:b/>
                <w:bCs/>
                <w:color w:val="000000"/>
                <w:sz w:val="18"/>
                <w:szCs w:val="18"/>
              </w:rPr>
              <w:t>5</w:t>
            </w: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38AFE00B" w14:textId="77777777">
            <w:pPr>
              <w:adjustRightInd/>
              <w:jc w:val="center"/>
              <w:textAlignment w:val="auto"/>
              <w:rPr>
                <w:rFonts w:eastAsia="Calibri"/>
                <w:b/>
                <w:bCs/>
                <w:color w:val="000000"/>
                <w:sz w:val="18"/>
                <w:szCs w:val="18"/>
              </w:rPr>
            </w:pPr>
            <w:r w:rsidRPr="007C0C9D">
              <w:rPr>
                <w:rFonts w:eastAsia="Calibri"/>
                <w:b/>
                <w:bCs/>
                <w:color w:val="000000"/>
                <w:sz w:val="18"/>
                <w:szCs w:val="18"/>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4E32D365" w14:textId="77777777">
            <w:pPr>
              <w:adjustRightInd/>
              <w:jc w:val="center"/>
              <w:textAlignment w:val="auto"/>
              <w:rPr>
                <w:rFonts w:eastAsia="Calibri"/>
                <w:b/>
                <w:bCs/>
                <w:color w:val="000000"/>
                <w:sz w:val="18"/>
                <w:szCs w:val="18"/>
              </w:rPr>
            </w:pPr>
            <w:r w:rsidRPr="007C0C9D">
              <w:rPr>
                <w:rFonts w:eastAsia="Calibri"/>
                <w:b/>
                <w:bCs/>
                <w:color w:val="000000"/>
                <w:sz w:val="18"/>
                <w:szCs w:val="18"/>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0EE4BBE3" w14:textId="77777777">
            <w:pPr>
              <w:adjustRightInd/>
              <w:jc w:val="center"/>
              <w:textAlignment w:val="auto"/>
              <w:rPr>
                <w:rFonts w:eastAsia="Calibri"/>
                <w:b/>
                <w:bCs/>
                <w:color w:val="000000"/>
                <w:sz w:val="18"/>
                <w:szCs w:val="18"/>
              </w:rPr>
            </w:pPr>
            <w:r w:rsidRPr="007C0C9D">
              <w:rPr>
                <w:rFonts w:eastAsia="Calibri"/>
                <w:b/>
                <w:bCs/>
                <w:color w:val="000000"/>
                <w:sz w:val="18"/>
                <w:szCs w:val="18"/>
              </w:rPr>
              <w:t>10</w:t>
            </w:r>
          </w:p>
        </w:tc>
        <w:tc>
          <w:tcPr>
            <w:tcW w:w="1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7808A00B" w14:textId="77777777">
            <w:pPr>
              <w:adjustRightInd/>
              <w:jc w:val="center"/>
              <w:textAlignment w:val="auto"/>
              <w:rPr>
                <w:rFonts w:eastAsia="Calibri"/>
                <w:b/>
                <w:bCs/>
                <w:color w:val="000000"/>
                <w:sz w:val="18"/>
                <w:szCs w:val="18"/>
              </w:rPr>
            </w:pPr>
            <w:r w:rsidRPr="007C0C9D">
              <w:rPr>
                <w:rFonts w:eastAsia="Calibri"/>
                <w:b/>
                <w:bCs/>
                <w:color w:val="000000"/>
                <w:sz w:val="18"/>
                <w:szCs w:val="18"/>
              </w:rPr>
              <w:t>50</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275C6" w14:paraId="7DF0C91E" w14:textId="77777777">
            <w:pPr>
              <w:adjustRightInd/>
              <w:jc w:val="right"/>
              <w:textAlignment w:val="auto"/>
              <w:rPr>
                <w:rFonts w:eastAsia="Calibri"/>
                <w:b/>
                <w:bCs/>
                <w:color w:val="000000"/>
                <w:sz w:val="18"/>
                <w:szCs w:val="18"/>
              </w:rPr>
            </w:pPr>
            <w:r w:rsidRPr="007C0C9D">
              <w:rPr>
                <w:rFonts w:eastAsia="Calibri"/>
                <w:b/>
                <w:bCs/>
                <w:color w:val="000000"/>
                <w:sz w:val="18"/>
                <w:szCs w:val="18"/>
              </w:rPr>
              <w:t>$41.</w:t>
            </w:r>
            <w:r w:rsidRPr="007C0C9D" w:rsidR="00600B2C">
              <w:rPr>
                <w:rFonts w:eastAsia="Calibri"/>
                <w:b/>
                <w:bCs/>
                <w:color w:val="000000"/>
                <w:sz w:val="18"/>
                <w:szCs w:val="18"/>
              </w:rPr>
              <w:t>78</w:t>
            </w: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D275C6" w:rsidP="00D275C6" w:rsidRDefault="00DF1BE4" w14:paraId="19607F4F" w14:textId="6B60D537">
            <w:pPr>
              <w:adjustRightInd/>
              <w:jc w:val="right"/>
              <w:textAlignment w:val="auto"/>
              <w:rPr>
                <w:rFonts w:eastAsia="Calibri"/>
                <w:b/>
                <w:bCs/>
                <w:color w:val="000000"/>
                <w:sz w:val="18"/>
                <w:szCs w:val="18"/>
              </w:rPr>
            </w:pPr>
            <w:r w:rsidRPr="007C0C9D">
              <w:rPr>
                <w:rFonts w:eastAsia="Calibri"/>
                <w:b/>
                <w:bCs/>
                <w:color w:val="000000"/>
                <w:sz w:val="18"/>
                <w:szCs w:val="18"/>
              </w:rPr>
              <w:t>$2,</w:t>
            </w:r>
            <w:r w:rsidRPr="007C0C9D" w:rsidR="00D00100">
              <w:rPr>
                <w:rFonts w:eastAsia="Calibri"/>
                <w:b/>
                <w:bCs/>
                <w:color w:val="000000"/>
                <w:sz w:val="18"/>
                <w:szCs w:val="18"/>
              </w:rPr>
              <w:t>089</w:t>
            </w:r>
            <w:r w:rsidRPr="007C0C9D" w:rsidR="00A400AD">
              <w:rPr>
                <w:rFonts w:eastAsia="Calibri"/>
                <w:b/>
                <w:bCs/>
                <w:color w:val="000000"/>
                <w:sz w:val="18"/>
                <w:szCs w:val="18"/>
              </w:rPr>
              <w:t>.00</w:t>
            </w:r>
          </w:p>
        </w:tc>
      </w:tr>
      <w:tr w:rsidRPr="007C0C9D" w:rsidR="00E34199" w:rsidTr="005E519F" w14:paraId="2D5A1D7A" w14:textId="77777777">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03F1DE29" w14:textId="77777777">
            <w:pPr>
              <w:adjustRightInd/>
              <w:textAlignment w:val="auto"/>
              <w:rPr>
                <w:rFonts w:eastAsia="Calibri"/>
                <w:b/>
                <w:bCs/>
                <w:color w:val="000000"/>
                <w:sz w:val="18"/>
                <w:szCs w:val="18"/>
              </w:rPr>
            </w:pPr>
            <w:r w:rsidRPr="007C0C9D">
              <w:rPr>
                <w:b/>
                <w:bCs/>
                <w:color w:val="000000"/>
                <w:sz w:val="18"/>
                <w:szCs w:val="18"/>
              </w:rPr>
              <w:t>Grant Inventory Worksheet</w:t>
            </w:r>
          </w:p>
        </w:tc>
        <w:tc>
          <w:tcPr>
            <w:tcW w:w="10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70E47D05" w14:textId="77777777">
            <w:pPr>
              <w:adjustRightInd/>
              <w:jc w:val="center"/>
              <w:textAlignment w:val="auto"/>
              <w:rPr>
                <w:rFonts w:eastAsia="Calibri"/>
                <w:b/>
                <w:bCs/>
                <w:color w:val="000000"/>
                <w:sz w:val="18"/>
                <w:szCs w:val="18"/>
              </w:rPr>
            </w:pPr>
            <w:r w:rsidRPr="007C0C9D">
              <w:rPr>
                <w:b/>
                <w:bCs/>
                <w:color w:val="000000"/>
                <w:sz w:val="18"/>
                <w:szCs w:val="18"/>
              </w:rPr>
              <w:t>405</w:t>
            </w: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089D1684" w14:textId="77777777">
            <w:pPr>
              <w:adjustRightInd/>
              <w:jc w:val="center"/>
              <w:textAlignment w:val="auto"/>
              <w:rPr>
                <w:rFonts w:eastAsia="Calibri"/>
                <w:b/>
                <w:bCs/>
                <w:color w:val="000000"/>
                <w:sz w:val="18"/>
                <w:szCs w:val="18"/>
              </w:rPr>
            </w:pPr>
            <w:r w:rsidRPr="007C0C9D">
              <w:rPr>
                <w:rFonts w:eastAsia="Calibri"/>
                <w:b/>
                <w:bCs/>
                <w:color w:val="000000"/>
                <w:sz w:val="18"/>
                <w:szCs w:val="18"/>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0D75766F" w14:textId="77777777">
            <w:pPr>
              <w:adjustRightInd/>
              <w:jc w:val="center"/>
              <w:textAlignment w:val="auto"/>
              <w:rPr>
                <w:rFonts w:eastAsia="Calibri"/>
                <w:b/>
                <w:bCs/>
                <w:color w:val="000000"/>
                <w:sz w:val="18"/>
                <w:szCs w:val="18"/>
              </w:rPr>
            </w:pPr>
            <w:r w:rsidRPr="007C0C9D">
              <w:rPr>
                <w:rFonts w:eastAsia="Calibri"/>
                <w:b/>
                <w:bCs/>
                <w:color w:val="000000"/>
                <w:sz w:val="18"/>
                <w:szCs w:val="18"/>
              </w:rPr>
              <w:t>405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6E4D47CE" w14:textId="77777777">
            <w:pPr>
              <w:adjustRightInd/>
              <w:jc w:val="center"/>
              <w:textAlignment w:val="auto"/>
              <w:rPr>
                <w:rFonts w:eastAsia="Calibri"/>
                <w:b/>
                <w:bCs/>
                <w:color w:val="000000"/>
                <w:sz w:val="18"/>
                <w:szCs w:val="18"/>
              </w:rPr>
            </w:pPr>
            <w:r w:rsidRPr="007C0C9D">
              <w:rPr>
                <w:rFonts w:eastAsia="Calibri"/>
                <w:b/>
                <w:bCs/>
                <w:color w:val="000000"/>
                <w:sz w:val="18"/>
                <w:szCs w:val="18"/>
              </w:rPr>
              <w:t>8</w:t>
            </w:r>
          </w:p>
        </w:tc>
        <w:tc>
          <w:tcPr>
            <w:tcW w:w="1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25C88E9E" w14:textId="7CE07E36">
            <w:pPr>
              <w:adjustRightInd/>
              <w:jc w:val="center"/>
              <w:textAlignment w:val="auto"/>
              <w:rPr>
                <w:rFonts w:eastAsia="Calibri"/>
                <w:b/>
                <w:bCs/>
                <w:color w:val="000000"/>
                <w:sz w:val="18"/>
                <w:szCs w:val="18"/>
              </w:rPr>
            </w:pPr>
            <w:r w:rsidRPr="007C0C9D">
              <w:rPr>
                <w:rFonts w:eastAsia="Calibri"/>
                <w:b/>
                <w:bCs/>
                <w:color w:val="000000"/>
                <w:sz w:val="18"/>
                <w:szCs w:val="18"/>
              </w:rPr>
              <w:t>3,2</w:t>
            </w:r>
            <w:r w:rsidRPr="007C0C9D" w:rsidR="00694EAF">
              <w:rPr>
                <w:rFonts w:eastAsia="Calibri"/>
                <w:b/>
                <w:bCs/>
                <w:color w:val="000000"/>
                <w:sz w:val="18"/>
                <w:szCs w:val="18"/>
              </w:rPr>
              <w:t>4</w:t>
            </w:r>
            <w:r w:rsidRPr="007C0C9D">
              <w:rPr>
                <w:rFonts w:eastAsia="Calibri"/>
                <w:b/>
                <w:bCs/>
                <w:color w:val="000000"/>
                <w:sz w:val="18"/>
                <w:szCs w:val="18"/>
              </w:rPr>
              <w:t>0</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1A1402B7" w14:textId="77777777">
            <w:pPr>
              <w:adjustRightInd/>
              <w:jc w:val="right"/>
              <w:textAlignment w:val="auto"/>
              <w:rPr>
                <w:rFonts w:eastAsia="Calibri"/>
                <w:b/>
                <w:bCs/>
                <w:color w:val="000000"/>
                <w:sz w:val="18"/>
                <w:szCs w:val="18"/>
              </w:rPr>
            </w:pPr>
            <w:r w:rsidRPr="007C0C9D">
              <w:rPr>
                <w:rFonts w:eastAsia="Calibri"/>
                <w:b/>
                <w:bCs/>
                <w:color w:val="000000"/>
                <w:sz w:val="18"/>
                <w:szCs w:val="18"/>
              </w:rPr>
              <w:t>$41.</w:t>
            </w:r>
            <w:r w:rsidRPr="007C0C9D" w:rsidR="00600B2C">
              <w:rPr>
                <w:rFonts w:eastAsia="Calibri"/>
                <w:b/>
                <w:bCs/>
                <w:color w:val="000000"/>
                <w:sz w:val="18"/>
                <w:szCs w:val="18"/>
              </w:rPr>
              <w:t>78</w:t>
            </w: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8B43AB" w14:paraId="0CB8EC9E" w14:textId="438983C8">
            <w:pPr>
              <w:adjustRightInd/>
              <w:jc w:val="right"/>
              <w:textAlignment w:val="auto"/>
              <w:rPr>
                <w:rFonts w:eastAsia="Calibri"/>
                <w:b/>
                <w:bCs/>
                <w:color w:val="000000"/>
                <w:sz w:val="18"/>
                <w:szCs w:val="18"/>
              </w:rPr>
            </w:pPr>
            <w:r w:rsidRPr="007C0C9D">
              <w:rPr>
                <w:b/>
                <w:bCs/>
                <w:sz w:val="18"/>
                <w:szCs w:val="18"/>
              </w:rPr>
              <w:t>$</w:t>
            </w:r>
            <w:r w:rsidRPr="007C0C9D" w:rsidR="00694EAF">
              <w:rPr>
                <w:rFonts w:eastAsia="Calibri"/>
                <w:b/>
                <w:bCs/>
                <w:color w:val="000000"/>
                <w:sz w:val="18"/>
                <w:szCs w:val="18"/>
              </w:rPr>
              <w:t>135,367.20</w:t>
            </w:r>
          </w:p>
        </w:tc>
      </w:tr>
      <w:tr w:rsidRPr="007C0C9D" w:rsidR="00E34199" w:rsidTr="005E519F" w14:paraId="33D69202" w14:textId="77777777">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75298E02" w14:textId="77777777">
            <w:pPr>
              <w:adjustRightInd/>
              <w:textAlignment w:val="auto"/>
              <w:rPr>
                <w:rFonts w:eastAsia="Calibri"/>
                <w:b/>
                <w:bCs/>
                <w:color w:val="000000"/>
                <w:sz w:val="18"/>
                <w:szCs w:val="18"/>
              </w:rPr>
            </w:pPr>
            <w:r w:rsidRPr="007C0C9D">
              <w:rPr>
                <w:b/>
                <w:bCs/>
                <w:color w:val="000000"/>
                <w:sz w:val="18"/>
                <w:szCs w:val="18"/>
              </w:rPr>
              <w:t>Total</w:t>
            </w:r>
          </w:p>
        </w:tc>
        <w:tc>
          <w:tcPr>
            <w:tcW w:w="10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5639E7E0" w14:textId="6642BCCD">
            <w:pPr>
              <w:adjustRightInd/>
              <w:jc w:val="center"/>
              <w:textAlignment w:val="auto"/>
              <w:rPr>
                <w:rFonts w:eastAsia="Calibri"/>
                <w:b/>
                <w:bCs/>
                <w:color w:val="000000"/>
                <w:sz w:val="18"/>
                <w:szCs w:val="18"/>
              </w:rPr>
            </w:pPr>
            <w:r w:rsidRPr="007C0C9D">
              <w:rPr>
                <w:b/>
                <w:bCs/>
                <w:color w:val="000000"/>
                <w:sz w:val="18"/>
                <w:szCs w:val="18"/>
              </w:rPr>
              <w:t>40</w:t>
            </w:r>
            <w:r w:rsidRPr="007C0C9D" w:rsidR="00A400AD">
              <w:rPr>
                <w:b/>
                <w:bCs/>
                <w:color w:val="000000"/>
                <w:sz w:val="18"/>
                <w:szCs w:val="18"/>
              </w:rPr>
              <w:t>5</w:t>
            </w: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06814DAD" w14:textId="77777777">
            <w:pPr>
              <w:adjustRightInd/>
              <w:jc w:val="center"/>
              <w:textAlignment w:val="auto"/>
              <w:rPr>
                <w:rFonts w:eastAsia="Calibri"/>
                <w:b/>
                <w:bCs/>
                <w:color w:val="000000"/>
                <w:sz w:val="18"/>
                <w:szCs w:val="18"/>
              </w:rPr>
            </w:pPr>
            <w:r w:rsidRPr="007C0C9D">
              <w:rPr>
                <w:rFonts w:eastAsia="Calibri"/>
                <w:b/>
                <w:bCs/>
                <w:color w:val="000000"/>
                <w:sz w:val="18"/>
                <w:szCs w:val="18"/>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298D9C66" w14:textId="77777777">
            <w:pPr>
              <w:adjustRightInd/>
              <w:jc w:val="center"/>
              <w:textAlignment w:val="auto"/>
              <w:rPr>
                <w:rFonts w:eastAsia="Calibri"/>
                <w:b/>
                <w:bCs/>
                <w:color w:val="000000"/>
                <w:sz w:val="18"/>
                <w:szCs w:val="18"/>
              </w:rPr>
            </w:pPr>
            <w:r w:rsidRPr="007C0C9D">
              <w:rPr>
                <w:rFonts w:eastAsia="Calibri"/>
                <w:b/>
                <w:bCs/>
                <w:color w:val="000000"/>
                <w:sz w:val="18"/>
                <w:szCs w:val="18"/>
              </w:rPr>
              <w:t>835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38B5B186" w14:textId="77777777">
            <w:pPr>
              <w:adjustRightInd/>
              <w:jc w:val="center"/>
              <w:textAlignment w:val="auto"/>
              <w:rPr>
                <w:rFonts w:eastAsia="Calibri"/>
                <w:b/>
                <w:bCs/>
                <w:color w:val="000000"/>
                <w:sz w:val="18"/>
                <w:szCs w:val="18"/>
              </w:rPr>
            </w:pPr>
            <w:r w:rsidRPr="007C0C9D">
              <w:rPr>
                <w:rFonts w:eastAsia="Calibri"/>
                <w:b/>
                <w:bCs/>
                <w:color w:val="000000"/>
                <w:sz w:val="18"/>
                <w:szCs w:val="18"/>
              </w:rPr>
              <w:t>5</w:t>
            </w:r>
          </w:p>
        </w:tc>
        <w:tc>
          <w:tcPr>
            <w:tcW w:w="10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A400AD" w14:paraId="2D682B8F" w14:textId="185B42E8">
            <w:pPr>
              <w:adjustRightInd/>
              <w:jc w:val="center"/>
              <w:textAlignment w:val="auto"/>
              <w:rPr>
                <w:rFonts w:eastAsia="Calibri"/>
                <w:b/>
                <w:bCs/>
                <w:color w:val="000000"/>
                <w:sz w:val="18"/>
                <w:szCs w:val="18"/>
              </w:rPr>
            </w:pPr>
            <w:r w:rsidRPr="007C0C9D">
              <w:rPr>
                <w:rFonts w:eastAsia="Calibri"/>
                <w:b/>
                <w:bCs/>
                <w:color w:val="000000"/>
                <w:sz w:val="18"/>
                <w:szCs w:val="18"/>
              </w:rPr>
              <w:t>3,</w:t>
            </w:r>
            <w:r w:rsidRPr="007C0C9D" w:rsidR="0008370C">
              <w:rPr>
                <w:rFonts w:eastAsia="Calibri"/>
                <w:b/>
                <w:bCs/>
                <w:color w:val="000000"/>
                <w:sz w:val="18"/>
                <w:szCs w:val="18"/>
              </w:rPr>
              <w:t>9</w:t>
            </w:r>
            <w:r w:rsidRPr="007C0C9D">
              <w:rPr>
                <w:rFonts w:eastAsia="Calibri"/>
                <w:b/>
                <w:bCs/>
                <w:color w:val="000000"/>
                <w:sz w:val="18"/>
                <w:szCs w:val="18"/>
              </w:rPr>
              <w:t>9</w:t>
            </w:r>
            <w:r w:rsidRPr="007C0C9D" w:rsidR="0008370C">
              <w:rPr>
                <w:rFonts w:eastAsia="Calibri"/>
                <w:b/>
                <w:bCs/>
                <w:color w:val="000000"/>
                <w:sz w:val="18"/>
                <w:szCs w:val="18"/>
              </w:rPr>
              <w:t>5</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E34199" w14:paraId="105BEA8A" w14:textId="77777777">
            <w:pPr>
              <w:adjustRightInd/>
              <w:jc w:val="right"/>
              <w:textAlignment w:val="auto"/>
              <w:rPr>
                <w:rFonts w:eastAsia="Calibri"/>
                <w:b/>
                <w:bCs/>
                <w:color w:val="000000"/>
                <w:sz w:val="18"/>
                <w:szCs w:val="18"/>
              </w:rPr>
            </w:pPr>
          </w:p>
        </w:tc>
        <w:tc>
          <w:tcPr>
            <w:tcW w:w="1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C0C9D" w:rsidR="00E34199" w:rsidP="00E34199" w:rsidRDefault="00DF1BE4" w14:paraId="31415E97" w14:textId="5E3A91E6">
            <w:pPr>
              <w:adjustRightInd/>
              <w:jc w:val="right"/>
              <w:textAlignment w:val="auto"/>
              <w:rPr>
                <w:rFonts w:eastAsia="Calibri"/>
                <w:b/>
                <w:bCs/>
                <w:color w:val="000000"/>
                <w:sz w:val="18"/>
                <w:szCs w:val="18"/>
              </w:rPr>
            </w:pPr>
            <w:r w:rsidRPr="007C0C9D">
              <w:rPr>
                <w:b/>
                <w:bCs/>
                <w:sz w:val="18"/>
                <w:szCs w:val="18"/>
              </w:rPr>
              <w:t>$</w:t>
            </w:r>
            <w:r w:rsidRPr="007C0C9D" w:rsidR="00F72632">
              <w:rPr>
                <w:rFonts w:eastAsia="Calibri"/>
                <w:b/>
                <w:bCs/>
                <w:color w:val="000000"/>
                <w:sz w:val="18"/>
                <w:szCs w:val="18"/>
              </w:rPr>
              <w:t>166,91</w:t>
            </w:r>
            <w:r w:rsidRPr="007C0C9D" w:rsidR="00A400AD">
              <w:rPr>
                <w:rFonts w:eastAsia="Calibri"/>
                <w:b/>
                <w:bCs/>
                <w:color w:val="000000"/>
                <w:sz w:val="18"/>
                <w:szCs w:val="18"/>
              </w:rPr>
              <w:t>1.10</w:t>
            </w:r>
          </w:p>
        </w:tc>
      </w:tr>
    </w:tbl>
    <w:bookmarkEnd w:id="7"/>
    <w:p w:rsidRPr="0008370C" w:rsidR="00167E53" w:rsidP="005E519F" w:rsidRDefault="00D275C6" w14:paraId="49AC37AF" w14:textId="4A719BC5">
      <w:pPr>
        <w:keepLines/>
        <w:tabs>
          <w:tab w:val="left" w:pos="360"/>
          <w:tab w:val="left" w:pos="720"/>
          <w:tab w:val="center" w:pos="1680"/>
          <w:tab w:val="center" w:pos="3120"/>
          <w:tab w:val="center" w:pos="4560"/>
          <w:tab w:val="center" w:pos="6000"/>
          <w:tab w:val="center" w:pos="7440"/>
          <w:tab w:val="center" w:pos="8880"/>
        </w:tabs>
        <w:ind w:left="360"/>
        <w:rPr>
          <w:sz w:val="18"/>
          <w:szCs w:val="18"/>
        </w:rPr>
      </w:pPr>
      <w:r w:rsidRPr="0008370C">
        <w:rPr>
          <w:sz w:val="18"/>
          <w:szCs w:val="18"/>
        </w:rPr>
        <w:t>*Responses to UFA and HPC designations are subsets of the total 40</w:t>
      </w:r>
      <w:r w:rsidRPr="0008370C" w:rsidR="00600B2C">
        <w:rPr>
          <w:sz w:val="18"/>
          <w:szCs w:val="18"/>
        </w:rPr>
        <w:t>5</w:t>
      </w:r>
      <w:r w:rsidRPr="0008370C">
        <w:rPr>
          <w:sz w:val="18"/>
          <w:szCs w:val="18"/>
        </w:rPr>
        <w:t xml:space="preserve"> basic registration numbers as the basic CoC Registration is completed by all Collaborative Applicants to register the CoCs. On average there are 20 requests for UFA designation and to date no requests for HPC designation.</w:t>
      </w:r>
      <w:r w:rsidRPr="0008370C" w:rsidR="00E34199">
        <w:rPr>
          <w:sz w:val="18"/>
          <w:szCs w:val="18"/>
        </w:rPr>
        <w:t xml:space="preserve"> </w:t>
      </w:r>
      <w:bookmarkStart w:name="_Hlk65569837" w:id="9"/>
      <w:r w:rsidRPr="0008370C" w:rsidR="00E34199">
        <w:rPr>
          <w:sz w:val="18"/>
          <w:szCs w:val="18"/>
        </w:rPr>
        <w:t>The total number of respondents is subject to change annually due to CoCs merging or splitting and with newly created CoCs due to authorizing language expanding eligibility (e.g., FY 2021 appropriations language authorizing the Indian Tribes and TDHEs eligibility to form CoCs, submit CoC Consolidated applications, and project applications).</w:t>
      </w:r>
      <w:bookmarkEnd w:id="9"/>
    </w:p>
    <w:p w:rsidRPr="0008370C" w:rsidR="00D275C6" w:rsidP="00167E53" w:rsidRDefault="00D275C6" w14:paraId="6EE1100F" w14:textId="77777777">
      <w:pPr>
        <w:keepLines/>
        <w:tabs>
          <w:tab w:val="left" w:pos="360"/>
          <w:tab w:val="left" w:pos="720"/>
          <w:tab w:val="center" w:pos="1680"/>
          <w:tab w:val="center" w:pos="3120"/>
          <w:tab w:val="center" w:pos="4560"/>
          <w:tab w:val="center" w:pos="6000"/>
          <w:tab w:val="center" w:pos="7440"/>
          <w:tab w:val="center" w:pos="8880"/>
        </w:tabs>
        <w:ind w:left="840"/>
        <w:rPr>
          <w:sz w:val="18"/>
          <w:szCs w:val="18"/>
        </w:rPr>
      </w:pPr>
    </w:p>
    <w:p w:rsidR="005E519F" w:rsidRDefault="005E519F" w14:paraId="4155884A" w14:textId="77777777">
      <w:pPr>
        <w:tabs>
          <w:tab w:val="left" w:pos="360"/>
        </w:tabs>
        <w:ind w:left="360" w:hanging="360"/>
        <w:rPr>
          <w:sz w:val="24"/>
          <w:szCs w:val="24"/>
        </w:rPr>
      </w:pPr>
    </w:p>
    <w:p w:rsidR="005E519F" w:rsidRDefault="005E519F" w14:paraId="6C54E87E" w14:textId="77777777">
      <w:pPr>
        <w:tabs>
          <w:tab w:val="left" w:pos="360"/>
        </w:tabs>
        <w:ind w:left="360" w:hanging="360"/>
        <w:rPr>
          <w:sz w:val="24"/>
          <w:szCs w:val="24"/>
        </w:rPr>
      </w:pPr>
    </w:p>
    <w:p w:rsidR="005E519F" w:rsidRDefault="005E519F" w14:paraId="078C68A8" w14:textId="77777777">
      <w:pPr>
        <w:tabs>
          <w:tab w:val="left" w:pos="360"/>
        </w:tabs>
        <w:ind w:left="360" w:hanging="360"/>
        <w:rPr>
          <w:sz w:val="24"/>
          <w:szCs w:val="24"/>
        </w:rPr>
      </w:pPr>
    </w:p>
    <w:p w:rsidR="005E519F" w:rsidRDefault="005E519F" w14:paraId="45A9AF14" w14:textId="77777777">
      <w:pPr>
        <w:tabs>
          <w:tab w:val="left" w:pos="360"/>
        </w:tabs>
        <w:ind w:left="360" w:hanging="360"/>
        <w:rPr>
          <w:sz w:val="24"/>
          <w:szCs w:val="24"/>
        </w:rPr>
      </w:pPr>
    </w:p>
    <w:p w:rsidR="005E519F" w:rsidRDefault="005E519F" w14:paraId="54592F43" w14:textId="77777777">
      <w:pPr>
        <w:tabs>
          <w:tab w:val="left" w:pos="360"/>
        </w:tabs>
        <w:ind w:left="360" w:hanging="360"/>
        <w:rPr>
          <w:sz w:val="24"/>
          <w:szCs w:val="24"/>
        </w:rPr>
      </w:pPr>
    </w:p>
    <w:p w:rsidRPr="006C7FAE" w:rsidR="009E13B1" w:rsidRDefault="009E13B1" w14:paraId="4B320756" w14:textId="19AE720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595039B2"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75C23821"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36F03B5B"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519F" w:rsidRDefault="005E519F" w14:paraId="7DD83025" w14:textId="77777777">
      <w:pPr>
        <w:keepLines/>
        <w:tabs>
          <w:tab w:val="left" w:pos="360"/>
          <w:tab w:val="left" w:pos="720"/>
        </w:tabs>
        <w:ind w:left="360"/>
        <w:rPr>
          <w:sz w:val="24"/>
          <w:szCs w:val="24"/>
        </w:rPr>
      </w:pPr>
    </w:p>
    <w:p w:rsidR="009E13B1" w:rsidRDefault="00D275C6" w14:paraId="3921E528" w14:textId="7C770A6F">
      <w:pPr>
        <w:keepLines/>
        <w:tabs>
          <w:tab w:val="left" w:pos="360"/>
          <w:tab w:val="left" w:pos="720"/>
        </w:tabs>
        <w:ind w:left="360"/>
        <w:rPr>
          <w:sz w:val="24"/>
          <w:szCs w:val="24"/>
        </w:rPr>
      </w:pPr>
      <w:r w:rsidRPr="00D275C6">
        <w:rPr>
          <w:sz w:val="24"/>
          <w:szCs w:val="24"/>
        </w:rPr>
        <w:t>There are no additional costs to the respondents</w:t>
      </w:r>
      <w:r>
        <w:rPr>
          <w:sz w:val="24"/>
          <w:szCs w:val="24"/>
        </w:rPr>
        <w:t xml:space="preserve"> or recordkeepers</w:t>
      </w:r>
      <w:r w:rsidRPr="00D275C6">
        <w:rPr>
          <w:sz w:val="24"/>
          <w:szCs w:val="24"/>
        </w:rPr>
        <w:t>.</w:t>
      </w:r>
    </w:p>
    <w:p w:rsidRPr="006C7FAE" w:rsidR="00D275C6" w:rsidRDefault="00D275C6" w14:paraId="6460F3DD" w14:textId="77777777">
      <w:pPr>
        <w:keepLines/>
        <w:tabs>
          <w:tab w:val="left" w:pos="360"/>
          <w:tab w:val="left" w:pos="720"/>
        </w:tabs>
        <w:ind w:left="360"/>
        <w:rPr>
          <w:sz w:val="24"/>
          <w:szCs w:val="24"/>
        </w:rPr>
      </w:pPr>
    </w:p>
    <w:p w:rsidRPr="006C7FAE" w:rsidR="009E13B1" w:rsidRDefault="009E13B1" w14:paraId="7678584C"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167E53" w:rsidP="00167E53" w:rsidRDefault="00167E53" w14:paraId="01E054D9" w14:textId="77777777">
      <w:pPr>
        <w:overflowPunct/>
        <w:autoSpaceDE/>
        <w:autoSpaceDN/>
        <w:adjustRightInd/>
        <w:spacing w:after="80"/>
        <w:ind w:left="360"/>
        <w:textAlignment w:val="auto"/>
        <w:rPr>
          <w:rFonts w:eastAsia="Calibri"/>
          <w:color w:val="000000"/>
        </w:rPr>
      </w:pPr>
    </w:p>
    <w:tbl>
      <w:tblPr>
        <w:tblW w:w="9468" w:type="dxa"/>
        <w:tblInd w:w="468" w:type="dxa"/>
        <w:tblCellMar>
          <w:left w:w="0" w:type="dxa"/>
          <w:right w:w="0" w:type="dxa"/>
        </w:tblCellMar>
        <w:tblLook w:val="04A0" w:firstRow="1" w:lastRow="0" w:firstColumn="1" w:lastColumn="0" w:noHBand="0" w:noVBand="1"/>
      </w:tblPr>
      <w:tblGrid>
        <w:gridCol w:w="1772"/>
        <w:gridCol w:w="1350"/>
        <w:gridCol w:w="1159"/>
        <w:gridCol w:w="1017"/>
        <w:gridCol w:w="1100"/>
        <w:gridCol w:w="929"/>
        <w:gridCol w:w="1100"/>
        <w:gridCol w:w="1041"/>
      </w:tblGrid>
      <w:tr w:rsidRPr="005E519F" w:rsidR="00167E53" w:rsidTr="005E519F" w14:paraId="76B889AA" w14:textId="77777777">
        <w:tc>
          <w:tcPr>
            <w:tcW w:w="1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1623B86A" w14:textId="77777777">
            <w:pPr>
              <w:adjustRightInd/>
              <w:jc w:val="center"/>
              <w:textAlignment w:val="auto"/>
              <w:rPr>
                <w:rFonts w:eastAsia="Calibri"/>
                <w:b/>
                <w:bCs/>
                <w:color w:val="000000"/>
                <w:sz w:val="18"/>
                <w:szCs w:val="18"/>
              </w:rPr>
            </w:pPr>
            <w:r w:rsidRPr="005E519F">
              <w:rPr>
                <w:rFonts w:eastAsia="Calibri"/>
                <w:b/>
                <w:bCs/>
                <w:color w:val="000000"/>
                <w:sz w:val="18"/>
                <w:szCs w:val="18"/>
              </w:rPr>
              <w:t>Information Collection</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73667B18" w14:textId="77777777">
            <w:pPr>
              <w:adjustRightInd/>
              <w:jc w:val="center"/>
              <w:textAlignment w:val="auto"/>
              <w:rPr>
                <w:rFonts w:eastAsia="Calibri"/>
                <w:b/>
                <w:bCs/>
                <w:color w:val="000000"/>
                <w:sz w:val="18"/>
                <w:szCs w:val="18"/>
              </w:rPr>
            </w:pPr>
            <w:r w:rsidRPr="005E519F">
              <w:rPr>
                <w:rFonts w:eastAsia="Calibri"/>
                <w:b/>
                <w:bCs/>
                <w:color w:val="000000"/>
                <w:sz w:val="18"/>
                <w:szCs w:val="18"/>
              </w:rPr>
              <w:t>Number of Respondents</w:t>
            </w:r>
          </w:p>
        </w:tc>
        <w:tc>
          <w:tcPr>
            <w:tcW w:w="11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3D8D4E97" w14:textId="77777777">
            <w:pPr>
              <w:adjustRightInd/>
              <w:jc w:val="center"/>
              <w:textAlignment w:val="auto"/>
              <w:rPr>
                <w:rFonts w:eastAsia="Calibri"/>
                <w:b/>
                <w:bCs/>
                <w:color w:val="000000"/>
                <w:sz w:val="18"/>
                <w:szCs w:val="18"/>
              </w:rPr>
            </w:pPr>
            <w:r w:rsidRPr="005E519F">
              <w:rPr>
                <w:rFonts w:eastAsia="Calibri"/>
                <w:b/>
                <w:bCs/>
                <w:color w:val="000000"/>
                <w:sz w:val="18"/>
                <w:szCs w:val="18"/>
              </w:rPr>
              <w:t>Frequency of Response</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710CCEE5"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Responses</w:t>
            </w:r>
          </w:p>
          <w:p w:rsidRPr="005E519F" w:rsidR="00167E53" w:rsidP="00167E53" w:rsidRDefault="00167E53" w14:paraId="136A1171" w14:textId="77777777">
            <w:pPr>
              <w:adjustRightInd/>
              <w:jc w:val="center"/>
              <w:textAlignment w:val="auto"/>
              <w:rPr>
                <w:rFonts w:eastAsia="Calibri"/>
                <w:b/>
                <w:bCs/>
                <w:color w:val="000000"/>
                <w:sz w:val="18"/>
                <w:szCs w:val="18"/>
              </w:rPr>
            </w:pPr>
            <w:r w:rsidRPr="005E519F">
              <w:rPr>
                <w:rFonts w:eastAsia="Calibri"/>
                <w:b/>
                <w:bCs/>
                <w:color w:val="000000"/>
                <w:sz w:val="18"/>
                <w:szCs w:val="18"/>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672BE567" w14:textId="77777777">
            <w:pPr>
              <w:adjustRightInd/>
              <w:jc w:val="center"/>
              <w:textAlignment w:val="auto"/>
              <w:rPr>
                <w:rFonts w:eastAsia="Calibri"/>
                <w:b/>
                <w:bCs/>
                <w:color w:val="000000"/>
                <w:sz w:val="18"/>
                <w:szCs w:val="18"/>
              </w:rPr>
            </w:pPr>
            <w:r w:rsidRPr="005E519F">
              <w:rPr>
                <w:rFonts w:eastAsia="Calibri"/>
                <w:b/>
                <w:bCs/>
                <w:color w:val="000000"/>
                <w:sz w:val="18"/>
                <w:szCs w:val="18"/>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1A0C99F4" w14:textId="77777777">
            <w:pPr>
              <w:adjustRightInd/>
              <w:jc w:val="center"/>
              <w:textAlignment w:val="auto"/>
              <w:rPr>
                <w:rFonts w:eastAsia="Calibri"/>
                <w:b/>
                <w:bCs/>
                <w:color w:val="000000"/>
                <w:sz w:val="18"/>
                <w:szCs w:val="18"/>
              </w:rPr>
            </w:pPr>
            <w:r w:rsidRPr="005E519F">
              <w:rPr>
                <w:rFonts w:eastAsia="Calibri"/>
                <w:b/>
                <w:bCs/>
                <w:color w:val="000000"/>
                <w:sz w:val="18"/>
                <w:szCs w:val="18"/>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167E53" w:rsidP="00167E53" w:rsidRDefault="00167E53" w14:paraId="707AF0F1" w14:textId="77777777">
            <w:pPr>
              <w:adjustRightInd/>
              <w:jc w:val="center"/>
              <w:textAlignment w:val="auto"/>
              <w:rPr>
                <w:rFonts w:eastAsia="Calibri"/>
                <w:b/>
                <w:bCs/>
                <w:color w:val="000000"/>
                <w:sz w:val="18"/>
                <w:szCs w:val="18"/>
              </w:rPr>
            </w:pPr>
            <w:r w:rsidRPr="005E519F">
              <w:rPr>
                <w:rFonts w:eastAsia="Calibri"/>
                <w:b/>
                <w:bCs/>
                <w:color w:val="000000"/>
                <w:sz w:val="18"/>
                <w:szCs w:val="18"/>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E519F" w:rsidR="00167E53" w:rsidP="00167E53" w:rsidRDefault="00167E53" w14:paraId="377A3C72"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Annual Cost</w:t>
            </w:r>
          </w:p>
          <w:p w:rsidRPr="005E519F" w:rsidR="00167E53" w:rsidP="00167E53" w:rsidRDefault="00167E53" w14:paraId="676DB4A8" w14:textId="77777777">
            <w:pPr>
              <w:adjustRightInd/>
              <w:jc w:val="center"/>
              <w:textAlignment w:val="auto"/>
              <w:rPr>
                <w:rFonts w:eastAsia="Calibri"/>
                <w:b/>
                <w:bCs/>
                <w:color w:val="000000"/>
                <w:sz w:val="18"/>
                <w:szCs w:val="18"/>
              </w:rPr>
            </w:pPr>
          </w:p>
        </w:tc>
      </w:tr>
      <w:tr w:rsidRPr="005E519F" w:rsidR="00D275C6" w:rsidTr="005E519F" w14:paraId="6864DFF4" w14:textId="77777777">
        <w:tc>
          <w:tcPr>
            <w:tcW w:w="1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20862988" w14:textId="77777777">
            <w:pPr>
              <w:adjustRightInd/>
              <w:jc w:val="center"/>
              <w:textAlignment w:val="auto"/>
              <w:rPr>
                <w:rFonts w:eastAsia="Calibri"/>
                <w:b/>
                <w:bCs/>
                <w:color w:val="000000"/>
                <w:sz w:val="18"/>
                <w:szCs w:val="18"/>
              </w:rPr>
            </w:pPr>
            <w:bookmarkStart w:name="_Hlk67029205" w:id="10"/>
            <w:r w:rsidRPr="005E519F">
              <w:rPr>
                <w:rFonts w:eastAsia="Calibri"/>
                <w:b/>
                <w:bCs/>
                <w:color w:val="000000"/>
                <w:sz w:val="18"/>
                <w:szCs w:val="18"/>
              </w:rPr>
              <w:t>CoC Registration – Basic</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55F41A1A" w14:textId="77777777">
            <w:pPr>
              <w:adjustRightInd/>
              <w:jc w:val="center"/>
              <w:textAlignment w:val="auto"/>
              <w:rPr>
                <w:rFonts w:eastAsia="Calibri"/>
                <w:b/>
                <w:bCs/>
                <w:color w:val="000000"/>
                <w:sz w:val="18"/>
                <w:szCs w:val="18"/>
              </w:rPr>
            </w:pPr>
            <w:r w:rsidRPr="005E519F">
              <w:rPr>
                <w:rFonts w:eastAsia="Calibri"/>
                <w:b/>
                <w:bCs/>
                <w:color w:val="000000"/>
                <w:sz w:val="18"/>
                <w:szCs w:val="18"/>
              </w:rPr>
              <w:t>40</w:t>
            </w:r>
            <w:r w:rsidRPr="005E519F" w:rsidR="001F5403">
              <w:rPr>
                <w:rFonts w:eastAsia="Calibri"/>
                <w:b/>
                <w:bCs/>
                <w:color w:val="000000"/>
                <w:sz w:val="18"/>
                <w:szCs w:val="18"/>
              </w:rPr>
              <w:t>5</w:t>
            </w:r>
          </w:p>
        </w:tc>
        <w:tc>
          <w:tcPr>
            <w:tcW w:w="11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109A2D2B" w14:textId="77777777">
            <w:pPr>
              <w:adjustRightInd/>
              <w:jc w:val="center"/>
              <w:textAlignment w:val="auto"/>
              <w:rPr>
                <w:rFonts w:eastAsia="Calibri"/>
                <w:b/>
                <w:bCs/>
                <w:color w:val="000000"/>
                <w:sz w:val="18"/>
                <w:szCs w:val="18"/>
              </w:rPr>
            </w:pPr>
            <w:r w:rsidRPr="005E519F">
              <w:rPr>
                <w:rFonts w:eastAsia="Calibri"/>
                <w:b/>
                <w:bCs/>
                <w:color w:val="000000"/>
                <w:sz w:val="18"/>
                <w:szCs w:val="18"/>
              </w:rPr>
              <w:t>1</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05C3764F"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40</w:t>
            </w:r>
            <w:r w:rsidRPr="005E519F" w:rsidR="001F5403">
              <w:rPr>
                <w:rFonts w:eastAsia="Calibri"/>
                <w:b/>
                <w:bCs/>
                <w:color w:val="000000"/>
                <w:sz w:val="18"/>
                <w:szCs w:val="18"/>
              </w:rPr>
              <w:t>5</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369E6434" w14:textId="77777777">
            <w:pPr>
              <w:adjustRightInd/>
              <w:jc w:val="center"/>
              <w:textAlignment w:val="auto"/>
              <w:rPr>
                <w:rFonts w:eastAsia="Calibri"/>
                <w:b/>
                <w:bCs/>
                <w:color w:val="000000"/>
                <w:sz w:val="18"/>
                <w:szCs w:val="18"/>
              </w:rPr>
            </w:pPr>
            <w:r w:rsidRPr="005E519F">
              <w:rPr>
                <w:rFonts w:eastAsia="Calibri"/>
                <w:b/>
                <w:bCs/>
                <w:color w:val="000000"/>
                <w:sz w:val="18"/>
                <w:szCs w:val="18"/>
              </w:rPr>
              <w:t>1</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185E7F" w14:paraId="7576FEDF" w14:textId="0287A3C2">
            <w:pPr>
              <w:adjustRightInd/>
              <w:jc w:val="center"/>
              <w:textAlignment w:val="auto"/>
              <w:rPr>
                <w:rFonts w:eastAsia="Calibri"/>
                <w:b/>
                <w:bCs/>
                <w:color w:val="000000"/>
                <w:sz w:val="18"/>
                <w:szCs w:val="18"/>
              </w:rPr>
            </w:pPr>
            <w:r w:rsidRPr="005E519F">
              <w:rPr>
                <w:rFonts w:eastAsia="Calibri"/>
                <w:b/>
                <w:bCs/>
                <w:color w:val="000000"/>
                <w:sz w:val="18"/>
                <w:szCs w:val="18"/>
              </w:rPr>
              <w:t>405</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711CA4FF" w14:textId="1DE3C145">
            <w:pPr>
              <w:adjustRightInd/>
              <w:jc w:val="center"/>
              <w:textAlignment w:val="auto"/>
              <w:rPr>
                <w:rFonts w:eastAsia="Calibri"/>
                <w:b/>
                <w:bCs/>
                <w:color w:val="000000"/>
                <w:sz w:val="18"/>
                <w:szCs w:val="18"/>
              </w:rPr>
            </w:pPr>
            <w:r w:rsidRPr="005E519F">
              <w:rPr>
                <w:rFonts w:eastAsia="Calibri"/>
                <w:b/>
                <w:bCs/>
                <w:color w:val="000000"/>
                <w:sz w:val="18"/>
                <w:szCs w:val="18"/>
              </w:rPr>
              <w:t>$</w:t>
            </w:r>
            <w:r w:rsidRPr="005E519F" w:rsidR="005826F1">
              <w:rPr>
                <w:rFonts w:eastAsia="Calibri"/>
                <w:b/>
                <w:bCs/>
                <w:color w:val="000000"/>
                <w:sz w:val="18"/>
                <w:szCs w:val="18"/>
              </w:rPr>
              <w:t>53.00</w:t>
            </w:r>
            <w:r w:rsidRPr="005E519F" w:rsidR="00BA2851">
              <w:rPr>
                <w:rFonts w:eastAsia="Calibri"/>
                <w:b/>
                <w:bCs/>
                <w:color w:val="000000"/>
                <w:sz w:val="18"/>
                <w:szCs w:val="18"/>
              </w:rPr>
              <w:t>**</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E519F" w:rsidR="00D275C6" w:rsidP="00D275C6" w:rsidRDefault="00D275C6" w14:paraId="72F2D1BB" w14:textId="44940E4B">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w:t>
            </w:r>
            <w:r w:rsidRPr="005E519F" w:rsidR="00A400AD">
              <w:rPr>
                <w:rFonts w:eastAsia="Calibri"/>
                <w:b/>
                <w:bCs/>
                <w:color w:val="000000"/>
                <w:sz w:val="18"/>
                <w:szCs w:val="18"/>
              </w:rPr>
              <w:t>21,465.00</w:t>
            </w:r>
          </w:p>
        </w:tc>
      </w:tr>
      <w:tr w:rsidRPr="005E519F" w:rsidR="00D275C6" w:rsidTr="005E519F" w14:paraId="40613D13" w14:textId="77777777">
        <w:tc>
          <w:tcPr>
            <w:tcW w:w="1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00F07893" w14:textId="77777777">
            <w:pPr>
              <w:adjustRightInd/>
              <w:jc w:val="center"/>
              <w:textAlignment w:val="auto"/>
              <w:rPr>
                <w:rFonts w:eastAsia="Calibri"/>
                <w:b/>
                <w:bCs/>
                <w:color w:val="000000"/>
                <w:sz w:val="18"/>
                <w:szCs w:val="18"/>
              </w:rPr>
            </w:pPr>
            <w:r w:rsidRPr="005E519F">
              <w:rPr>
                <w:rFonts w:eastAsia="Calibri"/>
                <w:b/>
                <w:bCs/>
                <w:color w:val="000000"/>
                <w:sz w:val="18"/>
                <w:szCs w:val="18"/>
              </w:rPr>
              <w:t>CoC Registration – UFA designation request*</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244E4638" w14:textId="77777777">
            <w:pPr>
              <w:adjustRightInd/>
              <w:jc w:val="center"/>
              <w:textAlignment w:val="auto"/>
              <w:rPr>
                <w:rFonts w:eastAsia="Calibri"/>
                <w:b/>
                <w:bCs/>
                <w:color w:val="000000"/>
                <w:sz w:val="18"/>
                <w:szCs w:val="18"/>
              </w:rPr>
            </w:pPr>
            <w:r w:rsidRPr="005E519F">
              <w:rPr>
                <w:rFonts w:eastAsia="Calibri"/>
                <w:b/>
                <w:bCs/>
                <w:color w:val="000000"/>
                <w:sz w:val="18"/>
                <w:szCs w:val="18"/>
              </w:rPr>
              <w:t>20</w:t>
            </w:r>
          </w:p>
        </w:tc>
        <w:tc>
          <w:tcPr>
            <w:tcW w:w="11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69E88944" w14:textId="77777777">
            <w:pPr>
              <w:adjustRightInd/>
              <w:jc w:val="center"/>
              <w:textAlignment w:val="auto"/>
              <w:rPr>
                <w:rFonts w:eastAsia="Calibri"/>
                <w:b/>
                <w:bCs/>
                <w:color w:val="000000"/>
                <w:sz w:val="18"/>
                <w:szCs w:val="18"/>
              </w:rPr>
            </w:pPr>
            <w:r w:rsidRPr="005E519F">
              <w:rPr>
                <w:rFonts w:eastAsia="Calibri"/>
                <w:b/>
                <w:bCs/>
                <w:color w:val="000000"/>
                <w:sz w:val="18"/>
                <w:szCs w:val="18"/>
              </w:rPr>
              <w:t>1</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18E6E084"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20</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5826F1" w14:paraId="6C3FEBD6" w14:textId="1FAC8766">
            <w:pPr>
              <w:adjustRightInd/>
              <w:jc w:val="center"/>
              <w:textAlignment w:val="auto"/>
              <w:rPr>
                <w:rFonts w:eastAsia="Calibri"/>
                <w:b/>
                <w:bCs/>
                <w:color w:val="000000"/>
                <w:sz w:val="18"/>
                <w:szCs w:val="18"/>
              </w:rPr>
            </w:pPr>
            <w:r w:rsidRPr="005E519F">
              <w:rPr>
                <w:rFonts w:eastAsia="Calibri"/>
                <w:b/>
                <w:bCs/>
                <w:color w:val="000000"/>
                <w:sz w:val="18"/>
                <w:szCs w:val="18"/>
              </w:rPr>
              <w:t>4</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5826F1" w14:paraId="6B47604F" w14:textId="14198F78">
            <w:pPr>
              <w:adjustRightInd/>
              <w:jc w:val="center"/>
              <w:textAlignment w:val="auto"/>
              <w:rPr>
                <w:rFonts w:eastAsia="Calibri"/>
                <w:b/>
                <w:bCs/>
                <w:color w:val="000000"/>
                <w:sz w:val="18"/>
                <w:szCs w:val="18"/>
              </w:rPr>
            </w:pPr>
            <w:r w:rsidRPr="005E519F">
              <w:rPr>
                <w:rFonts w:eastAsia="Calibri"/>
                <w:b/>
                <w:bCs/>
                <w:color w:val="000000"/>
                <w:sz w:val="18"/>
                <w:szCs w:val="18"/>
              </w:rPr>
              <w:t>80</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2C46A25F" w14:textId="03CFA92E">
            <w:pPr>
              <w:adjustRightInd/>
              <w:jc w:val="center"/>
              <w:textAlignment w:val="auto"/>
              <w:rPr>
                <w:rFonts w:eastAsia="Calibri"/>
                <w:b/>
                <w:bCs/>
                <w:color w:val="000000"/>
                <w:sz w:val="18"/>
                <w:szCs w:val="18"/>
              </w:rPr>
            </w:pPr>
            <w:r w:rsidRPr="005E519F">
              <w:rPr>
                <w:rFonts w:eastAsia="Calibri"/>
                <w:b/>
                <w:bCs/>
                <w:color w:val="000000"/>
                <w:sz w:val="18"/>
                <w:szCs w:val="18"/>
              </w:rPr>
              <w:t>$</w:t>
            </w:r>
            <w:r w:rsidR="009912A0">
              <w:rPr>
                <w:rFonts w:eastAsia="Calibri"/>
                <w:b/>
                <w:bCs/>
                <w:color w:val="000000"/>
                <w:sz w:val="18"/>
                <w:szCs w:val="18"/>
              </w:rPr>
              <w:t>53.00</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E519F" w:rsidR="00D275C6" w:rsidP="00D275C6" w:rsidRDefault="00D275C6" w14:paraId="2CCFF11A" w14:textId="40FF0B16">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w:t>
            </w:r>
            <w:r w:rsidR="009912A0">
              <w:rPr>
                <w:rFonts w:eastAsia="Calibri"/>
                <w:b/>
                <w:bCs/>
                <w:color w:val="000000"/>
                <w:sz w:val="18"/>
                <w:szCs w:val="18"/>
              </w:rPr>
              <w:t>4,240.00</w:t>
            </w:r>
          </w:p>
        </w:tc>
      </w:tr>
      <w:tr w:rsidRPr="005E519F" w:rsidR="00D275C6" w:rsidTr="005E519F" w14:paraId="28AD481F" w14:textId="77777777">
        <w:tc>
          <w:tcPr>
            <w:tcW w:w="1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6D70D871" w14:textId="77777777">
            <w:pPr>
              <w:adjustRightInd/>
              <w:jc w:val="center"/>
              <w:textAlignment w:val="auto"/>
              <w:rPr>
                <w:rFonts w:eastAsia="Calibri"/>
                <w:b/>
                <w:bCs/>
                <w:color w:val="000000"/>
                <w:sz w:val="18"/>
                <w:szCs w:val="18"/>
              </w:rPr>
            </w:pPr>
            <w:r w:rsidRPr="005E519F">
              <w:rPr>
                <w:rFonts w:eastAsia="Calibri"/>
                <w:b/>
                <w:bCs/>
                <w:color w:val="000000"/>
                <w:sz w:val="18"/>
                <w:szCs w:val="18"/>
              </w:rPr>
              <w:t>CoC Registration – HPC designation request*</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1D2C5F63" w14:textId="77777777">
            <w:pPr>
              <w:adjustRightInd/>
              <w:jc w:val="center"/>
              <w:textAlignment w:val="auto"/>
              <w:rPr>
                <w:rFonts w:eastAsia="Calibri"/>
                <w:b/>
                <w:bCs/>
                <w:color w:val="000000"/>
                <w:sz w:val="18"/>
                <w:szCs w:val="18"/>
              </w:rPr>
            </w:pPr>
            <w:r w:rsidRPr="005E519F">
              <w:rPr>
                <w:rFonts w:eastAsia="Calibri"/>
                <w:b/>
                <w:bCs/>
                <w:color w:val="000000"/>
                <w:sz w:val="18"/>
                <w:szCs w:val="18"/>
              </w:rPr>
              <w:t>5</w:t>
            </w:r>
          </w:p>
        </w:tc>
        <w:tc>
          <w:tcPr>
            <w:tcW w:w="11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4A542804" w14:textId="77777777">
            <w:pPr>
              <w:adjustRightInd/>
              <w:jc w:val="center"/>
              <w:textAlignment w:val="auto"/>
              <w:rPr>
                <w:rFonts w:eastAsia="Calibri"/>
                <w:b/>
                <w:bCs/>
                <w:color w:val="000000"/>
                <w:sz w:val="18"/>
                <w:szCs w:val="18"/>
              </w:rPr>
            </w:pPr>
            <w:r w:rsidRPr="005E519F">
              <w:rPr>
                <w:rFonts w:eastAsia="Calibri"/>
                <w:b/>
                <w:bCs/>
                <w:color w:val="000000"/>
                <w:sz w:val="18"/>
                <w:szCs w:val="18"/>
              </w:rPr>
              <w:t>1</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198FED22"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5</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5826F1" w14:paraId="4188F65C" w14:textId="38D31000">
            <w:pPr>
              <w:adjustRightInd/>
              <w:jc w:val="center"/>
              <w:textAlignment w:val="auto"/>
              <w:rPr>
                <w:rFonts w:eastAsia="Calibri"/>
                <w:b/>
                <w:bCs/>
                <w:color w:val="000000"/>
                <w:sz w:val="18"/>
                <w:szCs w:val="18"/>
              </w:rPr>
            </w:pPr>
            <w:r w:rsidRPr="005E519F">
              <w:rPr>
                <w:rFonts w:eastAsia="Calibri"/>
                <w:b/>
                <w:bCs/>
                <w:color w:val="000000"/>
                <w:sz w:val="18"/>
                <w:szCs w:val="18"/>
              </w:rPr>
              <w:t>2</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5826F1" w14:paraId="3E600C6D" w14:textId="33A19C4D">
            <w:pPr>
              <w:adjustRightInd/>
              <w:jc w:val="center"/>
              <w:textAlignment w:val="auto"/>
              <w:rPr>
                <w:rFonts w:eastAsia="Calibri"/>
                <w:b/>
                <w:bCs/>
                <w:color w:val="000000"/>
                <w:sz w:val="18"/>
                <w:szCs w:val="18"/>
              </w:rPr>
            </w:pPr>
            <w:r w:rsidRPr="005E519F">
              <w:rPr>
                <w:rFonts w:eastAsia="Calibri"/>
                <w:b/>
                <w:bCs/>
                <w:color w:val="000000"/>
                <w:sz w:val="18"/>
                <w:szCs w:val="18"/>
              </w:rPr>
              <w:t>10</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05C985BF" w14:textId="11D9CDAC">
            <w:pPr>
              <w:adjustRightInd/>
              <w:jc w:val="center"/>
              <w:textAlignment w:val="auto"/>
              <w:rPr>
                <w:rFonts w:eastAsia="Calibri"/>
                <w:b/>
                <w:bCs/>
                <w:color w:val="000000"/>
                <w:sz w:val="18"/>
                <w:szCs w:val="18"/>
              </w:rPr>
            </w:pPr>
            <w:r w:rsidRPr="005E519F">
              <w:rPr>
                <w:rFonts w:eastAsia="Calibri"/>
                <w:b/>
                <w:bCs/>
                <w:color w:val="000000"/>
                <w:sz w:val="18"/>
                <w:szCs w:val="18"/>
              </w:rPr>
              <w:t>$</w:t>
            </w:r>
            <w:r w:rsidRPr="005E519F" w:rsidR="005826F1">
              <w:rPr>
                <w:rFonts w:eastAsia="Calibri"/>
                <w:b/>
                <w:bCs/>
                <w:color w:val="000000"/>
                <w:sz w:val="18"/>
                <w:szCs w:val="18"/>
              </w:rPr>
              <w:t>53.00</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E519F" w:rsidR="00D275C6" w:rsidP="00D275C6" w:rsidRDefault="00D275C6" w14:paraId="1F1CA331" w14:textId="4EA43D6D">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w:t>
            </w:r>
            <w:r w:rsidRPr="005E519F" w:rsidR="005826F1">
              <w:rPr>
                <w:rFonts w:eastAsia="Calibri"/>
                <w:b/>
                <w:bCs/>
                <w:color w:val="000000"/>
                <w:sz w:val="18"/>
                <w:szCs w:val="18"/>
              </w:rPr>
              <w:t>530.00</w:t>
            </w:r>
          </w:p>
        </w:tc>
      </w:tr>
      <w:tr w:rsidRPr="005E519F" w:rsidR="00D275C6" w:rsidTr="005E519F" w14:paraId="3AFADDBE" w14:textId="77777777">
        <w:tc>
          <w:tcPr>
            <w:tcW w:w="1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1AB4A561" w14:textId="77777777">
            <w:pPr>
              <w:adjustRightInd/>
              <w:jc w:val="center"/>
              <w:textAlignment w:val="auto"/>
              <w:rPr>
                <w:rFonts w:eastAsia="Calibri"/>
                <w:b/>
                <w:bCs/>
                <w:color w:val="000000"/>
                <w:sz w:val="18"/>
                <w:szCs w:val="18"/>
              </w:rPr>
            </w:pPr>
            <w:r w:rsidRPr="005E519F">
              <w:rPr>
                <w:rFonts w:eastAsia="Calibri"/>
                <w:b/>
                <w:bCs/>
                <w:color w:val="000000"/>
                <w:sz w:val="18"/>
                <w:szCs w:val="18"/>
              </w:rPr>
              <w:t>Grant Inventory Worksheet</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1F394518" w14:textId="77777777">
            <w:pPr>
              <w:adjustRightInd/>
              <w:jc w:val="center"/>
              <w:textAlignment w:val="auto"/>
              <w:rPr>
                <w:rFonts w:eastAsia="Calibri"/>
                <w:b/>
                <w:bCs/>
                <w:color w:val="000000"/>
                <w:sz w:val="18"/>
                <w:szCs w:val="18"/>
              </w:rPr>
            </w:pPr>
            <w:r w:rsidRPr="005E519F">
              <w:rPr>
                <w:rFonts w:eastAsia="Calibri"/>
                <w:b/>
                <w:bCs/>
                <w:color w:val="000000"/>
                <w:sz w:val="18"/>
                <w:szCs w:val="18"/>
              </w:rPr>
              <w:t>40</w:t>
            </w:r>
            <w:r w:rsidRPr="005E519F" w:rsidR="001F5403">
              <w:rPr>
                <w:rFonts w:eastAsia="Calibri"/>
                <w:b/>
                <w:bCs/>
                <w:color w:val="000000"/>
                <w:sz w:val="18"/>
                <w:szCs w:val="18"/>
              </w:rPr>
              <w:t>5</w:t>
            </w:r>
          </w:p>
        </w:tc>
        <w:tc>
          <w:tcPr>
            <w:tcW w:w="11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731C6ECD" w14:textId="77777777">
            <w:pPr>
              <w:adjustRightInd/>
              <w:jc w:val="center"/>
              <w:textAlignment w:val="auto"/>
              <w:rPr>
                <w:rFonts w:eastAsia="Calibri"/>
                <w:b/>
                <w:bCs/>
                <w:color w:val="000000"/>
                <w:sz w:val="18"/>
                <w:szCs w:val="18"/>
              </w:rPr>
            </w:pPr>
            <w:r w:rsidRPr="005E519F">
              <w:rPr>
                <w:rFonts w:eastAsia="Calibri"/>
                <w:b/>
                <w:bCs/>
                <w:color w:val="000000"/>
                <w:sz w:val="18"/>
                <w:szCs w:val="18"/>
              </w:rPr>
              <w:t>1</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24D39A72"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40</w:t>
            </w:r>
            <w:r w:rsidRPr="005E519F" w:rsidR="001F5403">
              <w:rPr>
                <w:rFonts w:eastAsia="Calibri"/>
                <w:b/>
                <w:bCs/>
                <w:color w:val="000000"/>
                <w:sz w:val="18"/>
                <w:szCs w:val="18"/>
              </w:rPr>
              <w:t>5</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64D8D783" w14:textId="77777777">
            <w:pPr>
              <w:adjustRightInd/>
              <w:jc w:val="center"/>
              <w:textAlignment w:val="auto"/>
              <w:rPr>
                <w:rFonts w:eastAsia="Calibri"/>
                <w:b/>
                <w:bCs/>
                <w:color w:val="000000"/>
                <w:sz w:val="18"/>
                <w:szCs w:val="18"/>
              </w:rPr>
            </w:pPr>
            <w:r w:rsidRPr="005E519F">
              <w:rPr>
                <w:rFonts w:eastAsia="Calibri"/>
                <w:b/>
                <w:bCs/>
                <w:color w:val="000000"/>
                <w:sz w:val="18"/>
                <w:szCs w:val="18"/>
              </w:rPr>
              <w:t>2</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1F5403" w14:paraId="6DD09D18" w14:textId="77777777">
            <w:pPr>
              <w:adjustRightInd/>
              <w:jc w:val="center"/>
              <w:textAlignment w:val="auto"/>
              <w:rPr>
                <w:rFonts w:eastAsia="Calibri"/>
                <w:b/>
                <w:bCs/>
                <w:color w:val="000000"/>
                <w:sz w:val="18"/>
                <w:szCs w:val="18"/>
              </w:rPr>
            </w:pPr>
            <w:r w:rsidRPr="005E519F">
              <w:rPr>
                <w:rFonts w:eastAsia="Calibri"/>
                <w:b/>
                <w:bCs/>
                <w:color w:val="000000"/>
                <w:sz w:val="18"/>
                <w:szCs w:val="18"/>
              </w:rPr>
              <w:t>810</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7727A01F" w14:textId="3D5CD0DC">
            <w:pPr>
              <w:adjustRightInd/>
              <w:jc w:val="center"/>
              <w:textAlignment w:val="auto"/>
              <w:rPr>
                <w:rFonts w:eastAsia="Calibri"/>
                <w:b/>
                <w:bCs/>
                <w:color w:val="000000"/>
                <w:sz w:val="18"/>
                <w:szCs w:val="18"/>
              </w:rPr>
            </w:pPr>
            <w:r w:rsidRPr="005E519F">
              <w:rPr>
                <w:rFonts w:eastAsia="Calibri"/>
                <w:b/>
                <w:bCs/>
                <w:color w:val="000000"/>
                <w:sz w:val="18"/>
                <w:szCs w:val="18"/>
              </w:rPr>
              <w:t>$</w:t>
            </w:r>
            <w:r w:rsidRPr="005E519F" w:rsidR="005826F1">
              <w:rPr>
                <w:rFonts w:eastAsia="Calibri"/>
                <w:b/>
                <w:bCs/>
                <w:color w:val="000000"/>
                <w:sz w:val="18"/>
                <w:szCs w:val="18"/>
              </w:rPr>
              <w:t>53.00</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E519F" w:rsidR="00D275C6" w:rsidP="00D275C6" w:rsidRDefault="00D275C6" w14:paraId="4636AF96" w14:textId="4C5E15FB">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w:t>
            </w:r>
            <w:r w:rsidRPr="005E519F" w:rsidR="005826F1">
              <w:rPr>
                <w:rFonts w:eastAsia="Calibri"/>
                <w:b/>
                <w:bCs/>
                <w:color w:val="000000"/>
                <w:sz w:val="18"/>
                <w:szCs w:val="18"/>
              </w:rPr>
              <w:t>42,930.00</w:t>
            </w:r>
          </w:p>
        </w:tc>
      </w:tr>
      <w:bookmarkEnd w:id="10"/>
      <w:tr w:rsidRPr="005E519F" w:rsidR="00D275C6" w:rsidTr="005E519F" w14:paraId="5B4D02C7" w14:textId="77777777">
        <w:tc>
          <w:tcPr>
            <w:tcW w:w="1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45198A1B" w14:textId="77777777">
            <w:pPr>
              <w:adjustRightInd/>
              <w:jc w:val="center"/>
              <w:textAlignment w:val="auto"/>
              <w:rPr>
                <w:rFonts w:eastAsia="Calibri"/>
                <w:b/>
                <w:bCs/>
                <w:color w:val="000000"/>
                <w:sz w:val="18"/>
                <w:szCs w:val="18"/>
              </w:rPr>
            </w:pPr>
            <w:r w:rsidRPr="005E519F">
              <w:rPr>
                <w:rFonts w:eastAsia="Calibri"/>
                <w:b/>
                <w:bCs/>
                <w:color w:val="000000"/>
                <w:sz w:val="18"/>
                <w:szCs w:val="18"/>
              </w:rPr>
              <w:t>Total</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7FD3FD9B" w14:textId="77777777">
            <w:pPr>
              <w:adjustRightInd/>
              <w:jc w:val="center"/>
              <w:textAlignment w:val="auto"/>
              <w:rPr>
                <w:rFonts w:eastAsia="Calibri"/>
                <w:b/>
                <w:bCs/>
                <w:color w:val="000000"/>
                <w:sz w:val="18"/>
                <w:szCs w:val="18"/>
              </w:rPr>
            </w:pPr>
            <w:r w:rsidRPr="005E519F">
              <w:rPr>
                <w:rFonts w:eastAsia="Calibri"/>
                <w:b/>
                <w:bCs/>
                <w:color w:val="000000"/>
                <w:sz w:val="18"/>
                <w:szCs w:val="18"/>
              </w:rPr>
              <w:t>40</w:t>
            </w:r>
            <w:r w:rsidRPr="005E519F" w:rsidR="001F5403">
              <w:rPr>
                <w:rFonts w:eastAsia="Calibri"/>
                <w:b/>
                <w:bCs/>
                <w:color w:val="000000"/>
                <w:sz w:val="18"/>
                <w:szCs w:val="18"/>
              </w:rPr>
              <w:t>5</w:t>
            </w:r>
          </w:p>
        </w:tc>
        <w:tc>
          <w:tcPr>
            <w:tcW w:w="11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D275C6" w14:paraId="02B50E4F" w14:textId="77777777">
            <w:pPr>
              <w:adjustRightInd/>
              <w:jc w:val="center"/>
              <w:textAlignment w:val="auto"/>
              <w:rPr>
                <w:rFonts w:eastAsia="Calibri"/>
                <w:b/>
                <w:bCs/>
                <w:color w:val="000000"/>
                <w:sz w:val="18"/>
                <w:szCs w:val="18"/>
              </w:rPr>
            </w:pPr>
            <w:r w:rsidRPr="005E519F">
              <w:rPr>
                <w:rFonts w:eastAsia="Calibri"/>
                <w:b/>
                <w:bCs/>
                <w:color w:val="000000"/>
                <w:sz w:val="18"/>
                <w:szCs w:val="18"/>
              </w:rPr>
              <w:t>1</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76F2AEDC" w14:textId="77777777">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40</w:t>
            </w:r>
            <w:r w:rsidRPr="005E519F" w:rsidR="001F5403">
              <w:rPr>
                <w:rFonts w:eastAsia="Calibri"/>
                <w:b/>
                <w:bCs/>
                <w:color w:val="000000"/>
                <w:sz w:val="18"/>
                <w:szCs w:val="18"/>
              </w:rPr>
              <w:t>5</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A400AD" w14:paraId="572B16AC" w14:textId="2ED90FF2">
            <w:pPr>
              <w:adjustRightInd/>
              <w:jc w:val="center"/>
              <w:textAlignment w:val="auto"/>
              <w:rPr>
                <w:rFonts w:eastAsia="Calibri"/>
                <w:b/>
                <w:bCs/>
                <w:color w:val="000000"/>
                <w:sz w:val="18"/>
                <w:szCs w:val="18"/>
              </w:rPr>
            </w:pPr>
            <w:r w:rsidRPr="005E519F">
              <w:rPr>
                <w:rFonts w:eastAsia="Calibri"/>
                <w:b/>
                <w:bCs/>
                <w:color w:val="000000"/>
                <w:sz w:val="18"/>
                <w:szCs w:val="18"/>
              </w:rPr>
              <w:t>9</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E973F1" w:rsidRDefault="00185E7F" w14:paraId="2B11B2DB" w14:textId="794C2A2D">
            <w:pPr>
              <w:adjustRightInd/>
              <w:jc w:val="center"/>
              <w:textAlignment w:val="auto"/>
              <w:rPr>
                <w:rFonts w:eastAsia="Calibri"/>
                <w:b/>
                <w:bCs/>
                <w:color w:val="000000"/>
                <w:sz w:val="18"/>
                <w:szCs w:val="18"/>
              </w:rPr>
            </w:pPr>
            <w:r w:rsidRPr="005E519F">
              <w:rPr>
                <w:rFonts w:eastAsia="Calibri"/>
                <w:b/>
                <w:bCs/>
                <w:color w:val="000000"/>
                <w:sz w:val="18"/>
                <w:szCs w:val="18"/>
              </w:rPr>
              <w:t>1,305</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519F" w:rsidR="00D275C6" w:rsidP="00D275C6" w:rsidRDefault="00D275C6" w14:paraId="61074463" w14:textId="77777777">
            <w:pPr>
              <w:adjustRightInd/>
              <w:jc w:val="center"/>
              <w:textAlignment w:val="auto"/>
              <w:rPr>
                <w:rFonts w:eastAsia="Calibri"/>
                <w:b/>
                <w:bCs/>
                <w:color w:val="000000"/>
                <w:sz w:val="18"/>
                <w:szCs w:val="18"/>
              </w:rPr>
            </w:pP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E519F" w:rsidR="00D275C6" w:rsidP="00D275C6" w:rsidRDefault="00D275C6" w14:paraId="6ED77915" w14:textId="7B88DAA6">
            <w:pPr>
              <w:overflowPunct/>
              <w:autoSpaceDE/>
              <w:autoSpaceDN/>
              <w:adjustRightInd/>
              <w:jc w:val="center"/>
              <w:textAlignment w:val="auto"/>
              <w:rPr>
                <w:rFonts w:eastAsia="Calibri"/>
                <w:b/>
                <w:bCs/>
                <w:color w:val="000000"/>
                <w:sz w:val="18"/>
                <w:szCs w:val="18"/>
              </w:rPr>
            </w:pPr>
            <w:r w:rsidRPr="005E519F">
              <w:rPr>
                <w:rFonts w:eastAsia="Calibri"/>
                <w:b/>
                <w:bCs/>
                <w:color w:val="000000"/>
                <w:sz w:val="18"/>
                <w:szCs w:val="18"/>
              </w:rPr>
              <w:t>$</w:t>
            </w:r>
            <w:r w:rsidR="009912A0">
              <w:rPr>
                <w:rFonts w:eastAsia="Calibri"/>
                <w:b/>
                <w:bCs/>
                <w:color w:val="000000"/>
                <w:sz w:val="18"/>
                <w:szCs w:val="18"/>
              </w:rPr>
              <w:t>69,165.00</w:t>
            </w:r>
          </w:p>
        </w:tc>
      </w:tr>
    </w:tbl>
    <w:p w:rsidR="00BA2851" w:rsidP="00D275C6" w:rsidRDefault="00D275C6" w14:paraId="59D3D7F3" w14:textId="33FBA5EE">
      <w:pPr>
        <w:keepLines/>
        <w:tabs>
          <w:tab w:val="left" w:pos="360"/>
          <w:tab w:val="left" w:pos="720"/>
        </w:tabs>
        <w:ind w:left="720"/>
      </w:pPr>
      <w:r w:rsidRPr="0008370C">
        <w:rPr>
          <w:sz w:val="18"/>
          <w:szCs w:val="18"/>
        </w:rPr>
        <w:t>*Responses to UFA and HPC designations are subsets of the total 40</w:t>
      </w:r>
      <w:r w:rsidRPr="0008370C" w:rsidR="00A83708">
        <w:rPr>
          <w:sz w:val="18"/>
          <w:szCs w:val="18"/>
        </w:rPr>
        <w:t>5</w:t>
      </w:r>
      <w:r w:rsidRPr="0008370C">
        <w:rPr>
          <w:sz w:val="18"/>
          <w:szCs w:val="18"/>
        </w:rPr>
        <w:t xml:space="preserve"> basic registration numbers as the basic CoC Registration is completed by all Collaborative Applicants to register the CoCs. On average there are 20 requests for UFA designation and to date no requests for HPC designation.</w:t>
      </w:r>
      <w:r w:rsidR="0008370C">
        <w:rPr>
          <w:sz w:val="18"/>
          <w:szCs w:val="18"/>
        </w:rPr>
        <w:t xml:space="preserve"> </w:t>
      </w:r>
      <w:r w:rsidRPr="0008370C" w:rsidR="00BA2851">
        <w:rPr>
          <w:sz w:val="18"/>
          <w:szCs w:val="18"/>
        </w:rPr>
        <w:t>**HUD staff is based on GS-13</w:t>
      </w:r>
      <w:r w:rsidRPr="00BA2851" w:rsidR="00BA2851">
        <w:t>, step 3</w:t>
      </w:r>
    </w:p>
    <w:p w:rsidRPr="006C7FAE" w:rsidR="00D275C6" w:rsidP="00D275C6" w:rsidRDefault="00D275C6" w14:paraId="2F106C74" w14:textId="77777777">
      <w:pPr>
        <w:tabs>
          <w:tab w:val="left" w:pos="360"/>
        </w:tabs>
        <w:rPr>
          <w:sz w:val="24"/>
          <w:szCs w:val="24"/>
        </w:rPr>
      </w:pPr>
    </w:p>
    <w:p w:rsidR="009E13B1" w:rsidRDefault="009E13B1" w14:paraId="241D7C8D" w14:textId="13131AD5">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7C0C9D" w:rsidRDefault="007C0C9D" w14:paraId="1D84CBA2" w14:textId="77777777">
      <w:pPr>
        <w:keepLines/>
        <w:tabs>
          <w:tab w:val="left" w:pos="360"/>
        </w:tabs>
        <w:spacing w:after="80"/>
        <w:ind w:left="360" w:hanging="360"/>
        <w:rPr>
          <w:sz w:val="24"/>
          <w:szCs w:val="24"/>
        </w:rPr>
      </w:pPr>
    </w:p>
    <w:p w:rsidRPr="006C7FAE" w:rsidR="00FB2724" w:rsidP="00FB2724" w:rsidRDefault="00FB2724" w14:paraId="1A4001F8" w14:textId="77777777">
      <w:pPr>
        <w:keepLines/>
        <w:tabs>
          <w:tab w:val="left" w:pos="360"/>
        </w:tabs>
        <w:spacing w:after="80"/>
        <w:ind w:left="360"/>
        <w:rPr>
          <w:sz w:val="24"/>
          <w:szCs w:val="24"/>
        </w:rPr>
      </w:pPr>
      <w:r>
        <w:rPr>
          <w:sz w:val="24"/>
          <w:szCs w:val="24"/>
        </w:rPr>
        <w:t>The total burden hours changed from the previous PRA as the GIW collection is being moved from the application collection to the registration collection.  The GIWs are completed between the registration process and the application process.</w:t>
      </w:r>
      <w:r w:rsidR="00A83708">
        <w:rPr>
          <w:sz w:val="24"/>
          <w:szCs w:val="24"/>
        </w:rPr>
        <w:t xml:space="preserve"> </w:t>
      </w:r>
      <w:bookmarkStart w:name="_Hlk65572813" w:id="11"/>
      <w:r w:rsidRPr="00A83708" w:rsidR="00A83708">
        <w:rPr>
          <w:sz w:val="24"/>
          <w:szCs w:val="24"/>
        </w:rPr>
        <w:t>Additionally, the total number of respondents is subject to change annually due to CoCs merging or splitting and with newly created CoCs due to authorizing language expanding eligibility (e.g., FY 2021 appropriations language authorizing the Indian Tribes and TDHEs eligibility to form CoCs, submit CoC Consolidated applications, and project applications).</w:t>
      </w:r>
      <w:bookmarkEnd w:id="11"/>
    </w:p>
    <w:p w:rsidRPr="006C7FAE" w:rsidR="009E13B1" w:rsidRDefault="009E13B1" w14:paraId="24984B48" w14:textId="77777777">
      <w:pPr>
        <w:keepLines/>
        <w:tabs>
          <w:tab w:val="left" w:pos="360"/>
          <w:tab w:val="left" w:pos="720"/>
        </w:tabs>
        <w:ind w:left="360"/>
        <w:rPr>
          <w:sz w:val="24"/>
          <w:szCs w:val="24"/>
        </w:rPr>
      </w:pPr>
    </w:p>
    <w:p w:rsidR="009E13B1" w:rsidRDefault="009E13B1" w14:paraId="018CC7E0" w14:textId="0A84D1FB">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C0C9D" w:rsidRDefault="007C0C9D" w14:paraId="247852A4" w14:textId="77777777">
      <w:pPr>
        <w:keepLines/>
        <w:tabs>
          <w:tab w:val="left" w:pos="360"/>
        </w:tabs>
        <w:spacing w:after="80"/>
        <w:ind w:left="360" w:hanging="360"/>
        <w:rPr>
          <w:sz w:val="24"/>
          <w:szCs w:val="24"/>
        </w:rPr>
      </w:pPr>
    </w:p>
    <w:p w:rsidRPr="006C7FAE" w:rsidR="00FB2724" w:rsidP="00FB2724" w:rsidRDefault="00FB2724" w14:paraId="10DC9121" w14:textId="77777777">
      <w:pPr>
        <w:keepLines/>
        <w:tabs>
          <w:tab w:val="left" w:pos="360"/>
        </w:tabs>
        <w:spacing w:after="80"/>
        <w:ind w:left="360"/>
        <w:rPr>
          <w:sz w:val="24"/>
          <w:szCs w:val="24"/>
        </w:rPr>
      </w:pPr>
      <w:r w:rsidRPr="00FB2724">
        <w:rPr>
          <w:sz w:val="24"/>
          <w:szCs w:val="24"/>
        </w:rPr>
        <w:t>The results of this collection of information will not be published for statistical use.</w:t>
      </w:r>
    </w:p>
    <w:p w:rsidRPr="006C7FAE" w:rsidR="009E13B1" w:rsidRDefault="009E13B1" w14:paraId="78B84DAB" w14:textId="77777777">
      <w:pPr>
        <w:tabs>
          <w:tab w:val="left" w:pos="360"/>
        </w:tabs>
        <w:ind w:left="360" w:hanging="360"/>
        <w:rPr>
          <w:sz w:val="24"/>
          <w:szCs w:val="24"/>
        </w:rPr>
      </w:pPr>
    </w:p>
    <w:p w:rsidR="009E13B1" w:rsidRDefault="009E13B1" w14:paraId="518884AE"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5E519F" w:rsidP="00FB2724" w:rsidRDefault="005E519F" w14:paraId="4C82A585" w14:textId="77777777">
      <w:pPr>
        <w:keepLines/>
        <w:tabs>
          <w:tab w:val="left" w:pos="360"/>
        </w:tabs>
        <w:spacing w:after="80"/>
        <w:ind w:left="360"/>
        <w:rPr>
          <w:sz w:val="24"/>
          <w:szCs w:val="24"/>
        </w:rPr>
      </w:pPr>
    </w:p>
    <w:p w:rsidRPr="006C7FAE" w:rsidR="00FB2724" w:rsidP="00FB2724" w:rsidRDefault="00FB2724" w14:paraId="7D56EA7D" w14:textId="3D71A98F">
      <w:pPr>
        <w:keepLines/>
        <w:tabs>
          <w:tab w:val="left" w:pos="360"/>
        </w:tabs>
        <w:spacing w:after="80"/>
        <w:ind w:left="360"/>
        <w:rPr>
          <w:sz w:val="24"/>
          <w:szCs w:val="24"/>
        </w:rPr>
      </w:pPr>
      <w:r w:rsidRPr="00FB2724">
        <w:rPr>
          <w:sz w:val="24"/>
          <w:szCs w:val="24"/>
        </w:rPr>
        <w:t>No approval is sought to not display the expiration date for OMB approval of information collection.</w:t>
      </w:r>
    </w:p>
    <w:p w:rsidRPr="006C7FAE" w:rsidR="009E13B1" w:rsidRDefault="009E13B1" w14:paraId="0A6EB11A" w14:textId="77777777">
      <w:pPr>
        <w:keepLines/>
        <w:tabs>
          <w:tab w:val="left" w:pos="360"/>
          <w:tab w:val="left" w:pos="720"/>
        </w:tabs>
        <w:ind w:left="360"/>
        <w:rPr>
          <w:sz w:val="24"/>
          <w:szCs w:val="24"/>
        </w:rPr>
      </w:pPr>
    </w:p>
    <w:p w:rsidR="009E13B1" w:rsidRDefault="009E13B1" w14:paraId="538CF74E"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5E519F" w:rsidP="00FB2724" w:rsidRDefault="005E519F" w14:paraId="76073A14" w14:textId="77777777">
      <w:pPr>
        <w:rPr>
          <w:sz w:val="24"/>
          <w:szCs w:val="24"/>
        </w:rPr>
      </w:pPr>
    </w:p>
    <w:p w:rsidR="00FB2724" w:rsidP="005E519F" w:rsidRDefault="00FB2724" w14:paraId="61F84267" w14:textId="4B14BF99">
      <w:pPr>
        <w:ind w:firstLine="360"/>
        <w:rPr>
          <w:sz w:val="24"/>
          <w:szCs w:val="24"/>
        </w:rPr>
      </w:pPr>
      <w:r w:rsidRPr="00523B9E">
        <w:rPr>
          <w:sz w:val="24"/>
          <w:szCs w:val="24"/>
        </w:rPr>
        <w:t>There are no exceptions to the signed certification</w:t>
      </w:r>
    </w:p>
    <w:p w:rsidRPr="006C7FAE" w:rsidR="009E13B1" w:rsidRDefault="009E13B1" w14:paraId="0C1845CF" w14:textId="77777777">
      <w:pPr>
        <w:tabs>
          <w:tab w:val="left" w:pos="360"/>
          <w:tab w:val="left" w:pos="720"/>
        </w:tabs>
        <w:rPr>
          <w:sz w:val="24"/>
          <w:szCs w:val="24"/>
        </w:rPr>
      </w:pPr>
    </w:p>
    <w:p w:rsidRPr="006C7FAE" w:rsidR="009E13B1" w:rsidP="00167E53" w:rsidRDefault="009E13B1" w14:paraId="1A3AC841"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B747E" w14:textId="77777777" w:rsidR="000A2D7D" w:rsidRDefault="000A2D7D">
      <w:r>
        <w:separator/>
      </w:r>
    </w:p>
  </w:endnote>
  <w:endnote w:type="continuationSeparator" w:id="0">
    <w:p w14:paraId="4640CAB1" w14:textId="77777777" w:rsidR="000A2D7D" w:rsidRDefault="000A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5DC86" w14:textId="77777777" w:rsidR="000A2D7D" w:rsidRDefault="000A2D7D">
      <w:r>
        <w:separator/>
      </w:r>
    </w:p>
  </w:footnote>
  <w:footnote w:type="continuationSeparator" w:id="0">
    <w:p w14:paraId="6CCA5471" w14:textId="77777777" w:rsidR="000A2D7D" w:rsidRDefault="000A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19A285C"/>
    <w:multiLevelType w:val="hybridMultilevel"/>
    <w:tmpl w:val="A32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13E7A1D"/>
    <w:multiLevelType w:val="hybridMultilevel"/>
    <w:tmpl w:val="ECD2D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1785E0E"/>
    <w:multiLevelType w:val="hybridMultilevel"/>
    <w:tmpl w:val="F81AA69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10"/>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4"/>
  </w:num>
  <w:num w:numId="9">
    <w:abstractNumId w:val="1"/>
  </w:num>
  <w:num w:numId="10">
    <w:abstractNumId w:val="13"/>
  </w:num>
  <w:num w:numId="11">
    <w:abstractNumId w:val="12"/>
  </w:num>
  <w:num w:numId="1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1"/>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22E96"/>
    <w:rsid w:val="00023952"/>
    <w:rsid w:val="00044B42"/>
    <w:rsid w:val="00073A8B"/>
    <w:rsid w:val="000817F1"/>
    <w:rsid w:val="0008370C"/>
    <w:rsid w:val="0008470B"/>
    <w:rsid w:val="000A1639"/>
    <w:rsid w:val="000A2D7D"/>
    <w:rsid w:val="000A6E3A"/>
    <w:rsid w:val="000B6499"/>
    <w:rsid w:val="000C5DF4"/>
    <w:rsid w:val="000E00A8"/>
    <w:rsid w:val="000E2A89"/>
    <w:rsid w:val="000E4AE2"/>
    <w:rsid w:val="00132822"/>
    <w:rsid w:val="0015552F"/>
    <w:rsid w:val="001676E5"/>
    <w:rsid w:val="00167E53"/>
    <w:rsid w:val="00185E7F"/>
    <w:rsid w:val="001A6EEC"/>
    <w:rsid w:val="001B4F0D"/>
    <w:rsid w:val="001D38AC"/>
    <w:rsid w:val="001E28EC"/>
    <w:rsid w:val="001F5403"/>
    <w:rsid w:val="00217691"/>
    <w:rsid w:val="00221E86"/>
    <w:rsid w:val="002474A1"/>
    <w:rsid w:val="00281305"/>
    <w:rsid w:val="002B7D29"/>
    <w:rsid w:val="002F6CE8"/>
    <w:rsid w:val="00314755"/>
    <w:rsid w:val="00352479"/>
    <w:rsid w:val="00360090"/>
    <w:rsid w:val="003A3C89"/>
    <w:rsid w:val="00416D1B"/>
    <w:rsid w:val="00450591"/>
    <w:rsid w:val="004654AA"/>
    <w:rsid w:val="004C4BAE"/>
    <w:rsid w:val="004E6F8D"/>
    <w:rsid w:val="0050452F"/>
    <w:rsid w:val="005124B7"/>
    <w:rsid w:val="00513D0F"/>
    <w:rsid w:val="00527B92"/>
    <w:rsid w:val="005339F6"/>
    <w:rsid w:val="00544610"/>
    <w:rsid w:val="00574C78"/>
    <w:rsid w:val="005826F1"/>
    <w:rsid w:val="00586735"/>
    <w:rsid w:val="005E519F"/>
    <w:rsid w:val="00600B2C"/>
    <w:rsid w:val="00630237"/>
    <w:rsid w:val="00634EF5"/>
    <w:rsid w:val="00671A52"/>
    <w:rsid w:val="00694EAF"/>
    <w:rsid w:val="006B7674"/>
    <w:rsid w:val="006C3ACD"/>
    <w:rsid w:val="006C7FAE"/>
    <w:rsid w:val="007026CB"/>
    <w:rsid w:val="00707BA1"/>
    <w:rsid w:val="00714201"/>
    <w:rsid w:val="00733986"/>
    <w:rsid w:val="00754AFA"/>
    <w:rsid w:val="007657A2"/>
    <w:rsid w:val="007C0C9D"/>
    <w:rsid w:val="00875E8D"/>
    <w:rsid w:val="00880CC2"/>
    <w:rsid w:val="00887CA6"/>
    <w:rsid w:val="008A5FD1"/>
    <w:rsid w:val="008B3724"/>
    <w:rsid w:val="008B3F4D"/>
    <w:rsid w:val="008B43AB"/>
    <w:rsid w:val="008F6A57"/>
    <w:rsid w:val="00903FF6"/>
    <w:rsid w:val="00927FC2"/>
    <w:rsid w:val="009562CD"/>
    <w:rsid w:val="00980D03"/>
    <w:rsid w:val="009912A0"/>
    <w:rsid w:val="009E0C3E"/>
    <w:rsid w:val="009E13B1"/>
    <w:rsid w:val="00A2290A"/>
    <w:rsid w:val="00A3363B"/>
    <w:rsid w:val="00A400AD"/>
    <w:rsid w:val="00A83708"/>
    <w:rsid w:val="00AB3FFB"/>
    <w:rsid w:val="00AC3922"/>
    <w:rsid w:val="00AE7361"/>
    <w:rsid w:val="00AF7474"/>
    <w:rsid w:val="00B01940"/>
    <w:rsid w:val="00B04BA6"/>
    <w:rsid w:val="00B32D9B"/>
    <w:rsid w:val="00B32E77"/>
    <w:rsid w:val="00B84BD5"/>
    <w:rsid w:val="00BA2851"/>
    <w:rsid w:val="00BC10AF"/>
    <w:rsid w:val="00BD4BFC"/>
    <w:rsid w:val="00C00355"/>
    <w:rsid w:val="00C03A0A"/>
    <w:rsid w:val="00C33890"/>
    <w:rsid w:val="00C92728"/>
    <w:rsid w:val="00C94DF0"/>
    <w:rsid w:val="00CA407E"/>
    <w:rsid w:val="00CE1567"/>
    <w:rsid w:val="00D00100"/>
    <w:rsid w:val="00D0345D"/>
    <w:rsid w:val="00D275C6"/>
    <w:rsid w:val="00D47C21"/>
    <w:rsid w:val="00D752E3"/>
    <w:rsid w:val="00DA1677"/>
    <w:rsid w:val="00DB55CF"/>
    <w:rsid w:val="00DF1BE4"/>
    <w:rsid w:val="00DF619C"/>
    <w:rsid w:val="00E34199"/>
    <w:rsid w:val="00E768C8"/>
    <w:rsid w:val="00E973F1"/>
    <w:rsid w:val="00EC7E2F"/>
    <w:rsid w:val="00ED5E92"/>
    <w:rsid w:val="00EE0326"/>
    <w:rsid w:val="00F24E00"/>
    <w:rsid w:val="00F27C8F"/>
    <w:rsid w:val="00F34F9C"/>
    <w:rsid w:val="00F50EA8"/>
    <w:rsid w:val="00F568DC"/>
    <w:rsid w:val="00F7176F"/>
    <w:rsid w:val="00F72632"/>
    <w:rsid w:val="00FB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C0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0E4AE2"/>
    <w:rPr>
      <w:sz w:val="16"/>
      <w:szCs w:val="16"/>
    </w:rPr>
  </w:style>
  <w:style w:type="paragraph" w:styleId="CommentText">
    <w:name w:val="annotation text"/>
    <w:basedOn w:val="Normal"/>
    <w:link w:val="CommentTextChar"/>
    <w:unhideWhenUsed/>
    <w:rsid w:val="000E4AE2"/>
  </w:style>
  <w:style w:type="character" w:customStyle="1" w:styleId="CommentTextChar">
    <w:name w:val="Comment Text Char"/>
    <w:basedOn w:val="DefaultParagraphFont"/>
    <w:link w:val="CommentText"/>
    <w:rsid w:val="000E4AE2"/>
  </w:style>
  <w:style w:type="paragraph" w:styleId="CommentSubject">
    <w:name w:val="annotation subject"/>
    <w:basedOn w:val="CommentText"/>
    <w:next w:val="CommentText"/>
    <w:link w:val="CommentSubjectChar"/>
    <w:uiPriority w:val="99"/>
    <w:semiHidden/>
    <w:unhideWhenUsed/>
    <w:rsid w:val="000E4AE2"/>
    <w:rPr>
      <w:b/>
      <w:bCs/>
    </w:rPr>
  </w:style>
  <w:style w:type="character" w:customStyle="1" w:styleId="CommentSubjectChar">
    <w:name w:val="Comment Subject Char"/>
    <w:link w:val="CommentSubject"/>
    <w:uiPriority w:val="99"/>
    <w:semiHidden/>
    <w:rsid w:val="000E4AE2"/>
    <w:rPr>
      <w:b/>
      <w:bCs/>
    </w:rPr>
  </w:style>
  <w:style w:type="character" w:customStyle="1" w:styleId="Document4">
    <w:name w:val="Document 4"/>
    <w:rsid w:val="00314755"/>
    <w:rPr>
      <w:b/>
      <w:i/>
      <w:sz w:val="24"/>
    </w:rPr>
  </w:style>
  <w:style w:type="paragraph" w:styleId="NoSpacing">
    <w:name w:val="No Spacing"/>
    <w:uiPriority w:val="1"/>
    <w:qFormat/>
    <w:pPr>
      <w:overflowPunct w:val="0"/>
      <w:autoSpaceDE w:val="0"/>
      <w:autoSpaceDN w:val="0"/>
      <w:adjustRightInd w:val="0"/>
      <w:textAlignment w:val="baseline"/>
    </w:pPr>
  </w:style>
  <w:style w:type="paragraph" w:styleId="ListParagraph">
    <w:name w:val="List Paragraph"/>
    <w:basedOn w:val="Normal"/>
    <w:uiPriority w:val="34"/>
    <w:qFormat/>
    <w:rsid w:val="007C0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26150">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358311267">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5410fa8f518ce3da139fc3164546766c">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827480b8dc4a77839b0a894d0d5eab6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1065F-D414-492E-A6C0-5E65313EA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2F401-7712-4D99-A274-30DB70780EE9}">
  <ds:schemaRefs>
    <ds:schemaRef ds:uri="http://schemas.microsoft.com/office/2006/metadata/longProperties"/>
  </ds:schemaRefs>
</ds:datastoreItem>
</file>

<file path=customXml/itemProps3.xml><?xml version="1.0" encoding="utf-8"?>
<ds:datastoreItem xmlns:ds="http://schemas.openxmlformats.org/officeDocument/2006/customXml" ds:itemID="{14E1C1BE-9DD1-4513-839C-76868F53B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2021-04-13T12:12:00Z</dcterms:created>
  <dcterms:modified xsi:type="dcterms:W3CDTF">2021-04-13T12:12:00Z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ip_UnifiedCompliancePolicyUIAction">
    <vt:lpwstr/>
  </property>
  <property fmtid="{D5CDD505-2E9C-101B-9397-08002B2CF9AE}" pid="5" name="_ip_UnifiedCompliancePolicyProperties">
    <vt:lpwstr/>
  </property>
</Properties>
</file>