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3B1" w:rsidP="006C7FAE" w:rsidRDefault="009E13B1" w14:paraId="14F5C8C2" w14:textId="77777777">
      <w:pPr>
        <w:jc w:val="center"/>
        <w:rPr>
          <w:b/>
          <w:sz w:val="24"/>
          <w:szCs w:val="24"/>
        </w:rPr>
      </w:pPr>
      <w:r w:rsidRPr="00167E53">
        <w:rPr>
          <w:b/>
          <w:sz w:val="24"/>
          <w:szCs w:val="24"/>
        </w:rPr>
        <w:t>Supporting Statement for Paperwork Reduction Act Submissions</w:t>
      </w:r>
    </w:p>
    <w:p w:rsidR="00453BFE" w:rsidP="00453BFE" w:rsidRDefault="00453BFE" w14:paraId="34236A95" w14:textId="77777777">
      <w:pPr>
        <w:jc w:val="center"/>
        <w:rPr>
          <w:b/>
          <w:color w:val="000000"/>
          <w:sz w:val="24"/>
          <w:szCs w:val="24"/>
        </w:rPr>
      </w:pPr>
      <w:r>
        <w:rPr>
          <w:b/>
          <w:color w:val="000000"/>
          <w:sz w:val="24"/>
          <w:szCs w:val="24"/>
        </w:rPr>
        <w:t>HUD Environmental Review Online System (HEROS)</w:t>
      </w:r>
    </w:p>
    <w:p w:rsidRPr="00E1714D" w:rsidR="00453BFE" w:rsidP="00453BFE" w:rsidRDefault="00453BFE" w14:paraId="4DBCA122" w14:textId="77777777">
      <w:pPr>
        <w:jc w:val="center"/>
        <w:rPr>
          <w:b/>
          <w:sz w:val="24"/>
          <w:szCs w:val="24"/>
        </w:rPr>
      </w:pPr>
      <w:r w:rsidRPr="00E1714D">
        <w:rPr>
          <w:b/>
          <w:sz w:val="24"/>
          <w:szCs w:val="24"/>
        </w:rPr>
        <w:t xml:space="preserve">OMB# </w:t>
      </w:r>
      <w:r w:rsidRPr="00130C3F">
        <w:rPr>
          <w:b/>
          <w:sz w:val="24"/>
          <w:szCs w:val="24"/>
        </w:rPr>
        <w:t>2506-0202</w:t>
      </w:r>
    </w:p>
    <w:p w:rsidRPr="00167E53" w:rsidR="009E13B1" w:rsidP="006C7FAE" w:rsidRDefault="009E13B1" w14:paraId="587E685F" w14:textId="77777777">
      <w:pPr>
        <w:rPr>
          <w:b/>
          <w:sz w:val="24"/>
          <w:szCs w:val="24"/>
        </w:rPr>
      </w:pPr>
    </w:p>
    <w:p w:rsidRPr="006C7FAE" w:rsidR="009E13B1" w:rsidRDefault="009E13B1" w14:paraId="0476E83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60B863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Pr="006C7FAE" w:rsidR="009E13B1" w:rsidRDefault="009E13B1" w14:paraId="1CC62D1C"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0283E" w:rsidP="00453BFE" w:rsidRDefault="0030283E" w14:paraId="79BD3E1F" w14:textId="77777777">
      <w:pPr>
        <w:keepLines/>
        <w:tabs>
          <w:tab w:val="left" w:pos="360"/>
        </w:tabs>
        <w:spacing w:before="240" w:after="80"/>
        <w:ind w:left="360"/>
      </w:pPr>
      <w:r>
        <w:rPr>
          <w:sz w:val="24"/>
          <w:szCs w:val="24"/>
        </w:rPr>
        <w:t xml:space="preserve">US Department of Housing and Urban Development (HUD) regulations in 24 CFR Part 58, </w:t>
      </w:r>
      <w:r w:rsidRPr="00895BA9">
        <w:rPr>
          <w:sz w:val="24"/>
          <w:szCs w:val="24"/>
        </w:rPr>
        <w:t>“Environmental Review Procedures for Entities Assuming HUD Environmental Responsibilities” requires units of general local government receiving HUD assistance to maintain a written environmental review record for all projects receiving HUD funding documenting compliance with the National Environmental Policy Act (NEPA), the regulations of the Council on Environmental Quality, related federal environmental laws, executive orders, and authorities, and Part 58 procedure. Various laws that authorize this procedure are listed in 24 CFR 58.1(b).</w:t>
      </w:r>
      <w:r>
        <w:rPr>
          <w:sz w:val="24"/>
          <w:szCs w:val="24"/>
        </w:rPr>
        <w:t xml:space="preserve"> </w:t>
      </w:r>
      <w:r w:rsidRPr="00FF0B83">
        <w:rPr>
          <w:sz w:val="24"/>
          <w:szCs w:val="24"/>
        </w:rPr>
        <w:t xml:space="preserve">24 CFR Part 50, “Protection and Enhancement of Environmental Quality,” implements procedures for HUD to perform environmental reviews for projects where Part 58 is not permitted by law. </w:t>
      </w:r>
      <w:r>
        <w:tab/>
      </w:r>
    </w:p>
    <w:p w:rsidR="0030283E" w:rsidP="00453BFE" w:rsidRDefault="0030283E" w14:paraId="6C0518E1" w14:textId="77777777">
      <w:pPr>
        <w:tabs>
          <w:tab w:val="left" w:pos="360"/>
        </w:tabs>
        <w:spacing w:before="240"/>
        <w:ind w:left="360" w:hanging="360"/>
        <w:rPr>
          <w:sz w:val="24"/>
          <w:szCs w:val="24"/>
        </w:rPr>
      </w:pPr>
      <w:r>
        <w:rPr>
          <w:sz w:val="24"/>
          <w:szCs w:val="24"/>
        </w:rPr>
        <w:tab/>
      </w:r>
      <w:r w:rsidR="00C2278A">
        <w:rPr>
          <w:sz w:val="24"/>
          <w:szCs w:val="24"/>
        </w:rPr>
        <w:t xml:space="preserve">This is a revision of a currently approved collection. </w:t>
      </w:r>
      <w:r>
        <w:rPr>
          <w:sz w:val="24"/>
          <w:szCs w:val="24"/>
        </w:rPr>
        <w:t xml:space="preserve">The </w:t>
      </w:r>
      <w:r w:rsidRPr="00895BA9">
        <w:rPr>
          <w:sz w:val="24"/>
          <w:szCs w:val="24"/>
        </w:rPr>
        <w:t>HUD Environmental Review Online System (HEROS</w:t>
      </w:r>
      <w:r>
        <w:rPr>
          <w:sz w:val="24"/>
          <w:szCs w:val="24"/>
        </w:rPr>
        <w:t>)</w:t>
      </w:r>
      <w:r w:rsidRPr="00895BA9">
        <w:rPr>
          <w:sz w:val="24"/>
          <w:szCs w:val="24"/>
        </w:rPr>
        <w:t xml:space="preserve"> allow</w:t>
      </w:r>
      <w:r>
        <w:rPr>
          <w:sz w:val="24"/>
          <w:szCs w:val="24"/>
        </w:rPr>
        <w:t>s</w:t>
      </w:r>
      <w:r w:rsidRPr="00895BA9">
        <w:rPr>
          <w:sz w:val="24"/>
          <w:szCs w:val="24"/>
        </w:rPr>
        <w:t xml:space="preserve"> users to complete, store, and submit their environmental review records</w:t>
      </w:r>
      <w:r>
        <w:rPr>
          <w:sz w:val="24"/>
          <w:szCs w:val="24"/>
        </w:rPr>
        <w:t xml:space="preserve"> and documents</w:t>
      </w:r>
      <w:r w:rsidRPr="00895BA9">
        <w:rPr>
          <w:sz w:val="24"/>
          <w:szCs w:val="24"/>
        </w:rPr>
        <w:t xml:space="preserve"> online.</w:t>
      </w:r>
      <w:r>
        <w:rPr>
          <w:sz w:val="24"/>
          <w:szCs w:val="24"/>
        </w:rPr>
        <w:t xml:space="preserve"> HEROS is currently optional for Responsible Entity and most other non-HUD users, who may continue to use paper-based environmental review formats; however, most HUD staff who prepare environmental reviews are required to use HEROS for all reviews.</w:t>
      </w:r>
    </w:p>
    <w:p w:rsidRPr="006C7FAE" w:rsidR="009E13B1" w:rsidRDefault="009E13B1" w14:paraId="1A98660D" w14:textId="77777777">
      <w:pPr>
        <w:tabs>
          <w:tab w:val="left" w:pos="360"/>
        </w:tabs>
        <w:ind w:left="360" w:hanging="360"/>
        <w:rPr>
          <w:sz w:val="24"/>
          <w:szCs w:val="24"/>
        </w:rPr>
      </w:pPr>
    </w:p>
    <w:p w:rsidRPr="006C7FAE" w:rsidR="009E13B1" w:rsidRDefault="009E13B1" w14:paraId="638FD35E"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Pr="00B23B2D" w:rsidR="0030283E" w:rsidP="00453BFE" w:rsidRDefault="0030283E" w14:paraId="1FACA4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ind w:left="360"/>
        <w:rPr>
          <w:sz w:val="24"/>
          <w:szCs w:val="24"/>
        </w:rPr>
      </w:pPr>
      <w:r w:rsidRPr="000E416B">
        <w:rPr>
          <w:sz w:val="24"/>
          <w:szCs w:val="24"/>
        </w:rPr>
        <w:t>Th</w:t>
      </w:r>
      <w:r>
        <w:rPr>
          <w:sz w:val="24"/>
          <w:szCs w:val="24"/>
        </w:rPr>
        <w:t xml:space="preserve">e respondents are HUD recipients who are required to complete environmental reviews as well as sub-recipients, applicants, and third-party providers who submit information to be used in the completion of environmental review records. </w:t>
      </w:r>
      <w:r w:rsidRPr="000E416B">
        <w:rPr>
          <w:sz w:val="24"/>
          <w:szCs w:val="24"/>
        </w:rPr>
        <w:t>The purpose of the information collection is to document</w:t>
      </w:r>
      <w:r>
        <w:rPr>
          <w:sz w:val="24"/>
          <w:szCs w:val="24"/>
        </w:rPr>
        <w:t xml:space="preserve"> that HUD-assisted projects and activities comply all applicable environmental authorities. </w:t>
      </w:r>
      <w:r w:rsidRPr="00B23B2D">
        <w:rPr>
          <w:sz w:val="24"/>
          <w:szCs w:val="24"/>
        </w:rPr>
        <w:t>Beyond the primary purpose of documenting compliance with federal environmental law, HUD uses data collected in HEROS to track environmental compliance and risk (e.g. projects located in floodplains or contaminated sites).</w:t>
      </w:r>
    </w:p>
    <w:p w:rsidRPr="006C7FAE" w:rsidR="009E13B1" w:rsidRDefault="009E13B1" w14:paraId="3D2BC26F" w14:textId="77777777">
      <w:pPr>
        <w:keepLines/>
        <w:tabs>
          <w:tab w:val="left" w:pos="360"/>
          <w:tab w:val="left" w:pos="720"/>
        </w:tabs>
        <w:ind w:left="360"/>
        <w:rPr>
          <w:sz w:val="24"/>
          <w:szCs w:val="24"/>
        </w:rPr>
      </w:pPr>
    </w:p>
    <w:p w:rsidRPr="006C7FAE" w:rsidR="009E13B1" w:rsidRDefault="009E13B1" w14:paraId="52CEECF2"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0283E" w:rsidP="00453BFE" w:rsidRDefault="0030283E" w14:paraId="6764EA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ind w:left="360"/>
        <w:rPr>
          <w:sz w:val="24"/>
          <w:szCs w:val="24"/>
        </w:rPr>
      </w:pPr>
      <w:r w:rsidRPr="00F12478">
        <w:rPr>
          <w:sz w:val="24"/>
          <w:szCs w:val="24"/>
        </w:rPr>
        <w:t xml:space="preserve">Recipients and other users </w:t>
      </w:r>
      <w:proofErr w:type="gramStart"/>
      <w:r>
        <w:rPr>
          <w:sz w:val="24"/>
          <w:szCs w:val="24"/>
        </w:rPr>
        <w:t>are</w:t>
      </w:r>
      <w:r w:rsidRPr="000E416B">
        <w:rPr>
          <w:sz w:val="24"/>
          <w:szCs w:val="24"/>
        </w:rPr>
        <w:t xml:space="preserve"> able to</w:t>
      </w:r>
      <w:proofErr w:type="gramEnd"/>
      <w:r w:rsidRPr="000E416B">
        <w:rPr>
          <w:sz w:val="24"/>
          <w:szCs w:val="24"/>
        </w:rPr>
        <w:t xml:space="preserve"> </w:t>
      </w:r>
      <w:r>
        <w:rPr>
          <w:sz w:val="24"/>
          <w:szCs w:val="24"/>
        </w:rPr>
        <w:t>complete, store, and submit their environmental review records</w:t>
      </w:r>
      <w:r w:rsidRPr="000E416B">
        <w:rPr>
          <w:sz w:val="24"/>
          <w:szCs w:val="24"/>
        </w:rPr>
        <w:t xml:space="preserve"> electronically using </w:t>
      </w:r>
      <w:r>
        <w:rPr>
          <w:sz w:val="24"/>
          <w:szCs w:val="24"/>
        </w:rPr>
        <w:t>HEROS</w:t>
      </w:r>
      <w:r w:rsidRPr="000E416B">
        <w:rPr>
          <w:sz w:val="24"/>
          <w:szCs w:val="24"/>
        </w:rPr>
        <w:t xml:space="preserve">. </w:t>
      </w:r>
      <w:r>
        <w:rPr>
          <w:sz w:val="24"/>
          <w:szCs w:val="24"/>
        </w:rPr>
        <w:t xml:space="preserve">HEROS was designed to reduce the burden on recipients by </w:t>
      </w:r>
      <w:r>
        <w:rPr>
          <w:sz w:val="24"/>
          <w:szCs w:val="24"/>
        </w:rPr>
        <w:lastRenderedPageBreak/>
        <w:t xml:space="preserve">eliminating repetitive and unnecessary requirements, tailoring formats to the specifics of each environmental review record, and autofill information where feasible to avoid repetitive or unnecessary data entry. The system also allows users to submit their approval document, the HUD-7015.15, electronically through HEROS. </w:t>
      </w:r>
    </w:p>
    <w:p w:rsidRPr="006C7FAE" w:rsidR="009E13B1" w:rsidRDefault="009E13B1" w14:paraId="2591F54D" w14:textId="77777777">
      <w:pPr>
        <w:tabs>
          <w:tab w:val="left" w:pos="360"/>
        </w:tabs>
        <w:ind w:left="360" w:hanging="360"/>
        <w:rPr>
          <w:sz w:val="24"/>
          <w:szCs w:val="24"/>
        </w:rPr>
      </w:pPr>
    </w:p>
    <w:p w:rsidRPr="006C7FAE" w:rsidR="009E13B1" w:rsidRDefault="009E13B1" w14:paraId="6B7C517A"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Pr="006C7FAE" w:rsidR="0030283E" w:rsidP="00453BFE" w:rsidRDefault="0030283E" w14:paraId="1B4EB29A" w14:textId="77777777">
      <w:pPr>
        <w:keepLines/>
        <w:tabs>
          <w:tab w:val="left" w:pos="360"/>
        </w:tabs>
        <w:spacing w:before="240" w:after="80"/>
        <w:ind w:left="360"/>
        <w:rPr>
          <w:sz w:val="24"/>
          <w:szCs w:val="24"/>
        </w:rPr>
      </w:pPr>
      <w:r>
        <w:rPr>
          <w:sz w:val="24"/>
          <w:szCs w:val="24"/>
        </w:rPr>
        <w:t>There is no similar information already available. Environmental reviews must be completed for each project individually.</w:t>
      </w:r>
    </w:p>
    <w:p w:rsidRPr="006C7FAE" w:rsidR="009E13B1" w:rsidRDefault="009E13B1" w14:paraId="35268C65" w14:textId="77777777">
      <w:pPr>
        <w:keepLines/>
        <w:tabs>
          <w:tab w:val="left" w:pos="360"/>
          <w:tab w:val="left" w:pos="720"/>
        </w:tabs>
        <w:ind w:left="360"/>
        <w:rPr>
          <w:sz w:val="24"/>
          <w:szCs w:val="24"/>
        </w:rPr>
      </w:pPr>
    </w:p>
    <w:p w:rsidRPr="006C7FAE" w:rsidR="009E13B1" w:rsidRDefault="009E13B1" w14:paraId="22E4DF5A"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(Item 5 of OMB Form 83-I) describe any methods used to minimize burden.</w:t>
      </w:r>
    </w:p>
    <w:p w:rsidRPr="006C7FAE" w:rsidR="0030283E" w:rsidP="00453BFE" w:rsidRDefault="0030283E" w14:paraId="41593F4F" w14:textId="77777777">
      <w:pPr>
        <w:keepLines/>
        <w:tabs>
          <w:tab w:val="left" w:pos="360"/>
        </w:tabs>
        <w:spacing w:before="240" w:after="80"/>
        <w:ind w:left="360"/>
        <w:rPr>
          <w:sz w:val="24"/>
          <w:szCs w:val="24"/>
        </w:rPr>
      </w:pPr>
      <w:r>
        <w:rPr>
          <w:sz w:val="24"/>
          <w:szCs w:val="24"/>
        </w:rPr>
        <w:t xml:space="preserve">This collection of information does not impact small businesses or other small entities. </w:t>
      </w:r>
    </w:p>
    <w:p w:rsidRPr="006C7FAE" w:rsidR="009E13B1" w:rsidRDefault="009E13B1" w14:paraId="17DE9BB5" w14:textId="77777777">
      <w:pPr>
        <w:tabs>
          <w:tab w:val="left" w:pos="360"/>
        </w:tabs>
        <w:ind w:left="360" w:hanging="360"/>
        <w:rPr>
          <w:sz w:val="24"/>
          <w:szCs w:val="24"/>
        </w:rPr>
      </w:pPr>
    </w:p>
    <w:p w:rsidRPr="006C7FAE" w:rsidR="009E13B1" w:rsidRDefault="009E13B1" w14:paraId="520838B5"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30283E" w:rsidP="00453BFE" w:rsidRDefault="0030283E" w14:paraId="20745C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ind w:left="360"/>
        <w:rPr>
          <w:sz w:val="24"/>
          <w:szCs w:val="24"/>
        </w:rPr>
      </w:pPr>
      <w:r w:rsidRPr="00EC4C7B">
        <w:rPr>
          <w:sz w:val="24"/>
          <w:szCs w:val="24"/>
        </w:rPr>
        <w:t xml:space="preserve">This is not applicable, because this collection of information is a one-time </w:t>
      </w:r>
      <w:r>
        <w:rPr>
          <w:sz w:val="24"/>
          <w:szCs w:val="24"/>
        </w:rPr>
        <w:t>requirement</w:t>
      </w:r>
      <w:r w:rsidRPr="00EC4C7B">
        <w:rPr>
          <w:sz w:val="24"/>
          <w:szCs w:val="24"/>
        </w:rPr>
        <w:t xml:space="preserve"> by the HUD recipient for a site-specific HUD-assisted project or activity.</w:t>
      </w:r>
      <w:r>
        <w:rPr>
          <w:sz w:val="24"/>
          <w:szCs w:val="24"/>
        </w:rPr>
        <w:t xml:space="preserve"> HUD is required to collect this information by </w:t>
      </w:r>
      <w:r w:rsidRPr="00895BA9">
        <w:rPr>
          <w:sz w:val="24"/>
          <w:szCs w:val="24"/>
        </w:rPr>
        <w:t>the National Environmental Policy Act (NEPA), the regulations of the Council on Environmental Quality</w:t>
      </w:r>
      <w:r w:rsidR="00453BFE">
        <w:rPr>
          <w:sz w:val="24"/>
          <w:szCs w:val="24"/>
        </w:rPr>
        <w:t xml:space="preserve"> (CEQ)</w:t>
      </w:r>
      <w:r w:rsidRPr="00895BA9">
        <w:rPr>
          <w:sz w:val="24"/>
          <w:szCs w:val="24"/>
        </w:rPr>
        <w:t xml:space="preserve">, related federal environmental laws, executive orders, and authorities, and </w:t>
      </w:r>
      <w:r>
        <w:rPr>
          <w:sz w:val="24"/>
          <w:szCs w:val="24"/>
        </w:rPr>
        <w:t xml:space="preserve">24 CFR </w:t>
      </w:r>
      <w:r w:rsidRPr="00895BA9">
        <w:rPr>
          <w:sz w:val="24"/>
          <w:szCs w:val="24"/>
        </w:rPr>
        <w:t>Part</w:t>
      </w:r>
      <w:r>
        <w:rPr>
          <w:sz w:val="24"/>
          <w:szCs w:val="24"/>
        </w:rPr>
        <w:t>s 50 and</w:t>
      </w:r>
      <w:r w:rsidRPr="00895BA9">
        <w:rPr>
          <w:sz w:val="24"/>
          <w:szCs w:val="24"/>
        </w:rPr>
        <w:t xml:space="preserve"> 58</w:t>
      </w:r>
      <w:r>
        <w:rPr>
          <w:sz w:val="24"/>
          <w:szCs w:val="24"/>
        </w:rPr>
        <w:t>. If HUD does not collect this information, it would be in violation of these laws.</w:t>
      </w:r>
    </w:p>
    <w:p w:rsidRPr="006C7FAE" w:rsidR="009E13B1" w:rsidRDefault="009E13B1" w14:paraId="2B061366" w14:textId="77777777">
      <w:pPr>
        <w:keepLines/>
        <w:tabs>
          <w:tab w:val="left" w:pos="360"/>
          <w:tab w:val="left" w:pos="720"/>
        </w:tabs>
        <w:ind w:left="360"/>
        <w:rPr>
          <w:sz w:val="24"/>
          <w:szCs w:val="24"/>
        </w:rPr>
      </w:pPr>
    </w:p>
    <w:p w:rsidRPr="006C7FAE" w:rsidR="009E13B1" w:rsidRDefault="009E13B1" w14:paraId="2322FB96"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101A6091" w14:textId="77777777">
      <w:pPr>
        <w:numPr>
          <w:ilvl w:val="0"/>
          <w:numId w:val="14"/>
        </w:numPr>
        <w:tabs>
          <w:tab w:val="left" w:pos="600"/>
        </w:tabs>
        <w:rPr>
          <w:sz w:val="24"/>
          <w:szCs w:val="24"/>
        </w:rPr>
      </w:pPr>
      <w:r w:rsidRPr="006C7FAE">
        <w:rPr>
          <w:sz w:val="24"/>
          <w:szCs w:val="24"/>
        </w:rPr>
        <w:t xml:space="preserve">requiring respondents to report information to the agency more than </w:t>
      </w:r>
      <w:proofErr w:type="gramStart"/>
      <w:r w:rsidRPr="006C7FAE">
        <w:rPr>
          <w:sz w:val="24"/>
          <w:szCs w:val="24"/>
        </w:rPr>
        <w:t>quarterly;</w:t>
      </w:r>
      <w:proofErr w:type="gramEnd"/>
      <w:r w:rsidRPr="006C7FAE">
        <w:rPr>
          <w:sz w:val="24"/>
          <w:szCs w:val="24"/>
        </w:rPr>
        <w:t xml:space="preserve"> </w:t>
      </w:r>
    </w:p>
    <w:p w:rsidRPr="006C7FAE" w:rsidR="009E13B1" w:rsidRDefault="009E13B1" w14:paraId="5EF7618E"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w:t>
      </w:r>
      <w:proofErr w:type="gramStart"/>
      <w:r w:rsidRPr="006C7FAE">
        <w:rPr>
          <w:sz w:val="24"/>
          <w:szCs w:val="24"/>
        </w:rPr>
        <w:t>it;</w:t>
      </w:r>
      <w:proofErr w:type="gramEnd"/>
      <w:r w:rsidRPr="006C7FAE">
        <w:rPr>
          <w:sz w:val="24"/>
          <w:szCs w:val="24"/>
        </w:rPr>
        <w:t xml:space="preserve"> </w:t>
      </w:r>
    </w:p>
    <w:p w:rsidRPr="006C7FAE" w:rsidR="009E13B1" w:rsidRDefault="009E13B1" w14:paraId="53667E58"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w:t>
      </w:r>
      <w:proofErr w:type="gramStart"/>
      <w:r w:rsidRPr="006C7FAE">
        <w:rPr>
          <w:sz w:val="24"/>
          <w:szCs w:val="24"/>
        </w:rPr>
        <w:t>document;</w:t>
      </w:r>
      <w:proofErr w:type="gramEnd"/>
      <w:r w:rsidRPr="006C7FAE">
        <w:rPr>
          <w:sz w:val="24"/>
          <w:szCs w:val="24"/>
        </w:rPr>
        <w:t xml:space="preserve"> </w:t>
      </w:r>
    </w:p>
    <w:p w:rsidRPr="006C7FAE" w:rsidR="009E13B1" w:rsidRDefault="009E13B1" w14:paraId="1E09D62E"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w:t>
      </w:r>
      <w:proofErr w:type="gramStart"/>
      <w:r w:rsidRPr="006C7FAE">
        <w:rPr>
          <w:sz w:val="24"/>
          <w:szCs w:val="24"/>
        </w:rPr>
        <w:t>years;</w:t>
      </w:r>
      <w:proofErr w:type="gramEnd"/>
      <w:r w:rsidRPr="006C7FAE">
        <w:rPr>
          <w:sz w:val="24"/>
          <w:szCs w:val="24"/>
        </w:rPr>
        <w:t xml:space="preserve"> </w:t>
      </w:r>
    </w:p>
    <w:p w:rsidRPr="006C7FAE" w:rsidR="009E13B1" w:rsidRDefault="009E13B1" w14:paraId="7A6A5EE0"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w:t>
      </w:r>
      <w:proofErr w:type="gramStart"/>
      <w:r w:rsidRPr="006C7FAE">
        <w:rPr>
          <w:sz w:val="24"/>
          <w:szCs w:val="24"/>
        </w:rPr>
        <w:t>study;</w:t>
      </w:r>
      <w:proofErr w:type="gramEnd"/>
      <w:r w:rsidRPr="006C7FAE">
        <w:rPr>
          <w:sz w:val="24"/>
          <w:szCs w:val="24"/>
        </w:rPr>
        <w:t xml:space="preserve"> </w:t>
      </w:r>
    </w:p>
    <w:p w:rsidRPr="006C7FAE" w:rsidR="009E13B1" w:rsidRDefault="009E13B1" w14:paraId="5DC6B21B"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w:t>
      </w:r>
      <w:proofErr w:type="gramStart"/>
      <w:r w:rsidRPr="006C7FAE">
        <w:rPr>
          <w:sz w:val="24"/>
          <w:szCs w:val="24"/>
        </w:rPr>
        <w:t>OMB;</w:t>
      </w:r>
      <w:proofErr w:type="gramEnd"/>
      <w:r w:rsidRPr="006C7FAE">
        <w:rPr>
          <w:sz w:val="24"/>
          <w:szCs w:val="24"/>
        </w:rPr>
        <w:t xml:space="preserve"> </w:t>
      </w:r>
    </w:p>
    <w:p w:rsidRPr="006C7FAE" w:rsidR="009E13B1" w:rsidRDefault="009E13B1" w14:paraId="2AABA408"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6C7FAE" w:rsidR="009E13B1" w:rsidRDefault="009E13B1" w14:paraId="15C081CE"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6933E8" w:rsidR="0030283E" w:rsidP="00453BFE" w:rsidRDefault="0030283E" w14:paraId="15406679" w14:textId="77777777">
      <w:pPr>
        <w:keepLines/>
        <w:tabs>
          <w:tab w:val="left" w:pos="600"/>
        </w:tabs>
        <w:spacing w:before="240" w:after="80"/>
        <w:ind w:left="360"/>
        <w:rPr>
          <w:sz w:val="24"/>
          <w:szCs w:val="24"/>
        </w:rPr>
      </w:pPr>
      <w:r w:rsidRPr="006933E8">
        <w:rPr>
          <w:sz w:val="24"/>
          <w:szCs w:val="24"/>
        </w:rPr>
        <w:t xml:space="preserve">There are no special circumstances mentioned above that apply to this information collection. </w:t>
      </w:r>
    </w:p>
    <w:p w:rsidRPr="006C7FAE" w:rsidR="009E13B1" w:rsidRDefault="009E13B1" w14:paraId="62A7F0FE" w14:textId="77777777">
      <w:pPr>
        <w:tabs>
          <w:tab w:val="left" w:pos="360"/>
        </w:tabs>
        <w:ind w:left="360" w:hanging="360"/>
        <w:rPr>
          <w:sz w:val="24"/>
          <w:szCs w:val="24"/>
        </w:rPr>
      </w:pPr>
    </w:p>
    <w:p w:rsidRPr="006C7FAE" w:rsidR="009E13B1" w:rsidRDefault="009E13B1" w14:paraId="5FD53396"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proofErr w:type="gramStart"/>
      <w:r w:rsidRPr="006C7FAE">
        <w:rPr>
          <w:sz w:val="24"/>
          <w:szCs w:val="24"/>
        </w:rPr>
        <w:t>publication</w:t>
      </w:r>
      <w:proofErr w:type="gramEnd"/>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1128F03D"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C7FAE" w:rsidR="009E13B1" w:rsidRDefault="009E13B1" w14:paraId="6A951977"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04672B" w:rsidR="0030283E" w:rsidP="00453BFE" w:rsidRDefault="0030283E" w14:paraId="74FEEB1B" w14:textId="77777777">
      <w:pPr>
        <w:keepLines/>
        <w:tabs>
          <w:tab w:val="left" w:pos="360"/>
        </w:tabs>
        <w:spacing w:before="240" w:after="80"/>
        <w:ind w:left="360"/>
        <w:rPr>
          <w:sz w:val="24"/>
          <w:szCs w:val="24"/>
        </w:rPr>
      </w:pPr>
      <w:r w:rsidRPr="0004672B">
        <w:rPr>
          <w:sz w:val="24"/>
          <w:szCs w:val="24"/>
        </w:rPr>
        <w:t xml:space="preserve">60-Day Notice of Proposed Information Collection in the Federal Register </w:t>
      </w:r>
      <w:r>
        <w:rPr>
          <w:sz w:val="24"/>
          <w:szCs w:val="24"/>
        </w:rPr>
        <w:t xml:space="preserve">was published on </w:t>
      </w:r>
      <w:r w:rsidR="00931295">
        <w:rPr>
          <w:sz w:val="24"/>
          <w:szCs w:val="24"/>
        </w:rPr>
        <w:t>October 30, 2020, Vol 85 page 68911.</w:t>
      </w:r>
      <w:r>
        <w:rPr>
          <w:sz w:val="24"/>
          <w:szCs w:val="24"/>
        </w:rPr>
        <w:t xml:space="preserve"> </w:t>
      </w:r>
      <w:r w:rsidR="00931295">
        <w:rPr>
          <w:sz w:val="24"/>
          <w:szCs w:val="24"/>
        </w:rPr>
        <w:t xml:space="preserve"> So far, </w:t>
      </w:r>
      <w:r w:rsidRPr="00931295" w:rsidR="00931295">
        <w:rPr>
          <w:sz w:val="24"/>
          <w:szCs w:val="24"/>
        </w:rPr>
        <w:t>n</w:t>
      </w:r>
      <w:r w:rsidRPr="00931295">
        <w:rPr>
          <w:sz w:val="24"/>
          <w:szCs w:val="24"/>
        </w:rPr>
        <w:t>o comments</w:t>
      </w:r>
      <w:r>
        <w:rPr>
          <w:sz w:val="24"/>
          <w:szCs w:val="24"/>
        </w:rPr>
        <w:t xml:space="preserve"> </w:t>
      </w:r>
      <w:r w:rsidR="00931295">
        <w:rPr>
          <w:sz w:val="24"/>
          <w:szCs w:val="24"/>
        </w:rPr>
        <w:t xml:space="preserve">have been </w:t>
      </w:r>
      <w:r>
        <w:rPr>
          <w:sz w:val="24"/>
          <w:szCs w:val="24"/>
        </w:rPr>
        <w:t xml:space="preserve">received. </w:t>
      </w:r>
    </w:p>
    <w:p w:rsidRPr="006C7FAE" w:rsidR="009E13B1" w:rsidRDefault="009E13B1" w14:paraId="728E54D4" w14:textId="77777777">
      <w:pPr>
        <w:tabs>
          <w:tab w:val="left" w:pos="360"/>
        </w:tabs>
        <w:ind w:left="360" w:hanging="360"/>
        <w:rPr>
          <w:sz w:val="24"/>
          <w:szCs w:val="24"/>
        </w:rPr>
      </w:pPr>
    </w:p>
    <w:p w:rsidRPr="006C7FAE" w:rsidR="009E13B1" w:rsidRDefault="009E13B1" w14:paraId="59594A1E" w14:textId="77777777">
      <w:pPr>
        <w:keepLines/>
        <w:tabs>
          <w:tab w:val="left" w:pos="360"/>
        </w:tabs>
        <w:spacing w:after="80"/>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proofErr w:type="spellStart"/>
      <w:r w:rsidRPr="006C7FAE">
        <w:rPr>
          <w:sz w:val="24"/>
          <w:szCs w:val="24"/>
        </w:rPr>
        <w:t>reenumeration</w:t>
      </w:r>
      <w:proofErr w:type="spellEnd"/>
      <w:r w:rsidRPr="006C7FAE">
        <w:rPr>
          <w:sz w:val="24"/>
          <w:szCs w:val="24"/>
        </w:rPr>
        <w:t xml:space="preserve"> of contractors or grantees.</w:t>
      </w:r>
    </w:p>
    <w:p w:rsidRPr="006C7FAE" w:rsidR="0030283E" w:rsidP="00453BFE" w:rsidRDefault="0030283E" w14:paraId="517D398A" w14:textId="77777777">
      <w:pPr>
        <w:keepLines/>
        <w:tabs>
          <w:tab w:val="left" w:pos="360"/>
        </w:tabs>
        <w:spacing w:before="240" w:after="80"/>
        <w:ind w:left="360"/>
        <w:rPr>
          <w:sz w:val="24"/>
          <w:szCs w:val="24"/>
        </w:rPr>
      </w:pPr>
      <w:r>
        <w:rPr>
          <w:sz w:val="24"/>
          <w:szCs w:val="24"/>
        </w:rPr>
        <w:t xml:space="preserve">This is not applicable, because HUD does not provide any payment or gifts as remuneration for this information collection. The funds awarded are on the basis of a formula-allocation or national competition, but fund recipients must certify compliance with statutory and regulatory requirements and receive HUD approval (or State approval as appropriate) for the release of funds for proposed projects and activities. </w:t>
      </w:r>
    </w:p>
    <w:p w:rsidRPr="006C7FAE" w:rsidR="009E13B1" w:rsidRDefault="009E13B1" w14:paraId="4C153867" w14:textId="77777777">
      <w:pPr>
        <w:tabs>
          <w:tab w:val="left" w:pos="360"/>
        </w:tabs>
        <w:ind w:left="360" w:hanging="360"/>
        <w:rPr>
          <w:sz w:val="24"/>
          <w:szCs w:val="24"/>
        </w:rPr>
      </w:pPr>
    </w:p>
    <w:p w:rsidRPr="006C7FAE" w:rsidR="009E13B1" w:rsidRDefault="009E13B1" w14:paraId="65219604" w14:textId="77777777">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proofErr w:type="gramStart"/>
      <w:r w:rsidRPr="006C7FAE">
        <w:rPr>
          <w:sz w:val="24"/>
          <w:szCs w:val="24"/>
        </w:rPr>
        <w:t>regulation</w:t>
      </w:r>
      <w:proofErr w:type="gramEnd"/>
      <w:r w:rsidRPr="006C7FAE">
        <w:rPr>
          <w:sz w:val="24"/>
          <w:szCs w:val="24"/>
        </w:rPr>
        <w:t xml:space="preserve"> or agency policy.</w:t>
      </w:r>
    </w:p>
    <w:p w:rsidRPr="006C7FAE" w:rsidR="0030283E" w:rsidP="00453BFE" w:rsidRDefault="0030283E" w14:paraId="5485060C" w14:textId="77777777">
      <w:pPr>
        <w:keepLines/>
        <w:spacing w:before="240" w:after="80"/>
        <w:ind w:left="360"/>
        <w:rPr>
          <w:sz w:val="24"/>
          <w:szCs w:val="24"/>
        </w:rPr>
      </w:pPr>
      <w:r>
        <w:rPr>
          <w:sz w:val="24"/>
          <w:szCs w:val="24"/>
        </w:rPr>
        <w:t xml:space="preserve">Environmental reviews are public documents that must be made available upon request to any member of the public, and therefore HEROS provides no assurance of confidentiality under HUD environmental review procedures. </w:t>
      </w:r>
    </w:p>
    <w:p w:rsidRPr="006C7FAE" w:rsidR="009E13B1" w:rsidRDefault="009E13B1" w14:paraId="0E45D819" w14:textId="77777777">
      <w:pPr>
        <w:tabs>
          <w:tab w:val="left" w:pos="360"/>
        </w:tabs>
        <w:ind w:left="360" w:hanging="360"/>
        <w:rPr>
          <w:sz w:val="24"/>
          <w:szCs w:val="24"/>
        </w:rPr>
      </w:pPr>
    </w:p>
    <w:p w:rsidRPr="006C7FAE" w:rsidR="009E13B1" w:rsidRDefault="009E13B1" w14:paraId="287FF37A"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0283E" w:rsidP="00453BFE" w:rsidRDefault="0030283E" w14:paraId="4FAC523B" w14:textId="77777777">
      <w:pPr>
        <w:keepLines/>
        <w:tabs>
          <w:tab w:val="left" w:pos="360"/>
        </w:tabs>
        <w:spacing w:before="240" w:after="80"/>
        <w:ind w:left="360" w:hanging="360"/>
        <w:rPr>
          <w:sz w:val="24"/>
          <w:szCs w:val="24"/>
        </w:rPr>
      </w:pPr>
      <w:r>
        <w:rPr>
          <w:sz w:val="24"/>
          <w:szCs w:val="24"/>
        </w:rPr>
        <w:tab/>
        <w:t xml:space="preserve">HEROS does not involve questions of a sensitive nature as described above. </w:t>
      </w:r>
    </w:p>
    <w:p w:rsidRPr="006C7FAE" w:rsidR="00F75E20" w:rsidP="00453BFE" w:rsidRDefault="00F75E20" w14:paraId="20DB8324" w14:textId="77777777">
      <w:pPr>
        <w:keepLines/>
        <w:tabs>
          <w:tab w:val="left" w:pos="360"/>
        </w:tabs>
        <w:spacing w:before="240" w:after="80"/>
        <w:ind w:left="360" w:hanging="360"/>
        <w:rPr>
          <w:sz w:val="24"/>
          <w:szCs w:val="24"/>
        </w:rPr>
      </w:pPr>
    </w:p>
    <w:p w:rsidRPr="006C7FAE" w:rsidR="009E13B1" w:rsidRDefault="009E13B1" w14:paraId="2042D086" w14:textId="77777777">
      <w:pPr>
        <w:tabs>
          <w:tab w:val="left" w:pos="360"/>
        </w:tabs>
        <w:ind w:left="360" w:hanging="360"/>
        <w:rPr>
          <w:sz w:val="24"/>
          <w:szCs w:val="24"/>
        </w:rPr>
      </w:pPr>
    </w:p>
    <w:p w:rsidRPr="006C7FAE" w:rsidR="009E13B1" w:rsidRDefault="009E13B1" w14:paraId="3E46735B"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2FC43942"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proofErr w:type="gramStart"/>
      <w:r w:rsidRPr="006C7FAE">
        <w:rPr>
          <w:sz w:val="24"/>
          <w:szCs w:val="24"/>
        </w:rPr>
        <w:t>practices;</w:t>
      </w:r>
      <w:proofErr w:type="gramEnd"/>
      <w:r w:rsidRPr="006C7FAE">
        <w:rPr>
          <w:sz w:val="24"/>
          <w:szCs w:val="24"/>
        </w:rPr>
        <w:t xml:space="preserve"> </w:t>
      </w:r>
    </w:p>
    <w:p w:rsidRPr="006C7FAE" w:rsidR="009E13B1" w:rsidRDefault="009E13B1" w14:paraId="15D57298"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Pr="006C7FAE" w:rsidR="009E13B1" w:rsidRDefault="009E13B1" w14:paraId="3899EDFD" w14:textId="77777777">
      <w:pPr>
        <w:keepLines/>
        <w:numPr>
          <w:ilvl w:val="0"/>
          <w:numId w:val="14"/>
        </w:numPr>
        <w:tabs>
          <w:tab w:val="left" w:pos="480"/>
        </w:tabs>
        <w:spacing w:after="80"/>
        <w:ind w:left="480"/>
        <w:rPr>
          <w:sz w:val="24"/>
          <w:szCs w:val="24"/>
        </w:rPr>
      </w:pPr>
      <w:r w:rsidRPr="006C7FAE">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6C7FAE" w:rsidR="009E13B1" w:rsidRDefault="009E13B1" w14:paraId="044BC24E"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9676" w:type="dxa"/>
        <w:tblInd w:w="558" w:type="dxa"/>
        <w:tblLayout w:type="fixed"/>
        <w:tblCellMar>
          <w:left w:w="0" w:type="dxa"/>
          <w:right w:w="0" w:type="dxa"/>
        </w:tblCellMar>
        <w:tblLook w:val="04A0" w:firstRow="1" w:lastRow="0" w:firstColumn="1" w:lastColumn="0" w:noHBand="0" w:noVBand="1"/>
      </w:tblPr>
      <w:tblGrid>
        <w:gridCol w:w="1710"/>
        <w:gridCol w:w="1378"/>
        <w:gridCol w:w="1127"/>
        <w:gridCol w:w="1164"/>
        <w:gridCol w:w="1080"/>
        <w:gridCol w:w="921"/>
        <w:gridCol w:w="1080"/>
        <w:gridCol w:w="1216"/>
      </w:tblGrid>
      <w:tr w:rsidRPr="00016AD8" w:rsidR="00016AD8" w:rsidTr="00F75E20" w14:paraId="2EEFEB22" w14:textId="77777777">
        <w:tc>
          <w:tcPr>
            <w:tcW w:w="17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16AD8" w:rsidR="00016AD8" w:rsidP="00016AD8" w:rsidRDefault="00016AD8" w14:paraId="6969D112" w14:textId="77777777">
            <w:pPr>
              <w:adjustRightInd/>
              <w:jc w:val="center"/>
              <w:textAlignment w:val="auto"/>
              <w:rPr>
                <w:rFonts w:eastAsia="Calibri"/>
                <w:b/>
                <w:bCs/>
                <w:color w:val="000000"/>
              </w:rPr>
            </w:pPr>
            <w:r w:rsidRPr="00016AD8">
              <w:rPr>
                <w:rFonts w:eastAsia="Calibri"/>
                <w:b/>
                <w:bCs/>
                <w:color w:val="000000"/>
              </w:rPr>
              <w:t>Information Collection</w:t>
            </w:r>
          </w:p>
        </w:tc>
        <w:tc>
          <w:tcPr>
            <w:tcW w:w="137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16AD8" w:rsidR="00016AD8" w:rsidP="00016AD8" w:rsidRDefault="00016AD8" w14:paraId="1B869C39" w14:textId="77777777">
            <w:pPr>
              <w:adjustRightInd/>
              <w:jc w:val="center"/>
              <w:textAlignment w:val="auto"/>
              <w:rPr>
                <w:rFonts w:eastAsia="Calibri"/>
                <w:b/>
                <w:bCs/>
                <w:color w:val="000000"/>
              </w:rPr>
            </w:pPr>
            <w:r w:rsidRPr="00016AD8">
              <w:rPr>
                <w:rFonts w:eastAsia="Calibri"/>
                <w:b/>
                <w:bCs/>
                <w:color w:val="000000"/>
              </w:rPr>
              <w:t>Number of Respondents</w:t>
            </w:r>
          </w:p>
        </w:tc>
        <w:tc>
          <w:tcPr>
            <w:tcW w:w="11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16AD8" w:rsidR="00016AD8" w:rsidP="00016AD8" w:rsidRDefault="00016AD8" w14:paraId="1623F3C7" w14:textId="77777777">
            <w:pPr>
              <w:adjustRightInd/>
              <w:jc w:val="center"/>
              <w:textAlignment w:val="auto"/>
              <w:rPr>
                <w:rFonts w:eastAsia="Calibri"/>
                <w:b/>
                <w:bCs/>
                <w:color w:val="000000"/>
              </w:rPr>
            </w:pPr>
            <w:r w:rsidRPr="00016AD8">
              <w:rPr>
                <w:rFonts w:eastAsia="Calibri"/>
                <w:b/>
                <w:bCs/>
                <w:color w:val="000000"/>
              </w:rPr>
              <w:t>Frequency of Response</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16AD8" w:rsidR="00016AD8" w:rsidP="00016AD8" w:rsidRDefault="00016AD8" w14:paraId="7C4BCE30" w14:textId="77777777">
            <w:pPr>
              <w:overflowPunct/>
              <w:autoSpaceDE/>
              <w:adjustRightInd/>
              <w:jc w:val="center"/>
              <w:textAlignment w:val="auto"/>
              <w:rPr>
                <w:rFonts w:eastAsia="Calibri"/>
                <w:b/>
                <w:bCs/>
                <w:color w:val="000000"/>
              </w:rPr>
            </w:pPr>
            <w:r w:rsidRPr="00016AD8">
              <w:rPr>
                <w:rFonts w:eastAsia="Calibri"/>
                <w:b/>
                <w:bCs/>
                <w:color w:val="000000"/>
              </w:rPr>
              <w:t>Responses</w:t>
            </w:r>
          </w:p>
          <w:p w:rsidRPr="00016AD8" w:rsidR="00016AD8" w:rsidP="00016AD8" w:rsidRDefault="00016AD8" w14:paraId="033210C9" w14:textId="77777777">
            <w:pPr>
              <w:adjustRightInd/>
              <w:jc w:val="center"/>
              <w:textAlignment w:val="auto"/>
              <w:rPr>
                <w:rFonts w:eastAsia="Calibri"/>
                <w:b/>
                <w:bCs/>
                <w:color w:val="000000"/>
              </w:rPr>
            </w:pPr>
            <w:r w:rsidRPr="00016AD8">
              <w:rPr>
                <w:rFonts w:eastAsia="Calibri"/>
                <w:b/>
                <w:bCs/>
                <w:color w:val="000000"/>
              </w:rPr>
              <w:t>Per Annum</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16AD8" w:rsidR="00016AD8" w:rsidP="00016AD8" w:rsidRDefault="00016AD8" w14:paraId="32BAA08C" w14:textId="77777777">
            <w:pPr>
              <w:adjustRightInd/>
              <w:jc w:val="center"/>
              <w:textAlignment w:val="auto"/>
              <w:rPr>
                <w:rFonts w:eastAsia="Calibri"/>
                <w:b/>
                <w:bCs/>
                <w:color w:val="000000"/>
              </w:rPr>
            </w:pPr>
            <w:r w:rsidRPr="00016AD8">
              <w:rPr>
                <w:rFonts w:eastAsia="Calibri"/>
                <w:b/>
                <w:bCs/>
                <w:color w:val="000000"/>
              </w:rPr>
              <w:t>Burden Hour Per Response</w:t>
            </w:r>
          </w:p>
        </w:tc>
        <w:tc>
          <w:tcPr>
            <w:tcW w:w="92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16AD8" w:rsidR="00016AD8" w:rsidP="00016AD8" w:rsidRDefault="00016AD8" w14:paraId="3CADF72D" w14:textId="77777777">
            <w:pPr>
              <w:adjustRightInd/>
              <w:jc w:val="center"/>
              <w:textAlignment w:val="auto"/>
              <w:rPr>
                <w:rFonts w:eastAsia="Calibri"/>
                <w:b/>
                <w:bCs/>
                <w:color w:val="000000"/>
              </w:rPr>
            </w:pPr>
            <w:r w:rsidRPr="00016AD8">
              <w:rPr>
                <w:rFonts w:eastAsia="Calibri"/>
                <w:b/>
                <w:bCs/>
                <w:color w:val="000000"/>
              </w:rPr>
              <w:t>Annual Burden Hours</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16AD8" w:rsidR="00016AD8" w:rsidP="00016AD8" w:rsidRDefault="00016AD8" w14:paraId="78F03B6E" w14:textId="77777777">
            <w:pPr>
              <w:adjustRightInd/>
              <w:jc w:val="center"/>
              <w:textAlignment w:val="auto"/>
              <w:rPr>
                <w:rFonts w:eastAsia="Calibri"/>
                <w:b/>
                <w:bCs/>
                <w:color w:val="000000"/>
              </w:rPr>
            </w:pPr>
            <w:r w:rsidRPr="00016AD8">
              <w:rPr>
                <w:rFonts w:eastAsia="Calibri"/>
                <w:b/>
                <w:bCs/>
                <w:color w:val="000000"/>
              </w:rPr>
              <w:t>Hourly Cost Per Response</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16AD8" w:rsidR="00016AD8" w:rsidP="00016AD8" w:rsidRDefault="00016AD8" w14:paraId="3324F31B" w14:textId="77777777">
            <w:pPr>
              <w:overflowPunct/>
              <w:autoSpaceDE/>
              <w:adjustRightInd/>
              <w:jc w:val="center"/>
              <w:textAlignment w:val="auto"/>
              <w:rPr>
                <w:rFonts w:eastAsia="Calibri"/>
                <w:b/>
                <w:bCs/>
                <w:color w:val="000000"/>
              </w:rPr>
            </w:pPr>
            <w:r w:rsidRPr="00016AD8">
              <w:rPr>
                <w:rFonts w:eastAsia="Calibri"/>
                <w:b/>
                <w:bCs/>
                <w:color w:val="000000"/>
              </w:rPr>
              <w:t>Annual Cost</w:t>
            </w:r>
          </w:p>
          <w:p w:rsidRPr="00016AD8" w:rsidR="00016AD8" w:rsidP="00016AD8" w:rsidRDefault="00016AD8" w14:paraId="2B8F2E4C" w14:textId="77777777">
            <w:pPr>
              <w:adjustRightInd/>
              <w:jc w:val="center"/>
              <w:textAlignment w:val="auto"/>
              <w:rPr>
                <w:rFonts w:eastAsia="Calibri"/>
                <w:b/>
                <w:bCs/>
                <w:color w:val="000000"/>
              </w:rPr>
            </w:pPr>
          </w:p>
        </w:tc>
      </w:tr>
      <w:tr w:rsidRPr="00016AD8" w:rsidR="00016AD8" w:rsidTr="00F75E20" w14:paraId="2CBAB2EE" w14:textId="77777777">
        <w:tc>
          <w:tcPr>
            <w:tcW w:w="17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451C42CE" w14:textId="77777777">
            <w:pPr>
              <w:adjustRightInd/>
              <w:textAlignment w:val="auto"/>
              <w:rPr>
                <w:rFonts w:eastAsia="Calibri"/>
                <w:b/>
                <w:bCs/>
                <w:color w:val="000000"/>
              </w:rPr>
            </w:pPr>
            <w:r w:rsidRPr="00016AD8">
              <w:rPr>
                <w:bCs/>
                <w:color w:val="000000"/>
              </w:rPr>
              <w:t>Exempt/ CENST reviews</w:t>
            </w:r>
          </w:p>
        </w:tc>
        <w:tc>
          <w:tcPr>
            <w:tcW w:w="137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683BAF4D" w14:textId="77777777">
            <w:pPr>
              <w:adjustRightInd/>
              <w:jc w:val="center"/>
              <w:textAlignment w:val="auto"/>
              <w:rPr>
                <w:rFonts w:eastAsia="Calibri"/>
                <w:b/>
                <w:bCs/>
                <w:color w:val="000000"/>
              </w:rPr>
            </w:pPr>
            <w:r w:rsidRPr="00016AD8">
              <w:rPr>
                <w:bCs/>
                <w:color w:val="000000"/>
              </w:rPr>
              <w:t>500</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54C10E57" w14:textId="77777777">
            <w:pPr>
              <w:adjustRightInd/>
              <w:jc w:val="center"/>
              <w:textAlignment w:val="auto"/>
              <w:rPr>
                <w:rFonts w:eastAsia="Calibri"/>
                <w:b/>
                <w:bCs/>
                <w:color w:val="000000"/>
              </w:rPr>
            </w:pPr>
            <w:r w:rsidRPr="00016AD8">
              <w:rPr>
                <w:rFonts w:eastAsia="Calibri"/>
                <w:color w:val="000000"/>
              </w:rPr>
              <w:t>15</w:t>
            </w: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0D4FF2A1" w14:textId="77777777">
            <w:pPr>
              <w:adjustRightInd/>
              <w:jc w:val="center"/>
              <w:textAlignment w:val="auto"/>
              <w:rPr>
                <w:rFonts w:eastAsia="Calibri"/>
                <w:b/>
                <w:bCs/>
                <w:color w:val="000000"/>
              </w:rPr>
            </w:pPr>
            <w:r w:rsidRPr="00016AD8">
              <w:rPr>
                <w:rFonts w:eastAsia="Calibri"/>
                <w:bCs/>
                <w:color w:val="000000"/>
              </w:rPr>
              <w:t>7,500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4F1BC7DB" w14:textId="77777777">
            <w:pPr>
              <w:adjustRightInd/>
              <w:jc w:val="center"/>
              <w:textAlignment w:val="auto"/>
              <w:rPr>
                <w:rFonts w:eastAsia="Calibri"/>
                <w:b/>
                <w:bCs/>
                <w:color w:val="000000"/>
              </w:rPr>
            </w:pPr>
            <w:r w:rsidRPr="00016AD8">
              <w:rPr>
                <w:rFonts w:eastAsia="Calibri"/>
                <w:bCs/>
                <w:color w:val="000000"/>
              </w:rPr>
              <w:t>0.75</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77CEED54" w14:textId="77777777">
            <w:pPr>
              <w:adjustRightInd/>
              <w:jc w:val="center"/>
              <w:textAlignment w:val="auto"/>
              <w:rPr>
                <w:rFonts w:eastAsia="Calibri"/>
                <w:b/>
                <w:bCs/>
                <w:color w:val="000000"/>
              </w:rPr>
            </w:pPr>
            <w:r w:rsidRPr="00016AD8">
              <w:rPr>
                <w:rFonts w:eastAsia="Calibri"/>
                <w:color w:val="000000"/>
              </w:rPr>
              <w:t>5,625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5873A860" w14:textId="77777777">
            <w:pPr>
              <w:adjustRightInd/>
              <w:jc w:val="center"/>
              <w:textAlignment w:val="auto"/>
              <w:rPr>
                <w:rFonts w:eastAsia="Calibri"/>
                <w:b/>
                <w:bCs/>
                <w:color w:val="000000"/>
                <w:highlight w:val="yellow"/>
              </w:rPr>
            </w:pPr>
            <w:r w:rsidRPr="00016AD8">
              <w:rPr>
                <w:rFonts w:eastAsia="Calibri"/>
                <w:bCs/>
                <w:color w:val="000000"/>
              </w:rPr>
              <w:t>$36.50</w:t>
            </w:r>
          </w:p>
        </w:tc>
        <w:tc>
          <w:tcPr>
            <w:tcW w:w="121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680F4443" w14:textId="77777777">
            <w:pPr>
              <w:adjustRightInd/>
              <w:jc w:val="center"/>
              <w:textAlignment w:val="auto"/>
              <w:rPr>
                <w:rFonts w:eastAsia="Calibri"/>
                <w:b/>
                <w:bCs/>
                <w:color w:val="000000"/>
              </w:rPr>
            </w:pPr>
            <w:r w:rsidRPr="00016AD8">
              <w:rPr>
                <w:rFonts w:eastAsia="Calibri"/>
                <w:bCs/>
                <w:color w:val="000000"/>
              </w:rPr>
              <w:t>$205,312.50</w:t>
            </w:r>
          </w:p>
        </w:tc>
      </w:tr>
      <w:tr w:rsidRPr="00016AD8" w:rsidR="00016AD8" w:rsidTr="00F75E20" w14:paraId="04001B83" w14:textId="77777777">
        <w:tc>
          <w:tcPr>
            <w:tcW w:w="17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116F2037" w14:textId="77777777">
            <w:pPr>
              <w:adjustRightInd/>
              <w:textAlignment w:val="auto"/>
              <w:rPr>
                <w:bCs/>
                <w:color w:val="000000"/>
              </w:rPr>
            </w:pPr>
            <w:r w:rsidRPr="00016AD8">
              <w:rPr>
                <w:color w:val="000000"/>
              </w:rPr>
              <w:t>Reviews that convert to exempt</w:t>
            </w:r>
          </w:p>
        </w:tc>
        <w:tc>
          <w:tcPr>
            <w:tcW w:w="1378"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6F33A9F5" w14:textId="77777777">
            <w:pPr>
              <w:adjustRightInd/>
              <w:jc w:val="center"/>
              <w:textAlignment w:val="auto"/>
              <w:rPr>
                <w:bCs/>
                <w:color w:val="000000"/>
              </w:rPr>
            </w:pPr>
            <w:r w:rsidRPr="00016AD8">
              <w:rPr>
                <w:color w:val="000000"/>
              </w:rPr>
              <w:t>500</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2C0BFCE3" w14:textId="77777777">
            <w:pPr>
              <w:adjustRightInd/>
              <w:jc w:val="center"/>
              <w:textAlignment w:val="auto"/>
              <w:rPr>
                <w:rFonts w:eastAsia="Calibri"/>
                <w:bCs/>
                <w:color w:val="000000"/>
              </w:rPr>
            </w:pPr>
            <w:r w:rsidRPr="00016AD8">
              <w:rPr>
                <w:color w:val="000000"/>
              </w:rPr>
              <w:t>8</w:t>
            </w: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62F1650F" w14:textId="77777777">
            <w:pPr>
              <w:adjustRightInd/>
              <w:jc w:val="center"/>
              <w:textAlignment w:val="auto"/>
              <w:rPr>
                <w:rFonts w:eastAsia="Calibri"/>
                <w:bCs/>
                <w:color w:val="000000"/>
              </w:rPr>
            </w:pPr>
            <w:r w:rsidRPr="00016AD8">
              <w:rPr>
                <w:color w:val="000000"/>
              </w:rPr>
              <w:t>4,000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61BECD0F" w14:textId="77777777">
            <w:pPr>
              <w:adjustRightInd/>
              <w:jc w:val="center"/>
              <w:textAlignment w:val="auto"/>
              <w:rPr>
                <w:rFonts w:eastAsia="Calibri"/>
                <w:bCs/>
                <w:color w:val="000000"/>
              </w:rPr>
            </w:pPr>
            <w:r w:rsidRPr="00016AD8">
              <w:rPr>
                <w:color w:val="000000"/>
              </w:rPr>
              <w:t>2</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6FCDA5C4" w14:textId="77777777">
            <w:pPr>
              <w:adjustRightInd/>
              <w:jc w:val="center"/>
              <w:textAlignment w:val="auto"/>
              <w:rPr>
                <w:rFonts w:eastAsia="Calibri"/>
                <w:bCs/>
                <w:color w:val="000000"/>
              </w:rPr>
            </w:pPr>
            <w:r w:rsidRPr="00016AD8">
              <w:rPr>
                <w:color w:val="000000"/>
              </w:rPr>
              <w:t>8,000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3F5D50EE" w14:textId="77777777">
            <w:pPr>
              <w:adjustRightInd/>
              <w:jc w:val="center"/>
              <w:textAlignment w:val="auto"/>
              <w:rPr>
                <w:rFonts w:eastAsia="Calibri"/>
                <w:bCs/>
                <w:color w:val="000000"/>
              </w:rPr>
            </w:pPr>
            <w:r w:rsidRPr="00016AD8">
              <w:rPr>
                <w:rFonts w:eastAsia="Calibri"/>
                <w:bCs/>
                <w:color w:val="000000"/>
              </w:rPr>
              <w:t>$36.50</w:t>
            </w:r>
          </w:p>
        </w:tc>
        <w:tc>
          <w:tcPr>
            <w:tcW w:w="121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79F696B2" w14:textId="77777777">
            <w:pPr>
              <w:adjustRightInd/>
              <w:jc w:val="center"/>
              <w:textAlignment w:val="auto"/>
              <w:rPr>
                <w:rFonts w:eastAsia="Calibri"/>
                <w:bCs/>
                <w:color w:val="000000"/>
              </w:rPr>
            </w:pPr>
            <w:r w:rsidRPr="00016AD8">
              <w:rPr>
                <w:color w:val="000000"/>
              </w:rPr>
              <w:t>$292,000.00</w:t>
            </w:r>
          </w:p>
        </w:tc>
      </w:tr>
      <w:tr w:rsidRPr="00016AD8" w:rsidR="00016AD8" w:rsidTr="00F75E20" w14:paraId="1A04103D" w14:textId="77777777">
        <w:tc>
          <w:tcPr>
            <w:tcW w:w="1710" w:type="dxa"/>
            <w:tcBorders>
              <w:top w:val="nil"/>
              <w:left w:val="single" w:color="auto" w:sz="8" w:space="0"/>
              <w:bottom w:val="double" w:color="auto" w:sz="4" w:space="0"/>
              <w:right w:val="single" w:color="auto" w:sz="8" w:space="0"/>
            </w:tcBorders>
            <w:tcMar>
              <w:top w:w="0" w:type="dxa"/>
              <w:left w:w="108" w:type="dxa"/>
              <w:bottom w:w="0" w:type="dxa"/>
              <w:right w:w="108" w:type="dxa"/>
            </w:tcMar>
            <w:vAlign w:val="center"/>
            <w:hideMark/>
          </w:tcPr>
          <w:p w:rsidRPr="00016AD8" w:rsidR="00016AD8" w:rsidP="00016AD8" w:rsidRDefault="00016AD8" w14:paraId="132C12FC" w14:textId="77777777">
            <w:pPr>
              <w:adjustRightInd/>
              <w:textAlignment w:val="auto"/>
              <w:rPr>
                <w:color w:val="000000"/>
              </w:rPr>
            </w:pPr>
            <w:r w:rsidRPr="00016AD8">
              <w:rPr>
                <w:color w:val="000000"/>
              </w:rPr>
              <w:t>CEST/EA reviews</w:t>
            </w:r>
          </w:p>
        </w:tc>
        <w:tc>
          <w:tcPr>
            <w:tcW w:w="1378" w:type="dxa"/>
            <w:tcBorders>
              <w:top w:val="nil"/>
              <w:left w:val="nil"/>
              <w:bottom w:val="double" w:color="auto" w:sz="4" w:space="0"/>
              <w:right w:val="single" w:color="auto" w:sz="8" w:space="0"/>
            </w:tcBorders>
            <w:tcMar>
              <w:top w:w="0" w:type="dxa"/>
              <w:left w:w="108" w:type="dxa"/>
              <w:bottom w:w="0" w:type="dxa"/>
              <w:right w:w="108" w:type="dxa"/>
            </w:tcMar>
            <w:vAlign w:val="center"/>
            <w:hideMark/>
          </w:tcPr>
          <w:p w:rsidRPr="00016AD8" w:rsidR="00016AD8" w:rsidP="00016AD8" w:rsidRDefault="00016AD8" w14:paraId="1CE10F56" w14:textId="77777777">
            <w:pPr>
              <w:adjustRightInd/>
              <w:jc w:val="center"/>
              <w:textAlignment w:val="auto"/>
              <w:rPr>
                <w:color w:val="000000"/>
              </w:rPr>
            </w:pPr>
            <w:r w:rsidRPr="00016AD8">
              <w:rPr>
                <w:color w:val="000000"/>
              </w:rPr>
              <w:t>250</w:t>
            </w:r>
          </w:p>
        </w:tc>
        <w:tc>
          <w:tcPr>
            <w:tcW w:w="1127" w:type="dxa"/>
            <w:tcBorders>
              <w:top w:val="nil"/>
              <w:left w:val="nil"/>
              <w:bottom w:val="double" w:color="auto" w:sz="4" w:space="0"/>
              <w:right w:val="single" w:color="auto" w:sz="8" w:space="0"/>
            </w:tcBorders>
            <w:tcMar>
              <w:top w:w="0" w:type="dxa"/>
              <w:left w:w="108" w:type="dxa"/>
              <w:bottom w:w="0" w:type="dxa"/>
              <w:right w:w="108" w:type="dxa"/>
            </w:tcMar>
            <w:vAlign w:val="center"/>
            <w:hideMark/>
          </w:tcPr>
          <w:p w:rsidRPr="00016AD8" w:rsidR="00016AD8" w:rsidP="00016AD8" w:rsidRDefault="00016AD8" w14:paraId="01161C28" w14:textId="77777777">
            <w:pPr>
              <w:adjustRightInd/>
              <w:jc w:val="center"/>
              <w:textAlignment w:val="auto"/>
              <w:rPr>
                <w:color w:val="000000"/>
              </w:rPr>
            </w:pPr>
            <w:r w:rsidRPr="00016AD8">
              <w:rPr>
                <w:color w:val="000000"/>
              </w:rPr>
              <w:t>2.8</w:t>
            </w:r>
          </w:p>
        </w:tc>
        <w:tc>
          <w:tcPr>
            <w:tcW w:w="1164" w:type="dxa"/>
            <w:tcBorders>
              <w:top w:val="nil"/>
              <w:left w:val="nil"/>
              <w:bottom w:val="double" w:color="auto" w:sz="4" w:space="0"/>
              <w:right w:val="single" w:color="auto" w:sz="8" w:space="0"/>
            </w:tcBorders>
            <w:tcMar>
              <w:top w:w="0" w:type="dxa"/>
              <w:left w:w="108" w:type="dxa"/>
              <w:bottom w:w="0" w:type="dxa"/>
              <w:right w:w="108" w:type="dxa"/>
            </w:tcMar>
            <w:vAlign w:val="center"/>
            <w:hideMark/>
          </w:tcPr>
          <w:p w:rsidRPr="00016AD8" w:rsidR="00016AD8" w:rsidP="00016AD8" w:rsidRDefault="00016AD8" w14:paraId="4842C9B4" w14:textId="77777777">
            <w:pPr>
              <w:adjustRightInd/>
              <w:jc w:val="center"/>
              <w:textAlignment w:val="auto"/>
              <w:rPr>
                <w:color w:val="000000"/>
              </w:rPr>
            </w:pPr>
            <w:r w:rsidRPr="00016AD8">
              <w:rPr>
                <w:color w:val="000000"/>
              </w:rPr>
              <w:t>700</w:t>
            </w:r>
          </w:p>
        </w:tc>
        <w:tc>
          <w:tcPr>
            <w:tcW w:w="1080" w:type="dxa"/>
            <w:tcBorders>
              <w:top w:val="nil"/>
              <w:left w:val="nil"/>
              <w:bottom w:val="double" w:color="auto" w:sz="4" w:space="0"/>
              <w:right w:val="single" w:color="auto" w:sz="8" w:space="0"/>
            </w:tcBorders>
            <w:tcMar>
              <w:top w:w="0" w:type="dxa"/>
              <w:left w:w="108" w:type="dxa"/>
              <w:bottom w:w="0" w:type="dxa"/>
              <w:right w:w="108" w:type="dxa"/>
            </w:tcMar>
            <w:vAlign w:val="center"/>
            <w:hideMark/>
          </w:tcPr>
          <w:p w:rsidRPr="00016AD8" w:rsidR="00016AD8" w:rsidP="00016AD8" w:rsidRDefault="00016AD8" w14:paraId="4540C772" w14:textId="77777777">
            <w:pPr>
              <w:adjustRightInd/>
              <w:jc w:val="center"/>
              <w:textAlignment w:val="auto"/>
              <w:rPr>
                <w:color w:val="000000"/>
              </w:rPr>
            </w:pPr>
            <w:r w:rsidRPr="00016AD8">
              <w:rPr>
                <w:color w:val="000000"/>
              </w:rPr>
              <w:t>4</w:t>
            </w:r>
          </w:p>
        </w:tc>
        <w:tc>
          <w:tcPr>
            <w:tcW w:w="921" w:type="dxa"/>
            <w:tcBorders>
              <w:top w:val="nil"/>
              <w:left w:val="nil"/>
              <w:bottom w:val="double" w:color="auto" w:sz="4" w:space="0"/>
              <w:right w:val="single" w:color="auto" w:sz="8" w:space="0"/>
            </w:tcBorders>
            <w:tcMar>
              <w:top w:w="0" w:type="dxa"/>
              <w:left w:w="108" w:type="dxa"/>
              <w:bottom w:w="0" w:type="dxa"/>
              <w:right w:w="108" w:type="dxa"/>
            </w:tcMar>
            <w:vAlign w:val="center"/>
            <w:hideMark/>
          </w:tcPr>
          <w:p w:rsidRPr="00016AD8" w:rsidR="00016AD8" w:rsidP="00016AD8" w:rsidRDefault="00016AD8" w14:paraId="61304989" w14:textId="77777777">
            <w:pPr>
              <w:adjustRightInd/>
              <w:jc w:val="center"/>
              <w:textAlignment w:val="auto"/>
              <w:rPr>
                <w:color w:val="000000"/>
              </w:rPr>
            </w:pPr>
            <w:r w:rsidRPr="00016AD8">
              <w:rPr>
                <w:color w:val="000000"/>
              </w:rPr>
              <w:t>2,800</w:t>
            </w:r>
          </w:p>
        </w:tc>
        <w:tc>
          <w:tcPr>
            <w:tcW w:w="1080" w:type="dxa"/>
            <w:tcBorders>
              <w:top w:val="nil"/>
              <w:left w:val="nil"/>
              <w:bottom w:val="double" w:color="auto" w:sz="4" w:space="0"/>
              <w:right w:val="single" w:color="auto" w:sz="8" w:space="0"/>
            </w:tcBorders>
            <w:tcMar>
              <w:top w:w="0" w:type="dxa"/>
              <w:left w:w="108" w:type="dxa"/>
              <w:bottom w:w="0" w:type="dxa"/>
              <w:right w:w="108" w:type="dxa"/>
            </w:tcMar>
            <w:vAlign w:val="center"/>
            <w:hideMark/>
          </w:tcPr>
          <w:p w:rsidRPr="00016AD8" w:rsidR="00016AD8" w:rsidP="00016AD8" w:rsidRDefault="00016AD8" w14:paraId="148206E8" w14:textId="77777777">
            <w:pPr>
              <w:adjustRightInd/>
              <w:jc w:val="center"/>
              <w:textAlignment w:val="auto"/>
              <w:rPr>
                <w:color w:val="000000"/>
              </w:rPr>
            </w:pPr>
            <w:r w:rsidRPr="00016AD8">
              <w:rPr>
                <w:color w:val="000000"/>
              </w:rPr>
              <w:t>$36.50</w:t>
            </w:r>
          </w:p>
        </w:tc>
        <w:tc>
          <w:tcPr>
            <w:tcW w:w="1216" w:type="dxa"/>
            <w:tcBorders>
              <w:top w:val="nil"/>
              <w:left w:val="nil"/>
              <w:bottom w:val="double" w:color="auto" w:sz="4" w:space="0"/>
              <w:right w:val="single" w:color="auto" w:sz="8" w:space="0"/>
            </w:tcBorders>
            <w:tcMar>
              <w:top w:w="0" w:type="dxa"/>
              <w:left w:w="108" w:type="dxa"/>
              <w:bottom w:w="0" w:type="dxa"/>
              <w:right w:w="108" w:type="dxa"/>
            </w:tcMar>
            <w:vAlign w:val="center"/>
            <w:hideMark/>
          </w:tcPr>
          <w:p w:rsidRPr="00016AD8" w:rsidR="00016AD8" w:rsidP="00016AD8" w:rsidRDefault="00016AD8" w14:paraId="5B4FA89A" w14:textId="77777777">
            <w:pPr>
              <w:adjustRightInd/>
              <w:jc w:val="center"/>
              <w:textAlignment w:val="auto"/>
              <w:rPr>
                <w:color w:val="000000"/>
              </w:rPr>
            </w:pPr>
            <w:r w:rsidRPr="00016AD8">
              <w:rPr>
                <w:color w:val="000000"/>
              </w:rPr>
              <w:t>$102,200.00</w:t>
            </w:r>
          </w:p>
        </w:tc>
      </w:tr>
      <w:tr w:rsidRPr="00016AD8" w:rsidR="00016AD8" w:rsidTr="00F75E20" w14:paraId="5574BAA4" w14:textId="77777777">
        <w:trPr>
          <w:trHeight w:val="303"/>
        </w:trPr>
        <w:tc>
          <w:tcPr>
            <w:tcW w:w="1710" w:type="dxa"/>
            <w:tcBorders>
              <w:top w:val="doub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28EFA40B" w14:textId="77777777">
            <w:pPr>
              <w:adjustRightInd/>
              <w:textAlignment w:val="auto"/>
              <w:rPr>
                <w:b/>
                <w:bCs/>
                <w:color w:val="000000"/>
              </w:rPr>
            </w:pPr>
            <w:r w:rsidRPr="00016AD8">
              <w:rPr>
                <w:b/>
                <w:bCs/>
                <w:color w:val="000000"/>
              </w:rPr>
              <w:t>Total</w:t>
            </w:r>
          </w:p>
        </w:tc>
        <w:tc>
          <w:tcPr>
            <w:tcW w:w="1378"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0C74F019" w14:textId="77777777">
            <w:pPr>
              <w:adjustRightInd/>
              <w:jc w:val="center"/>
              <w:textAlignment w:val="auto"/>
              <w:rPr>
                <w:b/>
                <w:bCs/>
                <w:color w:val="000000"/>
              </w:rPr>
            </w:pPr>
            <w:r w:rsidRPr="00016AD8">
              <w:rPr>
                <w:b/>
                <w:bCs/>
                <w:color w:val="000000"/>
              </w:rPr>
              <w:t>500</w:t>
            </w:r>
          </w:p>
        </w:tc>
        <w:tc>
          <w:tcPr>
            <w:tcW w:w="1127"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7D2BA819" w14:textId="77777777">
            <w:pPr>
              <w:adjustRightInd/>
              <w:jc w:val="center"/>
              <w:textAlignment w:val="auto"/>
              <w:rPr>
                <w:b/>
                <w:bCs/>
                <w:color w:val="000000"/>
              </w:rPr>
            </w:pPr>
            <w:r w:rsidRPr="00016AD8">
              <w:rPr>
                <w:b/>
                <w:bCs/>
                <w:color w:val="000000"/>
              </w:rPr>
              <w:t>24.4</w:t>
            </w:r>
          </w:p>
        </w:tc>
        <w:tc>
          <w:tcPr>
            <w:tcW w:w="1164"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0EDCD00E" w14:textId="77777777">
            <w:pPr>
              <w:adjustRightInd/>
              <w:jc w:val="center"/>
              <w:textAlignment w:val="auto"/>
              <w:rPr>
                <w:b/>
                <w:bCs/>
                <w:color w:val="000000"/>
              </w:rPr>
            </w:pPr>
            <w:r w:rsidRPr="00016AD8">
              <w:rPr>
                <w:b/>
                <w:bCs/>
                <w:color w:val="000000"/>
              </w:rPr>
              <w:t>12,200</w:t>
            </w:r>
          </w:p>
        </w:tc>
        <w:tc>
          <w:tcPr>
            <w:tcW w:w="1080"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48265E0F" w14:textId="77777777">
            <w:pPr>
              <w:adjustRightInd/>
              <w:jc w:val="center"/>
              <w:textAlignment w:val="auto"/>
              <w:rPr>
                <w:b/>
                <w:bCs/>
                <w:color w:val="000000"/>
              </w:rPr>
            </w:pPr>
            <w:r w:rsidRPr="00016AD8">
              <w:rPr>
                <w:b/>
                <w:bCs/>
                <w:color w:val="000000"/>
              </w:rPr>
              <w:t>varies</w:t>
            </w:r>
          </w:p>
        </w:tc>
        <w:tc>
          <w:tcPr>
            <w:tcW w:w="921"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02F34F67" w14:textId="77777777">
            <w:pPr>
              <w:adjustRightInd/>
              <w:jc w:val="center"/>
              <w:textAlignment w:val="auto"/>
              <w:rPr>
                <w:b/>
                <w:bCs/>
                <w:color w:val="000000"/>
              </w:rPr>
            </w:pPr>
            <w:r w:rsidRPr="00016AD8">
              <w:rPr>
                <w:b/>
                <w:bCs/>
                <w:color w:val="000000"/>
              </w:rPr>
              <w:t>16,425</w:t>
            </w:r>
          </w:p>
        </w:tc>
        <w:tc>
          <w:tcPr>
            <w:tcW w:w="1080"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4B39CFC0" w14:textId="77777777">
            <w:pPr>
              <w:adjustRightInd/>
              <w:jc w:val="center"/>
              <w:textAlignment w:val="auto"/>
              <w:rPr>
                <w:b/>
                <w:bCs/>
                <w:color w:val="000000"/>
              </w:rPr>
            </w:pPr>
            <w:r w:rsidRPr="00016AD8">
              <w:rPr>
                <w:b/>
                <w:bCs/>
                <w:color w:val="000000"/>
              </w:rPr>
              <w:t>$36.50</w:t>
            </w:r>
          </w:p>
        </w:tc>
        <w:tc>
          <w:tcPr>
            <w:tcW w:w="1216"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016AD8" w:rsidR="00016AD8" w:rsidP="00016AD8" w:rsidRDefault="00016AD8" w14:paraId="03E3CE79" w14:textId="77777777">
            <w:pPr>
              <w:adjustRightInd/>
              <w:jc w:val="center"/>
              <w:textAlignment w:val="auto"/>
              <w:rPr>
                <w:b/>
                <w:bCs/>
                <w:color w:val="000000"/>
              </w:rPr>
            </w:pPr>
            <w:r w:rsidRPr="00016AD8">
              <w:rPr>
                <w:b/>
                <w:bCs/>
                <w:color w:val="000000"/>
              </w:rPr>
              <w:t>$599,512.50</w:t>
            </w:r>
          </w:p>
        </w:tc>
      </w:tr>
    </w:tbl>
    <w:p w:rsidRPr="00616FC6" w:rsidR="00167E53" w:rsidP="00616FC6" w:rsidRDefault="00167E53" w14:paraId="7A2918BD" w14:textId="77777777">
      <w:pPr>
        <w:adjustRightInd/>
        <w:textAlignment w:val="auto"/>
        <w:rPr>
          <w:b/>
          <w:bCs/>
          <w:color w:val="000000"/>
        </w:rPr>
      </w:pPr>
    </w:p>
    <w:p w:rsidR="0030283E" w:rsidP="0030283E" w:rsidRDefault="0030283E" w14:paraId="15A711D5" w14:textId="77777777">
      <w:pPr>
        <w:keepLines/>
        <w:tabs>
          <w:tab w:val="left" w:pos="360"/>
          <w:tab w:val="left" w:pos="720"/>
          <w:tab w:val="center" w:pos="1680"/>
          <w:tab w:val="center" w:pos="3120"/>
          <w:tab w:val="center" w:pos="4560"/>
          <w:tab w:val="center" w:pos="6000"/>
          <w:tab w:val="center" w:pos="7440"/>
          <w:tab w:val="center" w:pos="8880"/>
        </w:tabs>
        <w:ind w:left="360"/>
        <w:rPr>
          <w:color w:val="000000"/>
          <w:sz w:val="24"/>
          <w:szCs w:val="24"/>
        </w:rPr>
      </w:pPr>
      <w:r>
        <w:rPr>
          <w:color w:val="000000"/>
          <w:sz w:val="24"/>
          <w:szCs w:val="24"/>
        </w:rPr>
        <w:t>Average hours per response varies substantially depending on level of review. Reviews that are exempt or Categorically Excluded Not Subject To the related laws and authorities (CENST) take roughly 45 minutes to complete. Reviews that are Categorically Excluded Subject To the related laws (CEST) or require an Environmental Assessment (EA) take an average of 4 hours to complete.</w:t>
      </w:r>
      <w:r w:rsidR="00616FC6">
        <w:rPr>
          <w:color w:val="000000"/>
          <w:sz w:val="24"/>
          <w:szCs w:val="24"/>
        </w:rPr>
        <w:t xml:space="preserve"> Some CEST reviews “convert to exempt,” and require roughly 2 hours to complete. </w:t>
      </w:r>
    </w:p>
    <w:p w:rsidR="0030283E" w:rsidP="0030283E" w:rsidRDefault="0030283E" w14:paraId="4563E5EE" w14:textId="77777777">
      <w:pPr>
        <w:keepLines/>
        <w:tabs>
          <w:tab w:val="left" w:pos="360"/>
          <w:tab w:val="left" w:pos="720"/>
          <w:tab w:val="center" w:pos="1680"/>
          <w:tab w:val="center" w:pos="3120"/>
          <w:tab w:val="center" w:pos="4560"/>
          <w:tab w:val="center" w:pos="6000"/>
          <w:tab w:val="center" w:pos="7440"/>
          <w:tab w:val="center" w:pos="8880"/>
        </w:tabs>
        <w:ind w:left="720"/>
        <w:rPr>
          <w:color w:val="000000"/>
          <w:sz w:val="24"/>
          <w:szCs w:val="24"/>
        </w:rPr>
      </w:pPr>
    </w:p>
    <w:p w:rsidR="0030283E" w:rsidP="0030283E" w:rsidRDefault="0030283E" w14:paraId="2478B53A" w14:textId="77777777">
      <w:pPr>
        <w:keepLines/>
        <w:ind w:left="360"/>
        <w:rPr>
          <w:sz w:val="24"/>
          <w:szCs w:val="24"/>
        </w:rPr>
      </w:pPr>
      <w:r w:rsidRPr="005C12BE">
        <w:rPr>
          <w:sz w:val="24"/>
          <w:szCs w:val="24"/>
        </w:rPr>
        <w:t xml:space="preserve">HUD grants cover all eligible costs including staff work. Hourly cost per response based on hourly mean wage of urban planners working for local government (Bureau of Labor Statistics, </w:t>
      </w:r>
      <w:hyperlink w:history="1" r:id="rId7">
        <w:r w:rsidRPr="00383728">
          <w:rPr>
            <w:rStyle w:val="Hyperlink"/>
            <w:sz w:val="24"/>
            <w:szCs w:val="24"/>
          </w:rPr>
          <w:t>https://www.bls.gov/oes/current/oes193051.h</w:t>
        </w:r>
        <w:r w:rsidRPr="00383728">
          <w:rPr>
            <w:rStyle w:val="Hyperlink"/>
            <w:sz w:val="24"/>
            <w:szCs w:val="24"/>
          </w:rPr>
          <w:t>t</w:t>
        </w:r>
        <w:r w:rsidRPr="00383728">
          <w:rPr>
            <w:rStyle w:val="Hyperlink"/>
            <w:sz w:val="24"/>
            <w:szCs w:val="24"/>
          </w:rPr>
          <w:t>m</w:t>
        </w:r>
      </w:hyperlink>
      <w:r w:rsidRPr="005C12BE">
        <w:rPr>
          <w:sz w:val="24"/>
          <w:szCs w:val="24"/>
        </w:rPr>
        <w:t>).</w:t>
      </w:r>
    </w:p>
    <w:p w:rsidR="0030283E" w:rsidP="0030283E" w:rsidRDefault="0030283E" w14:paraId="45CD3CC6" w14:textId="77777777">
      <w:pPr>
        <w:keepLines/>
        <w:tabs>
          <w:tab w:val="left" w:pos="360"/>
          <w:tab w:val="left" w:pos="720"/>
          <w:tab w:val="center" w:pos="1680"/>
          <w:tab w:val="center" w:pos="3120"/>
          <w:tab w:val="center" w:pos="4560"/>
          <w:tab w:val="center" w:pos="6000"/>
          <w:tab w:val="center" w:pos="7440"/>
          <w:tab w:val="center" w:pos="8880"/>
        </w:tabs>
        <w:ind w:left="720"/>
        <w:rPr>
          <w:sz w:val="24"/>
          <w:szCs w:val="24"/>
        </w:rPr>
      </w:pPr>
    </w:p>
    <w:p w:rsidR="0030283E" w:rsidP="0030283E" w:rsidRDefault="0030283E" w14:paraId="6DA15570" w14:textId="77777777">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724A14">
        <w:rPr>
          <w:sz w:val="24"/>
          <w:szCs w:val="24"/>
        </w:rPr>
        <w:t xml:space="preserve">Number of respondents/responses per annum based on the number of reviews </w:t>
      </w:r>
      <w:r w:rsidRPr="00724A14" w:rsidR="00724A14">
        <w:rPr>
          <w:sz w:val="24"/>
          <w:szCs w:val="24"/>
        </w:rPr>
        <w:t>completed using</w:t>
      </w:r>
      <w:r w:rsidRPr="00724A14">
        <w:rPr>
          <w:sz w:val="24"/>
          <w:szCs w:val="24"/>
        </w:rPr>
        <w:t xml:space="preserve"> HEROS </w:t>
      </w:r>
      <w:r w:rsidRPr="00724A14" w:rsidR="00724A14">
        <w:rPr>
          <w:sz w:val="24"/>
          <w:szCs w:val="24"/>
        </w:rPr>
        <w:t>in Fiscal Year 2020.</w:t>
      </w:r>
    </w:p>
    <w:p w:rsidRPr="006C7FAE" w:rsidR="0030283E" w:rsidP="00167E53" w:rsidRDefault="0030283E" w14:paraId="61579DE6"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79517644"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4532F641"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4F1DF6A7"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C7FAE" w:rsidR="009E13B1" w:rsidRDefault="009E13B1" w14:paraId="4B8C32BE"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67B95" w:rsidR="0030283E" w:rsidP="0030283E" w:rsidRDefault="0030283E" w14:paraId="5C838733" w14:textId="77777777">
      <w:pPr>
        <w:pStyle w:val="BodyText2"/>
        <w:tabs>
          <w:tab w:val="left" w:pos="360"/>
        </w:tabs>
        <w:spacing w:before="240" w:after="0" w:line="240" w:lineRule="auto"/>
        <w:ind w:left="360"/>
        <w:rPr>
          <w:sz w:val="24"/>
          <w:szCs w:val="24"/>
        </w:rPr>
      </w:pPr>
      <w:r w:rsidRPr="00E470E4">
        <w:rPr>
          <w:sz w:val="24"/>
          <w:szCs w:val="24"/>
        </w:rPr>
        <w:t xml:space="preserve">This is not applicable for these reasons: (1) generally the above listed items do not apply to this information collection; and (2) maintaining a copy of the environmental review record as part of the recipient’s environmental review is a nominal part of project costs which are eligible for reimbursement under the HUD grant. </w:t>
      </w:r>
    </w:p>
    <w:p w:rsidRPr="006C7FAE" w:rsidR="009E13B1" w:rsidRDefault="009E13B1" w14:paraId="3CE6AA1C" w14:textId="77777777">
      <w:pPr>
        <w:keepLines/>
        <w:tabs>
          <w:tab w:val="left" w:pos="360"/>
          <w:tab w:val="left" w:pos="720"/>
        </w:tabs>
        <w:ind w:left="360"/>
        <w:rPr>
          <w:sz w:val="24"/>
          <w:szCs w:val="24"/>
        </w:rPr>
      </w:pPr>
    </w:p>
    <w:p w:rsidRPr="006C7FAE" w:rsidR="009E13B1" w:rsidRDefault="009E13B1" w14:paraId="7818D44D"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P="00167E53" w:rsidRDefault="00167E53" w14:paraId="6B958FE5" w14:textId="77777777">
      <w:pPr>
        <w:overflowPunct/>
        <w:autoSpaceDE/>
        <w:autoSpaceDN/>
        <w:adjustRightInd/>
        <w:spacing w:after="80"/>
        <w:ind w:left="360"/>
        <w:textAlignment w:val="auto"/>
        <w:rPr>
          <w:rFonts w:eastAsia="Calibri"/>
          <w:color w:val="000000"/>
        </w:rPr>
      </w:pPr>
    </w:p>
    <w:tbl>
      <w:tblPr>
        <w:tblW w:w="0" w:type="auto"/>
        <w:tblInd w:w="588" w:type="dxa"/>
        <w:tblLayout w:type="fixed"/>
        <w:tblCellMar>
          <w:left w:w="0" w:type="dxa"/>
          <w:right w:w="0" w:type="dxa"/>
        </w:tblCellMar>
        <w:tblLook w:val="04A0" w:firstRow="1" w:lastRow="0" w:firstColumn="1" w:lastColumn="0" w:noHBand="0" w:noVBand="1"/>
      </w:tblPr>
      <w:tblGrid>
        <w:gridCol w:w="1590"/>
        <w:gridCol w:w="1350"/>
        <w:gridCol w:w="1127"/>
        <w:gridCol w:w="1164"/>
        <w:gridCol w:w="1080"/>
        <w:gridCol w:w="921"/>
        <w:gridCol w:w="1080"/>
        <w:gridCol w:w="1216"/>
      </w:tblGrid>
      <w:tr w:rsidRPr="006C7FAE" w:rsidR="00016AD8" w:rsidTr="00F75E20" w14:paraId="66D84B02" w14:textId="77777777">
        <w:tc>
          <w:tcPr>
            <w:tcW w:w="15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016AD8" w:rsidP="000D0C1D" w:rsidRDefault="00016AD8" w14:paraId="63BE4331"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016AD8" w:rsidP="000D0C1D" w:rsidRDefault="00016AD8" w14:paraId="1524AA83"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016AD8" w:rsidP="000D0C1D" w:rsidRDefault="00016AD8" w14:paraId="3AAE12CC"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016AD8" w:rsidP="000D0C1D" w:rsidRDefault="00016AD8" w14:paraId="4313E038"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016AD8" w:rsidP="000D0C1D" w:rsidRDefault="00016AD8" w14:paraId="6C8DA274" w14:textId="77777777">
            <w:pPr>
              <w:adjustRightInd/>
              <w:jc w:val="center"/>
              <w:textAlignment w:val="auto"/>
              <w:rPr>
                <w:rFonts w:eastAsia="Calibri"/>
                <w:b/>
                <w:bCs/>
                <w:color w:val="000000"/>
              </w:rPr>
            </w:pPr>
            <w:r w:rsidRPr="006C7FAE">
              <w:rPr>
                <w:rFonts w:eastAsia="Calibri"/>
                <w:b/>
                <w:bCs/>
                <w:color w:val="000000"/>
              </w:rPr>
              <w:t>Per Annum</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016AD8" w:rsidP="000D0C1D" w:rsidRDefault="00016AD8" w14:paraId="109E1B61"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016AD8" w:rsidP="000D0C1D" w:rsidRDefault="00016AD8" w14:paraId="1C8D069F" w14:textId="77777777">
            <w:pPr>
              <w:adjustRightInd/>
              <w:jc w:val="center"/>
              <w:textAlignment w:val="auto"/>
              <w:rPr>
                <w:rFonts w:eastAsia="Calibri"/>
                <w:b/>
                <w:bCs/>
                <w:color w:val="000000"/>
              </w:rPr>
            </w:pPr>
            <w:r w:rsidRPr="006C7FAE">
              <w:rPr>
                <w:rFonts w:eastAsia="Calibri"/>
                <w:b/>
                <w:bCs/>
                <w:color w:val="000000"/>
              </w:rPr>
              <w:t>Annual Burden Hours</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016AD8" w:rsidP="000D0C1D" w:rsidRDefault="00016AD8" w14:paraId="6943C5F2"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21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016AD8" w:rsidP="000D0C1D" w:rsidRDefault="00016AD8" w14:paraId="680DB9FD"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016AD8" w:rsidP="000D0C1D" w:rsidRDefault="00016AD8" w14:paraId="71A52062" w14:textId="77777777">
            <w:pPr>
              <w:adjustRightInd/>
              <w:jc w:val="center"/>
              <w:textAlignment w:val="auto"/>
              <w:rPr>
                <w:rFonts w:eastAsia="Calibri"/>
                <w:b/>
                <w:bCs/>
                <w:color w:val="000000"/>
              </w:rPr>
            </w:pPr>
          </w:p>
        </w:tc>
      </w:tr>
      <w:tr w:rsidRPr="006C7FAE" w:rsidR="00016AD8" w:rsidTr="00F75E20" w14:paraId="1CE363A3" w14:textId="77777777">
        <w:tc>
          <w:tcPr>
            <w:tcW w:w="15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6C7FAE" w:rsidR="00016AD8" w:rsidP="000D0C1D" w:rsidRDefault="00016AD8" w14:paraId="12C26BDD" w14:textId="77777777">
            <w:pPr>
              <w:adjustRightInd/>
              <w:textAlignment w:val="auto"/>
              <w:rPr>
                <w:rFonts w:eastAsia="Calibri"/>
                <w:b/>
                <w:bCs/>
                <w:color w:val="000000"/>
              </w:rPr>
            </w:pPr>
            <w:r>
              <w:rPr>
                <w:bCs/>
                <w:color w:val="000000"/>
              </w:rPr>
              <w:t>Exempt/ CENST reviews</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C7FAE" w:rsidR="00016AD8" w:rsidP="000D0C1D" w:rsidRDefault="00016AD8" w14:paraId="47B0B27C" w14:textId="77777777">
            <w:pPr>
              <w:adjustRightInd/>
              <w:jc w:val="center"/>
              <w:textAlignment w:val="auto"/>
              <w:rPr>
                <w:rFonts w:eastAsia="Calibri"/>
                <w:b/>
                <w:bCs/>
                <w:color w:val="000000"/>
              </w:rPr>
            </w:pPr>
            <w:r>
              <w:rPr>
                <w:bCs/>
                <w:color w:val="000000"/>
              </w:rPr>
              <w:t>500</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center"/>
          </w:tcPr>
          <w:p w:rsidRPr="006C7FAE" w:rsidR="00016AD8" w:rsidP="000D0C1D" w:rsidRDefault="00016AD8" w14:paraId="60BC1789" w14:textId="77777777">
            <w:pPr>
              <w:adjustRightInd/>
              <w:jc w:val="center"/>
              <w:textAlignment w:val="auto"/>
              <w:rPr>
                <w:rFonts w:eastAsia="Calibri"/>
                <w:b/>
                <w:bCs/>
                <w:color w:val="000000"/>
              </w:rPr>
            </w:pPr>
            <w:r>
              <w:rPr>
                <w:rFonts w:eastAsia="Calibri"/>
                <w:color w:val="000000"/>
              </w:rPr>
              <w:t>15</w:t>
            </w: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rsidRPr="006C7FAE" w:rsidR="00016AD8" w:rsidP="000D0C1D" w:rsidRDefault="00016AD8" w14:paraId="2ADFD077" w14:textId="77777777">
            <w:pPr>
              <w:adjustRightInd/>
              <w:jc w:val="center"/>
              <w:textAlignment w:val="auto"/>
              <w:rPr>
                <w:rFonts w:eastAsia="Calibri"/>
                <w:b/>
                <w:bCs/>
                <w:color w:val="000000"/>
              </w:rPr>
            </w:pPr>
            <w:r>
              <w:rPr>
                <w:rFonts w:eastAsia="Calibri"/>
                <w:bCs/>
                <w:color w:val="000000"/>
              </w:rPr>
              <w:t>7,500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C7FAE" w:rsidR="00016AD8" w:rsidP="000D0C1D" w:rsidRDefault="00016AD8" w14:paraId="674D3C12" w14:textId="77777777">
            <w:pPr>
              <w:adjustRightInd/>
              <w:jc w:val="center"/>
              <w:textAlignment w:val="auto"/>
              <w:rPr>
                <w:rFonts w:eastAsia="Calibri"/>
                <w:b/>
                <w:bCs/>
                <w:color w:val="000000"/>
              </w:rPr>
            </w:pPr>
            <w:r>
              <w:rPr>
                <w:rFonts w:eastAsia="Calibri"/>
                <w:bCs/>
                <w:color w:val="000000"/>
              </w:rPr>
              <w:t>0.75</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6C7FAE" w:rsidR="00016AD8" w:rsidP="000D0C1D" w:rsidRDefault="00016AD8" w14:paraId="19066C63" w14:textId="77777777">
            <w:pPr>
              <w:adjustRightInd/>
              <w:jc w:val="center"/>
              <w:textAlignment w:val="auto"/>
              <w:rPr>
                <w:rFonts w:eastAsia="Calibri"/>
                <w:b/>
                <w:bCs/>
                <w:color w:val="000000"/>
              </w:rPr>
            </w:pPr>
            <w:r>
              <w:rPr>
                <w:rFonts w:eastAsia="Calibri"/>
                <w:color w:val="000000"/>
              </w:rPr>
              <w:t>5,625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30283E" w:rsidR="00016AD8" w:rsidP="000D0C1D" w:rsidRDefault="00016AD8" w14:paraId="2678D062" w14:textId="77777777">
            <w:pPr>
              <w:adjustRightInd/>
              <w:jc w:val="center"/>
              <w:textAlignment w:val="auto"/>
              <w:rPr>
                <w:rFonts w:eastAsia="Calibri"/>
                <w:b/>
                <w:bCs/>
                <w:color w:val="000000"/>
                <w:highlight w:val="yellow"/>
              </w:rPr>
            </w:pPr>
            <w:r>
              <w:rPr>
                <w:rFonts w:eastAsia="Calibri"/>
                <w:bCs/>
                <w:color w:val="000000"/>
              </w:rPr>
              <w:t>$36.50</w:t>
            </w:r>
          </w:p>
        </w:tc>
        <w:tc>
          <w:tcPr>
            <w:tcW w:w="1216" w:type="dxa"/>
            <w:tcBorders>
              <w:top w:val="nil"/>
              <w:left w:val="nil"/>
              <w:bottom w:val="single" w:color="auto" w:sz="8" w:space="0"/>
              <w:right w:val="single" w:color="auto" w:sz="8" w:space="0"/>
            </w:tcBorders>
            <w:tcMar>
              <w:top w:w="0" w:type="dxa"/>
              <w:left w:w="108" w:type="dxa"/>
              <w:bottom w:w="0" w:type="dxa"/>
              <w:right w:w="108" w:type="dxa"/>
            </w:tcMar>
            <w:vAlign w:val="center"/>
          </w:tcPr>
          <w:p w:rsidRPr="006C7FAE" w:rsidR="00016AD8" w:rsidP="000D0C1D" w:rsidRDefault="00016AD8" w14:paraId="03DEFED8" w14:textId="77777777">
            <w:pPr>
              <w:adjustRightInd/>
              <w:jc w:val="center"/>
              <w:textAlignment w:val="auto"/>
              <w:rPr>
                <w:rFonts w:eastAsia="Calibri"/>
                <w:b/>
                <w:bCs/>
                <w:color w:val="000000"/>
              </w:rPr>
            </w:pPr>
            <w:r>
              <w:rPr>
                <w:rFonts w:eastAsia="Calibri"/>
                <w:bCs/>
                <w:color w:val="000000"/>
              </w:rPr>
              <w:t>$205,312.50</w:t>
            </w:r>
          </w:p>
        </w:tc>
      </w:tr>
      <w:tr w:rsidRPr="006C7FAE" w:rsidR="00016AD8" w:rsidTr="00F75E20" w14:paraId="3E2E9001" w14:textId="77777777">
        <w:tc>
          <w:tcPr>
            <w:tcW w:w="15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D978AC" w:rsidR="00016AD8" w:rsidP="000D0C1D" w:rsidRDefault="00016AD8" w14:paraId="5A721C69" w14:textId="77777777">
            <w:pPr>
              <w:adjustRightInd/>
              <w:textAlignment w:val="auto"/>
              <w:rPr>
                <w:bCs/>
                <w:color w:val="000000"/>
              </w:rPr>
            </w:pPr>
            <w:r>
              <w:rPr>
                <w:color w:val="000000"/>
              </w:rPr>
              <w:t>Reviews that convert to exempt</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D978AC" w:rsidR="00016AD8" w:rsidP="000D0C1D" w:rsidRDefault="00016AD8" w14:paraId="66B8CAD3" w14:textId="77777777">
            <w:pPr>
              <w:adjustRightInd/>
              <w:jc w:val="center"/>
              <w:textAlignment w:val="auto"/>
              <w:rPr>
                <w:bCs/>
                <w:color w:val="000000"/>
              </w:rPr>
            </w:pPr>
            <w:r>
              <w:rPr>
                <w:color w:val="000000"/>
              </w:rPr>
              <w:t>500</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center"/>
          </w:tcPr>
          <w:p w:rsidRPr="00D978AC" w:rsidR="00016AD8" w:rsidP="000D0C1D" w:rsidRDefault="00016AD8" w14:paraId="5A49E2F5" w14:textId="77777777">
            <w:pPr>
              <w:adjustRightInd/>
              <w:jc w:val="center"/>
              <w:textAlignment w:val="auto"/>
              <w:rPr>
                <w:rFonts w:eastAsia="Calibri"/>
                <w:bCs/>
                <w:color w:val="000000"/>
              </w:rPr>
            </w:pPr>
            <w:r>
              <w:rPr>
                <w:color w:val="000000"/>
              </w:rPr>
              <w:t>8</w:t>
            </w: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rsidRPr="00D978AC" w:rsidR="00016AD8" w:rsidP="000D0C1D" w:rsidRDefault="00016AD8" w14:paraId="5F94B6D4" w14:textId="77777777">
            <w:pPr>
              <w:adjustRightInd/>
              <w:jc w:val="center"/>
              <w:textAlignment w:val="auto"/>
              <w:rPr>
                <w:rFonts w:eastAsia="Calibri"/>
                <w:bCs/>
                <w:color w:val="000000"/>
              </w:rPr>
            </w:pPr>
            <w:r>
              <w:rPr>
                <w:color w:val="000000"/>
              </w:rPr>
              <w:t>4,000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rsidR="00016AD8" w:rsidP="000D0C1D" w:rsidRDefault="00016AD8" w14:paraId="6736DD72" w14:textId="77777777">
            <w:pPr>
              <w:adjustRightInd/>
              <w:jc w:val="center"/>
              <w:textAlignment w:val="auto"/>
              <w:rPr>
                <w:rFonts w:eastAsia="Calibri"/>
                <w:bCs/>
                <w:color w:val="000000"/>
              </w:rPr>
            </w:pPr>
            <w:r>
              <w:rPr>
                <w:color w:val="000000"/>
              </w:rPr>
              <w:t>2</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rsidRPr="00D978AC" w:rsidR="00016AD8" w:rsidP="000D0C1D" w:rsidRDefault="00016AD8" w14:paraId="3EDA56F9" w14:textId="77777777">
            <w:pPr>
              <w:adjustRightInd/>
              <w:jc w:val="center"/>
              <w:textAlignment w:val="auto"/>
              <w:rPr>
                <w:rFonts w:eastAsia="Calibri"/>
                <w:bCs/>
                <w:color w:val="000000"/>
              </w:rPr>
            </w:pPr>
            <w:r>
              <w:rPr>
                <w:color w:val="000000"/>
              </w:rPr>
              <w:t>8,000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rsidR="00016AD8" w:rsidP="000D0C1D" w:rsidRDefault="00016AD8" w14:paraId="59477243" w14:textId="77777777">
            <w:pPr>
              <w:adjustRightInd/>
              <w:jc w:val="center"/>
              <w:textAlignment w:val="auto"/>
              <w:rPr>
                <w:rFonts w:eastAsia="Calibri"/>
                <w:bCs/>
                <w:color w:val="000000"/>
              </w:rPr>
            </w:pPr>
            <w:r>
              <w:rPr>
                <w:rFonts w:eastAsia="Calibri"/>
                <w:bCs/>
                <w:color w:val="000000"/>
              </w:rPr>
              <w:t>$36.50</w:t>
            </w:r>
          </w:p>
        </w:tc>
        <w:tc>
          <w:tcPr>
            <w:tcW w:w="1216" w:type="dxa"/>
            <w:tcBorders>
              <w:top w:val="nil"/>
              <w:left w:val="nil"/>
              <w:bottom w:val="single" w:color="auto" w:sz="8" w:space="0"/>
              <w:right w:val="single" w:color="auto" w:sz="8" w:space="0"/>
            </w:tcBorders>
            <w:tcMar>
              <w:top w:w="0" w:type="dxa"/>
              <w:left w:w="108" w:type="dxa"/>
              <w:bottom w:w="0" w:type="dxa"/>
              <w:right w:w="108" w:type="dxa"/>
            </w:tcMar>
            <w:vAlign w:val="center"/>
          </w:tcPr>
          <w:p w:rsidR="00016AD8" w:rsidP="000D0C1D" w:rsidRDefault="00016AD8" w14:paraId="24F74C15" w14:textId="77777777">
            <w:pPr>
              <w:adjustRightInd/>
              <w:jc w:val="center"/>
              <w:textAlignment w:val="auto"/>
              <w:rPr>
                <w:rFonts w:eastAsia="Calibri"/>
                <w:bCs/>
                <w:color w:val="000000"/>
              </w:rPr>
            </w:pPr>
            <w:r>
              <w:rPr>
                <w:color w:val="000000"/>
              </w:rPr>
              <w:t>$292,000.00</w:t>
            </w:r>
          </w:p>
        </w:tc>
      </w:tr>
      <w:tr w:rsidRPr="00616FC6" w:rsidR="00016AD8" w:rsidTr="00F75E20" w14:paraId="11608C84" w14:textId="77777777">
        <w:tc>
          <w:tcPr>
            <w:tcW w:w="1590" w:type="dxa"/>
            <w:tcBorders>
              <w:top w:val="nil"/>
              <w:left w:val="single" w:color="auto" w:sz="8" w:space="0"/>
              <w:bottom w:val="double" w:color="auto" w:sz="4" w:space="0"/>
              <w:right w:val="single" w:color="auto" w:sz="8" w:space="0"/>
            </w:tcBorders>
            <w:tcMar>
              <w:top w:w="0" w:type="dxa"/>
              <w:left w:w="108" w:type="dxa"/>
              <w:bottom w:w="0" w:type="dxa"/>
              <w:right w:w="108" w:type="dxa"/>
            </w:tcMar>
            <w:vAlign w:val="center"/>
          </w:tcPr>
          <w:p w:rsidRPr="00616FC6" w:rsidR="00016AD8" w:rsidP="000D0C1D" w:rsidRDefault="00016AD8" w14:paraId="1B57500E" w14:textId="77777777">
            <w:pPr>
              <w:adjustRightInd/>
              <w:textAlignment w:val="auto"/>
              <w:rPr>
                <w:color w:val="000000"/>
              </w:rPr>
            </w:pPr>
            <w:r w:rsidRPr="00616FC6">
              <w:rPr>
                <w:color w:val="000000"/>
              </w:rPr>
              <w:t>CEST/EA reviews</w:t>
            </w:r>
          </w:p>
        </w:tc>
        <w:tc>
          <w:tcPr>
            <w:tcW w:w="1350" w:type="dxa"/>
            <w:tcBorders>
              <w:top w:val="nil"/>
              <w:left w:val="nil"/>
              <w:bottom w:val="double" w:color="auto" w:sz="4" w:space="0"/>
              <w:right w:val="single" w:color="auto" w:sz="8" w:space="0"/>
            </w:tcBorders>
            <w:tcMar>
              <w:top w:w="0" w:type="dxa"/>
              <w:left w:w="108" w:type="dxa"/>
              <w:bottom w:w="0" w:type="dxa"/>
              <w:right w:w="108" w:type="dxa"/>
            </w:tcMar>
            <w:vAlign w:val="center"/>
          </w:tcPr>
          <w:p w:rsidRPr="00616FC6" w:rsidR="00016AD8" w:rsidP="000D0C1D" w:rsidRDefault="00016AD8" w14:paraId="7FA6ECD1" w14:textId="77777777">
            <w:pPr>
              <w:adjustRightInd/>
              <w:jc w:val="center"/>
              <w:textAlignment w:val="auto"/>
              <w:rPr>
                <w:color w:val="000000"/>
              </w:rPr>
            </w:pPr>
            <w:r w:rsidRPr="00616FC6">
              <w:rPr>
                <w:color w:val="000000"/>
              </w:rPr>
              <w:t>250</w:t>
            </w:r>
          </w:p>
        </w:tc>
        <w:tc>
          <w:tcPr>
            <w:tcW w:w="1127" w:type="dxa"/>
            <w:tcBorders>
              <w:top w:val="nil"/>
              <w:left w:val="nil"/>
              <w:bottom w:val="double" w:color="auto" w:sz="4" w:space="0"/>
              <w:right w:val="single" w:color="auto" w:sz="8" w:space="0"/>
            </w:tcBorders>
            <w:tcMar>
              <w:top w:w="0" w:type="dxa"/>
              <w:left w:w="108" w:type="dxa"/>
              <w:bottom w:w="0" w:type="dxa"/>
              <w:right w:w="108" w:type="dxa"/>
            </w:tcMar>
            <w:vAlign w:val="center"/>
          </w:tcPr>
          <w:p w:rsidRPr="00616FC6" w:rsidR="00016AD8" w:rsidP="000D0C1D" w:rsidRDefault="00016AD8" w14:paraId="41D815EC" w14:textId="77777777">
            <w:pPr>
              <w:adjustRightInd/>
              <w:jc w:val="center"/>
              <w:textAlignment w:val="auto"/>
              <w:rPr>
                <w:color w:val="000000"/>
              </w:rPr>
            </w:pPr>
            <w:r w:rsidRPr="00616FC6">
              <w:rPr>
                <w:color w:val="000000"/>
              </w:rPr>
              <w:t>2.8</w:t>
            </w:r>
          </w:p>
        </w:tc>
        <w:tc>
          <w:tcPr>
            <w:tcW w:w="1164" w:type="dxa"/>
            <w:tcBorders>
              <w:top w:val="nil"/>
              <w:left w:val="nil"/>
              <w:bottom w:val="double" w:color="auto" w:sz="4" w:space="0"/>
              <w:right w:val="single" w:color="auto" w:sz="8" w:space="0"/>
            </w:tcBorders>
            <w:tcMar>
              <w:top w:w="0" w:type="dxa"/>
              <w:left w:w="108" w:type="dxa"/>
              <w:bottom w:w="0" w:type="dxa"/>
              <w:right w:w="108" w:type="dxa"/>
            </w:tcMar>
            <w:vAlign w:val="center"/>
          </w:tcPr>
          <w:p w:rsidRPr="00616FC6" w:rsidR="00016AD8" w:rsidP="000D0C1D" w:rsidRDefault="00016AD8" w14:paraId="19CDCC4A" w14:textId="77777777">
            <w:pPr>
              <w:adjustRightInd/>
              <w:jc w:val="center"/>
              <w:textAlignment w:val="auto"/>
              <w:rPr>
                <w:color w:val="000000"/>
              </w:rPr>
            </w:pPr>
            <w:r w:rsidRPr="00616FC6">
              <w:rPr>
                <w:color w:val="000000"/>
              </w:rPr>
              <w:t>700</w:t>
            </w:r>
          </w:p>
        </w:tc>
        <w:tc>
          <w:tcPr>
            <w:tcW w:w="1080" w:type="dxa"/>
            <w:tcBorders>
              <w:top w:val="nil"/>
              <w:left w:val="nil"/>
              <w:bottom w:val="double" w:color="auto" w:sz="4" w:space="0"/>
              <w:right w:val="single" w:color="auto" w:sz="8" w:space="0"/>
            </w:tcBorders>
            <w:tcMar>
              <w:top w:w="0" w:type="dxa"/>
              <w:left w:w="108" w:type="dxa"/>
              <w:bottom w:w="0" w:type="dxa"/>
              <w:right w:w="108" w:type="dxa"/>
            </w:tcMar>
            <w:vAlign w:val="center"/>
          </w:tcPr>
          <w:p w:rsidRPr="00616FC6" w:rsidR="00016AD8" w:rsidP="000D0C1D" w:rsidRDefault="00016AD8" w14:paraId="0722E64A" w14:textId="77777777">
            <w:pPr>
              <w:adjustRightInd/>
              <w:jc w:val="center"/>
              <w:textAlignment w:val="auto"/>
              <w:rPr>
                <w:color w:val="000000"/>
              </w:rPr>
            </w:pPr>
            <w:r w:rsidRPr="00616FC6">
              <w:rPr>
                <w:color w:val="000000"/>
              </w:rPr>
              <w:t>4</w:t>
            </w:r>
          </w:p>
        </w:tc>
        <w:tc>
          <w:tcPr>
            <w:tcW w:w="921" w:type="dxa"/>
            <w:tcBorders>
              <w:top w:val="nil"/>
              <w:left w:val="nil"/>
              <w:bottom w:val="double" w:color="auto" w:sz="4" w:space="0"/>
              <w:right w:val="single" w:color="auto" w:sz="8" w:space="0"/>
            </w:tcBorders>
            <w:tcMar>
              <w:top w:w="0" w:type="dxa"/>
              <w:left w:w="108" w:type="dxa"/>
              <w:bottom w:w="0" w:type="dxa"/>
              <w:right w:w="108" w:type="dxa"/>
            </w:tcMar>
            <w:vAlign w:val="center"/>
          </w:tcPr>
          <w:p w:rsidRPr="00616FC6" w:rsidR="00016AD8" w:rsidP="000D0C1D" w:rsidRDefault="00016AD8" w14:paraId="60E94939" w14:textId="77777777">
            <w:pPr>
              <w:adjustRightInd/>
              <w:jc w:val="center"/>
              <w:textAlignment w:val="auto"/>
              <w:rPr>
                <w:color w:val="000000"/>
              </w:rPr>
            </w:pPr>
            <w:r w:rsidRPr="00616FC6">
              <w:rPr>
                <w:color w:val="000000"/>
              </w:rPr>
              <w:t>2,800</w:t>
            </w:r>
          </w:p>
        </w:tc>
        <w:tc>
          <w:tcPr>
            <w:tcW w:w="1080" w:type="dxa"/>
            <w:tcBorders>
              <w:top w:val="nil"/>
              <w:left w:val="nil"/>
              <w:bottom w:val="double" w:color="auto" w:sz="4" w:space="0"/>
              <w:right w:val="single" w:color="auto" w:sz="8" w:space="0"/>
            </w:tcBorders>
            <w:tcMar>
              <w:top w:w="0" w:type="dxa"/>
              <w:left w:w="108" w:type="dxa"/>
              <w:bottom w:w="0" w:type="dxa"/>
              <w:right w:w="108" w:type="dxa"/>
            </w:tcMar>
            <w:vAlign w:val="center"/>
          </w:tcPr>
          <w:p w:rsidRPr="00616FC6" w:rsidR="00016AD8" w:rsidP="000D0C1D" w:rsidRDefault="00016AD8" w14:paraId="70AAED37" w14:textId="77777777">
            <w:pPr>
              <w:adjustRightInd/>
              <w:jc w:val="center"/>
              <w:textAlignment w:val="auto"/>
              <w:rPr>
                <w:color w:val="000000"/>
              </w:rPr>
            </w:pPr>
            <w:r w:rsidRPr="00616FC6">
              <w:rPr>
                <w:color w:val="000000"/>
              </w:rPr>
              <w:t>$36.50</w:t>
            </w:r>
          </w:p>
        </w:tc>
        <w:tc>
          <w:tcPr>
            <w:tcW w:w="1216" w:type="dxa"/>
            <w:tcBorders>
              <w:top w:val="nil"/>
              <w:left w:val="nil"/>
              <w:bottom w:val="double" w:color="auto" w:sz="4" w:space="0"/>
              <w:right w:val="single" w:color="auto" w:sz="8" w:space="0"/>
            </w:tcBorders>
            <w:tcMar>
              <w:top w:w="0" w:type="dxa"/>
              <w:left w:w="108" w:type="dxa"/>
              <w:bottom w:w="0" w:type="dxa"/>
              <w:right w:w="108" w:type="dxa"/>
            </w:tcMar>
            <w:vAlign w:val="center"/>
          </w:tcPr>
          <w:p w:rsidRPr="00616FC6" w:rsidR="00016AD8" w:rsidP="000D0C1D" w:rsidRDefault="00016AD8" w14:paraId="685B4B31" w14:textId="77777777">
            <w:pPr>
              <w:adjustRightInd/>
              <w:jc w:val="center"/>
              <w:textAlignment w:val="auto"/>
              <w:rPr>
                <w:color w:val="000000"/>
              </w:rPr>
            </w:pPr>
            <w:r w:rsidRPr="00616FC6">
              <w:rPr>
                <w:color w:val="000000"/>
              </w:rPr>
              <w:t>$102,200.00</w:t>
            </w:r>
          </w:p>
        </w:tc>
      </w:tr>
      <w:tr w:rsidRPr="00616FC6" w:rsidR="00016AD8" w:rsidTr="00F75E20" w14:paraId="5E87D59B" w14:textId="77777777">
        <w:trPr>
          <w:trHeight w:val="303"/>
        </w:trPr>
        <w:tc>
          <w:tcPr>
            <w:tcW w:w="1590" w:type="dxa"/>
            <w:tcBorders>
              <w:top w:val="doub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616FC6" w:rsidR="00016AD8" w:rsidP="000D0C1D" w:rsidRDefault="00016AD8" w14:paraId="3FFB6524" w14:textId="77777777">
            <w:pPr>
              <w:adjustRightInd/>
              <w:textAlignment w:val="auto"/>
              <w:rPr>
                <w:b/>
                <w:bCs/>
                <w:color w:val="000000"/>
              </w:rPr>
            </w:pPr>
            <w:r w:rsidRPr="00616FC6">
              <w:rPr>
                <w:b/>
                <w:bCs/>
                <w:color w:val="000000"/>
              </w:rPr>
              <w:t>Total</w:t>
            </w:r>
          </w:p>
        </w:tc>
        <w:tc>
          <w:tcPr>
            <w:tcW w:w="1350"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tcPr>
          <w:p w:rsidRPr="00616FC6" w:rsidR="00016AD8" w:rsidP="000D0C1D" w:rsidRDefault="00016AD8" w14:paraId="2A63F0F8" w14:textId="77777777">
            <w:pPr>
              <w:adjustRightInd/>
              <w:jc w:val="center"/>
              <w:textAlignment w:val="auto"/>
              <w:rPr>
                <w:b/>
                <w:bCs/>
                <w:color w:val="000000"/>
              </w:rPr>
            </w:pPr>
            <w:r w:rsidRPr="00616FC6">
              <w:rPr>
                <w:b/>
                <w:bCs/>
                <w:color w:val="000000"/>
              </w:rPr>
              <w:t>500</w:t>
            </w:r>
          </w:p>
        </w:tc>
        <w:tc>
          <w:tcPr>
            <w:tcW w:w="1127"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tcPr>
          <w:p w:rsidRPr="00616FC6" w:rsidR="00016AD8" w:rsidP="000D0C1D" w:rsidRDefault="00016AD8" w14:paraId="57201A3B" w14:textId="77777777">
            <w:pPr>
              <w:adjustRightInd/>
              <w:jc w:val="center"/>
              <w:textAlignment w:val="auto"/>
              <w:rPr>
                <w:b/>
                <w:bCs/>
                <w:color w:val="000000"/>
              </w:rPr>
            </w:pPr>
            <w:r w:rsidRPr="00616FC6">
              <w:rPr>
                <w:b/>
                <w:bCs/>
                <w:color w:val="000000"/>
              </w:rPr>
              <w:t>2</w:t>
            </w:r>
            <w:r>
              <w:rPr>
                <w:b/>
                <w:bCs/>
                <w:color w:val="000000"/>
              </w:rPr>
              <w:t>4.4</w:t>
            </w:r>
          </w:p>
        </w:tc>
        <w:tc>
          <w:tcPr>
            <w:tcW w:w="1164"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tcPr>
          <w:p w:rsidRPr="00616FC6" w:rsidR="00016AD8" w:rsidP="000D0C1D" w:rsidRDefault="00016AD8" w14:paraId="059B35DC" w14:textId="77777777">
            <w:pPr>
              <w:adjustRightInd/>
              <w:jc w:val="center"/>
              <w:textAlignment w:val="auto"/>
              <w:rPr>
                <w:b/>
                <w:bCs/>
                <w:color w:val="000000"/>
              </w:rPr>
            </w:pPr>
            <w:r w:rsidRPr="00616FC6">
              <w:rPr>
                <w:b/>
                <w:bCs/>
                <w:color w:val="000000"/>
              </w:rPr>
              <w:t>12,200</w:t>
            </w:r>
          </w:p>
        </w:tc>
        <w:tc>
          <w:tcPr>
            <w:tcW w:w="1080"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tcPr>
          <w:p w:rsidRPr="00616FC6" w:rsidR="00016AD8" w:rsidP="000D0C1D" w:rsidRDefault="00016AD8" w14:paraId="2E6DE608" w14:textId="77777777">
            <w:pPr>
              <w:adjustRightInd/>
              <w:jc w:val="center"/>
              <w:textAlignment w:val="auto"/>
              <w:rPr>
                <w:b/>
                <w:bCs/>
                <w:color w:val="000000"/>
              </w:rPr>
            </w:pPr>
            <w:r>
              <w:rPr>
                <w:b/>
                <w:bCs/>
                <w:color w:val="000000"/>
              </w:rPr>
              <w:t>varies</w:t>
            </w:r>
          </w:p>
        </w:tc>
        <w:tc>
          <w:tcPr>
            <w:tcW w:w="921"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tcPr>
          <w:p w:rsidRPr="00616FC6" w:rsidR="00016AD8" w:rsidP="000D0C1D" w:rsidRDefault="00016AD8" w14:paraId="491E81B8" w14:textId="77777777">
            <w:pPr>
              <w:adjustRightInd/>
              <w:jc w:val="center"/>
              <w:textAlignment w:val="auto"/>
              <w:rPr>
                <w:b/>
                <w:bCs/>
                <w:color w:val="000000"/>
              </w:rPr>
            </w:pPr>
            <w:r w:rsidRPr="00616FC6">
              <w:rPr>
                <w:b/>
                <w:bCs/>
                <w:color w:val="000000"/>
              </w:rPr>
              <w:t>16,425</w:t>
            </w:r>
          </w:p>
        </w:tc>
        <w:tc>
          <w:tcPr>
            <w:tcW w:w="1080"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tcPr>
          <w:p w:rsidRPr="00616FC6" w:rsidR="00016AD8" w:rsidP="000D0C1D" w:rsidRDefault="00016AD8" w14:paraId="32634E41" w14:textId="77777777">
            <w:pPr>
              <w:adjustRightInd/>
              <w:jc w:val="center"/>
              <w:textAlignment w:val="auto"/>
              <w:rPr>
                <w:b/>
                <w:bCs/>
                <w:color w:val="000000"/>
              </w:rPr>
            </w:pPr>
            <w:r w:rsidRPr="00616FC6">
              <w:rPr>
                <w:b/>
                <w:bCs/>
                <w:color w:val="000000"/>
              </w:rPr>
              <w:t>$36.50</w:t>
            </w:r>
          </w:p>
        </w:tc>
        <w:tc>
          <w:tcPr>
            <w:tcW w:w="1216" w:type="dxa"/>
            <w:tcBorders>
              <w:top w:val="double" w:color="auto" w:sz="4" w:space="0"/>
              <w:left w:val="nil"/>
              <w:bottom w:val="single" w:color="auto" w:sz="8" w:space="0"/>
              <w:right w:val="single" w:color="auto" w:sz="8" w:space="0"/>
            </w:tcBorders>
            <w:tcMar>
              <w:top w:w="0" w:type="dxa"/>
              <w:left w:w="108" w:type="dxa"/>
              <w:bottom w:w="0" w:type="dxa"/>
              <w:right w:w="108" w:type="dxa"/>
            </w:tcMar>
            <w:vAlign w:val="center"/>
          </w:tcPr>
          <w:p w:rsidRPr="00616FC6" w:rsidR="00016AD8" w:rsidP="000D0C1D" w:rsidRDefault="00016AD8" w14:paraId="26BDE85C" w14:textId="77777777">
            <w:pPr>
              <w:adjustRightInd/>
              <w:jc w:val="center"/>
              <w:textAlignment w:val="auto"/>
              <w:rPr>
                <w:b/>
                <w:bCs/>
                <w:color w:val="000000"/>
              </w:rPr>
            </w:pPr>
            <w:r w:rsidRPr="00616FC6">
              <w:rPr>
                <w:b/>
                <w:bCs/>
                <w:color w:val="000000"/>
              </w:rPr>
              <w:t>$599,512.50</w:t>
            </w:r>
          </w:p>
        </w:tc>
      </w:tr>
    </w:tbl>
    <w:p w:rsidR="00016AD8" w:rsidP="00167E53" w:rsidRDefault="00016AD8" w14:paraId="1C1A8064" w14:textId="77777777">
      <w:pPr>
        <w:overflowPunct/>
        <w:autoSpaceDE/>
        <w:autoSpaceDN/>
        <w:adjustRightInd/>
        <w:spacing w:after="80"/>
        <w:ind w:left="360"/>
        <w:textAlignment w:val="auto"/>
        <w:rPr>
          <w:rFonts w:eastAsia="Calibri"/>
          <w:color w:val="000000"/>
        </w:rPr>
      </w:pPr>
    </w:p>
    <w:p w:rsidR="00724A14" w:rsidP="00724A14" w:rsidRDefault="00724A14" w14:paraId="3FBC3114" w14:textId="77777777">
      <w:pPr>
        <w:keepLines/>
        <w:tabs>
          <w:tab w:val="left" w:pos="360"/>
          <w:tab w:val="left" w:pos="720"/>
          <w:tab w:val="center" w:pos="1680"/>
          <w:tab w:val="center" w:pos="3120"/>
          <w:tab w:val="center" w:pos="4560"/>
          <w:tab w:val="center" w:pos="6000"/>
          <w:tab w:val="center" w:pos="7440"/>
          <w:tab w:val="center" w:pos="8880"/>
        </w:tabs>
        <w:ind w:left="360"/>
        <w:rPr>
          <w:color w:val="000000"/>
          <w:sz w:val="24"/>
          <w:szCs w:val="24"/>
        </w:rPr>
      </w:pPr>
      <w:r>
        <w:rPr>
          <w:color w:val="000000"/>
          <w:sz w:val="24"/>
          <w:szCs w:val="24"/>
        </w:rPr>
        <w:t xml:space="preserve">Average hours per response varies substantially depending on level of review. Reviews that are exempt or Categorically Excluded Not Subject To the related laws and authorities (CENST) take roughly 45 minutes to complete. Reviews that are Categorically Excluded Subject To the related laws (CEST) or require an Environmental Assessment (EA) take an average of 4 hours to complete. Some CEST reviews “convert to exempt,” and require roughly 2 hours to complete. </w:t>
      </w:r>
    </w:p>
    <w:p w:rsidR="00724A14" w:rsidP="00724A14" w:rsidRDefault="00724A14" w14:paraId="31B3A14F" w14:textId="77777777">
      <w:pPr>
        <w:keepLines/>
        <w:tabs>
          <w:tab w:val="left" w:pos="360"/>
          <w:tab w:val="left" w:pos="720"/>
          <w:tab w:val="center" w:pos="1680"/>
          <w:tab w:val="center" w:pos="3120"/>
          <w:tab w:val="center" w:pos="4560"/>
          <w:tab w:val="center" w:pos="6000"/>
          <w:tab w:val="center" w:pos="7440"/>
          <w:tab w:val="center" w:pos="8880"/>
        </w:tabs>
        <w:ind w:left="720"/>
        <w:rPr>
          <w:color w:val="000000"/>
          <w:sz w:val="24"/>
          <w:szCs w:val="24"/>
        </w:rPr>
      </w:pPr>
    </w:p>
    <w:p w:rsidR="00724A14" w:rsidP="00724A14" w:rsidRDefault="00724A14" w14:paraId="534033C2" w14:textId="77777777">
      <w:pPr>
        <w:keepLines/>
        <w:ind w:left="360"/>
        <w:rPr>
          <w:sz w:val="24"/>
          <w:szCs w:val="24"/>
        </w:rPr>
      </w:pPr>
      <w:r w:rsidRPr="005C12BE">
        <w:rPr>
          <w:sz w:val="24"/>
          <w:szCs w:val="24"/>
        </w:rPr>
        <w:t xml:space="preserve">HUD grants cover all eligible costs including staff work. Hourly cost per response based on hourly mean wage of urban planners working for local government (Bureau of Labor Statistics, </w:t>
      </w:r>
      <w:hyperlink w:history="1" r:id="rId8">
        <w:r w:rsidRPr="00383728">
          <w:rPr>
            <w:rStyle w:val="Hyperlink"/>
            <w:sz w:val="24"/>
            <w:szCs w:val="24"/>
          </w:rPr>
          <w:t>https://www.bls.gov/oes/current/oes193051.htm</w:t>
        </w:r>
      </w:hyperlink>
      <w:r w:rsidRPr="005C12BE">
        <w:rPr>
          <w:sz w:val="24"/>
          <w:szCs w:val="24"/>
        </w:rPr>
        <w:t>).</w:t>
      </w:r>
    </w:p>
    <w:p w:rsidR="00724A14" w:rsidP="00724A14" w:rsidRDefault="00724A14" w14:paraId="610E6E12" w14:textId="77777777">
      <w:pPr>
        <w:keepLines/>
        <w:tabs>
          <w:tab w:val="left" w:pos="360"/>
          <w:tab w:val="left" w:pos="720"/>
          <w:tab w:val="center" w:pos="1680"/>
          <w:tab w:val="center" w:pos="3120"/>
          <w:tab w:val="center" w:pos="4560"/>
          <w:tab w:val="center" w:pos="6000"/>
          <w:tab w:val="center" w:pos="7440"/>
          <w:tab w:val="center" w:pos="8880"/>
        </w:tabs>
        <w:ind w:left="720"/>
        <w:rPr>
          <w:sz w:val="24"/>
          <w:szCs w:val="24"/>
        </w:rPr>
      </w:pPr>
    </w:p>
    <w:p w:rsidR="00724A14" w:rsidP="00724A14" w:rsidRDefault="00724A14" w14:paraId="01A18528" w14:textId="77777777">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724A14">
        <w:rPr>
          <w:sz w:val="24"/>
          <w:szCs w:val="24"/>
        </w:rPr>
        <w:t>Number of respondents/responses per annum based on the number of reviews completed using HEROS in Fiscal Year 2020.</w:t>
      </w:r>
    </w:p>
    <w:p w:rsidR="00F75E20" w:rsidP="00724A14" w:rsidRDefault="00F75E20" w14:paraId="2C7DF020" w14:textId="77777777">
      <w:pPr>
        <w:keepLines/>
        <w:tabs>
          <w:tab w:val="left" w:pos="360"/>
          <w:tab w:val="left" w:pos="720"/>
          <w:tab w:val="center" w:pos="1680"/>
          <w:tab w:val="center" w:pos="3120"/>
          <w:tab w:val="center" w:pos="4560"/>
          <w:tab w:val="center" w:pos="6000"/>
          <w:tab w:val="center" w:pos="7440"/>
          <w:tab w:val="center" w:pos="8880"/>
        </w:tabs>
        <w:ind w:left="360"/>
        <w:rPr>
          <w:sz w:val="24"/>
          <w:szCs w:val="24"/>
        </w:rPr>
      </w:pPr>
    </w:p>
    <w:p w:rsidRPr="006C7FAE" w:rsidR="009E13B1" w:rsidRDefault="009E13B1" w14:paraId="7671D5FD"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724A14" w:rsidP="00724A14" w:rsidRDefault="00724A14" w14:paraId="082B3281" w14:textId="3CCEC897">
      <w:pPr>
        <w:keepLines/>
        <w:tabs>
          <w:tab w:val="left" w:pos="360"/>
        </w:tabs>
        <w:spacing w:before="240" w:after="80"/>
        <w:ind w:left="360" w:hanging="360"/>
        <w:rPr>
          <w:sz w:val="24"/>
          <w:szCs w:val="24"/>
        </w:rPr>
      </w:pPr>
      <w:r>
        <w:rPr>
          <w:sz w:val="24"/>
          <w:szCs w:val="24"/>
        </w:rPr>
        <w:tab/>
      </w:r>
      <w:r w:rsidR="00213E04">
        <w:rPr>
          <w:sz w:val="24"/>
          <w:szCs w:val="24"/>
        </w:rPr>
        <w:t>This is a revision of a currently approved collection</w:t>
      </w:r>
      <w:r w:rsidR="00213E04">
        <w:rPr>
          <w:sz w:val="24"/>
          <w:szCs w:val="24"/>
        </w:rPr>
        <w:t xml:space="preserve">.  </w:t>
      </w:r>
      <w:r>
        <w:rPr>
          <w:sz w:val="24"/>
          <w:szCs w:val="24"/>
        </w:rPr>
        <w:t xml:space="preserve">HEROS was first put into production in early 2014, and it has been optional for most users since then. The values in Items 13 and 14 are based on data collected in HEROS during Fiscal Year 2020, which reflects an increased number of reviews compared to the last renewal of this clearance in 2017. The increase reflects the increased popularity of HEROS as more users elect to use HEROS instead of </w:t>
      </w:r>
      <w:r w:rsidR="0017557D">
        <w:rPr>
          <w:sz w:val="24"/>
          <w:szCs w:val="24"/>
        </w:rPr>
        <w:t xml:space="preserve">paper formats </w:t>
      </w:r>
      <w:r>
        <w:rPr>
          <w:sz w:val="24"/>
          <w:szCs w:val="24"/>
        </w:rPr>
        <w:t xml:space="preserve">to prepare their environmental reviews. </w:t>
      </w:r>
      <w:r w:rsidR="0017557D">
        <w:rPr>
          <w:sz w:val="24"/>
          <w:szCs w:val="24"/>
        </w:rPr>
        <w:t xml:space="preserve">In other words, the overall number of environmental reviews is not increasing, but recipients are choosing to complete more of those environmental reviews using HEROS instead of paper-based processes. </w:t>
      </w:r>
    </w:p>
    <w:p w:rsidRPr="006C7FAE" w:rsidR="0030283E" w:rsidRDefault="0030283E" w14:paraId="7C3D23CD" w14:textId="77777777">
      <w:pPr>
        <w:keepLines/>
        <w:tabs>
          <w:tab w:val="left" w:pos="360"/>
          <w:tab w:val="left" w:pos="720"/>
        </w:tabs>
        <w:ind w:left="360"/>
        <w:rPr>
          <w:sz w:val="24"/>
          <w:szCs w:val="24"/>
        </w:rPr>
      </w:pPr>
    </w:p>
    <w:p w:rsidRPr="006C7FAE" w:rsidR="009E13B1" w:rsidRDefault="009E13B1" w14:paraId="50935E5E"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0283E" w:rsidP="0017557D" w:rsidRDefault="0030283E" w14:paraId="40980F65" w14:textId="77777777">
      <w:pPr>
        <w:tabs>
          <w:tab w:val="left" w:pos="360"/>
        </w:tabs>
        <w:spacing w:before="240"/>
        <w:ind w:left="720" w:hanging="360"/>
        <w:rPr>
          <w:sz w:val="24"/>
          <w:szCs w:val="24"/>
        </w:rPr>
      </w:pPr>
      <w:r>
        <w:rPr>
          <w:sz w:val="24"/>
          <w:szCs w:val="24"/>
        </w:rPr>
        <w:t xml:space="preserve">The results will not be published. </w:t>
      </w:r>
    </w:p>
    <w:p w:rsidRPr="006C7FAE" w:rsidR="009E13B1" w:rsidRDefault="009E13B1" w14:paraId="249367F7" w14:textId="77777777">
      <w:pPr>
        <w:tabs>
          <w:tab w:val="left" w:pos="360"/>
        </w:tabs>
        <w:ind w:left="360" w:hanging="360"/>
        <w:rPr>
          <w:sz w:val="24"/>
          <w:szCs w:val="24"/>
        </w:rPr>
      </w:pPr>
    </w:p>
    <w:p w:rsidRPr="006C7FAE" w:rsidR="009E13B1" w:rsidRDefault="009E13B1" w14:paraId="46083324" w14:textId="77777777">
      <w:pPr>
        <w:keepLines/>
        <w:tabs>
          <w:tab w:val="left" w:pos="360"/>
        </w:tabs>
        <w:spacing w:after="80"/>
        <w:ind w:left="360" w:hanging="360"/>
        <w:rPr>
          <w:sz w:val="24"/>
          <w:szCs w:val="24"/>
        </w:rPr>
      </w:pPr>
      <w:r w:rsidRPr="006C7FAE">
        <w:rPr>
          <w:sz w:val="24"/>
          <w:szCs w:val="24"/>
        </w:rPr>
        <w:t>17.</w:t>
      </w:r>
      <w:r w:rsidRPr="006C7FAE">
        <w:rPr>
          <w:sz w:val="24"/>
          <w:szCs w:val="24"/>
        </w:rPr>
        <w:tab/>
        <w:t xml:space="preserve">If seeking approval to not display the expiration date for OMB approval of the information </w:t>
      </w:r>
      <w:proofErr w:type="gramStart"/>
      <w:r w:rsidRPr="006C7FAE">
        <w:rPr>
          <w:sz w:val="24"/>
          <w:szCs w:val="24"/>
        </w:rPr>
        <w:t>collection,</w:t>
      </w:r>
      <w:proofErr w:type="gramEnd"/>
      <w:r w:rsidRPr="006C7FAE">
        <w:rPr>
          <w:sz w:val="24"/>
          <w:szCs w:val="24"/>
        </w:rPr>
        <w:t xml:space="preserve"> explain the reasons that display would be inappropriate.</w:t>
      </w:r>
    </w:p>
    <w:p w:rsidR="0030283E" w:rsidP="0017557D" w:rsidRDefault="0030283E" w14:paraId="439EBFB3" w14:textId="77777777">
      <w:pPr>
        <w:keepLines/>
        <w:tabs>
          <w:tab w:val="left" w:pos="360"/>
          <w:tab w:val="left" w:pos="720"/>
        </w:tabs>
        <w:spacing w:before="240"/>
        <w:rPr>
          <w:sz w:val="24"/>
          <w:szCs w:val="24"/>
        </w:rPr>
      </w:pPr>
      <w:r>
        <w:rPr>
          <w:sz w:val="24"/>
          <w:szCs w:val="24"/>
        </w:rPr>
        <w:tab/>
        <w:t xml:space="preserve">The expiration date will be displayed. </w:t>
      </w:r>
    </w:p>
    <w:p w:rsidRPr="006C7FAE" w:rsidR="009E13B1" w:rsidRDefault="009E13B1" w14:paraId="3C2D04C7" w14:textId="77777777">
      <w:pPr>
        <w:keepLines/>
        <w:tabs>
          <w:tab w:val="left" w:pos="360"/>
          <w:tab w:val="left" w:pos="720"/>
        </w:tabs>
        <w:ind w:left="360"/>
        <w:rPr>
          <w:sz w:val="24"/>
          <w:szCs w:val="24"/>
        </w:rPr>
      </w:pPr>
    </w:p>
    <w:p w:rsidRPr="006C7FAE" w:rsidR="009E13B1" w:rsidRDefault="009E13B1" w14:paraId="261D1C76"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Pr="006C7FAE" w:rsidR="0030283E" w:rsidP="0017557D" w:rsidRDefault="0030283E" w14:paraId="45D9B05C" w14:textId="77777777">
      <w:pPr>
        <w:keepLines/>
        <w:tabs>
          <w:tab w:val="left" w:pos="360"/>
          <w:tab w:val="left" w:pos="720"/>
        </w:tabs>
        <w:spacing w:before="240"/>
        <w:rPr>
          <w:sz w:val="24"/>
          <w:szCs w:val="24"/>
        </w:rPr>
      </w:pPr>
      <w:r>
        <w:rPr>
          <w:sz w:val="24"/>
          <w:szCs w:val="24"/>
        </w:rPr>
        <w:tab/>
        <w:t xml:space="preserve">No exceptions were identified. </w:t>
      </w:r>
    </w:p>
    <w:p w:rsidRPr="006C7FAE" w:rsidR="009E13B1" w:rsidRDefault="009E13B1" w14:paraId="4B4F9CED" w14:textId="77777777">
      <w:pPr>
        <w:keepLines/>
        <w:tabs>
          <w:tab w:val="left" w:pos="360"/>
          <w:tab w:val="left" w:pos="720"/>
        </w:tabs>
        <w:ind w:left="360"/>
        <w:rPr>
          <w:sz w:val="24"/>
          <w:szCs w:val="24"/>
        </w:rPr>
      </w:pPr>
    </w:p>
    <w:p w:rsidRPr="006C7FAE" w:rsidR="009E13B1" w:rsidRDefault="009E13B1" w14:paraId="48441254" w14:textId="77777777">
      <w:pPr>
        <w:tabs>
          <w:tab w:val="left" w:pos="360"/>
          <w:tab w:val="left" w:pos="720"/>
        </w:tabs>
        <w:rPr>
          <w:sz w:val="24"/>
          <w:szCs w:val="24"/>
        </w:rPr>
      </w:pPr>
    </w:p>
    <w:p w:rsidRPr="006C7FAE" w:rsidR="009E13B1" w:rsidP="00167E53" w:rsidRDefault="009E13B1" w14:paraId="767FFF5F"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headerReference w:type="default" r:id="rId9"/>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63236" w14:textId="77777777" w:rsidR="00D8373A" w:rsidRDefault="00D8373A">
      <w:r>
        <w:separator/>
      </w:r>
    </w:p>
  </w:endnote>
  <w:endnote w:type="continuationSeparator" w:id="0">
    <w:p w14:paraId="1CEE3ED9" w14:textId="77777777" w:rsidR="00D8373A" w:rsidRDefault="00D8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D8199" w14:textId="77777777" w:rsidR="00D8373A" w:rsidRDefault="00D8373A">
      <w:r>
        <w:separator/>
      </w:r>
    </w:p>
  </w:footnote>
  <w:footnote w:type="continuationSeparator" w:id="0">
    <w:p w14:paraId="42D2C190" w14:textId="77777777" w:rsidR="00D8373A" w:rsidRDefault="00D83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CBE2"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attachedTemplate r:id="rId1"/>
  <w:doNotTrackMoves/>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1940"/>
    <w:rsid w:val="00016AD8"/>
    <w:rsid w:val="000468DE"/>
    <w:rsid w:val="000A1639"/>
    <w:rsid w:val="000D0C1D"/>
    <w:rsid w:val="000E00A8"/>
    <w:rsid w:val="000E2A89"/>
    <w:rsid w:val="00167E53"/>
    <w:rsid w:val="00172009"/>
    <w:rsid w:val="0017557D"/>
    <w:rsid w:val="00213E04"/>
    <w:rsid w:val="002223C4"/>
    <w:rsid w:val="002F6CE8"/>
    <w:rsid w:val="002F78A8"/>
    <w:rsid w:val="0030283E"/>
    <w:rsid w:val="00360090"/>
    <w:rsid w:val="003655F3"/>
    <w:rsid w:val="003F4282"/>
    <w:rsid w:val="00450591"/>
    <w:rsid w:val="00453BFE"/>
    <w:rsid w:val="005969B2"/>
    <w:rsid w:val="005C5233"/>
    <w:rsid w:val="00616FC6"/>
    <w:rsid w:val="006448C5"/>
    <w:rsid w:val="006A7739"/>
    <w:rsid w:val="006B7674"/>
    <w:rsid w:val="006C7FAE"/>
    <w:rsid w:val="006E28FD"/>
    <w:rsid w:val="00724A14"/>
    <w:rsid w:val="007C346E"/>
    <w:rsid w:val="00931295"/>
    <w:rsid w:val="00953CCA"/>
    <w:rsid w:val="009927E1"/>
    <w:rsid w:val="009D59FC"/>
    <w:rsid w:val="009E0C3E"/>
    <w:rsid w:val="009E13B1"/>
    <w:rsid w:val="00AA30E8"/>
    <w:rsid w:val="00B01940"/>
    <w:rsid w:val="00B04BA6"/>
    <w:rsid w:val="00BB7F78"/>
    <w:rsid w:val="00BC10AF"/>
    <w:rsid w:val="00C2278A"/>
    <w:rsid w:val="00CE1567"/>
    <w:rsid w:val="00D8373A"/>
    <w:rsid w:val="00E62193"/>
    <w:rsid w:val="00E94809"/>
    <w:rsid w:val="00F27C8F"/>
    <w:rsid w:val="00F7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BBA0F"/>
  <w15:chartTrackingRefBased/>
  <w15:docId w15:val="{2F7A6C7B-ED0D-4D42-B5CD-35F21DD2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NoSpacing">
    <w:name w:val="No Spacing"/>
    <w:uiPriority w:val="1"/>
    <w:qFormat/>
    <w:rsid w:val="0030283E"/>
    <w:pPr>
      <w:overflowPunct w:val="0"/>
      <w:autoSpaceDE w:val="0"/>
      <w:autoSpaceDN w:val="0"/>
      <w:adjustRightInd w:val="0"/>
      <w:textAlignment w:val="baseline"/>
    </w:pPr>
  </w:style>
  <w:style w:type="character" w:styleId="Hyperlink">
    <w:name w:val="Hyperlink"/>
    <w:uiPriority w:val="99"/>
    <w:unhideWhenUsed/>
    <w:rsid w:val="0030283E"/>
    <w:rPr>
      <w:color w:val="0563C1"/>
      <w:u w:val="single"/>
    </w:rPr>
  </w:style>
  <w:style w:type="paragraph" w:styleId="BodyText2">
    <w:name w:val="Body Text 2"/>
    <w:basedOn w:val="Normal"/>
    <w:link w:val="BodyText2Char"/>
    <w:rsid w:val="0030283E"/>
    <w:pPr>
      <w:spacing w:after="120" w:line="480" w:lineRule="auto"/>
    </w:pPr>
  </w:style>
  <w:style w:type="character" w:customStyle="1" w:styleId="BodyText2Char">
    <w:name w:val="Body Text 2 Char"/>
    <w:basedOn w:val="DefaultParagraphFont"/>
    <w:link w:val="BodyText2"/>
    <w:rsid w:val="0030283E"/>
  </w:style>
  <w:style w:type="character" w:styleId="CommentReference">
    <w:name w:val="annotation reference"/>
    <w:uiPriority w:val="99"/>
    <w:semiHidden/>
    <w:unhideWhenUsed/>
    <w:rsid w:val="0030283E"/>
    <w:rPr>
      <w:sz w:val="16"/>
      <w:szCs w:val="16"/>
    </w:rPr>
  </w:style>
  <w:style w:type="paragraph" w:styleId="CommentText">
    <w:name w:val="annotation text"/>
    <w:basedOn w:val="Normal"/>
    <w:link w:val="CommentTextChar"/>
    <w:semiHidden/>
    <w:unhideWhenUsed/>
    <w:rsid w:val="0030283E"/>
  </w:style>
  <w:style w:type="character" w:customStyle="1" w:styleId="CommentTextChar">
    <w:name w:val="Comment Text Char"/>
    <w:basedOn w:val="DefaultParagraphFont"/>
    <w:link w:val="CommentText"/>
    <w:semiHidden/>
    <w:rsid w:val="0030283E"/>
  </w:style>
  <w:style w:type="character" w:styleId="FollowedHyperlink">
    <w:name w:val="FollowedHyperlink"/>
    <w:uiPriority w:val="99"/>
    <w:semiHidden/>
    <w:unhideWhenUsed/>
    <w:rsid w:val="00AA30E8"/>
    <w:rPr>
      <w:color w:val="954F72"/>
      <w:u w:val="single"/>
    </w:rPr>
  </w:style>
  <w:style w:type="paragraph" w:styleId="CommentSubject">
    <w:name w:val="annotation subject"/>
    <w:basedOn w:val="CommentText"/>
    <w:next w:val="CommentText"/>
    <w:link w:val="CommentSubjectChar"/>
    <w:uiPriority w:val="99"/>
    <w:semiHidden/>
    <w:unhideWhenUsed/>
    <w:rsid w:val="00E62193"/>
    <w:rPr>
      <w:b/>
      <w:bCs/>
    </w:rPr>
  </w:style>
  <w:style w:type="character" w:customStyle="1" w:styleId="CommentSubjectChar">
    <w:name w:val="Comment Subject Char"/>
    <w:link w:val="CommentSubject"/>
    <w:uiPriority w:val="99"/>
    <w:semiHidden/>
    <w:rsid w:val="00E621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 w:id="1931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3051.htm" TargetMode="External"/><Relationship Id="rId3" Type="http://schemas.openxmlformats.org/officeDocument/2006/relationships/settings" Target="settings.xml"/><Relationship Id="rId7" Type="http://schemas.openxmlformats.org/officeDocument/2006/relationships/hyperlink" Target="https://www.bls.gov/oes/current/oes19305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II.OLD\FORMS\Reports_Mgmt\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83-I-OMB</Template>
  <TotalTime>2</TotalTime>
  <Pages>6</Pages>
  <Words>2547</Words>
  <Characters>14520</Characters>
  <Application>Microsoft Office Word</Application>
  <DocSecurity>2</DocSecurity>
  <Lines>121</Lines>
  <Paragraphs>34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17033</CharactersWithSpaces>
  <SharedDoc>false</SharedDoc>
  <HLinks>
    <vt:vector size="12" baseType="variant">
      <vt:variant>
        <vt:i4>5111824</vt:i4>
      </vt:variant>
      <vt:variant>
        <vt:i4>3</vt:i4>
      </vt:variant>
      <vt:variant>
        <vt:i4>0</vt:i4>
      </vt:variant>
      <vt:variant>
        <vt:i4>5</vt:i4>
      </vt:variant>
      <vt:variant>
        <vt:lpwstr>https://www.bls.gov/oes/current/oes193051.htm</vt:lpwstr>
      </vt:variant>
      <vt:variant>
        <vt:lpwstr/>
      </vt:variant>
      <vt:variant>
        <vt:i4>5111824</vt:i4>
      </vt:variant>
      <vt:variant>
        <vt:i4>0</vt:i4>
      </vt:variant>
      <vt:variant>
        <vt:i4>0</vt:i4>
      </vt:variant>
      <vt:variant>
        <vt:i4>5</vt:i4>
      </vt:variant>
      <vt:variant>
        <vt:lpwstr>https://www.bls.gov/oes/current/oes193051.htm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Johnson, Urnell</cp:lastModifiedBy>
  <cp:revision>2</cp:revision>
  <cp:lastPrinted>2016-10-19T20:19:00Z</cp:lastPrinted>
  <dcterms:created xsi:type="dcterms:W3CDTF">2020-12-09T17:32:00Z</dcterms:created>
  <dcterms:modified xsi:type="dcterms:W3CDTF">2020-12-09T17:32:00Z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