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15383" w:rsidR="007F3318" w:rsidP="00196D38" w:rsidRDefault="00A37EED" w14:paraId="7090DBC0" w14:textId="77777777">
      <w:pPr>
        <w:jc w:val="center"/>
        <w:rPr>
          <w:rFonts w:ascii="Times New Roman" w:hAnsi="Times New Roman" w:cs="Times New Roman"/>
          <w:b/>
          <w:sz w:val="24"/>
          <w:szCs w:val="24"/>
        </w:rPr>
      </w:pPr>
      <w:r w:rsidRPr="00511484">
        <w:rPr>
          <w:rFonts w:ascii="Times New Roman" w:hAnsi="Times New Roman" w:cs="Times New Roman"/>
          <w:b/>
          <w:sz w:val="24"/>
          <w:szCs w:val="24"/>
        </w:rPr>
        <w:t>Supporting Statement for Paperwork Reduction Act Submission</w:t>
      </w:r>
    </w:p>
    <w:p w:rsidRPr="00511484" w:rsidR="00ED5EE7" w:rsidP="00ED5EE7" w:rsidRDefault="00ED5EE7" w14:paraId="4CE33260" w14:textId="77777777">
      <w:pPr>
        <w:tabs>
          <w:tab w:val="center" w:pos="4680"/>
        </w:tabs>
        <w:jc w:val="center"/>
        <w:rPr>
          <w:rFonts w:ascii="Times New Roman" w:hAnsi="Times New Roman" w:cs="Times New Roman"/>
          <w:b/>
          <w:bCs/>
          <w:color w:val="000000" w:themeColor="text1"/>
          <w:sz w:val="24"/>
          <w:szCs w:val="24"/>
        </w:rPr>
      </w:pPr>
      <w:r w:rsidRPr="00A15383">
        <w:rPr>
          <w:rFonts w:ascii="Times New Roman" w:hAnsi="Times New Roman" w:cs="Times New Roman"/>
          <w:b/>
          <w:bCs/>
          <w:color w:val="000000" w:themeColor="text1"/>
          <w:sz w:val="24"/>
          <w:szCs w:val="24"/>
        </w:rPr>
        <w:t>Family Self Sufficiency (FSS) Evaluation – Long-Term Follow-Up Survey</w:t>
      </w:r>
    </w:p>
    <w:p w:rsidRPr="003F63A6" w:rsidR="007A0E24" w:rsidP="007A0E24" w:rsidRDefault="007A0E24" w14:paraId="46B6EC7C" w14:textId="31772DBA">
      <w:pPr>
        <w:tabs>
          <w:tab w:val="center" w:pos="4680"/>
        </w:tabs>
        <w:jc w:val="center"/>
        <w:rPr>
          <w:rFonts w:ascii="Times New Roman" w:hAnsi="Times New Roman" w:cs="Times New Roman"/>
          <w:b/>
          <w:bCs/>
          <w:color w:val="000000" w:themeColor="text1"/>
          <w:sz w:val="24"/>
          <w:szCs w:val="24"/>
        </w:rPr>
      </w:pPr>
      <w:r w:rsidRPr="003F63A6">
        <w:rPr>
          <w:rFonts w:ascii="Times New Roman" w:hAnsi="Times New Roman" w:cs="Times New Roman"/>
          <w:b/>
          <w:bCs/>
          <w:color w:val="000000" w:themeColor="text1"/>
          <w:sz w:val="24"/>
          <w:szCs w:val="24"/>
        </w:rPr>
        <w:t xml:space="preserve">OMB Control </w:t>
      </w:r>
      <w:r w:rsidRPr="006E637B">
        <w:rPr>
          <w:rFonts w:ascii="Times New Roman" w:hAnsi="Times New Roman" w:cs="Times New Roman"/>
          <w:b/>
          <w:bCs/>
          <w:color w:val="000000" w:themeColor="text1"/>
          <w:sz w:val="24"/>
          <w:szCs w:val="24"/>
        </w:rPr>
        <w:t xml:space="preserve"># </w:t>
      </w:r>
      <w:r w:rsidR="006E637B">
        <w:rPr>
          <w:rFonts w:ascii="Times New Roman" w:hAnsi="Times New Roman" w:cs="Times New Roman"/>
          <w:b/>
          <w:bCs/>
          <w:color w:val="000000" w:themeColor="text1"/>
          <w:sz w:val="24"/>
          <w:szCs w:val="24"/>
        </w:rPr>
        <w:t>2528-</w:t>
      </w:r>
      <w:r w:rsidRPr="006E637B" w:rsidR="00ED5EE7">
        <w:rPr>
          <w:rFonts w:ascii="Times New Roman" w:hAnsi="Times New Roman" w:cs="Times New Roman"/>
          <w:b/>
          <w:bCs/>
          <w:color w:val="000000" w:themeColor="text1"/>
          <w:sz w:val="24"/>
          <w:szCs w:val="24"/>
        </w:rPr>
        <w:t>XXXX</w:t>
      </w:r>
    </w:p>
    <w:p w:rsidRPr="00511484" w:rsidR="007A0E24" w:rsidP="00196D38" w:rsidRDefault="007A0E24" w14:paraId="75E95D80" w14:textId="14B4E87F">
      <w:pPr>
        <w:jc w:val="center"/>
        <w:rPr>
          <w:rFonts w:ascii="Times New Roman" w:hAnsi="Times New Roman" w:cs="Times New Roman"/>
          <w:b/>
          <w:sz w:val="24"/>
          <w:szCs w:val="24"/>
        </w:rPr>
      </w:pPr>
    </w:p>
    <w:p w:rsidRPr="00693533" w:rsidR="00A37EED" w:rsidRDefault="00A37EED" w14:paraId="23597CE2" w14:textId="5D43E0D6">
      <w:pPr>
        <w:rPr>
          <w:rFonts w:ascii="Times New Roman" w:hAnsi="Times New Roman" w:cs="Times New Roman"/>
          <w:b/>
          <w:sz w:val="24"/>
          <w:szCs w:val="24"/>
        </w:rPr>
      </w:pPr>
      <w:r w:rsidRPr="00693533">
        <w:rPr>
          <w:rFonts w:ascii="Times New Roman" w:hAnsi="Times New Roman" w:cs="Times New Roman"/>
          <w:b/>
          <w:sz w:val="24"/>
          <w:szCs w:val="24"/>
        </w:rPr>
        <w:t>A. Justification</w:t>
      </w:r>
    </w:p>
    <w:p w:rsidRPr="00693533" w:rsidR="00C74192" w:rsidRDefault="00C74192" w14:paraId="3AEEE21A" w14:textId="091EA3D2">
      <w:pPr>
        <w:rPr>
          <w:rFonts w:ascii="Times New Roman" w:hAnsi="Times New Roman" w:cs="Times New Roman"/>
          <w:b/>
          <w:sz w:val="24"/>
          <w:szCs w:val="24"/>
        </w:rPr>
      </w:pPr>
    </w:p>
    <w:p w:rsidRPr="003F63A6" w:rsidR="007A0E24" w:rsidP="00435881" w:rsidRDefault="008064C8" w14:paraId="53A650A9" w14:textId="72C66426">
      <w:pPr>
        <w:keepLines/>
        <w:tabs>
          <w:tab w:val="left" w:pos="360"/>
        </w:tabs>
        <w:spacing w:after="80"/>
        <w:ind w:left="360" w:hanging="360"/>
        <w:jc w:val="both"/>
        <w:rPr>
          <w:rFonts w:ascii="Times New Roman" w:hAnsi="Times New Roman" w:cs="Times New Roman"/>
          <w:b/>
          <w:sz w:val="24"/>
          <w:szCs w:val="24"/>
        </w:rPr>
      </w:pPr>
      <w:r w:rsidRPr="00511484">
        <w:rPr>
          <w:rFonts w:ascii="Times New Roman" w:hAnsi="Times New Roman" w:cs="Times New Roman"/>
          <w:b/>
          <w:sz w:val="24"/>
          <w:szCs w:val="24"/>
        </w:rPr>
        <w:t>1.</w:t>
      </w:r>
      <w:r w:rsidRPr="00511484">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11484" w:rsidR="001B7F3F" w:rsidP="00435881" w:rsidRDefault="001B7F3F" w14:paraId="4AFEC681" w14:textId="7C376090">
      <w:pPr>
        <w:keepLines/>
        <w:tabs>
          <w:tab w:val="left" w:pos="360"/>
        </w:tabs>
        <w:spacing w:after="80"/>
        <w:ind w:left="360" w:hanging="360"/>
        <w:jc w:val="both"/>
        <w:rPr>
          <w:rFonts w:ascii="Times New Roman" w:hAnsi="Times New Roman" w:cs="Times New Roman"/>
          <w:b/>
          <w:sz w:val="24"/>
          <w:szCs w:val="24"/>
        </w:rPr>
      </w:pPr>
      <w:r w:rsidRPr="00511484">
        <w:rPr>
          <w:rFonts w:ascii="Times New Roman" w:hAnsi="Times New Roman" w:cs="Times New Roman"/>
          <w:sz w:val="24"/>
          <w:szCs w:val="24"/>
        </w:rPr>
        <w:tab/>
        <w:t>This Supporting Statement provides information on the proposed F</w:t>
      </w:r>
      <w:r w:rsidR="00E929C8">
        <w:rPr>
          <w:rFonts w:ascii="Times New Roman" w:hAnsi="Times New Roman" w:cs="Times New Roman"/>
          <w:sz w:val="24"/>
          <w:szCs w:val="24"/>
        </w:rPr>
        <w:t>amily Self-Sufficiency</w:t>
      </w:r>
      <w:r w:rsidR="006A7213">
        <w:rPr>
          <w:rFonts w:ascii="Times New Roman" w:hAnsi="Times New Roman" w:cs="Times New Roman"/>
          <w:sz w:val="24"/>
          <w:szCs w:val="24"/>
        </w:rPr>
        <w:t xml:space="preserve"> program</w:t>
      </w:r>
      <w:r w:rsidR="00E929C8">
        <w:rPr>
          <w:rFonts w:ascii="Times New Roman" w:hAnsi="Times New Roman" w:cs="Times New Roman"/>
          <w:sz w:val="24"/>
          <w:szCs w:val="24"/>
        </w:rPr>
        <w:t xml:space="preserve"> </w:t>
      </w:r>
      <w:r w:rsidR="006A7213">
        <w:rPr>
          <w:rFonts w:ascii="Times New Roman" w:hAnsi="Times New Roman" w:cs="Times New Roman"/>
          <w:sz w:val="24"/>
          <w:szCs w:val="24"/>
        </w:rPr>
        <w:t xml:space="preserve">(FSS) </w:t>
      </w:r>
      <w:r w:rsidR="00A0493C">
        <w:rPr>
          <w:rFonts w:ascii="Times New Roman" w:hAnsi="Times New Roman" w:cs="Times New Roman"/>
          <w:sz w:val="24"/>
          <w:szCs w:val="24"/>
        </w:rPr>
        <w:t>l</w:t>
      </w:r>
      <w:r w:rsidRPr="00511484">
        <w:rPr>
          <w:rFonts w:ascii="Times New Roman" w:hAnsi="Times New Roman" w:cs="Times New Roman"/>
          <w:sz w:val="24"/>
          <w:szCs w:val="24"/>
        </w:rPr>
        <w:t>ong-</w:t>
      </w:r>
      <w:r w:rsidR="00A0493C">
        <w:rPr>
          <w:rFonts w:ascii="Times New Roman" w:hAnsi="Times New Roman" w:cs="Times New Roman"/>
          <w:sz w:val="24"/>
          <w:szCs w:val="24"/>
        </w:rPr>
        <w:t>t</w:t>
      </w:r>
      <w:r w:rsidRPr="00511484">
        <w:rPr>
          <w:rFonts w:ascii="Times New Roman" w:hAnsi="Times New Roman" w:cs="Times New Roman"/>
          <w:sz w:val="24"/>
          <w:szCs w:val="24"/>
        </w:rPr>
        <w:t xml:space="preserve">erm </w:t>
      </w:r>
      <w:r w:rsidR="00A0493C">
        <w:rPr>
          <w:rFonts w:ascii="Times New Roman" w:hAnsi="Times New Roman" w:cs="Times New Roman"/>
          <w:sz w:val="24"/>
          <w:szCs w:val="24"/>
        </w:rPr>
        <w:t>f</w:t>
      </w:r>
      <w:r w:rsidRPr="00511484">
        <w:rPr>
          <w:rFonts w:ascii="Times New Roman" w:hAnsi="Times New Roman" w:cs="Times New Roman"/>
          <w:sz w:val="24"/>
          <w:szCs w:val="24"/>
        </w:rPr>
        <w:t>ollow-</w:t>
      </w:r>
      <w:r w:rsidR="00A0493C">
        <w:rPr>
          <w:rFonts w:ascii="Times New Roman" w:hAnsi="Times New Roman" w:cs="Times New Roman"/>
          <w:sz w:val="24"/>
          <w:szCs w:val="24"/>
        </w:rPr>
        <w:t>u</w:t>
      </w:r>
      <w:r w:rsidRPr="00511484">
        <w:rPr>
          <w:rFonts w:ascii="Times New Roman" w:hAnsi="Times New Roman" w:cs="Times New Roman"/>
          <w:sz w:val="24"/>
          <w:szCs w:val="24"/>
        </w:rPr>
        <w:t xml:space="preserve">p effort to further determine the effectiveness of FSS. It builds upon the baseline and interim follow-up data already collected and on the ongoing collection of data  </w:t>
      </w:r>
    </w:p>
    <w:p w:rsidRPr="00511484" w:rsidR="001B7F3F" w:rsidP="00435881" w:rsidRDefault="001B7F3F" w14:paraId="2B121DAE" w14:textId="73807543">
      <w:pPr>
        <w:keepLines/>
        <w:tabs>
          <w:tab w:val="left" w:pos="360"/>
        </w:tabs>
        <w:spacing w:after="80"/>
        <w:ind w:left="360" w:hanging="360"/>
        <w:jc w:val="both"/>
        <w:rPr>
          <w:rFonts w:ascii="Times New Roman" w:hAnsi="Times New Roman" w:cs="Times New Roman"/>
          <w:sz w:val="24"/>
          <w:szCs w:val="24"/>
        </w:rPr>
      </w:pPr>
      <w:r w:rsidRPr="00511484">
        <w:rPr>
          <w:rFonts w:ascii="Times New Roman" w:hAnsi="Times New Roman" w:cs="Times New Roman"/>
          <w:b/>
          <w:sz w:val="24"/>
          <w:szCs w:val="24"/>
        </w:rPr>
        <w:tab/>
      </w:r>
      <w:r w:rsidRPr="00E40822">
        <w:rPr>
          <w:rFonts w:ascii="Times New Roman" w:hAnsi="Times New Roman" w:cs="Times New Roman"/>
          <w:sz w:val="24"/>
          <w:szCs w:val="24"/>
        </w:rPr>
        <w:t xml:space="preserve">The primary goal of the Family Self-Sufficiency evaluation is to build evidence about the program’s </w:t>
      </w:r>
      <w:r w:rsidRPr="00E40822" w:rsidR="00F45F83">
        <w:rPr>
          <w:rFonts w:ascii="Times New Roman" w:hAnsi="Times New Roman" w:cs="Times New Roman"/>
          <w:sz w:val="24"/>
          <w:szCs w:val="24"/>
        </w:rPr>
        <w:t xml:space="preserve">effectiveness </w:t>
      </w:r>
      <w:r w:rsidRPr="00E40822">
        <w:rPr>
          <w:rFonts w:ascii="Times New Roman" w:hAnsi="Times New Roman" w:cs="Times New Roman"/>
          <w:sz w:val="24"/>
          <w:szCs w:val="24"/>
        </w:rPr>
        <w:t xml:space="preserve">at helping housing-assisted populations secure and maintain employment and gain independence from public support programs.  </w:t>
      </w:r>
      <w:r w:rsidRPr="00E40822" w:rsidR="00F74BDF">
        <w:rPr>
          <w:rFonts w:ascii="Times New Roman" w:hAnsi="Times New Roman" w:cs="Times New Roman"/>
          <w:sz w:val="24"/>
          <w:szCs w:val="24"/>
        </w:rPr>
        <w:t>In 20</w:t>
      </w:r>
      <w:r w:rsidR="009D7AC5">
        <w:rPr>
          <w:rFonts w:ascii="Times New Roman" w:hAnsi="Times New Roman" w:cs="Times New Roman"/>
          <w:sz w:val="24"/>
          <w:szCs w:val="24"/>
        </w:rPr>
        <w:t>1</w:t>
      </w:r>
      <w:r w:rsidR="008A5D60">
        <w:rPr>
          <w:rFonts w:ascii="Times New Roman" w:hAnsi="Times New Roman" w:cs="Times New Roman"/>
          <w:sz w:val="24"/>
          <w:szCs w:val="24"/>
        </w:rPr>
        <w:t>8</w:t>
      </w:r>
      <w:r w:rsidRPr="00E40822" w:rsidR="00F74BDF">
        <w:rPr>
          <w:rFonts w:ascii="Times New Roman" w:hAnsi="Times New Roman" w:cs="Times New Roman"/>
          <w:sz w:val="24"/>
          <w:szCs w:val="24"/>
        </w:rPr>
        <w:t>, a</w:t>
      </w:r>
      <w:r w:rsidRPr="00E40822" w:rsidR="00070962">
        <w:rPr>
          <w:rFonts w:ascii="Times New Roman" w:hAnsi="Times New Roman" w:cs="Times New Roman"/>
          <w:sz w:val="24"/>
          <w:szCs w:val="24"/>
        </w:rPr>
        <w:t>t the end of th</w:t>
      </w:r>
      <w:r w:rsidRPr="00E40822" w:rsidR="00F74BDF">
        <w:rPr>
          <w:rFonts w:ascii="Times New Roman" w:hAnsi="Times New Roman" w:cs="Times New Roman"/>
          <w:sz w:val="24"/>
          <w:szCs w:val="24"/>
        </w:rPr>
        <w:t xml:space="preserve">e base </w:t>
      </w:r>
      <w:r w:rsidRPr="00E40822" w:rsidR="00070962">
        <w:rPr>
          <w:rFonts w:ascii="Times New Roman" w:hAnsi="Times New Roman" w:cs="Times New Roman"/>
          <w:sz w:val="24"/>
          <w:szCs w:val="24"/>
        </w:rPr>
        <w:t>evaluation</w:t>
      </w:r>
      <w:r w:rsidRPr="00E40822" w:rsidR="00F74BDF">
        <w:rPr>
          <w:rFonts w:ascii="Times New Roman" w:hAnsi="Times New Roman" w:cs="Times New Roman"/>
          <w:sz w:val="24"/>
          <w:szCs w:val="24"/>
        </w:rPr>
        <w:t xml:space="preserve">, </w:t>
      </w:r>
      <w:r w:rsidR="00201854">
        <w:rPr>
          <w:rFonts w:ascii="Times New Roman" w:hAnsi="Times New Roman" w:cs="Times New Roman"/>
          <w:sz w:val="24"/>
          <w:szCs w:val="24"/>
        </w:rPr>
        <w:t>U.S. Department of Housing and Urban Development (</w:t>
      </w:r>
      <w:r w:rsidRPr="00E40822" w:rsidR="00070962">
        <w:rPr>
          <w:rFonts w:ascii="Times New Roman" w:hAnsi="Times New Roman" w:cs="Times New Roman"/>
          <w:sz w:val="24"/>
          <w:szCs w:val="24"/>
        </w:rPr>
        <w:t>HUD</w:t>
      </w:r>
      <w:r w:rsidR="00201854">
        <w:rPr>
          <w:rFonts w:ascii="Times New Roman" w:hAnsi="Times New Roman" w:cs="Times New Roman"/>
          <w:sz w:val="24"/>
          <w:szCs w:val="24"/>
        </w:rPr>
        <w:t>)</w:t>
      </w:r>
      <w:r w:rsidRPr="00E40822" w:rsidR="00070962">
        <w:rPr>
          <w:rFonts w:ascii="Times New Roman" w:hAnsi="Times New Roman" w:cs="Times New Roman"/>
          <w:sz w:val="24"/>
          <w:szCs w:val="24"/>
        </w:rPr>
        <w:t xml:space="preserve"> awarded MDRC an extension to continue the evaluation effort through September 2021</w:t>
      </w:r>
      <w:r w:rsidRPr="00E40822" w:rsidR="00E40822">
        <w:rPr>
          <w:rFonts w:ascii="Times New Roman" w:hAnsi="Times New Roman" w:cs="Times New Roman"/>
          <w:sz w:val="24"/>
          <w:szCs w:val="24"/>
        </w:rPr>
        <w:t>,</w:t>
      </w:r>
      <w:r w:rsidR="00A10226">
        <w:rPr>
          <w:rFonts w:ascii="Times New Roman" w:hAnsi="Times New Roman" w:cs="Times New Roman"/>
          <w:sz w:val="24"/>
          <w:szCs w:val="24"/>
        </w:rPr>
        <w:t xml:space="preserve"> </w:t>
      </w:r>
      <w:r w:rsidRPr="00E40822" w:rsidR="00070962">
        <w:rPr>
          <w:rFonts w:ascii="Times New Roman" w:hAnsi="Times New Roman" w:cs="Times New Roman"/>
          <w:sz w:val="24"/>
          <w:szCs w:val="24"/>
        </w:rPr>
        <w:t xml:space="preserve">allowing the study to follow participants through the end of their FSS contracts and </w:t>
      </w:r>
      <w:r w:rsidRPr="00E40822" w:rsidR="00070962">
        <w:rPr>
          <w:rFonts w:ascii="Times New Roman" w:hAnsi="Times New Roman" w:cs="Times New Roman"/>
          <w:color w:val="000000"/>
          <w:sz w:val="24"/>
          <w:szCs w:val="24"/>
        </w:rPr>
        <w:t>examine the following types of questions: How do FSS participants fare over the full length of the five-year FSS program? What is the program’s longer-term effect on employment, earnings, and housing assistance outcomes? What are its benefits and costs? What are the program experiences, graduation rates, and escrow disbursements for FSS participants? What are the circumstances of the FSS “</w:t>
      </w:r>
      <w:proofErr w:type="spellStart"/>
      <w:r w:rsidRPr="00E40822" w:rsidR="00070962">
        <w:rPr>
          <w:rFonts w:ascii="Times New Roman" w:hAnsi="Times New Roman" w:cs="Times New Roman"/>
          <w:color w:val="000000"/>
          <w:sz w:val="24"/>
          <w:szCs w:val="24"/>
        </w:rPr>
        <w:t>exiters</w:t>
      </w:r>
      <w:proofErr w:type="spellEnd"/>
      <w:r w:rsidRPr="00E40822" w:rsidR="00070962">
        <w:rPr>
          <w:rFonts w:ascii="Times New Roman" w:hAnsi="Times New Roman" w:cs="Times New Roman"/>
          <w:color w:val="000000"/>
          <w:sz w:val="24"/>
          <w:szCs w:val="24"/>
        </w:rPr>
        <w:t>”</w:t>
      </w:r>
      <w:r w:rsidR="000C12D8">
        <w:rPr>
          <w:rFonts w:ascii="Times New Roman" w:hAnsi="Times New Roman" w:cs="Times New Roman"/>
          <w:color w:val="000000"/>
          <w:sz w:val="24"/>
          <w:szCs w:val="24"/>
        </w:rPr>
        <w:t>?</w:t>
      </w:r>
      <w:r w:rsidRPr="00E40822" w:rsidR="00070962">
        <w:rPr>
          <w:rFonts w:ascii="Times New Roman" w:hAnsi="Times New Roman" w:cs="Times New Roman"/>
        </w:rPr>
        <w:t xml:space="preserve"> </w:t>
      </w:r>
      <w:r w:rsidRPr="00E40822">
        <w:rPr>
          <w:rFonts w:ascii="Times New Roman" w:hAnsi="Times New Roman" w:cs="Times New Roman"/>
          <w:sz w:val="24"/>
          <w:szCs w:val="24"/>
        </w:rPr>
        <w:t>The</w:t>
      </w:r>
      <w:r w:rsidRPr="001E33B5">
        <w:rPr>
          <w:rFonts w:ascii="Times New Roman" w:hAnsi="Times New Roman" w:cs="Times New Roman"/>
          <w:sz w:val="24"/>
          <w:szCs w:val="24"/>
        </w:rPr>
        <w:t xml:space="preserve"> </w:t>
      </w:r>
      <w:r w:rsidR="00756561">
        <w:rPr>
          <w:rFonts w:ascii="Times New Roman" w:hAnsi="Times New Roman" w:cs="Times New Roman"/>
          <w:sz w:val="24"/>
          <w:szCs w:val="24"/>
        </w:rPr>
        <w:t>l</w:t>
      </w:r>
      <w:r w:rsidRPr="001E33B5" w:rsidR="00193509">
        <w:rPr>
          <w:rFonts w:ascii="Times New Roman" w:hAnsi="Times New Roman" w:cs="Times New Roman"/>
          <w:sz w:val="24"/>
          <w:szCs w:val="24"/>
        </w:rPr>
        <w:t>ong-</w:t>
      </w:r>
      <w:r w:rsidR="00756561">
        <w:rPr>
          <w:rFonts w:ascii="Times New Roman" w:hAnsi="Times New Roman" w:cs="Times New Roman"/>
          <w:sz w:val="24"/>
          <w:szCs w:val="24"/>
        </w:rPr>
        <w:t>t</w:t>
      </w:r>
      <w:r w:rsidRPr="001E33B5" w:rsidR="00193509">
        <w:rPr>
          <w:rFonts w:ascii="Times New Roman" w:hAnsi="Times New Roman" w:cs="Times New Roman"/>
          <w:sz w:val="24"/>
          <w:szCs w:val="24"/>
        </w:rPr>
        <w:t xml:space="preserve">erm </w:t>
      </w:r>
      <w:r w:rsidR="00756561">
        <w:rPr>
          <w:rFonts w:ascii="Times New Roman" w:hAnsi="Times New Roman" w:cs="Times New Roman"/>
          <w:sz w:val="24"/>
          <w:szCs w:val="24"/>
        </w:rPr>
        <w:t>f</w:t>
      </w:r>
      <w:r w:rsidRPr="001E33B5" w:rsidR="00193509">
        <w:rPr>
          <w:rFonts w:ascii="Times New Roman" w:hAnsi="Times New Roman" w:cs="Times New Roman"/>
          <w:sz w:val="24"/>
          <w:szCs w:val="24"/>
        </w:rPr>
        <w:t>ollow-</w:t>
      </w:r>
      <w:r w:rsidR="00756561">
        <w:rPr>
          <w:rFonts w:ascii="Times New Roman" w:hAnsi="Times New Roman" w:cs="Times New Roman"/>
          <w:sz w:val="24"/>
          <w:szCs w:val="24"/>
        </w:rPr>
        <w:t>u</w:t>
      </w:r>
      <w:r w:rsidRPr="001E33B5" w:rsidR="00193509">
        <w:rPr>
          <w:rFonts w:ascii="Times New Roman" w:hAnsi="Times New Roman" w:cs="Times New Roman"/>
          <w:sz w:val="24"/>
          <w:szCs w:val="24"/>
        </w:rPr>
        <w:t>p S</w:t>
      </w:r>
      <w:r w:rsidRPr="001E33B5">
        <w:rPr>
          <w:rFonts w:ascii="Times New Roman" w:hAnsi="Times New Roman" w:cs="Times New Roman"/>
          <w:sz w:val="24"/>
          <w:szCs w:val="24"/>
        </w:rPr>
        <w:t>urvey</w:t>
      </w:r>
      <w:r w:rsidR="00216FE3">
        <w:rPr>
          <w:rFonts w:ascii="Times New Roman" w:hAnsi="Times New Roman" w:cs="Times New Roman"/>
          <w:sz w:val="24"/>
          <w:szCs w:val="24"/>
        </w:rPr>
        <w:t xml:space="preserve">, the focus of this OMB package, </w:t>
      </w:r>
      <w:r w:rsidRPr="001E33B5">
        <w:rPr>
          <w:rFonts w:ascii="Times New Roman" w:hAnsi="Times New Roman" w:cs="Times New Roman"/>
          <w:sz w:val="24"/>
          <w:szCs w:val="24"/>
        </w:rPr>
        <w:t xml:space="preserve">will </w:t>
      </w:r>
      <w:r w:rsidR="00216FE3">
        <w:rPr>
          <w:rFonts w:ascii="Times New Roman" w:hAnsi="Times New Roman" w:cs="Times New Roman"/>
          <w:sz w:val="24"/>
          <w:szCs w:val="24"/>
        </w:rPr>
        <w:t xml:space="preserve">be the main data source for </w:t>
      </w:r>
      <w:proofErr w:type="gramStart"/>
      <w:r w:rsidR="00216FE3">
        <w:rPr>
          <w:rFonts w:ascii="Times New Roman" w:hAnsi="Times New Roman" w:cs="Times New Roman"/>
          <w:sz w:val="24"/>
          <w:szCs w:val="24"/>
        </w:rPr>
        <w:t>a number of</w:t>
      </w:r>
      <w:proofErr w:type="gramEnd"/>
      <w:r w:rsidR="00216FE3">
        <w:rPr>
          <w:rFonts w:ascii="Times New Roman" w:hAnsi="Times New Roman" w:cs="Times New Roman"/>
          <w:sz w:val="24"/>
          <w:szCs w:val="24"/>
        </w:rPr>
        <w:t xml:space="preserve"> the long-term </w:t>
      </w:r>
      <w:r w:rsidRPr="001E33B5">
        <w:rPr>
          <w:rFonts w:ascii="Times New Roman" w:hAnsi="Times New Roman" w:cs="Times New Roman"/>
          <w:sz w:val="24"/>
          <w:szCs w:val="24"/>
        </w:rPr>
        <w:t xml:space="preserve">outcomes that are hypothesized in the FSS Model that cannot be measured using administrative records alone. These include, for example, material hardship, </w:t>
      </w:r>
      <w:r w:rsidR="00DA701E">
        <w:rPr>
          <w:rFonts w:ascii="Times New Roman" w:hAnsi="Times New Roman" w:cs="Times New Roman"/>
          <w:sz w:val="24"/>
          <w:szCs w:val="24"/>
        </w:rPr>
        <w:t xml:space="preserve">perceived </w:t>
      </w:r>
      <w:r w:rsidRPr="001E33B5">
        <w:rPr>
          <w:rFonts w:ascii="Times New Roman" w:hAnsi="Times New Roman" w:cs="Times New Roman"/>
          <w:sz w:val="24"/>
          <w:szCs w:val="24"/>
        </w:rPr>
        <w:t>financial well-being</w:t>
      </w:r>
      <w:r w:rsidR="00DA701E">
        <w:rPr>
          <w:rFonts w:ascii="Times New Roman" w:hAnsi="Times New Roman" w:cs="Times New Roman"/>
          <w:sz w:val="24"/>
          <w:szCs w:val="24"/>
        </w:rPr>
        <w:t xml:space="preserve">, </w:t>
      </w:r>
      <w:r w:rsidRPr="001E33B5">
        <w:rPr>
          <w:rFonts w:ascii="Times New Roman" w:hAnsi="Times New Roman" w:cs="Times New Roman"/>
          <w:sz w:val="24"/>
          <w:szCs w:val="24"/>
        </w:rPr>
        <w:t>employment characteristics and educational attainment.</w:t>
      </w:r>
    </w:p>
    <w:p w:rsidRPr="00316D2F" w:rsidR="00D53DA6" w:rsidP="00435881" w:rsidRDefault="00690083" w14:paraId="764CE9A5" w14:textId="4086FEBD">
      <w:pPr>
        <w:keepLines/>
        <w:tabs>
          <w:tab w:val="left" w:pos="360"/>
        </w:tabs>
        <w:spacing w:after="80"/>
        <w:jc w:val="both"/>
        <w:rPr>
          <w:rFonts w:ascii="Times New Roman" w:hAnsi="Times New Roman" w:cs="Times New Roman"/>
          <w:b/>
          <w:bCs/>
          <w:sz w:val="24"/>
          <w:szCs w:val="24"/>
        </w:rPr>
      </w:pPr>
      <w:r w:rsidRPr="00511484">
        <w:rPr>
          <w:rFonts w:ascii="Times New Roman" w:hAnsi="Times New Roman" w:cs="Times New Roman"/>
          <w:sz w:val="24"/>
          <w:szCs w:val="24"/>
        </w:rPr>
        <w:tab/>
      </w:r>
      <w:r w:rsidR="00FD67C8">
        <w:rPr>
          <w:rFonts w:ascii="Times New Roman" w:hAnsi="Times New Roman" w:cs="Times New Roman"/>
          <w:sz w:val="24"/>
          <w:szCs w:val="24"/>
        </w:rPr>
        <w:tab/>
      </w:r>
      <w:r w:rsidRPr="00316D2F" w:rsidR="004F5204">
        <w:rPr>
          <w:rFonts w:ascii="Times New Roman" w:hAnsi="Times New Roman" w:cs="Times New Roman"/>
          <w:b/>
          <w:bCs/>
          <w:sz w:val="24"/>
          <w:szCs w:val="24"/>
        </w:rPr>
        <w:t>Additional bac</w:t>
      </w:r>
      <w:r w:rsidRPr="00316D2F" w:rsidR="00316D2F">
        <w:rPr>
          <w:rFonts w:ascii="Times New Roman" w:hAnsi="Times New Roman" w:cs="Times New Roman"/>
          <w:b/>
          <w:bCs/>
          <w:sz w:val="24"/>
          <w:szCs w:val="24"/>
        </w:rPr>
        <w:t xml:space="preserve">kground on </w:t>
      </w:r>
      <w:r w:rsidRPr="00316D2F" w:rsidR="00D53DA6">
        <w:rPr>
          <w:rFonts w:ascii="Times New Roman" w:hAnsi="Times New Roman" w:cs="Times New Roman"/>
          <w:b/>
          <w:bCs/>
          <w:sz w:val="24"/>
          <w:szCs w:val="24"/>
        </w:rPr>
        <w:t xml:space="preserve">the FSS </w:t>
      </w:r>
      <w:r w:rsidRPr="00316D2F" w:rsidR="00241998">
        <w:rPr>
          <w:rFonts w:ascii="Times New Roman" w:hAnsi="Times New Roman" w:cs="Times New Roman"/>
          <w:b/>
          <w:bCs/>
          <w:sz w:val="24"/>
          <w:szCs w:val="24"/>
        </w:rPr>
        <w:t>e</w:t>
      </w:r>
      <w:r w:rsidRPr="00316D2F" w:rsidR="00D53DA6">
        <w:rPr>
          <w:rFonts w:ascii="Times New Roman" w:hAnsi="Times New Roman" w:cs="Times New Roman"/>
          <w:b/>
          <w:bCs/>
          <w:sz w:val="24"/>
          <w:szCs w:val="24"/>
        </w:rPr>
        <w:t>valuation</w:t>
      </w:r>
    </w:p>
    <w:p w:rsidRPr="00511484" w:rsidR="00D53DA6" w:rsidP="00435881" w:rsidRDefault="00D53DA6" w14:paraId="5512E896" w14:textId="68A884FE">
      <w:pPr>
        <w:keepLines/>
        <w:tabs>
          <w:tab w:val="left" w:pos="360"/>
        </w:tabs>
        <w:spacing w:after="80"/>
        <w:ind w:left="360" w:hanging="360"/>
        <w:jc w:val="both"/>
        <w:rPr>
          <w:rFonts w:ascii="Times New Roman" w:hAnsi="Times New Roman" w:cs="Times New Roman"/>
          <w:sz w:val="24"/>
          <w:szCs w:val="24"/>
        </w:rPr>
      </w:pPr>
      <w:r w:rsidRPr="00511484">
        <w:rPr>
          <w:rFonts w:ascii="Times New Roman" w:hAnsi="Times New Roman" w:cs="Times New Roman"/>
          <w:sz w:val="24"/>
          <w:szCs w:val="24"/>
        </w:rPr>
        <w:tab/>
      </w:r>
      <w:r w:rsidR="00A02D79">
        <w:rPr>
          <w:rFonts w:ascii="Times New Roman" w:hAnsi="Times New Roman" w:cs="Times New Roman"/>
          <w:sz w:val="24"/>
          <w:szCs w:val="24"/>
        </w:rPr>
        <w:t xml:space="preserve">The MDRC-led FSS evaluation is </w:t>
      </w:r>
      <w:r w:rsidRPr="00511484">
        <w:rPr>
          <w:rFonts w:ascii="Times New Roman" w:hAnsi="Times New Roman" w:cs="Times New Roman"/>
          <w:sz w:val="24"/>
          <w:szCs w:val="24"/>
        </w:rPr>
        <w:t xml:space="preserve">structured around three research components: an impact analysis, an implementation and participation analysis, and a cost analysis.  </w:t>
      </w:r>
      <w:r w:rsidRPr="00511484" w:rsidR="003E0BCC">
        <w:rPr>
          <w:rFonts w:ascii="Times New Roman" w:hAnsi="Times New Roman" w:cs="Times New Roman"/>
          <w:sz w:val="24"/>
          <w:szCs w:val="24"/>
        </w:rPr>
        <w:t>The evaluation design is m</w:t>
      </w:r>
      <w:r w:rsidRPr="00511484">
        <w:rPr>
          <w:rFonts w:ascii="Times New Roman" w:hAnsi="Times New Roman" w:cs="Times New Roman"/>
          <w:sz w:val="24"/>
          <w:szCs w:val="24"/>
        </w:rPr>
        <w:t xml:space="preserve">ore fully described in the initial OMB submission package. </w:t>
      </w:r>
      <w:r w:rsidR="00A02D79">
        <w:rPr>
          <w:rFonts w:ascii="Times New Roman" w:hAnsi="Times New Roman" w:cs="Times New Roman"/>
          <w:sz w:val="24"/>
          <w:szCs w:val="24"/>
        </w:rPr>
        <w:t xml:space="preserve"> </w:t>
      </w:r>
    </w:p>
    <w:p w:rsidRPr="00511484" w:rsidR="00F37597" w:rsidP="00435881" w:rsidRDefault="00690083" w14:paraId="3B03F599" w14:textId="15BCB25C">
      <w:pPr>
        <w:keepLines/>
        <w:tabs>
          <w:tab w:val="left" w:pos="360"/>
        </w:tabs>
        <w:spacing w:after="80"/>
        <w:ind w:left="360" w:hanging="360"/>
        <w:jc w:val="both"/>
        <w:rPr>
          <w:rFonts w:ascii="Times New Roman" w:hAnsi="Times New Roman" w:cs="Times New Roman"/>
          <w:sz w:val="24"/>
          <w:szCs w:val="24"/>
        </w:rPr>
      </w:pPr>
      <w:r w:rsidRPr="00511484">
        <w:rPr>
          <w:rFonts w:ascii="Times New Roman" w:hAnsi="Times New Roman" w:cs="Times New Roman"/>
          <w:sz w:val="24"/>
          <w:szCs w:val="24"/>
        </w:rPr>
        <w:tab/>
      </w:r>
      <w:r w:rsidRPr="00511484" w:rsidR="00D53DA6">
        <w:rPr>
          <w:rFonts w:ascii="Times New Roman" w:hAnsi="Times New Roman" w:cs="Times New Roman"/>
          <w:sz w:val="24"/>
          <w:szCs w:val="24"/>
        </w:rPr>
        <w:t>The study is designed as a two-group randomized control trial (RCT) involving 2,55</w:t>
      </w:r>
      <w:r w:rsidR="00953186">
        <w:rPr>
          <w:rFonts w:ascii="Times New Roman" w:hAnsi="Times New Roman" w:cs="Times New Roman"/>
          <w:sz w:val="24"/>
          <w:szCs w:val="24"/>
        </w:rPr>
        <w:t>6</w:t>
      </w:r>
      <w:r w:rsidRPr="00FA2165" w:rsidR="00D53DA6">
        <w:rPr>
          <w:rFonts w:ascii="Times New Roman" w:hAnsi="Times New Roman" w:cs="Times New Roman"/>
          <w:sz w:val="24"/>
          <w:szCs w:val="24"/>
        </w:rPr>
        <w:t xml:space="preserve"> households across 18 public housing agencies (PHAs or si</w:t>
      </w:r>
      <w:r w:rsidRPr="00511484" w:rsidR="00D53DA6">
        <w:rPr>
          <w:rFonts w:ascii="Times New Roman" w:hAnsi="Times New Roman" w:cs="Times New Roman"/>
          <w:sz w:val="24"/>
          <w:szCs w:val="24"/>
        </w:rPr>
        <w:t>tes). Participants were randomly assigned to one of two groups:</w:t>
      </w:r>
    </w:p>
    <w:p w:rsidRPr="00511484" w:rsidR="00F37597" w:rsidP="00435881" w:rsidRDefault="00D53DA6" w14:paraId="3D5C8CBB" w14:textId="77777777">
      <w:pPr>
        <w:pStyle w:val="ListParagraph"/>
        <w:keepLines/>
        <w:numPr>
          <w:ilvl w:val="0"/>
          <w:numId w:val="14"/>
        </w:numPr>
        <w:tabs>
          <w:tab w:val="left" w:pos="360"/>
        </w:tabs>
        <w:spacing w:after="80"/>
        <w:jc w:val="both"/>
        <w:rPr>
          <w:rFonts w:ascii="Times New Roman" w:hAnsi="Times New Roman" w:cs="Times New Roman"/>
          <w:sz w:val="24"/>
          <w:szCs w:val="24"/>
        </w:rPr>
      </w:pPr>
      <w:r w:rsidRPr="00D24FB0">
        <w:rPr>
          <w:rFonts w:ascii="Times New Roman" w:hAnsi="Times New Roman" w:cs="Times New Roman"/>
          <w:b/>
          <w:bCs/>
          <w:sz w:val="24"/>
          <w:szCs w:val="24"/>
        </w:rPr>
        <w:t>FSS group.</w:t>
      </w:r>
      <w:r w:rsidRPr="003F63A6">
        <w:rPr>
          <w:rFonts w:ascii="Times New Roman" w:hAnsi="Times New Roman" w:cs="Times New Roman"/>
          <w:sz w:val="24"/>
          <w:szCs w:val="24"/>
        </w:rPr>
        <w:t xml:space="preserve"> These individuals have access to the FSS program’s case management and escrow account. </w:t>
      </w:r>
    </w:p>
    <w:p w:rsidRPr="003F63A6" w:rsidR="00D53DA6" w:rsidP="00435881" w:rsidRDefault="00D53DA6" w14:paraId="2B2B4796" w14:textId="232579B4">
      <w:pPr>
        <w:pStyle w:val="ListParagraph"/>
        <w:keepLines/>
        <w:numPr>
          <w:ilvl w:val="0"/>
          <w:numId w:val="14"/>
        </w:numPr>
        <w:tabs>
          <w:tab w:val="left" w:pos="360"/>
        </w:tabs>
        <w:spacing w:after="80"/>
        <w:jc w:val="both"/>
        <w:rPr>
          <w:rFonts w:ascii="Times New Roman" w:hAnsi="Times New Roman" w:cs="Times New Roman"/>
          <w:sz w:val="24"/>
          <w:szCs w:val="24"/>
        </w:rPr>
      </w:pPr>
      <w:r w:rsidRPr="00D24FB0">
        <w:rPr>
          <w:rFonts w:ascii="Times New Roman" w:hAnsi="Times New Roman" w:cs="Times New Roman"/>
          <w:b/>
          <w:bCs/>
          <w:sz w:val="24"/>
          <w:szCs w:val="24"/>
        </w:rPr>
        <w:t>Control group.</w:t>
      </w:r>
      <w:r w:rsidRPr="003F63A6">
        <w:rPr>
          <w:rFonts w:ascii="Times New Roman" w:hAnsi="Times New Roman" w:cs="Times New Roman"/>
          <w:sz w:val="24"/>
          <w:szCs w:val="24"/>
        </w:rPr>
        <w:t xml:space="preserve"> These individuals will not be enrolled in FSS and will not have access to FSS case management or escrow</w:t>
      </w:r>
      <w:r w:rsidR="00515687">
        <w:rPr>
          <w:rFonts w:ascii="Times New Roman" w:hAnsi="Times New Roman" w:cs="Times New Roman"/>
          <w:sz w:val="24"/>
          <w:szCs w:val="24"/>
        </w:rPr>
        <w:t xml:space="preserve"> for 3 years</w:t>
      </w:r>
      <w:r w:rsidR="00A822C3">
        <w:rPr>
          <w:rFonts w:ascii="Times New Roman" w:hAnsi="Times New Roman" w:cs="Times New Roman"/>
          <w:sz w:val="24"/>
          <w:szCs w:val="24"/>
        </w:rPr>
        <w:t xml:space="preserve"> following random assignment.</w:t>
      </w:r>
    </w:p>
    <w:p w:rsidRPr="00511484" w:rsidR="00F37597" w:rsidP="00435881" w:rsidRDefault="00F37597" w14:paraId="4AE405D3" w14:textId="33667542">
      <w:pPr>
        <w:keepLines/>
        <w:tabs>
          <w:tab w:val="left" w:pos="360"/>
        </w:tabs>
        <w:spacing w:after="80"/>
        <w:ind w:left="360" w:hanging="360"/>
        <w:jc w:val="both"/>
        <w:rPr>
          <w:rFonts w:ascii="Times New Roman" w:hAnsi="Times New Roman" w:cs="Times New Roman"/>
          <w:sz w:val="24"/>
          <w:szCs w:val="24"/>
        </w:rPr>
      </w:pPr>
      <w:r w:rsidRPr="00511484">
        <w:rPr>
          <w:rFonts w:ascii="Times New Roman" w:hAnsi="Times New Roman" w:cs="Times New Roman"/>
          <w:sz w:val="24"/>
          <w:szCs w:val="24"/>
        </w:rPr>
        <w:tab/>
      </w:r>
      <w:r w:rsidR="00BB448E">
        <w:rPr>
          <w:rFonts w:ascii="Times New Roman" w:hAnsi="Times New Roman" w:cs="Times New Roman"/>
          <w:sz w:val="24"/>
          <w:szCs w:val="24"/>
        </w:rPr>
        <w:t>R</w:t>
      </w:r>
      <w:r w:rsidRPr="00A15383" w:rsidR="00D53DA6">
        <w:rPr>
          <w:rFonts w:ascii="Times New Roman" w:hAnsi="Times New Roman" w:cs="Times New Roman"/>
          <w:sz w:val="24"/>
          <w:szCs w:val="24"/>
        </w:rPr>
        <w:t>and</w:t>
      </w:r>
      <w:r w:rsidRPr="00241998" w:rsidR="00D53DA6">
        <w:rPr>
          <w:rFonts w:ascii="Times New Roman" w:hAnsi="Times New Roman" w:cs="Times New Roman"/>
          <w:sz w:val="24"/>
          <w:szCs w:val="24"/>
        </w:rPr>
        <w:t>om assignment helps eliminate systematic differences between the program and control groups prior to the start of the program and any subsequent differences in outcomes – for example, differences in employment or earnings and differences in family income a</w:t>
      </w:r>
      <w:r w:rsidRPr="00511484" w:rsidR="00D53DA6">
        <w:rPr>
          <w:rFonts w:ascii="Times New Roman" w:hAnsi="Times New Roman" w:cs="Times New Roman"/>
          <w:sz w:val="24"/>
          <w:szCs w:val="24"/>
        </w:rPr>
        <w:t xml:space="preserve">nd poverty—can be attributed to the program with confidence.  </w:t>
      </w:r>
    </w:p>
    <w:p w:rsidRPr="003F63A6" w:rsidR="00D53DA6" w:rsidP="00435881" w:rsidRDefault="00202335" w14:paraId="4AF01959" w14:textId="04A8B5F6">
      <w:pPr>
        <w:keepLines/>
        <w:tabs>
          <w:tab w:val="left" w:pos="360"/>
        </w:tabs>
        <w:spacing w:after="80"/>
        <w:ind w:left="360" w:hanging="360"/>
        <w:jc w:val="both"/>
        <w:rPr>
          <w:rFonts w:ascii="Times New Roman" w:hAnsi="Times New Roman" w:cs="Times New Roman"/>
          <w:b/>
          <w:bCs/>
          <w:sz w:val="24"/>
          <w:szCs w:val="24"/>
        </w:rPr>
      </w:pPr>
      <w:r w:rsidRPr="00241998">
        <w:rPr>
          <w:rFonts w:ascii="Times New Roman" w:hAnsi="Times New Roman" w:cs="Times New Roman"/>
          <w:sz w:val="24"/>
          <w:szCs w:val="24"/>
        </w:rPr>
        <w:lastRenderedPageBreak/>
        <w:tab/>
      </w:r>
      <w:r w:rsidRPr="00241998">
        <w:rPr>
          <w:rFonts w:ascii="Times New Roman" w:hAnsi="Times New Roman" w:cs="Times New Roman"/>
          <w:sz w:val="24"/>
          <w:szCs w:val="24"/>
        </w:rPr>
        <w:tab/>
      </w:r>
      <w:r w:rsidRPr="003A3851" w:rsidR="00B571EB">
        <w:rPr>
          <w:rFonts w:ascii="Times New Roman" w:hAnsi="Times New Roman" w:cs="Times New Roman"/>
          <w:b/>
          <w:bCs/>
          <w:sz w:val="24"/>
          <w:szCs w:val="24"/>
        </w:rPr>
        <w:t xml:space="preserve">Contribution of the FSS </w:t>
      </w:r>
      <w:r w:rsidR="00241998">
        <w:rPr>
          <w:rFonts w:ascii="Times New Roman" w:hAnsi="Times New Roman" w:cs="Times New Roman"/>
          <w:b/>
          <w:bCs/>
          <w:sz w:val="24"/>
          <w:szCs w:val="24"/>
        </w:rPr>
        <w:t>l</w:t>
      </w:r>
      <w:r w:rsidRPr="00241998" w:rsidR="00B571EB">
        <w:rPr>
          <w:rFonts w:ascii="Times New Roman" w:hAnsi="Times New Roman" w:cs="Times New Roman"/>
          <w:b/>
          <w:bCs/>
          <w:sz w:val="24"/>
          <w:szCs w:val="24"/>
        </w:rPr>
        <w:t>ong</w:t>
      </w:r>
      <w:r w:rsidRPr="003A3851" w:rsidR="00B571EB">
        <w:rPr>
          <w:rFonts w:ascii="Times New Roman" w:hAnsi="Times New Roman" w:cs="Times New Roman"/>
          <w:b/>
          <w:bCs/>
          <w:sz w:val="24"/>
          <w:szCs w:val="24"/>
        </w:rPr>
        <w:t>-</w:t>
      </w:r>
      <w:r w:rsidR="003A3851">
        <w:rPr>
          <w:rFonts w:ascii="Times New Roman" w:hAnsi="Times New Roman" w:cs="Times New Roman"/>
          <w:b/>
          <w:bCs/>
          <w:sz w:val="24"/>
          <w:szCs w:val="24"/>
        </w:rPr>
        <w:t>t</w:t>
      </w:r>
      <w:r w:rsidRPr="003A3851" w:rsidR="00B571EB">
        <w:rPr>
          <w:rFonts w:ascii="Times New Roman" w:hAnsi="Times New Roman" w:cs="Times New Roman"/>
          <w:b/>
          <w:bCs/>
          <w:sz w:val="24"/>
          <w:szCs w:val="24"/>
        </w:rPr>
        <w:t xml:space="preserve">erm </w:t>
      </w:r>
      <w:r w:rsidR="003A3851">
        <w:rPr>
          <w:rFonts w:ascii="Times New Roman" w:hAnsi="Times New Roman" w:cs="Times New Roman"/>
          <w:b/>
          <w:bCs/>
          <w:sz w:val="24"/>
          <w:szCs w:val="24"/>
        </w:rPr>
        <w:t>f</w:t>
      </w:r>
      <w:r w:rsidRPr="003A3851" w:rsidR="00B571EB">
        <w:rPr>
          <w:rFonts w:ascii="Times New Roman" w:hAnsi="Times New Roman" w:cs="Times New Roman"/>
          <w:b/>
          <w:bCs/>
          <w:sz w:val="24"/>
          <w:szCs w:val="24"/>
        </w:rPr>
        <w:t>ollow-</w:t>
      </w:r>
      <w:r w:rsidR="003A3851">
        <w:rPr>
          <w:rFonts w:ascii="Times New Roman" w:hAnsi="Times New Roman" w:cs="Times New Roman"/>
          <w:b/>
          <w:bCs/>
          <w:sz w:val="24"/>
          <w:szCs w:val="24"/>
        </w:rPr>
        <w:t>u</w:t>
      </w:r>
      <w:r w:rsidRPr="003A3851" w:rsidR="00B571EB">
        <w:rPr>
          <w:rFonts w:ascii="Times New Roman" w:hAnsi="Times New Roman" w:cs="Times New Roman"/>
          <w:b/>
          <w:bCs/>
          <w:sz w:val="24"/>
          <w:szCs w:val="24"/>
        </w:rPr>
        <w:t xml:space="preserve">p </w:t>
      </w:r>
      <w:r w:rsidR="003A3851">
        <w:rPr>
          <w:rFonts w:ascii="Times New Roman" w:hAnsi="Times New Roman" w:cs="Times New Roman"/>
          <w:b/>
          <w:bCs/>
          <w:sz w:val="24"/>
          <w:szCs w:val="24"/>
        </w:rPr>
        <w:t>s</w:t>
      </w:r>
      <w:r w:rsidRPr="003A3851" w:rsidR="00B571EB">
        <w:rPr>
          <w:rFonts w:ascii="Times New Roman" w:hAnsi="Times New Roman" w:cs="Times New Roman"/>
          <w:b/>
          <w:bCs/>
          <w:sz w:val="24"/>
          <w:szCs w:val="24"/>
        </w:rPr>
        <w:t xml:space="preserve">urvey </w:t>
      </w:r>
    </w:p>
    <w:p w:rsidR="001B7F3F" w:rsidP="00435881" w:rsidRDefault="001B7F3F" w14:paraId="0E1D5AC9" w14:textId="19E60CC9">
      <w:pPr>
        <w:widowControl w:val="0"/>
        <w:ind w:left="360"/>
        <w:jc w:val="both"/>
        <w:rPr>
          <w:rFonts w:ascii="Times New Roman" w:hAnsi="Times New Roman" w:cs="Times New Roman"/>
          <w:sz w:val="24"/>
          <w:szCs w:val="24"/>
        </w:rPr>
      </w:pPr>
      <w:r w:rsidRPr="00511484">
        <w:rPr>
          <w:rFonts w:ascii="Times New Roman" w:hAnsi="Times New Roman" w:cs="Times New Roman"/>
          <w:sz w:val="24"/>
          <w:szCs w:val="24"/>
        </w:rPr>
        <w:t>The longer-term follow-up survey</w:t>
      </w:r>
      <w:r w:rsidR="008F5142">
        <w:rPr>
          <w:rFonts w:ascii="Times New Roman" w:hAnsi="Times New Roman" w:cs="Times New Roman"/>
          <w:sz w:val="24"/>
          <w:szCs w:val="24"/>
        </w:rPr>
        <w:t>, the subject of this OMB submission,</w:t>
      </w:r>
      <w:r w:rsidRPr="00511484">
        <w:rPr>
          <w:rFonts w:ascii="Times New Roman" w:hAnsi="Times New Roman" w:cs="Times New Roman"/>
          <w:sz w:val="24"/>
          <w:szCs w:val="24"/>
        </w:rPr>
        <w:t xml:space="preserve"> is critical for understanding the program’s effects over an extended period, especially after the program has ended for most study participants. In addition to helping examine program effects, the survey will also be used to understand the post-program experiences of former FSS participants, some of whom may have graduated from the program and received an escrow disbursement.  </w:t>
      </w:r>
    </w:p>
    <w:p w:rsidRPr="00511484" w:rsidR="008F5142" w:rsidP="00435881" w:rsidRDefault="008F5142" w14:paraId="1377582A" w14:textId="77777777">
      <w:pPr>
        <w:widowControl w:val="0"/>
        <w:ind w:left="360" w:firstLine="360"/>
        <w:jc w:val="both"/>
        <w:rPr>
          <w:rFonts w:ascii="Times New Roman" w:hAnsi="Times New Roman" w:cs="Times New Roman"/>
          <w:sz w:val="24"/>
          <w:szCs w:val="24"/>
        </w:rPr>
      </w:pPr>
    </w:p>
    <w:p w:rsidRPr="00511484" w:rsidR="001B7F3F" w:rsidP="00435881" w:rsidRDefault="0065588B" w14:paraId="3A5AD931" w14:textId="1FFA840C">
      <w:pPr>
        <w:widowControl w:val="0"/>
        <w:ind w:left="360"/>
        <w:jc w:val="both"/>
        <w:rPr>
          <w:rFonts w:ascii="Times New Roman" w:hAnsi="Times New Roman" w:cs="Times New Roman"/>
          <w:sz w:val="24"/>
          <w:szCs w:val="24"/>
        </w:rPr>
      </w:pPr>
      <w:r>
        <w:rPr>
          <w:rFonts w:ascii="Times New Roman" w:hAnsi="Times New Roman" w:cs="Times New Roman"/>
          <w:sz w:val="24"/>
          <w:szCs w:val="24"/>
        </w:rPr>
        <w:t>T</w:t>
      </w:r>
      <w:r w:rsidRPr="00511484" w:rsidR="001B7F3F">
        <w:rPr>
          <w:rFonts w:ascii="Times New Roman" w:hAnsi="Times New Roman" w:cs="Times New Roman"/>
          <w:sz w:val="24"/>
          <w:szCs w:val="24"/>
        </w:rPr>
        <w:t xml:space="preserve">he survey-based impact analysis will draw on questions administered to both the program and control group participants to examine the program’s effects on a wide range of outcomes, some of which can only be determined through use of a survey. Key clusters of outcomes for this study are included below.  </w:t>
      </w:r>
    </w:p>
    <w:p w:rsidR="00EE67F9" w:rsidP="00435881" w:rsidRDefault="00EE67F9" w14:paraId="2B638974" w14:textId="77777777">
      <w:pPr>
        <w:ind w:left="360"/>
        <w:jc w:val="both"/>
        <w:rPr>
          <w:rFonts w:ascii="Times New Roman" w:hAnsi="Times New Roman" w:cs="Times New Roman"/>
          <w:b/>
          <w:iCs/>
          <w:sz w:val="24"/>
          <w:szCs w:val="24"/>
        </w:rPr>
      </w:pPr>
    </w:p>
    <w:p w:rsidR="006720E3" w:rsidP="006720E3" w:rsidRDefault="006720E3" w14:paraId="7512A3EB" w14:textId="6EE130D3">
      <w:pPr>
        <w:pStyle w:val="ListParagraph"/>
        <w:numPr>
          <w:ilvl w:val="0"/>
          <w:numId w:val="16"/>
        </w:num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Use of services and attainment of educational or occupational credentials.</w:t>
      </w:r>
      <w:r>
        <w:rPr>
          <w:rFonts w:ascii="Times New Roman" w:hAnsi="Times New Roman" w:eastAsia="Times New Roman" w:cs="Times New Roman"/>
          <w:sz w:val="24"/>
          <w:szCs w:val="24"/>
        </w:rPr>
        <w:t xml:space="preserve"> MDRC will use the survey to collect data on FSS and control group members’ recent use of job search, education and training, and financial counseling services – both within the FSS program (for FSS group members) and alternative services and education and training programs in the</w:t>
      </w:r>
      <w:r w:rsidR="003B26FA">
        <w:rPr>
          <w:rFonts w:ascii="Times New Roman" w:hAnsi="Times New Roman" w:eastAsia="Times New Roman" w:cs="Times New Roman"/>
          <w:sz w:val="24"/>
          <w:szCs w:val="24"/>
        </w:rPr>
        <w:t>ir</w:t>
      </w:r>
      <w:r>
        <w:rPr>
          <w:rFonts w:ascii="Times New Roman" w:hAnsi="Times New Roman" w:eastAsia="Times New Roman" w:cs="Times New Roman"/>
          <w:sz w:val="24"/>
          <w:szCs w:val="24"/>
        </w:rPr>
        <w:t xml:space="preserve"> communit</w:t>
      </w:r>
      <w:r w:rsidR="003B26FA">
        <w:rPr>
          <w:rFonts w:ascii="Times New Roman" w:hAnsi="Times New Roman" w:eastAsia="Times New Roman" w:cs="Times New Roman"/>
          <w:sz w:val="24"/>
          <w:szCs w:val="24"/>
        </w:rPr>
        <w:t>ies</w:t>
      </w:r>
      <w:r>
        <w:rPr>
          <w:rFonts w:ascii="Times New Roman" w:hAnsi="Times New Roman" w:eastAsia="Times New Roman" w:cs="Times New Roman"/>
          <w:sz w:val="24"/>
          <w:szCs w:val="24"/>
        </w:rPr>
        <w:t>.  Discussions with PHAs have revealed that some programs take a human capital development approach to self-sufficiency and thus emphasize degree, diploma, and certification achievement. Further, participants may achieve some of their education-focused goals further out in their FSS engagement period, which the longer-term survey may capture. MDRC will continue to track educational attainment</w:t>
      </w:r>
      <w:r w:rsidR="00A757F6">
        <w:rPr>
          <w:rFonts w:ascii="Times New Roman" w:hAnsi="Times New Roman" w:eastAsia="Times New Roman" w:cs="Times New Roman"/>
          <w:sz w:val="24"/>
          <w:szCs w:val="24"/>
        </w:rPr>
        <w:t xml:space="preserve"> and receipt of occupational credentials</w:t>
      </w:r>
      <w:r>
        <w:rPr>
          <w:rFonts w:ascii="Times New Roman" w:hAnsi="Times New Roman" w:eastAsia="Times New Roman" w:cs="Times New Roman"/>
          <w:sz w:val="24"/>
          <w:szCs w:val="24"/>
        </w:rPr>
        <w:t xml:space="preserve"> among study participants of both research groups through FSS long-term follow-up survey data. </w:t>
      </w:r>
    </w:p>
    <w:p w:rsidR="006720E3" w:rsidP="006720E3" w:rsidRDefault="006720E3" w14:paraId="67275C5D" w14:textId="77777777">
      <w:pPr>
        <w:rPr>
          <w:rFonts w:ascii="Calibri" w:hAnsi="Calibri" w:cs="Calibri"/>
        </w:rPr>
      </w:pPr>
    </w:p>
    <w:p w:rsidRPr="001A2B5C" w:rsidR="007B3C23" w:rsidP="001A2B5C" w:rsidRDefault="006720E3" w14:paraId="3B58CB8B" w14:textId="4A51706D">
      <w:pPr>
        <w:pStyle w:val="ListParagraph"/>
        <w:numPr>
          <w:ilvl w:val="0"/>
          <w:numId w:val="16"/>
        </w:numPr>
        <w:jc w:val="both"/>
        <w:rPr>
          <w:rFonts w:eastAsia="Times New Roman"/>
        </w:rPr>
      </w:pPr>
      <w:r>
        <w:rPr>
          <w:rFonts w:ascii="Times New Roman" w:hAnsi="Times New Roman" w:eastAsia="Times New Roman" w:cs="Times New Roman"/>
          <w:b/>
          <w:bCs/>
          <w:sz w:val="24"/>
          <w:szCs w:val="24"/>
        </w:rPr>
        <w:t>Employment and earnings:</w:t>
      </w:r>
      <w:r>
        <w:rPr>
          <w:rFonts w:ascii="Times New Roman" w:hAnsi="Times New Roman" w:eastAsia="Times New Roman" w:cs="Times New Roman"/>
          <w:sz w:val="24"/>
          <w:szCs w:val="24"/>
        </w:rPr>
        <w:t xml:space="preserve"> MDRC will use the survey to supplement findings on the FSS program’s effects on employment and earnings</w:t>
      </w:r>
      <w:r w:rsidR="00DE417F">
        <w:rPr>
          <w:rFonts w:ascii="Times New Roman" w:hAnsi="Times New Roman" w:eastAsia="Times New Roman" w:cs="Times New Roman"/>
          <w:sz w:val="24"/>
          <w:szCs w:val="24"/>
        </w:rPr>
        <w:t xml:space="preserve">, calculated with quarterly </w:t>
      </w:r>
      <w:r>
        <w:rPr>
          <w:rFonts w:ascii="Times New Roman" w:hAnsi="Times New Roman" w:eastAsia="Times New Roman" w:cs="Times New Roman"/>
          <w:sz w:val="24"/>
          <w:szCs w:val="24"/>
        </w:rPr>
        <w:t>Unemployment Insurance (UI) wage records from the National Directory of New Hires (NDNH) database.  MDRC will collect survey data on recent employment and earnings</w:t>
      </w:r>
      <w:r w:rsidR="00565E90">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including self-employment and employment in jobs not covered by NDNH</w:t>
      </w:r>
      <w:r w:rsidR="00565E90">
        <w:rPr>
          <w:rFonts w:ascii="Times New Roman" w:hAnsi="Times New Roman" w:eastAsia="Times New Roman" w:cs="Times New Roman"/>
          <w:sz w:val="24"/>
          <w:szCs w:val="24"/>
        </w:rPr>
        <w:t>; also</w:t>
      </w:r>
      <w:r>
        <w:rPr>
          <w:rFonts w:ascii="Times New Roman" w:hAnsi="Times New Roman" w:eastAsia="Times New Roman" w:cs="Times New Roman"/>
          <w:sz w:val="24"/>
          <w:szCs w:val="24"/>
        </w:rPr>
        <w:t>, weekly hours of employment, employer-provided benefits, and other job characteristics.  The survey will also collect data on respondents’ work search behaviors and reasons for not working</w:t>
      </w:r>
      <w:r w:rsidR="001E2F19">
        <w:rPr>
          <w:rFonts w:ascii="Times New Roman" w:hAnsi="Times New Roman" w:eastAsia="Times New Roman" w:cs="Times New Roman"/>
          <w:sz w:val="24"/>
          <w:szCs w:val="24"/>
        </w:rPr>
        <w:t xml:space="preserve"> (including loss of employment</w:t>
      </w:r>
      <w:r w:rsidR="00F30B3C">
        <w:rPr>
          <w:rFonts w:ascii="Times New Roman" w:hAnsi="Times New Roman" w:eastAsia="Times New Roman" w:cs="Times New Roman"/>
          <w:sz w:val="24"/>
          <w:szCs w:val="24"/>
        </w:rPr>
        <w:t xml:space="preserve"> due to</w:t>
      </w:r>
      <w:r w:rsidR="001E2F19">
        <w:rPr>
          <w:rFonts w:ascii="Times New Roman" w:hAnsi="Times New Roman" w:eastAsia="Times New Roman" w:cs="Times New Roman"/>
          <w:sz w:val="24"/>
          <w:szCs w:val="24"/>
        </w:rPr>
        <w:t xml:space="preserve"> COVID-19</w:t>
      </w:r>
      <w:r w:rsidR="00F30B3C">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if currently unemployed. </w:t>
      </w:r>
      <w:r w:rsidRPr="001A2B5C">
        <w:rPr>
          <w:rFonts w:ascii="Times New Roman" w:hAnsi="Times New Roman" w:cs="Times New Roman"/>
          <w:b/>
          <w:iCs/>
          <w:sz w:val="24"/>
          <w:szCs w:val="24"/>
        </w:rPr>
        <w:t xml:space="preserve"> </w:t>
      </w:r>
    </w:p>
    <w:p w:rsidR="00EE67F9" w:rsidP="00435881" w:rsidRDefault="00EE67F9" w14:paraId="369A28E0" w14:textId="159E5089">
      <w:pPr>
        <w:ind w:left="360" w:firstLine="360"/>
        <w:jc w:val="both"/>
        <w:rPr>
          <w:rFonts w:ascii="Times New Roman" w:hAnsi="Times New Roman" w:cs="Times New Roman"/>
          <w:sz w:val="24"/>
          <w:szCs w:val="24"/>
        </w:rPr>
      </w:pPr>
    </w:p>
    <w:p w:rsidRPr="00EE67F9" w:rsidR="007B3C23" w:rsidP="00435881" w:rsidRDefault="007B3C23" w14:paraId="58856099" w14:textId="4D43781F">
      <w:pPr>
        <w:pStyle w:val="ListParagraph"/>
        <w:numPr>
          <w:ilvl w:val="0"/>
          <w:numId w:val="16"/>
        </w:numPr>
        <w:jc w:val="both"/>
        <w:rPr>
          <w:rFonts w:ascii="Times New Roman" w:hAnsi="Times New Roman" w:cs="Times New Roman"/>
          <w:sz w:val="24"/>
          <w:szCs w:val="24"/>
        </w:rPr>
      </w:pPr>
      <w:r w:rsidRPr="00EE67F9">
        <w:rPr>
          <w:rFonts w:ascii="Times New Roman" w:hAnsi="Times New Roman" w:cs="Times New Roman"/>
          <w:b/>
          <w:bCs/>
          <w:sz w:val="24"/>
          <w:szCs w:val="24"/>
        </w:rPr>
        <w:t xml:space="preserve">Income, debt, expense, and material hardship: </w:t>
      </w:r>
      <w:r w:rsidRPr="00EE67F9">
        <w:rPr>
          <w:rFonts w:ascii="Times New Roman" w:hAnsi="Times New Roman" w:cs="Times New Roman"/>
          <w:color w:val="000000"/>
          <w:sz w:val="24"/>
          <w:szCs w:val="24"/>
        </w:rPr>
        <w:t xml:space="preserve">If FSS increases participants’ disposable income, it may help participants accumulate assets and reduce their material hardships. With </w:t>
      </w:r>
      <w:r w:rsidR="005228ED">
        <w:rPr>
          <w:rFonts w:ascii="Times New Roman" w:hAnsi="Times New Roman" w:cs="Times New Roman"/>
          <w:color w:val="000000"/>
          <w:sz w:val="24"/>
          <w:szCs w:val="24"/>
        </w:rPr>
        <w:t xml:space="preserve">the </w:t>
      </w:r>
      <w:r w:rsidR="0015475F">
        <w:rPr>
          <w:rFonts w:ascii="Times New Roman" w:hAnsi="Times New Roman" w:cs="Times New Roman"/>
          <w:color w:val="000000"/>
          <w:sz w:val="24"/>
          <w:szCs w:val="24"/>
        </w:rPr>
        <w:t xml:space="preserve">longer-term </w:t>
      </w:r>
      <w:r w:rsidRPr="00EE67F9">
        <w:rPr>
          <w:rFonts w:ascii="Times New Roman" w:hAnsi="Times New Roman" w:cs="Times New Roman"/>
          <w:color w:val="000000"/>
          <w:sz w:val="24"/>
          <w:szCs w:val="24"/>
        </w:rPr>
        <w:t xml:space="preserve">survey data, MDRC will assess the effects of the program on </w:t>
      </w:r>
      <w:r w:rsidR="00BF2F08">
        <w:rPr>
          <w:rFonts w:ascii="Times New Roman" w:hAnsi="Times New Roman" w:cs="Times New Roman"/>
          <w:color w:val="000000"/>
          <w:sz w:val="24"/>
          <w:szCs w:val="24"/>
        </w:rPr>
        <w:t>household income</w:t>
      </w:r>
      <w:r w:rsidR="00A33F1D">
        <w:rPr>
          <w:rFonts w:ascii="Times New Roman" w:hAnsi="Times New Roman" w:cs="Times New Roman"/>
          <w:color w:val="000000"/>
          <w:sz w:val="24"/>
          <w:szCs w:val="24"/>
        </w:rPr>
        <w:t xml:space="preserve">, </w:t>
      </w:r>
      <w:r w:rsidR="003343D6">
        <w:rPr>
          <w:rFonts w:ascii="Times New Roman" w:hAnsi="Times New Roman" w:cs="Times New Roman"/>
          <w:color w:val="000000"/>
          <w:sz w:val="24"/>
          <w:szCs w:val="24"/>
        </w:rPr>
        <w:t xml:space="preserve">recent changes </w:t>
      </w:r>
      <w:r w:rsidR="00A33F1D">
        <w:rPr>
          <w:rFonts w:ascii="Times New Roman" w:hAnsi="Times New Roman" w:cs="Times New Roman"/>
          <w:color w:val="000000"/>
          <w:sz w:val="24"/>
          <w:szCs w:val="24"/>
        </w:rPr>
        <w:t>to</w:t>
      </w:r>
      <w:r w:rsidR="003343D6">
        <w:rPr>
          <w:rFonts w:ascii="Times New Roman" w:hAnsi="Times New Roman" w:cs="Times New Roman"/>
          <w:color w:val="000000"/>
          <w:sz w:val="24"/>
          <w:szCs w:val="24"/>
        </w:rPr>
        <w:t xml:space="preserve"> income due to COVID-19 and other reasons</w:t>
      </w:r>
      <w:r w:rsidR="00BF2F08">
        <w:rPr>
          <w:rFonts w:ascii="Times New Roman" w:hAnsi="Times New Roman" w:cs="Times New Roman"/>
          <w:color w:val="000000"/>
          <w:sz w:val="24"/>
          <w:szCs w:val="24"/>
        </w:rPr>
        <w:t xml:space="preserve">, </w:t>
      </w:r>
      <w:r w:rsidRPr="00EE67F9">
        <w:rPr>
          <w:rFonts w:ascii="Times New Roman" w:hAnsi="Times New Roman" w:cs="Times New Roman"/>
          <w:color w:val="000000"/>
          <w:sz w:val="24"/>
          <w:szCs w:val="24"/>
        </w:rPr>
        <w:t xml:space="preserve">household finances and financial behaviors (such as savings, access to credit, and debt reduction, outcomes which several FSS programs focus on). MDRC will also evaluate how the program affects material hardships, including housing-related hardships such as disconnection of phone and utilities, and </w:t>
      </w:r>
      <w:r w:rsidR="005E34D4">
        <w:rPr>
          <w:rFonts w:ascii="Times New Roman" w:hAnsi="Times New Roman" w:cs="Times New Roman"/>
          <w:color w:val="000000"/>
          <w:sz w:val="24"/>
          <w:szCs w:val="24"/>
        </w:rPr>
        <w:t>incidence of</w:t>
      </w:r>
      <w:r w:rsidRPr="00EE67F9">
        <w:rPr>
          <w:rFonts w:ascii="Times New Roman" w:hAnsi="Times New Roman" w:cs="Times New Roman"/>
          <w:color w:val="000000"/>
          <w:sz w:val="24"/>
          <w:szCs w:val="24"/>
        </w:rPr>
        <w:t xml:space="preserve"> food insufficiency. </w:t>
      </w:r>
      <w:r w:rsidRPr="00EE67F9">
        <w:rPr>
          <w:rFonts w:ascii="Times New Roman" w:hAnsi="Times New Roman" w:cs="Times New Roman"/>
          <w:sz w:val="24"/>
          <w:szCs w:val="24"/>
        </w:rPr>
        <w:t>MDRC observed such effects on poverty and hardship in its study of N</w:t>
      </w:r>
      <w:r w:rsidR="00EC1D28">
        <w:rPr>
          <w:rFonts w:ascii="Times New Roman" w:hAnsi="Times New Roman" w:cs="Times New Roman"/>
          <w:sz w:val="24"/>
          <w:szCs w:val="24"/>
        </w:rPr>
        <w:t>ew York City</w:t>
      </w:r>
      <w:r w:rsidR="003E520E">
        <w:rPr>
          <w:rFonts w:ascii="Times New Roman" w:hAnsi="Times New Roman" w:cs="Times New Roman"/>
          <w:sz w:val="24"/>
          <w:szCs w:val="24"/>
        </w:rPr>
        <w:t xml:space="preserve"> (NYC)</w:t>
      </w:r>
      <w:r w:rsidRPr="00EE67F9">
        <w:rPr>
          <w:rFonts w:ascii="Times New Roman" w:hAnsi="Times New Roman" w:cs="Times New Roman"/>
          <w:sz w:val="24"/>
          <w:szCs w:val="24"/>
        </w:rPr>
        <w:t xml:space="preserve">’s conditional cash transfer program, which included a significant housing-assisted population. The longer-term follow-up survey will allow investigation in these potential impacts. Additionally, MDRC will consider </w:t>
      </w:r>
      <w:r w:rsidRPr="00EE67F9" w:rsidR="00CD2523">
        <w:rPr>
          <w:rFonts w:ascii="Times New Roman" w:hAnsi="Times New Roman" w:cs="Times New Roman"/>
          <w:sz w:val="24"/>
          <w:szCs w:val="24"/>
        </w:rPr>
        <w:t>how</w:t>
      </w:r>
      <w:r w:rsidRPr="00EE67F9">
        <w:rPr>
          <w:rFonts w:ascii="Times New Roman" w:hAnsi="Times New Roman" w:cs="Times New Roman"/>
          <w:sz w:val="24"/>
          <w:szCs w:val="24"/>
        </w:rPr>
        <w:t xml:space="preserve"> FSS </w:t>
      </w:r>
      <w:r w:rsidRPr="00EE67F9">
        <w:rPr>
          <w:rFonts w:ascii="Times New Roman" w:hAnsi="Times New Roman" w:cs="Times New Roman"/>
          <w:sz w:val="24"/>
          <w:szCs w:val="24"/>
        </w:rPr>
        <w:lastRenderedPageBreak/>
        <w:t xml:space="preserve">program participants </w:t>
      </w:r>
      <w:r w:rsidRPr="00EE67F9" w:rsidR="00CD2523">
        <w:rPr>
          <w:rFonts w:ascii="Times New Roman" w:hAnsi="Times New Roman" w:cs="Times New Roman"/>
          <w:sz w:val="24"/>
          <w:szCs w:val="24"/>
        </w:rPr>
        <w:t xml:space="preserve">coped </w:t>
      </w:r>
      <w:r w:rsidRPr="00EE67F9">
        <w:rPr>
          <w:rFonts w:ascii="Times New Roman" w:hAnsi="Times New Roman" w:cs="Times New Roman"/>
          <w:sz w:val="24"/>
          <w:szCs w:val="24"/>
        </w:rPr>
        <w:t xml:space="preserve">with </w:t>
      </w:r>
      <w:r w:rsidRPr="00EE67F9" w:rsidR="00CD2523">
        <w:rPr>
          <w:rFonts w:ascii="Times New Roman" w:hAnsi="Times New Roman" w:cs="Times New Roman"/>
          <w:sz w:val="24"/>
          <w:szCs w:val="24"/>
        </w:rPr>
        <w:t xml:space="preserve">the </w:t>
      </w:r>
      <w:r w:rsidRPr="00EE67F9">
        <w:rPr>
          <w:rFonts w:ascii="Times New Roman" w:hAnsi="Times New Roman" w:cs="Times New Roman"/>
          <w:sz w:val="24"/>
          <w:szCs w:val="24"/>
        </w:rPr>
        <w:t xml:space="preserve">economic </w:t>
      </w:r>
      <w:r w:rsidRPr="00EE67F9" w:rsidR="00A4197E">
        <w:rPr>
          <w:rFonts w:ascii="Times New Roman" w:hAnsi="Times New Roman" w:cs="Times New Roman"/>
          <w:sz w:val="24"/>
          <w:szCs w:val="24"/>
        </w:rPr>
        <w:t xml:space="preserve">and </w:t>
      </w:r>
      <w:r w:rsidRPr="00EE67F9">
        <w:rPr>
          <w:rFonts w:ascii="Times New Roman" w:hAnsi="Times New Roman" w:cs="Times New Roman"/>
          <w:sz w:val="24"/>
          <w:szCs w:val="24"/>
        </w:rPr>
        <w:t xml:space="preserve">social hardships resulting from the COVID-19 pandemic </w:t>
      </w:r>
      <w:r w:rsidRPr="00EE67F9" w:rsidR="00CD2523">
        <w:rPr>
          <w:rFonts w:ascii="Times New Roman" w:hAnsi="Times New Roman" w:cs="Times New Roman"/>
          <w:sz w:val="24"/>
          <w:szCs w:val="24"/>
        </w:rPr>
        <w:t xml:space="preserve">relative to their </w:t>
      </w:r>
      <w:r w:rsidRPr="00EE67F9">
        <w:rPr>
          <w:rFonts w:ascii="Times New Roman" w:hAnsi="Times New Roman" w:cs="Times New Roman"/>
          <w:sz w:val="24"/>
          <w:szCs w:val="24"/>
        </w:rPr>
        <w:t xml:space="preserve">control group counterparts.  </w:t>
      </w:r>
    </w:p>
    <w:p w:rsidR="00EE67F9" w:rsidP="00435881" w:rsidRDefault="00EE67F9" w14:paraId="1E68FDE9" w14:textId="75845608">
      <w:pPr>
        <w:ind w:left="360" w:firstLine="360"/>
        <w:jc w:val="both"/>
        <w:rPr>
          <w:rFonts w:ascii="Times New Roman" w:hAnsi="Times New Roman" w:cs="Times New Roman"/>
          <w:sz w:val="24"/>
          <w:szCs w:val="24"/>
        </w:rPr>
      </w:pPr>
    </w:p>
    <w:p w:rsidRPr="00EE67F9" w:rsidR="007B3C23" w:rsidP="00435881" w:rsidRDefault="007B3C23" w14:paraId="0FD7A3E7" w14:textId="5428F9CC">
      <w:pPr>
        <w:pStyle w:val="ListParagraph"/>
        <w:numPr>
          <w:ilvl w:val="0"/>
          <w:numId w:val="16"/>
        </w:numPr>
        <w:jc w:val="both"/>
        <w:rPr>
          <w:rFonts w:ascii="Times New Roman" w:hAnsi="Times New Roman" w:cs="Times New Roman"/>
          <w:sz w:val="24"/>
          <w:szCs w:val="24"/>
        </w:rPr>
      </w:pPr>
      <w:r w:rsidRPr="00EE67F9">
        <w:rPr>
          <w:rFonts w:ascii="Times New Roman" w:hAnsi="Times New Roman" w:cs="Times New Roman"/>
          <w:b/>
          <w:bCs/>
          <w:sz w:val="24"/>
          <w:szCs w:val="24"/>
        </w:rPr>
        <w:t xml:space="preserve">Program participation: </w:t>
      </w:r>
      <w:r w:rsidRPr="00EE67F9">
        <w:rPr>
          <w:rFonts w:ascii="Times New Roman" w:hAnsi="Times New Roman" w:cs="Times New Roman"/>
          <w:sz w:val="24"/>
          <w:szCs w:val="24"/>
        </w:rPr>
        <w:t xml:space="preserve">MDRC will use responses to the FSS </w:t>
      </w:r>
      <w:r w:rsidRPr="00EE67F9" w:rsidR="00B24041">
        <w:rPr>
          <w:rFonts w:ascii="Times New Roman" w:hAnsi="Times New Roman" w:cs="Times New Roman"/>
          <w:sz w:val="24"/>
          <w:szCs w:val="24"/>
        </w:rPr>
        <w:t>l</w:t>
      </w:r>
      <w:r w:rsidRPr="00EE67F9">
        <w:rPr>
          <w:rFonts w:ascii="Times New Roman" w:hAnsi="Times New Roman" w:cs="Times New Roman"/>
          <w:sz w:val="24"/>
          <w:szCs w:val="24"/>
        </w:rPr>
        <w:t>ong-</w:t>
      </w:r>
      <w:r w:rsidRPr="00EE67F9" w:rsidR="00B24041">
        <w:rPr>
          <w:rFonts w:ascii="Times New Roman" w:hAnsi="Times New Roman" w:cs="Times New Roman"/>
          <w:sz w:val="24"/>
          <w:szCs w:val="24"/>
        </w:rPr>
        <w:t>t</w:t>
      </w:r>
      <w:r w:rsidRPr="00EE67F9">
        <w:rPr>
          <w:rFonts w:ascii="Times New Roman" w:hAnsi="Times New Roman" w:cs="Times New Roman"/>
          <w:sz w:val="24"/>
          <w:szCs w:val="24"/>
        </w:rPr>
        <w:t xml:space="preserve">erm </w:t>
      </w:r>
      <w:r w:rsidRPr="00EE67F9" w:rsidR="00B24041">
        <w:rPr>
          <w:rFonts w:ascii="Times New Roman" w:hAnsi="Times New Roman" w:cs="Times New Roman"/>
          <w:sz w:val="24"/>
          <w:szCs w:val="24"/>
        </w:rPr>
        <w:t>f</w:t>
      </w:r>
      <w:r w:rsidRPr="00EE67F9">
        <w:rPr>
          <w:rFonts w:ascii="Times New Roman" w:hAnsi="Times New Roman" w:cs="Times New Roman"/>
          <w:sz w:val="24"/>
          <w:szCs w:val="24"/>
        </w:rPr>
        <w:t>ollow-</w:t>
      </w:r>
      <w:r w:rsidRPr="00EE67F9" w:rsidR="00B24041">
        <w:rPr>
          <w:rFonts w:ascii="Times New Roman" w:hAnsi="Times New Roman" w:cs="Times New Roman"/>
          <w:sz w:val="24"/>
          <w:szCs w:val="24"/>
        </w:rPr>
        <w:t>u</w:t>
      </w:r>
      <w:r w:rsidRPr="00EE67F9">
        <w:rPr>
          <w:rFonts w:ascii="Times New Roman" w:hAnsi="Times New Roman" w:cs="Times New Roman"/>
          <w:sz w:val="24"/>
          <w:szCs w:val="24"/>
        </w:rPr>
        <w:t xml:space="preserve">p </w:t>
      </w:r>
      <w:r w:rsidRPr="00EE67F9" w:rsidR="00072494">
        <w:rPr>
          <w:rFonts w:ascii="Times New Roman" w:hAnsi="Times New Roman" w:cs="Times New Roman"/>
          <w:sz w:val="24"/>
          <w:szCs w:val="24"/>
        </w:rPr>
        <w:t>s</w:t>
      </w:r>
      <w:r w:rsidRPr="00EE67F9">
        <w:rPr>
          <w:rFonts w:ascii="Times New Roman" w:hAnsi="Times New Roman" w:cs="Times New Roman"/>
          <w:sz w:val="24"/>
          <w:szCs w:val="24"/>
        </w:rPr>
        <w:t xml:space="preserve">urvey to understand FSS group members’ experiences in the program. The survey will collect information about FSS program participation status, </w:t>
      </w:r>
      <w:r w:rsidR="00DC3715">
        <w:rPr>
          <w:rFonts w:ascii="Times New Roman" w:hAnsi="Times New Roman" w:cs="Times New Roman"/>
          <w:sz w:val="24"/>
          <w:szCs w:val="24"/>
        </w:rPr>
        <w:t xml:space="preserve">use of </w:t>
      </w:r>
      <w:r w:rsidR="006D59EB">
        <w:rPr>
          <w:rFonts w:ascii="Times New Roman" w:hAnsi="Times New Roman" w:cs="Times New Roman"/>
          <w:sz w:val="24"/>
          <w:szCs w:val="24"/>
        </w:rPr>
        <w:t xml:space="preserve">escrow account disbursements (if any), </w:t>
      </w:r>
      <w:r w:rsidRPr="00EE67F9">
        <w:rPr>
          <w:rFonts w:ascii="Times New Roman" w:hAnsi="Times New Roman" w:cs="Times New Roman"/>
          <w:sz w:val="24"/>
          <w:szCs w:val="24"/>
        </w:rPr>
        <w:t xml:space="preserve">program satisfaction, contact with case managers, conditions that facilitate and hinder the achievement of program goals, and participants’ evaluation of the core components of the FSS program. MDRC will use this information to learn how the program effectively served clients and how the program could be improved upon to better support participants’ success in the FSS program.  </w:t>
      </w:r>
    </w:p>
    <w:p w:rsidR="00EE67F9" w:rsidP="00435881" w:rsidRDefault="00EE67F9" w14:paraId="07456E38" w14:textId="77777777">
      <w:pPr>
        <w:pStyle w:val="PlainText"/>
        <w:ind w:left="360" w:firstLine="360"/>
        <w:jc w:val="both"/>
        <w:rPr>
          <w:rFonts w:ascii="Times New Roman" w:hAnsi="Times New Roman" w:cs="Times New Roman"/>
          <w:sz w:val="24"/>
          <w:szCs w:val="24"/>
          <w:highlight w:val="yellow"/>
        </w:rPr>
      </w:pPr>
    </w:p>
    <w:p w:rsidRPr="00511484" w:rsidR="001B7F3F" w:rsidP="00435881" w:rsidRDefault="001B7F3F" w14:paraId="04914217" w14:textId="0070ED1F">
      <w:pPr>
        <w:pStyle w:val="PlainText"/>
        <w:ind w:left="360"/>
        <w:jc w:val="both"/>
        <w:rPr>
          <w:rFonts w:ascii="Times New Roman" w:hAnsi="Times New Roman" w:cs="Times New Roman"/>
          <w:sz w:val="24"/>
          <w:szCs w:val="24"/>
        </w:rPr>
      </w:pPr>
      <w:r w:rsidRPr="00AC7EEA">
        <w:rPr>
          <w:rFonts w:ascii="Times New Roman" w:hAnsi="Times New Roman" w:cs="Times New Roman"/>
          <w:sz w:val="24"/>
          <w:szCs w:val="24"/>
        </w:rPr>
        <w:t>This study was authorized under the Consolidated Appropriations Act, 2010, Pub. Law 111-117, 123 Stat. 3034, which was approved on Dec. 16, 2009.</w:t>
      </w:r>
      <w:r w:rsidRPr="00C13027">
        <w:rPr>
          <w:rFonts w:ascii="Times New Roman" w:hAnsi="Times New Roman" w:cs="Times New Roman"/>
          <w:sz w:val="24"/>
          <w:szCs w:val="24"/>
        </w:rPr>
        <w:t xml:space="preserve"> This evaluation is being conducted by MDRC and its subcontractor M. Davis, on behalf of HUD</w:t>
      </w:r>
      <w:r w:rsidRPr="00511484">
        <w:rPr>
          <w:rFonts w:ascii="Times New Roman" w:hAnsi="Times New Roman" w:cs="Times New Roman"/>
          <w:sz w:val="24"/>
          <w:szCs w:val="24"/>
        </w:rPr>
        <w:t>.</w:t>
      </w:r>
    </w:p>
    <w:p w:rsidRPr="00511484" w:rsidR="007A0E24" w:rsidP="00435881" w:rsidRDefault="007A0E24" w14:paraId="4AD3A69F" w14:textId="34AC01E5">
      <w:pPr>
        <w:keepLines/>
        <w:tabs>
          <w:tab w:val="left" w:pos="360"/>
        </w:tabs>
        <w:spacing w:after="80"/>
        <w:ind w:left="360" w:hanging="360"/>
        <w:jc w:val="both"/>
        <w:rPr>
          <w:rFonts w:ascii="Times New Roman" w:hAnsi="Times New Roman" w:cs="Times New Roman"/>
          <w:b/>
          <w:sz w:val="24"/>
          <w:szCs w:val="24"/>
        </w:rPr>
      </w:pPr>
    </w:p>
    <w:p w:rsidRPr="00511484" w:rsidR="001D3A5F" w:rsidP="00435881" w:rsidRDefault="008064C8" w14:paraId="666B8E51" w14:textId="20CA65B4">
      <w:pPr>
        <w:keepLines/>
        <w:tabs>
          <w:tab w:val="left" w:pos="360"/>
        </w:tabs>
        <w:spacing w:after="80"/>
        <w:ind w:left="360" w:hanging="360"/>
        <w:jc w:val="both"/>
        <w:rPr>
          <w:rFonts w:ascii="Times New Roman" w:hAnsi="Times New Roman" w:cs="Times New Roman"/>
          <w:b/>
          <w:sz w:val="24"/>
          <w:szCs w:val="24"/>
        </w:rPr>
      </w:pPr>
      <w:r w:rsidRPr="00511484">
        <w:rPr>
          <w:rFonts w:ascii="Times New Roman" w:hAnsi="Times New Roman" w:cs="Times New Roman"/>
          <w:b/>
          <w:sz w:val="24"/>
          <w:szCs w:val="24"/>
        </w:rPr>
        <w:t>2.</w:t>
      </w:r>
      <w:r w:rsidRPr="00511484">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Pr="003F63A6" w:rsidR="005B7732" w:rsidP="00435881" w:rsidRDefault="001D3A5F" w14:paraId="0C366C0D" w14:textId="0AECA6D3">
      <w:pPr>
        <w:keepLines/>
        <w:tabs>
          <w:tab w:val="left" w:pos="360"/>
        </w:tabs>
        <w:spacing w:after="80"/>
        <w:ind w:left="360" w:hanging="360"/>
        <w:jc w:val="both"/>
        <w:rPr>
          <w:rFonts w:ascii="Times New Roman" w:hAnsi="Times New Roman" w:cs="Times New Roman"/>
          <w:sz w:val="24"/>
          <w:szCs w:val="24"/>
        </w:rPr>
      </w:pPr>
      <w:r w:rsidRPr="00511484">
        <w:rPr>
          <w:rFonts w:ascii="Times New Roman" w:hAnsi="Times New Roman" w:cs="Times New Roman"/>
          <w:b/>
          <w:sz w:val="24"/>
          <w:szCs w:val="24"/>
        </w:rPr>
        <w:tab/>
      </w:r>
      <w:r w:rsidRPr="003F63A6" w:rsidR="005B7732">
        <w:rPr>
          <w:rFonts w:ascii="Times New Roman" w:hAnsi="Times New Roman" w:cs="Times New Roman"/>
          <w:sz w:val="24"/>
          <w:szCs w:val="24"/>
        </w:rPr>
        <w:t>The findings from the study will be used to inform the Federal government, P</w:t>
      </w:r>
      <w:r w:rsidR="00EC1D28">
        <w:rPr>
          <w:rFonts w:ascii="Times New Roman" w:hAnsi="Times New Roman" w:cs="Times New Roman"/>
          <w:sz w:val="24"/>
          <w:szCs w:val="24"/>
        </w:rPr>
        <w:t xml:space="preserve">HAs </w:t>
      </w:r>
      <w:r w:rsidRPr="003F63A6" w:rsidR="005B7732">
        <w:rPr>
          <w:rFonts w:ascii="Times New Roman" w:hAnsi="Times New Roman" w:cs="Times New Roman"/>
          <w:sz w:val="24"/>
          <w:szCs w:val="24"/>
        </w:rPr>
        <w:t>and other stakeholders about the longer-term effects of FSS in helping HCV holder</w:t>
      </w:r>
      <w:r w:rsidR="00FB3C7E">
        <w:rPr>
          <w:rFonts w:ascii="Times New Roman" w:hAnsi="Times New Roman" w:cs="Times New Roman"/>
          <w:sz w:val="24"/>
          <w:szCs w:val="24"/>
        </w:rPr>
        <w:t>s</w:t>
      </w:r>
      <w:r w:rsidRPr="003F63A6" w:rsidR="005B7732">
        <w:rPr>
          <w:rFonts w:ascii="Times New Roman" w:hAnsi="Times New Roman" w:cs="Times New Roman"/>
          <w:sz w:val="24"/>
          <w:szCs w:val="24"/>
        </w:rPr>
        <w:t xml:space="preserve"> secure and maintain employment and achieve self-sufficiency. </w:t>
      </w:r>
    </w:p>
    <w:p w:rsidRPr="003F63A6" w:rsidR="005B7732" w:rsidP="00435881" w:rsidRDefault="005B7732" w14:paraId="77B7AB35" w14:textId="666E1745">
      <w:pPr>
        <w:keepLines/>
        <w:tabs>
          <w:tab w:val="left" w:pos="360"/>
        </w:tabs>
        <w:spacing w:after="80"/>
        <w:ind w:left="360" w:hanging="360"/>
        <w:jc w:val="both"/>
        <w:rPr>
          <w:rFonts w:ascii="Times New Roman" w:hAnsi="Times New Roman" w:cs="Times New Roman"/>
          <w:sz w:val="24"/>
          <w:szCs w:val="24"/>
        </w:rPr>
      </w:pPr>
      <w:r w:rsidRPr="003F63A6">
        <w:rPr>
          <w:rFonts w:ascii="Times New Roman" w:hAnsi="Times New Roman" w:cs="Times New Roman"/>
          <w:sz w:val="24"/>
          <w:szCs w:val="24"/>
        </w:rPr>
        <w:tab/>
        <w:t>As a study commissioned by HUD, HUD will use the information from this and other data collection efforts over the full evaluation to assess the impacts of the FSS program. As the first national evaluation to assess the effects of FSS, these data will be important for HUD to begin answering questions about whether FSS makes a difference and helps achieve HUD’s self-sufficiency goals. The comprehensive study will speak to the program’s impacts in multiple domains – for example, housing assistance</w:t>
      </w:r>
      <w:r w:rsidR="00C131C8">
        <w:rPr>
          <w:rFonts w:ascii="Times New Roman" w:hAnsi="Times New Roman" w:cs="Times New Roman"/>
          <w:sz w:val="24"/>
          <w:szCs w:val="24"/>
        </w:rPr>
        <w:t>,</w:t>
      </w:r>
      <w:r w:rsidRPr="003F63A6">
        <w:rPr>
          <w:rFonts w:ascii="Times New Roman" w:hAnsi="Times New Roman" w:cs="Times New Roman"/>
          <w:sz w:val="24"/>
          <w:szCs w:val="24"/>
        </w:rPr>
        <w:t xml:space="preserve"> self-sufficiency</w:t>
      </w:r>
      <w:r w:rsidR="00C131C8">
        <w:rPr>
          <w:rFonts w:ascii="Times New Roman" w:hAnsi="Times New Roman" w:cs="Times New Roman"/>
          <w:sz w:val="24"/>
          <w:szCs w:val="24"/>
        </w:rPr>
        <w:t>,</w:t>
      </w:r>
      <w:r w:rsidRPr="003F63A6">
        <w:rPr>
          <w:rFonts w:ascii="Times New Roman" w:hAnsi="Times New Roman" w:cs="Times New Roman"/>
          <w:sz w:val="24"/>
          <w:szCs w:val="24"/>
        </w:rPr>
        <w:t xml:space="preserve"> material hardship, and financial wellbeing. </w:t>
      </w:r>
    </w:p>
    <w:p w:rsidR="005B7732" w:rsidP="00435881" w:rsidRDefault="005B7732" w14:paraId="3C7B18AA" w14:textId="287FA8AE">
      <w:pPr>
        <w:keepLines/>
        <w:tabs>
          <w:tab w:val="left" w:pos="360"/>
        </w:tabs>
        <w:spacing w:after="80"/>
        <w:ind w:left="360" w:hanging="360"/>
        <w:jc w:val="both"/>
        <w:rPr>
          <w:rFonts w:ascii="Times New Roman" w:hAnsi="Times New Roman" w:cs="Times New Roman"/>
          <w:sz w:val="24"/>
          <w:szCs w:val="24"/>
        </w:rPr>
      </w:pPr>
      <w:r w:rsidRPr="003F63A6">
        <w:rPr>
          <w:rFonts w:ascii="Times New Roman" w:hAnsi="Times New Roman" w:cs="Times New Roman"/>
          <w:sz w:val="24"/>
          <w:szCs w:val="24"/>
        </w:rPr>
        <w:tab/>
        <w:t>In addition, PHAs will also use the data to understand how their programs work and to target resources in effective ways. Over 700 PHAs operate FSS, and the findings from the evaluation will be critical to their own implementation decisions.  Ultimately, these data will benefit the public and social policy community, researchers, policy analysts, and policy makers who are interested in developing policy initiatives to promote self-sufficiency and reduce poverty among housing voucher recipients in a wide range of program areas. This project offers the first opportunity to obtain reliable measures of the effects of the FSS program at a national scale. The long-term indirect benefits of this research are therefore likely to be substantial</w:t>
      </w:r>
      <w:r w:rsidRPr="003F63A6" w:rsidR="005C744B">
        <w:rPr>
          <w:rFonts w:ascii="Times New Roman" w:hAnsi="Times New Roman" w:cs="Times New Roman"/>
          <w:sz w:val="24"/>
          <w:szCs w:val="24"/>
        </w:rPr>
        <w:t>.</w:t>
      </w:r>
    </w:p>
    <w:p w:rsidR="006E637B" w:rsidP="00435881" w:rsidRDefault="008C4FA2" w14:paraId="6D9E0424"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p>
    <w:p w:rsidRPr="005639F7" w:rsidR="008C4FA2" w:rsidP="00435881" w:rsidRDefault="006E637B" w14:paraId="0010103A" w14:textId="6211C559">
      <w:pPr>
        <w:keepLines/>
        <w:tabs>
          <w:tab w:val="left" w:pos="360"/>
        </w:tabs>
        <w:spacing w:after="80"/>
        <w:ind w:left="360" w:hanging="360"/>
        <w:jc w:val="both"/>
        <w:rPr>
          <w:rFonts w:ascii="Times New Roman" w:hAnsi="Times New Roman" w:cs="Times New Roman"/>
          <w:b/>
          <w:bCs/>
          <w:sz w:val="24"/>
          <w:szCs w:val="24"/>
        </w:rPr>
      </w:pPr>
      <w:r>
        <w:rPr>
          <w:rFonts w:ascii="Times New Roman" w:hAnsi="Times New Roman" w:cs="Times New Roman"/>
          <w:sz w:val="24"/>
          <w:szCs w:val="24"/>
        </w:rPr>
        <w:tab/>
      </w:r>
      <w:r w:rsidR="00693533">
        <w:rPr>
          <w:rFonts w:ascii="Times New Roman" w:hAnsi="Times New Roman" w:cs="Times New Roman"/>
          <w:b/>
          <w:bCs/>
          <w:sz w:val="24"/>
          <w:szCs w:val="24"/>
        </w:rPr>
        <w:t xml:space="preserve">Items included in </w:t>
      </w:r>
      <w:r w:rsidR="002E1FF6">
        <w:rPr>
          <w:rFonts w:ascii="Times New Roman" w:hAnsi="Times New Roman" w:cs="Times New Roman"/>
          <w:b/>
          <w:bCs/>
          <w:sz w:val="24"/>
          <w:szCs w:val="24"/>
        </w:rPr>
        <w:t xml:space="preserve">the </w:t>
      </w:r>
      <w:r w:rsidR="00693533">
        <w:rPr>
          <w:rFonts w:ascii="Times New Roman" w:hAnsi="Times New Roman" w:cs="Times New Roman"/>
          <w:b/>
          <w:bCs/>
          <w:sz w:val="24"/>
          <w:szCs w:val="24"/>
        </w:rPr>
        <w:t>long-term follow-up survey</w:t>
      </w:r>
      <w:r w:rsidRPr="005639F7" w:rsidR="008C4FA2">
        <w:rPr>
          <w:rFonts w:ascii="Times New Roman" w:hAnsi="Times New Roman" w:cs="Times New Roman"/>
          <w:b/>
          <w:bCs/>
          <w:sz w:val="24"/>
          <w:szCs w:val="24"/>
        </w:rPr>
        <w:t xml:space="preserve"> </w:t>
      </w:r>
    </w:p>
    <w:p w:rsidR="008C4FA2" w:rsidP="00435881" w:rsidRDefault="008C4FA2" w14:paraId="034B39CC" w14:textId="1006FD0F">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sidRPr="005639F7">
        <w:rPr>
          <w:rFonts w:ascii="Times New Roman" w:hAnsi="Times New Roman" w:cs="Times New Roman"/>
          <w:sz w:val="24"/>
          <w:szCs w:val="24"/>
        </w:rPr>
        <w:t xml:space="preserve">This section provides an overview of the items included in the FSS </w:t>
      </w:r>
      <w:r w:rsidR="00B24041">
        <w:rPr>
          <w:rFonts w:ascii="Times New Roman" w:hAnsi="Times New Roman" w:cs="Times New Roman"/>
          <w:sz w:val="24"/>
          <w:szCs w:val="24"/>
        </w:rPr>
        <w:t>l</w:t>
      </w:r>
      <w:r w:rsidRPr="005639F7">
        <w:rPr>
          <w:rFonts w:ascii="Times New Roman" w:hAnsi="Times New Roman" w:cs="Times New Roman"/>
          <w:sz w:val="24"/>
          <w:szCs w:val="24"/>
        </w:rPr>
        <w:t>ong-</w:t>
      </w:r>
      <w:r w:rsidR="00B24041">
        <w:rPr>
          <w:rFonts w:ascii="Times New Roman" w:hAnsi="Times New Roman" w:cs="Times New Roman"/>
          <w:sz w:val="24"/>
          <w:szCs w:val="24"/>
        </w:rPr>
        <w:t>t</w:t>
      </w:r>
      <w:r w:rsidRPr="005639F7">
        <w:rPr>
          <w:rFonts w:ascii="Times New Roman" w:hAnsi="Times New Roman" w:cs="Times New Roman"/>
          <w:sz w:val="24"/>
          <w:szCs w:val="24"/>
        </w:rPr>
        <w:t xml:space="preserve">erm </w:t>
      </w:r>
      <w:r w:rsidR="00B24041">
        <w:rPr>
          <w:rFonts w:ascii="Times New Roman" w:hAnsi="Times New Roman" w:cs="Times New Roman"/>
          <w:sz w:val="24"/>
          <w:szCs w:val="24"/>
        </w:rPr>
        <w:t>f</w:t>
      </w:r>
      <w:r w:rsidRPr="005639F7">
        <w:rPr>
          <w:rFonts w:ascii="Times New Roman" w:hAnsi="Times New Roman" w:cs="Times New Roman"/>
          <w:sz w:val="24"/>
          <w:szCs w:val="24"/>
        </w:rPr>
        <w:t>ollow-</w:t>
      </w:r>
      <w:r w:rsidR="00B24041">
        <w:rPr>
          <w:rFonts w:ascii="Times New Roman" w:hAnsi="Times New Roman" w:cs="Times New Roman"/>
          <w:sz w:val="24"/>
          <w:szCs w:val="24"/>
        </w:rPr>
        <w:t>u</w:t>
      </w:r>
      <w:r w:rsidRPr="005639F7">
        <w:rPr>
          <w:rFonts w:ascii="Times New Roman" w:hAnsi="Times New Roman" w:cs="Times New Roman"/>
          <w:sz w:val="24"/>
          <w:szCs w:val="24"/>
        </w:rPr>
        <w:t>p survey. The</w:t>
      </w:r>
      <w:r w:rsidR="001F220D">
        <w:rPr>
          <w:rFonts w:ascii="Times New Roman" w:hAnsi="Times New Roman" w:cs="Times New Roman"/>
          <w:sz w:val="24"/>
          <w:szCs w:val="24"/>
        </w:rPr>
        <w:t xml:space="preserve"> complete survey</w:t>
      </w:r>
      <w:r w:rsidRPr="005639F7">
        <w:rPr>
          <w:rFonts w:ascii="Times New Roman" w:hAnsi="Times New Roman" w:cs="Times New Roman"/>
          <w:sz w:val="24"/>
          <w:szCs w:val="24"/>
        </w:rPr>
        <w:t xml:space="preserve"> instrument </w:t>
      </w:r>
      <w:r w:rsidR="001F220D">
        <w:rPr>
          <w:rFonts w:ascii="Times New Roman" w:hAnsi="Times New Roman" w:cs="Times New Roman"/>
          <w:sz w:val="24"/>
          <w:szCs w:val="24"/>
        </w:rPr>
        <w:t>is p</w:t>
      </w:r>
      <w:r w:rsidRPr="005639F7">
        <w:rPr>
          <w:rFonts w:ascii="Times New Roman" w:hAnsi="Times New Roman" w:cs="Times New Roman"/>
          <w:sz w:val="24"/>
          <w:szCs w:val="24"/>
        </w:rPr>
        <w:t xml:space="preserve">resented </w:t>
      </w:r>
      <w:r w:rsidR="001F220D">
        <w:rPr>
          <w:rFonts w:ascii="Times New Roman" w:hAnsi="Times New Roman" w:cs="Times New Roman"/>
          <w:sz w:val="24"/>
          <w:szCs w:val="24"/>
        </w:rPr>
        <w:t xml:space="preserve">as </w:t>
      </w:r>
      <w:r w:rsidR="007D020B">
        <w:rPr>
          <w:rFonts w:ascii="Times New Roman" w:hAnsi="Times New Roman" w:cs="Times New Roman"/>
          <w:sz w:val="24"/>
          <w:szCs w:val="24"/>
        </w:rPr>
        <w:t>A</w:t>
      </w:r>
      <w:r w:rsidR="001F220D">
        <w:rPr>
          <w:rFonts w:ascii="Times New Roman" w:hAnsi="Times New Roman" w:cs="Times New Roman"/>
          <w:sz w:val="24"/>
          <w:szCs w:val="24"/>
        </w:rPr>
        <w:t>ppendix</w:t>
      </w:r>
      <w:r w:rsidR="007D020B">
        <w:rPr>
          <w:rFonts w:ascii="Times New Roman" w:hAnsi="Times New Roman" w:cs="Times New Roman"/>
          <w:sz w:val="24"/>
          <w:szCs w:val="24"/>
        </w:rPr>
        <w:t xml:space="preserve"> A of this document</w:t>
      </w:r>
      <w:r w:rsidRPr="005639F7">
        <w:rPr>
          <w:rFonts w:ascii="Times New Roman" w:hAnsi="Times New Roman" w:cs="Times New Roman"/>
          <w:sz w:val="24"/>
          <w:szCs w:val="24"/>
        </w:rPr>
        <w:t xml:space="preserve">. </w:t>
      </w:r>
    </w:p>
    <w:p w:rsidRPr="00875ED3" w:rsidR="008C4FA2" w:rsidP="00435881" w:rsidRDefault="008C4FA2" w14:paraId="77F4E77A" w14:textId="7726DB66">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b/>
      </w:r>
      <w:r w:rsidRPr="005639F7">
        <w:rPr>
          <w:rFonts w:ascii="Times New Roman" w:hAnsi="Times New Roman" w:cs="Times New Roman"/>
          <w:sz w:val="24"/>
          <w:szCs w:val="24"/>
        </w:rPr>
        <w:t>In developing the survey instrument, MDRC attempted to balance the need to capture all of the required data against placing undue burden on the respondents, excluding items that—while potentially interesting—are not critical to the measurement of outcomes needed to analyze the longer-term impacts of the FSS intervention.</w:t>
      </w:r>
      <w:r w:rsidR="001368A7">
        <w:rPr>
          <w:rFonts w:ascii="Times New Roman" w:hAnsi="Times New Roman" w:cs="Times New Roman"/>
          <w:sz w:val="24"/>
          <w:szCs w:val="24"/>
        </w:rPr>
        <w:t xml:space="preserve"> Given the COVID-19 environment, MDRC found it important to include questions that would seek to capture the health-related, economic, and social effects that respondents experienced</w:t>
      </w:r>
      <w:r w:rsidR="00236488">
        <w:rPr>
          <w:rFonts w:ascii="Times New Roman" w:hAnsi="Times New Roman" w:cs="Times New Roman"/>
          <w:sz w:val="24"/>
          <w:szCs w:val="24"/>
        </w:rPr>
        <w:t xml:space="preserve"> or continue to experience</w:t>
      </w:r>
      <w:r w:rsidR="001368A7">
        <w:rPr>
          <w:rFonts w:ascii="Times New Roman" w:hAnsi="Times New Roman" w:cs="Times New Roman"/>
          <w:sz w:val="24"/>
          <w:szCs w:val="24"/>
        </w:rPr>
        <w:t xml:space="preserve"> </w:t>
      </w:r>
      <w:proofErr w:type="gramStart"/>
      <w:r w:rsidR="001368A7">
        <w:rPr>
          <w:rFonts w:ascii="Times New Roman" w:hAnsi="Times New Roman" w:cs="Times New Roman"/>
          <w:sz w:val="24"/>
          <w:szCs w:val="24"/>
        </w:rPr>
        <w:t xml:space="preserve">as a </w:t>
      </w:r>
      <w:r w:rsidRPr="00875ED3" w:rsidR="001368A7">
        <w:rPr>
          <w:rFonts w:ascii="Times New Roman" w:hAnsi="Times New Roman" w:cs="Times New Roman"/>
          <w:sz w:val="24"/>
          <w:szCs w:val="24"/>
        </w:rPr>
        <w:t>result of</w:t>
      </w:r>
      <w:proofErr w:type="gramEnd"/>
      <w:r w:rsidRPr="00875ED3" w:rsidR="001368A7">
        <w:rPr>
          <w:rFonts w:ascii="Times New Roman" w:hAnsi="Times New Roman" w:cs="Times New Roman"/>
          <w:sz w:val="24"/>
          <w:szCs w:val="24"/>
        </w:rPr>
        <w:t xml:space="preserve"> the pandemic. </w:t>
      </w:r>
      <w:proofErr w:type="gramStart"/>
      <w:r w:rsidRPr="00875ED3" w:rsidR="000D141B">
        <w:rPr>
          <w:rFonts w:ascii="Times New Roman" w:hAnsi="Times New Roman" w:cs="Times New Roman"/>
          <w:sz w:val="24"/>
          <w:szCs w:val="24"/>
        </w:rPr>
        <w:t>In order to</w:t>
      </w:r>
      <w:proofErr w:type="gramEnd"/>
      <w:r w:rsidRPr="00875ED3" w:rsidR="000D141B">
        <w:rPr>
          <w:rFonts w:ascii="Times New Roman" w:hAnsi="Times New Roman" w:cs="Times New Roman"/>
          <w:sz w:val="24"/>
          <w:szCs w:val="24"/>
        </w:rPr>
        <w:t xml:space="preserve"> </w:t>
      </w:r>
      <w:r w:rsidRPr="00875ED3" w:rsidR="00765F14">
        <w:rPr>
          <w:rFonts w:ascii="Times New Roman" w:hAnsi="Times New Roman" w:cs="Times New Roman"/>
          <w:sz w:val="24"/>
          <w:szCs w:val="24"/>
        </w:rPr>
        <w:t xml:space="preserve">prevent placing an undue burden on the respondents, MDRC tried </w:t>
      </w:r>
      <w:r w:rsidRPr="00875ED3">
        <w:rPr>
          <w:rFonts w:ascii="Times New Roman" w:hAnsi="Times New Roman" w:cs="Times New Roman"/>
          <w:sz w:val="24"/>
          <w:szCs w:val="24"/>
        </w:rPr>
        <w:t>to keep the time needed for survey administration to a reasonable duration.</w:t>
      </w:r>
      <w:r w:rsidRPr="00875ED3" w:rsidR="00765F14">
        <w:rPr>
          <w:rFonts w:ascii="Times New Roman" w:hAnsi="Times New Roman" w:cs="Times New Roman"/>
          <w:sz w:val="24"/>
          <w:szCs w:val="24"/>
        </w:rPr>
        <w:t xml:space="preserve"> </w:t>
      </w:r>
      <w:r w:rsidRPr="00875ED3">
        <w:rPr>
          <w:rFonts w:ascii="Times New Roman" w:hAnsi="Times New Roman" w:cs="Times New Roman"/>
          <w:sz w:val="24"/>
          <w:szCs w:val="24"/>
        </w:rPr>
        <w:t xml:space="preserve">This section provides a brief overview of the content of the follow-up survey. </w:t>
      </w:r>
    </w:p>
    <w:p w:rsidR="008C4FA2" w:rsidP="00435881" w:rsidRDefault="008C4FA2" w14:paraId="09612CCD" w14:textId="306422F1">
      <w:pPr>
        <w:keepLines/>
        <w:tabs>
          <w:tab w:val="left" w:pos="360"/>
        </w:tabs>
        <w:spacing w:after="80"/>
        <w:ind w:left="360" w:hanging="360"/>
        <w:jc w:val="both"/>
        <w:rPr>
          <w:rFonts w:ascii="Times New Roman" w:hAnsi="Times New Roman" w:cs="Times New Roman"/>
          <w:sz w:val="24"/>
          <w:szCs w:val="24"/>
        </w:rPr>
      </w:pPr>
      <w:r w:rsidRPr="00875ED3">
        <w:rPr>
          <w:rFonts w:ascii="Times New Roman" w:hAnsi="Times New Roman" w:cs="Times New Roman"/>
          <w:sz w:val="24"/>
          <w:szCs w:val="24"/>
        </w:rPr>
        <w:tab/>
        <w:t xml:space="preserve">The survey will include questions concerning respondents’ current situation at the time of their interview and other questions that focus on the period between study enrollment and the </w:t>
      </w:r>
      <w:r w:rsidR="00677FCB">
        <w:rPr>
          <w:rFonts w:ascii="Times New Roman" w:hAnsi="Times New Roman" w:cs="Times New Roman"/>
          <w:sz w:val="24"/>
          <w:szCs w:val="24"/>
        </w:rPr>
        <w:t>time</w:t>
      </w:r>
      <w:r w:rsidRPr="00875ED3">
        <w:rPr>
          <w:rFonts w:ascii="Times New Roman" w:hAnsi="Times New Roman" w:cs="Times New Roman"/>
          <w:sz w:val="24"/>
          <w:szCs w:val="24"/>
        </w:rPr>
        <w:t xml:space="preserve"> of the long-term follow-up survey</w:t>
      </w:r>
      <w:r w:rsidR="007D0920">
        <w:rPr>
          <w:rFonts w:ascii="Times New Roman" w:hAnsi="Times New Roman" w:cs="Times New Roman"/>
          <w:sz w:val="24"/>
          <w:szCs w:val="24"/>
        </w:rPr>
        <w:t xml:space="preserve"> or during the 12 months prior to interview</w:t>
      </w:r>
      <w:r w:rsidRPr="00875ED3">
        <w:rPr>
          <w:rFonts w:ascii="Times New Roman" w:hAnsi="Times New Roman" w:cs="Times New Roman"/>
          <w:sz w:val="24"/>
          <w:szCs w:val="24"/>
        </w:rPr>
        <w:t>.</w:t>
      </w:r>
    </w:p>
    <w:p w:rsidR="00962AB7" w:rsidP="006E637B" w:rsidRDefault="008C4FA2" w14:paraId="331D69B5" w14:textId="7EDB6817">
      <w:pPr>
        <w:keepLines/>
        <w:tabs>
          <w:tab w:val="left" w:pos="210"/>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sidR="0065588B">
        <w:rPr>
          <w:rFonts w:ascii="Times New Roman" w:hAnsi="Times New Roman" w:cs="Times New Roman"/>
          <w:sz w:val="24"/>
          <w:szCs w:val="24"/>
        </w:rPr>
        <w:tab/>
      </w:r>
    </w:p>
    <w:p w:rsidR="008C4FA2" w:rsidP="00435881" w:rsidRDefault="008C4FA2" w14:paraId="70007116" w14:textId="61E1EBBC">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sidR="005D65F5">
        <w:rPr>
          <w:rFonts w:ascii="Times New Roman" w:hAnsi="Times New Roman" w:cs="Times New Roman"/>
          <w:sz w:val="24"/>
          <w:szCs w:val="24"/>
        </w:rPr>
        <w:t>T</w:t>
      </w:r>
      <w:r w:rsidRPr="005639F7">
        <w:rPr>
          <w:rFonts w:ascii="Times New Roman" w:hAnsi="Times New Roman" w:cs="Times New Roman"/>
          <w:sz w:val="24"/>
          <w:szCs w:val="24"/>
        </w:rPr>
        <w:t xml:space="preserve">he </w:t>
      </w:r>
      <w:r w:rsidR="008C4B2D">
        <w:rPr>
          <w:rFonts w:ascii="Times New Roman" w:hAnsi="Times New Roman" w:cs="Times New Roman"/>
          <w:sz w:val="24"/>
          <w:szCs w:val="24"/>
        </w:rPr>
        <w:t xml:space="preserve">survey is structured around </w:t>
      </w:r>
      <w:r w:rsidR="00F70AD8">
        <w:rPr>
          <w:rFonts w:ascii="Times New Roman" w:hAnsi="Times New Roman" w:cs="Times New Roman"/>
          <w:sz w:val="24"/>
          <w:szCs w:val="24"/>
        </w:rPr>
        <w:t>6</w:t>
      </w:r>
      <w:r w:rsidR="008C4B2D">
        <w:rPr>
          <w:rFonts w:ascii="Times New Roman" w:hAnsi="Times New Roman" w:cs="Times New Roman"/>
          <w:sz w:val="24"/>
          <w:szCs w:val="24"/>
        </w:rPr>
        <w:t xml:space="preserve"> modules, covering the </w:t>
      </w:r>
      <w:r w:rsidRPr="005639F7">
        <w:rPr>
          <w:rFonts w:ascii="Times New Roman" w:hAnsi="Times New Roman" w:cs="Times New Roman"/>
          <w:sz w:val="24"/>
          <w:szCs w:val="24"/>
        </w:rPr>
        <w:t>following broad topics</w:t>
      </w:r>
      <w:r w:rsidR="008C64D8">
        <w:rPr>
          <w:rFonts w:ascii="Times New Roman" w:hAnsi="Times New Roman" w:cs="Times New Roman"/>
          <w:sz w:val="24"/>
          <w:szCs w:val="24"/>
        </w:rPr>
        <w:t xml:space="preserve">:  </w:t>
      </w:r>
    </w:p>
    <w:p w:rsidRPr="005639F7" w:rsidR="008C4FA2" w:rsidP="00435881" w:rsidRDefault="008C4FA2" w14:paraId="5BFF572C" w14:textId="77777777">
      <w:pPr>
        <w:keepLines/>
        <w:tabs>
          <w:tab w:val="left" w:pos="360"/>
        </w:tabs>
        <w:spacing w:after="80"/>
        <w:ind w:left="360" w:hanging="36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Participation in employment, education, and social services</w:t>
      </w:r>
      <w:r>
        <w:rPr>
          <w:rFonts w:ascii="Times New Roman" w:hAnsi="Times New Roman" w:cs="Times New Roman"/>
          <w:sz w:val="24"/>
          <w:szCs w:val="24"/>
        </w:rPr>
        <w:t xml:space="preserve"> </w:t>
      </w:r>
    </w:p>
    <w:p w:rsidRPr="005639F7" w:rsidR="008C4FA2" w:rsidP="00435881" w:rsidRDefault="008C4FA2" w14:paraId="6DC00853"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Courses, trainings, and programs attended</w:t>
      </w:r>
    </w:p>
    <w:p w:rsidR="008C4FA2" w:rsidP="00435881" w:rsidRDefault="008C4FA2" w14:paraId="7B0C5415" w14:textId="77777777">
      <w:pPr>
        <w:keepLines/>
        <w:tabs>
          <w:tab w:val="left" w:pos="360"/>
        </w:tabs>
        <w:spacing w:after="80"/>
        <w:ind w:left="360" w:hanging="36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Educational attainment </w:t>
      </w:r>
    </w:p>
    <w:p w:rsidR="008C4FA2" w:rsidP="00435881" w:rsidRDefault="008C4FA2" w14:paraId="23029441" w14:textId="77777777">
      <w:pPr>
        <w:keepLines/>
        <w:tabs>
          <w:tab w:val="left" w:pos="360"/>
        </w:tabs>
        <w:spacing w:after="80"/>
        <w:ind w:left="360" w:hanging="36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Degrees, licenses, and certifications received</w:t>
      </w:r>
    </w:p>
    <w:p w:rsidR="008C4FA2" w:rsidP="00435881" w:rsidRDefault="008C4FA2" w14:paraId="34FE475F" w14:textId="77777777">
      <w:pPr>
        <w:keepLines/>
        <w:tabs>
          <w:tab w:val="left" w:pos="360"/>
        </w:tabs>
        <w:spacing w:after="80"/>
        <w:ind w:left="360" w:hanging="36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Employment </w:t>
      </w:r>
    </w:p>
    <w:p w:rsidR="008C4FA2" w:rsidP="00435881" w:rsidRDefault="008C4FA2" w14:paraId="1A04E579"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639F7">
        <w:rPr>
          <w:rFonts w:ascii="Times New Roman" w:hAnsi="Times New Roman" w:cs="Times New Roman"/>
          <w:sz w:val="24"/>
          <w:szCs w:val="24"/>
        </w:rPr>
        <w:t>Employ</w:t>
      </w:r>
      <w:r>
        <w:rPr>
          <w:rFonts w:ascii="Times New Roman" w:hAnsi="Times New Roman" w:cs="Times New Roman"/>
          <w:sz w:val="24"/>
          <w:szCs w:val="24"/>
        </w:rPr>
        <w:t>ment and job characteristics during the follow-up period</w:t>
      </w:r>
    </w:p>
    <w:p w:rsidRPr="005639F7" w:rsidR="008C4FA2" w:rsidP="00435881" w:rsidRDefault="008C4FA2" w14:paraId="48E42441"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Changes in employment due to the COVID-19 pandemic</w:t>
      </w:r>
    </w:p>
    <w:p w:rsidR="008C4FA2" w:rsidP="00435881" w:rsidRDefault="008C4FA2" w14:paraId="734FAE86" w14:textId="77777777">
      <w:pPr>
        <w:keepLines/>
        <w:tabs>
          <w:tab w:val="left" w:pos="360"/>
        </w:tabs>
        <w:spacing w:after="80"/>
        <w:ind w:left="360" w:hanging="36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Income, debt, expenses, and material hardship</w:t>
      </w:r>
    </w:p>
    <w:p w:rsidR="008C4FA2" w:rsidP="00435881" w:rsidRDefault="008C4FA2" w14:paraId="52E72D82"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639F7">
        <w:rPr>
          <w:rFonts w:ascii="Times New Roman" w:hAnsi="Times New Roman" w:cs="Times New Roman"/>
          <w:sz w:val="24"/>
          <w:szCs w:val="24"/>
        </w:rPr>
        <w:t>Earn</w:t>
      </w:r>
      <w:r>
        <w:rPr>
          <w:rFonts w:ascii="Times New Roman" w:hAnsi="Times New Roman" w:cs="Times New Roman"/>
          <w:sz w:val="24"/>
          <w:szCs w:val="24"/>
        </w:rPr>
        <w:t>ings at the time of the follow-up survey</w:t>
      </w:r>
    </w:p>
    <w:p w:rsidR="008C4FA2" w:rsidP="00435881" w:rsidRDefault="008C4FA2" w14:paraId="09C9C48C"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Income sources; total family income </w:t>
      </w:r>
    </w:p>
    <w:p w:rsidR="008C4FA2" w:rsidP="00435881" w:rsidRDefault="008C4FA2" w14:paraId="1C85ED0D"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Amounts of savings and debt </w:t>
      </w:r>
    </w:p>
    <w:p w:rsidR="008C4FA2" w:rsidP="00435881" w:rsidRDefault="008C4FA2" w14:paraId="58E3DC6B"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Use of alternative financial service providers (e.g. check cashers, payday lending)</w:t>
      </w:r>
    </w:p>
    <w:p w:rsidR="008C4FA2" w:rsidP="00435881" w:rsidRDefault="008C4FA2" w14:paraId="388BE6C3" w14:textId="77777777">
      <w:pPr>
        <w:keepLines/>
        <w:tabs>
          <w:tab w:val="left" w:pos="360"/>
        </w:tabs>
        <w:spacing w:after="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Economic stressors: material hardship, income instability, emergency expenses </w:t>
      </w:r>
    </w:p>
    <w:p w:rsidR="008C4FA2" w:rsidP="00435881" w:rsidRDefault="008C4FA2" w14:paraId="6A20A446"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Food security </w:t>
      </w:r>
    </w:p>
    <w:p w:rsidRPr="005639F7" w:rsidR="008C4FA2" w:rsidP="00435881" w:rsidRDefault="008C4FA2" w14:paraId="014AFEAE"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Health insurance coverage and health status </w:t>
      </w:r>
    </w:p>
    <w:p w:rsidR="008C4FA2" w:rsidP="00435881" w:rsidRDefault="008C4FA2" w14:paraId="3519063E" w14:textId="77777777">
      <w:pPr>
        <w:keepLines/>
        <w:tabs>
          <w:tab w:val="left" w:pos="360"/>
        </w:tabs>
        <w:spacing w:after="80"/>
        <w:ind w:left="360" w:hanging="36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Housing</w:t>
      </w:r>
    </w:p>
    <w:p w:rsidR="008C4FA2" w:rsidP="00435881" w:rsidRDefault="008C4FA2" w14:paraId="1C1158BC"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Current housing status and recent changes in housing status</w:t>
      </w:r>
    </w:p>
    <w:p w:rsidRPr="005639F7" w:rsidR="008C4FA2" w:rsidP="00435881" w:rsidRDefault="008C4FA2" w14:paraId="6085EBF7"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Housing expenses (e.g. rent and utility payments)</w:t>
      </w:r>
    </w:p>
    <w:p w:rsidR="008C4FA2" w:rsidP="00435881" w:rsidRDefault="008C4FA2" w14:paraId="0CBA45C0" w14:textId="77777777">
      <w:pPr>
        <w:keepLines/>
        <w:tabs>
          <w:tab w:val="left" w:pos="360"/>
        </w:tabs>
        <w:spacing w:after="80"/>
        <w:ind w:left="360" w:hanging="36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Program participation (program group only)</w:t>
      </w:r>
    </w:p>
    <w:p w:rsidR="008C4FA2" w:rsidP="00435881" w:rsidRDefault="008C4FA2" w14:paraId="61129ED4"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For program group members enrolled in FSS at the time of survey </w:t>
      </w:r>
    </w:p>
    <w:p w:rsidR="008C4FA2" w:rsidP="00435881" w:rsidRDefault="008C4FA2" w14:paraId="2264212E"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Conditions that facilitate and hinder the achievement of program goals</w:t>
      </w:r>
    </w:p>
    <w:p w:rsidR="008C4FA2" w:rsidP="00435881" w:rsidRDefault="008C4FA2" w14:paraId="7659A658"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Escrow accumulation and intended use of escrow </w:t>
      </w:r>
    </w:p>
    <w:p w:rsidR="008C4FA2" w:rsidP="00435881" w:rsidRDefault="008C4FA2" w14:paraId="684F667E"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Contacts and case management experiences </w:t>
      </w:r>
    </w:p>
    <w:p w:rsidR="008C4FA2" w:rsidP="00435881" w:rsidRDefault="008C4FA2" w14:paraId="491BD899"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Evaluation of the core components of the FSS program </w:t>
      </w:r>
    </w:p>
    <w:p w:rsidR="008C4FA2" w:rsidP="00435881" w:rsidRDefault="008C4FA2" w14:paraId="4C5143D7" w14:textId="4175C1A5">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For program group members who ha</w:t>
      </w:r>
      <w:r w:rsidR="00946933">
        <w:rPr>
          <w:rFonts w:ascii="Times New Roman" w:hAnsi="Times New Roman" w:cs="Times New Roman"/>
          <w:sz w:val="24"/>
          <w:szCs w:val="24"/>
        </w:rPr>
        <w:t>ve</w:t>
      </w:r>
      <w:r>
        <w:rPr>
          <w:rFonts w:ascii="Times New Roman" w:hAnsi="Times New Roman" w:cs="Times New Roman"/>
          <w:sz w:val="24"/>
          <w:szCs w:val="24"/>
        </w:rPr>
        <w:t xml:space="preserve"> exited or graduated FSS at the time of</w:t>
      </w:r>
      <w:r w:rsidR="005C3501">
        <w:rPr>
          <w:rFonts w:ascii="Times New Roman" w:hAnsi="Times New Roman" w:cs="Times New Roman"/>
          <w:sz w:val="24"/>
          <w:szCs w:val="24"/>
        </w:rPr>
        <w:tab/>
      </w:r>
      <w:r w:rsidR="005C3501">
        <w:rPr>
          <w:rFonts w:ascii="Times New Roman" w:hAnsi="Times New Roman" w:cs="Times New Roman"/>
          <w:sz w:val="24"/>
          <w:szCs w:val="24"/>
        </w:rPr>
        <w:tab/>
      </w:r>
      <w:r w:rsidR="005C3501">
        <w:rPr>
          <w:rFonts w:ascii="Times New Roman" w:hAnsi="Times New Roman" w:cs="Times New Roman"/>
          <w:sz w:val="24"/>
          <w:szCs w:val="24"/>
        </w:rPr>
        <w:tab/>
      </w:r>
      <w:r>
        <w:rPr>
          <w:rFonts w:ascii="Times New Roman" w:hAnsi="Times New Roman" w:cs="Times New Roman"/>
          <w:sz w:val="24"/>
          <w:szCs w:val="24"/>
        </w:rPr>
        <w:t>survey</w:t>
      </w:r>
    </w:p>
    <w:p w:rsidR="008C4FA2" w:rsidP="00435881" w:rsidRDefault="008C4FA2" w14:paraId="64A47C46"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Conditions that facilitate and hinder the achievement of program goals</w:t>
      </w:r>
    </w:p>
    <w:p w:rsidR="008C4FA2" w:rsidP="00435881" w:rsidRDefault="008C4FA2" w14:paraId="15407C39"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Escrow accumulation and use of escrow (if applicable) </w:t>
      </w:r>
    </w:p>
    <w:p w:rsidR="008C4FA2" w:rsidP="00435881" w:rsidRDefault="008C4FA2" w14:paraId="65EA54AC"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Contacts and case management experiences </w:t>
      </w:r>
    </w:p>
    <w:p w:rsidR="008C4FA2" w:rsidP="00435881" w:rsidRDefault="008C4FA2" w14:paraId="69BF2CA3"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Evaluation of the core components of the FSS program </w:t>
      </w:r>
    </w:p>
    <w:p w:rsidR="008C4FA2" w:rsidP="00435881" w:rsidRDefault="008C4FA2" w14:paraId="66206778" w14:textId="77777777">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Reason for leaving the program </w:t>
      </w:r>
    </w:p>
    <w:p w:rsidRPr="005639F7" w:rsidR="008C4FA2" w:rsidP="00435881" w:rsidRDefault="008C4FA2" w14:paraId="042E42E9" w14:textId="1FF3A1AF">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Conditions that </w:t>
      </w:r>
      <w:r w:rsidR="00FC4E5C">
        <w:rPr>
          <w:rFonts w:ascii="Times New Roman" w:hAnsi="Times New Roman" w:cs="Times New Roman"/>
          <w:sz w:val="24"/>
          <w:szCs w:val="24"/>
        </w:rPr>
        <w:t>supported</w:t>
      </w:r>
      <w:r>
        <w:rPr>
          <w:rFonts w:ascii="Times New Roman" w:hAnsi="Times New Roman" w:cs="Times New Roman"/>
          <w:sz w:val="24"/>
          <w:szCs w:val="24"/>
        </w:rPr>
        <w:t xml:space="preserve"> or </w:t>
      </w:r>
      <w:r w:rsidR="00FC4E5C">
        <w:rPr>
          <w:rFonts w:ascii="Times New Roman" w:hAnsi="Times New Roman" w:cs="Times New Roman"/>
          <w:sz w:val="24"/>
          <w:szCs w:val="24"/>
        </w:rPr>
        <w:t>could</w:t>
      </w:r>
      <w:r>
        <w:rPr>
          <w:rFonts w:ascii="Times New Roman" w:hAnsi="Times New Roman" w:cs="Times New Roman"/>
          <w:sz w:val="24"/>
          <w:szCs w:val="24"/>
        </w:rPr>
        <w:t xml:space="preserve"> have </w:t>
      </w:r>
      <w:r w:rsidR="00FC4E5C">
        <w:rPr>
          <w:rFonts w:ascii="Times New Roman" w:hAnsi="Times New Roman" w:cs="Times New Roman"/>
          <w:sz w:val="24"/>
          <w:szCs w:val="24"/>
        </w:rPr>
        <w:t>supporte</w:t>
      </w:r>
      <w:r>
        <w:rPr>
          <w:rFonts w:ascii="Times New Roman" w:hAnsi="Times New Roman" w:cs="Times New Roman"/>
          <w:sz w:val="24"/>
          <w:szCs w:val="24"/>
        </w:rPr>
        <w:t xml:space="preserve">d program graduation </w:t>
      </w:r>
    </w:p>
    <w:p w:rsidRPr="00511484" w:rsidR="001D3A5F" w:rsidP="00435881" w:rsidRDefault="001D3A5F" w14:paraId="2BCF9E13" w14:textId="727726C1">
      <w:pPr>
        <w:keepLines/>
        <w:tabs>
          <w:tab w:val="left" w:pos="360"/>
        </w:tabs>
        <w:spacing w:after="80"/>
        <w:ind w:left="360" w:hanging="360"/>
        <w:jc w:val="both"/>
        <w:rPr>
          <w:rFonts w:ascii="Times New Roman" w:hAnsi="Times New Roman" w:cs="Times New Roman"/>
          <w:b/>
          <w:bCs/>
          <w:sz w:val="24"/>
          <w:szCs w:val="24"/>
        </w:rPr>
      </w:pPr>
      <w:r w:rsidRPr="005D65F5">
        <w:rPr>
          <w:rFonts w:ascii="Times New Roman" w:hAnsi="Times New Roman" w:cs="Times New Roman"/>
          <w:sz w:val="24"/>
          <w:szCs w:val="24"/>
        </w:rPr>
        <w:tab/>
      </w:r>
      <w:r w:rsidRPr="00D920EA">
        <w:rPr>
          <w:rFonts w:ascii="Times New Roman" w:hAnsi="Times New Roman" w:cs="Times New Roman"/>
          <w:b/>
          <w:bCs/>
          <w:sz w:val="24"/>
          <w:szCs w:val="24"/>
        </w:rPr>
        <w:t>Who will collect the information?</w:t>
      </w:r>
    </w:p>
    <w:p w:rsidRPr="00550A76" w:rsidR="004C6B27" w:rsidP="00435881" w:rsidRDefault="001D3A5F" w14:paraId="7614B084" w14:textId="225518A0">
      <w:pPr>
        <w:keepLines/>
        <w:tabs>
          <w:tab w:val="left" w:pos="360"/>
        </w:tabs>
        <w:spacing w:after="80"/>
        <w:ind w:left="360" w:hanging="360"/>
        <w:jc w:val="both"/>
        <w:rPr>
          <w:rFonts w:ascii="Times New Roman" w:hAnsi="Times New Roman" w:cs="Times New Roman"/>
          <w:sz w:val="24"/>
          <w:szCs w:val="24"/>
        </w:rPr>
      </w:pPr>
      <w:r w:rsidRPr="00A15383">
        <w:rPr>
          <w:rFonts w:ascii="Times New Roman" w:hAnsi="Times New Roman" w:cs="Times New Roman"/>
          <w:b/>
          <w:bCs/>
          <w:sz w:val="24"/>
          <w:szCs w:val="24"/>
        </w:rPr>
        <w:tab/>
      </w:r>
      <w:r w:rsidRPr="00A15383" w:rsidR="005B7732">
        <w:rPr>
          <w:rFonts w:ascii="Times New Roman" w:hAnsi="Times New Roman" w:cs="Times New Roman"/>
          <w:sz w:val="24"/>
          <w:szCs w:val="24"/>
        </w:rPr>
        <w:t xml:space="preserve">M Davis and Company (MDAC), the survey subcontractor to MDRC for the national </w:t>
      </w:r>
      <w:r w:rsidRPr="00550A76" w:rsidR="005B7732">
        <w:rPr>
          <w:rFonts w:ascii="Times New Roman" w:hAnsi="Times New Roman" w:cs="Times New Roman"/>
          <w:sz w:val="24"/>
          <w:szCs w:val="24"/>
        </w:rPr>
        <w:t>evaluation, will administer and field the follow-up survey.  The survey will be administered to</w:t>
      </w:r>
      <w:r w:rsidRPr="00550A76" w:rsidR="00813670">
        <w:rPr>
          <w:rFonts w:ascii="Times New Roman" w:hAnsi="Times New Roman" w:cs="Times New Roman"/>
          <w:sz w:val="24"/>
          <w:szCs w:val="24"/>
        </w:rPr>
        <w:t xml:space="preserve"> a fielded sample of</w:t>
      </w:r>
      <w:r w:rsidRPr="00550A76" w:rsidR="005B7732">
        <w:rPr>
          <w:rFonts w:ascii="Times New Roman" w:hAnsi="Times New Roman" w:cs="Times New Roman"/>
          <w:sz w:val="24"/>
          <w:szCs w:val="24"/>
        </w:rPr>
        <w:t xml:space="preserve"> </w:t>
      </w:r>
      <w:r w:rsidRPr="00550A76" w:rsidR="00061D68">
        <w:rPr>
          <w:rFonts w:ascii="Times New Roman" w:hAnsi="Times New Roman" w:cs="Times New Roman"/>
          <w:sz w:val="24"/>
          <w:szCs w:val="24"/>
        </w:rPr>
        <w:t>1,300 study group members,</w:t>
      </w:r>
      <w:r w:rsidRPr="00550A76" w:rsidR="00911CA5">
        <w:rPr>
          <w:rFonts w:ascii="Times New Roman" w:hAnsi="Times New Roman" w:cs="Times New Roman"/>
          <w:sz w:val="24"/>
          <w:szCs w:val="24"/>
        </w:rPr>
        <w:t xml:space="preserve"> split evenly between </w:t>
      </w:r>
      <w:r w:rsidR="00D23B50">
        <w:rPr>
          <w:rFonts w:ascii="Times New Roman" w:hAnsi="Times New Roman" w:cs="Times New Roman"/>
          <w:sz w:val="24"/>
          <w:szCs w:val="24"/>
        </w:rPr>
        <w:t>FSS (</w:t>
      </w:r>
      <w:r w:rsidRPr="00550A76" w:rsidR="00911CA5">
        <w:rPr>
          <w:rFonts w:ascii="Times New Roman" w:hAnsi="Times New Roman" w:cs="Times New Roman"/>
          <w:sz w:val="24"/>
          <w:szCs w:val="24"/>
        </w:rPr>
        <w:t>program</w:t>
      </w:r>
      <w:r w:rsidR="00D23B50">
        <w:rPr>
          <w:rFonts w:ascii="Times New Roman" w:hAnsi="Times New Roman" w:cs="Times New Roman"/>
          <w:sz w:val="24"/>
          <w:szCs w:val="24"/>
        </w:rPr>
        <w:t>)</w:t>
      </w:r>
      <w:r w:rsidRPr="00550A76" w:rsidR="00911CA5">
        <w:rPr>
          <w:rFonts w:ascii="Times New Roman" w:hAnsi="Times New Roman" w:cs="Times New Roman"/>
          <w:sz w:val="24"/>
          <w:szCs w:val="24"/>
        </w:rPr>
        <w:t xml:space="preserve"> and control group members. The </w:t>
      </w:r>
      <w:r w:rsidRPr="00550A76" w:rsidR="00893FD0">
        <w:rPr>
          <w:rFonts w:ascii="Times New Roman" w:hAnsi="Times New Roman" w:cs="Times New Roman"/>
          <w:sz w:val="24"/>
          <w:szCs w:val="24"/>
        </w:rPr>
        <w:t xml:space="preserve">survey will </w:t>
      </w:r>
      <w:r w:rsidRPr="00550A76" w:rsidR="00395468">
        <w:rPr>
          <w:rFonts w:ascii="Times New Roman" w:hAnsi="Times New Roman" w:cs="Times New Roman"/>
          <w:sz w:val="24"/>
          <w:szCs w:val="24"/>
        </w:rPr>
        <w:t>primarily</w:t>
      </w:r>
      <w:r w:rsidRPr="00550A76" w:rsidR="0093702D">
        <w:rPr>
          <w:rFonts w:ascii="Times New Roman" w:hAnsi="Times New Roman" w:cs="Times New Roman"/>
          <w:sz w:val="24"/>
          <w:szCs w:val="24"/>
        </w:rPr>
        <w:t xml:space="preserve"> </w:t>
      </w:r>
      <w:r w:rsidRPr="00550A76" w:rsidR="00CB2606">
        <w:rPr>
          <w:rFonts w:ascii="Times New Roman" w:hAnsi="Times New Roman" w:cs="Times New Roman"/>
          <w:sz w:val="24"/>
          <w:szCs w:val="24"/>
        </w:rPr>
        <w:t>be</w:t>
      </w:r>
      <w:r w:rsidRPr="00550A76" w:rsidR="004D6D3C">
        <w:rPr>
          <w:rFonts w:ascii="Times New Roman" w:hAnsi="Times New Roman" w:cs="Times New Roman"/>
          <w:sz w:val="24"/>
          <w:szCs w:val="24"/>
        </w:rPr>
        <w:t xml:space="preserve"> web-based and</w:t>
      </w:r>
      <w:r w:rsidRPr="00550A76" w:rsidR="00893FD0">
        <w:rPr>
          <w:rFonts w:ascii="Times New Roman" w:hAnsi="Times New Roman" w:cs="Times New Roman"/>
          <w:sz w:val="24"/>
          <w:szCs w:val="24"/>
        </w:rPr>
        <w:t xml:space="preserve"> </w:t>
      </w:r>
      <w:r w:rsidRPr="00550A76" w:rsidR="00662873">
        <w:rPr>
          <w:rFonts w:ascii="Times New Roman" w:hAnsi="Times New Roman" w:cs="Times New Roman"/>
          <w:sz w:val="24"/>
          <w:szCs w:val="24"/>
        </w:rPr>
        <w:t>self-admi</w:t>
      </w:r>
      <w:r w:rsidRPr="00550A76" w:rsidR="00FD7AF7">
        <w:rPr>
          <w:rFonts w:ascii="Times New Roman" w:hAnsi="Times New Roman" w:cs="Times New Roman"/>
          <w:sz w:val="24"/>
          <w:szCs w:val="24"/>
        </w:rPr>
        <w:t>nistered</w:t>
      </w:r>
      <w:r w:rsidRPr="00550A76" w:rsidR="004A3DA3">
        <w:rPr>
          <w:rFonts w:ascii="Times New Roman" w:hAnsi="Times New Roman" w:cs="Times New Roman"/>
          <w:sz w:val="24"/>
          <w:szCs w:val="24"/>
        </w:rPr>
        <w:t xml:space="preserve"> but will have</w:t>
      </w:r>
      <w:r w:rsidRPr="00550A76" w:rsidR="00FC78CC">
        <w:rPr>
          <w:rFonts w:ascii="Times New Roman" w:hAnsi="Times New Roman" w:cs="Times New Roman"/>
          <w:sz w:val="24"/>
          <w:szCs w:val="24"/>
        </w:rPr>
        <w:t xml:space="preserve"> a </w:t>
      </w:r>
      <w:r w:rsidRPr="00550A76" w:rsidR="00893FD0">
        <w:rPr>
          <w:rFonts w:ascii="Times New Roman" w:hAnsi="Times New Roman" w:cs="Times New Roman"/>
          <w:sz w:val="24"/>
          <w:szCs w:val="24"/>
        </w:rPr>
        <w:t xml:space="preserve">computer-assisted </w:t>
      </w:r>
      <w:r w:rsidRPr="00550A76" w:rsidR="00985AF1">
        <w:rPr>
          <w:rFonts w:ascii="Times New Roman" w:hAnsi="Times New Roman" w:cs="Times New Roman"/>
          <w:sz w:val="24"/>
          <w:szCs w:val="24"/>
        </w:rPr>
        <w:t>telephone interview (CATI)</w:t>
      </w:r>
      <w:r w:rsidRPr="00550A76" w:rsidR="00FC78CC">
        <w:rPr>
          <w:rFonts w:ascii="Times New Roman" w:hAnsi="Times New Roman" w:cs="Times New Roman"/>
          <w:sz w:val="24"/>
          <w:szCs w:val="24"/>
        </w:rPr>
        <w:t xml:space="preserve"> for the non-respondents</w:t>
      </w:r>
      <w:r w:rsidR="00C6628E">
        <w:rPr>
          <w:rFonts w:ascii="Times New Roman" w:hAnsi="Times New Roman" w:cs="Times New Roman"/>
          <w:sz w:val="24"/>
          <w:szCs w:val="24"/>
        </w:rPr>
        <w:t xml:space="preserve"> to the online version</w:t>
      </w:r>
      <w:r w:rsidRPr="00550A76" w:rsidR="002B70F6">
        <w:rPr>
          <w:rFonts w:ascii="Times New Roman" w:hAnsi="Times New Roman" w:cs="Times New Roman"/>
          <w:sz w:val="24"/>
          <w:szCs w:val="24"/>
        </w:rPr>
        <w:t xml:space="preserve">. </w:t>
      </w:r>
      <w:r w:rsidR="00C6628E">
        <w:rPr>
          <w:rFonts w:ascii="Times New Roman" w:hAnsi="Times New Roman" w:cs="Times New Roman"/>
          <w:sz w:val="24"/>
          <w:szCs w:val="24"/>
        </w:rPr>
        <w:t>Both surveys will use the same questionnaire</w:t>
      </w:r>
      <w:r w:rsidR="004A043C">
        <w:rPr>
          <w:rFonts w:ascii="Times New Roman" w:hAnsi="Times New Roman" w:cs="Times New Roman"/>
          <w:sz w:val="24"/>
          <w:szCs w:val="24"/>
        </w:rPr>
        <w:t>, with slight modifications to facilitat</w:t>
      </w:r>
      <w:r w:rsidR="00BC5727">
        <w:rPr>
          <w:rFonts w:ascii="Times New Roman" w:hAnsi="Times New Roman" w:cs="Times New Roman"/>
          <w:sz w:val="24"/>
          <w:szCs w:val="24"/>
        </w:rPr>
        <w:t xml:space="preserve">e completion of the survey online or by telephone. </w:t>
      </w:r>
      <w:r w:rsidRPr="00550A76" w:rsidR="00D719AC">
        <w:rPr>
          <w:rFonts w:ascii="Times New Roman" w:hAnsi="Times New Roman" w:cs="Times New Roman"/>
          <w:sz w:val="24"/>
          <w:szCs w:val="24"/>
        </w:rPr>
        <w:t>The</w:t>
      </w:r>
      <w:r w:rsidRPr="00550A76" w:rsidR="00292B93">
        <w:rPr>
          <w:rFonts w:ascii="Times New Roman" w:hAnsi="Times New Roman" w:cs="Times New Roman"/>
          <w:sz w:val="24"/>
          <w:szCs w:val="24"/>
        </w:rPr>
        <w:t xml:space="preserve"> follow-up survey s</w:t>
      </w:r>
      <w:r w:rsidRPr="00550A76" w:rsidR="00985AF1">
        <w:rPr>
          <w:rFonts w:ascii="Times New Roman" w:hAnsi="Times New Roman" w:cs="Times New Roman"/>
          <w:sz w:val="24"/>
          <w:szCs w:val="24"/>
        </w:rPr>
        <w:t xml:space="preserve">hould take </w:t>
      </w:r>
      <w:r w:rsidRPr="00550A76" w:rsidR="005B7732">
        <w:rPr>
          <w:rFonts w:ascii="Times New Roman" w:hAnsi="Times New Roman" w:cs="Times New Roman"/>
          <w:sz w:val="24"/>
          <w:szCs w:val="24"/>
        </w:rPr>
        <w:t xml:space="preserve">approximately </w:t>
      </w:r>
      <w:r w:rsidRPr="00550A76" w:rsidR="00985AF1">
        <w:rPr>
          <w:rFonts w:ascii="Times New Roman" w:hAnsi="Times New Roman" w:cs="Times New Roman"/>
          <w:sz w:val="24"/>
          <w:szCs w:val="24"/>
        </w:rPr>
        <w:t>1</w:t>
      </w:r>
      <w:r w:rsidRPr="00550A76" w:rsidR="00BC0E59">
        <w:rPr>
          <w:rFonts w:ascii="Times New Roman" w:hAnsi="Times New Roman" w:cs="Times New Roman"/>
          <w:sz w:val="24"/>
          <w:szCs w:val="24"/>
        </w:rPr>
        <w:t xml:space="preserve">8 </w:t>
      </w:r>
      <w:r w:rsidRPr="00550A76" w:rsidR="00731AE7">
        <w:rPr>
          <w:rFonts w:ascii="Times New Roman" w:hAnsi="Times New Roman" w:cs="Times New Roman"/>
          <w:sz w:val="24"/>
          <w:szCs w:val="24"/>
        </w:rPr>
        <w:t>to 2</w:t>
      </w:r>
      <w:r w:rsidRPr="00550A76" w:rsidR="00985AF1">
        <w:rPr>
          <w:rFonts w:ascii="Times New Roman" w:hAnsi="Times New Roman" w:cs="Times New Roman"/>
          <w:sz w:val="24"/>
          <w:szCs w:val="24"/>
        </w:rPr>
        <w:t>0</w:t>
      </w:r>
      <w:r w:rsidRPr="00550A76" w:rsidR="005B7732">
        <w:rPr>
          <w:rFonts w:ascii="Times New Roman" w:hAnsi="Times New Roman" w:cs="Times New Roman"/>
          <w:sz w:val="24"/>
          <w:szCs w:val="24"/>
        </w:rPr>
        <w:t xml:space="preserve"> minutes to complete. </w:t>
      </w:r>
      <w:r w:rsidRPr="00550A76" w:rsidR="007E7CC6">
        <w:rPr>
          <w:rFonts w:ascii="Times New Roman" w:hAnsi="Times New Roman" w:cs="Times New Roman"/>
          <w:sz w:val="24"/>
          <w:szCs w:val="24"/>
        </w:rPr>
        <w:t xml:space="preserve"> </w:t>
      </w:r>
      <w:r w:rsidR="00AE5451">
        <w:rPr>
          <w:rFonts w:ascii="Times New Roman" w:hAnsi="Times New Roman" w:cs="Times New Roman"/>
          <w:sz w:val="24"/>
          <w:szCs w:val="24"/>
        </w:rPr>
        <w:t xml:space="preserve">MDAC will administer a Spanish-language version of the survey (online and CATI) for respondents </w:t>
      </w:r>
      <w:r w:rsidR="00F360B5">
        <w:rPr>
          <w:rFonts w:ascii="Times New Roman" w:hAnsi="Times New Roman" w:cs="Times New Roman"/>
          <w:sz w:val="24"/>
          <w:szCs w:val="24"/>
        </w:rPr>
        <w:t xml:space="preserve">who </w:t>
      </w:r>
      <w:r w:rsidR="00852277">
        <w:rPr>
          <w:rFonts w:ascii="Times New Roman" w:hAnsi="Times New Roman" w:cs="Times New Roman"/>
          <w:sz w:val="24"/>
          <w:szCs w:val="24"/>
        </w:rPr>
        <w:t>speak Spanish as their primary language.</w:t>
      </w:r>
    </w:p>
    <w:p w:rsidR="0065588B" w:rsidP="00435881" w:rsidRDefault="0065588B" w14:paraId="681FB8E7" w14:textId="77777777">
      <w:pPr>
        <w:ind w:firstLine="720"/>
        <w:jc w:val="both"/>
        <w:rPr>
          <w:rFonts w:ascii="Times New Roman" w:hAnsi="Times New Roman" w:cs="Times New Roman"/>
          <w:b/>
          <w:sz w:val="24"/>
          <w:szCs w:val="24"/>
        </w:rPr>
      </w:pPr>
    </w:p>
    <w:p w:rsidRPr="00550A76" w:rsidR="0061351B" w:rsidP="006E637B" w:rsidRDefault="001D3A5F" w14:paraId="0025C133" w14:textId="17E28547">
      <w:pPr>
        <w:ind w:firstLine="360"/>
        <w:jc w:val="both"/>
        <w:rPr>
          <w:rFonts w:ascii="Times New Roman" w:hAnsi="Times New Roman" w:cs="Times New Roman"/>
          <w:b/>
          <w:sz w:val="24"/>
          <w:szCs w:val="24"/>
        </w:rPr>
      </w:pPr>
      <w:r w:rsidRPr="00550A76">
        <w:rPr>
          <w:rFonts w:ascii="Times New Roman" w:hAnsi="Times New Roman" w:cs="Times New Roman"/>
          <w:b/>
          <w:sz w:val="24"/>
          <w:szCs w:val="24"/>
        </w:rPr>
        <w:t xml:space="preserve">Informed </w:t>
      </w:r>
      <w:r w:rsidRPr="00550A76" w:rsidR="00E03F95">
        <w:rPr>
          <w:rFonts w:ascii="Times New Roman" w:hAnsi="Times New Roman" w:cs="Times New Roman"/>
          <w:b/>
          <w:sz w:val="24"/>
          <w:szCs w:val="24"/>
        </w:rPr>
        <w:t>c</w:t>
      </w:r>
      <w:r w:rsidRPr="00550A76">
        <w:rPr>
          <w:rFonts w:ascii="Times New Roman" w:hAnsi="Times New Roman" w:cs="Times New Roman"/>
          <w:b/>
          <w:sz w:val="24"/>
          <w:szCs w:val="24"/>
        </w:rPr>
        <w:t>onsen</w:t>
      </w:r>
      <w:r w:rsidRPr="00550A76" w:rsidR="00594C65">
        <w:rPr>
          <w:rFonts w:ascii="Times New Roman" w:hAnsi="Times New Roman" w:cs="Times New Roman"/>
          <w:b/>
          <w:sz w:val="24"/>
          <w:szCs w:val="24"/>
        </w:rPr>
        <w:t>t</w:t>
      </w:r>
    </w:p>
    <w:p w:rsidR="0065588B" w:rsidP="00435881" w:rsidRDefault="0065588B" w14:paraId="0E45693A" w14:textId="77777777">
      <w:pPr>
        <w:ind w:left="360" w:firstLine="360"/>
        <w:jc w:val="both"/>
        <w:rPr>
          <w:rFonts w:ascii="Times New Roman" w:hAnsi="Times New Roman" w:cs="Times New Roman"/>
          <w:sz w:val="24"/>
          <w:szCs w:val="24"/>
        </w:rPr>
      </w:pPr>
    </w:p>
    <w:p w:rsidRPr="00D920EA" w:rsidR="001D3A5F" w:rsidP="00435881" w:rsidRDefault="001D3A5F" w14:paraId="685A108B" w14:textId="5C132669">
      <w:pPr>
        <w:ind w:left="360"/>
        <w:jc w:val="both"/>
        <w:rPr>
          <w:rFonts w:ascii="Times New Roman" w:hAnsi="Times New Roman" w:cs="Times New Roman"/>
          <w:b/>
          <w:sz w:val="24"/>
          <w:szCs w:val="24"/>
        </w:rPr>
      </w:pPr>
      <w:r w:rsidRPr="00550A76">
        <w:rPr>
          <w:rFonts w:ascii="Times New Roman" w:hAnsi="Times New Roman" w:cs="Times New Roman"/>
          <w:sz w:val="24"/>
          <w:szCs w:val="24"/>
        </w:rPr>
        <w:t>Study participants completed a participation agreement when they enrolled in the study, providing their informed consent to participate in the research study. The original participation agreement allows for the collection and retention of data on study participants for up to 10 years after random assignment</w:t>
      </w:r>
      <w:r w:rsidR="009F2F5D">
        <w:rPr>
          <w:rFonts w:ascii="Times New Roman" w:hAnsi="Times New Roman" w:cs="Times New Roman"/>
          <w:sz w:val="24"/>
          <w:szCs w:val="24"/>
        </w:rPr>
        <w:t xml:space="preserve"> and names MDAC as a research partner</w:t>
      </w:r>
      <w:r w:rsidR="00F25A3E">
        <w:rPr>
          <w:rFonts w:ascii="Times New Roman" w:hAnsi="Times New Roman" w:cs="Times New Roman"/>
          <w:sz w:val="24"/>
          <w:szCs w:val="24"/>
        </w:rPr>
        <w:t xml:space="preserve"> to be authorized by the participant to collect data for the study</w:t>
      </w:r>
      <w:r w:rsidRPr="00550A76">
        <w:rPr>
          <w:rFonts w:ascii="Times New Roman" w:hAnsi="Times New Roman" w:cs="Times New Roman"/>
          <w:sz w:val="24"/>
          <w:szCs w:val="24"/>
        </w:rPr>
        <w:t>. A copy of the Informed Consent Form administered at baseline can be found in Appendix C of this submission.</w:t>
      </w:r>
      <w:r w:rsidR="00041FE3">
        <w:rPr>
          <w:rFonts w:ascii="Times New Roman" w:hAnsi="Times New Roman" w:cs="Times New Roman"/>
          <w:sz w:val="24"/>
          <w:szCs w:val="24"/>
        </w:rPr>
        <w:t xml:space="preserve">  In addition, MDAC includes language in the opening script of the survey that asks for and records the respondent’s consent to be interviewed</w:t>
      </w:r>
      <w:r w:rsidR="00FC6EE9">
        <w:rPr>
          <w:rFonts w:ascii="Times New Roman" w:hAnsi="Times New Roman" w:cs="Times New Roman"/>
          <w:sz w:val="24"/>
          <w:szCs w:val="24"/>
        </w:rPr>
        <w:t xml:space="preserve"> and other language that assures the respondent that he or she </w:t>
      </w:r>
      <w:r w:rsidR="00C47C69">
        <w:rPr>
          <w:rFonts w:ascii="Times New Roman" w:hAnsi="Times New Roman" w:cs="Times New Roman"/>
          <w:sz w:val="24"/>
          <w:szCs w:val="24"/>
        </w:rPr>
        <w:t xml:space="preserve">may forgo answering </w:t>
      </w:r>
      <w:r w:rsidR="00FC6EE9">
        <w:rPr>
          <w:rFonts w:ascii="Times New Roman" w:hAnsi="Times New Roman" w:cs="Times New Roman"/>
          <w:sz w:val="24"/>
          <w:szCs w:val="24"/>
        </w:rPr>
        <w:t xml:space="preserve">any question that </w:t>
      </w:r>
      <w:r w:rsidR="001B6CE9">
        <w:rPr>
          <w:rFonts w:ascii="Times New Roman" w:hAnsi="Times New Roman" w:cs="Times New Roman"/>
          <w:sz w:val="24"/>
          <w:szCs w:val="24"/>
        </w:rPr>
        <w:t xml:space="preserve">he or she does </w:t>
      </w:r>
      <w:r w:rsidR="00AC1EE0">
        <w:rPr>
          <w:rFonts w:ascii="Times New Roman" w:hAnsi="Times New Roman" w:cs="Times New Roman"/>
          <w:sz w:val="24"/>
          <w:szCs w:val="24"/>
        </w:rPr>
        <w:t>not wish to answer</w:t>
      </w:r>
      <w:r w:rsidR="00C47C69">
        <w:rPr>
          <w:rFonts w:ascii="Times New Roman" w:hAnsi="Times New Roman" w:cs="Times New Roman"/>
          <w:sz w:val="24"/>
          <w:szCs w:val="24"/>
        </w:rPr>
        <w:t>.</w:t>
      </w:r>
    </w:p>
    <w:p w:rsidRPr="00D920EA" w:rsidR="001D3A5F" w:rsidP="00435881" w:rsidRDefault="001D3A5F" w14:paraId="6239A18D" w14:textId="77777777">
      <w:pPr>
        <w:jc w:val="both"/>
        <w:rPr>
          <w:rFonts w:ascii="Times New Roman" w:hAnsi="Times New Roman" w:cs="Times New Roman"/>
          <w:sz w:val="24"/>
          <w:szCs w:val="24"/>
        </w:rPr>
      </w:pPr>
    </w:p>
    <w:p w:rsidRPr="00A15383" w:rsidR="007A0E24" w:rsidP="00435881" w:rsidRDefault="008064C8" w14:paraId="0734645F" w14:textId="64DAADBE">
      <w:pPr>
        <w:keepLines/>
        <w:tabs>
          <w:tab w:val="left" w:pos="360"/>
        </w:tabs>
        <w:spacing w:after="80"/>
        <w:ind w:left="360" w:hanging="360"/>
        <w:jc w:val="both"/>
        <w:rPr>
          <w:rFonts w:ascii="Times New Roman" w:hAnsi="Times New Roman" w:cs="Times New Roman"/>
          <w:b/>
          <w:sz w:val="24"/>
          <w:szCs w:val="24"/>
        </w:rPr>
      </w:pPr>
      <w:r w:rsidRPr="00A15383">
        <w:rPr>
          <w:rFonts w:ascii="Times New Roman" w:hAnsi="Times New Roman" w:cs="Times New Roman"/>
          <w:b/>
          <w:sz w:val="24"/>
          <w:szCs w:val="24"/>
        </w:rPr>
        <w:t>3.</w:t>
      </w:r>
      <w:r w:rsidRPr="00A15383">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w:t>
      </w:r>
      <w:r w:rsidRPr="008036E8">
        <w:rPr>
          <w:rFonts w:ascii="Times New Roman" w:hAnsi="Times New Roman" w:cs="Times New Roman"/>
          <w:b/>
          <w:sz w:val="24"/>
          <w:szCs w:val="24"/>
        </w:rPr>
        <w:t xml:space="preserve"> of collection.  Also describe any consideration of using information technology to reduce burden.</w:t>
      </w:r>
    </w:p>
    <w:p w:rsidR="008D36CA" w:rsidP="00435881" w:rsidRDefault="008D36CA" w14:paraId="256BD41C" w14:textId="15F6D94C">
      <w:pPr>
        <w:tabs>
          <w:tab w:val="left" w:pos="0"/>
        </w:tabs>
        <w:ind w:left="360"/>
        <w:jc w:val="both"/>
        <w:rPr>
          <w:rFonts w:ascii="Times New Roman" w:hAnsi="Times New Roman" w:cs="Times New Roman"/>
          <w:sz w:val="24"/>
          <w:szCs w:val="24"/>
        </w:rPr>
      </w:pPr>
      <w:r w:rsidRPr="00D920EA">
        <w:rPr>
          <w:rFonts w:ascii="Times New Roman" w:hAnsi="Times New Roman" w:cs="Times New Roman"/>
          <w:sz w:val="24"/>
          <w:szCs w:val="24"/>
        </w:rPr>
        <w:t xml:space="preserve">The long-term follow-up survey will feature a multi-mode approach, using both </w:t>
      </w:r>
      <w:r w:rsidRPr="00397FF1">
        <w:rPr>
          <w:rFonts w:ascii="Times New Roman" w:hAnsi="Times New Roman" w:cs="Times New Roman"/>
          <w:sz w:val="24"/>
          <w:szCs w:val="24"/>
        </w:rPr>
        <w:t xml:space="preserve">a self-administered web-based option and a </w:t>
      </w:r>
      <w:r w:rsidR="000D2800">
        <w:rPr>
          <w:rFonts w:ascii="Times New Roman" w:hAnsi="Times New Roman" w:cs="Times New Roman"/>
          <w:sz w:val="24"/>
          <w:szCs w:val="24"/>
        </w:rPr>
        <w:t>C</w:t>
      </w:r>
      <w:r w:rsidRPr="00397FF1">
        <w:rPr>
          <w:rFonts w:ascii="Times New Roman" w:hAnsi="Times New Roman" w:cs="Times New Roman"/>
          <w:sz w:val="24"/>
          <w:szCs w:val="24"/>
        </w:rPr>
        <w:t>ATI option.</w:t>
      </w:r>
      <w:r w:rsidRPr="00D920EA" w:rsidR="006D4F37">
        <w:rPr>
          <w:rFonts w:ascii="Times New Roman" w:hAnsi="Times New Roman" w:cs="Times New Roman"/>
          <w:sz w:val="24"/>
          <w:szCs w:val="24"/>
        </w:rPr>
        <w:t xml:space="preserve"> Both </w:t>
      </w:r>
      <w:r w:rsidRPr="00D920EA" w:rsidR="00750612">
        <w:rPr>
          <w:rFonts w:ascii="Times New Roman" w:hAnsi="Times New Roman" w:cs="Times New Roman"/>
          <w:sz w:val="24"/>
          <w:szCs w:val="24"/>
        </w:rPr>
        <w:t>approaches</w:t>
      </w:r>
      <w:r w:rsidRPr="00D920EA" w:rsidR="000B3779">
        <w:rPr>
          <w:rFonts w:ascii="Times New Roman" w:hAnsi="Times New Roman" w:cs="Times New Roman"/>
          <w:sz w:val="24"/>
          <w:szCs w:val="24"/>
        </w:rPr>
        <w:t xml:space="preserve"> are computer assisted </w:t>
      </w:r>
      <w:r w:rsidRPr="00D920EA" w:rsidR="00852B6C">
        <w:rPr>
          <w:rFonts w:ascii="Times New Roman" w:hAnsi="Times New Roman" w:cs="Times New Roman"/>
          <w:sz w:val="24"/>
          <w:szCs w:val="24"/>
        </w:rPr>
        <w:t xml:space="preserve">interviews. </w:t>
      </w:r>
    </w:p>
    <w:p w:rsidRPr="00D920EA" w:rsidR="00225E3C" w:rsidP="00435881" w:rsidRDefault="00225E3C" w14:paraId="21C9D02C" w14:textId="77777777">
      <w:pPr>
        <w:tabs>
          <w:tab w:val="left" w:pos="0"/>
        </w:tabs>
        <w:ind w:left="720"/>
        <w:jc w:val="both"/>
        <w:rPr>
          <w:rFonts w:ascii="Times New Roman" w:hAnsi="Times New Roman" w:cs="Times New Roman"/>
          <w:sz w:val="24"/>
          <w:szCs w:val="24"/>
        </w:rPr>
      </w:pPr>
    </w:p>
    <w:p w:rsidR="008D36CA" w:rsidP="00435881" w:rsidRDefault="008D36CA" w14:paraId="34B502E6" w14:textId="57D60BBE">
      <w:pPr>
        <w:pStyle w:val="BodyText"/>
        <w:ind w:left="360"/>
        <w:jc w:val="both"/>
        <w:rPr>
          <w:rFonts w:ascii="Times New Roman" w:hAnsi="Times New Roman"/>
          <w:sz w:val="24"/>
          <w:szCs w:val="24"/>
        </w:rPr>
      </w:pPr>
      <w:r w:rsidRPr="00511484">
        <w:rPr>
          <w:rFonts w:ascii="Times New Roman" w:hAnsi="Times New Roman"/>
          <w:sz w:val="24"/>
          <w:szCs w:val="24"/>
        </w:rPr>
        <w:t>Wherever possible, advanced technology will be used in data collection efforts to reduce burden on study participants and on</w:t>
      </w:r>
      <w:r w:rsidRPr="00A15383" w:rsidR="00B62105">
        <w:rPr>
          <w:rFonts w:ascii="Times New Roman" w:hAnsi="Times New Roman"/>
          <w:sz w:val="24"/>
          <w:szCs w:val="24"/>
        </w:rPr>
        <w:t>-</w:t>
      </w:r>
      <w:r w:rsidRPr="00A15383">
        <w:rPr>
          <w:rFonts w:ascii="Times New Roman" w:hAnsi="Times New Roman"/>
          <w:sz w:val="24"/>
          <w:szCs w:val="24"/>
        </w:rPr>
        <w:t>site staff. The following methods will be used:</w:t>
      </w:r>
    </w:p>
    <w:p w:rsidRPr="00A15383" w:rsidR="0065588B" w:rsidP="00435881" w:rsidRDefault="0065588B" w14:paraId="12221B85" w14:textId="77777777">
      <w:pPr>
        <w:pStyle w:val="BodyText"/>
        <w:ind w:left="360"/>
        <w:jc w:val="both"/>
        <w:rPr>
          <w:rFonts w:ascii="Times New Roman" w:hAnsi="Times New Roman"/>
          <w:sz w:val="24"/>
          <w:szCs w:val="24"/>
        </w:rPr>
      </w:pPr>
    </w:p>
    <w:p w:rsidRPr="00511484" w:rsidR="00EF6124" w:rsidP="00435881" w:rsidRDefault="00D43138" w14:paraId="4DE78AEB" w14:textId="714221FF">
      <w:pPr>
        <w:pStyle w:val="BodyText"/>
        <w:numPr>
          <w:ilvl w:val="0"/>
          <w:numId w:val="13"/>
        </w:numPr>
        <w:jc w:val="both"/>
        <w:rPr>
          <w:rFonts w:ascii="Times New Roman" w:hAnsi="Times New Roman"/>
          <w:sz w:val="24"/>
          <w:szCs w:val="24"/>
        </w:rPr>
      </w:pPr>
      <w:r w:rsidRPr="0065588B">
        <w:rPr>
          <w:rFonts w:ascii="Times New Roman" w:hAnsi="Times New Roman"/>
          <w:b/>
          <w:bCs/>
          <w:sz w:val="24"/>
          <w:szCs w:val="24"/>
        </w:rPr>
        <w:t>Self-administered web</w:t>
      </w:r>
      <w:r w:rsidRPr="0065588B" w:rsidR="00EF6124">
        <w:rPr>
          <w:rFonts w:ascii="Times New Roman" w:hAnsi="Times New Roman"/>
          <w:b/>
          <w:bCs/>
          <w:sz w:val="24"/>
          <w:szCs w:val="24"/>
        </w:rPr>
        <w:t>-based survey.</w:t>
      </w:r>
      <w:r w:rsidRPr="008036E8" w:rsidR="00EF6124">
        <w:rPr>
          <w:rFonts w:ascii="Times New Roman" w:hAnsi="Times New Roman"/>
          <w:sz w:val="24"/>
          <w:szCs w:val="24"/>
        </w:rPr>
        <w:t xml:space="preserve"> </w:t>
      </w:r>
      <w:r w:rsidRPr="008036E8" w:rsidR="00AB0575">
        <w:rPr>
          <w:rFonts w:ascii="Times New Roman" w:hAnsi="Times New Roman"/>
          <w:sz w:val="24"/>
          <w:szCs w:val="24"/>
        </w:rPr>
        <w:t xml:space="preserve">This helps to reduce </w:t>
      </w:r>
      <w:r w:rsidRPr="008036E8" w:rsidR="007811D6">
        <w:rPr>
          <w:rFonts w:ascii="Times New Roman" w:hAnsi="Times New Roman"/>
          <w:sz w:val="24"/>
          <w:szCs w:val="24"/>
        </w:rPr>
        <w:t>the burden on</w:t>
      </w:r>
      <w:r w:rsidRPr="00563172" w:rsidR="00AB0575">
        <w:rPr>
          <w:rFonts w:ascii="Times New Roman" w:hAnsi="Times New Roman"/>
          <w:sz w:val="24"/>
          <w:szCs w:val="24"/>
        </w:rPr>
        <w:t xml:space="preserve"> </w:t>
      </w:r>
      <w:r w:rsidRPr="0061351B" w:rsidR="00B62105">
        <w:rPr>
          <w:rFonts w:ascii="Times New Roman" w:hAnsi="Times New Roman"/>
          <w:sz w:val="24"/>
          <w:szCs w:val="24"/>
        </w:rPr>
        <w:t>study participants</w:t>
      </w:r>
      <w:r w:rsidRPr="008C4FA2" w:rsidR="00A61814">
        <w:rPr>
          <w:rFonts w:ascii="Times New Roman" w:hAnsi="Times New Roman"/>
          <w:sz w:val="24"/>
          <w:szCs w:val="24"/>
        </w:rPr>
        <w:t xml:space="preserve"> by</w:t>
      </w:r>
      <w:r w:rsidRPr="00511484" w:rsidR="00884428">
        <w:rPr>
          <w:rFonts w:ascii="Times New Roman" w:hAnsi="Times New Roman"/>
          <w:sz w:val="24"/>
          <w:szCs w:val="24"/>
        </w:rPr>
        <w:t xml:space="preserve"> </w:t>
      </w:r>
      <w:r w:rsidRPr="00511484" w:rsidR="000F4042">
        <w:rPr>
          <w:rFonts w:ascii="Times New Roman" w:hAnsi="Times New Roman"/>
          <w:sz w:val="24"/>
          <w:szCs w:val="24"/>
        </w:rPr>
        <w:t xml:space="preserve">allowing participants to take the survey </w:t>
      </w:r>
      <w:r w:rsidRPr="00511484" w:rsidR="003702CA">
        <w:rPr>
          <w:rFonts w:ascii="Times New Roman" w:hAnsi="Times New Roman"/>
          <w:sz w:val="24"/>
          <w:szCs w:val="24"/>
        </w:rPr>
        <w:t xml:space="preserve">at their convenience and </w:t>
      </w:r>
      <w:r w:rsidRPr="00511484" w:rsidR="00884428">
        <w:rPr>
          <w:rFonts w:ascii="Times New Roman" w:hAnsi="Times New Roman"/>
          <w:sz w:val="24"/>
          <w:szCs w:val="24"/>
        </w:rPr>
        <w:t xml:space="preserve">reducing the </w:t>
      </w:r>
      <w:r w:rsidRPr="00511484" w:rsidR="000F4042">
        <w:rPr>
          <w:rFonts w:ascii="Times New Roman" w:hAnsi="Times New Roman"/>
          <w:sz w:val="24"/>
          <w:szCs w:val="24"/>
        </w:rPr>
        <w:t>length of the interview</w:t>
      </w:r>
      <w:r w:rsidRPr="00511484" w:rsidR="00D85D14">
        <w:rPr>
          <w:rFonts w:ascii="Times New Roman" w:hAnsi="Times New Roman"/>
          <w:sz w:val="24"/>
          <w:szCs w:val="24"/>
        </w:rPr>
        <w:t xml:space="preserve">. </w:t>
      </w:r>
      <w:r w:rsidRPr="00511484" w:rsidR="003702CA">
        <w:rPr>
          <w:rFonts w:ascii="Times New Roman" w:hAnsi="Times New Roman"/>
          <w:sz w:val="24"/>
          <w:szCs w:val="24"/>
        </w:rPr>
        <w:t>T</w:t>
      </w:r>
      <w:r w:rsidRPr="00511484" w:rsidR="00020A16">
        <w:rPr>
          <w:rFonts w:ascii="Times New Roman" w:hAnsi="Times New Roman"/>
          <w:sz w:val="24"/>
          <w:szCs w:val="24"/>
        </w:rPr>
        <w:t xml:space="preserve">he </w:t>
      </w:r>
      <w:r w:rsidRPr="00511484" w:rsidR="00C22B56">
        <w:rPr>
          <w:rFonts w:ascii="Times New Roman" w:hAnsi="Times New Roman"/>
          <w:sz w:val="24"/>
          <w:szCs w:val="24"/>
        </w:rPr>
        <w:t>web-based survey is coded to enable respondents to avoid inappropriate or non-applicable questions</w:t>
      </w:r>
      <w:r w:rsidRPr="00511484" w:rsidR="000C055C">
        <w:rPr>
          <w:rFonts w:ascii="Times New Roman" w:hAnsi="Times New Roman"/>
          <w:sz w:val="24"/>
          <w:szCs w:val="24"/>
        </w:rPr>
        <w:t>.</w:t>
      </w:r>
      <w:r w:rsidRPr="00511484" w:rsidR="00443531">
        <w:rPr>
          <w:rFonts w:ascii="Times New Roman" w:hAnsi="Times New Roman"/>
          <w:sz w:val="24"/>
          <w:szCs w:val="24"/>
        </w:rPr>
        <w:t xml:space="preserve"> </w:t>
      </w:r>
      <w:r w:rsidRPr="00511484" w:rsidR="004F3DFA">
        <w:rPr>
          <w:rFonts w:ascii="Times New Roman" w:hAnsi="Times New Roman"/>
          <w:sz w:val="24"/>
          <w:szCs w:val="24"/>
        </w:rPr>
        <w:t xml:space="preserve">The web-based survey also </w:t>
      </w:r>
      <w:r w:rsidRPr="00511484" w:rsidR="00443531">
        <w:rPr>
          <w:rFonts w:ascii="Times New Roman" w:hAnsi="Times New Roman"/>
          <w:sz w:val="24"/>
          <w:szCs w:val="24"/>
        </w:rPr>
        <w:t>improves data quality through more uniform administration of the survey questions, more accurate implementation of the skip patterns, and immediate application of range checks, edit checks, and consistency checks of item-by-item responses.</w:t>
      </w:r>
      <w:r w:rsidRPr="00511484" w:rsidR="001D1706">
        <w:rPr>
          <w:rFonts w:ascii="Times New Roman" w:hAnsi="Times New Roman"/>
          <w:sz w:val="24"/>
          <w:szCs w:val="24"/>
        </w:rPr>
        <w:t xml:space="preserve"> </w:t>
      </w:r>
    </w:p>
    <w:p w:rsidRPr="00511484" w:rsidR="00EF6124" w:rsidP="00435881" w:rsidRDefault="008D36CA" w14:paraId="0A8BA4BB" w14:textId="4017294D">
      <w:pPr>
        <w:pStyle w:val="BodyText"/>
        <w:numPr>
          <w:ilvl w:val="0"/>
          <w:numId w:val="13"/>
        </w:numPr>
        <w:jc w:val="both"/>
        <w:rPr>
          <w:rFonts w:ascii="Times New Roman" w:hAnsi="Times New Roman"/>
          <w:sz w:val="24"/>
          <w:szCs w:val="24"/>
        </w:rPr>
      </w:pPr>
      <w:r w:rsidRPr="0065588B">
        <w:rPr>
          <w:rFonts w:ascii="Times New Roman" w:hAnsi="Times New Roman"/>
          <w:b/>
          <w:bCs/>
          <w:sz w:val="24"/>
          <w:szCs w:val="24"/>
        </w:rPr>
        <w:t>CATI.</w:t>
      </w:r>
      <w:r w:rsidRPr="00D920EA">
        <w:rPr>
          <w:rFonts w:ascii="Times New Roman" w:hAnsi="Times New Roman"/>
          <w:sz w:val="24"/>
          <w:szCs w:val="24"/>
        </w:rPr>
        <w:t xml:space="preserve"> This helps to reduce respondent burden, as interviewers can proceed more quickly and accurately through the survey instruments, minimizing the interview length and the need for subsequent call backs. Computer programs enable respondents to avoid inappropriate or non-applicable questions. Key data will be pre-loaded on the survey based on response to previous survey questions (in the same survey) and where applicable, at baseline).  CATI also improves data quality through more uniform administration of the survey questions, more accurate implementation of the skip patterns, and immediate application of range checks, edit checks, and consistency checks of item-by-item responses.</w:t>
      </w:r>
      <w:r w:rsidRPr="00511484">
        <w:rPr>
          <w:rStyle w:val="FootnoteReference"/>
          <w:rFonts w:ascii="Times New Roman" w:hAnsi="Times New Roman" w:eastAsiaTheme="majorEastAsia"/>
          <w:sz w:val="24"/>
          <w:szCs w:val="24"/>
        </w:rPr>
        <w:footnoteReference w:id="2"/>
      </w:r>
    </w:p>
    <w:p w:rsidRPr="00511484" w:rsidR="00EF6124" w:rsidP="00435881" w:rsidRDefault="008D36CA" w14:paraId="7FC5D3FF" w14:textId="45B57F25">
      <w:pPr>
        <w:pStyle w:val="BodyText"/>
        <w:numPr>
          <w:ilvl w:val="0"/>
          <w:numId w:val="13"/>
        </w:numPr>
        <w:jc w:val="both"/>
        <w:rPr>
          <w:rFonts w:ascii="Times New Roman" w:hAnsi="Times New Roman"/>
          <w:sz w:val="24"/>
          <w:szCs w:val="24"/>
        </w:rPr>
      </w:pPr>
      <w:r w:rsidRPr="0065588B">
        <w:rPr>
          <w:rFonts w:ascii="Times New Roman" w:hAnsi="Times New Roman"/>
          <w:b/>
          <w:bCs/>
          <w:sz w:val="24"/>
          <w:szCs w:val="24"/>
        </w:rPr>
        <w:t xml:space="preserve"> We will utilize survey tracking information.</w:t>
      </w:r>
      <w:r w:rsidRPr="00D920EA">
        <w:rPr>
          <w:rFonts w:ascii="Times New Roman" w:hAnsi="Times New Roman"/>
          <w:sz w:val="24"/>
          <w:szCs w:val="24"/>
        </w:rPr>
        <w:t xml:space="preserve"> MDRC collects contact information annually from participating housing authorities and from federal HUD database.  MDRC is forwarding the information to M Davis and Company (MDAC). Address changes come from mailings to the participants and passively tracking respondents through the U.S. Postal Service Change of Address database (this approach provides an inexpensive method for being able to collect more recent contact information for respondents). </w:t>
      </w:r>
    </w:p>
    <w:p w:rsidRPr="00D920EA" w:rsidR="008D36CA" w:rsidP="00435881" w:rsidRDefault="00514762" w14:paraId="7534121C" w14:textId="7F3B9E4F">
      <w:pPr>
        <w:pStyle w:val="BodyText"/>
        <w:numPr>
          <w:ilvl w:val="0"/>
          <w:numId w:val="13"/>
        </w:numPr>
        <w:jc w:val="both"/>
        <w:rPr>
          <w:rFonts w:ascii="Times New Roman" w:hAnsi="Times New Roman"/>
          <w:sz w:val="24"/>
          <w:szCs w:val="24"/>
        </w:rPr>
      </w:pPr>
      <w:r w:rsidRPr="0065588B">
        <w:rPr>
          <w:rFonts w:ascii="Times New Roman" w:hAnsi="Times New Roman"/>
          <w:b/>
          <w:bCs/>
          <w:sz w:val="24"/>
          <w:szCs w:val="24"/>
        </w:rPr>
        <w:t>Integration of other data sources.</w:t>
      </w:r>
      <w:r w:rsidRPr="00D920EA">
        <w:rPr>
          <w:rFonts w:ascii="Times New Roman" w:hAnsi="Times New Roman"/>
          <w:sz w:val="24"/>
          <w:szCs w:val="24"/>
        </w:rPr>
        <w:t xml:space="preserve"> When relevant person-level data has been identified as available through an accessible centralized, computerized source, the information has generally been excluded from the proposed data collection package.  For example, quarterly employment and earnings data will be obtained through administrative records and data on </w:t>
      </w:r>
      <w:r w:rsidR="00F377D7">
        <w:rPr>
          <w:rFonts w:ascii="Times New Roman" w:hAnsi="Times New Roman"/>
          <w:sz w:val="24"/>
          <w:szCs w:val="24"/>
        </w:rPr>
        <w:t xml:space="preserve">HUD-subsidized </w:t>
      </w:r>
      <w:r w:rsidRPr="00D920EA">
        <w:rPr>
          <w:rFonts w:ascii="Times New Roman" w:hAnsi="Times New Roman"/>
          <w:sz w:val="24"/>
          <w:szCs w:val="24"/>
        </w:rPr>
        <w:t xml:space="preserve">housing outcomes, including </w:t>
      </w:r>
      <w:r w:rsidR="00F377D7">
        <w:rPr>
          <w:rFonts w:ascii="Times New Roman" w:hAnsi="Times New Roman"/>
          <w:sz w:val="24"/>
          <w:szCs w:val="24"/>
        </w:rPr>
        <w:t>Housing Choice V</w:t>
      </w:r>
      <w:r w:rsidRPr="00D920EA">
        <w:rPr>
          <w:rFonts w:ascii="Times New Roman" w:hAnsi="Times New Roman"/>
          <w:sz w:val="24"/>
          <w:szCs w:val="24"/>
        </w:rPr>
        <w:t xml:space="preserve">oucher </w:t>
      </w:r>
      <w:r w:rsidR="00F377D7">
        <w:rPr>
          <w:rFonts w:ascii="Times New Roman" w:hAnsi="Times New Roman"/>
          <w:sz w:val="24"/>
          <w:szCs w:val="24"/>
        </w:rPr>
        <w:t xml:space="preserve">program </w:t>
      </w:r>
      <w:r w:rsidRPr="00D920EA">
        <w:rPr>
          <w:rFonts w:ascii="Times New Roman" w:hAnsi="Times New Roman"/>
          <w:sz w:val="24"/>
          <w:szCs w:val="24"/>
        </w:rPr>
        <w:t xml:space="preserve">exits, will be obtained from HUD records. While implementation data collection </w:t>
      </w:r>
      <w:r w:rsidRPr="00D920EA" w:rsidR="007B2115">
        <w:rPr>
          <w:rFonts w:ascii="Times New Roman" w:hAnsi="Times New Roman"/>
          <w:sz w:val="24"/>
          <w:szCs w:val="24"/>
        </w:rPr>
        <w:t>relies</w:t>
      </w:r>
      <w:r w:rsidRPr="00D920EA">
        <w:rPr>
          <w:rFonts w:ascii="Times New Roman" w:hAnsi="Times New Roman"/>
          <w:sz w:val="24"/>
          <w:szCs w:val="24"/>
        </w:rPr>
        <w:t xml:space="preserve"> on evaluation staff efforts on-site, we have sought wherever possible to minimize overlap between questions we include in implementation questionnaires and protocols and questions that will be asked through computer-assisted surveys.</w:t>
      </w:r>
      <w:r w:rsidR="000A2750">
        <w:rPr>
          <w:rFonts w:ascii="Times New Roman" w:hAnsi="Times New Roman"/>
          <w:sz w:val="24"/>
          <w:szCs w:val="24"/>
        </w:rPr>
        <w:t xml:space="preserve">  Survey responses </w:t>
      </w:r>
      <w:r w:rsidR="00304875">
        <w:rPr>
          <w:rFonts w:ascii="Times New Roman" w:hAnsi="Times New Roman"/>
          <w:sz w:val="24"/>
          <w:szCs w:val="24"/>
        </w:rPr>
        <w:t>add detail to administrative data (for example</w:t>
      </w:r>
      <w:r w:rsidR="0012492A">
        <w:rPr>
          <w:rFonts w:ascii="Times New Roman" w:hAnsi="Times New Roman"/>
          <w:sz w:val="24"/>
          <w:szCs w:val="24"/>
        </w:rPr>
        <w:t>, by providing information o</w:t>
      </w:r>
      <w:r w:rsidR="005611B9">
        <w:rPr>
          <w:rFonts w:ascii="Times New Roman" w:hAnsi="Times New Roman"/>
          <w:sz w:val="24"/>
          <w:szCs w:val="24"/>
        </w:rPr>
        <w:t xml:space="preserve">n hours of work per week) and collect information not covered by administrative data, such as </w:t>
      </w:r>
      <w:r w:rsidR="0095486C">
        <w:rPr>
          <w:rFonts w:ascii="Times New Roman" w:hAnsi="Times New Roman"/>
          <w:sz w:val="24"/>
          <w:szCs w:val="24"/>
        </w:rPr>
        <w:t>self-employment or residence in private housing, not subsidized by HUD.</w:t>
      </w:r>
      <w:r w:rsidR="00683FA9">
        <w:rPr>
          <w:rFonts w:ascii="Times New Roman" w:hAnsi="Times New Roman"/>
          <w:sz w:val="24"/>
          <w:szCs w:val="24"/>
        </w:rPr>
        <w:t xml:space="preserve">  Importantly, the </w:t>
      </w:r>
      <w:r w:rsidR="00490328">
        <w:rPr>
          <w:rFonts w:ascii="Times New Roman" w:hAnsi="Times New Roman"/>
          <w:sz w:val="24"/>
          <w:szCs w:val="24"/>
        </w:rPr>
        <w:t xml:space="preserve">FSS group members’ responses to </w:t>
      </w:r>
      <w:r w:rsidR="00683FA9">
        <w:rPr>
          <w:rFonts w:ascii="Times New Roman" w:hAnsi="Times New Roman"/>
          <w:sz w:val="24"/>
          <w:szCs w:val="24"/>
        </w:rPr>
        <w:lastRenderedPageBreak/>
        <w:t>questions on FSS program participations</w:t>
      </w:r>
      <w:r w:rsidR="00490328">
        <w:rPr>
          <w:rFonts w:ascii="Times New Roman" w:hAnsi="Times New Roman"/>
          <w:sz w:val="24"/>
          <w:szCs w:val="24"/>
        </w:rPr>
        <w:t xml:space="preserve"> </w:t>
      </w:r>
      <w:r w:rsidR="00FC7666">
        <w:rPr>
          <w:rFonts w:ascii="Times New Roman" w:hAnsi="Times New Roman"/>
          <w:sz w:val="24"/>
          <w:szCs w:val="24"/>
        </w:rPr>
        <w:t xml:space="preserve">provide critical information on how the program functioned from </w:t>
      </w:r>
      <w:r w:rsidR="00410D11">
        <w:rPr>
          <w:rFonts w:ascii="Times New Roman" w:hAnsi="Times New Roman"/>
          <w:sz w:val="24"/>
          <w:szCs w:val="24"/>
        </w:rPr>
        <w:t>participants’ point of view.</w:t>
      </w:r>
    </w:p>
    <w:p w:rsidRPr="00511484" w:rsidR="008D36CA" w:rsidP="00435881" w:rsidRDefault="008D36CA" w14:paraId="47E03F28" w14:textId="77777777">
      <w:pPr>
        <w:pStyle w:val="BodyText"/>
        <w:ind w:left="1440"/>
        <w:jc w:val="both"/>
        <w:rPr>
          <w:rFonts w:ascii="Times New Roman" w:hAnsi="Times New Roman"/>
          <w:sz w:val="24"/>
          <w:szCs w:val="24"/>
        </w:rPr>
      </w:pPr>
    </w:p>
    <w:p w:rsidRPr="00A15383" w:rsidR="007F3318" w:rsidP="00435881" w:rsidRDefault="008064C8" w14:paraId="62A013B3" w14:textId="2C289F38">
      <w:pPr>
        <w:keepLines/>
        <w:tabs>
          <w:tab w:val="left" w:pos="360"/>
        </w:tabs>
        <w:spacing w:after="80"/>
        <w:ind w:left="360" w:hanging="360"/>
        <w:jc w:val="both"/>
        <w:rPr>
          <w:rFonts w:ascii="Times New Roman" w:hAnsi="Times New Roman" w:cs="Times New Roman"/>
          <w:sz w:val="24"/>
          <w:szCs w:val="24"/>
        </w:rPr>
      </w:pPr>
      <w:r w:rsidRPr="00A15383">
        <w:rPr>
          <w:rFonts w:ascii="Times New Roman" w:hAnsi="Times New Roman" w:cs="Times New Roman"/>
          <w:b/>
          <w:sz w:val="24"/>
          <w:szCs w:val="24"/>
        </w:rPr>
        <w:t>4.</w:t>
      </w:r>
      <w:r w:rsidRPr="00A15383">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8064C8" w:rsidP="003830EC" w:rsidRDefault="002F01DA" w14:paraId="3FB827B8" w14:textId="6016B944">
      <w:pPr>
        <w:pStyle w:val="BodyText"/>
        <w:ind w:left="360"/>
        <w:jc w:val="both"/>
        <w:rPr>
          <w:rFonts w:ascii="Times New Roman" w:hAnsi="Times New Roman"/>
          <w:sz w:val="24"/>
          <w:szCs w:val="24"/>
        </w:rPr>
      </w:pPr>
      <w:r w:rsidRPr="00A15383">
        <w:rPr>
          <w:rFonts w:ascii="Times New Roman" w:hAnsi="Times New Roman"/>
          <w:sz w:val="24"/>
          <w:szCs w:val="24"/>
        </w:rPr>
        <w:t>The information collection will not duplicate information that is already available</w:t>
      </w:r>
      <w:r w:rsidR="00404E11">
        <w:rPr>
          <w:rFonts w:ascii="Times New Roman" w:hAnsi="Times New Roman"/>
          <w:sz w:val="24"/>
          <w:szCs w:val="24"/>
        </w:rPr>
        <w:t xml:space="preserve"> through other </w:t>
      </w:r>
      <w:r w:rsidR="00FE13D8">
        <w:rPr>
          <w:rFonts w:ascii="Times New Roman" w:hAnsi="Times New Roman"/>
          <w:sz w:val="24"/>
          <w:szCs w:val="24"/>
        </w:rPr>
        <w:t xml:space="preserve">administrative agency </w:t>
      </w:r>
      <w:r w:rsidR="00404E11">
        <w:rPr>
          <w:rFonts w:ascii="Times New Roman" w:hAnsi="Times New Roman"/>
          <w:sz w:val="24"/>
          <w:szCs w:val="24"/>
        </w:rPr>
        <w:t>data sources</w:t>
      </w:r>
      <w:r w:rsidR="00D47701">
        <w:rPr>
          <w:rFonts w:ascii="Times New Roman" w:hAnsi="Times New Roman"/>
          <w:sz w:val="24"/>
          <w:szCs w:val="24"/>
        </w:rPr>
        <w:t xml:space="preserve">, such as: </w:t>
      </w:r>
      <w:r w:rsidR="008917A4">
        <w:rPr>
          <w:rFonts w:ascii="Times New Roman" w:hAnsi="Times New Roman"/>
          <w:sz w:val="24"/>
          <w:szCs w:val="24"/>
        </w:rPr>
        <w:t>National Directory of New Hires (</w:t>
      </w:r>
      <w:r w:rsidR="00D045B0">
        <w:rPr>
          <w:rFonts w:ascii="Times New Roman" w:hAnsi="Times New Roman"/>
          <w:sz w:val="24"/>
          <w:szCs w:val="24"/>
        </w:rPr>
        <w:t>NDNH</w:t>
      </w:r>
      <w:r w:rsidR="008917A4">
        <w:rPr>
          <w:rFonts w:ascii="Times New Roman" w:hAnsi="Times New Roman"/>
          <w:sz w:val="24"/>
          <w:szCs w:val="24"/>
        </w:rPr>
        <w:t>)</w:t>
      </w:r>
      <w:r w:rsidR="00D045B0">
        <w:rPr>
          <w:rFonts w:ascii="Times New Roman" w:hAnsi="Times New Roman"/>
          <w:sz w:val="24"/>
          <w:szCs w:val="24"/>
        </w:rPr>
        <w:t xml:space="preserve"> quarterly </w:t>
      </w:r>
      <w:r w:rsidRPr="008036E8">
        <w:rPr>
          <w:rFonts w:ascii="Times New Roman" w:hAnsi="Times New Roman"/>
          <w:sz w:val="24"/>
          <w:szCs w:val="24"/>
        </w:rPr>
        <w:t>wage records and tenant data reported by the PHA to HUD into the Inventory Manage</w:t>
      </w:r>
      <w:r w:rsidRPr="008C4FA2">
        <w:rPr>
          <w:rFonts w:ascii="Times New Roman" w:hAnsi="Times New Roman"/>
          <w:sz w:val="24"/>
          <w:szCs w:val="24"/>
        </w:rPr>
        <w:t xml:space="preserve">ment System (IMS) </w:t>
      </w:r>
      <w:r w:rsidR="004C3D6D">
        <w:rPr>
          <w:rFonts w:ascii="Times New Roman" w:hAnsi="Times New Roman"/>
          <w:sz w:val="24"/>
          <w:szCs w:val="24"/>
        </w:rPr>
        <w:t xml:space="preserve">Public and Indian Housing </w:t>
      </w:r>
      <w:r w:rsidR="006B013F">
        <w:rPr>
          <w:rFonts w:ascii="Times New Roman" w:hAnsi="Times New Roman"/>
          <w:sz w:val="24"/>
          <w:szCs w:val="24"/>
        </w:rPr>
        <w:t>(</w:t>
      </w:r>
      <w:r w:rsidRPr="008C4FA2">
        <w:rPr>
          <w:rFonts w:ascii="Times New Roman" w:hAnsi="Times New Roman"/>
          <w:sz w:val="24"/>
          <w:szCs w:val="24"/>
        </w:rPr>
        <w:t>PIH</w:t>
      </w:r>
      <w:r w:rsidR="006B013F">
        <w:rPr>
          <w:rFonts w:ascii="Times New Roman" w:hAnsi="Times New Roman"/>
          <w:sz w:val="24"/>
          <w:szCs w:val="24"/>
        </w:rPr>
        <w:t>)</w:t>
      </w:r>
      <w:r w:rsidRPr="008C4FA2">
        <w:rPr>
          <w:rFonts w:ascii="Times New Roman" w:hAnsi="Times New Roman"/>
          <w:sz w:val="24"/>
          <w:szCs w:val="24"/>
        </w:rPr>
        <w:t xml:space="preserve"> Information Center (PIC) system</w:t>
      </w:r>
      <w:r w:rsidR="00691869">
        <w:rPr>
          <w:rFonts w:ascii="Times New Roman" w:hAnsi="Times New Roman"/>
          <w:sz w:val="24"/>
          <w:szCs w:val="24"/>
        </w:rPr>
        <w:t xml:space="preserve">. Also, MDRC will rely on </w:t>
      </w:r>
      <w:r w:rsidR="00570E0F">
        <w:rPr>
          <w:rFonts w:ascii="Times New Roman" w:hAnsi="Times New Roman"/>
          <w:sz w:val="24"/>
          <w:szCs w:val="24"/>
        </w:rPr>
        <w:t>c</w:t>
      </w:r>
      <w:r w:rsidR="00024246">
        <w:rPr>
          <w:rFonts w:ascii="Times New Roman" w:hAnsi="Times New Roman"/>
          <w:sz w:val="24"/>
          <w:szCs w:val="24"/>
        </w:rPr>
        <w:t xml:space="preserve">redit score data from </w:t>
      </w:r>
      <w:r w:rsidR="00915D4C">
        <w:rPr>
          <w:rFonts w:ascii="Times New Roman" w:hAnsi="Times New Roman"/>
          <w:sz w:val="24"/>
          <w:szCs w:val="24"/>
        </w:rPr>
        <w:t>a major credit bureau</w:t>
      </w:r>
      <w:r w:rsidR="00553C59">
        <w:rPr>
          <w:rFonts w:ascii="Times New Roman" w:hAnsi="Times New Roman"/>
          <w:sz w:val="24"/>
          <w:szCs w:val="24"/>
        </w:rPr>
        <w:t>, rather than asking respondents to recall changes in their scores.</w:t>
      </w:r>
      <w:r w:rsidR="005C3501">
        <w:rPr>
          <w:rFonts w:ascii="Times New Roman" w:hAnsi="Times New Roman"/>
          <w:sz w:val="24"/>
          <w:szCs w:val="24"/>
        </w:rPr>
        <w:t xml:space="preserve"> </w:t>
      </w:r>
      <w:r w:rsidR="006B3252">
        <w:rPr>
          <w:rFonts w:ascii="Times New Roman" w:hAnsi="Times New Roman"/>
          <w:sz w:val="24"/>
          <w:szCs w:val="24"/>
        </w:rPr>
        <w:t xml:space="preserve">The survey will collect data that </w:t>
      </w:r>
      <w:r w:rsidR="00B35150">
        <w:rPr>
          <w:rFonts w:ascii="Times New Roman" w:hAnsi="Times New Roman"/>
          <w:sz w:val="24"/>
          <w:szCs w:val="24"/>
        </w:rPr>
        <w:t>are</w:t>
      </w:r>
      <w:r w:rsidR="006B3252">
        <w:rPr>
          <w:rFonts w:ascii="Times New Roman" w:hAnsi="Times New Roman"/>
          <w:sz w:val="24"/>
          <w:szCs w:val="24"/>
        </w:rPr>
        <w:t xml:space="preserve"> not available through these dat</w:t>
      </w:r>
      <w:r w:rsidR="00BF7791">
        <w:rPr>
          <w:rFonts w:ascii="Times New Roman" w:hAnsi="Times New Roman"/>
          <w:sz w:val="24"/>
          <w:szCs w:val="24"/>
        </w:rPr>
        <w:t xml:space="preserve">a sources. </w:t>
      </w:r>
      <w:r w:rsidR="00920BA8">
        <w:rPr>
          <w:rFonts w:ascii="Times New Roman" w:hAnsi="Times New Roman"/>
          <w:sz w:val="24"/>
          <w:szCs w:val="24"/>
        </w:rPr>
        <w:t xml:space="preserve">For example, </w:t>
      </w:r>
      <w:r w:rsidR="00D66AA8">
        <w:rPr>
          <w:rFonts w:ascii="Times New Roman" w:hAnsi="Times New Roman"/>
          <w:sz w:val="24"/>
          <w:szCs w:val="24"/>
        </w:rPr>
        <w:t xml:space="preserve">the evaluation </w:t>
      </w:r>
      <w:r w:rsidR="00C87094">
        <w:rPr>
          <w:rFonts w:ascii="Times New Roman" w:hAnsi="Times New Roman"/>
          <w:sz w:val="24"/>
          <w:szCs w:val="24"/>
        </w:rPr>
        <w:t xml:space="preserve">will use the </w:t>
      </w:r>
      <w:r w:rsidR="006B3252">
        <w:rPr>
          <w:rFonts w:ascii="Times New Roman" w:hAnsi="Times New Roman"/>
          <w:sz w:val="24"/>
          <w:szCs w:val="24"/>
        </w:rPr>
        <w:t xml:space="preserve">survey </w:t>
      </w:r>
      <w:r w:rsidR="00010A19">
        <w:rPr>
          <w:rFonts w:ascii="Times New Roman" w:hAnsi="Times New Roman"/>
          <w:sz w:val="24"/>
          <w:szCs w:val="24"/>
        </w:rPr>
        <w:t xml:space="preserve">to example </w:t>
      </w:r>
      <w:r w:rsidR="006B3252">
        <w:rPr>
          <w:rFonts w:ascii="Times New Roman" w:hAnsi="Times New Roman"/>
          <w:sz w:val="24"/>
          <w:szCs w:val="24"/>
        </w:rPr>
        <w:t xml:space="preserve">job characteristic </w:t>
      </w:r>
      <w:r w:rsidR="00010A19">
        <w:rPr>
          <w:rFonts w:ascii="Times New Roman" w:hAnsi="Times New Roman"/>
          <w:sz w:val="24"/>
          <w:szCs w:val="24"/>
        </w:rPr>
        <w:t xml:space="preserve">and work circumstances, which </w:t>
      </w:r>
      <w:r w:rsidR="006B3252">
        <w:rPr>
          <w:rFonts w:ascii="Times New Roman" w:hAnsi="Times New Roman"/>
          <w:sz w:val="24"/>
          <w:szCs w:val="24"/>
        </w:rPr>
        <w:t>cannot be gained from the NDNH data</w:t>
      </w:r>
      <w:r w:rsidR="00BF7791">
        <w:rPr>
          <w:rFonts w:ascii="Times New Roman" w:hAnsi="Times New Roman"/>
          <w:sz w:val="24"/>
          <w:szCs w:val="24"/>
        </w:rPr>
        <w:t>.</w:t>
      </w:r>
      <w:r w:rsidRPr="00511484">
        <w:rPr>
          <w:rFonts w:ascii="Times New Roman" w:hAnsi="Times New Roman"/>
          <w:sz w:val="24"/>
          <w:szCs w:val="24"/>
        </w:rPr>
        <w:t xml:space="preserve"> </w:t>
      </w:r>
    </w:p>
    <w:p w:rsidRPr="00A15383" w:rsidR="006E637B" w:rsidP="003830EC" w:rsidRDefault="006E637B" w14:paraId="62CE48FB" w14:textId="77777777">
      <w:pPr>
        <w:pStyle w:val="BodyText"/>
        <w:ind w:left="360"/>
        <w:jc w:val="both"/>
        <w:rPr>
          <w:rFonts w:ascii="Times New Roman" w:hAnsi="Times New Roman"/>
          <w:b/>
          <w:sz w:val="24"/>
          <w:szCs w:val="24"/>
        </w:rPr>
      </w:pPr>
    </w:p>
    <w:p w:rsidRPr="008036E8" w:rsidR="008064C8" w:rsidP="00435881" w:rsidRDefault="008064C8" w14:paraId="2C26C907" w14:textId="1BAEB99B">
      <w:pPr>
        <w:keepLines/>
        <w:tabs>
          <w:tab w:val="left" w:pos="360"/>
        </w:tabs>
        <w:spacing w:after="80"/>
        <w:ind w:left="360" w:hanging="360"/>
        <w:jc w:val="both"/>
        <w:rPr>
          <w:rFonts w:ascii="Times New Roman" w:hAnsi="Times New Roman" w:cs="Times New Roman"/>
          <w:b/>
          <w:sz w:val="24"/>
          <w:szCs w:val="24"/>
        </w:rPr>
      </w:pPr>
      <w:r w:rsidRPr="00A15383">
        <w:rPr>
          <w:rFonts w:ascii="Times New Roman" w:hAnsi="Times New Roman" w:cs="Times New Roman"/>
          <w:b/>
          <w:sz w:val="24"/>
          <w:szCs w:val="24"/>
        </w:rPr>
        <w:t>5.</w:t>
      </w:r>
      <w:r w:rsidRPr="008036E8">
        <w:rPr>
          <w:rFonts w:ascii="Times New Roman" w:hAnsi="Times New Roman" w:cs="Times New Roman"/>
          <w:sz w:val="24"/>
          <w:szCs w:val="24"/>
        </w:rPr>
        <w:tab/>
      </w:r>
      <w:r w:rsidRPr="008036E8">
        <w:rPr>
          <w:rFonts w:ascii="Times New Roman" w:hAnsi="Times New Roman" w:cs="Times New Roman"/>
          <w:b/>
          <w:sz w:val="24"/>
          <w:szCs w:val="24"/>
        </w:rPr>
        <w:t>If the collection of information impacts small businesses or other small entities (Item 5 of OMB Form 83-I) describe any methods used to minimize burden.</w:t>
      </w:r>
    </w:p>
    <w:p w:rsidRPr="00D920EA" w:rsidR="0081351C" w:rsidP="00836B7C" w:rsidRDefault="0081351C" w14:paraId="3D409CF5" w14:textId="77777777">
      <w:pPr>
        <w:ind w:left="360"/>
        <w:jc w:val="both"/>
        <w:rPr>
          <w:rFonts w:ascii="Times New Roman" w:hAnsi="Times New Roman" w:cs="Times New Roman"/>
          <w:sz w:val="24"/>
          <w:szCs w:val="24"/>
        </w:rPr>
      </w:pPr>
      <w:r w:rsidRPr="00D920EA">
        <w:rPr>
          <w:rFonts w:ascii="Times New Roman" w:hAnsi="Times New Roman" w:cs="Times New Roman"/>
          <w:sz w:val="24"/>
          <w:szCs w:val="24"/>
        </w:rPr>
        <w:t>All survey respondents will be individuals enrolled in the FSS study.  We do not anticipate that this study will burden small businesses.</w:t>
      </w:r>
    </w:p>
    <w:p w:rsidRPr="00A15383" w:rsidR="008A082A" w:rsidP="00435881" w:rsidRDefault="008A082A" w14:paraId="4BF072E8" w14:textId="77777777">
      <w:pPr>
        <w:jc w:val="both"/>
        <w:rPr>
          <w:rFonts w:ascii="Times New Roman" w:hAnsi="Times New Roman" w:cs="Times New Roman"/>
          <w:sz w:val="24"/>
          <w:szCs w:val="24"/>
        </w:rPr>
      </w:pPr>
    </w:p>
    <w:p w:rsidRPr="00A15383" w:rsidR="007A0E24" w:rsidP="00435881" w:rsidRDefault="008064C8" w14:paraId="66BF734C" w14:textId="4B8C1AB0">
      <w:pPr>
        <w:keepLines/>
        <w:tabs>
          <w:tab w:val="left" w:pos="360"/>
        </w:tabs>
        <w:spacing w:after="80"/>
        <w:ind w:left="360" w:hanging="360"/>
        <w:jc w:val="both"/>
        <w:rPr>
          <w:rFonts w:ascii="Times New Roman" w:hAnsi="Times New Roman" w:cs="Times New Roman"/>
          <w:b/>
          <w:sz w:val="24"/>
          <w:szCs w:val="24"/>
        </w:rPr>
      </w:pPr>
      <w:r w:rsidRPr="00A15383">
        <w:rPr>
          <w:rFonts w:ascii="Times New Roman" w:hAnsi="Times New Roman" w:cs="Times New Roman"/>
          <w:b/>
          <w:sz w:val="24"/>
          <w:szCs w:val="24"/>
        </w:rPr>
        <w:t>6.</w:t>
      </w:r>
      <w:r w:rsidRPr="00A15383">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Pr="003F63A6" w:rsidR="0087065E" w:rsidP="00435881" w:rsidRDefault="0087065E" w14:paraId="3FD31F24" w14:textId="5E8795D0">
      <w:pPr>
        <w:ind w:left="360"/>
        <w:jc w:val="both"/>
        <w:rPr>
          <w:rFonts w:ascii="Times New Roman" w:hAnsi="Times New Roman" w:cs="Times New Roman"/>
          <w:sz w:val="24"/>
          <w:szCs w:val="24"/>
        </w:rPr>
      </w:pPr>
      <w:r w:rsidRPr="003F63A6">
        <w:rPr>
          <w:rFonts w:ascii="Times New Roman" w:hAnsi="Times New Roman" w:cs="Times New Roman"/>
          <w:sz w:val="24"/>
          <w:szCs w:val="24"/>
        </w:rPr>
        <w:t xml:space="preserve">This evaluation represents an important opportunity for the Federal Government to add to the body of knowledge about the impacts of a key employment-oriented program for HCV recipients. This is consistent with the Administration’s strong focus on evidence-based policymaking. </w:t>
      </w:r>
      <w:proofErr w:type="gramStart"/>
      <w:r w:rsidRPr="003F63A6">
        <w:rPr>
          <w:rFonts w:ascii="Times New Roman" w:hAnsi="Times New Roman" w:cs="Times New Roman"/>
          <w:sz w:val="24"/>
          <w:szCs w:val="24"/>
        </w:rPr>
        <w:t>With the exception of</w:t>
      </w:r>
      <w:proofErr w:type="gramEnd"/>
      <w:r w:rsidRPr="003F63A6">
        <w:rPr>
          <w:rFonts w:ascii="Times New Roman" w:hAnsi="Times New Roman" w:cs="Times New Roman"/>
          <w:sz w:val="24"/>
          <w:szCs w:val="24"/>
        </w:rPr>
        <w:t xml:space="preserve"> the Work Rewards demonstration, there is no rigorous impact evaluation of the FSS program</w:t>
      </w:r>
      <w:r w:rsidR="00765D45">
        <w:rPr>
          <w:rFonts w:ascii="Times New Roman" w:hAnsi="Times New Roman" w:cs="Times New Roman"/>
          <w:sz w:val="24"/>
          <w:szCs w:val="24"/>
        </w:rPr>
        <w:t>, which operates nationwide</w:t>
      </w:r>
      <w:r w:rsidRPr="003F63A6">
        <w:rPr>
          <w:rFonts w:ascii="Times New Roman" w:hAnsi="Times New Roman" w:cs="Times New Roman"/>
          <w:sz w:val="24"/>
          <w:szCs w:val="24"/>
        </w:rPr>
        <w:t>.</w:t>
      </w:r>
    </w:p>
    <w:p w:rsidR="002316E7" w:rsidP="00435881" w:rsidRDefault="002316E7" w14:paraId="444219D1" w14:textId="77777777">
      <w:pPr>
        <w:ind w:left="360"/>
        <w:jc w:val="both"/>
        <w:rPr>
          <w:rFonts w:ascii="Times New Roman" w:hAnsi="Times New Roman" w:cs="Times New Roman"/>
          <w:sz w:val="24"/>
          <w:szCs w:val="24"/>
        </w:rPr>
      </w:pPr>
    </w:p>
    <w:p w:rsidRPr="003F63A6" w:rsidR="0087065E" w:rsidP="00435881" w:rsidRDefault="0087065E" w14:paraId="215E8E5C" w14:textId="4F8F371C">
      <w:pPr>
        <w:ind w:left="360"/>
        <w:jc w:val="both"/>
        <w:rPr>
          <w:rFonts w:ascii="Times New Roman" w:hAnsi="Times New Roman" w:cs="Times New Roman"/>
          <w:sz w:val="24"/>
          <w:szCs w:val="24"/>
        </w:rPr>
      </w:pPr>
      <w:r w:rsidRPr="003F63A6">
        <w:rPr>
          <w:rFonts w:ascii="Times New Roman" w:hAnsi="Times New Roman" w:cs="Times New Roman"/>
          <w:sz w:val="24"/>
          <w:szCs w:val="24"/>
        </w:rPr>
        <w:t xml:space="preserve">Without this survey, the Federal program or related policy activities will not be informed by high quality evidence on a variety of longer-term outcomes central to the FSS intervention. Limiting analysis to only those outcomes available through administrative records will lack the richness and comprehensiveness that the longer-term survey will provide.  </w:t>
      </w:r>
    </w:p>
    <w:p w:rsidRPr="00A15383" w:rsidR="00A03116" w:rsidP="00435881" w:rsidRDefault="00A03116" w14:paraId="45BBE79D" w14:textId="77777777">
      <w:pPr>
        <w:jc w:val="both"/>
        <w:rPr>
          <w:rFonts w:ascii="Times New Roman" w:hAnsi="Times New Roman" w:cs="Times New Roman"/>
          <w:sz w:val="24"/>
          <w:szCs w:val="24"/>
        </w:rPr>
      </w:pPr>
    </w:p>
    <w:p w:rsidRPr="008036E8" w:rsidR="008064C8" w:rsidP="00435881" w:rsidRDefault="008064C8" w14:paraId="3E8B622B" w14:textId="77777777">
      <w:pPr>
        <w:numPr>
          <w:ilvl w:val="0"/>
          <w:numId w:val="3"/>
        </w:numPr>
        <w:tabs>
          <w:tab w:val="left" w:pos="360"/>
        </w:tabs>
        <w:overflowPunct w:val="0"/>
        <w:autoSpaceDE w:val="0"/>
        <w:autoSpaceDN w:val="0"/>
        <w:adjustRightInd w:val="0"/>
        <w:jc w:val="both"/>
        <w:rPr>
          <w:rFonts w:ascii="Times New Roman" w:hAnsi="Times New Roman" w:cs="Times New Roman"/>
          <w:b/>
          <w:sz w:val="24"/>
          <w:szCs w:val="24"/>
        </w:rPr>
      </w:pPr>
      <w:r w:rsidRPr="00A15383">
        <w:rPr>
          <w:rFonts w:ascii="Times New Roman" w:hAnsi="Times New Roman" w:cs="Times New Roman"/>
          <w:b/>
          <w:sz w:val="24"/>
          <w:szCs w:val="24"/>
        </w:rPr>
        <w:t xml:space="preserve">Explain any special circumstances that would cause an information collection to be conducted in a manner: </w:t>
      </w:r>
    </w:p>
    <w:p w:rsidRPr="008036E8" w:rsidR="008064C8" w:rsidP="00435881" w:rsidRDefault="008064C8" w14:paraId="0441D401" w14:textId="77777777">
      <w:pPr>
        <w:numPr>
          <w:ilvl w:val="0"/>
          <w:numId w:val="4"/>
        </w:numPr>
        <w:tabs>
          <w:tab w:val="left" w:pos="600"/>
        </w:tabs>
        <w:overflowPunct w:val="0"/>
        <w:autoSpaceDE w:val="0"/>
        <w:autoSpaceDN w:val="0"/>
        <w:adjustRightInd w:val="0"/>
        <w:jc w:val="both"/>
        <w:rPr>
          <w:rFonts w:ascii="Times New Roman" w:hAnsi="Times New Roman" w:cs="Times New Roman"/>
          <w:b/>
          <w:sz w:val="24"/>
          <w:szCs w:val="24"/>
        </w:rPr>
      </w:pPr>
      <w:r w:rsidRPr="008036E8">
        <w:rPr>
          <w:rFonts w:ascii="Times New Roman" w:hAnsi="Times New Roman" w:cs="Times New Roman"/>
          <w:b/>
          <w:sz w:val="24"/>
          <w:szCs w:val="24"/>
        </w:rPr>
        <w:t xml:space="preserve">requiring respondents to report information to the agency more than </w:t>
      </w:r>
      <w:proofErr w:type="gramStart"/>
      <w:r w:rsidRPr="008036E8">
        <w:rPr>
          <w:rFonts w:ascii="Times New Roman" w:hAnsi="Times New Roman" w:cs="Times New Roman"/>
          <w:b/>
          <w:sz w:val="24"/>
          <w:szCs w:val="24"/>
        </w:rPr>
        <w:t>quarterly;</w:t>
      </w:r>
      <w:proofErr w:type="gramEnd"/>
      <w:r w:rsidRPr="008036E8">
        <w:rPr>
          <w:rFonts w:ascii="Times New Roman" w:hAnsi="Times New Roman" w:cs="Times New Roman"/>
          <w:b/>
          <w:sz w:val="24"/>
          <w:szCs w:val="24"/>
        </w:rPr>
        <w:t xml:space="preserve"> </w:t>
      </w:r>
    </w:p>
    <w:p w:rsidRPr="00511484" w:rsidR="008064C8" w:rsidP="00435881" w:rsidRDefault="008064C8" w14:paraId="6C6EEFAB" w14:textId="77777777">
      <w:pPr>
        <w:numPr>
          <w:ilvl w:val="0"/>
          <w:numId w:val="4"/>
        </w:numPr>
        <w:tabs>
          <w:tab w:val="left" w:pos="600"/>
        </w:tabs>
        <w:overflowPunct w:val="0"/>
        <w:autoSpaceDE w:val="0"/>
        <w:autoSpaceDN w:val="0"/>
        <w:adjustRightInd w:val="0"/>
        <w:jc w:val="both"/>
        <w:rPr>
          <w:rFonts w:ascii="Times New Roman" w:hAnsi="Times New Roman" w:cs="Times New Roman"/>
          <w:b/>
          <w:sz w:val="24"/>
          <w:szCs w:val="24"/>
        </w:rPr>
      </w:pPr>
      <w:r w:rsidRPr="002449F3">
        <w:rPr>
          <w:rFonts w:ascii="Times New Roman" w:hAnsi="Times New Roman" w:cs="Times New Roman"/>
          <w:b/>
          <w:sz w:val="24"/>
          <w:szCs w:val="24"/>
        </w:rPr>
        <w:t>requiring respondents to prepare a written response to a collection o</w:t>
      </w:r>
      <w:r w:rsidRPr="008C4FA2">
        <w:rPr>
          <w:rFonts w:ascii="Times New Roman" w:hAnsi="Times New Roman" w:cs="Times New Roman"/>
          <w:b/>
          <w:sz w:val="24"/>
          <w:szCs w:val="24"/>
        </w:rPr>
        <w:t xml:space="preserve">f information in fewer than 30 days after receipt of </w:t>
      </w:r>
      <w:proofErr w:type="gramStart"/>
      <w:r w:rsidRPr="008C4FA2">
        <w:rPr>
          <w:rFonts w:ascii="Times New Roman" w:hAnsi="Times New Roman" w:cs="Times New Roman"/>
          <w:b/>
          <w:sz w:val="24"/>
          <w:szCs w:val="24"/>
        </w:rPr>
        <w:t>it;</w:t>
      </w:r>
      <w:proofErr w:type="gramEnd"/>
      <w:r w:rsidRPr="008C4FA2">
        <w:rPr>
          <w:rFonts w:ascii="Times New Roman" w:hAnsi="Times New Roman" w:cs="Times New Roman"/>
          <w:b/>
          <w:sz w:val="24"/>
          <w:szCs w:val="24"/>
        </w:rPr>
        <w:t xml:space="preserve"> </w:t>
      </w:r>
    </w:p>
    <w:p w:rsidRPr="00511484" w:rsidR="008064C8" w:rsidP="00435881" w:rsidRDefault="008064C8" w14:paraId="76ED73FF" w14:textId="77777777">
      <w:pPr>
        <w:numPr>
          <w:ilvl w:val="0"/>
          <w:numId w:val="4"/>
        </w:numPr>
        <w:tabs>
          <w:tab w:val="left" w:pos="600"/>
        </w:tabs>
        <w:overflowPunct w:val="0"/>
        <w:autoSpaceDE w:val="0"/>
        <w:autoSpaceDN w:val="0"/>
        <w:adjustRightInd w:val="0"/>
        <w:jc w:val="both"/>
        <w:rPr>
          <w:rFonts w:ascii="Times New Roman" w:hAnsi="Times New Roman" w:cs="Times New Roman"/>
          <w:b/>
          <w:sz w:val="24"/>
          <w:szCs w:val="24"/>
        </w:rPr>
      </w:pPr>
      <w:r w:rsidRPr="00511484">
        <w:rPr>
          <w:rFonts w:ascii="Times New Roman" w:hAnsi="Times New Roman" w:cs="Times New Roman"/>
          <w:b/>
          <w:sz w:val="24"/>
          <w:szCs w:val="24"/>
        </w:rPr>
        <w:t xml:space="preserve">requiring respondents to submit more than an original and two copies of any </w:t>
      </w:r>
      <w:proofErr w:type="gramStart"/>
      <w:r w:rsidRPr="00511484">
        <w:rPr>
          <w:rFonts w:ascii="Times New Roman" w:hAnsi="Times New Roman" w:cs="Times New Roman"/>
          <w:b/>
          <w:sz w:val="24"/>
          <w:szCs w:val="24"/>
        </w:rPr>
        <w:t>document;</w:t>
      </w:r>
      <w:proofErr w:type="gramEnd"/>
      <w:r w:rsidRPr="00511484">
        <w:rPr>
          <w:rFonts w:ascii="Times New Roman" w:hAnsi="Times New Roman" w:cs="Times New Roman"/>
          <w:b/>
          <w:sz w:val="24"/>
          <w:szCs w:val="24"/>
        </w:rPr>
        <w:t xml:space="preserve"> </w:t>
      </w:r>
    </w:p>
    <w:p w:rsidRPr="00511484" w:rsidR="008064C8" w:rsidP="00435881" w:rsidRDefault="008064C8" w14:paraId="0E87E7AA" w14:textId="77777777">
      <w:pPr>
        <w:numPr>
          <w:ilvl w:val="0"/>
          <w:numId w:val="4"/>
        </w:numPr>
        <w:tabs>
          <w:tab w:val="left" w:pos="600"/>
        </w:tabs>
        <w:overflowPunct w:val="0"/>
        <w:autoSpaceDE w:val="0"/>
        <w:autoSpaceDN w:val="0"/>
        <w:adjustRightInd w:val="0"/>
        <w:jc w:val="both"/>
        <w:rPr>
          <w:rFonts w:ascii="Times New Roman" w:hAnsi="Times New Roman" w:cs="Times New Roman"/>
          <w:b/>
          <w:sz w:val="24"/>
          <w:szCs w:val="24"/>
        </w:rPr>
      </w:pPr>
      <w:r w:rsidRPr="00511484">
        <w:rPr>
          <w:rFonts w:ascii="Times New Roman" w:hAnsi="Times New Roman" w:cs="Times New Roman"/>
          <w:b/>
          <w:sz w:val="24"/>
          <w:szCs w:val="24"/>
        </w:rPr>
        <w:t xml:space="preserve">requiring respondents to retain records other than health, medical, government contract, grant-in-aid, or tax records for more than three </w:t>
      </w:r>
      <w:proofErr w:type="gramStart"/>
      <w:r w:rsidRPr="00511484">
        <w:rPr>
          <w:rFonts w:ascii="Times New Roman" w:hAnsi="Times New Roman" w:cs="Times New Roman"/>
          <w:b/>
          <w:sz w:val="24"/>
          <w:szCs w:val="24"/>
        </w:rPr>
        <w:t>years;</w:t>
      </w:r>
      <w:proofErr w:type="gramEnd"/>
      <w:r w:rsidRPr="00511484">
        <w:rPr>
          <w:rFonts w:ascii="Times New Roman" w:hAnsi="Times New Roman" w:cs="Times New Roman"/>
          <w:b/>
          <w:sz w:val="24"/>
          <w:szCs w:val="24"/>
        </w:rPr>
        <w:t xml:space="preserve"> </w:t>
      </w:r>
    </w:p>
    <w:p w:rsidRPr="00511484" w:rsidR="008064C8" w:rsidP="00435881" w:rsidRDefault="008064C8" w14:paraId="0ECF1923" w14:textId="77777777">
      <w:pPr>
        <w:numPr>
          <w:ilvl w:val="0"/>
          <w:numId w:val="4"/>
        </w:numPr>
        <w:tabs>
          <w:tab w:val="left" w:pos="600"/>
        </w:tabs>
        <w:overflowPunct w:val="0"/>
        <w:autoSpaceDE w:val="0"/>
        <w:autoSpaceDN w:val="0"/>
        <w:adjustRightInd w:val="0"/>
        <w:jc w:val="both"/>
        <w:rPr>
          <w:rFonts w:ascii="Times New Roman" w:hAnsi="Times New Roman" w:cs="Times New Roman"/>
          <w:b/>
          <w:sz w:val="24"/>
          <w:szCs w:val="24"/>
        </w:rPr>
      </w:pPr>
      <w:r w:rsidRPr="00511484">
        <w:rPr>
          <w:rFonts w:ascii="Times New Roman" w:hAnsi="Times New Roman" w:cs="Times New Roman"/>
          <w:b/>
          <w:sz w:val="24"/>
          <w:szCs w:val="24"/>
        </w:rPr>
        <w:t xml:space="preserve">in connection with a statistical survey, that is not designed to produce valid and reliable results than can be generalized to the universe of </w:t>
      </w:r>
      <w:proofErr w:type="gramStart"/>
      <w:r w:rsidRPr="00511484">
        <w:rPr>
          <w:rFonts w:ascii="Times New Roman" w:hAnsi="Times New Roman" w:cs="Times New Roman"/>
          <w:b/>
          <w:sz w:val="24"/>
          <w:szCs w:val="24"/>
        </w:rPr>
        <w:t>study;</w:t>
      </w:r>
      <w:proofErr w:type="gramEnd"/>
      <w:r w:rsidRPr="00511484">
        <w:rPr>
          <w:rFonts w:ascii="Times New Roman" w:hAnsi="Times New Roman" w:cs="Times New Roman"/>
          <w:b/>
          <w:sz w:val="24"/>
          <w:szCs w:val="24"/>
        </w:rPr>
        <w:t xml:space="preserve"> </w:t>
      </w:r>
    </w:p>
    <w:p w:rsidRPr="00511484" w:rsidR="008064C8" w:rsidP="00435881" w:rsidRDefault="008064C8" w14:paraId="3A0405EB" w14:textId="77777777">
      <w:pPr>
        <w:numPr>
          <w:ilvl w:val="0"/>
          <w:numId w:val="4"/>
        </w:numPr>
        <w:tabs>
          <w:tab w:val="left" w:pos="600"/>
        </w:tabs>
        <w:overflowPunct w:val="0"/>
        <w:autoSpaceDE w:val="0"/>
        <w:autoSpaceDN w:val="0"/>
        <w:adjustRightInd w:val="0"/>
        <w:jc w:val="both"/>
        <w:rPr>
          <w:rFonts w:ascii="Times New Roman" w:hAnsi="Times New Roman" w:cs="Times New Roman"/>
          <w:b/>
          <w:sz w:val="24"/>
          <w:szCs w:val="24"/>
        </w:rPr>
      </w:pPr>
      <w:r w:rsidRPr="00511484">
        <w:rPr>
          <w:rFonts w:ascii="Times New Roman" w:hAnsi="Times New Roman" w:cs="Times New Roman"/>
          <w:b/>
          <w:sz w:val="24"/>
          <w:szCs w:val="24"/>
        </w:rPr>
        <w:lastRenderedPageBreak/>
        <w:t xml:space="preserve">requiring the use of a statistical data classification that has not been reviewed and approved by </w:t>
      </w:r>
      <w:proofErr w:type="gramStart"/>
      <w:r w:rsidRPr="00511484">
        <w:rPr>
          <w:rFonts w:ascii="Times New Roman" w:hAnsi="Times New Roman" w:cs="Times New Roman"/>
          <w:b/>
          <w:sz w:val="24"/>
          <w:szCs w:val="24"/>
        </w:rPr>
        <w:t>OMB;</w:t>
      </w:r>
      <w:proofErr w:type="gramEnd"/>
      <w:r w:rsidRPr="00511484">
        <w:rPr>
          <w:rFonts w:ascii="Times New Roman" w:hAnsi="Times New Roman" w:cs="Times New Roman"/>
          <w:b/>
          <w:sz w:val="24"/>
          <w:szCs w:val="24"/>
        </w:rPr>
        <w:t xml:space="preserve"> </w:t>
      </w:r>
    </w:p>
    <w:p w:rsidRPr="00511484" w:rsidR="008064C8" w:rsidP="00435881" w:rsidRDefault="008064C8" w14:paraId="4763D6AC" w14:textId="77777777">
      <w:pPr>
        <w:numPr>
          <w:ilvl w:val="0"/>
          <w:numId w:val="4"/>
        </w:numPr>
        <w:tabs>
          <w:tab w:val="left" w:pos="600"/>
        </w:tabs>
        <w:overflowPunct w:val="0"/>
        <w:autoSpaceDE w:val="0"/>
        <w:autoSpaceDN w:val="0"/>
        <w:adjustRightInd w:val="0"/>
        <w:jc w:val="both"/>
        <w:rPr>
          <w:rFonts w:ascii="Times New Roman" w:hAnsi="Times New Roman" w:cs="Times New Roman"/>
          <w:b/>
          <w:sz w:val="24"/>
          <w:szCs w:val="24"/>
        </w:rPr>
      </w:pPr>
      <w:r w:rsidRPr="00511484">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11484" w:rsidR="008A082A" w:rsidP="00435881" w:rsidRDefault="008064C8" w14:paraId="65D47115" w14:textId="20452404">
      <w:pPr>
        <w:keepLines/>
        <w:numPr>
          <w:ilvl w:val="0"/>
          <w:numId w:val="4"/>
        </w:numPr>
        <w:tabs>
          <w:tab w:val="left" w:pos="600"/>
        </w:tabs>
        <w:overflowPunct w:val="0"/>
        <w:autoSpaceDE w:val="0"/>
        <w:autoSpaceDN w:val="0"/>
        <w:adjustRightInd w:val="0"/>
        <w:spacing w:after="80"/>
        <w:jc w:val="both"/>
        <w:rPr>
          <w:rFonts w:ascii="Times New Roman" w:hAnsi="Times New Roman" w:cs="Times New Roman"/>
          <w:b/>
          <w:sz w:val="24"/>
          <w:szCs w:val="24"/>
        </w:rPr>
      </w:pPr>
      <w:r w:rsidRPr="00511484">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8036E8" w:rsidR="008A082A" w:rsidP="00435881" w:rsidRDefault="00D70748" w14:paraId="3F682F66" w14:textId="4FAA733E">
      <w:pPr>
        <w:keepNext/>
        <w:keepLines/>
        <w:tabs>
          <w:tab w:val="left" w:pos="0"/>
          <w:tab w:val="left" w:pos="720"/>
          <w:tab w:val="left" w:pos="840"/>
        </w:tabs>
        <w:overflowPunct w:val="0"/>
        <w:autoSpaceDE w:val="0"/>
        <w:autoSpaceDN w:val="0"/>
        <w:adjustRightInd w:val="0"/>
        <w:ind w:left="360"/>
        <w:jc w:val="both"/>
        <w:textAlignment w:val="baseline"/>
        <w:rPr>
          <w:rFonts w:ascii="Times New Roman" w:hAnsi="Times New Roman" w:eastAsia="Times New Roman" w:cs="Times New Roman"/>
          <w:sz w:val="24"/>
          <w:szCs w:val="24"/>
        </w:rPr>
      </w:pPr>
      <w:r w:rsidRPr="003F63A6">
        <w:rPr>
          <w:rFonts w:ascii="Times New Roman" w:hAnsi="Times New Roman" w:cs="Times New Roman"/>
          <w:sz w:val="24"/>
          <w:szCs w:val="24"/>
        </w:rPr>
        <w:t xml:space="preserve">The proposed data collection activities are consistent with the guidelines </w:t>
      </w:r>
      <w:r w:rsidRPr="006E637B">
        <w:rPr>
          <w:rFonts w:ascii="Times New Roman" w:hAnsi="Times New Roman" w:cs="Times New Roman"/>
          <w:sz w:val="24"/>
          <w:szCs w:val="24"/>
        </w:rPr>
        <w:t>set forth in 5 CFR 1320 (Controlling Paperwork Burdens on the Public).</w:t>
      </w:r>
      <w:r w:rsidRPr="003F63A6">
        <w:rPr>
          <w:rFonts w:ascii="Times New Roman" w:hAnsi="Times New Roman" w:cs="Times New Roman"/>
          <w:sz w:val="24"/>
          <w:szCs w:val="24"/>
        </w:rPr>
        <w:t xml:space="preserve"> There are no special circumstances that require deviation from these guidelines. </w:t>
      </w:r>
      <w:r w:rsidRPr="00A15383" w:rsidR="008A082A">
        <w:rPr>
          <w:rFonts w:ascii="Times New Roman" w:hAnsi="Times New Roman" w:eastAsia="Times New Roman" w:cs="Times New Roman"/>
          <w:sz w:val="24"/>
          <w:szCs w:val="24"/>
        </w:rPr>
        <w:t xml:space="preserve">The following below are </w:t>
      </w:r>
      <w:r w:rsidRPr="00A15383" w:rsidR="008A082A">
        <w:rPr>
          <w:rFonts w:ascii="Times New Roman" w:hAnsi="Times New Roman" w:eastAsia="Times New Roman" w:cs="Times New Roman"/>
          <w:b/>
          <w:sz w:val="24"/>
          <w:szCs w:val="24"/>
        </w:rPr>
        <w:t>“Not Applicable”</w:t>
      </w:r>
      <w:r w:rsidRPr="008036E8" w:rsidR="008A082A">
        <w:rPr>
          <w:rFonts w:ascii="Times New Roman" w:hAnsi="Times New Roman" w:eastAsia="Times New Roman" w:cs="Times New Roman"/>
          <w:sz w:val="24"/>
          <w:szCs w:val="24"/>
        </w:rPr>
        <w:t xml:space="preserve"> to this collection:</w:t>
      </w:r>
    </w:p>
    <w:p w:rsidRPr="00A15383" w:rsidR="008A082A" w:rsidP="00435881" w:rsidRDefault="008A082A" w14:paraId="63580EC5" w14:textId="46DA80B2">
      <w:pPr>
        <w:tabs>
          <w:tab w:val="left" w:pos="-1440"/>
        </w:tabs>
        <w:jc w:val="both"/>
        <w:rPr>
          <w:rFonts w:ascii="Times New Roman" w:hAnsi="Times New Roman" w:cs="Times New Roman"/>
          <w:sz w:val="24"/>
          <w:szCs w:val="24"/>
        </w:rPr>
      </w:pPr>
      <w:r w:rsidRPr="008036E8">
        <w:rPr>
          <w:rFonts w:ascii="Times New Roman" w:hAnsi="Times New Roman" w:eastAsia="Times New Roman" w:cs="Times New Roman"/>
          <w:sz w:val="24"/>
          <w:szCs w:val="24"/>
        </w:rPr>
        <w:tab/>
      </w:r>
    </w:p>
    <w:p w:rsidRPr="00241998" w:rsidR="008A082A" w:rsidP="00435881" w:rsidRDefault="008A082A" w14:paraId="443B7B66" w14:textId="77777777">
      <w:pPr>
        <w:widowControl w:val="0"/>
        <w:numPr>
          <w:ilvl w:val="0"/>
          <w:numId w:val="10"/>
        </w:numPr>
        <w:tabs>
          <w:tab w:val="left" w:pos="-1440"/>
        </w:tabs>
        <w:autoSpaceDE w:val="0"/>
        <w:autoSpaceDN w:val="0"/>
        <w:adjustRightInd w:val="0"/>
        <w:jc w:val="both"/>
        <w:rPr>
          <w:rFonts w:ascii="Times New Roman" w:hAnsi="Times New Roman" w:cs="Times New Roman"/>
          <w:sz w:val="24"/>
          <w:szCs w:val="24"/>
        </w:rPr>
      </w:pPr>
      <w:r w:rsidRPr="00A15383">
        <w:rPr>
          <w:rFonts w:ascii="Times New Roman" w:hAnsi="Times New Roman" w:cs="Times New Roman"/>
          <w:sz w:val="24"/>
          <w:szCs w:val="24"/>
        </w:rPr>
        <w:t xml:space="preserve">requiring respondents to report information to the </w:t>
      </w:r>
      <w:r w:rsidRPr="008036E8">
        <w:rPr>
          <w:rFonts w:ascii="Times New Roman" w:hAnsi="Times New Roman" w:cs="Times New Roman"/>
          <w:sz w:val="24"/>
          <w:szCs w:val="24"/>
        </w:rPr>
        <w:t>agency more than quarterly – “</w:t>
      </w:r>
      <w:r w:rsidRPr="008036E8">
        <w:rPr>
          <w:rFonts w:ascii="Times New Roman" w:hAnsi="Times New Roman" w:cs="Times New Roman"/>
          <w:b/>
          <w:sz w:val="24"/>
          <w:szCs w:val="24"/>
        </w:rPr>
        <w:t>Not Applicable</w:t>
      </w:r>
      <w:proofErr w:type="gramStart"/>
      <w:r w:rsidRPr="008036E8">
        <w:rPr>
          <w:rFonts w:ascii="Times New Roman" w:hAnsi="Times New Roman" w:cs="Times New Roman"/>
          <w:sz w:val="24"/>
          <w:szCs w:val="24"/>
        </w:rPr>
        <w:t>”;</w:t>
      </w:r>
      <w:proofErr w:type="gramEnd"/>
      <w:r w:rsidRPr="008036E8">
        <w:rPr>
          <w:rFonts w:ascii="Times New Roman" w:hAnsi="Times New Roman" w:cs="Times New Roman"/>
          <w:sz w:val="24"/>
          <w:szCs w:val="24"/>
        </w:rPr>
        <w:t xml:space="preserve"> </w:t>
      </w:r>
    </w:p>
    <w:p w:rsidRPr="00903891" w:rsidR="008A082A" w:rsidP="00435881" w:rsidRDefault="008A082A" w14:paraId="38F9DE1C" w14:textId="77777777">
      <w:pPr>
        <w:widowControl w:val="0"/>
        <w:numPr>
          <w:ilvl w:val="0"/>
          <w:numId w:val="10"/>
        </w:numPr>
        <w:tabs>
          <w:tab w:val="left" w:pos="-1440"/>
        </w:tabs>
        <w:autoSpaceDE w:val="0"/>
        <w:autoSpaceDN w:val="0"/>
        <w:adjustRightInd w:val="0"/>
        <w:jc w:val="both"/>
        <w:rPr>
          <w:rFonts w:ascii="Times New Roman" w:hAnsi="Times New Roman" w:cs="Times New Roman"/>
          <w:sz w:val="24"/>
          <w:szCs w:val="24"/>
        </w:rPr>
      </w:pPr>
      <w:r w:rsidRPr="005A7273">
        <w:rPr>
          <w:rFonts w:ascii="Times New Roman" w:hAnsi="Times New Roman" w:cs="Times New Roman"/>
          <w:sz w:val="24"/>
          <w:szCs w:val="24"/>
        </w:rPr>
        <w:t>requiring respondents to prepare a written response to a collection of information in fewer than 30 days after receipt of it – “</w:t>
      </w:r>
      <w:r w:rsidRPr="008C4FA2">
        <w:rPr>
          <w:rFonts w:ascii="Times New Roman" w:hAnsi="Times New Roman" w:cs="Times New Roman"/>
          <w:b/>
          <w:sz w:val="24"/>
          <w:szCs w:val="24"/>
        </w:rPr>
        <w:t>Not Applicable</w:t>
      </w:r>
      <w:proofErr w:type="gramStart"/>
      <w:r w:rsidRPr="00693533">
        <w:rPr>
          <w:rFonts w:ascii="Times New Roman" w:hAnsi="Times New Roman" w:cs="Times New Roman"/>
          <w:sz w:val="24"/>
          <w:szCs w:val="24"/>
        </w:rPr>
        <w:t>”;</w:t>
      </w:r>
      <w:proofErr w:type="gramEnd"/>
      <w:r w:rsidRPr="00693533">
        <w:rPr>
          <w:rFonts w:ascii="Times New Roman" w:hAnsi="Times New Roman" w:cs="Times New Roman"/>
          <w:sz w:val="24"/>
          <w:szCs w:val="24"/>
        </w:rPr>
        <w:t xml:space="preserve"> </w:t>
      </w:r>
    </w:p>
    <w:p w:rsidRPr="007B01E0" w:rsidR="008A082A" w:rsidP="00435881" w:rsidRDefault="008A082A" w14:paraId="64CA9AC8" w14:textId="77777777">
      <w:pPr>
        <w:widowControl w:val="0"/>
        <w:numPr>
          <w:ilvl w:val="0"/>
          <w:numId w:val="10"/>
        </w:numPr>
        <w:tabs>
          <w:tab w:val="left" w:pos="-1440"/>
        </w:tabs>
        <w:autoSpaceDE w:val="0"/>
        <w:autoSpaceDN w:val="0"/>
        <w:adjustRightInd w:val="0"/>
        <w:jc w:val="both"/>
        <w:rPr>
          <w:rFonts w:ascii="Times New Roman" w:hAnsi="Times New Roman" w:cs="Times New Roman"/>
          <w:sz w:val="24"/>
          <w:szCs w:val="24"/>
        </w:rPr>
      </w:pPr>
      <w:r w:rsidRPr="005D65F5">
        <w:rPr>
          <w:rFonts w:ascii="Times New Roman" w:hAnsi="Times New Roman" w:cs="Times New Roman"/>
          <w:sz w:val="24"/>
          <w:szCs w:val="24"/>
        </w:rPr>
        <w:t>requiring respondents to submit more than an original and two copies of any document – “</w:t>
      </w:r>
      <w:r w:rsidRPr="005D65F5">
        <w:rPr>
          <w:rFonts w:ascii="Times New Roman" w:hAnsi="Times New Roman" w:cs="Times New Roman"/>
          <w:b/>
          <w:sz w:val="24"/>
          <w:szCs w:val="24"/>
        </w:rPr>
        <w:t>Not Applicable</w:t>
      </w:r>
      <w:proofErr w:type="gramStart"/>
      <w:r w:rsidRPr="001F220D">
        <w:rPr>
          <w:rFonts w:ascii="Times New Roman" w:hAnsi="Times New Roman" w:cs="Times New Roman"/>
          <w:sz w:val="24"/>
          <w:szCs w:val="24"/>
        </w:rPr>
        <w:t>”;</w:t>
      </w:r>
      <w:proofErr w:type="gramEnd"/>
      <w:r w:rsidRPr="001F220D">
        <w:rPr>
          <w:rFonts w:ascii="Times New Roman" w:hAnsi="Times New Roman" w:cs="Times New Roman"/>
          <w:sz w:val="24"/>
          <w:szCs w:val="24"/>
        </w:rPr>
        <w:t xml:space="preserve"> </w:t>
      </w:r>
    </w:p>
    <w:p w:rsidRPr="00C163EA" w:rsidR="008A082A" w:rsidP="00435881" w:rsidRDefault="008A082A" w14:paraId="4BA0D6DA" w14:textId="77777777">
      <w:pPr>
        <w:widowControl w:val="0"/>
        <w:numPr>
          <w:ilvl w:val="0"/>
          <w:numId w:val="10"/>
        </w:numPr>
        <w:tabs>
          <w:tab w:val="left" w:pos="-1440"/>
        </w:tabs>
        <w:autoSpaceDE w:val="0"/>
        <w:autoSpaceDN w:val="0"/>
        <w:adjustRightInd w:val="0"/>
        <w:jc w:val="both"/>
        <w:rPr>
          <w:rFonts w:ascii="Times New Roman" w:hAnsi="Times New Roman" w:cs="Times New Roman"/>
          <w:sz w:val="24"/>
          <w:szCs w:val="24"/>
        </w:rPr>
      </w:pPr>
      <w:r w:rsidRPr="00E55496">
        <w:rPr>
          <w:rFonts w:ascii="Times New Roman" w:hAnsi="Times New Roman" w:cs="Times New Roman"/>
          <w:sz w:val="24"/>
          <w:szCs w:val="24"/>
        </w:rPr>
        <w:t>requiring respondents to retain records</w:t>
      </w:r>
      <w:r w:rsidRPr="00AD679D">
        <w:rPr>
          <w:rFonts w:ascii="Times New Roman" w:hAnsi="Times New Roman" w:cs="Times New Roman"/>
          <w:sz w:val="24"/>
          <w:szCs w:val="24"/>
        </w:rPr>
        <w:t xml:space="preserve"> other than health, medical, government contract, grant-in-aid, or tax records for more than three years – “</w:t>
      </w:r>
      <w:r w:rsidRPr="007D020B">
        <w:rPr>
          <w:rFonts w:ascii="Times New Roman" w:hAnsi="Times New Roman" w:cs="Times New Roman"/>
          <w:b/>
          <w:sz w:val="24"/>
          <w:szCs w:val="24"/>
        </w:rPr>
        <w:t>Not Applicable</w:t>
      </w:r>
      <w:proofErr w:type="gramStart"/>
      <w:r w:rsidRPr="00C163EA">
        <w:rPr>
          <w:rFonts w:ascii="Times New Roman" w:hAnsi="Times New Roman" w:cs="Times New Roman"/>
          <w:sz w:val="24"/>
          <w:szCs w:val="24"/>
        </w:rPr>
        <w:t>”;</w:t>
      </w:r>
      <w:proofErr w:type="gramEnd"/>
      <w:r w:rsidRPr="00C163EA">
        <w:rPr>
          <w:rFonts w:ascii="Times New Roman" w:hAnsi="Times New Roman" w:cs="Times New Roman"/>
          <w:sz w:val="24"/>
          <w:szCs w:val="24"/>
        </w:rPr>
        <w:t xml:space="preserve"> </w:t>
      </w:r>
    </w:p>
    <w:p w:rsidRPr="003F63A6" w:rsidR="008A082A" w:rsidP="00435881" w:rsidRDefault="008A082A" w14:paraId="745F4E1F" w14:textId="77777777">
      <w:pPr>
        <w:widowControl w:val="0"/>
        <w:numPr>
          <w:ilvl w:val="0"/>
          <w:numId w:val="10"/>
        </w:numPr>
        <w:tabs>
          <w:tab w:val="left" w:pos="-1440"/>
        </w:tabs>
        <w:autoSpaceDE w:val="0"/>
        <w:autoSpaceDN w:val="0"/>
        <w:adjustRightInd w:val="0"/>
        <w:jc w:val="both"/>
        <w:rPr>
          <w:rFonts w:ascii="Times New Roman" w:hAnsi="Times New Roman" w:cs="Times New Roman"/>
          <w:sz w:val="24"/>
          <w:szCs w:val="24"/>
        </w:rPr>
      </w:pPr>
      <w:r w:rsidRPr="003F63A6">
        <w:rPr>
          <w:rFonts w:ascii="Times New Roman" w:hAnsi="Times New Roman" w:cs="Times New Roman"/>
          <w:sz w:val="24"/>
          <w:szCs w:val="24"/>
        </w:rPr>
        <w:t>in connection with a statistical survey, that is not designed to produce valid and reliable results than can be generalized to the universe of study – “</w:t>
      </w:r>
      <w:r w:rsidRPr="003F63A6">
        <w:rPr>
          <w:rFonts w:ascii="Times New Roman" w:hAnsi="Times New Roman" w:cs="Times New Roman"/>
          <w:b/>
          <w:sz w:val="24"/>
          <w:szCs w:val="24"/>
        </w:rPr>
        <w:t>Not Applicable</w:t>
      </w:r>
      <w:proofErr w:type="gramStart"/>
      <w:r w:rsidRPr="003F63A6">
        <w:rPr>
          <w:rFonts w:ascii="Times New Roman" w:hAnsi="Times New Roman" w:cs="Times New Roman"/>
          <w:sz w:val="24"/>
          <w:szCs w:val="24"/>
        </w:rPr>
        <w:t>”;</w:t>
      </w:r>
      <w:proofErr w:type="gramEnd"/>
      <w:r w:rsidRPr="003F63A6">
        <w:rPr>
          <w:rFonts w:ascii="Times New Roman" w:hAnsi="Times New Roman" w:cs="Times New Roman"/>
          <w:sz w:val="24"/>
          <w:szCs w:val="24"/>
        </w:rPr>
        <w:t xml:space="preserve"> </w:t>
      </w:r>
    </w:p>
    <w:p w:rsidRPr="003F63A6" w:rsidR="008A082A" w:rsidP="00435881" w:rsidRDefault="008A082A" w14:paraId="0744EECE" w14:textId="77777777">
      <w:pPr>
        <w:widowControl w:val="0"/>
        <w:numPr>
          <w:ilvl w:val="0"/>
          <w:numId w:val="10"/>
        </w:numPr>
        <w:tabs>
          <w:tab w:val="left" w:pos="-1440"/>
        </w:tabs>
        <w:autoSpaceDE w:val="0"/>
        <w:autoSpaceDN w:val="0"/>
        <w:adjustRightInd w:val="0"/>
        <w:jc w:val="both"/>
        <w:rPr>
          <w:rFonts w:ascii="Times New Roman" w:hAnsi="Times New Roman" w:cs="Times New Roman"/>
          <w:sz w:val="24"/>
          <w:szCs w:val="24"/>
        </w:rPr>
      </w:pPr>
      <w:r w:rsidRPr="003F63A6">
        <w:rPr>
          <w:rFonts w:ascii="Times New Roman" w:hAnsi="Times New Roman" w:cs="Times New Roman"/>
          <w:sz w:val="24"/>
          <w:szCs w:val="24"/>
        </w:rPr>
        <w:t>requiring the use of a statistical data classification that has not been reviewed and approved by OMB – “</w:t>
      </w:r>
      <w:r w:rsidRPr="003F63A6">
        <w:rPr>
          <w:rFonts w:ascii="Times New Roman" w:hAnsi="Times New Roman" w:cs="Times New Roman"/>
          <w:b/>
          <w:sz w:val="24"/>
          <w:szCs w:val="24"/>
        </w:rPr>
        <w:t>Not Applicable</w:t>
      </w:r>
      <w:proofErr w:type="gramStart"/>
      <w:r w:rsidRPr="003F63A6">
        <w:rPr>
          <w:rFonts w:ascii="Times New Roman" w:hAnsi="Times New Roman" w:cs="Times New Roman"/>
          <w:sz w:val="24"/>
          <w:szCs w:val="24"/>
        </w:rPr>
        <w:t>”;</w:t>
      </w:r>
      <w:proofErr w:type="gramEnd"/>
      <w:r w:rsidRPr="003F63A6">
        <w:rPr>
          <w:rFonts w:ascii="Times New Roman" w:hAnsi="Times New Roman" w:cs="Times New Roman"/>
          <w:sz w:val="24"/>
          <w:szCs w:val="24"/>
        </w:rPr>
        <w:t xml:space="preserve"> </w:t>
      </w:r>
    </w:p>
    <w:p w:rsidRPr="003F63A6" w:rsidR="008A082A" w:rsidP="00435881" w:rsidRDefault="008A082A" w14:paraId="7A8A0BE8" w14:textId="77777777">
      <w:pPr>
        <w:widowControl w:val="0"/>
        <w:numPr>
          <w:ilvl w:val="0"/>
          <w:numId w:val="10"/>
        </w:numPr>
        <w:tabs>
          <w:tab w:val="left" w:pos="-1440"/>
        </w:tabs>
        <w:autoSpaceDE w:val="0"/>
        <w:autoSpaceDN w:val="0"/>
        <w:adjustRightInd w:val="0"/>
        <w:jc w:val="both"/>
        <w:rPr>
          <w:rFonts w:ascii="Times New Roman" w:hAnsi="Times New Roman" w:cs="Times New Roman"/>
          <w:sz w:val="24"/>
          <w:szCs w:val="24"/>
        </w:rPr>
      </w:pPr>
      <w:r w:rsidRPr="003F63A6">
        <w:rPr>
          <w:rFonts w:ascii="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3F63A6">
        <w:rPr>
          <w:rFonts w:ascii="Times New Roman" w:hAnsi="Times New Roman" w:cs="Times New Roman"/>
          <w:b/>
          <w:sz w:val="24"/>
          <w:szCs w:val="24"/>
        </w:rPr>
        <w:t>Not Applicable</w:t>
      </w:r>
      <w:r w:rsidRPr="003F63A6">
        <w:rPr>
          <w:rFonts w:ascii="Times New Roman" w:hAnsi="Times New Roman" w:cs="Times New Roman"/>
          <w:sz w:val="24"/>
          <w:szCs w:val="24"/>
        </w:rPr>
        <w:t xml:space="preserve">”; or </w:t>
      </w:r>
    </w:p>
    <w:p w:rsidRPr="003F63A6" w:rsidR="008A082A" w:rsidP="00435881" w:rsidRDefault="008A082A" w14:paraId="1CF7B087" w14:textId="77777777">
      <w:pPr>
        <w:widowControl w:val="0"/>
        <w:numPr>
          <w:ilvl w:val="0"/>
          <w:numId w:val="10"/>
        </w:numPr>
        <w:tabs>
          <w:tab w:val="left" w:pos="-1440"/>
        </w:tabs>
        <w:autoSpaceDE w:val="0"/>
        <w:autoSpaceDN w:val="0"/>
        <w:adjustRightInd w:val="0"/>
        <w:jc w:val="both"/>
        <w:rPr>
          <w:rFonts w:ascii="Times New Roman" w:hAnsi="Times New Roman" w:cs="Times New Roman"/>
          <w:sz w:val="24"/>
          <w:szCs w:val="24"/>
        </w:rPr>
      </w:pPr>
      <w:r w:rsidRPr="003F63A6">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3F63A6">
        <w:rPr>
          <w:rFonts w:ascii="Times New Roman" w:hAnsi="Times New Roman" w:cs="Times New Roman"/>
          <w:b/>
          <w:sz w:val="24"/>
          <w:szCs w:val="24"/>
        </w:rPr>
        <w:t>Not Applicable</w:t>
      </w:r>
      <w:r w:rsidRPr="003F63A6">
        <w:rPr>
          <w:rFonts w:ascii="Times New Roman" w:hAnsi="Times New Roman" w:cs="Times New Roman"/>
          <w:sz w:val="24"/>
          <w:szCs w:val="24"/>
        </w:rPr>
        <w:t>”.</w:t>
      </w:r>
    </w:p>
    <w:p w:rsidRPr="00511484" w:rsidR="008A082A" w:rsidP="00435881" w:rsidRDefault="008A082A" w14:paraId="18B3F42E" w14:textId="77777777">
      <w:pPr>
        <w:keepNext/>
        <w:keepLines/>
        <w:tabs>
          <w:tab w:val="left" w:pos="0"/>
          <w:tab w:val="left" w:pos="720"/>
          <w:tab w:val="left" w:pos="840"/>
        </w:tabs>
        <w:overflowPunct w:val="0"/>
        <w:autoSpaceDE w:val="0"/>
        <w:autoSpaceDN w:val="0"/>
        <w:adjustRightInd w:val="0"/>
        <w:ind w:left="360"/>
        <w:jc w:val="both"/>
        <w:textAlignment w:val="baseline"/>
        <w:rPr>
          <w:rFonts w:ascii="Times New Roman" w:hAnsi="Times New Roman" w:eastAsia="Times New Roman" w:cs="Times New Roman"/>
          <w:sz w:val="24"/>
          <w:szCs w:val="24"/>
        </w:rPr>
      </w:pPr>
    </w:p>
    <w:p w:rsidRPr="008036E8" w:rsidR="008064C8" w:rsidP="00435881" w:rsidRDefault="008064C8" w14:paraId="646DB66E" w14:textId="77777777">
      <w:pPr>
        <w:tabs>
          <w:tab w:val="left" w:pos="360"/>
        </w:tabs>
        <w:ind w:left="360" w:hanging="360"/>
        <w:jc w:val="both"/>
        <w:rPr>
          <w:rFonts w:ascii="Times New Roman" w:hAnsi="Times New Roman" w:cs="Times New Roman"/>
          <w:b/>
          <w:sz w:val="24"/>
          <w:szCs w:val="24"/>
        </w:rPr>
      </w:pPr>
      <w:r w:rsidRPr="00A15383">
        <w:rPr>
          <w:rFonts w:ascii="Times New Roman" w:hAnsi="Times New Roman" w:cs="Times New Roman"/>
          <w:b/>
          <w:sz w:val="24"/>
          <w:szCs w:val="24"/>
        </w:rPr>
        <w:t>8.</w:t>
      </w:r>
      <w:r w:rsidRPr="00A15383">
        <w:rPr>
          <w:rFonts w:ascii="Times New Roman" w:hAnsi="Times New Roman" w:cs="Times New Roman"/>
          <w:b/>
          <w:sz w:val="24"/>
          <w:szCs w:val="24"/>
        </w:rPr>
        <w:tab/>
        <w:t xml:space="preserve">If applicable, provide a copy and identify the date and page number of </w:t>
      </w:r>
      <w:proofErr w:type="gramStart"/>
      <w:r w:rsidRPr="00A15383">
        <w:rPr>
          <w:rFonts w:ascii="Times New Roman" w:hAnsi="Times New Roman" w:cs="Times New Roman"/>
          <w:b/>
          <w:sz w:val="24"/>
          <w:szCs w:val="24"/>
        </w:rPr>
        <w:t>publication</w:t>
      </w:r>
      <w:proofErr w:type="gramEnd"/>
      <w:r w:rsidRPr="00A15383">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w:t>
      </w:r>
      <w:r w:rsidRPr="008036E8">
        <w:rPr>
          <w:rFonts w:ascii="Times New Roman" w:hAnsi="Times New Roman" w:cs="Times New Roman"/>
          <w:b/>
          <w:sz w:val="24"/>
          <w:szCs w:val="24"/>
        </w:rPr>
        <w:t xml:space="preserve">n. </w:t>
      </w:r>
    </w:p>
    <w:p w:rsidRPr="00511484" w:rsidR="008064C8" w:rsidP="00435881" w:rsidRDefault="008064C8" w14:paraId="5FFC9032" w14:textId="77777777">
      <w:pPr>
        <w:numPr>
          <w:ilvl w:val="0"/>
          <w:numId w:val="5"/>
        </w:numPr>
        <w:tabs>
          <w:tab w:val="left" w:pos="360"/>
        </w:tabs>
        <w:overflowPunct w:val="0"/>
        <w:autoSpaceDE w:val="0"/>
        <w:autoSpaceDN w:val="0"/>
        <w:adjustRightInd w:val="0"/>
        <w:ind w:left="720"/>
        <w:jc w:val="both"/>
        <w:rPr>
          <w:rFonts w:ascii="Times New Roman" w:hAnsi="Times New Roman" w:cs="Times New Roman"/>
          <w:b/>
          <w:sz w:val="24"/>
          <w:szCs w:val="24"/>
        </w:rPr>
      </w:pPr>
      <w:bookmarkStart w:name="_Hlk54251173" w:id="0"/>
      <w:r w:rsidRPr="008036E8">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w:t>
      </w:r>
      <w:r w:rsidRPr="008C4FA2">
        <w:rPr>
          <w:rFonts w:ascii="Times New Roman" w:hAnsi="Times New Roman" w:cs="Times New Roman"/>
          <w:b/>
          <w:sz w:val="24"/>
          <w:szCs w:val="24"/>
        </w:rPr>
        <w:t>ecorded, disclosed, or reported</w:t>
      </w:r>
      <w:bookmarkEnd w:id="0"/>
      <w:r w:rsidRPr="008C4FA2">
        <w:rPr>
          <w:rFonts w:ascii="Times New Roman" w:hAnsi="Times New Roman" w:cs="Times New Roman"/>
          <w:b/>
          <w:sz w:val="24"/>
          <w:szCs w:val="24"/>
        </w:rPr>
        <w:t>.</w:t>
      </w:r>
    </w:p>
    <w:p w:rsidRPr="00511484" w:rsidR="008064C8" w:rsidP="00435881" w:rsidRDefault="008064C8" w14:paraId="7734C020" w14:textId="77777777">
      <w:pPr>
        <w:keepLines/>
        <w:numPr>
          <w:ilvl w:val="0"/>
          <w:numId w:val="5"/>
        </w:numPr>
        <w:tabs>
          <w:tab w:val="left" w:pos="360"/>
        </w:tabs>
        <w:overflowPunct w:val="0"/>
        <w:autoSpaceDE w:val="0"/>
        <w:autoSpaceDN w:val="0"/>
        <w:adjustRightInd w:val="0"/>
        <w:spacing w:after="80"/>
        <w:ind w:left="696"/>
        <w:jc w:val="both"/>
        <w:rPr>
          <w:rFonts w:ascii="Times New Roman" w:hAnsi="Times New Roman" w:cs="Times New Roman"/>
          <w:b/>
          <w:sz w:val="24"/>
          <w:szCs w:val="24"/>
        </w:rPr>
      </w:pPr>
      <w:r w:rsidRPr="00511484">
        <w:rPr>
          <w:rFonts w:ascii="Times New Roman" w:hAnsi="Times New Roman" w:cs="Times New Roman"/>
          <w:b/>
          <w:sz w:val="24"/>
          <w:szCs w:val="24"/>
        </w:rPr>
        <w:lastRenderedPageBreak/>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3F63A6" w:rsidR="00A27542" w:rsidP="00435881" w:rsidRDefault="00A27542" w14:paraId="72D22394" w14:textId="058A8E67">
      <w:pPr>
        <w:autoSpaceDE w:val="0"/>
        <w:autoSpaceDN w:val="0"/>
        <w:adjustRightInd w:val="0"/>
        <w:ind w:left="696"/>
        <w:jc w:val="both"/>
        <w:rPr>
          <w:rFonts w:ascii="Times New Roman" w:hAnsi="Times New Roman" w:cs="Times New Roman"/>
          <w:sz w:val="24"/>
          <w:szCs w:val="24"/>
        </w:rPr>
      </w:pPr>
      <w:r w:rsidRPr="003F63A6">
        <w:rPr>
          <w:rFonts w:ascii="Times New Roman" w:hAnsi="Times New Roman" w:cs="Times New Roman"/>
          <w:sz w:val="24"/>
          <w:szCs w:val="24"/>
        </w:rPr>
        <w:t xml:space="preserve">Please see </w:t>
      </w:r>
      <w:r w:rsidRPr="00B60016">
        <w:rPr>
          <w:rFonts w:ascii="Times New Roman" w:hAnsi="Times New Roman" w:cs="Times New Roman"/>
          <w:sz w:val="24"/>
          <w:szCs w:val="24"/>
        </w:rPr>
        <w:t xml:space="preserve">Appendix </w:t>
      </w:r>
      <w:r w:rsidRPr="00B60016" w:rsidR="007B01E0">
        <w:rPr>
          <w:rFonts w:ascii="Times New Roman" w:hAnsi="Times New Roman" w:cs="Times New Roman"/>
          <w:sz w:val="24"/>
          <w:szCs w:val="24"/>
        </w:rPr>
        <w:t>B</w:t>
      </w:r>
      <w:r w:rsidRPr="00B60016">
        <w:rPr>
          <w:rFonts w:ascii="Times New Roman" w:hAnsi="Times New Roman" w:cs="Times New Roman"/>
          <w:sz w:val="24"/>
          <w:szCs w:val="24"/>
        </w:rPr>
        <w:t xml:space="preserve"> for a copy of the HUD’s notice in the Federal Register, </w:t>
      </w:r>
      <w:r w:rsidRPr="00836B7C">
        <w:rPr>
          <w:rFonts w:ascii="Times New Roman" w:hAnsi="Times New Roman" w:cs="Times New Roman"/>
          <w:sz w:val="24"/>
          <w:szCs w:val="24"/>
        </w:rPr>
        <w:t>required by 5 CFR 1320.8(d),</w:t>
      </w:r>
      <w:r w:rsidRPr="003F63A6">
        <w:rPr>
          <w:rFonts w:ascii="Times New Roman" w:hAnsi="Times New Roman" w:cs="Times New Roman"/>
          <w:sz w:val="24"/>
          <w:szCs w:val="24"/>
        </w:rPr>
        <w:t xml:space="preserve"> soliciting comments on the information collection prior to submission to OMB. </w:t>
      </w:r>
    </w:p>
    <w:p w:rsidRPr="003F63A6" w:rsidR="00A27542" w:rsidP="00435881" w:rsidRDefault="00A27542" w14:paraId="02ABD670" w14:textId="77777777">
      <w:pPr>
        <w:autoSpaceDE w:val="0"/>
        <w:autoSpaceDN w:val="0"/>
        <w:adjustRightInd w:val="0"/>
        <w:ind w:left="696"/>
        <w:jc w:val="both"/>
        <w:rPr>
          <w:rFonts w:ascii="Times New Roman" w:hAnsi="Times New Roman" w:cs="Times New Roman"/>
          <w:sz w:val="24"/>
          <w:szCs w:val="24"/>
        </w:rPr>
      </w:pPr>
    </w:p>
    <w:p w:rsidRPr="003F63A6" w:rsidR="00A27542" w:rsidP="00435881" w:rsidRDefault="00A27542" w14:paraId="154E28EF" w14:textId="743394C1">
      <w:pPr>
        <w:autoSpaceDE w:val="0"/>
        <w:autoSpaceDN w:val="0"/>
        <w:adjustRightInd w:val="0"/>
        <w:ind w:left="696"/>
        <w:jc w:val="both"/>
        <w:rPr>
          <w:rFonts w:ascii="Times New Roman" w:hAnsi="Times New Roman" w:cs="Times New Roman"/>
          <w:sz w:val="24"/>
          <w:szCs w:val="24"/>
        </w:rPr>
      </w:pPr>
      <w:r w:rsidRPr="00397FF1">
        <w:rPr>
          <w:rFonts w:ascii="Times New Roman" w:hAnsi="Times New Roman" w:cs="Times New Roman"/>
          <w:sz w:val="24"/>
          <w:szCs w:val="24"/>
        </w:rPr>
        <w:t>The notice appeared on page</w:t>
      </w:r>
      <w:r w:rsidRPr="00397FF1" w:rsidR="00FC3E5F">
        <w:rPr>
          <w:rFonts w:ascii="Times New Roman" w:hAnsi="Times New Roman" w:cs="Times New Roman"/>
          <w:sz w:val="24"/>
          <w:szCs w:val="24"/>
        </w:rPr>
        <w:t xml:space="preserve"> 16649</w:t>
      </w:r>
      <w:r w:rsidRPr="00397FF1">
        <w:rPr>
          <w:rFonts w:ascii="Times New Roman" w:hAnsi="Times New Roman" w:cs="Times New Roman"/>
          <w:sz w:val="24"/>
          <w:szCs w:val="24"/>
        </w:rPr>
        <w:t>, Vol.</w:t>
      </w:r>
      <w:r w:rsidRPr="00397FF1" w:rsidR="00FF4004">
        <w:rPr>
          <w:rFonts w:ascii="Times New Roman" w:hAnsi="Times New Roman" w:cs="Times New Roman"/>
          <w:sz w:val="24"/>
          <w:szCs w:val="24"/>
        </w:rPr>
        <w:t xml:space="preserve"> 85</w:t>
      </w:r>
      <w:r w:rsidRPr="00397FF1">
        <w:rPr>
          <w:rFonts w:ascii="Times New Roman" w:hAnsi="Times New Roman" w:cs="Times New Roman"/>
          <w:sz w:val="24"/>
          <w:szCs w:val="24"/>
        </w:rPr>
        <w:t>, No.</w:t>
      </w:r>
      <w:r w:rsidRPr="00397FF1" w:rsidR="00FF4004">
        <w:rPr>
          <w:rFonts w:ascii="Times New Roman" w:hAnsi="Times New Roman" w:cs="Times New Roman"/>
          <w:sz w:val="24"/>
          <w:szCs w:val="24"/>
        </w:rPr>
        <w:t xml:space="preserve"> 57</w:t>
      </w:r>
      <w:r w:rsidRPr="00397FF1">
        <w:rPr>
          <w:rFonts w:ascii="Times New Roman" w:hAnsi="Times New Roman" w:cs="Times New Roman"/>
          <w:sz w:val="24"/>
          <w:szCs w:val="24"/>
        </w:rPr>
        <w:t xml:space="preserve">, </w:t>
      </w:r>
      <w:r w:rsidRPr="00397FF1" w:rsidR="00FF4004">
        <w:rPr>
          <w:rFonts w:ascii="Times New Roman" w:hAnsi="Times New Roman" w:cs="Times New Roman"/>
          <w:sz w:val="24"/>
          <w:szCs w:val="24"/>
        </w:rPr>
        <w:t>Tuesday, March 24, 2020</w:t>
      </w:r>
      <w:r w:rsidRPr="00397FF1">
        <w:rPr>
          <w:rFonts w:ascii="Times New Roman" w:hAnsi="Times New Roman" w:cs="Times New Roman"/>
          <w:sz w:val="24"/>
          <w:szCs w:val="24"/>
        </w:rPr>
        <w:t>.</w:t>
      </w:r>
    </w:p>
    <w:p w:rsidRPr="00A15383" w:rsidR="008A082A" w:rsidP="00435881" w:rsidRDefault="008A082A" w14:paraId="79B811E3" w14:textId="77777777">
      <w:pPr>
        <w:jc w:val="both"/>
        <w:rPr>
          <w:rFonts w:ascii="Times New Roman" w:hAnsi="Times New Roman" w:cs="Times New Roman"/>
          <w:sz w:val="24"/>
          <w:szCs w:val="24"/>
        </w:rPr>
      </w:pPr>
    </w:p>
    <w:p w:rsidRPr="006E637B" w:rsidR="008A082A" w:rsidP="006E637B" w:rsidRDefault="006E637B" w14:paraId="25931E90" w14:textId="6707D54F">
      <w:pPr>
        <w:pStyle w:val="ListParagraph"/>
        <w:numPr>
          <w:ilvl w:val="0"/>
          <w:numId w:val="18"/>
        </w:numPr>
        <w:tabs>
          <w:tab w:val="left" w:pos="-1440"/>
        </w:tabs>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Pr="006E637B" w:rsidR="008A082A">
        <w:rPr>
          <w:rFonts w:ascii="Times New Roman" w:hAnsi="Times New Roman" w:cs="Times New Roman"/>
          <w:sz w:val="24"/>
          <w:szCs w:val="24"/>
          <w:u w:val="single"/>
        </w:rPr>
        <w:t>Consultations</w:t>
      </w:r>
    </w:p>
    <w:p w:rsidRPr="008036E8" w:rsidR="008A082A" w:rsidP="00435881" w:rsidRDefault="008A082A" w14:paraId="18083FC6" w14:textId="77777777">
      <w:pPr>
        <w:jc w:val="both"/>
        <w:rPr>
          <w:rFonts w:ascii="Times New Roman" w:hAnsi="Times New Roman" w:cs="Times New Roman"/>
          <w:sz w:val="24"/>
          <w:szCs w:val="24"/>
        </w:rPr>
      </w:pPr>
    </w:p>
    <w:p w:rsidR="00E7567B" w:rsidP="006E637B" w:rsidRDefault="004757B8" w14:paraId="76F82752" w14:textId="61C90EEC">
      <w:pPr>
        <w:spacing w:after="240"/>
        <w:ind w:left="720"/>
        <w:jc w:val="both"/>
        <w:rPr>
          <w:rFonts w:ascii="Times New Roman" w:hAnsi="Times New Roman" w:cs="Times New Roman"/>
          <w:sz w:val="24"/>
          <w:szCs w:val="24"/>
        </w:rPr>
      </w:pPr>
      <w:r w:rsidRPr="00D920EA">
        <w:rPr>
          <w:rFonts w:ascii="Times New Roman" w:hAnsi="Times New Roman" w:cs="Times New Roman"/>
          <w:sz w:val="24"/>
          <w:szCs w:val="24"/>
        </w:rPr>
        <w:t xml:space="preserve">The </w:t>
      </w:r>
      <w:r w:rsidR="009B3FF9">
        <w:rPr>
          <w:rFonts w:ascii="Times New Roman" w:hAnsi="Times New Roman" w:cs="Times New Roman"/>
          <w:sz w:val="24"/>
          <w:szCs w:val="24"/>
        </w:rPr>
        <w:t xml:space="preserve">survey instrument </w:t>
      </w:r>
      <w:r w:rsidRPr="00D920EA">
        <w:rPr>
          <w:rFonts w:ascii="Times New Roman" w:hAnsi="Times New Roman" w:cs="Times New Roman"/>
          <w:sz w:val="24"/>
          <w:szCs w:val="24"/>
        </w:rPr>
        <w:t>has been reviewed by HUD staff</w:t>
      </w:r>
      <w:r w:rsidR="00954E20">
        <w:rPr>
          <w:rFonts w:ascii="Times New Roman" w:hAnsi="Times New Roman" w:cs="Times New Roman"/>
          <w:sz w:val="24"/>
          <w:szCs w:val="24"/>
        </w:rPr>
        <w:t xml:space="preserve">. </w:t>
      </w:r>
      <w:r w:rsidR="0078283C">
        <w:rPr>
          <w:rFonts w:ascii="Times New Roman" w:hAnsi="Times New Roman" w:cs="Times New Roman"/>
          <w:sz w:val="24"/>
          <w:szCs w:val="24"/>
        </w:rPr>
        <w:t xml:space="preserve">HUD </w:t>
      </w:r>
      <w:r w:rsidR="008A7563">
        <w:rPr>
          <w:rFonts w:ascii="Times New Roman" w:hAnsi="Times New Roman" w:cs="Times New Roman"/>
          <w:sz w:val="24"/>
          <w:szCs w:val="24"/>
        </w:rPr>
        <w:t xml:space="preserve">also </w:t>
      </w:r>
      <w:r w:rsidR="0078283C">
        <w:rPr>
          <w:rFonts w:ascii="Times New Roman" w:hAnsi="Times New Roman" w:cs="Times New Roman"/>
          <w:sz w:val="24"/>
          <w:szCs w:val="24"/>
        </w:rPr>
        <w:t>requested and provided the research team with input from an external reviewer, J</w:t>
      </w:r>
      <w:r w:rsidR="00525F47">
        <w:rPr>
          <w:rFonts w:ascii="Times New Roman" w:hAnsi="Times New Roman" w:cs="Times New Roman"/>
          <w:sz w:val="24"/>
          <w:szCs w:val="24"/>
        </w:rPr>
        <w:t xml:space="preserve">effrey </w:t>
      </w:r>
      <w:proofErr w:type="spellStart"/>
      <w:r w:rsidR="00525F47">
        <w:rPr>
          <w:rFonts w:ascii="Times New Roman" w:hAnsi="Times New Roman" w:cs="Times New Roman"/>
          <w:sz w:val="24"/>
          <w:szCs w:val="24"/>
        </w:rPr>
        <w:t>Lubell</w:t>
      </w:r>
      <w:proofErr w:type="spellEnd"/>
      <w:r w:rsidR="00525F47">
        <w:rPr>
          <w:rFonts w:ascii="Times New Roman" w:hAnsi="Times New Roman" w:cs="Times New Roman"/>
          <w:sz w:val="24"/>
          <w:szCs w:val="24"/>
        </w:rPr>
        <w:t xml:space="preserve">, </w:t>
      </w:r>
      <w:r w:rsidR="008A7563">
        <w:rPr>
          <w:rFonts w:ascii="Times New Roman" w:hAnsi="Times New Roman" w:cs="Times New Roman"/>
          <w:sz w:val="24"/>
          <w:szCs w:val="24"/>
        </w:rPr>
        <w:t xml:space="preserve">at </w:t>
      </w:r>
      <w:proofErr w:type="spellStart"/>
      <w:r w:rsidR="00525F47">
        <w:rPr>
          <w:rFonts w:ascii="Times New Roman" w:hAnsi="Times New Roman" w:cs="Times New Roman"/>
          <w:sz w:val="24"/>
          <w:szCs w:val="24"/>
        </w:rPr>
        <w:t>Abt</w:t>
      </w:r>
      <w:proofErr w:type="spellEnd"/>
      <w:r w:rsidR="00525F47">
        <w:rPr>
          <w:rFonts w:ascii="Times New Roman" w:hAnsi="Times New Roman" w:cs="Times New Roman"/>
          <w:sz w:val="24"/>
          <w:szCs w:val="24"/>
        </w:rPr>
        <w:t xml:space="preserve"> Associates.</w:t>
      </w:r>
    </w:p>
    <w:p w:rsidRPr="00D81267" w:rsidR="00D81267" w:rsidP="00435881" w:rsidRDefault="008064C8" w14:paraId="17897FA8" w14:textId="39465BEE">
      <w:pPr>
        <w:keepLines/>
        <w:numPr>
          <w:ilvl w:val="0"/>
          <w:numId w:val="6"/>
        </w:numPr>
        <w:tabs>
          <w:tab w:val="left" w:pos="360"/>
        </w:tabs>
        <w:overflowPunct w:val="0"/>
        <w:autoSpaceDE w:val="0"/>
        <w:autoSpaceDN w:val="0"/>
        <w:adjustRightInd w:val="0"/>
        <w:spacing w:after="240"/>
        <w:jc w:val="both"/>
        <w:rPr>
          <w:rFonts w:ascii="Times New Roman" w:hAnsi="Times New Roman" w:cs="Times New Roman"/>
          <w:sz w:val="24"/>
          <w:szCs w:val="24"/>
        </w:rPr>
      </w:pPr>
      <w:r w:rsidRPr="00D81267">
        <w:rPr>
          <w:rFonts w:ascii="Times New Roman" w:hAnsi="Times New Roman" w:cs="Times New Roman"/>
          <w:b/>
          <w:sz w:val="24"/>
          <w:szCs w:val="24"/>
        </w:rPr>
        <w:t xml:space="preserve">Explain any decision to provide any payment or gift to respondents, other than </w:t>
      </w:r>
      <w:r w:rsidRPr="00D81267" w:rsidR="003D7916">
        <w:rPr>
          <w:rFonts w:ascii="Times New Roman" w:hAnsi="Times New Roman" w:cs="Times New Roman"/>
          <w:b/>
          <w:sz w:val="24"/>
          <w:szCs w:val="24"/>
        </w:rPr>
        <w:t>renumeration</w:t>
      </w:r>
      <w:r w:rsidRPr="00D81267">
        <w:rPr>
          <w:rFonts w:ascii="Times New Roman" w:hAnsi="Times New Roman" w:cs="Times New Roman"/>
          <w:b/>
          <w:sz w:val="24"/>
          <w:szCs w:val="24"/>
        </w:rPr>
        <w:t xml:space="preserve"> of contractors or grantees.</w:t>
      </w:r>
    </w:p>
    <w:p w:rsidRPr="00D81267" w:rsidR="00EE7336" w:rsidP="00435881" w:rsidRDefault="00EE7336" w14:paraId="7B53F964" w14:textId="53BABEAA">
      <w:pPr>
        <w:keepLines/>
        <w:tabs>
          <w:tab w:val="left" w:pos="360"/>
        </w:tabs>
        <w:overflowPunct w:val="0"/>
        <w:autoSpaceDE w:val="0"/>
        <w:autoSpaceDN w:val="0"/>
        <w:adjustRightInd w:val="0"/>
        <w:spacing w:after="240"/>
        <w:ind w:left="360"/>
        <w:jc w:val="both"/>
        <w:rPr>
          <w:rFonts w:ascii="Times New Roman" w:hAnsi="Times New Roman" w:cs="Times New Roman"/>
          <w:sz w:val="24"/>
          <w:szCs w:val="24"/>
        </w:rPr>
      </w:pPr>
      <w:r w:rsidRPr="00D81267">
        <w:rPr>
          <w:rFonts w:ascii="Times New Roman" w:hAnsi="Times New Roman" w:cs="Times New Roman"/>
          <w:sz w:val="24"/>
          <w:szCs w:val="24"/>
        </w:rPr>
        <w:t>MDAC will offer an incentive of $</w:t>
      </w:r>
      <w:r w:rsidRPr="00D81267" w:rsidR="00E07C4B">
        <w:rPr>
          <w:rFonts w:ascii="Times New Roman" w:hAnsi="Times New Roman" w:cs="Times New Roman"/>
          <w:sz w:val="24"/>
          <w:szCs w:val="24"/>
        </w:rPr>
        <w:t>30</w:t>
      </w:r>
      <w:r w:rsidRPr="00D81267">
        <w:rPr>
          <w:rFonts w:ascii="Times New Roman" w:hAnsi="Times New Roman" w:cs="Times New Roman"/>
          <w:sz w:val="24"/>
          <w:szCs w:val="24"/>
        </w:rPr>
        <w:t xml:space="preserve"> to respondents who complete the long-term follow-up survey</w:t>
      </w:r>
      <w:r w:rsidR="000A146E">
        <w:rPr>
          <w:rFonts w:ascii="Times New Roman" w:hAnsi="Times New Roman" w:cs="Times New Roman"/>
          <w:sz w:val="24"/>
          <w:szCs w:val="24"/>
        </w:rPr>
        <w:t xml:space="preserve"> a</w:t>
      </w:r>
      <w:r w:rsidRPr="00D81267" w:rsidR="000A146E">
        <w:rPr>
          <w:rFonts w:ascii="Times New Roman" w:hAnsi="Times New Roman" w:cs="Times New Roman"/>
          <w:sz w:val="24"/>
          <w:szCs w:val="24"/>
        </w:rPr>
        <w:t>s a token of appreciation</w:t>
      </w:r>
      <w:r w:rsidR="000A146E">
        <w:rPr>
          <w:rFonts w:ascii="Times New Roman" w:hAnsi="Times New Roman" w:cs="Times New Roman"/>
          <w:sz w:val="24"/>
          <w:szCs w:val="24"/>
        </w:rPr>
        <w:t xml:space="preserve"> for donating their time</w:t>
      </w:r>
      <w:r w:rsidRPr="00D81267">
        <w:rPr>
          <w:rFonts w:ascii="Times New Roman" w:hAnsi="Times New Roman" w:cs="Times New Roman"/>
          <w:sz w:val="24"/>
          <w:szCs w:val="24"/>
        </w:rPr>
        <w:t xml:space="preserve">. </w:t>
      </w:r>
      <w:bookmarkStart w:name="_Hlk37337723" w:id="1"/>
      <w:r w:rsidRPr="00D81267" w:rsidR="00737CC2">
        <w:rPr>
          <w:rFonts w:ascii="Times New Roman" w:hAnsi="Times New Roman" w:cs="Times New Roman"/>
          <w:sz w:val="24"/>
          <w:szCs w:val="24"/>
        </w:rPr>
        <w:t>To enhance the response rate, we will offer an increased incentive of $50 at the tail end</w:t>
      </w:r>
      <w:r w:rsidRPr="00D81267" w:rsidR="008D2778">
        <w:rPr>
          <w:rFonts w:ascii="Times New Roman" w:hAnsi="Times New Roman" w:cs="Times New Roman"/>
          <w:sz w:val="24"/>
          <w:szCs w:val="24"/>
        </w:rPr>
        <w:t xml:space="preserve"> </w:t>
      </w:r>
      <w:r w:rsidRPr="00D81267">
        <w:rPr>
          <w:rFonts w:ascii="Times New Roman" w:hAnsi="Times New Roman" w:cs="Times New Roman"/>
          <w:sz w:val="24"/>
          <w:szCs w:val="24"/>
        </w:rPr>
        <w:t>of the data collection window for any outstanding non</w:t>
      </w:r>
      <w:r w:rsidRPr="00D81267" w:rsidR="00F01913">
        <w:rPr>
          <w:rFonts w:ascii="Times New Roman" w:hAnsi="Times New Roman" w:cs="Times New Roman"/>
          <w:sz w:val="24"/>
          <w:szCs w:val="24"/>
        </w:rPr>
        <w:t>-</w:t>
      </w:r>
      <w:r w:rsidRPr="00D81267">
        <w:rPr>
          <w:rFonts w:ascii="Times New Roman" w:hAnsi="Times New Roman" w:cs="Times New Roman"/>
          <w:sz w:val="24"/>
          <w:szCs w:val="24"/>
        </w:rPr>
        <w:t>respondents.</w:t>
      </w:r>
      <w:bookmarkEnd w:id="1"/>
    </w:p>
    <w:p w:rsidRPr="003F63A6" w:rsidR="00EE7336" w:rsidP="00435881" w:rsidRDefault="00EE7336" w14:paraId="5F935DAC" w14:textId="77777777">
      <w:pPr>
        <w:spacing w:after="240"/>
        <w:ind w:left="360"/>
        <w:jc w:val="both"/>
        <w:rPr>
          <w:rFonts w:ascii="Times New Roman" w:hAnsi="Times New Roman" w:cs="Times New Roman"/>
          <w:sz w:val="24"/>
          <w:szCs w:val="24"/>
        </w:rPr>
      </w:pPr>
      <w:r w:rsidRPr="003F63A6">
        <w:rPr>
          <w:rFonts w:ascii="Times New Roman" w:hAnsi="Times New Roman" w:cs="Times New Roman"/>
          <w:sz w:val="24"/>
          <w:szCs w:val="24"/>
        </w:rPr>
        <w:t xml:space="preserve">The respondent payments and justification for each proposed instrument are outlined below. During this stage of the evaluation one type of payment to respondents is planned: payment will be distributed upon survey completion. Justification for this </w:t>
      </w:r>
      <w:r w:rsidRPr="003F63A6" w:rsidDel="00362C12">
        <w:rPr>
          <w:rFonts w:ascii="Times New Roman" w:hAnsi="Times New Roman" w:cs="Times New Roman"/>
          <w:sz w:val="24"/>
          <w:szCs w:val="24"/>
        </w:rPr>
        <w:t xml:space="preserve">payment is provided </w:t>
      </w:r>
      <w:r w:rsidRPr="003F63A6">
        <w:rPr>
          <w:rFonts w:ascii="Times New Roman" w:hAnsi="Times New Roman" w:cs="Times New Roman"/>
          <w:sz w:val="24"/>
          <w:szCs w:val="24"/>
        </w:rPr>
        <w:t xml:space="preserve">below. </w:t>
      </w:r>
    </w:p>
    <w:p w:rsidRPr="003F63A6" w:rsidR="00EE7336" w:rsidP="00435881" w:rsidRDefault="00EE7336" w14:paraId="337D8280" w14:textId="6DD32544">
      <w:pPr>
        <w:spacing w:after="240"/>
        <w:ind w:left="360"/>
        <w:jc w:val="both"/>
        <w:rPr>
          <w:rFonts w:ascii="Times New Roman" w:hAnsi="Times New Roman" w:cs="Times New Roman"/>
          <w:sz w:val="24"/>
          <w:szCs w:val="24"/>
        </w:rPr>
      </w:pPr>
      <w:r w:rsidRPr="003F63A6">
        <w:rPr>
          <w:rFonts w:ascii="Times New Roman" w:hAnsi="Times New Roman" w:cs="Times New Roman"/>
          <w:i/>
          <w:sz w:val="24"/>
          <w:szCs w:val="24"/>
          <w:u w:val="single"/>
        </w:rPr>
        <w:t>Payment upon completion of the survey</w:t>
      </w:r>
      <w:r w:rsidRPr="003F63A6">
        <w:rPr>
          <w:rFonts w:ascii="Times New Roman" w:hAnsi="Times New Roman" w:cs="Times New Roman"/>
          <w:sz w:val="24"/>
          <w:szCs w:val="24"/>
          <w:u w:val="single"/>
        </w:rPr>
        <w:t xml:space="preserve">. </w:t>
      </w:r>
      <w:r w:rsidRPr="003F63A6">
        <w:rPr>
          <w:rFonts w:ascii="Times New Roman" w:hAnsi="Times New Roman" w:cs="Times New Roman"/>
          <w:sz w:val="24"/>
          <w:szCs w:val="24"/>
        </w:rPr>
        <w:t xml:space="preserve">Payment upon survey completion is intended as a token of appreciation. As documented in the literature, this token of appreciation is likely to improve response rates by decreasing the number of refusals, enhancing respondent retention, and providing a gesture of goodwill to acknowledge respondent burdens. This technique is proposed in addition to many of the techniques suggested by OMB to improve response rates </w:t>
      </w:r>
      <w:r w:rsidRPr="00397FF1">
        <w:rPr>
          <w:rFonts w:ascii="Times New Roman" w:hAnsi="Times New Roman" w:cs="Times New Roman"/>
          <w:sz w:val="24"/>
          <w:szCs w:val="24"/>
        </w:rPr>
        <w:t xml:space="preserve">that have been incorporated into our data collection effort and are described in </w:t>
      </w:r>
      <w:r w:rsidRPr="003A629D">
        <w:rPr>
          <w:rFonts w:ascii="Times New Roman" w:hAnsi="Times New Roman" w:cs="Times New Roman"/>
          <w:sz w:val="24"/>
          <w:szCs w:val="24"/>
        </w:rPr>
        <w:t xml:space="preserve">Section </w:t>
      </w:r>
      <w:r w:rsidRPr="003A629D" w:rsidR="00F66D25">
        <w:rPr>
          <w:rFonts w:ascii="Times New Roman" w:hAnsi="Times New Roman" w:cs="Times New Roman"/>
          <w:sz w:val="24"/>
          <w:szCs w:val="24"/>
        </w:rPr>
        <w:t>B</w:t>
      </w:r>
      <w:r w:rsidRPr="003A629D">
        <w:rPr>
          <w:rFonts w:ascii="Times New Roman" w:hAnsi="Times New Roman" w:cs="Times New Roman"/>
          <w:sz w:val="24"/>
          <w:szCs w:val="24"/>
        </w:rPr>
        <w:t>3 (see Supporting Statement B), because our experience has shown that small</w:t>
      </w:r>
      <w:r w:rsidRPr="003F63A6">
        <w:rPr>
          <w:rFonts w:ascii="Times New Roman" w:hAnsi="Times New Roman" w:cs="Times New Roman"/>
          <w:sz w:val="24"/>
          <w:szCs w:val="24"/>
        </w:rPr>
        <w:t xml:space="preserve"> monetary amounts are useful when fielding data collection instruments with low-income and/or hard-to-reach populations as part of a complex study design. In a seminal meta-analysis, Singer, et al. (1999) found that incentives in face-to-face and telephone surveys were effective at increasing response rates, with a one dollar increase in incentive resulting in approximately a one-third of a percentage point increase in response rate, on average. They found some evidence that incentives were useful in boosting response rates among underrepresented demographic </w:t>
      </w:r>
      <w:r w:rsidRPr="003F63A6">
        <w:rPr>
          <w:rFonts w:ascii="Times New Roman" w:hAnsi="Times New Roman" w:cs="Times New Roman"/>
          <w:sz w:val="24"/>
          <w:szCs w:val="24"/>
        </w:rPr>
        <w:lastRenderedPageBreak/>
        <w:t>groups, such as low-income and non-white individuals.</w:t>
      </w:r>
      <w:r w:rsidRPr="003F63A6">
        <w:rPr>
          <w:rStyle w:val="FootnoteReference"/>
          <w:rFonts w:ascii="Times New Roman" w:hAnsi="Times New Roman" w:eastAsia="Courier New" w:cs="Times New Roman"/>
          <w:sz w:val="24"/>
          <w:szCs w:val="24"/>
        </w:rPr>
        <w:footnoteReference w:id="3"/>
      </w:r>
      <w:r w:rsidRPr="003F63A6">
        <w:rPr>
          <w:rFonts w:ascii="Times New Roman" w:hAnsi="Times New Roman" w:cs="Times New Roman"/>
          <w:sz w:val="24"/>
          <w:szCs w:val="24"/>
        </w:rPr>
        <w:t xml:space="preserve"> This is a significant consideration for this study. Another important consideration is the burden posed by this data collection, which will take on average </w:t>
      </w:r>
      <w:r w:rsidRPr="003F63A6" w:rsidR="003B6B37">
        <w:rPr>
          <w:rFonts w:ascii="Times New Roman" w:hAnsi="Times New Roman" w:cs="Times New Roman"/>
          <w:sz w:val="24"/>
          <w:szCs w:val="24"/>
        </w:rPr>
        <w:t>1</w:t>
      </w:r>
      <w:r w:rsidRPr="003F63A6" w:rsidR="00E60B54">
        <w:rPr>
          <w:rFonts w:ascii="Times New Roman" w:hAnsi="Times New Roman" w:cs="Times New Roman"/>
          <w:sz w:val="24"/>
          <w:szCs w:val="24"/>
        </w:rPr>
        <w:t>8</w:t>
      </w:r>
      <w:r w:rsidRPr="003F63A6" w:rsidR="003B6B37">
        <w:rPr>
          <w:rFonts w:ascii="Times New Roman" w:hAnsi="Times New Roman" w:cs="Times New Roman"/>
          <w:sz w:val="24"/>
          <w:szCs w:val="24"/>
        </w:rPr>
        <w:t>-20</w:t>
      </w:r>
      <w:r w:rsidRPr="003F63A6">
        <w:rPr>
          <w:rFonts w:ascii="Times New Roman" w:hAnsi="Times New Roman" w:cs="Times New Roman"/>
          <w:sz w:val="24"/>
          <w:szCs w:val="24"/>
        </w:rPr>
        <w:t xml:space="preserve"> minutes of the participant’s time for the follow-up survey.  </w:t>
      </w:r>
    </w:p>
    <w:p w:rsidRPr="00511484" w:rsidR="00EE7336" w:rsidP="00435881" w:rsidRDefault="00EE7336" w14:paraId="4A66814E" w14:textId="07DB209A">
      <w:pPr>
        <w:pStyle w:val="BodyText"/>
        <w:ind w:left="360"/>
        <w:jc w:val="both"/>
        <w:rPr>
          <w:rFonts w:ascii="Times New Roman" w:hAnsi="Times New Roman"/>
          <w:sz w:val="24"/>
          <w:szCs w:val="24"/>
        </w:rPr>
      </w:pPr>
      <w:r w:rsidRPr="00511484">
        <w:rPr>
          <w:rFonts w:ascii="Times New Roman" w:hAnsi="Times New Roman"/>
          <w:sz w:val="24"/>
          <w:szCs w:val="24"/>
        </w:rPr>
        <w:t xml:space="preserve">The </w:t>
      </w:r>
      <w:r w:rsidRPr="00A15383">
        <w:rPr>
          <w:rFonts w:ascii="Times New Roman" w:hAnsi="Times New Roman"/>
          <w:sz w:val="24"/>
          <w:szCs w:val="24"/>
        </w:rPr>
        <w:t xml:space="preserve">survey instrument that will be used to collect follow-up data from sample members has unique aspects that make administration difficult and potentially </w:t>
      </w:r>
      <w:r w:rsidRPr="008036E8">
        <w:rPr>
          <w:rFonts w:ascii="Times New Roman" w:hAnsi="Times New Roman"/>
          <w:sz w:val="24"/>
          <w:szCs w:val="24"/>
        </w:rPr>
        <w:t>threaten response rates. We are therefore requesting approval to offer a small monetary amount</w:t>
      </w:r>
      <w:r w:rsidRPr="00241998">
        <w:rPr>
          <w:rFonts w:ascii="Times New Roman" w:hAnsi="Times New Roman"/>
          <w:sz w:val="24"/>
          <w:szCs w:val="24"/>
        </w:rPr>
        <w:t xml:space="preserve"> ($30) </w:t>
      </w:r>
      <w:r w:rsidRPr="002449F3">
        <w:rPr>
          <w:rFonts w:ascii="Times New Roman" w:hAnsi="Times New Roman"/>
          <w:sz w:val="24"/>
          <w:szCs w:val="24"/>
        </w:rPr>
        <w:t>to all sam</w:t>
      </w:r>
      <w:r w:rsidRPr="005A7273">
        <w:rPr>
          <w:rFonts w:ascii="Times New Roman" w:hAnsi="Times New Roman"/>
          <w:sz w:val="24"/>
          <w:szCs w:val="24"/>
        </w:rPr>
        <w:t xml:space="preserve">ple members who complete </w:t>
      </w:r>
      <w:r w:rsidRPr="008C4FA2">
        <w:rPr>
          <w:rFonts w:ascii="Times New Roman" w:hAnsi="Times New Roman"/>
          <w:sz w:val="24"/>
          <w:szCs w:val="24"/>
        </w:rPr>
        <w:t xml:space="preserve">the </w:t>
      </w:r>
      <w:r w:rsidRPr="00511484">
        <w:rPr>
          <w:rFonts w:ascii="Times New Roman" w:hAnsi="Times New Roman"/>
          <w:sz w:val="24"/>
          <w:szCs w:val="24"/>
        </w:rPr>
        <w:t>survey. Aspects of the data collection effort that also make it more difficult for surveys of low-income households to obtain high completion rates are:</w:t>
      </w:r>
    </w:p>
    <w:p w:rsidRPr="00511484" w:rsidR="00EE7336" w:rsidP="00435881" w:rsidRDefault="00EE7336" w14:paraId="597B666D" w14:textId="77777777">
      <w:pPr>
        <w:pStyle w:val="BodyText"/>
        <w:ind w:left="360" w:firstLine="432"/>
        <w:jc w:val="both"/>
        <w:rPr>
          <w:rFonts w:ascii="Times New Roman" w:hAnsi="Times New Roman"/>
          <w:sz w:val="24"/>
          <w:szCs w:val="24"/>
        </w:rPr>
      </w:pPr>
    </w:p>
    <w:p w:rsidRPr="00B54A01" w:rsidR="00EE7336" w:rsidP="00435881" w:rsidRDefault="00EE7336" w14:paraId="6E153C4F" w14:textId="77777777">
      <w:pPr>
        <w:pStyle w:val="BodyText"/>
        <w:widowControl w:val="0"/>
        <w:numPr>
          <w:ilvl w:val="0"/>
          <w:numId w:val="12"/>
        </w:numPr>
        <w:overflowPunct w:val="0"/>
        <w:autoSpaceDE w:val="0"/>
        <w:autoSpaceDN w:val="0"/>
        <w:adjustRightInd w:val="0"/>
        <w:ind w:left="1080"/>
        <w:jc w:val="both"/>
        <w:textAlignment w:val="baseline"/>
        <w:rPr>
          <w:rFonts w:ascii="Times New Roman" w:hAnsi="Times New Roman"/>
          <w:sz w:val="24"/>
          <w:szCs w:val="24"/>
        </w:rPr>
      </w:pPr>
      <w:r w:rsidRPr="003A629D">
        <w:rPr>
          <w:rFonts w:ascii="Times New Roman" w:hAnsi="Times New Roman"/>
          <w:sz w:val="24"/>
          <w:szCs w:val="24"/>
        </w:rPr>
        <w:t xml:space="preserve">The surveys include questions that could be perceived as intrusive and therefore could make respondents uncomfortable (i.e., questions about their finances, which are topics discussed with FSS case managers).  </w:t>
      </w:r>
    </w:p>
    <w:p w:rsidRPr="003A629D" w:rsidR="00EE7336" w:rsidP="00435881" w:rsidRDefault="00EE7336" w14:paraId="3FB7A54D" w14:textId="0078BD4F">
      <w:pPr>
        <w:pStyle w:val="BodyText"/>
        <w:widowControl w:val="0"/>
        <w:numPr>
          <w:ilvl w:val="0"/>
          <w:numId w:val="12"/>
        </w:numPr>
        <w:tabs>
          <w:tab w:val="left" w:pos="720"/>
        </w:tabs>
        <w:overflowPunct w:val="0"/>
        <w:autoSpaceDE w:val="0"/>
        <w:autoSpaceDN w:val="0"/>
        <w:adjustRightInd w:val="0"/>
        <w:ind w:left="1080"/>
        <w:jc w:val="both"/>
        <w:textAlignment w:val="baseline"/>
        <w:rPr>
          <w:rFonts w:ascii="Times New Roman" w:hAnsi="Times New Roman"/>
          <w:sz w:val="24"/>
          <w:szCs w:val="24"/>
        </w:rPr>
      </w:pPr>
      <w:r w:rsidRPr="003A629D">
        <w:rPr>
          <w:rFonts w:ascii="Times New Roman" w:hAnsi="Times New Roman"/>
          <w:sz w:val="24"/>
          <w:szCs w:val="24"/>
        </w:rPr>
        <w:t xml:space="preserve">Participants may have negative feelings about </w:t>
      </w:r>
      <w:r w:rsidRPr="003A629D" w:rsidR="004315DA">
        <w:rPr>
          <w:rFonts w:ascii="Times New Roman" w:hAnsi="Times New Roman"/>
          <w:sz w:val="24"/>
          <w:szCs w:val="24"/>
        </w:rPr>
        <w:t xml:space="preserve">program services, which are of </w:t>
      </w:r>
      <w:r w:rsidRPr="003A629D">
        <w:rPr>
          <w:rFonts w:ascii="Times New Roman" w:hAnsi="Times New Roman"/>
          <w:sz w:val="24"/>
          <w:szCs w:val="24"/>
        </w:rPr>
        <w:t>interest, such as</w:t>
      </w:r>
      <w:r w:rsidRPr="003A629D" w:rsidR="009B5ED1">
        <w:rPr>
          <w:rFonts w:ascii="Times New Roman" w:hAnsi="Times New Roman"/>
          <w:sz w:val="24"/>
          <w:szCs w:val="24"/>
        </w:rPr>
        <w:t xml:space="preserve"> case management services, </w:t>
      </w:r>
      <w:r w:rsidRPr="003A629D">
        <w:rPr>
          <w:rFonts w:ascii="Times New Roman" w:hAnsi="Times New Roman"/>
          <w:sz w:val="24"/>
          <w:szCs w:val="24"/>
        </w:rPr>
        <w:t>job training, etc.</w:t>
      </w:r>
    </w:p>
    <w:p w:rsidRPr="00B54A01" w:rsidR="00EE7336" w:rsidP="00435881" w:rsidRDefault="003E4026" w14:paraId="034D4588" w14:textId="50A830DA">
      <w:pPr>
        <w:pStyle w:val="BodyText"/>
        <w:widowControl w:val="0"/>
        <w:numPr>
          <w:ilvl w:val="0"/>
          <w:numId w:val="12"/>
        </w:numPr>
        <w:tabs>
          <w:tab w:val="left" w:pos="720"/>
        </w:tabs>
        <w:overflowPunct w:val="0"/>
        <w:autoSpaceDE w:val="0"/>
        <w:autoSpaceDN w:val="0"/>
        <w:adjustRightInd w:val="0"/>
        <w:spacing w:after="240"/>
        <w:ind w:left="1080"/>
        <w:jc w:val="both"/>
        <w:textAlignment w:val="baseline"/>
        <w:rPr>
          <w:rFonts w:ascii="Times New Roman" w:hAnsi="Times New Roman"/>
          <w:sz w:val="24"/>
          <w:szCs w:val="24"/>
        </w:rPr>
      </w:pPr>
      <w:r w:rsidRPr="003A629D">
        <w:rPr>
          <w:rFonts w:ascii="Times New Roman" w:hAnsi="Times New Roman"/>
          <w:sz w:val="24"/>
          <w:szCs w:val="24"/>
        </w:rPr>
        <w:t>Response rates can be lower for e</w:t>
      </w:r>
      <w:r w:rsidRPr="003A629D" w:rsidR="00EE7336">
        <w:rPr>
          <w:rFonts w:ascii="Times New Roman" w:hAnsi="Times New Roman"/>
          <w:sz w:val="24"/>
          <w:szCs w:val="24"/>
        </w:rPr>
        <w:t xml:space="preserve">ducationally and </w:t>
      </w:r>
      <w:proofErr w:type="gramStart"/>
      <w:r w:rsidRPr="003A629D" w:rsidR="00EE7336">
        <w:rPr>
          <w:rFonts w:ascii="Times New Roman" w:hAnsi="Times New Roman"/>
          <w:sz w:val="24"/>
          <w:szCs w:val="24"/>
        </w:rPr>
        <w:t>economically disadvantaged</w:t>
      </w:r>
      <w:proofErr w:type="gramEnd"/>
      <w:r w:rsidRPr="003A629D" w:rsidR="00EE7336">
        <w:rPr>
          <w:rFonts w:ascii="Times New Roman" w:hAnsi="Times New Roman"/>
          <w:sz w:val="24"/>
          <w:szCs w:val="24"/>
        </w:rPr>
        <w:t xml:space="preserve"> groups</w:t>
      </w:r>
      <w:r w:rsidRPr="00B54A01">
        <w:rPr>
          <w:rFonts w:ascii="Times New Roman" w:hAnsi="Times New Roman"/>
          <w:sz w:val="24"/>
          <w:szCs w:val="24"/>
        </w:rPr>
        <w:t xml:space="preserve">, who may be more </w:t>
      </w:r>
      <w:r w:rsidRPr="00B54A01" w:rsidR="00EE7336">
        <w:rPr>
          <w:rFonts w:ascii="Times New Roman" w:hAnsi="Times New Roman"/>
          <w:sz w:val="24"/>
          <w:szCs w:val="24"/>
        </w:rPr>
        <w:t>difficult than the general population to convince to participate in surveys.</w:t>
      </w:r>
    </w:p>
    <w:p w:rsidRPr="00511484" w:rsidR="00EE7336" w:rsidP="00435881" w:rsidRDefault="00EE7336" w14:paraId="46711B9E" w14:textId="7D48F30E">
      <w:pPr>
        <w:pStyle w:val="BodyText"/>
        <w:ind w:left="360"/>
        <w:jc w:val="both"/>
        <w:rPr>
          <w:rFonts w:ascii="Times New Roman" w:hAnsi="Times New Roman"/>
          <w:sz w:val="24"/>
          <w:szCs w:val="24"/>
        </w:rPr>
      </w:pPr>
      <w:r w:rsidRPr="00511484">
        <w:rPr>
          <w:rFonts w:ascii="Times New Roman" w:hAnsi="Times New Roman"/>
          <w:sz w:val="24"/>
          <w:szCs w:val="24"/>
        </w:rPr>
        <w:t xml:space="preserve">We are aiming to </w:t>
      </w:r>
      <w:r w:rsidRPr="00305AFB">
        <w:rPr>
          <w:rFonts w:ascii="Times New Roman" w:hAnsi="Times New Roman"/>
          <w:sz w:val="24"/>
          <w:szCs w:val="24"/>
        </w:rPr>
        <w:t xml:space="preserve">achieve a </w:t>
      </w:r>
      <w:r w:rsidRPr="00397FF1" w:rsidR="00624927">
        <w:rPr>
          <w:rFonts w:ascii="Times New Roman" w:hAnsi="Times New Roman"/>
          <w:sz w:val="24"/>
          <w:szCs w:val="24"/>
        </w:rPr>
        <w:t>60 to 70</w:t>
      </w:r>
      <w:r w:rsidRPr="00397FF1">
        <w:rPr>
          <w:rFonts w:ascii="Times New Roman" w:hAnsi="Times New Roman"/>
          <w:sz w:val="24"/>
          <w:szCs w:val="24"/>
        </w:rPr>
        <w:t xml:space="preserve"> percent survey</w:t>
      </w:r>
      <w:r w:rsidRPr="00305AFB">
        <w:rPr>
          <w:rFonts w:ascii="Times New Roman" w:hAnsi="Times New Roman"/>
          <w:sz w:val="24"/>
          <w:szCs w:val="24"/>
        </w:rPr>
        <w:t xml:space="preserve"> completion rate. </w:t>
      </w:r>
      <w:r w:rsidRPr="00397FF1">
        <w:rPr>
          <w:rFonts w:ascii="Times New Roman" w:hAnsi="Times New Roman"/>
          <w:sz w:val="24"/>
          <w:szCs w:val="24"/>
        </w:rPr>
        <w:t xml:space="preserve"> Even with the best data collection practices, it would be very difficult, if not impossible, to obtain such a high completion rate without providing a token of appreciation to participants.</w:t>
      </w:r>
      <w:r w:rsidRPr="00511484">
        <w:rPr>
          <w:rFonts w:ascii="Times New Roman" w:hAnsi="Times New Roman"/>
          <w:sz w:val="24"/>
          <w:szCs w:val="24"/>
        </w:rPr>
        <w:t xml:space="preserve"> </w:t>
      </w:r>
    </w:p>
    <w:p w:rsidRPr="003F63A6" w:rsidR="008064C8" w:rsidP="00435881" w:rsidRDefault="008064C8" w14:paraId="2E15435F" w14:textId="77777777">
      <w:pPr>
        <w:tabs>
          <w:tab w:val="left" w:pos="360"/>
        </w:tabs>
        <w:ind w:left="360" w:hanging="360"/>
        <w:jc w:val="both"/>
        <w:rPr>
          <w:rFonts w:ascii="Times New Roman" w:hAnsi="Times New Roman" w:cs="Times New Roman"/>
          <w:sz w:val="24"/>
          <w:szCs w:val="24"/>
        </w:rPr>
      </w:pPr>
    </w:p>
    <w:p w:rsidRPr="00A15383" w:rsidR="008064C8" w:rsidP="00435881" w:rsidRDefault="008064C8" w14:paraId="00C65321" w14:textId="65761C01">
      <w:pPr>
        <w:pStyle w:val="ListParagraph"/>
        <w:keepLines/>
        <w:numPr>
          <w:ilvl w:val="0"/>
          <w:numId w:val="6"/>
        </w:numPr>
        <w:tabs>
          <w:tab w:val="left" w:pos="360"/>
        </w:tabs>
        <w:spacing w:after="80"/>
        <w:jc w:val="both"/>
        <w:rPr>
          <w:rFonts w:ascii="Times New Roman" w:hAnsi="Times New Roman" w:cs="Times New Roman"/>
          <w:b/>
          <w:sz w:val="24"/>
          <w:szCs w:val="24"/>
        </w:rPr>
      </w:pPr>
      <w:r w:rsidRPr="00511484">
        <w:rPr>
          <w:rFonts w:ascii="Times New Roman" w:hAnsi="Times New Roman" w:cs="Times New Roman"/>
          <w:b/>
          <w:sz w:val="24"/>
          <w:szCs w:val="24"/>
        </w:rPr>
        <w:t xml:space="preserve">Describe any assurance of confidentiality provided to respondents and the basis for assurance in statute, </w:t>
      </w:r>
      <w:proofErr w:type="gramStart"/>
      <w:r w:rsidRPr="00511484">
        <w:rPr>
          <w:rFonts w:ascii="Times New Roman" w:hAnsi="Times New Roman" w:cs="Times New Roman"/>
          <w:b/>
          <w:sz w:val="24"/>
          <w:szCs w:val="24"/>
        </w:rPr>
        <w:t>regulation</w:t>
      </w:r>
      <w:proofErr w:type="gramEnd"/>
      <w:r w:rsidRPr="00511484">
        <w:rPr>
          <w:rFonts w:ascii="Times New Roman" w:hAnsi="Times New Roman" w:cs="Times New Roman"/>
          <w:b/>
          <w:sz w:val="24"/>
          <w:szCs w:val="24"/>
        </w:rPr>
        <w:t xml:space="preserve"> or agency policy.</w:t>
      </w:r>
    </w:p>
    <w:p w:rsidRPr="003F63A6" w:rsidR="00B65965" w:rsidP="00435881" w:rsidRDefault="00B65965" w14:paraId="05B1C220" w14:textId="6A78FC22">
      <w:pPr>
        <w:ind w:left="360"/>
        <w:jc w:val="both"/>
        <w:rPr>
          <w:rFonts w:ascii="Times New Roman" w:hAnsi="Times New Roman" w:cs="Times New Roman"/>
          <w:sz w:val="24"/>
          <w:szCs w:val="24"/>
        </w:rPr>
      </w:pPr>
      <w:r w:rsidRPr="003F63A6">
        <w:rPr>
          <w:rFonts w:ascii="Times New Roman" w:hAnsi="Times New Roman" w:cs="Times New Roman"/>
          <w:sz w:val="24"/>
          <w:szCs w:val="24"/>
        </w:rPr>
        <w:t xml:space="preserve">Every effort will be made to maintain the privacy of respondents, to the extent permitted by law.  Please see the informed consent form used during baseline data collection (and approved as part of the previous OMB submission) in Appendix </w:t>
      </w:r>
      <w:r w:rsidR="007B01E0">
        <w:rPr>
          <w:rFonts w:ascii="Times New Roman" w:hAnsi="Times New Roman" w:cs="Times New Roman"/>
          <w:sz w:val="24"/>
          <w:szCs w:val="24"/>
        </w:rPr>
        <w:t>C</w:t>
      </w:r>
      <w:r w:rsidRPr="003F63A6">
        <w:rPr>
          <w:rFonts w:ascii="Times New Roman" w:hAnsi="Times New Roman" w:cs="Times New Roman"/>
          <w:sz w:val="24"/>
          <w:szCs w:val="24"/>
        </w:rPr>
        <w:t xml:space="preserve">. All respondents included in the study were informed that information they provide will be used only for the purpose of this research.  Individuals will not be cited as sources of information in prepared reports. All research staff working on the project have been trained to protect private information and have signed a pledge stating that they will keep all information gathered private to the extent </w:t>
      </w:r>
      <w:r w:rsidRPr="003A629D">
        <w:rPr>
          <w:rFonts w:ascii="Times New Roman" w:hAnsi="Times New Roman" w:cs="Times New Roman"/>
          <w:sz w:val="24"/>
          <w:szCs w:val="24"/>
        </w:rPr>
        <w:t>permissible by law. All papers that contain partici</w:t>
      </w:r>
      <w:r w:rsidRPr="00B54A01">
        <w:rPr>
          <w:rFonts w:ascii="Times New Roman" w:hAnsi="Times New Roman" w:cs="Times New Roman"/>
          <w:sz w:val="24"/>
          <w:szCs w:val="24"/>
        </w:rPr>
        <w:t xml:space="preserve">pant names or other identifying information will be kept in locked areas and any computer documents containing identifying information will be </w:t>
      </w:r>
      <w:r w:rsidR="00ED4F60">
        <w:rPr>
          <w:rFonts w:ascii="Times New Roman" w:hAnsi="Times New Roman" w:cs="Times New Roman"/>
          <w:sz w:val="24"/>
          <w:szCs w:val="24"/>
        </w:rPr>
        <w:t>stored in</w:t>
      </w:r>
      <w:r w:rsidR="00A0023E">
        <w:rPr>
          <w:rFonts w:ascii="Times New Roman" w:hAnsi="Times New Roman" w:cs="Times New Roman"/>
          <w:sz w:val="24"/>
          <w:szCs w:val="24"/>
        </w:rPr>
        <w:t xml:space="preserve"> strongly</w:t>
      </w:r>
      <w:r w:rsidR="00ED4F60">
        <w:rPr>
          <w:rFonts w:ascii="Times New Roman" w:hAnsi="Times New Roman" w:cs="Times New Roman"/>
          <w:sz w:val="24"/>
          <w:szCs w:val="24"/>
        </w:rPr>
        <w:t xml:space="preserve"> limited-access</w:t>
      </w:r>
      <w:r w:rsidR="002F2B12">
        <w:rPr>
          <w:rFonts w:ascii="Times New Roman" w:hAnsi="Times New Roman" w:cs="Times New Roman"/>
          <w:sz w:val="24"/>
          <w:szCs w:val="24"/>
        </w:rPr>
        <w:t xml:space="preserve"> network directories and </w:t>
      </w:r>
      <w:r w:rsidRPr="00B54A01">
        <w:rPr>
          <w:rFonts w:ascii="Times New Roman" w:hAnsi="Times New Roman" w:cs="Times New Roman"/>
          <w:sz w:val="24"/>
          <w:szCs w:val="24"/>
        </w:rPr>
        <w:t>protected with a password.  The Research Design and Data Collection and Analysis Plan prepared for this study provides additional information on how evaluation data will be protected. It is available on request.</w:t>
      </w:r>
      <w:r w:rsidRPr="003F63A6">
        <w:rPr>
          <w:rFonts w:ascii="Times New Roman" w:hAnsi="Times New Roman" w:cs="Times New Roman"/>
          <w:sz w:val="24"/>
          <w:szCs w:val="24"/>
        </w:rPr>
        <w:t xml:space="preserve"> </w:t>
      </w:r>
    </w:p>
    <w:p w:rsidRPr="003F63A6" w:rsidR="008A082A" w:rsidP="00435881" w:rsidRDefault="008A082A" w14:paraId="6D80E407" w14:textId="0BD9E81D">
      <w:pPr>
        <w:jc w:val="both"/>
        <w:rPr>
          <w:rFonts w:ascii="Times New Roman" w:hAnsi="Times New Roman" w:cs="Times New Roman"/>
          <w:sz w:val="24"/>
          <w:szCs w:val="24"/>
        </w:rPr>
      </w:pPr>
    </w:p>
    <w:p w:rsidRPr="00A15383" w:rsidR="00DF4E4E" w:rsidP="00435881" w:rsidRDefault="00DF4E4E" w14:paraId="5F620E73" w14:textId="77777777">
      <w:pPr>
        <w:keepLines/>
        <w:tabs>
          <w:tab w:val="left" w:pos="360"/>
        </w:tabs>
        <w:spacing w:after="80"/>
        <w:ind w:left="360" w:hanging="360"/>
        <w:jc w:val="both"/>
        <w:rPr>
          <w:rFonts w:ascii="Times New Roman" w:hAnsi="Times New Roman" w:cs="Times New Roman"/>
          <w:b/>
          <w:sz w:val="24"/>
          <w:szCs w:val="24"/>
        </w:rPr>
      </w:pPr>
      <w:r w:rsidRPr="00511484">
        <w:rPr>
          <w:rFonts w:ascii="Times New Roman" w:hAnsi="Times New Roman" w:cs="Times New Roman"/>
          <w:b/>
          <w:sz w:val="24"/>
          <w:szCs w:val="24"/>
        </w:rPr>
        <w:lastRenderedPageBreak/>
        <w:t>11.</w:t>
      </w:r>
      <w:r w:rsidRPr="00511484">
        <w:rPr>
          <w:rFonts w:ascii="Times New Roman" w:hAnsi="Times New Roman" w:cs="Times New Roman"/>
          <w:b/>
          <w:sz w:val="24"/>
          <w:szCs w:val="24"/>
        </w:rPr>
        <w:tab/>
        <w:t>Provide additional justification for any questions of a sensitive nature, such as sexual behavior and attitude</w:t>
      </w:r>
      <w:r w:rsidRPr="00A15383">
        <w:rPr>
          <w:rFonts w:ascii="Times New Roman" w:hAnsi="Times New Roman" w:cs="Times New Roman"/>
          <w:b/>
          <w:sz w:val="24"/>
          <w:szCs w:val="24"/>
        </w:rPr>
        <w:t>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11484" w:rsidR="009C4043" w:rsidP="00435881" w:rsidRDefault="009C4043" w14:paraId="2AB35308" w14:textId="28CF910C">
      <w:pPr>
        <w:pStyle w:val="BodyText"/>
        <w:ind w:left="360"/>
        <w:jc w:val="both"/>
        <w:rPr>
          <w:rFonts w:ascii="Times New Roman" w:hAnsi="Times New Roman"/>
          <w:sz w:val="24"/>
          <w:szCs w:val="24"/>
        </w:rPr>
      </w:pPr>
      <w:r w:rsidRPr="008036E8">
        <w:rPr>
          <w:rFonts w:ascii="Times New Roman" w:hAnsi="Times New Roman"/>
          <w:sz w:val="24"/>
          <w:szCs w:val="24"/>
        </w:rPr>
        <w:t xml:space="preserve">Many of the questions envisioned for the survey are potentially sensitive for respondents, but they include questions covering information generally collected </w:t>
      </w:r>
      <w:r w:rsidRPr="008C4FA2">
        <w:rPr>
          <w:rFonts w:ascii="Times New Roman" w:hAnsi="Times New Roman"/>
          <w:sz w:val="24"/>
          <w:szCs w:val="24"/>
        </w:rPr>
        <w:t xml:space="preserve">from program participants </w:t>
      </w:r>
      <w:r w:rsidRPr="00511484">
        <w:rPr>
          <w:rFonts w:ascii="Times New Roman" w:hAnsi="Times New Roman"/>
          <w:sz w:val="24"/>
          <w:szCs w:val="24"/>
        </w:rPr>
        <w:t xml:space="preserve">at the time of enrollment in FSS or in follow-up </w:t>
      </w:r>
      <w:r w:rsidR="009B5ED1">
        <w:rPr>
          <w:rFonts w:ascii="Times New Roman" w:hAnsi="Times New Roman"/>
          <w:sz w:val="24"/>
          <w:szCs w:val="24"/>
        </w:rPr>
        <w:t xml:space="preserve">surveys or </w:t>
      </w:r>
      <w:r w:rsidRPr="00511484">
        <w:rPr>
          <w:rFonts w:ascii="Times New Roman" w:hAnsi="Times New Roman"/>
          <w:sz w:val="24"/>
          <w:szCs w:val="24"/>
        </w:rPr>
        <w:t xml:space="preserve">discussions with case managers. Respondents are asked about topics about potential barriers to employment </w:t>
      </w:r>
      <w:r w:rsidR="00DC0477">
        <w:rPr>
          <w:rFonts w:ascii="Times New Roman" w:hAnsi="Times New Roman"/>
          <w:sz w:val="24"/>
          <w:szCs w:val="24"/>
        </w:rPr>
        <w:t xml:space="preserve">or goal attainment </w:t>
      </w:r>
      <w:r w:rsidRPr="00511484">
        <w:rPr>
          <w:rFonts w:ascii="Times New Roman" w:hAnsi="Times New Roman"/>
          <w:sz w:val="24"/>
          <w:szCs w:val="24"/>
        </w:rPr>
        <w:t xml:space="preserve">(for example, poor credit, childcare difficulties, debt, and limited educational attainment) and, depending on the FSS program, these topics are addressed directly by program case managers, in service referrals, and in participants’ “independence plans.” Respondents will be informed by survey staff prior to the start of the survey that their answers are confidential, that they may refuse to answer any question, that results will only be reported in the aggregate, and that their responses will not have any effect on any services or benefits they or their family members receive. </w:t>
      </w:r>
      <w:r w:rsidR="00915CE9">
        <w:rPr>
          <w:rFonts w:ascii="Times New Roman" w:hAnsi="Times New Roman"/>
          <w:sz w:val="24"/>
          <w:szCs w:val="24"/>
        </w:rPr>
        <w:t>The survey contains no questions on sex</w:t>
      </w:r>
      <w:r w:rsidR="00444344">
        <w:rPr>
          <w:rFonts w:ascii="Times New Roman" w:hAnsi="Times New Roman"/>
          <w:sz w:val="24"/>
          <w:szCs w:val="24"/>
        </w:rPr>
        <w:t>ual behavior</w:t>
      </w:r>
      <w:r w:rsidR="00801066">
        <w:rPr>
          <w:rFonts w:ascii="Times New Roman" w:hAnsi="Times New Roman"/>
          <w:sz w:val="24"/>
          <w:szCs w:val="24"/>
        </w:rPr>
        <w:t xml:space="preserve"> or</w:t>
      </w:r>
      <w:r w:rsidR="00444344">
        <w:rPr>
          <w:rFonts w:ascii="Times New Roman" w:hAnsi="Times New Roman"/>
          <w:sz w:val="24"/>
          <w:szCs w:val="24"/>
        </w:rPr>
        <w:t xml:space="preserve"> attitudes</w:t>
      </w:r>
      <w:r w:rsidR="00801066">
        <w:rPr>
          <w:rFonts w:ascii="Times New Roman" w:hAnsi="Times New Roman"/>
          <w:sz w:val="24"/>
          <w:szCs w:val="24"/>
        </w:rPr>
        <w:t>, substance use,</w:t>
      </w:r>
      <w:r w:rsidR="00444344">
        <w:rPr>
          <w:rFonts w:ascii="Times New Roman" w:hAnsi="Times New Roman"/>
          <w:sz w:val="24"/>
          <w:szCs w:val="24"/>
        </w:rPr>
        <w:t xml:space="preserve"> or religious beliefs</w:t>
      </w:r>
      <w:r w:rsidR="009F48EA">
        <w:rPr>
          <w:rFonts w:ascii="Times New Roman" w:hAnsi="Times New Roman"/>
          <w:sz w:val="24"/>
          <w:szCs w:val="24"/>
        </w:rPr>
        <w:t>.</w:t>
      </w:r>
    </w:p>
    <w:p w:rsidRPr="00A15383" w:rsidR="008B40D0" w:rsidP="00435881" w:rsidRDefault="008B40D0" w14:paraId="18AA54C8" w14:textId="0250FFB7">
      <w:pPr>
        <w:ind w:left="360"/>
        <w:jc w:val="both"/>
        <w:rPr>
          <w:rFonts w:ascii="Times New Roman" w:hAnsi="Times New Roman" w:cs="Times New Roman"/>
          <w:sz w:val="24"/>
          <w:szCs w:val="24"/>
        </w:rPr>
      </w:pPr>
    </w:p>
    <w:p w:rsidRPr="008036E8" w:rsidR="00DF4E4E" w:rsidP="00435881" w:rsidRDefault="00DF4E4E" w14:paraId="3128E07D" w14:textId="77777777">
      <w:pPr>
        <w:tabs>
          <w:tab w:val="left" w:pos="360"/>
        </w:tabs>
        <w:ind w:left="360" w:hanging="360"/>
        <w:jc w:val="both"/>
        <w:rPr>
          <w:rFonts w:ascii="Times New Roman" w:hAnsi="Times New Roman" w:cs="Times New Roman"/>
          <w:b/>
          <w:sz w:val="24"/>
          <w:szCs w:val="24"/>
        </w:rPr>
      </w:pPr>
      <w:r w:rsidRPr="00A15383">
        <w:rPr>
          <w:rFonts w:ascii="Times New Roman" w:hAnsi="Times New Roman" w:cs="Times New Roman"/>
          <w:b/>
          <w:sz w:val="24"/>
          <w:szCs w:val="24"/>
        </w:rPr>
        <w:t>12.</w:t>
      </w:r>
      <w:r w:rsidRPr="00A15383">
        <w:rPr>
          <w:rFonts w:ascii="Times New Roman" w:hAnsi="Times New Roman" w:cs="Times New Roman"/>
          <w:b/>
          <w:sz w:val="24"/>
          <w:szCs w:val="24"/>
        </w:rPr>
        <w:tab/>
      </w:r>
      <w:r w:rsidRPr="008036E8">
        <w:rPr>
          <w:rFonts w:ascii="Times New Roman" w:hAnsi="Times New Roman" w:cs="Times New Roman"/>
          <w:b/>
          <w:sz w:val="24"/>
          <w:szCs w:val="24"/>
        </w:rPr>
        <w:t xml:space="preserve">Provide estimates of the hour burden of the collection of information.  The statement should: </w:t>
      </w:r>
    </w:p>
    <w:p w:rsidRPr="00511484" w:rsidR="00DF4E4E" w:rsidP="00435881" w:rsidRDefault="00DF4E4E" w14:paraId="0838D87B" w14:textId="77777777">
      <w:pPr>
        <w:numPr>
          <w:ilvl w:val="0"/>
          <w:numId w:val="8"/>
        </w:numPr>
        <w:tabs>
          <w:tab w:val="left" w:pos="480"/>
        </w:tabs>
        <w:overflowPunct w:val="0"/>
        <w:autoSpaceDE w:val="0"/>
        <w:autoSpaceDN w:val="0"/>
        <w:adjustRightInd w:val="0"/>
        <w:ind w:left="840"/>
        <w:jc w:val="both"/>
        <w:rPr>
          <w:rFonts w:ascii="Times New Roman" w:hAnsi="Times New Roman" w:cs="Times New Roman"/>
          <w:b/>
          <w:sz w:val="24"/>
          <w:szCs w:val="24"/>
        </w:rPr>
      </w:pPr>
      <w:r w:rsidRPr="008036E8">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w:t>
      </w:r>
      <w:r w:rsidRPr="008C4FA2">
        <w:rPr>
          <w:rFonts w:ascii="Times New Roman" w:hAnsi="Times New Roman" w:cs="Times New Roman"/>
          <w:b/>
          <w:sz w:val="24"/>
          <w:szCs w:val="24"/>
        </w:rPr>
        <w:t xml:space="preserve">of differences in activity, size, or complexity, show the range of estimated hour burden, and explain the reasons for the variance.  Generally, estimates should not include burden hours for customary and usual business </w:t>
      </w:r>
      <w:proofErr w:type="gramStart"/>
      <w:r w:rsidRPr="008C4FA2">
        <w:rPr>
          <w:rFonts w:ascii="Times New Roman" w:hAnsi="Times New Roman" w:cs="Times New Roman"/>
          <w:b/>
          <w:sz w:val="24"/>
          <w:szCs w:val="24"/>
        </w:rPr>
        <w:t>practices;</w:t>
      </w:r>
      <w:proofErr w:type="gramEnd"/>
      <w:r w:rsidRPr="008C4FA2">
        <w:rPr>
          <w:rFonts w:ascii="Times New Roman" w:hAnsi="Times New Roman" w:cs="Times New Roman"/>
          <w:b/>
          <w:sz w:val="24"/>
          <w:szCs w:val="24"/>
        </w:rPr>
        <w:t xml:space="preserve"> </w:t>
      </w:r>
    </w:p>
    <w:p w:rsidRPr="00511484" w:rsidR="00DF4E4E" w:rsidP="00435881" w:rsidRDefault="00DF4E4E" w14:paraId="07D59B96" w14:textId="77777777">
      <w:pPr>
        <w:numPr>
          <w:ilvl w:val="0"/>
          <w:numId w:val="8"/>
        </w:numPr>
        <w:tabs>
          <w:tab w:val="left" w:pos="480"/>
        </w:tabs>
        <w:overflowPunct w:val="0"/>
        <w:autoSpaceDE w:val="0"/>
        <w:autoSpaceDN w:val="0"/>
        <w:adjustRightInd w:val="0"/>
        <w:ind w:left="840"/>
        <w:jc w:val="both"/>
        <w:rPr>
          <w:rFonts w:ascii="Times New Roman" w:hAnsi="Times New Roman" w:cs="Times New Roman"/>
          <w:b/>
          <w:sz w:val="24"/>
          <w:szCs w:val="24"/>
        </w:rPr>
      </w:pPr>
      <w:r w:rsidRPr="00511484">
        <w:rPr>
          <w:rFonts w:ascii="Times New Roman" w:hAnsi="Times New Roman" w:cs="Times New Roman"/>
          <w:b/>
          <w:sz w:val="24"/>
          <w:szCs w:val="24"/>
        </w:rPr>
        <w:t>if this request covers more than one form, provide separate hour burden estimates for each form and aggregate the hour burdens in Item 13 of OMB Form 83-</w:t>
      </w:r>
      <w:proofErr w:type="gramStart"/>
      <w:r w:rsidRPr="00511484">
        <w:rPr>
          <w:rFonts w:ascii="Times New Roman" w:hAnsi="Times New Roman" w:cs="Times New Roman"/>
          <w:b/>
          <w:sz w:val="24"/>
          <w:szCs w:val="24"/>
        </w:rPr>
        <w:t>I;</w:t>
      </w:r>
      <w:proofErr w:type="gramEnd"/>
      <w:r w:rsidRPr="00511484">
        <w:rPr>
          <w:rFonts w:ascii="Times New Roman" w:hAnsi="Times New Roman" w:cs="Times New Roman"/>
          <w:b/>
          <w:sz w:val="24"/>
          <w:szCs w:val="24"/>
        </w:rPr>
        <w:t xml:space="preserve"> and </w:t>
      </w:r>
    </w:p>
    <w:p w:rsidRPr="00511484" w:rsidR="00DF4E4E" w:rsidP="00435881" w:rsidRDefault="00DF4E4E" w14:paraId="28BE861C" w14:textId="77777777">
      <w:pPr>
        <w:keepLines/>
        <w:numPr>
          <w:ilvl w:val="0"/>
          <w:numId w:val="8"/>
        </w:numPr>
        <w:tabs>
          <w:tab w:val="left" w:pos="480"/>
        </w:tabs>
        <w:overflowPunct w:val="0"/>
        <w:autoSpaceDE w:val="0"/>
        <w:autoSpaceDN w:val="0"/>
        <w:adjustRightInd w:val="0"/>
        <w:spacing w:after="80"/>
        <w:ind w:left="840"/>
        <w:jc w:val="both"/>
        <w:rPr>
          <w:rFonts w:ascii="Times New Roman" w:hAnsi="Times New Roman" w:cs="Times New Roman"/>
          <w:b/>
          <w:sz w:val="24"/>
          <w:szCs w:val="24"/>
        </w:rPr>
      </w:pPr>
      <w:r w:rsidRPr="00511484">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3F63A6" w:rsidR="00923543" w:rsidP="00435881" w:rsidRDefault="00923543" w14:paraId="3B05C390" w14:textId="6AA6590E">
      <w:pPr>
        <w:ind w:left="480"/>
        <w:jc w:val="both"/>
        <w:rPr>
          <w:rFonts w:ascii="Times New Roman" w:hAnsi="Times New Roman" w:cs="Times New Roman"/>
          <w:sz w:val="24"/>
          <w:szCs w:val="24"/>
        </w:rPr>
      </w:pPr>
      <w:r w:rsidRPr="003F63A6">
        <w:rPr>
          <w:rFonts w:ascii="Times New Roman" w:hAnsi="Times New Roman" w:cs="Times New Roman"/>
          <w:sz w:val="24"/>
          <w:szCs w:val="24"/>
        </w:rPr>
        <w:t xml:space="preserve">The hour burden for the data collection for participants is outlined in Table 1 below.  The estimates included below are based on experience with previous random assignment studies involving similar populations and data collection instruments. </w:t>
      </w:r>
      <w:r w:rsidR="00E32C9C">
        <w:rPr>
          <w:rFonts w:ascii="Times New Roman" w:hAnsi="Times New Roman" w:cs="Times New Roman"/>
          <w:sz w:val="24"/>
          <w:szCs w:val="24"/>
        </w:rPr>
        <w:t xml:space="preserve">The instrument for this </w:t>
      </w:r>
      <w:r w:rsidR="008D335D">
        <w:rPr>
          <w:rFonts w:ascii="Times New Roman" w:hAnsi="Times New Roman" w:cs="Times New Roman"/>
          <w:sz w:val="24"/>
          <w:szCs w:val="24"/>
        </w:rPr>
        <w:t>collection was designed by MDRC and is</w:t>
      </w:r>
      <w:r w:rsidR="001B1FDA">
        <w:rPr>
          <w:rFonts w:ascii="Times New Roman" w:hAnsi="Times New Roman" w:cs="Times New Roman"/>
          <w:sz w:val="24"/>
          <w:szCs w:val="24"/>
        </w:rPr>
        <w:t xml:space="preserve"> included as Appendix C in this packet. </w:t>
      </w:r>
    </w:p>
    <w:p w:rsidR="00923543" w:rsidP="00435881" w:rsidRDefault="00923543" w14:paraId="100FCE1E" w14:textId="0B86B3E1">
      <w:pPr>
        <w:jc w:val="both"/>
        <w:rPr>
          <w:rFonts w:ascii="Times New Roman" w:hAnsi="Times New Roman" w:cs="Times New Roman"/>
          <w:b/>
          <w:sz w:val="24"/>
          <w:szCs w:val="24"/>
        </w:rPr>
      </w:pPr>
    </w:p>
    <w:p w:rsidR="006E637B" w:rsidP="00435881" w:rsidRDefault="006E637B" w14:paraId="49AF8878" w14:textId="6E13333D">
      <w:pPr>
        <w:jc w:val="both"/>
        <w:rPr>
          <w:rFonts w:ascii="Times New Roman" w:hAnsi="Times New Roman" w:cs="Times New Roman"/>
          <w:b/>
          <w:sz w:val="24"/>
          <w:szCs w:val="24"/>
        </w:rPr>
      </w:pPr>
    </w:p>
    <w:p w:rsidR="006E637B" w:rsidP="00435881" w:rsidRDefault="006E637B" w14:paraId="71A1AE95" w14:textId="62B37B0B">
      <w:pPr>
        <w:jc w:val="both"/>
        <w:rPr>
          <w:rFonts w:ascii="Times New Roman" w:hAnsi="Times New Roman" w:cs="Times New Roman"/>
          <w:b/>
          <w:sz w:val="24"/>
          <w:szCs w:val="24"/>
        </w:rPr>
      </w:pPr>
    </w:p>
    <w:p w:rsidRPr="003F63A6" w:rsidR="006E637B" w:rsidP="00435881" w:rsidRDefault="006E637B" w14:paraId="1A844B03" w14:textId="77777777">
      <w:pPr>
        <w:jc w:val="both"/>
        <w:rPr>
          <w:rFonts w:ascii="Times New Roman" w:hAnsi="Times New Roman" w:cs="Times New Roman"/>
          <w:b/>
          <w:sz w:val="24"/>
          <w:szCs w:val="24"/>
        </w:rPr>
      </w:pPr>
    </w:p>
    <w:p w:rsidR="00923543" w:rsidP="00435881" w:rsidRDefault="00923543" w14:paraId="496319FB" w14:textId="5D7AF2D5">
      <w:pPr>
        <w:ind w:left="480"/>
        <w:jc w:val="both"/>
        <w:rPr>
          <w:rFonts w:ascii="Times New Roman" w:hAnsi="Times New Roman" w:cs="Times New Roman"/>
          <w:b/>
          <w:sz w:val="24"/>
          <w:szCs w:val="24"/>
        </w:rPr>
      </w:pPr>
      <w:r w:rsidRPr="003F63A6">
        <w:rPr>
          <w:rFonts w:ascii="Times New Roman" w:hAnsi="Times New Roman" w:cs="Times New Roman"/>
          <w:b/>
          <w:sz w:val="24"/>
          <w:szCs w:val="24"/>
        </w:rPr>
        <w:lastRenderedPageBreak/>
        <w:t>Table 1</w:t>
      </w:r>
    </w:p>
    <w:p w:rsidR="00C13027" w:rsidP="00435881" w:rsidRDefault="00C13027" w14:paraId="5B9B1FCC" w14:textId="691FB3E4">
      <w:pPr>
        <w:ind w:left="480"/>
        <w:jc w:val="both"/>
        <w:rPr>
          <w:rFonts w:ascii="Times New Roman" w:hAnsi="Times New Roman" w:cs="Times New Roman"/>
          <w:b/>
          <w:sz w:val="24"/>
          <w:szCs w:val="24"/>
        </w:rPr>
      </w:pPr>
    </w:p>
    <w:tbl>
      <w:tblPr>
        <w:tblW w:w="10520" w:type="dxa"/>
        <w:jc w:val="center"/>
        <w:tblLayout w:type="fixed"/>
        <w:tblCellMar>
          <w:left w:w="0" w:type="dxa"/>
          <w:right w:w="0" w:type="dxa"/>
        </w:tblCellMar>
        <w:tblLook w:val="04A0" w:firstRow="1" w:lastRow="0" w:firstColumn="1" w:lastColumn="0" w:noHBand="0" w:noVBand="1"/>
      </w:tblPr>
      <w:tblGrid>
        <w:gridCol w:w="1390"/>
        <w:gridCol w:w="1500"/>
        <w:gridCol w:w="1260"/>
        <w:gridCol w:w="1260"/>
        <w:gridCol w:w="1170"/>
        <w:gridCol w:w="1430"/>
        <w:gridCol w:w="1170"/>
        <w:gridCol w:w="1340"/>
      </w:tblGrid>
      <w:tr w:rsidRPr="006E637B" w:rsidR="00C13027" w:rsidTr="006E637B" w14:paraId="0D2979EB" w14:textId="77777777">
        <w:trPr>
          <w:jc w:val="center"/>
        </w:trPr>
        <w:tc>
          <w:tcPr>
            <w:tcW w:w="139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6E637B" w:rsidR="00C13027" w:rsidP="000A5653" w:rsidRDefault="00C13027" w14:paraId="6AEDD5F6" w14:textId="77777777">
            <w:pPr>
              <w:overflowPunct w:val="0"/>
              <w:autoSpaceDE w:val="0"/>
              <w:autoSpaceDN w:val="0"/>
              <w:jc w:val="center"/>
              <w:rPr>
                <w:rFonts w:ascii="Times New Roman" w:hAnsi="Times New Roman" w:eastAsia="Times New Roman" w:cs="Times New Roman"/>
                <w:b/>
                <w:color w:val="000000"/>
                <w:sz w:val="20"/>
                <w:szCs w:val="20"/>
              </w:rPr>
            </w:pPr>
            <w:r w:rsidRPr="006E637B">
              <w:rPr>
                <w:rFonts w:ascii="Times New Roman" w:hAnsi="Times New Roman" w:cs="Times New Roman"/>
                <w:bCs/>
                <w:sz w:val="20"/>
                <w:szCs w:val="20"/>
              </w:rPr>
              <w:br w:type="page"/>
            </w:r>
            <w:r w:rsidRPr="006E637B">
              <w:rPr>
                <w:rFonts w:ascii="Times New Roman" w:hAnsi="Times New Roman" w:eastAsia="Times New Roman" w:cs="Times New Roman"/>
                <w:b/>
                <w:color w:val="000000"/>
                <w:sz w:val="20"/>
                <w:szCs w:val="20"/>
              </w:rPr>
              <w:t>Information Collection</w:t>
            </w:r>
          </w:p>
        </w:tc>
        <w:tc>
          <w:tcPr>
            <w:tcW w:w="150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E637B" w:rsidR="00C13027" w:rsidP="000A5653" w:rsidRDefault="00C13027" w14:paraId="41363547" w14:textId="77777777">
            <w:pPr>
              <w:overflowPunct w:val="0"/>
              <w:autoSpaceDE w:val="0"/>
              <w:autoSpaceDN w:val="0"/>
              <w:jc w:val="center"/>
              <w:rPr>
                <w:rFonts w:ascii="Times New Roman" w:hAnsi="Times New Roman" w:eastAsia="Times New Roman" w:cs="Times New Roman"/>
                <w:b/>
                <w:color w:val="000000"/>
                <w:sz w:val="20"/>
                <w:szCs w:val="20"/>
              </w:rPr>
            </w:pPr>
            <w:r w:rsidRPr="006E637B">
              <w:rPr>
                <w:rFonts w:ascii="Times New Roman" w:hAnsi="Times New Roman" w:eastAsia="Times New Roman" w:cs="Times New Roman"/>
                <w:b/>
                <w:color w:val="000000"/>
                <w:sz w:val="20"/>
                <w:szCs w:val="20"/>
              </w:rPr>
              <w:t>Number of Respondents</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E637B" w:rsidR="00C13027" w:rsidP="000A5653" w:rsidRDefault="00C13027" w14:paraId="57A6C8D2" w14:textId="77777777">
            <w:pPr>
              <w:overflowPunct w:val="0"/>
              <w:autoSpaceDE w:val="0"/>
              <w:autoSpaceDN w:val="0"/>
              <w:jc w:val="center"/>
              <w:rPr>
                <w:rFonts w:ascii="Times New Roman" w:hAnsi="Times New Roman" w:eastAsia="Times New Roman" w:cs="Times New Roman"/>
                <w:b/>
                <w:color w:val="000000"/>
                <w:sz w:val="20"/>
                <w:szCs w:val="20"/>
              </w:rPr>
            </w:pPr>
            <w:r w:rsidRPr="006E637B">
              <w:rPr>
                <w:rFonts w:ascii="Times New Roman" w:hAnsi="Times New Roman" w:eastAsia="Times New Roman" w:cs="Times New Roman"/>
                <w:b/>
                <w:color w:val="000000"/>
                <w:sz w:val="20"/>
                <w:szCs w:val="20"/>
              </w:rPr>
              <w:t>Frequency of Response</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E637B" w:rsidR="00C13027" w:rsidP="000A5653" w:rsidRDefault="00C13027" w14:paraId="34730CF0" w14:textId="77777777">
            <w:pPr>
              <w:jc w:val="center"/>
              <w:rPr>
                <w:rFonts w:ascii="Times New Roman" w:hAnsi="Times New Roman" w:eastAsia="Times New Roman" w:cs="Times New Roman"/>
                <w:b/>
                <w:color w:val="000000"/>
                <w:sz w:val="20"/>
                <w:szCs w:val="20"/>
              </w:rPr>
            </w:pPr>
            <w:r w:rsidRPr="006E637B">
              <w:rPr>
                <w:rFonts w:ascii="Times New Roman" w:hAnsi="Times New Roman" w:eastAsia="Times New Roman" w:cs="Times New Roman"/>
                <w:b/>
                <w:color w:val="000000"/>
                <w:sz w:val="20"/>
                <w:szCs w:val="20"/>
              </w:rPr>
              <w:t>Responses</w:t>
            </w:r>
          </w:p>
          <w:p w:rsidRPr="006E637B" w:rsidR="00C13027" w:rsidP="000A5653" w:rsidRDefault="00C13027" w14:paraId="3CC41533" w14:textId="77777777">
            <w:pPr>
              <w:overflowPunct w:val="0"/>
              <w:autoSpaceDE w:val="0"/>
              <w:autoSpaceDN w:val="0"/>
              <w:jc w:val="center"/>
              <w:rPr>
                <w:rFonts w:ascii="Times New Roman" w:hAnsi="Times New Roman" w:eastAsia="Times New Roman" w:cs="Times New Roman"/>
                <w:b/>
                <w:color w:val="000000"/>
                <w:sz w:val="20"/>
                <w:szCs w:val="20"/>
              </w:rPr>
            </w:pPr>
            <w:r w:rsidRPr="006E637B">
              <w:rPr>
                <w:rFonts w:ascii="Times New Roman" w:hAnsi="Times New Roman" w:eastAsia="Times New Roman" w:cs="Times New Roman"/>
                <w:b/>
                <w:color w:val="000000"/>
                <w:sz w:val="20"/>
                <w:szCs w:val="20"/>
              </w:rPr>
              <w:t>Per Annum</w:t>
            </w:r>
          </w:p>
          <w:p w:rsidRPr="006E637B" w:rsidR="00C13027" w:rsidP="000A5653" w:rsidRDefault="00C13027" w14:paraId="496E2057" w14:textId="77777777">
            <w:pPr>
              <w:overflowPunct w:val="0"/>
              <w:autoSpaceDE w:val="0"/>
              <w:autoSpaceDN w:val="0"/>
              <w:jc w:val="center"/>
              <w:rPr>
                <w:rFonts w:ascii="Times New Roman" w:hAnsi="Times New Roman" w:eastAsia="Times New Roman" w:cs="Times New Roman"/>
                <w:b/>
                <w:color w:val="FF0000"/>
                <w:sz w:val="20"/>
                <w:szCs w:val="20"/>
              </w:rPr>
            </w:pP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E637B" w:rsidR="00C13027" w:rsidP="000A5653" w:rsidRDefault="00C13027" w14:paraId="20DB8924" w14:textId="77777777">
            <w:pPr>
              <w:overflowPunct w:val="0"/>
              <w:autoSpaceDE w:val="0"/>
              <w:autoSpaceDN w:val="0"/>
              <w:jc w:val="center"/>
              <w:rPr>
                <w:rFonts w:ascii="Times New Roman" w:hAnsi="Times New Roman" w:eastAsia="Times New Roman" w:cs="Times New Roman"/>
                <w:b/>
                <w:color w:val="000000"/>
                <w:sz w:val="20"/>
                <w:szCs w:val="20"/>
              </w:rPr>
            </w:pPr>
            <w:r w:rsidRPr="006E637B">
              <w:rPr>
                <w:rFonts w:ascii="Times New Roman" w:hAnsi="Times New Roman" w:eastAsia="Times New Roman" w:cs="Times New Roman"/>
                <w:b/>
                <w:color w:val="000000"/>
                <w:sz w:val="20"/>
                <w:szCs w:val="20"/>
              </w:rPr>
              <w:t>Burden Hour Per Response</w:t>
            </w:r>
          </w:p>
          <w:p w:rsidRPr="006E637B" w:rsidR="00C13027" w:rsidP="000A5653" w:rsidRDefault="00C13027" w14:paraId="2128F442" w14:textId="77777777">
            <w:pPr>
              <w:overflowPunct w:val="0"/>
              <w:autoSpaceDE w:val="0"/>
              <w:autoSpaceDN w:val="0"/>
              <w:jc w:val="center"/>
              <w:rPr>
                <w:rFonts w:ascii="Times New Roman" w:hAnsi="Times New Roman" w:eastAsia="Times New Roman" w:cs="Times New Roman"/>
                <w:b/>
                <w:color w:val="FF0000"/>
                <w:sz w:val="20"/>
                <w:szCs w:val="20"/>
              </w:rPr>
            </w:pPr>
          </w:p>
        </w:tc>
        <w:tc>
          <w:tcPr>
            <w:tcW w:w="143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E637B" w:rsidR="00C13027" w:rsidP="000A5653" w:rsidRDefault="00C13027" w14:paraId="3B2F5B13" w14:textId="77777777">
            <w:pPr>
              <w:overflowPunct w:val="0"/>
              <w:autoSpaceDE w:val="0"/>
              <w:autoSpaceDN w:val="0"/>
              <w:jc w:val="center"/>
              <w:rPr>
                <w:rFonts w:ascii="Times New Roman" w:hAnsi="Times New Roman" w:eastAsia="Times New Roman" w:cs="Times New Roman"/>
                <w:b/>
                <w:color w:val="000000"/>
                <w:sz w:val="20"/>
                <w:szCs w:val="20"/>
              </w:rPr>
            </w:pPr>
            <w:r w:rsidRPr="006E637B">
              <w:rPr>
                <w:rFonts w:ascii="Times New Roman" w:hAnsi="Times New Roman" w:eastAsia="Times New Roman" w:cs="Times New Roman"/>
                <w:b/>
                <w:color w:val="000000"/>
                <w:sz w:val="20"/>
                <w:szCs w:val="20"/>
              </w:rPr>
              <w:t>Annual Burden Hours</w:t>
            </w:r>
          </w:p>
          <w:p w:rsidRPr="006E637B" w:rsidR="00C13027" w:rsidP="000A5653" w:rsidRDefault="00C13027" w14:paraId="22C5AC3D" w14:textId="77777777">
            <w:pPr>
              <w:overflowPunct w:val="0"/>
              <w:autoSpaceDE w:val="0"/>
              <w:autoSpaceDN w:val="0"/>
              <w:jc w:val="center"/>
              <w:rPr>
                <w:rFonts w:ascii="Times New Roman" w:hAnsi="Times New Roman" w:eastAsia="Times New Roman" w:cs="Times New Roman"/>
                <w:b/>
                <w:color w:val="FF0000"/>
                <w:sz w:val="20"/>
                <w:szCs w:val="20"/>
              </w:rPr>
            </w:pP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E637B" w:rsidR="00C13027" w:rsidP="000A5653" w:rsidRDefault="00C13027" w14:paraId="146D6CD1" w14:textId="77777777">
            <w:pPr>
              <w:overflowPunct w:val="0"/>
              <w:autoSpaceDE w:val="0"/>
              <w:autoSpaceDN w:val="0"/>
              <w:jc w:val="center"/>
              <w:rPr>
                <w:rFonts w:ascii="Times New Roman" w:hAnsi="Times New Roman" w:eastAsia="Times New Roman" w:cs="Times New Roman"/>
                <w:b/>
                <w:color w:val="000000"/>
                <w:sz w:val="20"/>
                <w:szCs w:val="20"/>
              </w:rPr>
            </w:pPr>
            <w:r w:rsidRPr="006E637B">
              <w:rPr>
                <w:rFonts w:ascii="Times New Roman" w:hAnsi="Times New Roman" w:eastAsia="Times New Roman" w:cs="Times New Roman"/>
                <w:b/>
                <w:color w:val="000000"/>
                <w:sz w:val="20"/>
                <w:szCs w:val="20"/>
              </w:rPr>
              <w:t>Hourly Cost Per Response</w:t>
            </w:r>
          </w:p>
        </w:tc>
        <w:tc>
          <w:tcPr>
            <w:tcW w:w="134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6E637B" w:rsidR="00C13027" w:rsidP="000A5653" w:rsidRDefault="00C13027" w14:paraId="44F43A6F" w14:textId="77777777">
            <w:pPr>
              <w:jc w:val="center"/>
              <w:rPr>
                <w:rFonts w:ascii="Times New Roman" w:hAnsi="Times New Roman" w:eastAsia="Times New Roman" w:cs="Times New Roman"/>
                <w:b/>
                <w:color w:val="000000"/>
                <w:sz w:val="20"/>
                <w:szCs w:val="20"/>
              </w:rPr>
            </w:pPr>
            <w:r w:rsidRPr="006E637B">
              <w:rPr>
                <w:rFonts w:ascii="Times New Roman" w:hAnsi="Times New Roman" w:eastAsia="Times New Roman" w:cs="Times New Roman"/>
                <w:b/>
                <w:color w:val="000000"/>
                <w:sz w:val="20"/>
                <w:szCs w:val="20"/>
              </w:rPr>
              <w:t>Cost</w:t>
            </w:r>
          </w:p>
          <w:p w:rsidRPr="006E637B" w:rsidR="00C13027" w:rsidP="000A5653" w:rsidRDefault="00C13027" w14:paraId="68728A1D" w14:textId="77777777">
            <w:pPr>
              <w:overflowPunct w:val="0"/>
              <w:autoSpaceDE w:val="0"/>
              <w:autoSpaceDN w:val="0"/>
              <w:jc w:val="center"/>
              <w:rPr>
                <w:rFonts w:ascii="Times New Roman" w:hAnsi="Times New Roman" w:eastAsia="Times New Roman" w:cs="Times New Roman"/>
                <w:b/>
                <w:color w:val="FF0000"/>
                <w:sz w:val="20"/>
                <w:szCs w:val="20"/>
              </w:rPr>
            </w:pPr>
          </w:p>
        </w:tc>
      </w:tr>
      <w:tr w:rsidRPr="006E637B" w:rsidR="00C13027" w:rsidTr="006E637B" w14:paraId="0ACE892E" w14:textId="77777777">
        <w:trPr>
          <w:jc w:val="center"/>
        </w:trPr>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E637B" w:rsidR="00C13027" w:rsidP="000A5653" w:rsidRDefault="00C13027" w14:paraId="0B36D7C2" w14:textId="77777777">
            <w:pPr>
              <w:overflowPunct w:val="0"/>
              <w:autoSpaceDE w:val="0"/>
              <w:autoSpaceDN w:val="0"/>
              <w:jc w:val="center"/>
              <w:rPr>
                <w:rFonts w:ascii="Times New Roman" w:hAnsi="Times New Roman" w:eastAsia="Times New Roman" w:cs="Times New Roman"/>
                <w:b/>
                <w:bCs/>
                <w:color w:val="000000"/>
                <w:sz w:val="20"/>
                <w:szCs w:val="20"/>
              </w:rPr>
            </w:pPr>
          </w:p>
          <w:p w:rsidRPr="006E637B" w:rsidR="00C13027" w:rsidP="000A5653" w:rsidRDefault="00C13027" w14:paraId="51FFE778" w14:textId="77777777">
            <w:pPr>
              <w:overflowPunct w:val="0"/>
              <w:autoSpaceDE w:val="0"/>
              <w:autoSpaceDN w:val="0"/>
              <w:jc w:val="center"/>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b/>
                <w:bCs/>
                <w:color w:val="000000"/>
                <w:sz w:val="20"/>
                <w:szCs w:val="20"/>
              </w:rPr>
              <w:t>Total</w:t>
            </w:r>
          </w:p>
          <w:p w:rsidRPr="006E637B" w:rsidR="00C13027" w:rsidP="000A5653" w:rsidRDefault="00C13027" w14:paraId="615FD70F" w14:textId="77777777">
            <w:pPr>
              <w:overflowPunct w:val="0"/>
              <w:autoSpaceDE w:val="0"/>
              <w:autoSpaceDN w:val="0"/>
              <w:jc w:val="center"/>
              <w:rPr>
                <w:rFonts w:ascii="Times New Roman" w:hAnsi="Times New Roman" w:cs="Times New Roman"/>
                <w:sz w:val="20"/>
                <w:szCs w:val="20"/>
              </w:rPr>
            </w:pPr>
          </w:p>
        </w:tc>
        <w:tc>
          <w:tcPr>
            <w:tcW w:w="1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E637B" w:rsidR="00C13027" w:rsidP="000A5653" w:rsidRDefault="00C13027" w14:paraId="34CA4CF1" w14:textId="111AE9C2">
            <w:pPr>
              <w:overflowPunct w:val="0"/>
              <w:autoSpaceDE w:val="0"/>
              <w:autoSpaceDN w:val="0"/>
              <w:jc w:val="cente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1,300</w:t>
            </w:r>
            <w:r w:rsidRPr="006E637B" w:rsidR="00836B7C">
              <w:rPr>
                <w:rFonts w:ascii="Times New Roman" w:hAnsi="Times New Roman" w:eastAsia="Times New Roman" w:cs="Times New Roman"/>
                <w:color w:val="000000"/>
                <w:sz w:val="20"/>
                <w:szCs w:val="20"/>
              </w:rPr>
              <w:t>.00</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E637B" w:rsidR="00C13027" w:rsidP="000A5653" w:rsidRDefault="00C13027" w14:paraId="4FF68201" w14:textId="0C90D743">
            <w:pPr>
              <w:overflowPunct w:val="0"/>
              <w:autoSpaceDE w:val="0"/>
              <w:autoSpaceDN w:val="0"/>
              <w:jc w:val="cente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 xml:space="preserve">1 </w:t>
            </w:r>
            <w:r w:rsidRPr="006E637B" w:rsidR="00836B7C">
              <w:rPr>
                <w:rFonts w:ascii="Times New Roman" w:hAnsi="Times New Roman" w:eastAsia="Times New Roman" w:cs="Times New Roman"/>
                <w:color w:val="000000"/>
                <w:sz w:val="20"/>
                <w:szCs w:val="20"/>
              </w:rPr>
              <w:t>.00</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E637B" w:rsidR="00C13027" w:rsidP="000A5653" w:rsidRDefault="00C13027" w14:paraId="3EE65301" w14:textId="2D54AD90">
            <w:pPr>
              <w:jc w:val="cente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1</w:t>
            </w:r>
            <w:r w:rsidRPr="006E637B" w:rsidR="00836B7C">
              <w:rPr>
                <w:rFonts w:ascii="Times New Roman" w:hAnsi="Times New Roman" w:eastAsia="Times New Roman" w:cs="Times New Roman"/>
                <w:color w:val="000000"/>
                <w:sz w:val="20"/>
                <w:szCs w:val="20"/>
              </w:rPr>
              <w:t>,300.00</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E637B" w:rsidR="00C13027" w:rsidP="000A5653" w:rsidRDefault="00573E5A" w14:paraId="250B23C2" w14:textId="5DE24066">
            <w:pPr>
              <w:overflowPunct w:val="0"/>
              <w:autoSpaceDE w:val="0"/>
              <w:autoSpaceDN w:val="0"/>
              <w:jc w:val="cente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0.33</w:t>
            </w:r>
            <w:r w:rsidRPr="006E637B" w:rsidR="00E14BD0">
              <w:rPr>
                <w:rStyle w:val="FootnoteReference"/>
                <w:rFonts w:ascii="Times New Roman" w:hAnsi="Times New Roman" w:eastAsia="Times New Roman" w:cs="Times New Roman"/>
                <w:color w:val="000000"/>
                <w:sz w:val="20"/>
                <w:szCs w:val="20"/>
              </w:rPr>
              <w:footnoteReference w:id="4"/>
            </w:r>
          </w:p>
        </w:tc>
        <w:tc>
          <w:tcPr>
            <w:tcW w:w="14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E637B" w:rsidR="00C13027" w:rsidP="000A5653" w:rsidRDefault="00236D04" w14:paraId="37678D83" w14:textId="77B8695B">
            <w:pPr>
              <w:overflowPunct w:val="0"/>
              <w:autoSpaceDE w:val="0"/>
              <w:autoSpaceDN w:val="0"/>
              <w:jc w:val="cente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429</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E637B" w:rsidR="00C13027" w:rsidP="000A5653" w:rsidRDefault="00C13027" w14:paraId="1AACB1BC" w14:textId="7ACE4363">
            <w:pPr>
              <w:overflowPunct w:val="0"/>
              <w:autoSpaceDE w:val="0"/>
              <w:autoSpaceDN w:val="0"/>
              <w:jc w:val="cente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w:t>
            </w:r>
            <w:r w:rsidRPr="006E637B" w:rsidR="00FC697E">
              <w:rPr>
                <w:rFonts w:ascii="Times New Roman" w:hAnsi="Times New Roman" w:eastAsia="Times New Roman" w:cs="Times New Roman"/>
                <w:color w:val="000000"/>
                <w:sz w:val="20"/>
                <w:szCs w:val="20"/>
              </w:rPr>
              <w:t>9.87</w:t>
            </w:r>
            <w:r w:rsidRPr="006E637B">
              <w:rPr>
                <w:rFonts w:ascii="Times New Roman" w:hAnsi="Times New Roman" w:eastAsia="Times New Roman" w:cs="Times New Roman"/>
                <w:color w:val="000000"/>
                <w:sz w:val="20"/>
                <w:szCs w:val="20"/>
                <w:vertAlign w:val="superscript"/>
              </w:rPr>
              <w:footnoteReference w:id="5"/>
            </w:r>
          </w:p>
        </w:tc>
        <w:tc>
          <w:tcPr>
            <w:tcW w:w="13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E637B" w:rsidR="00C13027" w:rsidP="000A5653" w:rsidRDefault="00C13027" w14:paraId="6E2B3649" w14:textId="4672D623">
            <w:pPr>
              <w:jc w:val="center"/>
              <w:rPr>
                <w:rFonts w:ascii="Times New Roman" w:hAnsi="Times New Roman" w:eastAsia="Times New Roman" w:cs="Times New Roman"/>
                <w:color w:val="000000"/>
                <w:sz w:val="20"/>
                <w:szCs w:val="20"/>
                <w:highlight w:val="yellow"/>
              </w:rPr>
            </w:pPr>
            <w:r w:rsidRPr="006E637B">
              <w:rPr>
                <w:rFonts w:ascii="Times New Roman" w:hAnsi="Times New Roman" w:eastAsia="Times New Roman" w:cs="Times New Roman"/>
                <w:color w:val="000000"/>
                <w:sz w:val="20"/>
                <w:szCs w:val="20"/>
              </w:rPr>
              <w:t>$</w:t>
            </w:r>
            <w:r w:rsidRPr="006E637B" w:rsidR="00E61E2E">
              <w:rPr>
                <w:rFonts w:ascii="Times New Roman" w:hAnsi="Times New Roman" w:eastAsia="Times New Roman" w:cs="Times New Roman"/>
                <w:color w:val="000000"/>
                <w:sz w:val="20"/>
                <w:szCs w:val="20"/>
              </w:rPr>
              <w:t>4,</w:t>
            </w:r>
            <w:r w:rsidRPr="006E637B" w:rsidR="006C38A5">
              <w:rPr>
                <w:rFonts w:ascii="Times New Roman" w:hAnsi="Times New Roman" w:eastAsia="Times New Roman" w:cs="Times New Roman"/>
                <w:color w:val="000000"/>
                <w:sz w:val="20"/>
                <w:szCs w:val="20"/>
              </w:rPr>
              <w:t>234.23</w:t>
            </w:r>
            <w:r w:rsidRPr="006E637B">
              <w:rPr>
                <w:rFonts w:ascii="Times New Roman" w:hAnsi="Times New Roman" w:eastAsia="Times New Roman" w:cs="Times New Roman"/>
                <w:color w:val="000000"/>
                <w:sz w:val="20"/>
                <w:szCs w:val="20"/>
                <w:vertAlign w:val="superscript"/>
              </w:rPr>
              <w:footnoteReference w:id="6"/>
            </w:r>
          </w:p>
        </w:tc>
      </w:tr>
    </w:tbl>
    <w:p w:rsidR="00C13027" w:rsidP="00435881" w:rsidRDefault="00C13027" w14:paraId="0045296B" w14:textId="77777777">
      <w:pPr>
        <w:ind w:left="480"/>
        <w:jc w:val="both"/>
        <w:rPr>
          <w:rFonts w:ascii="Times New Roman" w:hAnsi="Times New Roman" w:cs="Times New Roman"/>
          <w:b/>
          <w:sz w:val="24"/>
          <w:szCs w:val="24"/>
        </w:rPr>
      </w:pPr>
    </w:p>
    <w:p w:rsidRPr="003F63A6" w:rsidR="00923543" w:rsidP="00435881" w:rsidRDefault="00923543" w14:paraId="79E89E27" w14:textId="77777777">
      <w:pPr>
        <w:ind w:left="480"/>
        <w:jc w:val="both"/>
        <w:rPr>
          <w:rFonts w:ascii="Times New Roman" w:hAnsi="Times New Roman" w:cs="Times New Roman"/>
          <w:b/>
          <w:sz w:val="24"/>
          <w:szCs w:val="24"/>
        </w:rPr>
      </w:pPr>
      <w:r w:rsidRPr="003F63A6">
        <w:rPr>
          <w:rFonts w:ascii="Times New Roman" w:hAnsi="Times New Roman" w:cs="Times New Roman"/>
          <w:b/>
          <w:sz w:val="24"/>
          <w:szCs w:val="24"/>
        </w:rPr>
        <w:t>Hours and Burden</w:t>
      </w:r>
    </w:p>
    <w:p w:rsidRPr="003F63A6" w:rsidR="00923543" w:rsidP="00435881" w:rsidRDefault="00923543" w14:paraId="6C08348D" w14:textId="77777777">
      <w:pPr>
        <w:ind w:left="480"/>
        <w:jc w:val="both"/>
        <w:rPr>
          <w:rFonts w:ascii="Times New Roman" w:hAnsi="Times New Roman" w:cs="Times New Roman"/>
          <w:b/>
          <w:sz w:val="24"/>
          <w:szCs w:val="24"/>
        </w:rPr>
      </w:pPr>
    </w:p>
    <w:p w:rsidRPr="003F63A6" w:rsidR="00923543" w:rsidP="00435881" w:rsidRDefault="00923543" w14:paraId="11D50521" w14:textId="77777777">
      <w:pPr>
        <w:ind w:left="480"/>
        <w:jc w:val="both"/>
        <w:rPr>
          <w:rFonts w:ascii="Times New Roman" w:hAnsi="Times New Roman" w:cs="Times New Roman"/>
          <w:b/>
          <w:bCs/>
          <w:iCs/>
          <w:sz w:val="24"/>
          <w:szCs w:val="24"/>
        </w:rPr>
      </w:pPr>
      <w:r w:rsidRPr="003F63A6">
        <w:rPr>
          <w:rFonts w:ascii="Times New Roman" w:hAnsi="Times New Roman" w:cs="Times New Roman"/>
          <w:b/>
          <w:bCs/>
          <w:iCs/>
          <w:sz w:val="24"/>
          <w:szCs w:val="24"/>
        </w:rPr>
        <w:t>Members of the affected public:</w:t>
      </w:r>
    </w:p>
    <w:tbl>
      <w:tblPr>
        <w:tblW w:w="10691"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53"/>
        <w:gridCol w:w="2538"/>
      </w:tblGrid>
      <w:tr w:rsidRPr="006E637B" w:rsidR="00923543" w:rsidTr="006E637B" w14:paraId="69558A69" w14:textId="77777777">
        <w:tc>
          <w:tcPr>
            <w:tcW w:w="8153" w:type="dxa"/>
          </w:tcPr>
          <w:p w:rsidRPr="006E637B" w:rsidR="00923543" w:rsidP="00435881" w:rsidRDefault="00923543" w14:paraId="343278DD" w14:textId="77777777">
            <w:pPr>
              <w:jc w:val="both"/>
              <w:rPr>
                <w:rFonts w:ascii="Times New Roman" w:hAnsi="Times New Roman" w:cs="Times New Roman"/>
                <w:sz w:val="20"/>
                <w:szCs w:val="20"/>
              </w:rPr>
            </w:pPr>
            <w:r w:rsidRPr="006E637B">
              <w:rPr>
                <w:rFonts w:ascii="Times New Roman" w:hAnsi="Times New Roman" w:cs="Times New Roman"/>
                <w:sz w:val="20"/>
                <w:szCs w:val="20"/>
              </w:rPr>
              <w:t>Families receiving subsidized housing and enrolled in the FSS program (treatment group):</w:t>
            </w:r>
          </w:p>
        </w:tc>
        <w:tc>
          <w:tcPr>
            <w:tcW w:w="2538" w:type="dxa"/>
          </w:tcPr>
          <w:p w:rsidRPr="006E637B" w:rsidR="00923543" w:rsidP="00435881" w:rsidRDefault="00765C21" w14:paraId="0F5380C4" w14:textId="7774A439">
            <w:pPr>
              <w:jc w:val="both"/>
              <w:rPr>
                <w:rFonts w:ascii="Times New Roman" w:hAnsi="Times New Roman" w:cs="Times New Roman"/>
                <w:sz w:val="20"/>
                <w:szCs w:val="20"/>
              </w:rPr>
            </w:pPr>
            <w:r w:rsidRPr="006E637B">
              <w:rPr>
                <w:rFonts w:ascii="Times New Roman" w:hAnsi="Times New Roman" w:cs="Times New Roman"/>
                <w:sz w:val="20"/>
                <w:szCs w:val="20"/>
              </w:rPr>
              <w:t>650</w:t>
            </w:r>
          </w:p>
          <w:p w:rsidRPr="006E637B" w:rsidR="00923543" w:rsidP="00435881" w:rsidRDefault="00923543" w14:paraId="117FA7D0" w14:textId="77777777">
            <w:pPr>
              <w:jc w:val="both"/>
              <w:rPr>
                <w:rFonts w:ascii="Times New Roman" w:hAnsi="Times New Roman" w:cs="Times New Roman"/>
                <w:b/>
                <w:bCs/>
                <w:iCs/>
                <w:sz w:val="20"/>
                <w:szCs w:val="20"/>
              </w:rPr>
            </w:pPr>
          </w:p>
        </w:tc>
      </w:tr>
      <w:tr w:rsidRPr="006E637B" w:rsidR="00923543" w:rsidTr="006E637B" w14:paraId="61183BB5" w14:textId="77777777">
        <w:tc>
          <w:tcPr>
            <w:tcW w:w="8153" w:type="dxa"/>
          </w:tcPr>
          <w:p w:rsidRPr="006E637B" w:rsidR="00923543" w:rsidP="00435881" w:rsidRDefault="00923543" w14:paraId="11ABD2A9" w14:textId="77777777">
            <w:pPr>
              <w:jc w:val="both"/>
              <w:rPr>
                <w:rFonts w:ascii="Times New Roman" w:hAnsi="Times New Roman" w:cs="Times New Roman"/>
                <w:sz w:val="20"/>
                <w:szCs w:val="20"/>
              </w:rPr>
            </w:pPr>
            <w:r w:rsidRPr="006E637B">
              <w:rPr>
                <w:rFonts w:ascii="Times New Roman" w:hAnsi="Times New Roman" w:cs="Times New Roman"/>
                <w:sz w:val="20"/>
                <w:szCs w:val="20"/>
              </w:rPr>
              <w:t>Families receiving subsidized housing and not enrolled in the FSS program (control group):</w:t>
            </w:r>
          </w:p>
        </w:tc>
        <w:tc>
          <w:tcPr>
            <w:tcW w:w="2538" w:type="dxa"/>
          </w:tcPr>
          <w:p w:rsidRPr="006E637B" w:rsidR="00923543" w:rsidP="00435881" w:rsidRDefault="00765C21" w14:paraId="07BD622F" w14:textId="151C418E">
            <w:pPr>
              <w:jc w:val="both"/>
              <w:rPr>
                <w:rFonts w:ascii="Times New Roman" w:hAnsi="Times New Roman" w:cs="Times New Roman"/>
                <w:sz w:val="20"/>
                <w:szCs w:val="20"/>
              </w:rPr>
            </w:pPr>
            <w:r w:rsidRPr="006E637B">
              <w:rPr>
                <w:rFonts w:ascii="Times New Roman" w:hAnsi="Times New Roman" w:cs="Times New Roman"/>
                <w:sz w:val="20"/>
                <w:szCs w:val="20"/>
              </w:rPr>
              <w:t>650</w:t>
            </w:r>
          </w:p>
          <w:p w:rsidRPr="006E637B" w:rsidR="00923543" w:rsidP="00435881" w:rsidRDefault="00923543" w14:paraId="076C4ED0" w14:textId="77777777">
            <w:pPr>
              <w:jc w:val="both"/>
              <w:rPr>
                <w:rFonts w:ascii="Times New Roman" w:hAnsi="Times New Roman" w:cs="Times New Roman"/>
                <w:b/>
                <w:bCs/>
                <w:iCs/>
                <w:sz w:val="20"/>
                <w:szCs w:val="20"/>
              </w:rPr>
            </w:pPr>
          </w:p>
        </w:tc>
      </w:tr>
    </w:tbl>
    <w:p w:rsidRPr="003F63A6" w:rsidR="00923543" w:rsidP="00435881" w:rsidRDefault="00923543" w14:paraId="79B766CB" w14:textId="77777777">
      <w:pPr>
        <w:ind w:left="480"/>
        <w:jc w:val="both"/>
        <w:rPr>
          <w:rFonts w:ascii="Times New Roman" w:hAnsi="Times New Roman" w:cs="Times New Roman"/>
          <w:b/>
          <w:bCs/>
          <w:iCs/>
          <w:sz w:val="24"/>
          <w:szCs w:val="24"/>
        </w:rPr>
      </w:pPr>
    </w:p>
    <w:p w:rsidRPr="003F63A6" w:rsidR="00923543" w:rsidP="00435881" w:rsidRDefault="00923543" w14:paraId="0BEF63FF" w14:textId="77777777">
      <w:pPr>
        <w:ind w:left="480"/>
        <w:jc w:val="both"/>
        <w:rPr>
          <w:rFonts w:ascii="Times New Roman" w:hAnsi="Times New Roman" w:cs="Times New Roman"/>
          <w:sz w:val="24"/>
          <w:szCs w:val="24"/>
        </w:rPr>
      </w:pPr>
      <w:r w:rsidRPr="003F63A6">
        <w:rPr>
          <w:rFonts w:ascii="Times New Roman" w:hAnsi="Times New Roman" w:cs="Times New Roman"/>
          <w:b/>
          <w:bCs/>
          <w:iCs/>
          <w:sz w:val="24"/>
          <w:szCs w:val="24"/>
        </w:rPr>
        <w:t>Estimation of the total number of hours needed to prepare the information collection including number of respondents, frequency of response, and hours of response</w:t>
      </w:r>
      <w:r w:rsidRPr="003F63A6">
        <w:rPr>
          <w:rFonts w:ascii="Times New Roman" w:hAnsi="Times New Roman" w:cs="Times New Roman"/>
          <w:b/>
          <w:sz w:val="24"/>
          <w:szCs w:val="24"/>
        </w:rPr>
        <w:t>:</w:t>
      </w:r>
      <w:r w:rsidRPr="003F63A6">
        <w:rPr>
          <w:rFonts w:ascii="Times New Roman" w:hAnsi="Times New Roman" w:cs="Times New Roman"/>
          <w:sz w:val="24"/>
          <w:szCs w:val="24"/>
        </w:rPr>
        <w:t xml:space="preserve">  </w:t>
      </w:r>
    </w:p>
    <w:p w:rsidRPr="003F63A6" w:rsidR="00923543" w:rsidP="00435881" w:rsidRDefault="00923543" w14:paraId="79DBF6FD" w14:textId="77777777">
      <w:pPr>
        <w:ind w:left="480"/>
        <w:jc w:val="both"/>
        <w:rPr>
          <w:rFonts w:ascii="Times New Roman" w:hAnsi="Times New Roman" w:cs="Times New Roman"/>
          <w:sz w:val="24"/>
          <w:szCs w:val="24"/>
        </w:rPr>
      </w:pPr>
    </w:p>
    <w:tbl>
      <w:tblPr>
        <w:tblW w:w="10763"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63"/>
        <w:gridCol w:w="1530"/>
        <w:gridCol w:w="1800"/>
        <w:gridCol w:w="2075"/>
        <w:gridCol w:w="1795"/>
      </w:tblGrid>
      <w:tr w:rsidRPr="006E637B" w:rsidR="00923543" w:rsidTr="006E637B" w14:paraId="159F5B26" w14:textId="77777777">
        <w:trPr>
          <w:trHeight w:val="683"/>
        </w:trPr>
        <w:tc>
          <w:tcPr>
            <w:tcW w:w="3563" w:type="dxa"/>
          </w:tcPr>
          <w:p w:rsidRPr="006E637B" w:rsidR="00923543" w:rsidP="00435881" w:rsidRDefault="00923543" w14:paraId="069F4173" w14:textId="77777777">
            <w:pPr>
              <w:jc w:val="both"/>
              <w:rPr>
                <w:rFonts w:ascii="Times New Roman" w:hAnsi="Times New Roman" w:eastAsia="Arial Unicode MS" w:cs="Times New Roman"/>
                <w:b/>
                <w:bCs/>
                <w:snapToGrid w:val="0"/>
                <w:sz w:val="20"/>
                <w:szCs w:val="20"/>
              </w:rPr>
            </w:pPr>
          </w:p>
          <w:p w:rsidRPr="006E637B" w:rsidR="00923543" w:rsidP="00435881" w:rsidRDefault="00923543" w14:paraId="269E7DDE" w14:textId="77777777">
            <w:pPr>
              <w:jc w:val="both"/>
              <w:rPr>
                <w:rFonts w:ascii="Times New Roman" w:hAnsi="Times New Roman" w:eastAsia="Arial Unicode MS" w:cs="Times New Roman"/>
                <w:b/>
                <w:bCs/>
                <w:snapToGrid w:val="0"/>
                <w:sz w:val="20"/>
                <w:szCs w:val="20"/>
              </w:rPr>
            </w:pPr>
            <w:r w:rsidRPr="006E637B">
              <w:rPr>
                <w:rFonts w:ascii="Times New Roman" w:hAnsi="Times New Roman" w:eastAsia="Arial Unicode MS" w:cs="Times New Roman"/>
                <w:b/>
                <w:bCs/>
                <w:snapToGrid w:val="0"/>
                <w:sz w:val="20"/>
                <w:szCs w:val="20"/>
              </w:rPr>
              <w:t>Instrument</w:t>
            </w:r>
          </w:p>
        </w:tc>
        <w:tc>
          <w:tcPr>
            <w:tcW w:w="1530" w:type="dxa"/>
          </w:tcPr>
          <w:p w:rsidRPr="006E637B" w:rsidR="00923543" w:rsidP="00435881" w:rsidRDefault="00923543" w14:paraId="294F841E" w14:textId="77777777">
            <w:pPr>
              <w:jc w:val="both"/>
              <w:rPr>
                <w:rFonts w:ascii="Times New Roman" w:hAnsi="Times New Roman" w:eastAsia="Arial Unicode MS" w:cs="Times New Roman"/>
                <w:b/>
                <w:bCs/>
                <w:snapToGrid w:val="0"/>
                <w:sz w:val="20"/>
                <w:szCs w:val="20"/>
              </w:rPr>
            </w:pPr>
            <w:r w:rsidRPr="006E637B">
              <w:rPr>
                <w:rFonts w:ascii="Times New Roman" w:hAnsi="Times New Roman" w:eastAsia="Arial Unicode MS" w:cs="Times New Roman"/>
                <w:b/>
                <w:bCs/>
                <w:snapToGrid w:val="0"/>
                <w:sz w:val="20"/>
                <w:szCs w:val="20"/>
              </w:rPr>
              <w:t>Number of Respondents</w:t>
            </w:r>
          </w:p>
        </w:tc>
        <w:tc>
          <w:tcPr>
            <w:tcW w:w="1800" w:type="dxa"/>
          </w:tcPr>
          <w:p w:rsidRPr="006E637B" w:rsidR="00923543" w:rsidP="00435881" w:rsidRDefault="00923543" w14:paraId="6A8C3DE6" w14:textId="77777777">
            <w:pPr>
              <w:jc w:val="both"/>
              <w:rPr>
                <w:rFonts w:ascii="Times New Roman" w:hAnsi="Times New Roman" w:eastAsia="Arial Unicode MS" w:cs="Times New Roman"/>
                <w:b/>
                <w:bCs/>
                <w:snapToGrid w:val="0"/>
                <w:sz w:val="20"/>
                <w:szCs w:val="20"/>
              </w:rPr>
            </w:pPr>
            <w:r w:rsidRPr="006E637B">
              <w:rPr>
                <w:rFonts w:ascii="Times New Roman" w:hAnsi="Times New Roman" w:eastAsia="Arial Unicode MS" w:cs="Times New Roman"/>
                <w:b/>
                <w:bCs/>
                <w:snapToGrid w:val="0"/>
                <w:sz w:val="20"/>
                <w:szCs w:val="20"/>
              </w:rPr>
              <w:t>Number responses per respondent</w:t>
            </w:r>
          </w:p>
        </w:tc>
        <w:tc>
          <w:tcPr>
            <w:tcW w:w="2075" w:type="dxa"/>
          </w:tcPr>
          <w:p w:rsidRPr="006E637B" w:rsidR="00923543" w:rsidP="00435881" w:rsidRDefault="00923543" w14:paraId="212F99F1" w14:textId="77777777">
            <w:pPr>
              <w:tabs>
                <w:tab w:val="left" w:pos="1309"/>
                <w:tab w:val="left" w:pos="2727"/>
              </w:tabs>
              <w:jc w:val="both"/>
              <w:rPr>
                <w:rFonts w:ascii="Times New Roman" w:hAnsi="Times New Roman" w:eastAsia="Arial Unicode MS" w:cs="Times New Roman"/>
                <w:b/>
                <w:bCs/>
                <w:snapToGrid w:val="0"/>
                <w:sz w:val="20"/>
                <w:szCs w:val="20"/>
              </w:rPr>
            </w:pPr>
            <w:r w:rsidRPr="006E637B">
              <w:rPr>
                <w:rFonts w:ascii="Times New Roman" w:hAnsi="Times New Roman" w:eastAsia="Arial Unicode MS" w:cs="Times New Roman"/>
                <w:b/>
                <w:bCs/>
                <w:snapToGrid w:val="0"/>
                <w:sz w:val="20"/>
                <w:szCs w:val="20"/>
              </w:rPr>
              <w:t>Average burden/ response (in hours)</w:t>
            </w:r>
          </w:p>
        </w:tc>
        <w:tc>
          <w:tcPr>
            <w:tcW w:w="1795" w:type="dxa"/>
          </w:tcPr>
          <w:p w:rsidRPr="006E637B" w:rsidR="00923543" w:rsidP="00435881" w:rsidRDefault="00923543" w14:paraId="3A316FEB" w14:textId="77777777">
            <w:pPr>
              <w:jc w:val="both"/>
              <w:rPr>
                <w:rFonts w:ascii="Times New Roman" w:hAnsi="Times New Roman" w:eastAsia="Arial Unicode MS" w:cs="Times New Roman"/>
                <w:b/>
                <w:bCs/>
                <w:snapToGrid w:val="0"/>
                <w:sz w:val="20"/>
                <w:szCs w:val="20"/>
              </w:rPr>
            </w:pPr>
            <w:r w:rsidRPr="006E637B">
              <w:rPr>
                <w:rFonts w:ascii="Times New Roman" w:hAnsi="Times New Roman" w:eastAsia="Arial Unicode MS" w:cs="Times New Roman"/>
                <w:b/>
                <w:bCs/>
                <w:snapToGrid w:val="0"/>
                <w:sz w:val="20"/>
                <w:szCs w:val="20"/>
              </w:rPr>
              <w:t>Total burden hours</w:t>
            </w:r>
          </w:p>
        </w:tc>
      </w:tr>
      <w:tr w:rsidRPr="006E637B" w:rsidR="00923543" w:rsidTr="006E637B" w14:paraId="350EDEE8" w14:textId="77777777">
        <w:trPr>
          <w:trHeight w:val="467"/>
        </w:trPr>
        <w:tc>
          <w:tcPr>
            <w:tcW w:w="3563" w:type="dxa"/>
          </w:tcPr>
          <w:p w:rsidRPr="006E637B" w:rsidR="00836B7C" w:rsidP="00435881" w:rsidRDefault="00923543" w14:paraId="3CE7491F" w14:textId="77777777">
            <w:pPr>
              <w:jc w:val="both"/>
              <w:rPr>
                <w:rFonts w:ascii="Times New Roman" w:hAnsi="Times New Roman" w:eastAsia="Arial Unicode MS" w:cs="Times New Roman"/>
                <w:bCs/>
                <w:snapToGrid w:val="0"/>
                <w:sz w:val="20"/>
                <w:szCs w:val="20"/>
              </w:rPr>
            </w:pPr>
            <w:r w:rsidRPr="006E637B">
              <w:rPr>
                <w:rFonts w:ascii="Times New Roman" w:hAnsi="Times New Roman" w:eastAsia="Arial Unicode MS" w:cs="Times New Roman"/>
                <w:bCs/>
                <w:snapToGrid w:val="0"/>
                <w:sz w:val="20"/>
                <w:szCs w:val="20"/>
              </w:rPr>
              <w:t>FSS</w:t>
            </w:r>
            <w:r w:rsidRPr="006E637B" w:rsidR="00836B7C">
              <w:rPr>
                <w:rFonts w:ascii="Times New Roman" w:hAnsi="Times New Roman" w:eastAsia="Arial Unicode MS" w:cs="Times New Roman"/>
                <w:bCs/>
                <w:snapToGrid w:val="0"/>
                <w:sz w:val="20"/>
                <w:szCs w:val="20"/>
              </w:rPr>
              <w:t xml:space="preserve"> </w:t>
            </w:r>
          </w:p>
          <w:p w:rsidRPr="006E637B" w:rsidR="00923543" w:rsidP="00435881" w:rsidRDefault="00B24041" w14:paraId="1D786CF1" w14:textId="2B3C21BE">
            <w:pPr>
              <w:jc w:val="both"/>
              <w:rPr>
                <w:rFonts w:ascii="Times New Roman" w:hAnsi="Times New Roman" w:eastAsia="Arial Unicode MS" w:cs="Times New Roman"/>
                <w:bCs/>
                <w:snapToGrid w:val="0"/>
                <w:sz w:val="20"/>
                <w:szCs w:val="20"/>
              </w:rPr>
            </w:pPr>
            <w:r w:rsidRPr="006E637B">
              <w:rPr>
                <w:rFonts w:ascii="Times New Roman" w:hAnsi="Times New Roman" w:eastAsia="Arial Unicode MS" w:cs="Times New Roman"/>
                <w:bCs/>
                <w:snapToGrid w:val="0"/>
                <w:sz w:val="20"/>
                <w:szCs w:val="20"/>
              </w:rPr>
              <w:t>l</w:t>
            </w:r>
            <w:r w:rsidRPr="006E637B" w:rsidR="00923543">
              <w:rPr>
                <w:rFonts w:ascii="Times New Roman" w:hAnsi="Times New Roman" w:eastAsia="Arial Unicode MS" w:cs="Times New Roman"/>
                <w:bCs/>
                <w:snapToGrid w:val="0"/>
                <w:sz w:val="20"/>
                <w:szCs w:val="20"/>
              </w:rPr>
              <w:t>ong-</w:t>
            </w:r>
            <w:r w:rsidRPr="006E637B">
              <w:rPr>
                <w:rFonts w:ascii="Times New Roman" w:hAnsi="Times New Roman" w:eastAsia="Arial Unicode MS" w:cs="Times New Roman"/>
                <w:bCs/>
                <w:snapToGrid w:val="0"/>
                <w:sz w:val="20"/>
                <w:szCs w:val="20"/>
              </w:rPr>
              <w:t>t</w:t>
            </w:r>
            <w:r w:rsidRPr="006E637B" w:rsidR="00923543">
              <w:rPr>
                <w:rFonts w:ascii="Times New Roman" w:hAnsi="Times New Roman" w:eastAsia="Arial Unicode MS" w:cs="Times New Roman"/>
                <w:bCs/>
                <w:snapToGrid w:val="0"/>
                <w:sz w:val="20"/>
                <w:szCs w:val="20"/>
              </w:rPr>
              <w:t xml:space="preserve">erm </w:t>
            </w:r>
            <w:r w:rsidRPr="006E637B">
              <w:rPr>
                <w:rFonts w:ascii="Times New Roman" w:hAnsi="Times New Roman" w:eastAsia="Arial Unicode MS" w:cs="Times New Roman"/>
                <w:bCs/>
                <w:snapToGrid w:val="0"/>
                <w:sz w:val="20"/>
                <w:szCs w:val="20"/>
              </w:rPr>
              <w:t>f</w:t>
            </w:r>
            <w:r w:rsidRPr="006E637B" w:rsidR="00923543">
              <w:rPr>
                <w:rFonts w:ascii="Times New Roman" w:hAnsi="Times New Roman" w:eastAsia="Arial Unicode MS" w:cs="Times New Roman"/>
                <w:bCs/>
                <w:snapToGrid w:val="0"/>
                <w:sz w:val="20"/>
                <w:szCs w:val="20"/>
              </w:rPr>
              <w:t>ollow-</w:t>
            </w:r>
            <w:r w:rsidRPr="006E637B">
              <w:rPr>
                <w:rFonts w:ascii="Times New Roman" w:hAnsi="Times New Roman" w:eastAsia="Arial Unicode MS" w:cs="Times New Roman"/>
                <w:bCs/>
                <w:snapToGrid w:val="0"/>
                <w:sz w:val="20"/>
                <w:szCs w:val="20"/>
              </w:rPr>
              <w:t>u</w:t>
            </w:r>
            <w:r w:rsidRPr="006E637B" w:rsidR="00923543">
              <w:rPr>
                <w:rFonts w:ascii="Times New Roman" w:hAnsi="Times New Roman" w:eastAsia="Arial Unicode MS" w:cs="Times New Roman"/>
                <w:bCs/>
                <w:snapToGrid w:val="0"/>
                <w:sz w:val="20"/>
                <w:szCs w:val="20"/>
              </w:rPr>
              <w:t xml:space="preserve">p </w:t>
            </w:r>
          </w:p>
        </w:tc>
        <w:tc>
          <w:tcPr>
            <w:tcW w:w="1530" w:type="dxa"/>
          </w:tcPr>
          <w:p w:rsidRPr="006E637B" w:rsidR="00923543" w:rsidP="00435881" w:rsidRDefault="00E8697D" w14:paraId="2FF80C81" w14:textId="3F70735A">
            <w:pPr>
              <w:jc w:val="both"/>
              <w:rPr>
                <w:rFonts w:ascii="Times New Roman" w:hAnsi="Times New Roman" w:eastAsia="Arial Unicode MS" w:cs="Times New Roman"/>
                <w:bCs/>
                <w:snapToGrid w:val="0"/>
                <w:sz w:val="20"/>
                <w:szCs w:val="20"/>
              </w:rPr>
            </w:pPr>
            <w:r w:rsidRPr="006E637B">
              <w:rPr>
                <w:rFonts w:ascii="Times New Roman" w:hAnsi="Times New Roman" w:eastAsia="Arial Unicode MS" w:cs="Times New Roman"/>
                <w:bCs/>
                <w:snapToGrid w:val="0"/>
                <w:sz w:val="20"/>
                <w:szCs w:val="20"/>
              </w:rPr>
              <w:t>1,300</w:t>
            </w:r>
          </w:p>
        </w:tc>
        <w:tc>
          <w:tcPr>
            <w:tcW w:w="1800" w:type="dxa"/>
          </w:tcPr>
          <w:p w:rsidRPr="006E637B" w:rsidR="00923543" w:rsidP="00435881" w:rsidRDefault="00923543" w14:paraId="5A04781E" w14:textId="77777777">
            <w:pPr>
              <w:jc w:val="both"/>
              <w:rPr>
                <w:rFonts w:ascii="Times New Roman" w:hAnsi="Times New Roman" w:eastAsia="Arial Unicode MS" w:cs="Times New Roman"/>
                <w:bCs/>
                <w:snapToGrid w:val="0"/>
                <w:sz w:val="20"/>
                <w:szCs w:val="20"/>
              </w:rPr>
            </w:pPr>
            <w:r w:rsidRPr="006E637B">
              <w:rPr>
                <w:rFonts w:ascii="Times New Roman" w:hAnsi="Times New Roman" w:eastAsia="Arial Unicode MS" w:cs="Times New Roman"/>
                <w:bCs/>
                <w:snapToGrid w:val="0"/>
                <w:sz w:val="20"/>
                <w:szCs w:val="20"/>
              </w:rPr>
              <w:t>1</w:t>
            </w:r>
          </w:p>
        </w:tc>
        <w:tc>
          <w:tcPr>
            <w:tcW w:w="2075" w:type="dxa"/>
          </w:tcPr>
          <w:p w:rsidRPr="006E637B" w:rsidR="00923543" w:rsidP="00435881" w:rsidRDefault="00D9386C" w14:paraId="78810D22" w14:textId="2D186102">
            <w:pPr>
              <w:jc w:val="both"/>
              <w:rPr>
                <w:rFonts w:ascii="Times New Roman" w:hAnsi="Times New Roman" w:eastAsia="Arial Unicode MS" w:cs="Times New Roman"/>
                <w:bCs/>
                <w:snapToGrid w:val="0"/>
                <w:sz w:val="20"/>
                <w:szCs w:val="20"/>
              </w:rPr>
            </w:pPr>
            <w:r w:rsidRPr="006E637B">
              <w:rPr>
                <w:rFonts w:ascii="Times New Roman" w:hAnsi="Times New Roman" w:eastAsia="Arial Unicode MS" w:cs="Times New Roman"/>
                <w:bCs/>
                <w:snapToGrid w:val="0"/>
                <w:sz w:val="20"/>
                <w:szCs w:val="20"/>
              </w:rPr>
              <w:t>0.33 (</w:t>
            </w:r>
            <w:r w:rsidRPr="006E637B" w:rsidR="00E8697D">
              <w:rPr>
                <w:rFonts w:ascii="Times New Roman" w:hAnsi="Times New Roman" w:eastAsia="Arial Unicode MS" w:cs="Times New Roman"/>
                <w:bCs/>
                <w:snapToGrid w:val="0"/>
                <w:sz w:val="20"/>
                <w:szCs w:val="20"/>
              </w:rPr>
              <w:t>20</w:t>
            </w:r>
            <w:r w:rsidRPr="006E637B" w:rsidR="00923543">
              <w:rPr>
                <w:rFonts w:ascii="Times New Roman" w:hAnsi="Times New Roman" w:eastAsia="Arial Unicode MS" w:cs="Times New Roman"/>
                <w:bCs/>
                <w:snapToGrid w:val="0"/>
                <w:sz w:val="20"/>
                <w:szCs w:val="20"/>
              </w:rPr>
              <w:t xml:space="preserve"> minutes)</w:t>
            </w:r>
          </w:p>
        </w:tc>
        <w:tc>
          <w:tcPr>
            <w:tcW w:w="1795" w:type="dxa"/>
          </w:tcPr>
          <w:p w:rsidRPr="006E637B" w:rsidR="00923543" w:rsidP="00435881" w:rsidRDefault="006C38A5" w14:paraId="09E1C352" w14:textId="3FC151E3">
            <w:pPr>
              <w:jc w:val="both"/>
              <w:rPr>
                <w:rFonts w:ascii="Times New Roman" w:hAnsi="Times New Roman" w:eastAsia="Arial Unicode MS" w:cs="Times New Roman"/>
                <w:bCs/>
                <w:snapToGrid w:val="0"/>
                <w:sz w:val="20"/>
                <w:szCs w:val="20"/>
              </w:rPr>
            </w:pPr>
            <w:r w:rsidRPr="006E637B">
              <w:rPr>
                <w:rFonts w:ascii="Times New Roman" w:hAnsi="Times New Roman" w:eastAsia="Arial Unicode MS" w:cs="Times New Roman"/>
                <w:bCs/>
                <w:snapToGrid w:val="0"/>
                <w:sz w:val="20"/>
                <w:szCs w:val="20"/>
              </w:rPr>
              <w:t>429</w:t>
            </w:r>
          </w:p>
        </w:tc>
      </w:tr>
    </w:tbl>
    <w:p w:rsidRPr="003F63A6" w:rsidR="006E637B" w:rsidP="00435881" w:rsidRDefault="006E637B" w14:paraId="1086D276" w14:textId="77777777">
      <w:pPr>
        <w:ind w:left="480"/>
        <w:jc w:val="both"/>
        <w:rPr>
          <w:rFonts w:ascii="Times New Roman" w:hAnsi="Times New Roman" w:cs="Times New Roman"/>
          <w:sz w:val="24"/>
          <w:szCs w:val="24"/>
        </w:rPr>
      </w:pPr>
    </w:p>
    <w:p w:rsidRPr="00A15383" w:rsidR="00DF4E4E" w:rsidP="00435881" w:rsidRDefault="00DF4E4E" w14:paraId="685FE793" w14:textId="003BD325">
      <w:pPr>
        <w:tabs>
          <w:tab w:val="left" w:pos="360"/>
        </w:tabs>
        <w:ind w:left="360" w:hanging="360"/>
        <w:jc w:val="both"/>
        <w:rPr>
          <w:rFonts w:ascii="Times New Roman" w:hAnsi="Times New Roman" w:cs="Times New Roman"/>
          <w:b/>
          <w:sz w:val="24"/>
          <w:szCs w:val="24"/>
        </w:rPr>
      </w:pPr>
      <w:r w:rsidRPr="00A15383">
        <w:rPr>
          <w:rFonts w:ascii="Times New Roman" w:hAnsi="Times New Roman" w:cs="Times New Roman"/>
          <w:b/>
          <w:sz w:val="24"/>
          <w:szCs w:val="24"/>
        </w:rPr>
        <w:t>13.</w:t>
      </w:r>
      <w:r w:rsidRPr="00A15383">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Pr="008036E8" w:rsidR="00DF4E4E" w:rsidP="00435881" w:rsidRDefault="00DF4E4E" w14:paraId="121FD98F" w14:textId="77777777">
      <w:pPr>
        <w:tabs>
          <w:tab w:val="left" w:pos="360"/>
        </w:tabs>
        <w:ind w:left="360" w:hanging="360"/>
        <w:jc w:val="both"/>
        <w:rPr>
          <w:rFonts w:ascii="Times New Roman" w:hAnsi="Times New Roman" w:cs="Times New Roman"/>
          <w:b/>
          <w:sz w:val="24"/>
          <w:szCs w:val="24"/>
        </w:rPr>
      </w:pPr>
    </w:p>
    <w:p w:rsidRPr="00511484" w:rsidR="00DF4E4E" w:rsidP="00435881" w:rsidRDefault="00DF4E4E" w14:paraId="4243F41A" w14:textId="77777777">
      <w:pPr>
        <w:numPr>
          <w:ilvl w:val="0"/>
          <w:numId w:val="9"/>
        </w:numPr>
        <w:tabs>
          <w:tab w:val="left" w:pos="360"/>
        </w:tabs>
        <w:overflowPunct w:val="0"/>
        <w:autoSpaceDE w:val="0"/>
        <w:autoSpaceDN w:val="0"/>
        <w:adjustRightInd w:val="0"/>
        <w:jc w:val="both"/>
        <w:rPr>
          <w:rFonts w:ascii="Times New Roman" w:hAnsi="Times New Roman" w:cs="Times New Roman"/>
          <w:b/>
          <w:sz w:val="24"/>
          <w:szCs w:val="24"/>
        </w:rPr>
      </w:pPr>
      <w:r w:rsidRPr="008036E8">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8036E8">
        <w:rPr>
          <w:rFonts w:ascii="Times New Roman" w:hAnsi="Times New Roman" w:cs="Times New Roman"/>
          <w:b/>
          <w:sz w:val="24"/>
          <w:szCs w:val="24"/>
        </w:rPr>
        <w:t>take into account</w:t>
      </w:r>
      <w:proofErr w:type="gramEnd"/>
      <w:r w:rsidRPr="008036E8">
        <w:rPr>
          <w:rFonts w:ascii="Times New Roman" w:hAnsi="Times New Roman" w:cs="Times New Roman"/>
          <w:b/>
          <w:sz w:val="24"/>
          <w:szCs w:val="24"/>
        </w:rPr>
        <w:t xml:space="preserve"> costs associated with generating, maintaining, an</w:t>
      </w:r>
      <w:r w:rsidRPr="008C4FA2">
        <w:rPr>
          <w:rFonts w:ascii="Times New Roman" w:hAnsi="Times New Roman" w:cs="Times New Roman"/>
          <w:b/>
          <w:sz w:val="24"/>
          <w:szCs w:val="24"/>
        </w:rPr>
        <w:t xml:space="preserve">d disclosing or providing the information.  Include descriptions of methods used to estimate major cost factors including system and technology acquisition, expected useful life of capital equipment, the discount rate(s) and the </w:t>
      </w:r>
      <w:proofErr w:type="gramStart"/>
      <w:r w:rsidRPr="008C4FA2">
        <w:rPr>
          <w:rFonts w:ascii="Times New Roman" w:hAnsi="Times New Roman" w:cs="Times New Roman"/>
          <w:b/>
          <w:sz w:val="24"/>
          <w:szCs w:val="24"/>
        </w:rPr>
        <w:t>time period</w:t>
      </w:r>
      <w:proofErr w:type="gramEnd"/>
      <w:r w:rsidRPr="008C4FA2">
        <w:rPr>
          <w:rFonts w:ascii="Times New Roman" w:hAnsi="Times New Roman" w:cs="Times New Roman"/>
          <w:b/>
          <w:sz w:val="24"/>
          <w:szCs w:val="24"/>
        </w:rPr>
        <w:t xml:space="preserve"> over which cost</w:t>
      </w:r>
      <w:r w:rsidRPr="00511484">
        <w:rPr>
          <w:rFonts w:ascii="Times New Roman" w:hAnsi="Times New Roman" w:cs="Times New Roman"/>
          <w:b/>
          <w:sz w:val="24"/>
          <w:szCs w:val="24"/>
        </w:rPr>
        <w:t xml:space="preserve">s will be incurred.  </w:t>
      </w:r>
      <w:r w:rsidRPr="00511484">
        <w:rPr>
          <w:rFonts w:ascii="Times New Roman" w:hAnsi="Times New Roman" w:cs="Times New Roman"/>
          <w:b/>
          <w:sz w:val="24"/>
          <w:szCs w:val="24"/>
        </w:rPr>
        <w:lastRenderedPageBreak/>
        <w:t xml:space="preserve">Capital and start-up costs include, among other items, preparations for collecting information such as purchasing computers and software; monitoring, sampling, drilling and testing equipment; and record storage </w:t>
      </w:r>
      <w:proofErr w:type="gramStart"/>
      <w:r w:rsidRPr="00511484">
        <w:rPr>
          <w:rFonts w:ascii="Times New Roman" w:hAnsi="Times New Roman" w:cs="Times New Roman"/>
          <w:b/>
          <w:sz w:val="24"/>
          <w:szCs w:val="24"/>
        </w:rPr>
        <w:t>facilities;</w:t>
      </w:r>
      <w:proofErr w:type="gramEnd"/>
      <w:r w:rsidRPr="00511484">
        <w:rPr>
          <w:rFonts w:ascii="Times New Roman" w:hAnsi="Times New Roman" w:cs="Times New Roman"/>
          <w:b/>
          <w:sz w:val="24"/>
          <w:szCs w:val="24"/>
        </w:rPr>
        <w:t xml:space="preserve"> </w:t>
      </w:r>
    </w:p>
    <w:p w:rsidRPr="00511484" w:rsidR="00DF4E4E" w:rsidP="00435881" w:rsidRDefault="00DF4E4E" w14:paraId="43F87365" w14:textId="77777777">
      <w:pPr>
        <w:numPr>
          <w:ilvl w:val="0"/>
          <w:numId w:val="9"/>
        </w:numPr>
        <w:tabs>
          <w:tab w:val="left" w:pos="360"/>
        </w:tabs>
        <w:overflowPunct w:val="0"/>
        <w:autoSpaceDE w:val="0"/>
        <w:autoSpaceDN w:val="0"/>
        <w:adjustRightInd w:val="0"/>
        <w:jc w:val="both"/>
        <w:rPr>
          <w:rFonts w:ascii="Times New Roman" w:hAnsi="Times New Roman" w:cs="Times New Roman"/>
          <w:b/>
          <w:sz w:val="24"/>
          <w:szCs w:val="24"/>
        </w:rPr>
      </w:pPr>
      <w:r w:rsidRPr="00511484">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511484" w:rsidR="00DF4E4E" w:rsidP="00435881" w:rsidRDefault="00DF4E4E" w14:paraId="2D6FBD63" w14:textId="77777777">
      <w:pPr>
        <w:keepLines/>
        <w:numPr>
          <w:ilvl w:val="0"/>
          <w:numId w:val="9"/>
        </w:numPr>
        <w:tabs>
          <w:tab w:val="left" w:pos="360"/>
        </w:tabs>
        <w:overflowPunct w:val="0"/>
        <w:autoSpaceDE w:val="0"/>
        <w:autoSpaceDN w:val="0"/>
        <w:adjustRightInd w:val="0"/>
        <w:spacing w:after="80"/>
        <w:ind w:left="696"/>
        <w:jc w:val="both"/>
        <w:rPr>
          <w:rFonts w:ascii="Times New Roman" w:hAnsi="Times New Roman" w:cs="Times New Roman"/>
          <w:b/>
          <w:sz w:val="24"/>
          <w:szCs w:val="24"/>
        </w:rPr>
      </w:pPr>
      <w:r w:rsidRPr="00511484">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377A0" w:rsidP="00435881" w:rsidRDefault="001377A0" w14:paraId="76EA29A6" w14:textId="77777777">
      <w:pPr>
        <w:ind w:left="720"/>
        <w:jc w:val="both"/>
        <w:rPr>
          <w:rFonts w:ascii="Times New Roman" w:hAnsi="Times New Roman" w:cs="Times New Roman"/>
          <w:sz w:val="24"/>
          <w:szCs w:val="24"/>
        </w:rPr>
      </w:pPr>
    </w:p>
    <w:p w:rsidR="002A0442" w:rsidP="00435881" w:rsidRDefault="00101C29" w14:paraId="527FD810" w14:textId="3F41D891">
      <w:pPr>
        <w:ind w:left="720"/>
        <w:jc w:val="both"/>
        <w:rPr>
          <w:rFonts w:ascii="Times New Roman" w:hAnsi="Times New Roman" w:cs="Times New Roman"/>
          <w:sz w:val="24"/>
          <w:szCs w:val="24"/>
        </w:rPr>
      </w:pPr>
      <w:r w:rsidRPr="003F63A6">
        <w:rPr>
          <w:rFonts w:ascii="Times New Roman" w:hAnsi="Times New Roman" w:cs="Times New Roman"/>
          <w:sz w:val="24"/>
          <w:szCs w:val="24"/>
        </w:rPr>
        <w:t>The re</w:t>
      </w:r>
      <w:r w:rsidRPr="003F63A6" w:rsidR="00D55187">
        <w:rPr>
          <w:rFonts w:ascii="Times New Roman" w:hAnsi="Times New Roman" w:cs="Times New Roman"/>
          <w:sz w:val="24"/>
          <w:szCs w:val="24"/>
        </w:rPr>
        <w:t xml:space="preserve">spondents </w:t>
      </w:r>
      <w:r w:rsidRPr="003F63A6" w:rsidR="000F3873">
        <w:rPr>
          <w:rFonts w:ascii="Times New Roman" w:hAnsi="Times New Roman" w:cs="Times New Roman"/>
          <w:sz w:val="24"/>
          <w:szCs w:val="24"/>
        </w:rPr>
        <w:t xml:space="preserve">to the </w:t>
      </w:r>
      <w:r w:rsidR="00B24041">
        <w:rPr>
          <w:rFonts w:ascii="Times New Roman" w:hAnsi="Times New Roman" w:cs="Times New Roman"/>
          <w:sz w:val="24"/>
          <w:szCs w:val="24"/>
        </w:rPr>
        <w:t>l</w:t>
      </w:r>
      <w:r w:rsidRPr="003F63A6" w:rsidR="000F3873">
        <w:rPr>
          <w:rFonts w:ascii="Times New Roman" w:hAnsi="Times New Roman" w:cs="Times New Roman"/>
          <w:sz w:val="24"/>
          <w:szCs w:val="24"/>
        </w:rPr>
        <w:t>ong-</w:t>
      </w:r>
      <w:r w:rsidR="00B24041">
        <w:rPr>
          <w:rFonts w:ascii="Times New Roman" w:hAnsi="Times New Roman" w:cs="Times New Roman"/>
          <w:sz w:val="24"/>
          <w:szCs w:val="24"/>
        </w:rPr>
        <w:t>t</w:t>
      </w:r>
      <w:r w:rsidRPr="003F63A6" w:rsidR="000F3873">
        <w:rPr>
          <w:rFonts w:ascii="Times New Roman" w:hAnsi="Times New Roman" w:cs="Times New Roman"/>
          <w:sz w:val="24"/>
          <w:szCs w:val="24"/>
        </w:rPr>
        <w:t xml:space="preserve">erm </w:t>
      </w:r>
      <w:r w:rsidR="00B24041">
        <w:rPr>
          <w:rFonts w:ascii="Times New Roman" w:hAnsi="Times New Roman" w:cs="Times New Roman"/>
          <w:sz w:val="24"/>
          <w:szCs w:val="24"/>
        </w:rPr>
        <w:t>f</w:t>
      </w:r>
      <w:r w:rsidRPr="003F63A6" w:rsidR="000F3873">
        <w:rPr>
          <w:rFonts w:ascii="Times New Roman" w:hAnsi="Times New Roman" w:cs="Times New Roman"/>
          <w:sz w:val="24"/>
          <w:szCs w:val="24"/>
        </w:rPr>
        <w:t>ollow-</w:t>
      </w:r>
      <w:r w:rsidR="00B24041">
        <w:rPr>
          <w:rFonts w:ascii="Times New Roman" w:hAnsi="Times New Roman" w:cs="Times New Roman"/>
          <w:sz w:val="24"/>
          <w:szCs w:val="24"/>
        </w:rPr>
        <w:t>u</w:t>
      </w:r>
      <w:r w:rsidRPr="003F63A6" w:rsidR="000F3873">
        <w:rPr>
          <w:rFonts w:ascii="Times New Roman" w:hAnsi="Times New Roman" w:cs="Times New Roman"/>
          <w:sz w:val="24"/>
          <w:szCs w:val="24"/>
        </w:rPr>
        <w:t xml:space="preserve">p </w:t>
      </w:r>
      <w:r w:rsidR="00B24041">
        <w:rPr>
          <w:rFonts w:ascii="Times New Roman" w:hAnsi="Times New Roman" w:cs="Times New Roman"/>
          <w:sz w:val="24"/>
          <w:szCs w:val="24"/>
        </w:rPr>
        <w:t>s</w:t>
      </w:r>
      <w:r w:rsidRPr="003F63A6" w:rsidR="000F3873">
        <w:rPr>
          <w:rFonts w:ascii="Times New Roman" w:hAnsi="Times New Roman" w:cs="Times New Roman"/>
          <w:sz w:val="24"/>
          <w:szCs w:val="24"/>
        </w:rPr>
        <w:t>urvey are</w:t>
      </w:r>
      <w:r w:rsidRPr="003F63A6" w:rsidR="00D55187">
        <w:rPr>
          <w:rFonts w:ascii="Times New Roman" w:hAnsi="Times New Roman" w:cs="Times New Roman"/>
          <w:sz w:val="24"/>
          <w:szCs w:val="24"/>
        </w:rPr>
        <w:t xml:space="preserve"> FSS study group members.</w:t>
      </w:r>
      <w:r w:rsidRPr="003F63A6" w:rsidR="00EE3EE5">
        <w:rPr>
          <w:rFonts w:ascii="Times New Roman" w:hAnsi="Times New Roman" w:cs="Times New Roman"/>
          <w:sz w:val="24"/>
          <w:szCs w:val="24"/>
        </w:rPr>
        <w:t xml:space="preserve"> MDRC </w:t>
      </w:r>
      <w:r w:rsidRPr="003F63A6" w:rsidR="00D55187">
        <w:rPr>
          <w:rFonts w:ascii="Times New Roman" w:hAnsi="Times New Roman" w:cs="Times New Roman"/>
          <w:sz w:val="24"/>
          <w:szCs w:val="24"/>
        </w:rPr>
        <w:t>comput</w:t>
      </w:r>
      <w:r w:rsidRPr="003F63A6" w:rsidR="00A91637">
        <w:rPr>
          <w:rFonts w:ascii="Times New Roman" w:hAnsi="Times New Roman" w:cs="Times New Roman"/>
          <w:sz w:val="24"/>
          <w:szCs w:val="24"/>
        </w:rPr>
        <w:t>e</w:t>
      </w:r>
      <w:r w:rsidRPr="003F63A6" w:rsidR="00EE3EE5">
        <w:rPr>
          <w:rFonts w:ascii="Times New Roman" w:hAnsi="Times New Roman" w:cs="Times New Roman"/>
          <w:sz w:val="24"/>
          <w:szCs w:val="24"/>
        </w:rPr>
        <w:t>d</w:t>
      </w:r>
      <w:r w:rsidRPr="003F63A6" w:rsidR="00A91637">
        <w:rPr>
          <w:rFonts w:ascii="Times New Roman" w:hAnsi="Times New Roman" w:cs="Times New Roman"/>
          <w:sz w:val="24"/>
          <w:szCs w:val="24"/>
        </w:rPr>
        <w:t xml:space="preserve"> </w:t>
      </w:r>
      <w:r w:rsidRPr="003F63A6" w:rsidR="00686940">
        <w:rPr>
          <w:rFonts w:ascii="Times New Roman" w:hAnsi="Times New Roman" w:cs="Times New Roman"/>
          <w:sz w:val="24"/>
          <w:szCs w:val="24"/>
        </w:rPr>
        <w:t>the hourly cost per response</w:t>
      </w:r>
      <w:r w:rsidRPr="003F63A6" w:rsidR="00EE3EE5">
        <w:rPr>
          <w:rFonts w:ascii="Times New Roman" w:hAnsi="Times New Roman" w:cs="Times New Roman"/>
          <w:sz w:val="24"/>
          <w:szCs w:val="24"/>
        </w:rPr>
        <w:t xml:space="preserve"> by using the average state minimum wage of the 18 study sites, as of </w:t>
      </w:r>
      <w:r w:rsidR="002228D4">
        <w:rPr>
          <w:rFonts w:ascii="Times New Roman" w:hAnsi="Times New Roman" w:cs="Times New Roman"/>
          <w:sz w:val="24"/>
          <w:szCs w:val="24"/>
        </w:rPr>
        <w:t>October</w:t>
      </w:r>
      <w:r w:rsidRPr="003F63A6" w:rsidR="002228D4">
        <w:rPr>
          <w:rFonts w:ascii="Times New Roman" w:hAnsi="Times New Roman" w:cs="Times New Roman"/>
          <w:sz w:val="24"/>
          <w:szCs w:val="24"/>
        </w:rPr>
        <w:t xml:space="preserve"> </w:t>
      </w:r>
      <w:r w:rsidRPr="003F63A6" w:rsidR="00EE3EE5">
        <w:rPr>
          <w:rFonts w:ascii="Times New Roman" w:hAnsi="Times New Roman" w:cs="Times New Roman"/>
          <w:sz w:val="24"/>
          <w:szCs w:val="24"/>
        </w:rPr>
        <w:t>1, 2</w:t>
      </w:r>
      <w:r w:rsidRPr="003F63A6" w:rsidR="00073593">
        <w:rPr>
          <w:rFonts w:ascii="Times New Roman" w:hAnsi="Times New Roman" w:cs="Times New Roman"/>
          <w:sz w:val="24"/>
          <w:szCs w:val="24"/>
        </w:rPr>
        <w:t xml:space="preserve">020. </w:t>
      </w:r>
      <w:r w:rsidR="00584C51">
        <w:rPr>
          <w:rFonts w:ascii="Times New Roman" w:hAnsi="Times New Roman" w:cs="Times New Roman"/>
          <w:sz w:val="24"/>
          <w:szCs w:val="24"/>
        </w:rPr>
        <w:t>MDRC computed</w:t>
      </w:r>
      <w:r w:rsidR="00F24A07">
        <w:rPr>
          <w:rFonts w:ascii="Times New Roman" w:hAnsi="Times New Roman" w:cs="Times New Roman"/>
          <w:sz w:val="24"/>
          <w:szCs w:val="24"/>
        </w:rPr>
        <w:t xml:space="preserve"> a weighted </w:t>
      </w:r>
      <w:r w:rsidR="000D4F10">
        <w:rPr>
          <w:rFonts w:ascii="Times New Roman" w:hAnsi="Times New Roman" w:cs="Times New Roman"/>
          <w:sz w:val="24"/>
          <w:szCs w:val="24"/>
        </w:rPr>
        <w:t xml:space="preserve">average minimum wage </w:t>
      </w:r>
      <w:r w:rsidR="0090532A">
        <w:rPr>
          <w:rFonts w:ascii="Times New Roman" w:hAnsi="Times New Roman" w:cs="Times New Roman"/>
          <w:sz w:val="24"/>
          <w:szCs w:val="24"/>
        </w:rPr>
        <w:t xml:space="preserve">using the 7 state minimum wages across the </w:t>
      </w:r>
      <w:r w:rsidR="00DB032B">
        <w:rPr>
          <w:rFonts w:ascii="Times New Roman" w:hAnsi="Times New Roman" w:cs="Times New Roman"/>
          <w:sz w:val="24"/>
          <w:szCs w:val="24"/>
        </w:rPr>
        <w:t>18</w:t>
      </w:r>
      <w:r w:rsidR="0090532A">
        <w:rPr>
          <w:rFonts w:ascii="Times New Roman" w:hAnsi="Times New Roman" w:cs="Times New Roman"/>
          <w:sz w:val="24"/>
          <w:szCs w:val="24"/>
        </w:rPr>
        <w:t xml:space="preserve"> sites. The </w:t>
      </w:r>
      <w:r w:rsidR="00885D2C">
        <w:rPr>
          <w:rFonts w:ascii="Times New Roman" w:hAnsi="Times New Roman" w:cs="Times New Roman"/>
          <w:sz w:val="24"/>
          <w:szCs w:val="24"/>
        </w:rPr>
        <w:t xml:space="preserve">computed </w:t>
      </w:r>
      <w:r w:rsidRPr="003F63A6" w:rsidR="00B206F4">
        <w:rPr>
          <w:rFonts w:ascii="Times New Roman" w:hAnsi="Times New Roman" w:cs="Times New Roman"/>
          <w:sz w:val="24"/>
          <w:szCs w:val="24"/>
        </w:rPr>
        <w:t xml:space="preserve">hourly cost per response </w:t>
      </w:r>
      <w:r w:rsidR="00A52925">
        <w:rPr>
          <w:rFonts w:ascii="Times New Roman" w:hAnsi="Times New Roman" w:cs="Times New Roman"/>
          <w:sz w:val="24"/>
          <w:szCs w:val="24"/>
        </w:rPr>
        <w:t>is</w:t>
      </w:r>
      <w:r w:rsidRPr="003F63A6" w:rsidR="00B206F4">
        <w:rPr>
          <w:rFonts w:ascii="Times New Roman" w:hAnsi="Times New Roman" w:cs="Times New Roman"/>
          <w:sz w:val="24"/>
          <w:szCs w:val="24"/>
        </w:rPr>
        <w:t xml:space="preserve"> $</w:t>
      </w:r>
      <w:r w:rsidR="00A52925">
        <w:rPr>
          <w:rFonts w:ascii="Times New Roman" w:hAnsi="Times New Roman" w:cs="Times New Roman"/>
          <w:sz w:val="24"/>
          <w:szCs w:val="24"/>
        </w:rPr>
        <w:t>9.87</w:t>
      </w:r>
      <w:r w:rsidRPr="003F63A6" w:rsidR="00B206F4">
        <w:rPr>
          <w:rFonts w:ascii="Times New Roman" w:hAnsi="Times New Roman" w:cs="Times New Roman"/>
          <w:sz w:val="24"/>
          <w:szCs w:val="24"/>
        </w:rPr>
        <w:t>. To compute the total estimated a</w:t>
      </w:r>
      <w:r w:rsidRPr="003F63A6" w:rsidR="00833692">
        <w:rPr>
          <w:rFonts w:ascii="Times New Roman" w:hAnsi="Times New Roman" w:cs="Times New Roman"/>
          <w:sz w:val="24"/>
          <w:szCs w:val="24"/>
        </w:rPr>
        <w:t>n</w:t>
      </w:r>
      <w:r w:rsidRPr="003F63A6" w:rsidR="002F1F33">
        <w:rPr>
          <w:rFonts w:ascii="Times New Roman" w:hAnsi="Times New Roman" w:cs="Times New Roman"/>
          <w:sz w:val="24"/>
          <w:szCs w:val="24"/>
        </w:rPr>
        <w:t xml:space="preserve">nual cost, the total estimated burden hours </w:t>
      </w:r>
      <w:r w:rsidRPr="003F63A6" w:rsidR="00FA4095">
        <w:rPr>
          <w:rFonts w:ascii="Times New Roman" w:hAnsi="Times New Roman" w:cs="Times New Roman"/>
          <w:sz w:val="24"/>
          <w:szCs w:val="24"/>
        </w:rPr>
        <w:t>w</w:t>
      </w:r>
      <w:r w:rsidR="00986492">
        <w:rPr>
          <w:rFonts w:ascii="Times New Roman" w:hAnsi="Times New Roman" w:cs="Times New Roman"/>
          <w:sz w:val="24"/>
          <w:szCs w:val="24"/>
        </w:rPr>
        <w:t>as</w:t>
      </w:r>
      <w:r w:rsidRPr="003F63A6" w:rsidR="001119E8">
        <w:rPr>
          <w:rFonts w:ascii="Times New Roman" w:hAnsi="Times New Roman" w:cs="Times New Roman"/>
          <w:sz w:val="24"/>
          <w:szCs w:val="24"/>
        </w:rPr>
        <w:t xml:space="preserve"> multiplied by the hourly cost per response. </w:t>
      </w:r>
      <w:r w:rsidRPr="003F63A6" w:rsidR="00CD4EC1">
        <w:rPr>
          <w:rFonts w:ascii="Times New Roman" w:hAnsi="Times New Roman" w:cs="Times New Roman"/>
          <w:sz w:val="24"/>
          <w:szCs w:val="24"/>
        </w:rPr>
        <w:t xml:space="preserve">The calculation assumes </w:t>
      </w:r>
      <w:r w:rsidRPr="003F63A6" w:rsidR="00293764">
        <w:rPr>
          <w:rFonts w:ascii="Times New Roman" w:hAnsi="Times New Roman" w:cs="Times New Roman"/>
          <w:sz w:val="24"/>
          <w:szCs w:val="24"/>
        </w:rPr>
        <w:t>4</w:t>
      </w:r>
      <w:r w:rsidR="00ED5B99">
        <w:rPr>
          <w:rFonts w:ascii="Times New Roman" w:hAnsi="Times New Roman" w:cs="Times New Roman"/>
          <w:sz w:val="24"/>
          <w:szCs w:val="24"/>
        </w:rPr>
        <w:t>29</w:t>
      </w:r>
      <w:r w:rsidRPr="003F63A6" w:rsidR="00293764">
        <w:rPr>
          <w:rFonts w:ascii="Times New Roman" w:hAnsi="Times New Roman" w:cs="Times New Roman"/>
          <w:sz w:val="24"/>
          <w:szCs w:val="24"/>
        </w:rPr>
        <w:t xml:space="preserve"> total burden hours</w:t>
      </w:r>
      <w:r w:rsidRPr="003F63A6" w:rsidR="0039788E">
        <w:rPr>
          <w:rFonts w:ascii="Times New Roman" w:hAnsi="Times New Roman" w:cs="Times New Roman"/>
          <w:sz w:val="24"/>
          <w:szCs w:val="24"/>
        </w:rPr>
        <w:t xml:space="preserve"> and a total estimated annual cost of $4,</w:t>
      </w:r>
      <w:r w:rsidR="00ED5B99">
        <w:rPr>
          <w:rFonts w:ascii="Times New Roman" w:hAnsi="Times New Roman" w:cs="Times New Roman"/>
          <w:sz w:val="24"/>
          <w:szCs w:val="24"/>
        </w:rPr>
        <w:t>2</w:t>
      </w:r>
      <w:r w:rsidR="00972A0B">
        <w:rPr>
          <w:rFonts w:ascii="Times New Roman" w:hAnsi="Times New Roman" w:cs="Times New Roman"/>
          <w:sz w:val="24"/>
          <w:szCs w:val="24"/>
        </w:rPr>
        <w:t>34.23</w:t>
      </w:r>
      <w:r w:rsidRPr="003F63A6" w:rsidR="00293764">
        <w:rPr>
          <w:rFonts w:ascii="Times New Roman" w:hAnsi="Times New Roman" w:cs="Times New Roman"/>
          <w:sz w:val="24"/>
          <w:szCs w:val="24"/>
        </w:rPr>
        <w:t xml:space="preserve"> if all 1,300 study </w:t>
      </w:r>
      <w:r w:rsidRPr="003F63A6" w:rsidR="00A40AE6">
        <w:rPr>
          <w:rFonts w:ascii="Times New Roman" w:hAnsi="Times New Roman" w:cs="Times New Roman"/>
          <w:sz w:val="24"/>
          <w:szCs w:val="24"/>
        </w:rPr>
        <w:t>participants</w:t>
      </w:r>
      <w:r w:rsidRPr="003F63A6" w:rsidR="00293764">
        <w:rPr>
          <w:rFonts w:ascii="Times New Roman" w:hAnsi="Times New Roman" w:cs="Times New Roman"/>
          <w:sz w:val="24"/>
          <w:szCs w:val="24"/>
        </w:rPr>
        <w:t xml:space="preserve"> </w:t>
      </w:r>
      <w:r w:rsidRPr="003F63A6" w:rsidR="00ED2C53">
        <w:rPr>
          <w:rFonts w:ascii="Times New Roman" w:hAnsi="Times New Roman" w:cs="Times New Roman"/>
          <w:sz w:val="24"/>
          <w:szCs w:val="24"/>
        </w:rPr>
        <w:t xml:space="preserve">respond to the survey. </w:t>
      </w:r>
      <w:r w:rsidRPr="003F63A6" w:rsidR="002A0442">
        <w:rPr>
          <w:rFonts w:ascii="Times New Roman" w:hAnsi="Times New Roman" w:cs="Times New Roman"/>
          <w:sz w:val="24"/>
          <w:szCs w:val="24"/>
        </w:rPr>
        <w:t>The proposed data collection will not require the respondents to purchase equipment or services. Therefore, there are no additional costs to respondents.</w:t>
      </w:r>
    </w:p>
    <w:p w:rsidR="00D0164C" w:rsidP="00435881" w:rsidRDefault="00D0164C" w14:paraId="03E381E4" w14:textId="49FAB768">
      <w:pPr>
        <w:ind w:left="720"/>
        <w:jc w:val="both"/>
        <w:rPr>
          <w:rFonts w:ascii="Times New Roman" w:hAnsi="Times New Roman" w:cs="Times New Roman"/>
          <w:sz w:val="24"/>
          <w:szCs w:val="24"/>
        </w:rPr>
      </w:pPr>
    </w:p>
    <w:tbl>
      <w:tblPr>
        <w:tblStyle w:val="TableGrid"/>
        <w:tblW w:w="0" w:type="auto"/>
        <w:tblInd w:w="-185" w:type="dxa"/>
        <w:tblLook w:val="04A0" w:firstRow="1" w:lastRow="0" w:firstColumn="1" w:lastColumn="0" w:noHBand="0" w:noVBand="1"/>
      </w:tblPr>
      <w:tblGrid>
        <w:gridCol w:w="2729"/>
        <w:gridCol w:w="961"/>
        <w:gridCol w:w="2343"/>
        <w:gridCol w:w="1695"/>
        <w:gridCol w:w="1807"/>
      </w:tblGrid>
      <w:tr w:rsidR="00D10F9A" w:rsidTr="006E637B" w14:paraId="5BAA1472" w14:textId="77777777">
        <w:tc>
          <w:tcPr>
            <w:tcW w:w="3690" w:type="dxa"/>
            <w:gridSpan w:val="2"/>
          </w:tcPr>
          <w:p w:rsidR="00D10F9A" w:rsidP="00357743" w:rsidRDefault="00D10F9A" w14:paraId="41D387D8" w14:textId="69E51B97">
            <w:pPr>
              <w:jc w:val="center"/>
              <w:rPr>
                <w:rFonts w:ascii="Times New Roman" w:hAnsi="Times New Roman" w:cs="Times New Roman"/>
                <w:b/>
                <w:bCs/>
                <w:sz w:val="24"/>
                <w:szCs w:val="24"/>
              </w:rPr>
            </w:pPr>
            <w:r w:rsidRPr="009F16FB">
              <w:rPr>
                <w:rFonts w:ascii="Times New Roman" w:hAnsi="Times New Roman" w:cs="Times New Roman"/>
                <w:b/>
                <w:bCs/>
                <w:sz w:val="24"/>
                <w:szCs w:val="24"/>
              </w:rPr>
              <w:t>Minimum wage by state</w:t>
            </w:r>
          </w:p>
        </w:tc>
        <w:tc>
          <w:tcPr>
            <w:tcW w:w="2343" w:type="dxa"/>
          </w:tcPr>
          <w:p w:rsidRPr="009F16FB" w:rsidR="00D10F9A" w:rsidP="009F16FB" w:rsidRDefault="00D10F9A" w14:paraId="7396D07B" w14:textId="29BC8F55">
            <w:pPr>
              <w:jc w:val="center"/>
              <w:rPr>
                <w:rFonts w:ascii="Times New Roman" w:hAnsi="Times New Roman" w:cs="Times New Roman"/>
                <w:b/>
                <w:bCs/>
                <w:sz w:val="24"/>
                <w:szCs w:val="24"/>
              </w:rPr>
            </w:pPr>
            <w:r>
              <w:rPr>
                <w:rFonts w:ascii="Times New Roman" w:hAnsi="Times New Roman" w:cs="Times New Roman"/>
                <w:b/>
                <w:bCs/>
                <w:sz w:val="24"/>
                <w:szCs w:val="24"/>
              </w:rPr>
              <w:t>Computed hourly cost per response</w:t>
            </w:r>
          </w:p>
        </w:tc>
        <w:tc>
          <w:tcPr>
            <w:tcW w:w="1695" w:type="dxa"/>
          </w:tcPr>
          <w:p w:rsidRPr="009F16FB" w:rsidR="00D10F9A" w:rsidP="009F16FB" w:rsidRDefault="00D10F9A" w14:paraId="7BC9058D" w14:textId="280AD286">
            <w:pPr>
              <w:jc w:val="center"/>
              <w:rPr>
                <w:rFonts w:ascii="Times New Roman" w:hAnsi="Times New Roman" w:cs="Times New Roman"/>
                <w:b/>
                <w:bCs/>
                <w:sz w:val="24"/>
                <w:szCs w:val="24"/>
              </w:rPr>
            </w:pPr>
            <w:r w:rsidRPr="009F16FB">
              <w:rPr>
                <w:rFonts w:ascii="Times New Roman" w:hAnsi="Times New Roman" w:cs="Times New Roman"/>
                <w:b/>
                <w:bCs/>
                <w:sz w:val="24"/>
                <w:szCs w:val="24"/>
              </w:rPr>
              <w:t>Total burden hours</w:t>
            </w:r>
          </w:p>
        </w:tc>
        <w:tc>
          <w:tcPr>
            <w:tcW w:w="1807" w:type="dxa"/>
          </w:tcPr>
          <w:p w:rsidRPr="009F16FB" w:rsidR="00D10F9A" w:rsidP="009F16FB" w:rsidRDefault="00D10F9A" w14:paraId="69E6F0A0" w14:textId="5CC93B15">
            <w:pPr>
              <w:jc w:val="center"/>
              <w:rPr>
                <w:rFonts w:ascii="Times New Roman" w:hAnsi="Times New Roman" w:cs="Times New Roman"/>
                <w:b/>
                <w:bCs/>
                <w:sz w:val="24"/>
                <w:szCs w:val="24"/>
              </w:rPr>
            </w:pPr>
            <w:r w:rsidRPr="009F16FB">
              <w:rPr>
                <w:rFonts w:ascii="Times New Roman" w:hAnsi="Times New Roman" w:cs="Times New Roman"/>
                <w:b/>
                <w:bCs/>
                <w:sz w:val="24"/>
                <w:szCs w:val="24"/>
              </w:rPr>
              <w:t>Total estimated annual cost</w:t>
            </w:r>
          </w:p>
        </w:tc>
      </w:tr>
      <w:tr w:rsidR="00DC6E4D" w:rsidTr="006E637B" w14:paraId="356E8417" w14:textId="77777777">
        <w:tc>
          <w:tcPr>
            <w:tcW w:w="2729" w:type="dxa"/>
          </w:tcPr>
          <w:p w:rsidR="00DC6E4D" w:rsidP="00435881" w:rsidRDefault="00DC6E4D" w14:paraId="26DF4FF4" w14:textId="60D3F388">
            <w:pPr>
              <w:jc w:val="both"/>
              <w:rPr>
                <w:rFonts w:ascii="Times New Roman" w:hAnsi="Times New Roman" w:cs="Times New Roman"/>
                <w:sz w:val="24"/>
                <w:szCs w:val="24"/>
              </w:rPr>
            </w:pPr>
            <w:r>
              <w:rPr>
                <w:rFonts w:ascii="Times New Roman" w:hAnsi="Times New Roman" w:cs="Times New Roman"/>
                <w:sz w:val="24"/>
                <w:szCs w:val="24"/>
              </w:rPr>
              <w:t>California</w:t>
            </w:r>
          </w:p>
        </w:tc>
        <w:tc>
          <w:tcPr>
            <w:tcW w:w="961" w:type="dxa"/>
          </w:tcPr>
          <w:p w:rsidR="00DC6E4D" w:rsidP="00435881" w:rsidRDefault="00DC6E4D" w14:paraId="27BBBDB2" w14:textId="1BE30CD4">
            <w:pPr>
              <w:jc w:val="both"/>
              <w:rPr>
                <w:rFonts w:ascii="Times New Roman" w:hAnsi="Times New Roman" w:cs="Times New Roman"/>
                <w:sz w:val="24"/>
                <w:szCs w:val="24"/>
              </w:rPr>
            </w:pPr>
            <w:r>
              <w:rPr>
                <w:rFonts w:ascii="Times New Roman" w:hAnsi="Times New Roman" w:cs="Times New Roman"/>
                <w:sz w:val="24"/>
                <w:szCs w:val="24"/>
              </w:rPr>
              <w:t>$12.00</w:t>
            </w:r>
          </w:p>
        </w:tc>
        <w:tc>
          <w:tcPr>
            <w:tcW w:w="2343" w:type="dxa"/>
            <w:vMerge w:val="restart"/>
          </w:tcPr>
          <w:p w:rsidR="00DC6E4D" w:rsidP="009F16FB" w:rsidRDefault="00DC6E4D" w14:paraId="600B04C0" w14:textId="69A4CFAC">
            <w:pPr>
              <w:jc w:val="center"/>
              <w:rPr>
                <w:rFonts w:ascii="Times New Roman" w:hAnsi="Times New Roman" w:cs="Times New Roman"/>
                <w:sz w:val="24"/>
                <w:szCs w:val="24"/>
              </w:rPr>
            </w:pPr>
            <w:r>
              <w:rPr>
                <w:rFonts w:ascii="Times New Roman" w:hAnsi="Times New Roman" w:cs="Times New Roman"/>
                <w:sz w:val="24"/>
                <w:szCs w:val="24"/>
              </w:rPr>
              <w:t>$9.87</w:t>
            </w:r>
          </w:p>
        </w:tc>
        <w:tc>
          <w:tcPr>
            <w:tcW w:w="1695" w:type="dxa"/>
            <w:vMerge w:val="restart"/>
          </w:tcPr>
          <w:p w:rsidR="00DC6E4D" w:rsidP="009F16FB" w:rsidRDefault="00DC6E4D" w14:paraId="21C23409" w14:textId="35D87414">
            <w:pPr>
              <w:jc w:val="center"/>
              <w:rPr>
                <w:rFonts w:ascii="Times New Roman" w:hAnsi="Times New Roman" w:cs="Times New Roman"/>
                <w:sz w:val="24"/>
                <w:szCs w:val="24"/>
              </w:rPr>
            </w:pPr>
            <w:r>
              <w:rPr>
                <w:rFonts w:ascii="Times New Roman" w:hAnsi="Times New Roman" w:cs="Times New Roman"/>
                <w:sz w:val="24"/>
                <w:szCs w:val="24"/>
              </w:rPr>
              <w:t>4</w:t>
            </w:r>
            <w:r w:rsidR="00972A0B">
              <w:rPr>
                <w:rFonts w:ascii="Times New Roman" w:hAnsi="Times New Roman" w:cs="Times New Roman"/>
                <w:sz w:val="24"/>
                <w:szCs w:val="24"/>
              </w:rPr>
              <w:t>29</w:t>
            </w:r>
          </w:p>
        </w:tc>
        <w:tc>
          <w:tcPr>
            <w:tcW w:w="1807" w:type="dxa"/>
            <w:vMerge w:val="restart"/>
          </w:tcPr>
          <w:p w:rsidR="00DC6E4D" w:rsidP="009F16FB" w:rsidRDefault="00DC6E4D" w14:paraId="32530188" w14:textId="7B392F0E">
            <w:pPr>
              <w:jc w:val="center"/>
              <w:rPr>
                <w:rFonts w:ascii="Times New Roman" w:hAnsi="Times New Roman" w:cs="Times New Roman"/>
                <w:sz w:val="24"/>
                <w:szCs w:val="24"/>
              </w:rPr>
            </w:pPr>
            <w:r w:rsidRPr="003F63A6">
              <w:rPr>
                <w:rFonts w:ascii="Times New Roman" w:hAnsi="Times New Roman" w:cs="Times New Roman"/>
                <w:sz w:val="24"/>
                <w:szCs w:val="24"/>
              </w:rPr>
              <w:t>$</w:t>
            </w:r>
            <w:r>
              <w:rPr>
                <w:rFonts w:ascii="Times New Roman" w:hAnsi="Times New Roman" w:cs="Times New Roman"/>
                <w:sz w:val="24"/>
                <w:szCs w:val="24"/>
              </w:rPr>
              <w:t>4,2</w:t>
            </w:r>
            <w:r w:rsidR="00972A0B">
              <w:rPr>
                <w:rFonts w:ascii="Times New Roman" w:hAnsi="Times New Roman" w:cs="Times New Roman"/>
                <w:sz w:val="24"/>
                <w:szCs w:val="24"/>
              </w:rPr>
              <w:t>34.23</w:t>
            </w:r>
          </w:p>
        </w:tc>
      </w:tr>
      <w:tr w:rsidR="00DC6E4D" w:rsidTr="006E637B" w14:paraId="72EADD7E" w14:textId="77777777">
        <w:tc>
          <w:tcPr>
            <w:tcW w:w="2729" w:type="dxa"/>
          </w:tcPr>
          <w:p w:rsidR="00DC6E4D" w:rsidP="00435881" w:rsidRDefault="00DC6E4D" w14:paraId="6BCE3D58" w14:textId="4C4F35EE">
            <w:pPr>
              <w:jc w:val="both"/>
              <w:rPr>
                <w:rFonts w:ascii="Times New Roman" w:hAnsi="Times New Roman" w:cs="Times New Roman"/>
                <w:sz w:val="24"/>
                <w:szCs w:val="24"/>
              </w:rPr>
            </w:pPr>
            <w:r>
              <w:rPr>
                <w:rFonts w:ascii="Times New Roman" w:hAnsi="Times New Roman" w:cs="Times New Roman"/>
                <w:sz w:val="24"/>
                <w:szCs w:val="24"/>
              </w:rPr>
              <w:t>Florida</w:t>
            </w:r>
          </w:p>
        </w:tc>
        <w:tc>
          <w:tcPr>
            <w:tcW w:w="961" w:type="dxa"/>
          </w:tcPr>
          <w:p w:rsidR="00DC6E4D" w:rsidP="00435881" w:rsidRDefault="00DC6E4D" w14:paraId="182D3033" w14:textId="703712BE">
            <w:pPr>
              <w:jc w:val="both"/>
              <w:rPr>
                <w:rFonts w:ascii="Times New Roman" w:hAnsi="Times New Roman" w:cs="Times New Roman"/>
                <w:sz w:val="24"/>
                <w:szCs w:val="24"/>
              </w:rPr>
            </w:pPr>
            <w:r>
              <w:rPr>
                <w:rFonts w:ascii="Times New Roman" w:hAnsi="Times New Roman" w:cs="Times New Roman"/>
                <w:sz w:val="24"/>
                <w:szCs w:val="24"/>
              </w:rPr>
              <w:t>$8.56</w:t>
            </w:r>
          </w:p>
        </w:tc>
        <w:tc>
          <w:tcPr>
            <w:tcW w:w="2343" w:type="dxa"/>
            <w:vMerge/>
          </w:tcPr>
          <w:p w:rsidR="00DC6E4D" w:rsidP="00435881" w:rsidRDefault="00DC6E4D" w14:paraId="621454C0" w14:textId="07425E6D">
            <w:pPr>
              <w:jc w:val="both"/>
              <w:rPr>
                <w:rFonts w:ascii="Times New Roman" w:hAnsi="Times New Roman" w:cs="Times New Roman"/>
                <w:sz w:val="24"/>
                <w:szCs w:val="24"/>
              </w:rPr>
            </w:pPr>
          </w:p>
        </w:tc>
        <w:tc>
          <w:tcPr>
            <w:tcW w:w="1695" w:type="dxa"/>
            <w:vMerge/>
          </w:tcPr>
          <w:p w:rsidR="00DC6E4D" w:rsidP="00435881" w:rsidRDefault="00DC6E4D" w14:paraId="41042649" w14:textId="77777777">
            <w:pPr>
              <w:jc w:val="both"/>
              <w:rPr>
                <w:rFonts w:ascii="Times New Roman" w:hAnsi="Times New Roman" w:cs="Times New Roman"/>
                <w:sz w:val="24"/>
                <w:szCs w:val="24"/>
              </w:rPr>
            </w:pPr>
          </w:p>
        </w:tc>
        <w:tc>
          <w:tcPr>
            <w:tcW w:w="1807" w:type="dxa"/>
            <w:vMerge/>
          </w:tcPr>
          <w:p w:rsidR="00DC6E4D" w:rsidP="00435881" w:rsidRDefault="00DC6E4D" w14:paraId="573DA4DF" w14:textId="77777777">
            <w:pPr>
              <w:jc w:val="both"/>
              <w:rPr>
                <w:rFonts w:ascii="Times New Roman" w:hAnsi="Times New Roman" w:cs="Times New Roman"/>
                <w:sz w:val="24"/>
                <w:szCs w:val="24"/>
              </w:rPr>
            </w:pPr>
          </w:p>
        </w:tc>
      </w:tr>
      <w:tr w:rsidR="00DC6E4D" w:rsidTr="006E637B" w14:paraId="7EF70305" w14:textId="77777777">
        <w:tc>
          <w:tcPr>
            <w:tcW w:w="2729" w:type="dxa"/>
          </w:tcPr>
          <w:p w:rsidR="00DC6E4D" w:rsidP="00435881" w:rsidRDefault="00DC6E4D" w14:paraId="37402CDA" w14:textId="7EA88474">
            <w:pPr>
              <w:jc w:val="both"/>
              <w:rPr>
                <w:rFonts w:ascii="Times New Roman" w:hAnsi="Times New Roman" w:cs="Times New Roman"/>
                <w:sz w:val="24"/>
                <w:szCs w:val="24"/>
              </w:rPr>
            </w:pPr>
            <w:r>
              <w:rPr>
                <w:rFonts w:ascii="Times New Roman" w:hAnsi="Times New Roman" w:cs="Times New Roman"/>
                <w:sz w:val="24"/>
                <w:szCs w:val="24"/>
              </w:rPr>
              <w:t>Maryland</w:t>
            </w:r>
          </w:p>
        </w:tc>
        <w:tc>
          <w:tcPr>
            <w:tcW w:w="961" w:type="dxa"/>
          </w:tcPr>
          <w:p w:rsidR="00DC6E4D" w:rsidP="00435881" w:rsidRDefault="00DC6E4D" w14:paraId="227500BF" w14:textId="414BA82B">
            <w:pPr>
              <w:jc w:val="both"/>
              <w:rPr>
                <w:rFonts w:ascii="Times New Roman" w:hAnsi="Times New Roman" w:cs="Times New Roman"/>
                <w:sz w:val="24"/>
                <w:szCs w:val="24"/>
              </w:rPr>
            </w:pPr>
            <w:r>
              <w:rPr>
                <w:rFonts w:ascii="Times New Roman" w:hAnsi="Times New Roman" w:cs="Times New Roman"/>
                <w:sz w:val="24"/>
                <w:szCs w:val="24"/>
              </w:rPr>
              <w:t>$11.00</w:t>
            </w:r>
          </w:p>
        </w:tc>
        <w:tc>
          <w:tcPr>
            <w:tcW w:w="2343" w:type="dxa"/>
            <w:vMerge/>
          </w:tcPr>
          <w:p w:rsidR="00DC6E4D" w:rsidP="00435881" w:rsidRDefault="00DC6E4D" w14:paraId="34056743" w14:textId="7DF7B202">
            <w:pPr>
              <w:jc w:val="both"/>
              <w:rPr>
                <w:rFonts w:ascii="Times New Roman" w:hAnsi="Times New Roman" w:cs="Times New Roman"/>
                <w:sz w:val="24"/>
                <w:szCs w:val="24"/>
              </w:rPr>
            </w:pPr>
          </w:p>
        </w:tc>
        <w:tc>
          <w:tcPr>
            <w:tcW w:w="1695" w:type="dxa"/>
            <w:vMerge/>
          </w:tcPr>
          <w:p w:rsidR="00DC6E4D" w:rsidP="00435881" w:rsidRDefault="00DC6E4D" w14:paraId="4E57346E" w14:textId="77777777">
            <w:pPr>
              <w:jc w:val="both"/>
              <w:rPr>
                <w:rFonts w:ascii="Times New Roman" w:hAnsi="Times New Roman" w:cs="Times New Roman"/>
                <w:sz w:val="24"/>
                <w:szCs w:val="24"/>
              </w:rPr>
            </w:pPr>
          </w:p>
        </w:tc>
        <w:tc>
          <w:tcPr>
            <w:tcW w:w="1807" w:type="dxa"/>
            <w:vMerge/>
          </w:tcPr>
          <w:p w:rsidR="00DC6E4D" w:rsidP="00435881" w:rsidRDefault="00DC6E4D" w14:paraId="0283378E" w14:textId="77777777">
            <w:pPr>
              <w:jc w:val="both"/>
              <w:rPr>
                <w:rFonts w:ascii="Times New Roman" w:hAnsi="Times New Roman" w:cs="Times New Roman"/>
                <w:sz w:val="24"/>
                <w:szCs w:val="24"/>
              </w:rPr>
            </w:pPr>
          </w:p>
        </w:tc>
      </w:tr>
      <w:tr w:rsidR="00DC6E4D" w:rsidTr="006E637B" w14:paraId="7530E6E1" w14:textId="77777777">
        <w:tc>
          <w:tcPr>
            <w:tcW w:w="2729" w:type="dxa"/>
          </w:tcPr>
          <w:p w:rsidR="00DC6E4D" w:rsidP="00435881" w:rsidRDefault="00DC6E4D" w14:paraId="653BDF1D" w14:textId="61B6A148">
            <w:pPr>
              <w:jc w:val="both"/>
              <w:rPr>
                <w:rFonts w:ascii="Times New Roman" w:hAnsi="Times New Roman" w:cs="Times New Roman"/>
                <w:sz w:val="24"/>
                <w:szCs w:val="24"/>
              </w:rPr>
            </w:pPr>
            <w:r>
              <w:rPr>
                <w:rFonts w:ascii="Times New Roman" w:hAnsi="Times New Roman" w:cs="Times New Roman"/>
                <w:sz w:val="24"/>
                <w:szCs w:val="24"/>
              </w:rPr>
              <w:t>Missouri</w:t>
            </w:r>
          </w:p>
        </w:tc>
        <w:tc>
          <w:tcPr>
            <w:tcW w:w="961" w:type="dxa"/>
          </w:tcPr>
          <w:p w:rsidR="00DC6E4D" w:rsidP="00435881" w:rsidRDefault="00DC6E4D" w14:paraId="60D83E7C" w14:textId="41A29B98">
            <w:pPr>
              <w:jc w:val="both"/>
              <w:rPr>
                <w:rFonts w:ascii="Times New Roman" w:hAnsi="Times New Roman" w:cs="Times New Roman"/>
                <w:sz w:val="24"/>
                <w:szCs w:val="24"/>
              </w:rPr>
            </w:pPr>
            <w:r>
              <w:rPr>
                <w:rFonts w:ascii="Times New Roman" w:hAnsi="Times New Roman" w:cs="Times New Roman"/>
                <w:sz w:val="24"/>
                <w:szCs w:val="24"/>
              </w:rPr>
              <w:t>$9.45</w:t>
            </w:r>
          </w:p>
        </w:tc>
        <w:tc>
          <w:tcPr>
            <w:tcW w:w="2343" w:type="dxa"/>
            <w:vMerge/>
          </w:tcPr>
          <w:p w:rsidR="00DC6E4D" w:rsidP="00435881" w:rsidRDefault="00DC6E4D" w14:paraId="44EB3586" w14:textId="1E23DCBF">
            <w:pPr>
              <w:jc w:val="both"/>
              <w:rPr>
                <w:rFonts w:ascii="Times New Roman" w:hAnsi="Times New Roman" w:cs="Times New Roman"/>
                <w:sz w:val="24"/>
                <w:szCs w:val="24"/>
              </w:rPr>
            </w:pPr>
          </w:p>
        </w:tc>
        <w:tc>
          <w:tcPr>
            <w:tcW w:w="1695" w:type="dxa"/>
            <w:vMerge/>
          </w:tcPr>
          <w:p w:rsidR="00DC6E4D" w:rsidP="00435881" w:rsidRDefault="00DC6E4D" w14:paraId="0E71354B" w14:textId="77777777">
            <w:pPr>
              <w:jc w:val="both"/>
              <w:rPr>
                <w:rFonts w:ascii="Times New Roman" w:hAnsi="Times New Roman" w:cs="Times New Roman"/>
                <w:sz w:val="24"/>
                <w:szCs w:val="24"/>
              </w:rPr>
            </w:pPr>
          </w:p>
        </w:tc>
        <w:tc>
          <w:tcPr>
            <w:tcW w:w="1807" w:type="dxa"/>
            <w:vMerge/>
          </w:tcPr>
          <w:p w:rsidR="00DC6E4D" w:rsidP="00435881" w:rsidRDefault="00DC6E4D" w14:paraId="28162908" w14:textId="77777777">
            <w:pPr>
              <w:jc w:val="both"/>
              <w:rPr>
                <w:rFonts w:ascii="Times New Roman" w:hAnsi="Times New Roman" w:cs="Times New Roman"/>
                <w:sz w:val="24"/>
                <w:szCs w:val="24"/>
              </w:rPr>
            </w:pPr>
          </w:p>
        </w:tc>
      </w:tr>
      <w:tr w:rsidR="00DC6E4D" w:rsidTr="006E637B" w14:paraId="0BACDB7E" w14:textId="77777777">
        <w:tc>
          <w:tcPr>
            <w:tcW w:w="2729" w:type="dxa"/>
          </w:tcPr>
          <w:p w:rsidR="00DC6E4D" w:rsidP="00435881" w:rsidRDefault="00DC6E4D" w14:paraId="701630CF" w14:textId="65971DF6">
            <w:pPr>
              <w:jc w:val="both"/>
              <w:rPr>
                <w:rFonts w:ascii="Times New Roman" w:hAnsi="Times New Roman" w:cs="Times New Roman"/>
                <w:sz w:val="24"/>
                <w:szCs w:val="24"/>
              </w:rPr>
            </w:pPr>
            <w:r>
              <w:rPr>
                <w:rFonts w:ascii="Times New Roman" w:hAnsi="Times New Roman" w:cs="Times New Roman"/>
                <w:sz w:val="24"/>
                <w:szCs w:val="24"/>
              </w:rPr>
              <w:t>New Jersey</w:t>
            </w:r>
          </w:p>
        </w:tc>
        <w:tc>
          <w:tcPr>
            <w:tcW w:w="961" w:type="dxa"/>
          </w:tcPr>
          <w:p w:rsidR="00DC6E4D" w:rsidP="00435881" w:rsidRDefault="00DC6E4D" w14:paraId="13265748" w14:textId="380119AC">
            <w:pPr>
              <w:jc w:val="both"/>
              <w:rPr>
                <w:rFonts w:ascii="Times New Roman" w:hAnsi="Times New Roman" w:cs="Times New Roman"/>
                <w:sz w:val="24"/>
                <w:szCs w:val="24"/>
              </w:rPr>
            </w:pPr>
            <w:r>
              <w:rPr>
                <w:rFonts w:ascii="Times New Roman" w:hAnsi="Times New Roman" w:cs="Times New Roman"/>
                <w:sz w:val="24"/>
                <w:szCs w:val="24"/>
              </w:rPr>
              <w:t>$11.00</w:t>
            </w:r>
          </w:p>
        </w:tc>
        <w:tc>
          <w:tcPr>
            <w:tcW w:w="2343" w:type="dxa"/>
            <w:vMerge/>
          </w:tcPr>
          <w:p w:rsidR="00DC6E4D" w:rsidP="00435881" w:rsidRDefault="00DC6E4D" w14:paraId="1E5B64C5" w14:textId="472C8CE7">
            <w:pPr>
              <w:jc w:val="both"/>
              <w:rPr>
                <w:rFonts w:ascii="Times New Roman" w:hAnsi="Times New Roman" w:cs="Times New Roman"/>
                <w:sz w:val="24"/>
                <w:szCs w:val="24"/>
              </w:rPr>
            </w:pPr>
          </w:p>
        </w:tc>
        <w:tc>
          <w:tcPr>
            <w:tcW w:w="1695" w:type="dxa"/>
            <w:vMerge/>
          </w:tcPr>
          <w:p w:rsidR="00DC6E4D" w:rsidP="00435881" w:rsidRDefault="00DC6E4D" w14:paraId="33359EE0" w14:textId="77777777">
            <w:pPr>
              <w:jc w:val="both"/>
              <w:rPr>
                <w:rFonts w:ascii="Times New Roman" w:hAnsi="Times New Roman" w:cs="Times New Roman"/>
                <w:sz w:val="24"/>
                <w:szCs w:val="24"/>
              </w:rPr>
            </w:pPr>
          </w:p>
        </w:tc>
        <w:tc>
          <w:tcPr>
            <w:tcW w:w="1807" w:type="dxa"/>
            <w:vMerge/>
          </w:tcPr>
          <w:p w:rsidR="00DC6E4D" w:rsidP="00435881" w:rsidRDefault="00DC6E4D" w14:paraId="2B1CD1E4" w14:textId="77777777">
            <w:pPr>
              <w:jc w:val="both"/>
              <w:rPr>
                <w:rFonts w:ascii="Times New Roman" w:hAnsi="Times New Roman" w:cs="Times New Roman"/>
                <w:sz w:val="24"/>
                <w:szCs w:val="24"/>
              </w:rPr>
            </w:pPr>
          </w:p>
        </w:tc>
      </w:tr>
      <w:tr w:rsidR="00DC6E4D" w:rsidTr="006E637B" w14:paraId="26A5B439" w14:textId="77777777">
        <w:tc>
          <w:tcPr>
            <w:tcW w:w="2729" w:type="dxa"/>
          </w:tcPr>
          <w:p w:rsidR="00DC6E4D" w:rsidP="00435881" w:rsidRDefault="00DC6E4D" w14:paraId="016D2514" w14:textId="22076249">
            <w:pPr>
              <w:jc w:val="both"/>
              <w:rPr>
                <w:rFonts w:ascii="Times New Roman" w:hAnsi="Times New Roman" w:cs="Times New Roman"/>
                <w:sz w:val="24"/>
                <w:szCs w:val="24"/>
              </w:rPr>
            </w:pPr>
            <w:r>
              <w:rPr>
                <w:rFonts w:ascii="Times New Roman" w:hAnsi="Times New Roman" w:cs="Times New Roman"/>
                <w:sz w:val="24"/>
                <w:szCs w:val="24"/>
              </w:rPr>
              <w:t>Ohio</w:t>
            </w:r>
          </w:p>
        </w:tc>
        <w:tc>
          <w:tcPr>
            <w:tcW w:w="961" w:type="dxa"/>
          </w:tcPr>
          <w:p w:rsidR="00DC6E4D" w:rsidP="00435881" w:rsidRDefault="00DC6E4D" w14:paraId="6F19486C" w14:textId="33E745F9">
            <w:pPr>
              <w:jc w:val="both"/>
              <w:rPr>
                <w:rFonts w:ascii="Times New Roman" w:hAnsi="Times New Roman" w:cs="Times New Roman"/>
                <w:sz w:val="24"/>
                <w:szCs w:val="24"/>
              </w:rPr>
            </w:pPr>
            <w:r>
              <w:rPr>
                <w:rFonts w:ascii="Times New Roman" w:hAnsi="Times New Roman" w:cs="Times New Roman"/>
                <w:sz w:val="24"/>
                <w:szCs w:val="24"/>
              </w:rPr>
              <w:t>$7.25</w:t>
            </w:r>
          </w:p>
        </w:tc>
        <w:tc>
          <w:tcPr>
            <w:tcW w:w="2343" w:type="dxa"/>
            <w:vMerge/>
          </w:tcPr>
          <w:p w:rsidR="00DC6E4D" w:rsidP="00435881" w:rsidRDefault="00DC6E4D" w14:paraId="53341B80" w14:textId="634527EB">
            <w:pPr>
              <w:jc w:val="both"/>
              <w:rPr>
                <w:rFonts w:ascii="Times New Roman" w:hAnsi="Times New Roman" w:cs="Times New Roman"/>
                <w:sz w:val="24"/>
                <w:szCs w:val="24"/>
              </w:rPr>
            </w:pPr>
          </w:p>
        </w:tc>
        <w:tc>
          <w:tcPr>
            <w:tcW w:w="1695" w:type="dxa"/>
            <w:vMerge/>
          </w:tcPr>
          <w:p w:rsidR="00DC6E4D" w:rsidP="00435881" w:rsidRDefault="00DC6E4D" w14:paraId="110FCFED" w14:textId="77777777">
            <w:pPr>
              <w:jc w:val="both"/>
              <w:rPr>
                <w:rFonts w:ascii="Times New Roman" w:hAnsi="Times New Roman" w:cs="Times New Roman"/>
                <w:sz w:val="24"/>
                <w:szCs w:val="24"/>
              </w:rPr>
            </w:pPr>
          </w:p>
        </w:tc>
        <w:tc>
          <w:tcPr>
            <w:tcW w:w="1807" w:type="dxa"/>
            <w:vMerge/>
          </w:tcPr>
          <w:p w:rsidR="00DC6E4D" w:rsidP="00435881" w:rsidRDefault="00DC6E4D" w14:paraId="26A86E8C" w14:textId="77777777">
            <w:pPr>
              <w:jc w:val="both"/>
              <w:rPr>
                <w:rFonts w:ascii="Times New Roman" w:hAnsi="Times New Roman" w:cs="Times New Roman"/>
                <w:sz w:val="24"/>
                <w:szCs w:val="24"/>
              </w:rPr>
            </w:pPr>
          </w:p>
        </w:tc>
      </w:tr>
      <w:tr w:rsidR="00DC6E4D" w:rsidTr="006E637B" w14:paraId="3D78E72D" w14:textId="77777777">
        <w:tc>
          <w:tcPr>
            <w:tcW w:w="2729" w:type="dxa"/>
          </w:tcPr>
          <w:p w:rsidR="00DC6E4D" w:rsidP="00435881" w:rsidRDefault="00DC6E4D" w14:paraId="44ED7D55" w14:textId="147740AE">
            <w:pPr>
              <w:jc w:val="both"/>
              <w:rPr>
                <w:rFonts w:ascii="Times New Roman" w:hAnsi="Times New Roman" w:cs="Times New Roman"/>
                <w:sz w:val="24"/>
                <w:szCs w:val="24"/>
              </w:rPr>
            </w:pPr>
            <w:r>
              <w:rPr>
                <w:rFonts w:ascii="Times New Roman" w:hAnsi="Times New Roman" w:cs="Times New Roman"/>
                <w:sz w:val="24"/>
                <w:szCs w:val="24"/>
              </w:rPr>
              <w:t>Texas</w:t>
            </w:r>
          </w:p>
        </w:tc>
        <w:tc>
          <w:tcPr>
            <w:tcW w:w="961" w:type="dxa"/>
          </w:tcPr>
          <w:p w:rsidR="00DC6E4D" w:rsidP="00435881" w:rsidRDefault="00DC6E4D" w14:paraId="65EDF8AC" w14:textId="130D20E1">
            <w:pPr>
              <w:jc w:val="both"/>
              <w:rPr>
                <w:rFonts w:ascii="Times New Roman" w:hAnsi="Times New Roman" w:cs="Times New Roman"/>
                <w:sz w:val="24"/>
                <w:szCs w:val="24"/>
              </w:rPr>
            </w:pPr>
            <w:r>
              <w:rPr>
                <w:rFonts w:ascii="Times New Roman" w:hAnsi="Times New Roman" w:cs="Times New Roman"/>
                <w:sz w:val="24"/>
                <w:szCs w:val="24"/>
              </w:rPr>
              <w:t>$7.25</w:t>
            </w:r>
          </w:p>
        </w:tc>
        <w:tc>
          <w:tcPr>
            <w:tcW w:w="2343" w:type="dxa"/>
            <w:vMerge/>
          </w:tcPr>
          <w:p w:rsidR="00DC6E4D" w:rsidP="00435881" w:rsidRDefault="00DC6E4D" w14:paraId="7569D3AB" w14:textId="77777777">
            <w:pPr>
              <w:jc w:val="both"/>
              <w:rPr>
                <w:rFonts w:ascii="Times New Roman" w:hAnsi="Times New Roman" w:cs="Times New Roman"/>
                <w:sz w:val="24"/>
                <w:szCs w:val="24"/>
              </w:rPr>
            </w:pPr>
          </w:p>
        </w:tc>
        <w:tc>
          <w:tcPr>
            <w:tcW w:w="1695" w:type="dxa"/>
            <w:vMerge/>
          </w:tcPr>
          <w:p w:rsidR="00DC6E4D" w:rsidP="00435881" w:rsidRDefault="00DC6E4D" w14:paraId="77EA4A9E" w14:textId="77777777">
            <w:pPr>
              <w:jc w:val="both"/>
              <w:rPr>
                <w:rFonts w:ascii="Times New Roman" w:hAnsi="Times New Roman" w:cs="Times New Roman"/>
                <w:sz w:val="24"/>
                <w:szCs w:val="24"/>
              </w:rPr>
            </w:pPr>
          </w:p>
        </w:tc>
        <w:tc>
          <w:tcPr>
            <w:tcW w:w="1807" w:type="dxa"/>
            <w:vMerge/>
          </w:tcPr>
          <w:p w:rsidR="00DC6E4D" w:rsidP="00435881" w:rsidRDefault="00DC6E4D" w14:paraId="723D8735" w14:textId="77777777">
            <w:pPr>
              <w:jc w:val="both"/>
              <w:rPr>
                <w:rFonts w:ascii="Times New Roman" w:hAnsi="Times New Roman" w:cs="Times New Roman"/>
                <w:sz w:val="24"/>
                <w:szCs w:val="24"/>
              </w:rPr>
            </w:pPr>
          </w:p>
        </w:tc>
      </w:tr>
    </w:tbl>
    <w:p w:rsidR="00D0164C" w:rsidP="00435881" w:rsidRDefault="00D0164C" w14:paraId="325AF7BC" w14:textId="77777777">
      <w:pPr>
        <w:ind w:left="720"/>
        <w:jc w:val="both"/>
        <w:rPr>
          <w:rFonts w:ascii="Times New Roman" w:hAnsi="Times New Roman" w:cs="Times New Roman"/>
          <w:sz w:val="24"/>
          <w:szCs w:val="24"/>
        </w:rPr>
      </w:pPr>
    </w:p>
    <w:p w:rsidRPr="00D97F13" w:rsidR="00A214EC" w:rsidP="00435881" w:rsidRDefault="00A214EC" w14:paraId="411CFEB1" w14:textId="1063AA1D">
      <w:pPr>
        <w:ind w:left="720"/>
        <w:jc w:val="both"/>
        <w:rPr>
          <w:rFonts w:ascii="Times New Roman" w:hAnsi="Times New Roman" w:cs="Times New Roman"/>
          <w:b/>
          <w:bCs/>
          <w:sz w:val="24"/>
          <w:szCs w:val="24"/>
        </w:rPr>
      </w:pPr>
    </w:p>
    <w:p w:rsidR="00A214EC" w:rsidP="00435881" w:rsidRDefault="00A214EC" w14:paraId="5A81DDE5" w14:textId="77777777">
      <w:pPr>
        <w:ind w:left="720"/>
        <w:jc w:val="both"/>
        <w:rPr>
          <w:rFonts w:ascii="Times New Roman" w:hAnsi="Times New Roman" w:cs="Times New Roman"/>
          <w:sz w:val="24"/>
          <w:szCs w:val="24"/>
        </w:rPr>
      </w:pPr>
    </w:p>
    <w:p w:rsidR="006C1E47" w:rsidP="00435881" w:rsidRDefault="006C1E47" w14:paraId="3F3A7052" w14:textId="3FF3D979">
      <w:pPr>
        <w:ind w:left="720"/>
        <w:jc w:val="both"/>
        <w:rPr>
          <w:rFonts w:ascii="Times New Roman" w:hAnsi="Times New Roman" w:cs="Times New Roman"/>
          <w:sz w:val="24"/>
          <w:szCs w:val="24"/>
        </w:rPr>
      </w:pPr>
    </w:p>
    <w:p w:rsidRPr="003F63A6" w:rsidR="00FC3867" w:rsidP="00435881" w:rsidRDefault="00FC3867" w14:paraId="1305FA0F" w14:textId="77777777">
      <w:pPr>
        <w:ind w:left="696"/>
        <w:jc w:val="both"/>
        <w:rPr>
          <w:rFonts w:ascii="Times New Roman" w:hAnsi="Times New Roman" w:cs="Times New Roman"/>
          <w:sz w:val="24"/>
          <w:szCs w:val="24"/>
        </w:rPr>
      </w:pPr>
    </w:p>
    <w:p w:rsidRPr="00C062DF" w:rsidR="00C062DF" w:rsidP="00C062DF" w:rsidRDefault="00DF4E4E" w14:paraId="05B9AC7A" w14:textId="49AB86F9">
      <w:pPr>
        <w:keepLines/>
        <w:tabs>
          <w:tab w:val="left" w:pos="360"/>
        </w:tabs>
        <w:spacing w:after="80"/>
        <w:ind w:left="360" w:hanging="360"/>
        <w:jc w:val="both"/>
        <w:rPr>
          <w:rFonts w:ascii="Times New Roman" w:hAnsi="Times New Roman" w:cs="Times New Roman"/>
          <w:b/>
          <w:bCs/>
          <w:sz w:val="24"/>
          <w:szCs w:val="24"/>
        </w:rPr>
      </w:pPr>
      <w:r w:rsidRPr="00511484">
        <w:rPr>
          <w:rFonts w:ascii="Times New Roman" w:hAnsi="Times New Roman" w:cs="Times New Roman"/>
          <w:b/>
          <w:bCs/>
          <w:sz w:val="24"/>
          <w:szCs w:val="24"/>
        </w:rPr>
        <w:lastRenderedPageBreak/>
        <w:t>14.</w:t>
      </w:r>
      <w:r w:rsidRPr="00511484">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w:t>
      </w:r>
      <w:r w:rsidRPr="00A15383">
        <w:rPr>
          <w:rFonts w:ascii="Times New Roman" w:hAnsi="Times New Roman" w:cs="Times New Roman"/>
          <w:b/>
          <w:bCs/>
          <w:sz w:val="24"/>
          <w:szCs w:val="24"/>
        </w:rPr>
        <w:t xml:space="preserve">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C4A38" w:rsidP="00435881" w:rsidRDefault="00FC4A38" w14:paraId="29EE2DC4" w14:textId="77777777">
      <w:pPr>
        <w:keepLines/>
        <w:tabs>
          <w:tab w:val="left" w:pos="360"/>
        </w:tabs>
        <w:spacing w:after="80"/>
        <w:ind w:left="360" w:hanging="360"/>
        <w:jc w:val="both"/>
        <w:rPr>
          <w:rFonts w:ascii="Times New Roman" w:hAnsi="Times New Roman" w:cs="Times New Roman"/>
          <w:b/>
          <w:bCs/>
          <w:sz w:val="24"/>
          <w:szCs w:val="24"/>
        </w:rPr>
      </w:pPr>
    </w:p>
    <w:p w:rsidR="000C5409" w:rsidP="00435881" w:rsidRDefault="00FC4A38" w14:paraId="33060B07" w14:textId="20554C61">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sidR="000C5409">
        <w:rPr>
          <w:rFonts w:ascii="Times New Roman" w:hAnsi="Times New Roman" w:cs="Times New Roman"/>
          <w:sz w:val="24"/>
          <w:szCs w:val="24"/>
        </w:rPr>
        <w:t xml:space="preserve">The </w:t>
      </w:r>
      <w:r>
        <w:rPr>
          <w:rFonts w:ascii="Times New Roman" w:hAnsi="Times New Roman" w:cs="Times New Roman"/>
          <w:sz w:val="24"/>
          <w:szCs w:val="24"/>
        </w:rPr>
        <w:t>total cost to the Federal Government for this survey effort, which is part of a broader evaluation</w:t>
      </w:r>
      <w:r w:rsidR="00433F48">
        <w:rPr>
          <w:rFonts w:ascii="Times New Roman" w:hAnsi="Times New Roman" w:cs="Times New Roman"/>
          <w:sz w:val="24"/>
          <w:szCs w:val="24"/>
        </w:rPr>
        <w:t xml:space="preserve"> effort led by MDRC, </w:t>
      </w:r>
      <w:r>
        <w:rPr>
          <w:rFonts w:ascii="Times New Roman" w:hAnsi="Times New Roman" w:cs="Times New Roman"/>
          <w:sz w:val="24"/>
          <w:szCs w:val="24"/>
        </w:rPr>
        <w:t xml:space="preserve">is $296,828. The </w:t>
      </w:r>
      <w:r w:rsidR="000C5409">
        <w:rPr>
          <w:rFonts w:ascii="Times New Roman" w:hAnsi="Times New Roman" w:cs="Times New Roman"/>
          <w:sz w:val="24"/>
          <w:szCs w:val="24"/>
        </w:rPr>
        <w:t xml:space="preserve">table below summarizes </w:t>
      </w:r>
      <w:r w:rsidR="00EF25C5">
        <w:rPr>
          <w:rFonts w:ascii="Times New Roman" w:hAnsi="Times New Roman" w:cs="Times New Roman"/>
          <w:sz w:val="24"/>
          <w:szCs w:val="24"/>
        </w:rPr>
        <w:t xml:space="preserve">the </w:t>
      </w:r>
      <w:r w:rsidR="00212B0B">
        <w:rPr>
          <w:rFonts w:ascii="Times New Roman" w:hAnsi="Times New Roman" w:cs="Times New Roman"/>
          <w:sz w:val="24"/>
          <w:szCs w:val="24"/>
        </w:rPr>
        <w:t xml:space="preserve">projected </w:t>
      </w:r>
      <w:r w:rsidR="0018036F">
        <w:rPr>
          <w:rFonts w:ascii="Times New Roman" w:hAnsi="Times New Roman" w:cs="Times New Roman"/>
          <w:sz w:val="24"/>
          <w:szCs w:val="24"/>
        </w:rPr>
        <w:t xml:space="preserve">costs of </w:t>
      </w:r>
      <w:r w:rsidR="00816EF5">
        <w:rPr>
          <w:rFonts w:ascii="Times New Roman" w:hAnsi="Times New Roman" w:cs="Times New Roman"/>
          <w:sz w:val="24"/>
          <w:szCs w:val="24"/>
        </w:rPr>
        <w:t xml:space="preserve">MDAC’s </w:t>
      </w:r>
      <w:r w:rsidR="0018036F">
        <w:rPr>
          <w:rFonts w:ascii="Times New Roman" w:hAnsi="Times New Roman" w:cs="Times New Roman"/>
          <w:sz w:val="24"/>
          <w:szCs w:val="24"/>
        </w:rPr>
        <w:t>survey data collection effort</w:t>
      </w:r>
      <w:r w:rsidR="00816EF5">
        <w:rPr>
          <w:rFonts w:ascii="Times New Roman" w:hAnsi="Times New Roman" w:cs="Times New Roman"/>
          <w:sz w:val="24"/>
          <w:szCs w:val="24"/>
        </w:rPr>
        <w:t>.</w:t>
      </w:r>
    </w:p>
    <w:p w:rsidRPr="00D97F13" w:rsidR="00933F4C" w:rsidP="00435881" w:rsidRDefault="00933F4C" w14:paraId="1CF08667" w14:textId="77777777">
      <w:pPr>
        <w:keepLines/>
        <w:tabs>
          <w:tab w:val="left" w:pos="360"/>
        </w:tabs>
        <w:spacing w:after="80"/>
        <w:ind w:left="360" w:hanging="360"/>
        <w:jc w:val="both"/>
        <w:rPr>
          <w:rFonts w:ascii="Times New Roman" w:hAnsi="Times New Roman" w:cs="Times New Roman"/>
          <w:sz w:val="24"/>
          <w:szCs w:val="24"/>
        </w:rPr>
      </w:pPr>
    </w:p>
    <w:tbl>
      <w:tblPr>
        <w:tblW w:w="0" w:type="auto"/>
        <w:jc w:val="center"/>
        <w:tblLook w:val="04A0" w:firstRow="1" w:lastRow="0" w:firstColumn="1" w:lastColumn="0" w:noHBand="0" w:noVBand="1"/>
      </w:tblPr>
      <w:tblGrid>
        <w:gridCol w:w="5969"/>
        <w:gridCol w:w="1866"/>
      </w:tblGrid>
      <w:tr w:rsidRPr="006E637B" w:rsidR="00183DE4" w:rsidTr="006E637B" w14:paraId="77D1C6F4" w14:textId="77777777">
        <w:trPr>
          <w:trHeight w:val="300"/>
          <w:jc w:val="center"/>
        </w:trPr>
        <w:tc>
          <w:tcPr>
            <w:tcW w:w="5969"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6E637B" w:rsidR="004A04DB" w:rsidP="004F5799" w:rsidRDefault="004A04DB" w14:paraId="2C3A3833" w14:textId="77777777">
            <w:pPr>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b/>
                <w:bCs/>
                <w:color w:val="000000"/>
                <w:sz w:val="20"/>
                <w:szCs w:val="20"/>
              </w:rPr>
              <w:t>Title</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6E637B" w:rsidR="004A04DB" w:rsidP="004F5799" w:rsidRDefault="004A04DB" w14:paraId="508ACC70" w14:textId="77777777">
            <w:pPr>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b/>
                <w:bCs/>
                <w:color w:val="000000"/>
                <w:sz w:val="20"/>
                <w:szCs w:val="20"/>
              </w:rPr>
              <w:t>Estimated Hours</w:t>
            </w:r>
          </w:p>
        </w:tc>
      </w:tr>
      <w:tr w:rsidRPr="006E637B" w:rsidR="004A04DB" w:rsidTr="006E637B" w14:paraId="634A761A" w14:textId="77777777">
        <w:trPr>
          <w:trHeight w:val="300"/>
          <w:jc w:val="center"/>
        </w:trPr>
        <w:tc>
          <w:tcPr>
            <w:tcW w:w="596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D97F13" w:rsidRDefault="004A04DB" w14:paraId="45CA7421"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Project Manager</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4F5799" w:rsidRDefault="004A04DB" w14:paraId="02D5E8A3"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 xml:space="preserve">                          308 </w:t>
            </w:r>
          </w:p>
        </w:tc>
      </w:tr>
      <w:tr w:rsidRPr="006E637B" w:rsidR="004A04DB" w:rsidTr="006E637B" w14:paraId="501D1BA6" w14:textId="77777777">
        <w:trPr>
          <w:trHeight w:val="300"/>
          <w:jc w:val="center"/>
        </w:trPr>
        <w:tc>
          <w:tcPr>
            <w:tcW w:w="596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D97F13" w:rsidRDefault="004A04DB" w14:paraId="3AA1A8D4"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Researcher</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4F5799" w:rsidRDefault="004A04DB" w14:paraId="66D68E47"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 xml:space="preserve">                          225 </w:t>
            </w:r>
          </w:p>
        </w:tc>
      </w:tr>
      <w:tr w:rsidRPr="006E637B" w:rsidR="004A04DB" w:rsidTr="006E637B" w14:paraId="4580B376" w14:textId="77777777">
        <w:trPr>
          <w:trHeight w:val="300"/>
          <w:jc w:val="center"/>
        </w:trPr>
        <w:tc>
          <w:tcPr>
            <w:tcW w:w="596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D97F13" w:rsidRDefault="004A04DB" w14:paraId="07BA91B0"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Call Center Manager</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4F5799" w:rsidRDefault="004A04DB" w14:paraId="1B73D35F"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 xml:space="preserve">                          114 </w:t>
            </w:r>
          </w:p>
        </w:tc>
      </w:tr>
      <w:tr w:rsidRPr="006E637B" w:rsidR="004A04DB" w:rsidTr="006E637B" w14:paraId="5B73E3AB" w14:textId="77777777">
        <w:trPr>
          <w:trHeight w:val="300"/>
          <w:jc w:val="center"/>
        </w:trPr>
        <w:tc>
          <w:tcPr>
            <w:tcW w:w="596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D97F13" w:rsidRDefault="004A04DB" w14:paraId="7571886F"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Project Coordinator</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4F5799" w:rsidRDefault="004A04DB" w14:paraId="1F8C10F9"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 xml:space="preserve">                          130 </w:t>
            </w:r>
          </w:p>
        </w:tc>
      </w:tr>
      <w:tr w:rsidRPr="006E637B" w:rsidR="004A04DB" w:rsidTr="006E637B" w14:paraId="3399E1DA" w14:textId="77777777">
        <w:trPr>
          <w:trHeight w:val="300"/>
          <w:jc w:val="center"/>
        </w:trPr>
        <w:tc>
          <w:tcPr>
            <w:tcW w:w="596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D97F13" w:rsidRDefault="004A04DB" w14:paraId="07F1EE57"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Call Center Supervisors</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4F5799" w:rsidRDefault="004A04DB" w14:paraId="67514390"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 xml:space="preserve">                          222 </w:t>
            </w:r>
          </w:p>
        </w:tc>
      </w:tr>
      <w:tr w:rsidRPr="006E637B" w:rsidR="004A04DB" w:rsidTr="006E637B" w14:paraId="3C858B06" w14:textId="77777777">
        <w:trPr>
          <w:trHeight w:val="300"/>
          <w:jc w:val="center"/>
        </w:trPr>
        <w:tc>
          <w:tcPr>
            <w:tcW w:w="596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D97F13" w:rsidRDefault="004A04DB" w14:paraId="317A294F"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Interviewers</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4F5799" w:rsidRDefault="004A04DB" w14:paraId="368F8F9F"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 xml:space="preserve">                       1,110 </w:t>
            </w:r>
          </w:p>
        </w:tc>
      </w:tr>
      <w:tr w:rsidRPr="006E637B" w:rsidR="004A04DB" w:rsidTr="006E637B" w14:paraId="4B557436" w14:textId="77777777">
        <w:trPr>
          <w:trHeight w:val="300"/>
          <w:jc w:val="center"/>
        </w:trPr>
        <w:tc>
          <w:tcPr>
            <w:tcW w:w="596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D97F13" w:rsidRDefault="004A04DB" w14:paraId="6A332ADC"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Administrative</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4F5799" w:rsidRDefault="004A04DB" w14:paraId="48003747"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 xml:space="preserve">                          346 </w:t>
            </w:r>
          </w:p>
        </w:tc>
      </w:tr>
      <w:tr w:rsidRPr="006E637B" w:rsidR="004A04DB" w:rsidTr="006E637B" w14:paraId="5806AACD" w14:textId="77777777">
        <w:trPr>
          <w:trHeight w:val="300"/>
          <w:jc w:val="center"/>
        </w:trPr>
        <w:tc>
          <w:tcPr>
            <w:tcW w:w="596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D97F13" w:rsidRDefault="004A04DB" w14:paraId="28581828"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CATI Programmer/Database Admin</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4F5799" w:rsidRDefault="004A04DB" w14:paraId="56A37685"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 xml:space="preserve">                          248 </w:t>
            </w:r>
          </w:p>
        </w:tc>
      </w:tr>
      <w:tr w:rsidRPr="006E637B" w:rsidR="004A04DB" w:rsidTr="006E637B" w14:paraId="5F9126F4" w14:textId="77777777">
        <w:trPr>
          <w:trHeight w:val="300"/>
          <w:jc w:val="center"/>
        </w:trPr>
        <w:tc>
          <w:tcPr>
            <w:tcW w:w="596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D97F13" w:rsidRDefault="004A04DB" w14:paraId="12D35630"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Research Assistant</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4F5799" w:rsidRDefault="004A04DB" w14:paraId="509E2F80"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 xml:space="preserve">                          604 </w:t>
            </w:r>
          </w:p>
        </w:tc>
      </w:tr>
      <w:tr w:rsidRPr="006E637B" w:rsidR="004A04DB" w:rsidTr="006E637B" w14:paraId="2D484BBB" w14:textId="77777777">
        <w:trPr>
          <w:trHeight w:val="300"/>
          <w:jc w:val="center"/>
        </w:trPr>
        <w:tc>
          <w:tcPr>
            <w:tcW w:w="596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D97F13" w:rsidRDefault="004A04DB" w14:paraId="5E90363B"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Accounting</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E637B" w:rsidR="004A04DB" w:rsidP="004F5799" w:rsidRDefault="004A04DB" w14:paraId="5D7D5C3C"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 xml:space="preserve">                             20 </w:t>
            </w:r>
          </w:p>
        </w:tc>
      </w:tr>
      <w:tr w:rsidRPr="006E637B" w:rsidR="004A04DB" w:rsidTr="006E637B" w14:paraId="74F8BBAE" w14:textId="77777777">
        <w:trPr>
          <w:trHeight w:val="300"/>
          <w:jc w:val="center"/>
        </w:trPr>
        <w:tc>
          <w:tcPr>
            <w:tcW w:w="5969" w:type="dxa"/>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6E637B" w:rsidR="004A04DB" w:rsidP="00D97F13" w:rsidRDefault="004A04DB" w14:paraId="498E07EB" w14:textId="77777777">
            <w:pPr>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b/>
                <w:bCs/>
                <w:color w:val="000000"/>
                <w:sz w:val="20"/>
                <w:szCs w:val="20"/>
              </w:rPr>
              <w:t>Labor Hours</w:t>
            </w:r>
          </w:p>
        </w:tc>
        <w:tc>
          <w:tcPr>
            <w:tcW w:w="0" w:type="auto"/>
            <w:tcBorders>
              <w:top w:val="nil"/>
              <w:left w:val="single" w:color="auto" w:sz="4" w:space="0"/>
              <w:bottom w:val="single" w:color="auto" w:sz="4" w:space="0"/>
              <w:right w:val="single" w:color="auto" w:sz="4" w:space="0"/>
            </w:tcBorders>
            <w:shd w:val="clear" w:color="auto" w:fill="D9D9D9" w:themeFill="background1" w:themeFillShade="D9"/>
            <w:noWrap/>
            <w:vAlign w:val="bottom"/>
            <w:hideMark/>
          </w:tcPr>
          <w:p w:rsidRPr="006E637B" w:rsidR="004A04DB" w:rsidP="004F5799" w:rsidRDefault="004A04DB" w14:paraId="68D2AB0B" w14:textId="77777777">
            <w:pPr>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b/>
                <w:bCs/>
                <w:color w:val="000000"/>
                <w:sz w:val="20"/>
                <w:szCs w:val="20"/>
              </w:rPr>
              <w:t xml:space="preserve">                       3,327 </w:t>
            </w:r>
          </w:p>
        </w:tc>
      </w:tr>
      <w:tr w:rsidRPr="006E637B" w:rsidR="004B4693" w:rsidTr="006E637B" w14:paraId="4064496A" w14:textId="77777777">
        <w:trPr>
          <w:trHeight w:val="300"/>
          <w:jc w:val="center"/>
        </w:trPr>
        <w:tc>
          <w:tcPr>
            <w:tcW w:w="5969" w:type="dxa"/>
            <w:tcBorders>
              <w:top w:val="nil"/>
              <w:left w:val="single" w:color="auto" w:sz="4" w:space="0"/>
              <w:bottom w:val="single" w:color="auto" w:sz="4" w:space="0"/>
              <w:right w:val="single" w:color="auto" w:sz="4" w:space="0"/>
            </w:tcBorders>
            <w:shd w:val="clear" w:color="auto" w:fill="D9D9D9" w:themeFill="background1" w:themeFillShade="D9"/>
            <w:noWrap/>
            <w:vAlign w:val="bottom"/>
          </w:tcPr>
          <w:p w:rsidRPr="006E637B" w:rsidR="004B4693" w:rsidP="00D97F13" w:rsidRDefault="004B4693" w14:paraId="63D1AD4A" w14:textId="77777777">
            <w:pPr>
              <w:rPr>
                <w:rFonts w:ascii="Times New Roman" w:hAnsi="Times New Roman" w:eastAsia="Times New Roman" w:cs="Times New Roman"/>
                <w:b/>
                <w:bCs/>
                <w:color w:val="000000"/>
                <w:sz w:val="20"/>
                <w:szCs w:val="20"/>
              </w:rPr>
            </w:pPr>
          </w:p>
        </w:tc>
        <w:tc>
          <w:tcPr>
            <w:tcW w:w="0" w:type="auto"/>
            <w:tcBorders>
              <w:top w:val="nil"/>
              <w:left w:val="single" w:color="auto" w:sz="4" w:space="0"/>
              <w:bottom w:val="single" w:color="auto" w:sz="4" w:space="0"/>
              <w:right w:val="single" w:color="auto" w:sz="4" w:space="0"/>
            </w:tcBorders>
            <w:shd w:val="clear" w:color="auto" w:fill="D9D9D9" w:themeFill="background1" w:themeFillShade="D9"/>
            <w:noWrap/>
          </w:tcPr>
          <w:p w:rsidRPr="006E637B" w:rsidR="004B4693" w:rsidP="004F5799" w:rsidRDefault="004B4693" w14:paraId="7DF1CD77" w14:textId="77777777">
            <w:pPr>
              <w:jc w:val="right"/>
              <w:rPr>
                <w:rFonts w:ascii="Times New Roman" w:hAnsi="Times New Roman" w:cs="Times New Roman"/>
                <w:b/>
                <w:bCs/>
                <w:sz w:val="20"/>
                <w:szCs w:val="20"/>
              </w:rPr>
            </w:pPr>
          </w:p>
        </w:tc>
      </w:tr>
      <w:tr w:rsidRPr="006E637B" w:rsidR="00183DE4" w:rsidTr="006E637B" w14:paraId="434903B7" w14:textId="77777777">
        <w:trPr>
          <w:trHeight w:val="300"/>
          <w:jc w:val="center"/>
        </w:trPr>
        <w:tc>
          <w:tcPr>
            <w:tcW w:w="5969" w:type="dxa"/>
            <w:tcBorders>
              <w:top w:val="nil"/>
              <w:left w:val="single" w:color="auto" w:sz="4" w:space="0"/>
              <w:bottom w:val="single" w:color="auto" w:sz="4" w:space="0"/>
              <w:right w:val="single" w:color="auto" w:sz="4" w:space="0"/>
            </w:tcBorders>
            <w:shd w:val="clear" w:color="auto" w:fill="D9D9D9" w:themeFill="background1" w:themeFillShade="D9"/>
            <w:noWrap/>
            <w:vAlign w:val="bottom"/>
          </w:tcPr>
          <w:p w:rsidRPr="006E637B" w:rsidR="004A04DB" w:rsidP="00D97F13" w:rsidRDefault="004A04DB" w14:paraId="0544F7A1" w14:textId="3308380B">
            <w:pPr>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b/>
                <w:bCs/>
                <w:color w:val="000000"/>
                <w:sz w:val="20"/>
                <w:szCs w:val="20"/>
              </w:rPr>
              <w:t>Direct Labor Cost</w:t>
            </w:r>
          </w:p>
        </w:tc>
        <w:tc>
          <w:tcPr>
            <w:tcW w:w="0" w:type="auto"/>
            <w:tcBorders>
              <w:top w:val="nil"/>
              <w:left w:val="single" w:color="auto" w:sz="4" w:space="0"/>
              <w:bottom w:val="single" w:color="auto" w:sz="4" w:space="0"/>
              <w:right w:val="single" w:color="auto" w:sz="4" w:space="0"/>
            </w:tcBorders>
            <w:shd w:val="clear" w:color="auto" w:fill="D9D9D9" w:themeFill="background1" w:themeFillShade="D9"/>
            <w:noWrap/>
          </w:tcPr>
          <w:p w:rsidRPr="006E637B" w:rsidR="004A04DB" w:rsidP="004F5799" w:rsidRDefault="004A04DB" w14:paraId="41DC80E1" w14:textId="77777777">
            <w:pPr>
              <w:jc w:val="right"/>
              <w:rPr>
                <w:rFonts w:ascii="Times New Roman" w:hAnsi="Times New Roman" w:eastAsia="Times New Roman" w:cs="Times New Roman"/>
                <w:b/>
                <w:color w:val="000000"/>
                <w:sz w:val="20"/>
                <w:szCs w:val="20"/>
              </w:rPr>
            </w:pPr>
            <w:r w:rsidRPr="006E637B">
              <w:rPr>
                <w:rFonts w:ascii="Times New Roman" w:hAnsi="Times New Roman" w:cs="Times New Roman"/>
                <w:b/>
                <w:bCs/>
                <w:sz w:val="20"/>
                <w:szCs w:val="20"/>
              </w:rPr>
              <w:t xml:space="preserve"> $95,937 </w:t>
            </w:r>
          </w:p>
        </w:tc>
      </w:tr>
      <w:tr w:rsidRPr="006E637B" w:rsidR="004A04DB" w:rsidTr="006E637B" w14:paraId="472C3DFB" w14:textId="77777777">
        <w:trPr>
          <w:trHeight w:val="300"/>
          <w:jc w:val="center"/>
        </w:trPr>
        <w:tc>
          <w:tcPr>
            <w:tcW w:w="5969" w:type="dxa"/>
            <w:tcBorders>
              <w:top w:val="nil"/>
              <w:left w:val="single" w:color="auto" w:sz="4" w:space="0"/>
              <w:bottom w:val="single" w:color="auto" w:sz="4" w:space="0"/>
              <w:right w:val="single" w:color="auto" w:sz="4" w:space="0"/>
            </w:tcBorders>
            <w:shd w:val="clear" w:color="auto" w:fill="auto"/>
            <w:noWrap/>
            <w:vAlign w:val="bottom"/>
          </w:tcPr>
          <w:p w:rsidRPr="006E637B" w:rsidR="004A04DB" w:rsidP="00D97F13" w:rsidRDefault="004A04DB" w14:paraId="6320645C" w14:textId="77777777">
            <w:pPr>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color w:val="000000"/>
                <w:sz w:val="20"/>
                <w:szCs w:val="20"/>
              </w:rPr>
              <w:t>Consultants</w:t>
            </w:r>
          </w:p>
        </w:tc>
        <w:tc>
          <w:tcPr>
            <w:tcW w:w="0" w:type="auto"/>
            <w:tcBorders>
              <w:top w:val="nil"/>
              <w:left w:val="single" w:color="auto" w:sz="4" w:space="0"/>
              <w:bottom w:val="single" w:color="auto" w:sz="4" w:space="0"/>
              <w:right w:val="single" w:color="auto" w:sz="4" w:space="0"/>
            </w:tcBorders>
            <w:shd w:val="clear" w:color="auto" w:fill="auto"/>
            <w:noWrap/>
          </w:tcPr>
          <w:p w:rsidRPr="006E637B" w:rsidR="004A04DB" w:rsidP="004F5799" w:rsidRDefault="004A04DB" w14:paraId="6CB7184D" w14:textId="77777777">
            <w:pPr>
              <w:jc w:val="right"/>
              <w:rPr>
                <w:rFonts w:ascii="Times New Roman" w:hAnsi="Times New Roman" w:eastAsia="Times New Roman" w:cs="Times New Roman"/>
                <w:b/>
                <w:bCs/>
                <w:color w:val="000000"/>
                <w:sz w:val="20"/>
                <w:szCs w:val="20"/>
              </w:rPr>
            </w:pPr>
            <w:r w:rsidRPr="006E637B">
              <w:rPr>
                <w:rFonts w:ascii="Times New Roman" w:hAnsi="Times New Roman" w:cs="Times New Roman"/>
                <w:sz w:val="20"/>
                <w:szCs w:val="20"/>
              </w:rPr>
              <w:t xml:space="preserve"> $3,422 </w:t>
            </w:r>
          </w:p>
        </w:tc>
      </w:tr>
      <w:tr w:rsidRPr="006E637B" w:rsidR="004A04DB" w:rsidTr="006E637B" w14:paraId="2A698D04" w14:textId="77777777">
        <w:trPr>
          <w:trHeight w:val="300"/>
          <w:jc w:val="center"/>
        </w:trPr>
        <w:tc>
          <w:tcPr>
            <w:tcW w:w="5969" w:type="dxa"/>
            <w:tcBorders>
              <w:top w:val="nil"/>
              <w:left w:val="single" w:color="auto" w:sz="4" w:space="0"/>
              <w:bottom w:val="single" w:color="auto" w:sz="4" w:space="0"/>
              <w:right w:val="single" w:color="auto" w:sz="4" w:space="0"/>
            </w:tcBorders>
            <w:shd w:val="clear" w:color="auto" w:fill="auto"/>
            <w:noWrap/>
            <w:vAlign w:val="bottom"/>
          </w:tcPr>
          <w:p w:rsidRPr="006E637B" w:rsidR="004A04DB" w:rsidP="00D97F13" w:rsidRDefault="004A04DB" w14:paraId="07529157" w14:textId="77777777">
            <w:pPr>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color w:val="000000"/>
                <w:sz w:val="20"/>
                <w:szCs w:val="20"/>
              </w:rPr>
              <w:t>Licenses (Lexis Nexis)</w:t>
            </w:r>
          </w:p>
        </w:tc>
        <w:tc>
          <w:tcPr>
            <w:tcW w:w="0" w:type="auto"/>
            <w:tcBorders>
              <w:top w:val="nil"/>
              <w:left w:val="single" w:color="auto" w:sz="4" w:space="0"/>
              <w:bottom w:val="single" w:color="auto" w:sz="4" w:space="0"/>
              <w:right w:val="single" w:color="auto" w:sz="4" w:space="0"/>
            </w:tcBorders>
            <w:shd w:val="clear" w:color="auto" w:fill="auto"/>
            <w:noWrap/>
          </w:tcPr>
          <w:p w:rsidRPr="006E637B" w:rsidR="004A04DB" w:rsidP="004F5799" w:rsidRDefault="004A04DB" w14:paraId="059E7134" w14:textId="77777777">
            <w:pPr>
              <w:jc w:val="right"/>
              <w:rPr>
                <w:rFonts w:ascii="Times New Roman" w:hAnsi="Times New Roman" w:eastAsia="Times New Roman" w:cs="Times New Roman"/>
                <w:b/>
                <w:bCs/>
                <w:color w:val="000000"/>
                <w:sz w:val="20"/>
                <w:szCs w:val="20"/>
              </w:rPr>
            </w:pPr>
            <w:r w:rsidRPr="006E637B">
              <w:rPr>
                <w:rFonts w:ascii="Times New Roman" w:hAnsi="Times New Roman" w:cs="Times New Roman"/>
                <w:sz w:val="20"/>
                <w:szCs w:val="20"/>
              </w:rPr>
              <w:t xml:space="preserve"> $18,930 </w:t>
            </w:r>
          </w:p>
        </w:tc>
      </w:tr>
      <w:tr w:rsidRPr="006E637B" w:rsidR="004A04DB" w:rsidTr="006E637B" w14:paraId="2E2748E6" w14:textId="77777777">
        <w:trPr>
          <w:trHeight w:val="300"/>
          <w:jc w:val="center"/>
        </w:trPr>
        <w:tc>
          <w:tcPr>
            <w:tcW w:w="5969" w:type="dxa"/>
            <w:tcBorders>
              <w:top w:val="nil"/>
              <w:left w:val="single" w:color="auto" w:sz="4" w:space="0"/>
              <w:bottom w:val="single" w:color="auto" w:sz="4" w:space="0"/>
              <w:right w:val="single" w:color="auto" w:sz="4" w:space="0"/>
            </w:tcBorders>
            <w:shd w:val="clear" w:color="auto" w:fill="auto"/>
            <w:noWrap/>
            <w:vAlign w:val="bottom"/>
          </w:tcPr>
          <w:p w:rsidRPr="006E637B" w:rsidR="004A04DB" w:rsidP="00D97F13" w:rsidRDefault="004A04DB" w14:paraId="2E53A3FA" w14:textId="77777777">
            <w:pPr>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color w:val="000000"/>
                <w:sz w:val="20"/>
                <w:szCs w:val="20"/>
              </w:rPr>
              <w:t>Printing/Supplies</w:t>
            </w:r>
          </w:p>
        </w:tc>
        <w:tc>
          <w:tcPr>
            <w:tcW w:w="0" w:type="auto"/>
            <w:tcBorders>
              <w:top w:val="nil"/>
              <w:left w:val="single" w:color="auto" w:sz="4" w:space="0"/>
              <w:bottom w:val="single" w:color="auto" w:sz="4" w:space="0"/>
              <w:right w:val="single" w:color="auto" w:sz="4" w:space="0"/>
            </w:tcBorders>
            <w:shd w:val="clear" w:color="auto" w:fill="auto"/>
            <w:noWrap/>
          </w:tcPr>
          <w:p w:rsidRPr="006E637B" w:rsidR="004A04DB" w:rsidP="004F5799" w:rsidRDefault="004A04DB" w14:paraId="59C67946" w14:textId="77777777">
            <w:pPr>
              <w:jc w:val="right"/>
              <w:rPr>
                <w:rFonts w:ascii="Times New Roman" w:hAnsi="Times New Roman" w:eastAsia="Times New Roman" w:cs="Times New Roman"/>
                <w:b/>
                <w:bCs/>
                <w:color w:val="000000"/>
                <w:sz w:val="20"/>
                <w:szCs w:val="20"/>
              </w:rPr>
            </w:pPr>
            <w:r w:rsidRPr="006E637B">
              <w:rPr>
                <w:rFonts w:ascii="Times New Roman" w:hAnsi="Times New Roman" w:cs="Times New Roman"/>
                <w:sz w:val="20"/>
                <w:szCs w:val="20"/>
              </w:rPr>
              <w:t xml:space="preserve"> $4,200 </w:t>
            </w:r>
          </w:p>
        </w:tc>
      </w:tr>
      <w:tr w:rsidRPr="006E637B" w:rsidR="004A04DB" w:rsidTr="006E637B" w14:paraId="74FC87D2" w14:textId="77777777">
        <w:trPr>
          <w:trHeight w:val="300"/>
          <w:jc w:val="center"/>
        </w:trPr>
        <w:tc>
          <w:tcPr>
            <w:tcW w:w="5969" w:type="dxa"/>
            <w:tcBorders>
              <w:top w:val="nil"/>
              <w:left w:val="single" w:color="auto" w:sz="4" w:space="0"/>
              <w:bottom w:val="single" w:color="auto" w:sz="4" w:space="0"/>
              <w:right w:val="single" w:color="auto" w:sz="4" w:space="0"/>
            </w:tcBorders>
            <w:shd w:val="clear" w:color="auto" w:fill="auto"/>
            <w:noWrap/>
            <w:vAlign w:val="bottom"/>
          </w:tcPr>
          <w:p w:rsidRPr="006E637B" w:rsidR="004A04DB" w:rsidP="00D97F13" w:rsidRDefault="004A04DB" w14:paraId="34246A8F" w14:textId="77777777">
            <w:pPr>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color w:val="000000"/>
                <w:sz w:val="20"/>
                <w:szCs w:val="20"/>
              </w:rPr>
              <w:t>Telephone</w:t>
            </w:r>
          </w:p>
        </w:tc>
        <w:tc>
          <w:tcPr>
            <w:tcW w:w="0" w:type="auto"/>
            <w:tcBorders>
              <w:top w:val="nil"/>
              <w:left w:val="single" w:color="auto" w:sz="4" w:space="0"/>
              <w:bottom w:val="single" w:color="auto" w:sz="4" w:space="0"/>
              <w:right w:val="single" w:color="auto" w:sz="4" w:space="0"/>
            </w:tcBorders>
            <w:shd w:val="clear" w:color="auto" w:fill="auto"/>
            <w:noWrap/>
          </w:tcPr>
          <w:p w:rsidRPr="006E637B" w:rsidR="004A04DB" w:rsidP="004F5799" w:rsidRDefault="004A04DB" w14:paraId="7418C2F8" w14:textId="77777777">
            <w:pPr>
              <w:jc w:val="right"/>
              <w:rPr>
                <w:rFonts w:ascii="Times New Roman" w:hAnsi="Times New Roman" w:eastAsia="Times New Roman" w:cs="Times New Roman"/>
                <w:b/>
                <w:bCs/>
                <w:color w:val="000000"/>
                <w:sz w:val="20"/>
                <w:szCs w:val="20"/>
              </w:rPr>
            </w:pPr>
            <w:r w:rsidRPr="006E637B">
              <w:rPr>
                <w:rFonts w:ascii="Times New Roman" w:hAnsi="Times New Roman" w:cs="Times New Roman"/>
                <w:sz w:val="20"/>
                <w:szCs w:val="20"/>
              </w:rPr>
              <w:t xml:space="preserve"> $2,480 </w:t>
            </w:r>
          </w:p>
        </w:tc>
      </w:tr>
      <w:tr w:rsidRPr="006E637B" w:rsidR="004A04DB" w:rsidTr="006E637B" w14:paraId="031E0DCC" w14:textId="77777777">
        <w:trPr>
          <w:trHeight w:val="300"/>
          <w:jc w:val="center"/>
        </w:trPr>
        <w:tc>
          <w:tcPr>
            <w:tcW w:w="5969" w:type="dxa"/>
            <w:tcBorders>
              <w:top w:val="nil"/>
              <w:left w:val="single" w:color="auto" w:sz="4" w:space="0"/>
              <w:bottom w:val="single" w:color="auto" w:sz="4" w:space="0"/>
              <w:right w:val="single" w:color="auto" w:sz="4" w:space="0"/>
            </w:tcBorders>
            <w:shd w:val="clear" w:color="auto" w:fill="auto"/>
            <w:noWrap/>
            <w:vAlign w:val="bottom"/>
          </w:tcPr>
          <w:p w:rsidRPr="006E637B" w:rsidR="004A04DB" w:rsidP="00D97F13" w:rsidRDefault="004A04DB" w14:paraId="16F37A81" w14:textId="77777777">
            <w:pPr>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color w:val="000000"/>
                <w:sz w:val="20"/>
                <w:szCs w:val="20"/>
              </w:rPr>
              <w:t>Incentives</w:t>
            </w:r>
          </w:p>
        </w:tc>
        <w:tc>
          <w:tcPr>
            <w:tcW w:w="0" w:type="auto"/>
            <w:tcBorders>
              <w:top w:val="nil"/>
              <w:left w:val="single" w:color="auto" w:sz="4" w:space="0"/>
              <w:bottom w:val="single" w:color="auto" w:sz="4" w:space="0"/>
              <w:right w:val="single" w:color="auto" w:sz="4" w:space="0"/>
            </w:tcBorders>
            <w:shd w:val="clear" w:color="auto" w:fill="auto"/>
            <w:noWrap/>
          </w:tcPr>
          <w:p w:rsidRPr="006E637B" w:rsidR="004A04DB" w:rsidP="004F5799" w:rsidRDefault="004A04DB" w14:paraId="15AF5A0B" w14:textId="77777777">
            <w:pPr>
              <w:jc w:val="right"/>
              <w:rPr>
                <w:rFonts w:ascii="Times New Roman" w:hAnsi="Times New Roman" w:eastAsia="Times New Roman" w:cs="Times New Roman"/>
                <w:b/>
                <w:bCs/>
                <w:color w:val="000000"/>
                <w:sz w:val="20"/>
                <w:szCs w:val="20"/>
              </w:rPr>
            </w:pPr>
            <w:r w:rsidRPr="006E637B">
              <w:rPr>
                <w:rFonts w:ascii="Times New Roman" w:hAnsi="Times New Roman" w:cs="Times New Roman"/>
                <w:sz w:val="20"/>
                <w:szCs w:val="20"/>
              </w:rPr>
              <w:t xml:space="preserve"> $40,850 </w:t>
            </w:r>
          </w:p>
        </w:tc>
      </w:tr>
      <w:tr w:rsidRPr="006E637B" w:rsidR="004A04DB" w:rsidTr="006E637B" w14:paraId="65B2CA40" w14:textId="77777777">
        <w:trPr>
          <w:trHeight w:val="300"/>
          <w:jc w:val="center"/>
        </w:trPr>
        <w:tc>
          <w:tcPr>
            <w:tcW w:w="5969" w:type="dxa"/>
            <w:tcBorders>
              <w:top w:val="nil"/>
              <w:left w:val="single" w:color="auto" w:sz="4" w:space="0"/>
              <w:bottom w:val="single" w:color="auto" w:sz="4" w:space="0"/>
              <w:right w:val="single" w:color="auto" w:sz="4" w:space="0"/>
            </w:tcBorders>
            <w:shd w:val="clear" w:color="auto" w:fill="auto"/>
            <w:noWrap/>
            <w:vAlign w:val="bottom"/>
          </w:tcPr>
          <w:p w:rsidRPr="006E637B" w:rsidR="004A04DB" w:rsidP="00D97F13" w:rsidRDefault="004A04DB" w14:paraId="33040E9F" w14:textId="77777777">
            <w:pPr>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color w:val="000000"/>
                <w:sz w:val="20"/>
                <w:szCs w:val="20"/>
              </w:rPr>
              <w:t>Postage</w:t>
            </w:r>
          </w:p>
        </w:tc>
        <w:tc>
          <w:tcPr>
            <w:tcW w:w="0" w:type="auto"/>
            <w:tcBorders>
              <w:top w:val="nil"/>
              <w:left w:val="single" w:color="auto" w:sz="4" w:space="0"/>
              <w:bottom w:val="single" w:color="auto" w:sz="4" w:space="0"/>
              <w:right w:val="single" w:color="auto" w:sz="4" w:space="0"/>
            </w:tcBorders>
            <w:shd w:val="clear" w:color="auto" w:fill="auto"/>
            <w:noWrap/>
          </w:tcPr>
          <w:p w:rsidRPr="006E637B" w:rsidR="004A04DB" w:rsidP="004F5799" w:rsidRDefault="004A04DB" w14:paraId="3DB1B67E" w14:textId="77777777">
            <w:pPr>
              <w:jc w:val="right"/>
              <w:rPr>
                <w:rFonts w:ascii="Times New Roman" w:hAnsi="Times New Roman" w:eastAsia="Times New Roman" w:cs="Times New Roman"/>
                <w:b/>
                <w:bCs/>
                <w:color w:val="000000"/>
                <w:sz w:val="20"/>
                <w:szCs w:val="20"/>
              </w:rPr>
            </w:pPr>
            <w:r w:rsidRPr="006E637B">
              <w:rPr>
                <w:rFonts w:ascii="Times New Roman" w:hAnsi="Times New Roman" w:cs="Times New Roman"/>
                <w:sz w:val="20"/>
                <w:szCs w:val="20"/>
              </w:rPr>
              <w:t xml:space="preserve"> $1,859 </w:t>
            </w:r>
          </w:p>
        </w:tc>
      </w:tr>
      <w:tr w:rsidRPr="006E637B" w:rsidR="004A04DB" w:rsidTr="006E637B" w14:paraId="20F8EA1A" w14:textId="77777777">
        <w:trPr>
          <w:trHeight w:val="300"/>
          <w:jc w:val="center"/>
        </w:trPr>
        <w:tc>
          <w:tcPr>
            <w:tcW w:w="5969" w:type="dxa"/>
            <w:tcBorders>
              <w:top w:val="nil"/>
              <w:left w:val="single" w:color="auto" w:sz="4" w:space="0"/>
              <w:bottom w:val="single" w:color="auto" w:sz="4" w:space="0"/>
              <w:right w:val="single" w:color="auto" w:sz="4" w:space="0"/>
            </w:tcBorders>
            <w:shd w:val="clear" w:color="auto" w:fill="auto"/>
            <w:noWrap/>
            <w:vAlign w:val="bottom"/>
          </w:tcPr>
          <w:p w:rsidRPr="006E637B" w:rsidR="004A04DB" w:rsidP="00D97F13" w:rsidRDefault="004A04DB" w14:paraId="1705E839"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Overhead</w:t>
            </w:r>
          </w:p>
        </w:tc>
        <w:tc>
          <w:tcPr>
            <w:tcW w:w="0" w:type="auto"/>
            <w:tcBorders>
              <w:top w:val="nil"/>
              <w:left w:val="single" w:color="auto" w:sz="4" w:space="0"/>
              <w:bottom w:val="single" w:color="auto" w:sz="4" w:space="0"/>
              <w:right w:val="single" w:color="auto" w:sz="4" w:space="0"/>
            </w:tcBorders>
            <w:shd w:val="clear" w:color="auto" w:fill="auto"/>
            <w:noWrap/>
          </w:tcPr>
          <w:p w:rsidRPr="006E637B" w:rsidR="004A04DB" w:rsidP="004F5799" w:rsidRDefault="004A04DB" w14:paraId="58AA868E" w14:textId="77777777">
            <w:pPr>
              <w:jc w:val="right"/>
              <w:rPr>
                <w:rFonts w:ascii="Times New Roman" w:hAnsi="Times New Roman" w:eastAsia="Times New Roman" w:cs="Times New Roman"/>
                <w:color w:val="000000"/>
                <w:sz w:val="20"/>
                <w:szCs w:val="20"/>
              </w:rPr>
            </w:pPr>
            <w:r w:rsidRPr="006E637B">
              <w:rPr>
                <w:rFonts w:ascii="Times New Roman" w:hAnsi="Times New Roman" w:cs="Times New Roman"/>
                <w:sz w:val="20"/>
                <w:szCs w:val="20"/>
              </w:rPr>
              <w:t xml:space="preserve"> $52,084 </w:t>
            </w:r>
          </w:p>
        </w:tc>
      </w:tr>
      <w:tr w:rsidRPr="006E637B" w:rsidR="004A04DB" w:rsidTr="006E637B" w14:paraId="060CF8EB" w14:textId="77777777">
        <w:trPr>
          <w:trHeight w:val="300"/>
          <w:jc w:val="center"/>
        </w:trPr>
        <w:tc>
          <w:tcPr>
            <w:tcW w:w="5969" w:type="dxa"/>
            <w:tcBorders>
              <w:top w:val="nil"/>
              <w:left w:val="single" w:color="auto" w:sz="4" w:space="0"/>
              <w:bottom w:val="single" w:color="auto" w:sz="4" w:space="0"/>
              <w:right w:val="single" w:color="auto" w:sz="4" w:space="0"/>
            </w:tcBorders>
            <w:shd w:val="clear" w:color="auto" w:fill="auto"/>
            <w:noWrap/>
            <w:vAlign w:val="bottom"/>
          </w:tcPr>
          <w:p w:rsidRPr="006E637B" w:rsidR="004A04DB" w:rsidP="00D97F13" w:rsidRDefault="004A04DB" w14:paraId="0839AC3C"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Fees</w:t>
            </w:r>
          </w:p>
        </w:tc>
        <w:tc>
          <w:tcPr>
            <w:tcW w:w="0" w:type="auto"/>
            <w:tcBorders>
              <w:top w:val="nil"/>
              <w:left w:val="single" w:color="auto" w:sz="4" w:space="0"/>
              <w:bottom w:val="single" w:color="auto" w:sz="4" w:space="0"/>
              <w:right w:val="single" w:color="auto" w:sz="4" w:space="0"/>
            </w:tcBorders>
            <w:shd w:val="clear" w:color="auto" w:fill="auto"/>
            <w:noWrap/>
          </w:tcPr>
          <w:p w:rsidRPr="006E637B" w:rsidR="004A04DB" w:rsidP="004F5799" w:rsidRDefault="004A04DB" w14:paraId="27912389" w14:textId="77777777">
            <w:pPr>
              <w:jc w:val="right"/>
              <w:rPr>
                <w:rFonts w:ascii="Times New Roman" w:hAnsi="Times New Roman" w:eastAsia="Times New Roman" w:cs="Times New Roman"/>
                <w:color w:val="000000"/>
                <w:sz w:val="20"/>
                <w:szCs w:val="20"/>
              </w:rPr>
            </w:pPr>
            <w:r w:rsidRPr="006E637B">
              <w:rPr>
                <w:rFonts w:ascii="Times New Roman" w:hAnsi="Times New Roman" w:cs="Times New Roman"/>
                <w:sz w:val="20"/>
                <w:szCs w:val="20"/>
              </w:rPr>
              <w:t xml:space="preserve"> $14,867 </w:t>
            </w:r>
          </w:p>
        </w:tc>
      </w:tr>
      <w:tr w:rsidRPr="006E637B" w:rsidR="004A04DB" w:rsidTr="006E637B" w14:paraId="552410E0" w14:textId="77777777">
        <w:trPr>
          <w:trHeight w:val="300"/>
          <w:jc w:val="center"/>
        </w:trPr>
        <w:tc>
          <w:tcPr>
            <w:tcW w:w="5969" w:type="dxa"/>
            <w:tcBorders>
              <w:top w:val="nil"/>
              <w:left w:val="single" w:color="auto" w:sz="4" w:space="0"/>
              <w:bottom w:val="single" w:color="auto" w:sz="4" w:space="0"/>
              <w:right w:val="single" w:color="auto" w:sz="4" w:space="0"/>
            </w:tcBorders>
            <w:shd w:val="clear" w:color="auto" w:fill="auto"/>
            <w:noWrap/>
            <w:vAlign w:val="bottom"/>
          </w:tcPr>
          <w:p w:rsidRPr="006E637B" w:rsidR="004A04DB" w:rsidP="00D97F13" w:rsidRDefault="004A04DB" w14:paraId="3AB6010D"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G&amp;A</w:t>
            </w:r>
          </w:p>
        </w:tc>
        <w:tc>
          <w:tcPr>
            <w:tcW w:w="0" w:type="auto"/>
            <w:tcBorders>
              <w:top w:val="nil"/>
              <w:left w:val="single" w:color="auto" w:sz="4" w:space="0"/>
              <w:bottom w:val="single" w:color="auto" w:sz="4" w:space="0"/>
              <w:right w:val="single" w:color="auto" w:sz="4" w:space="0"/>
            </w:tcBorders>
            <w:shd w:val="clear" w:color="auto" w:fill="auto"/>
            <w:noWrap/>
          </w:tcPr>
          <w:p w:rsidRPr="006E637B" w:rsidR="004A04DB" w:rsidP="004F5799" w:rsidRDefault="004A04DB" w14:paraId="7353139B" w14:textId="77777777">
            <w:pPr>
              <w:jc w:val="right"/>
              <w:rPr>
                <w:rFonts w:ascii="Times New Roman" w:hAnsi="Times New Roman" w:eastAsia="Times New Roman" w:cs="Times New Roman"/>
                <w:color w:val="000000"/>
                <w:sz w:val="20"/>
                <w:szCs w:val="20"/>
              </w:rPr>
            </w:pPr>
            <w:r w:rsidRPr="006E637B">
              <w:rPr>
                <w:rFonts w:ascii="Times New Roman" w:hAnsi="Times New Roman" w:cs="Times New Roman"/>
                <w:sz w:val="20"/>
                <w:szCs w:val="20"/>
              </w:rPr>
              <w:t xml:space="preserve"> $62,199 </w:t>
            </w:r>
          </w:p>
        </w:tc>
      </w:tr>
      <w:tr w:rsidRPr="006E637B" w:rsidR="00183DE4" w:rsidTr="006E637B" w14:paraId="0F22180A" w14:textId="77777777">
        <w:trPr>
          <w:trHeight w:val="300"/>
          <w:jc w:val="center"/>
        </w:trPr>
        <w:tc>
          <w:tcPr>
            <w:tcW w:w="5969" w:type="dxa"/>
            <w:tcBorders>
              <w:top w:val="nil"/>
              <w:left w:val="single" w:color="auto" w:sz="4" w:space="0"/>
              <w:bottom w:val="single" w:color="auto" w:sz="4" w:space="0"/>
              <w:right w:val="single" w:color="auto" w:sz="4" w:space="0"/>
            </w:tcBorders>
            <w:shd w:val="clear" w:color="auto" w:fill="D9D9D9" w:themeFill="background1" w:themeFillShade="D9"/>
            <w:noWrap/>
            <w:vAlign w:val="bottom"/>
          </w:tcPr>
          <w:p w:rsidRPr="006E637B" w:rsidR="004A04DB" w:rsidP="00D97F13" w:rsidRDefault="004A04DB" w14:paraId="63A84D0C" w14:textId="77777777">
            <w:pPr>
              <w:rPr>
                <w:rFonts w:ascii="Times New Roman" w:hAnsi="Times New Roman" w:eastAsia="Times New Roman" w:cs="Times New Roman"/>
                <w:color w:val="000000"/>
                <w:sz w:val="20"/>
                <w:szCs w:val="20"/>
              </w:rPr>
            </w:pPr>
            <w:r w:rsidRPr="006E637B">
              <w:rPr>
                <w:rFonts w:ascii="Times New Roman" w:hAnsi="Times New Roman" w:eastAsia="Times New Roman" w:cs="Times New Roman"/>
                <w:b/>
                <w:bCs/>
                <w:color w:val="000000"/>
                <w:sz w:val="20"/>
                <w:szCs w:val="20"/>
              </w:rPr>
              <w:t>Total Costs</w:t>
            </w:r>
          </w:p>
        </w:tc>
        <w:tc>
          <w:tcPr>
            <w:tcW w:w="0" w:type="auto"/>
            <w:tcBorders>
              <w:top w:val="nil"/>
              <w:left w:val="single" w:color="auto" w:sz="4" w:space="0"/>
              <w:bottom w:val="single" w:color="auto" w:sz="4" w:space="0"/>
              <w:right w:val="single" w:color="auto" w:sz="4" w:space="0"/>
            </w:tcBorders>
            <w:shd w:val="clear" w:color="auto" w:fill="D9D9D9" w:themeFill="background1" w:themeFillShade="D9"/>
            <w:noWrap/>
          </w:tcPr>
          <w:p w:rsidRPr="006E637B" w:rsidR="004A04DB" w:rsidP="004F5799" w:rsidRDefault="004A04DB" w14:paraId="4AA09FDF" w14:textId="77777777">
            <w:pPr>
              <w:jc w:val="right"/>
              <w:rPr>
                <w:rFonts w:ascii="Times New Roman" w:hAnsi="Times New Roman" w:eastAsia="Times New Roman" w:cs="Times New Roman"/>
                <w:b/>
                <w:bCs/>
                <w:color w:val="000000"/>
                <w:sz w:val="20"/>
                <w:szCs w:val="20"/>
              </w:rPr>
            </w:pPr>
            <w:r w:rsidRPr="006E637B">
              <w:rPr>
                <w:rFonts w:ascii="Times New Roman" w:hAnsi="Times New Roman" w:cs="Times New Roman"/>
                <w:b/>
                <w:bCs/>
                <w:sz w:val="20"/>
                <w:szCs w:val="20"/>
              </w:rPr>
              <w:t xml:space="preserve"> $296,828 </w:t>
            </w:r>
          </w:p>
        </w:tc>
      </w:tr>
    </w:tbl>
    <w:p w:rsidRPr="00C062DF" w:rsidR="00C062DF" w:rsidP="00C062DF" w:rsidRDefault="00A7189B" w14:paraId="091342AA" w14:textId="0DF970FA">
      <w:pPr>
        <w:jc w:val="both"/>
        <w:rPr>
          <w:rFonts w:ascii="Times New Roman" w:hAnsi="Times New Roman" w:cs="Times New Roman"/>
          <w:sz w:val="24"/>
          <w:szCs w:val="24"/>
        </w:rPr>
      </w:pPr>
      <w:r w:rsidRPr="00511484">
        <w:rPr>
          <w:rFonts w:ascii="Times New Roman" w:hAnsi="Times New Roman" w:cs="Times New Roman"/>
          <w:sz w:val="24"/>
          <w:szCs w:val="24"/>
        </w:rPr>
        <w:t xml:space="preserve"> </w:t>
      </w:r>
    </w:p>
    <w:p w:rsidRPr="00A15383" w:rsidR="00DF4E4E" w:rsidP="00435881" w:rsidRDefault="00DF4E4E" w14:paraId="369A7870" w14:textId="701B25FC">
      <w:pPr>
        <w:keepLines/>
        <w:tabs>
          <w:tab w:val="left" w:pos="360"/>
        </w:tabs>
        <w:spacing w:after="80"/>
        <w:ind w:left="360" w:hanging="360"/>
        <w:jc w:val="both"/>
        <w:rPr>
          <w:rFonts w:ascii="Times New Roman" w:hAnsi="Times New Roman" w:cs="Times New Roman"/>
          <w:b/>
          <w:sz w:val="24"/>
          <w:szCs w:val="24"/>
        </w:rPr>
      </w:pPr>
      <w:r w:rsidRPr="00A15383">
        <w:rPr>
          <w:rFonts w:ascii="Times New Roman" w:hAnsi="Times New Roman" w:cs="Times New Roman"/>
          <w:b/>
          <w:sz w:val="24"/>
          <w:szCs w:val="24"/>
        </w:rPr>
        <w:t>15.</w:t>
      </w:r>
      <w:r w:rsidRPr="00A15383">
        <w:rPr>
          <w:rFonts w:ascii="Times New Roman" w:hAnsi="Times New Roman" w:cs="Times New Roman"/>
          <w:b/>
          <w:sz w:val="24"/>
          <w:szCs w:val="24"/>
        </w:rPr>
        <w:tab/>
        <w:t>Explain the reasons for any program changes or adjustments reported in Items 13 and 14 of the OMB Form 83-I.</w:t>
      </w:r>
    </w:p>
    <w:p w:rsidRPr="003F63A6" w:rsidR="00EE0DD7" w:rsidP="00435881" w:rsidRDefault="00EE0DD7" w14:paraId="296F02F1" w14:textId="0892512A">
      <w:pPr>
        <w:autoSpaceDE w:val="0"/>
        <w:autoSpaceDN w:val="0"/>
        <w:adjustRightInd w:val="0"/>
        <w:ind w:firstLine="360"/>
        <w:jc w:val="both"/>
        <w:rPr>
          <w:rFonts w:ascii="Times New Roman" w:hAnsi="Times New Roman" w:cs="Times New Roman"/>
          <w:color w:val="000000"/>
          <w:sz w:val="24"/>
          <w:szCs w:val="24"/>
        </w:rPr>
      </w:pPr>
      <w:r w:rsidRPr="003F63A6">
        <w:rPr>
          <w:rFonts w:ascii="Times New Roman" w:hAnsi="Times New Roman" w:cs="Times New Roman"/>
          <w:color w:val="000000"/>
          <w:sz w:val="24"/>
          <w:szCs w:val="24"/>
        </w:rPr>
        <w:t xml:space="preserve">This submission is a new request for approval. </w:t>
      </w:r>
    </w:p>
    <w:p w:rsidRPr="00A15383" w:rsidR="00A7189B" w:rsidP="00435881" w:rsidRDefault="00A7189B" w14:paraId="17265D56" w14:textId="77777777">
      <w:pPr>
        <w:ind w:left="1440"/>
        <w:jc w:val="both"/>
        <w:rPr>
          <w:rFonts w:ascii="Times New Roman" w:hAnsi="Times New Roman" w:cs="Times New Roman"/>
          <w:sz w:val="24"/>
          <w:szCs w:val="24"/>
        </w:rPr>
      </w:pPr>
    </w:p>
    <w:p w:rsidRPr="008036E8" w:rsidR="00DF4E4E" w:rsidP="00435881" w:rsidRDefault="00DF4E4E" w14:paraId="0CDD314E" w14:textId="03B88877">
      <w:pPr>
        <w:keepLines/>
        <w:tabs>
          <w:tab w:val="left" w:pos="360"/>
        </w:tabs>
        <w:spacing w:after="80"/>
        <w:ind w:left="360" w:hanging="360"/>
        <w:jc w:val="both"/>
        <w:rPr>
          <w:rFonts w:ascii="Times New Roman" w:hAnsi="Times New Roman" w:cs="Times New Roman"/>
          <w:b/>
          <w:sz w:val="24"/>
          <w:szCs w:val="24"/>
        </w:rPr>
      </w:pPr>
      <w:r w:rsidRPr="00A15383">
        <w:rPr>
          <w:rFonts w:ascii="Times New Roman" w:hAnsi="Times New Roman" w:cs="Times New Roman"/>
          <w:b/>
          <w:sz w:val="24"/>
          <w:szCs w:val="24"/>
        </w:rPr>
        <w:lastRenderedPageBreak/>
        <w:t>16.</w:t>
      </w:r>
      <w:r w:rsidRPr="00A15383">
        <w:rPr>
          <w:rFonts w:ascii="Times New Roman" w:hAnsi="Times New Roman" w:cs="Times New Roman"/>
          <w:b/>
          <w:sz w:val="24"/>
          <w:szCs w:val="24"/>
        </w:rPr>
        <w:tab/>
        <w:t xml:space="preserve">For collection of information whose results will be published, </w:t>
      </w:r>
      <w:r w:rsidRPr="008036E8">
        <w:rPr>
          <w:rFonts w:ascii="Times New Roman" w:hAnsi="Times New Roman" w:cs="Times New Roman"/>
          <w:b/>
          <w:sz w:val="24"/>
          <w:szCs w:val="24"/>
        </w:rPr>
        <w:t>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11484" w:rsidR="00D94BD1" w:rsidP="00435881" w:rsidRDefault="00D94BD1" w14:paraId="6BC59FA4" w14:textId="265E786D">
      <w:pPr>
        <w:pStyle w:val="ParagraphLAST"/>
        <w:spacing w:after="0" w:line="240" w:lineRule="auto"/>
        <w:ind w:left="360" w:firstLine="0"/>
        <w:rPr>
          <w:rFonts w:ascii="Times New Roman" w:hAnsi="Times New Roman"/>
        </w:rPr>
      </w:pPr>
      <w:r w:rsidRPr="008036E8">
        <w:rPr>
          <w:rFonts w:ascii="Times New Roman" w:hAnsi="Times New Roman"/>
        </w:rPr>
        <w:t xml:space="preserve">As detailed in the previous OMB submission, to determine the effectiveness of the targeted programs, MDRC will collect </w:t>
      </w:r>
      <w:r w:rsidRPr="008C4FA2">
        <w:rPr>
          <w:rFonts w:ascii="Times New Roman" w:hAnsi="Times New Roman"/>
          <w:lang w:val="yo-NG"/>
        </w:rPr>
        <w:t>four categories of data</w:t>
      </w:r>
      <w:r w:rsidRPr="00511484">
        <w:rPr>
          <w:rFonts w:ascii="Times New Roman" w:hAnsi="Times New Roman"/>
        </w:rPr>
        <w:t xml:space="preserve">: </w:t>
      </w:r>
      <w:r w:rsidRPr="00511484">
        <w:rPr>
          <w:rFonts w:ascii="Times New Roman" w:hAnsi="Times New Roman"/>
          <w:lang w:val="yo-NG"/>
        </w:rPr>
        <w:t xml:space="preserve"> 1) </w:t>
      </w:r>
      <w:r w:rsidRPr="00511484">
        <w:rPr>
          <w:rFonts w:ascii="Times New Roman" w:hAnsi="Times New Roman"/>
        </w:rPr>
        <w:t>baseline data,</w:t>
      </w:r>
      <w:r w:rsidRPr="00511484">
        <w:rPr>
          <w:rFonts w:ascii="Times New Roman" w:hAnsi="Times New Roman"/>
          <w:lang w:val="yo-NG"/>
        </w:rPr>
        <w:t xml:space="preserve"> 2)</w:t>
      </w:r>
      <w:r w:rsidRPr="00511484">
        <w:rPr>
          <w:rFonts w:ascii="Times New Roman" w:hAnsi="Times New Roman"/>
        </w:rPr>
        <w:t xml:space="preserve"> program </w:t>
      </w:r>
      <w:r w:rsidRPr="00511484">
        <w:rPr>
          <w:rFonts w:ascii="Times New Roman" w:hAnsi="Times New Roman"/>
          <w:lang w:val="yo-NG"/>
        </w:rPr>
        <w:t>implementation</w:t>
      </w:r>
      <w:r w:rsidRPr="00511484">
        <w:rPr>
          <w:rFonts w:ascii="Times New Roman" w:hAnsi="Times New Roman"/>
        </w:rPr>
        <w:t>, services,</w:t>
      </w:r>
      <w:r w:rsidRPr="00511484">
        <w:rPr>
          <w:rFonts w:ascii="Times New Roman" w:hAnsi="Times New Roman"/>
          <w:lang w:val="yo-NG"/>
        </w:rPr>
        <w:t xml:space="preserve"> and process data,</w:t>
      </w:r>
      <w:r w:rsidRPr="00511484">
        <w:rPr>
          <w:rFonts w:ascii="Times New Roman" w:hAnsi="Times New Roman"/>
        </w:rPr>
        <w:t xml:space="preserve"> </w:t>
      </w:r>
      <w:r w:rsidRPr="00511484">
        <w:rPr>
          <w:rFonts w:ascii="Times New Roman" w:hAnsi="Times New Roman"/>
          <w:lang w:val="yo-NG"/>
        </w:rPr>
        <w:t>3)</w:t>
      </w:r>
      <w:r w:rsidRPr="00511484">
        <w:rPr>
          <w:rFonts w:ascii="Times New Roman" w:hAnsi="Times New Roman"/>
        </w:rPr>
        <w:t xml:space="preserve"> administrative records, and </w:t>
      </w:r>
      <w:r w:rsidRPr="00511484">
        <w:rPr>
          <w:rFonts w:ascii="Times New Roman" w:hAnsi="Times New Roman"/>
          <w:lang w:val="yo-NG"/>
        </w:rPr>
        <w:t xml:space="preserve">4) </w:t>
      </w:r>
      <w:r w:rsidRPr="00511484">
        <w:rPr>
          <w:rFonts w:ascii="Times New Roman" w:hAnsi="Times New Roman"/>
        </w:rPr>
        <w:t xml:space="preserve">surveys of study sample members. </w:t>
      </w:r>
    </w:p>
    <w:p w:rsidRPr="003F63A6" w:rsidR="00D94BD1" w:rsidP="00435881" w:rsidRDefault="00D94BD1" w14:paraId="178A4A32" w14:textId="77777777">
      <w:pPr>
        <w:ind w:left="360"/>
        <w:jc w:val="both"/>
        <w:rPr>
          <w:rFonts w:ascii="Times New Roman" w:hAnsi="Times New Roman" w:cs="Times New Roman"/>
          <w:sz w:val="24"/>
          <w:szCs w:val="24"/>
        </w:rPr>
      </w:pPr>
    </w:p>
    <w:p w:rsidRPr="003F63A6" w:rsidR="00D94BD1" w:rsidP="00435881" w:rsidRDefault="009F40EC" w14:paraId="2F4D1E22" w14:textId="14FD24A2">
      <w:pPr>
        <w:ind w:left="360"/>
        <w:jc w:val="both"/>
        <w:rPr>
          <w:rFonts w:ascii="Times New Roman" w:hAnsi="Times New Roman" w:cs="Times New Roman"/>
          <w:sz w:val="24"/>
          <w:szCs w:val="24"/>
        </w:rPr>
      </w:pPr>
      <w:r>
        <w:rPr>
          <w:rFonts w:ascii="Times New Roman" w:hAnsi="Times New Roman" w:cs="Times New Roman"/>
          <w:sz w:val="24"/>
          <w:szCs w:val="24"/>
        </w:rPr>
        <w:t xml:space="preserve">The evaluation data will be analyzed from 2019 to 2021. Table 2 below shows </w:t>
      </w:r>
      <w:r w:rsidR="00734115">
        <w:rPr>
          <w:rFonts w:ascii="Times New Roman" w:hAnsi="Times New Roman" w:cs="Times New Roman"/>
          <w:sz w:val="24"/>
          <w:szCs w:val="24"/>
        </w:rPr>
        <w:t>deadlines for the completion of key project tasks. As shown in Table 2,</w:t>
      </w:r>
      <w:r w:rsidRPr="003F63A6" w:rsidR="00D94BD1">
        <w:rPr>
          <w:rFonts w:ascii="Times New Roman" w:hAnsi="Times New Roman" w:cs="Times New Roman"/>
          <w:sz w:val="24"/>
          <w:szCs w:val="24"/>
        </w:rPr>
        <w:t xml:space="preserve"> MDRC intends to produce t</w:t>
      </w:r>
      <w:r w:rsidRPr="003F63A6" w:rsidR="00CA35AA">
        <w:rPr>
          <w:rFonts w:ascii="Times New Roman" w:hAnsi="Times New Roman" w:cs="Times New Roman"/>
          <w:sz w:val="24"/>
          <w:szCs w:val="24"/>
        </w:rPr>
        <w:t>wo</w:t>
      </w:r>
      <w:r w:rsidRPr="003F63A6" w:rsidR="00D94BD1">
        <w:rPr>
          <w:rFonts w:ascii="Times New Roman" w:hAnsi="Times New Roman" w:cs="Times New Roman"/>
          <w:sz w:val="24"/>
          <w:szCs w:val="24"/>
        </w:rPr>
        <w:t xml:space="preserve"> formal deliverable</w:t>
      </w:r>
      <w:r w:rsidRPr="003F63A6" w:rsidR="00AA2848">
        <w:rPr>
          <w:rFonts w:ascii="Times New Roman" w:hAnsi="Times New Roman" w:cs="Times New Roman"/>
          <w:sz w:val="24"/>
          <w:szCs w:val="24"/>
        </w:rPr>
        <w:t>s</w:t>
      </w:r>
      <w:r w:rsidRPr="003F63A6" w:rsidR="00D94BD1">
        <w:rPr>
          <w:rFonts w:ascii="Times New Roman" w:hAnsi="Times New Roman" w:cs="Times New Roman"/>
          <w:sz w:val="24"/>
          <w:szCs w:val="24"/>
        </w:rPr>
        <w:t xml:space="preserve"> drawing on the various data sources. </w:t>
      </w:r>
    </w:p>
    <w:p w:rsidRPr="003F63A6" w:rsidR="00D94BD1" w:rsidP="00435881" w:rsidRDefault="00D94BD1" w14:paraId="3C89BA25" w14:textId="77777777">
      <w:pPr>
        <w:ind w:left="360"/>
        <w:jc w:val="both"/>
        <w:rPr>
          <w:rFonts w:ascii="Times New Roman" w:hAnsi="Times New Roman" w:cs="Times New Roman"/>
          <w:b/>
          <w:sz w:val="24"/>
          <w:szCs w:val="24"/>
        </w:rPr>
      </w:pPr>
    </w:p>
    <w:p w:rsidRPr="003F63A6" w:rsidR="00D94BD1" w:rsidP="00435881" w:rsidRDefault="00D94BD1" w14:paraId="0AB6F556" w14:textId="77777777">
      <w:pPr>
        <w:ind w:left="360"/>
        <w:jc w:val="both"/>
        <w:rPr>
          <w:rFonts w:ascii="Times New Roman" w:hAnsi="Times New Roman" w:cs="Times New Roman"/>
          <w:b/>
          <w:sz w:val="24"/>
          <w:szCs w:val="24"/>
        </w:rPr>
      </w:pPr>
      <w:r w:rsidRPr="003F63A6">
        <w:rPr>
          <w:rFonts w:ascii="Times New Roman" w:hAnsi="Times New Roman" w:cs="Times New Roman"/>
          <w:b/>
          <w:sz w:val="24"/>
          <w:szCs w:val="24"/>
        </w:rPr>
        <w:t xml:space="preserve">Table 2: </w:t>
      </w:r>
    </w:p>
    <w:p w:rsidRPr="003F63A6" w:rsidR="00D94BD1" w:rsidP="00435881" w:rsidRDefault="00D94BD1" w14:paraId="27EE9A31" w14:textId="3A022EA1">
      <w:pPr>
        <w:ind w:left="360"/>
        <w:jc w:val="both"/>
        <w:rPr>
          <w:rFonts w:ascii="Times New Roman" w:hAnsi="Times New Roman" w:cs="Times New Roman"/>
          <w:b/>
          <w:sz w:val="24"/>
          <w:szCs w:val="24"/>
        </w:rPr>
      </w:pPr>
      <w:r w:rsidRPr="003F63A6">
        <w:rPr>
          <w:rFonts w:ascii="Times New Roman" w:hAnsi="Times New Roman" w:cs="Times New Roman"/>
          <w:b/>
          <w:sz w:val="24"/>
          <w:szCs w:val="24"/>
        </w:rPr>
        <w:t>Analysis and Publication Schedule</w:t>
      </w:r>
    </w:p>
    <w:p w:rsidRPr="003F63A6" w:rsidR="00723ABC" w:rsidP="00435881" w:rsidRDefault="00723ABC" w14:paraId="00C3BA4C" w14:textId="6FCEA6FC">
      <w:pPr>
        <w:ind w:left="360"/>
        <w:jc w:val="both"/>
        <w:rPr>
          <w:rFonts w:ascii="Times New Roman" w:hAnsi="Times New Roman" w:cs="Times New Roman"/>
          <w:b/>
          <w:sz w:val="24"/>
          <w:szCs w:val="24"/>
        </w:rPr>
      </w:pPr>
    </w:p>
    <w:tbl>
      <w:tblPr>
        <w:tblW w:w="9535" w:type="dxa"/>
        <w:jc w:val="center"/>
        <w:tblLook w:val="04A0" w:firstRow="1" w:lastRow="0" w:firstColumn="1" w:lastColumn="0" w:noHBand="0" w:noVBand="1"/>
      </w:tblPr>
      <w:tblGrid>
        <w:gridCol w:w="3619"/>
        <w:gridCol w:w="2892"/>
        <w:gridCol w:w="3110"/>
      </w:tblGrid>
      <w:tr w:rsidRPr="006E637B" w:rsidR="002C23CC" w:rsidTr="006E637B" w14:paraId="674DF5E4" w14:textId="77777777">
        <w:trPr>
          <w:trHeight w:val="288"/>
          <w:jc w:val="center"/>
        </w:trPr>
        <w:tc>
          <w:tcPr>
            <w:tcW w:w="353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6E637B" w:rsidR="002C23CC" w:rsidP="00435881" w:rsidRDefault="002C23CC" w14:paraId="37A303C0" w14:textId="77777777">
            <w:pPr>
              <w:jc w:val="both"/>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b/>
                <w:bCs/>
                <w:color w:val="000000"/>
                <w:sz w:val="20"/>
                <w:szCs w:val="20"/>
              </w:rPr>
              <w:t>Task</w:t>
            </w:r>
          </w:p>
        </w:tc>
        <w:tc>
          <w:tcPr>
            <w:tcW w:w="0" w:type="auto"/>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6E637B" w:rsidR="002C23CC" w:rsidP="00435881" w:rsidRDefault="002C23CC" w14:paraId="03D39F71" w14:textId="77777777">
            <w:pPr>
              <w:jc w:val="both"/>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b/>
                <w:bCs/>
                <w:color w:val="000000"/>
                <w:sz w:val="20"/>
                <w:szCs w:val="20"/>
              </w:rPr>
              <w:t>Deliverables</w:t>
            </w:r>
          </w:p>
        </w:tc>
        <w:tc>
          <w:tcPr>
            <w:tcW w:w="2993" w:type="dxa"/>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6E637B" w:rsidR="002C23CC" w:rsidP="00435881" w:rsidRDefault="002C23CC" w14:paraId="37879438" w14:textId="77777777">
            <w:pPr>
              <w:jc w:val="both"/>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b/>
                <w:bCs/>
                <w:color w:val="000000"/>
                <w:sz w:val="20"/>
                <w:szCs w:val="20"/>
              </w:rPr>
              <w:t>Date</w:t>
            </w:r>
          </w:p>
        </w:tc>
      </w:tr>
      <w:tr w:rsidRPr="006E637B" w:rsidR="00723ABC" w:rsidTr="006E637B" w14:paraId="70A620B4" w14:textId="77777777">
        <w:trPr>
          <w:trHeight w:val="288"/>
          <w:jc w:val="center"/>
        </w:trPr>
        <w:tc>
          <w:tcPr>
            <w:tcW w:w="9535"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noWrap/>
            <w:vAlign w:val="center"/>
            <w:hideMark/>
          </w:tcPr>
          <w:p w:rsidRPr="006E637B" w:rsidR="00723ABC" w:rsidP="00435881" w:rsidRDefault="00723ABC" w14:paraId="34DF2BF5" w14:textId="77777777">
            <w:pPr>
              <w:jc w:val="both"/>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b/>
                <w:bCs/>
                <w:color w:val="000000"/>
                <w:sz w:val="20"/>
                <w:szCs w:val="20"/>
              </w:rPr>
              <w:t>Option 1 Tasks</w:t>
            </w:r>
          </w:p>
        </w:tc>
      </w:tr>
      <w:tr w:rsidRPr="006E637B" w:rsidR="00723ABC" w:rsidTr="006E637B" w14:paraId="651AA94A" w14:textId="77777777">
        <w:trPr>
          <w:trHeight w:val="288"/>
          <w:jc w:val="center"/>
        </w:trPr>
        <w:tc>
          <w:tcPr>
            <w:tcW w:w="95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E637B" w:rsidR="00723ABC" w:rsidP="00435881" w:rsidRDefault="00723ABC" w14:paraId="027F34D6" w14:textId="39B07260">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Data Collection</w:t>
            </w:r>
            <w:r w:rsidRPr="006E637B" w:rsidR="00C705FD">
              <w:rPr>
                <w:rFonts w:ascii="Times New Roman" w:hAnsi="Times New Roman" w:eastAsia="Times New Roman" w:cs="Times New Roman"/>
                <w:color w:val="000000"/>
                <w:sz w:val="20"/>
                <w:szCs w:val="20"/>
              </w:rPr>
              <w:t xml:space="preserve"> and Analysis</w:t>
            </w:r>
          </w:p>
        </w:tc>
      </w:tr>
      <w:tr w:rsidRPr="006E637B" w:rsidR="002C23CC" w:rsidTr="006E637B" w14:paraId="030DC7C0" w14:textId="77777777">
        <w:trPr>
          <w:trHeight w:val="288"/>
          <w:jc w:val="center"/>
        </w:trPr>
        <w:tc>
          <w:tcPr>
            <w:tcW w:w="3533" w:type="dxa"/>
            <w:tcBorders>
              <w:top w:val="nil"/>
              <w:left w:val="single" w:color="auto" w:sz="4" w:space="0"/>
              <w:bottom w:val="single" w:color="auto" w:sz="4" w:space="0"/>
              <w:right w:val="single" w:color="auto" w:sz="4" w:space="0"/>
            </w:tcBorders>
            <w:shd w:val="clear" w:color="auto" w:fill="auto"/>
            <w:noWrap/>
            <w:vAlign w:val="center"/>
            <w:hideMark/>
          </w:tcPr>
          <w:p w:rsidRPr="006E637B" w:rsidR="002C23CC" w:rsidP="00435881" w:rsidRDefault="002C23CC" w14:paraId="2CFA1527" w14:textId="77777777">
            <w:pPr>
              <w:jc w:val="both"/>
              <w:rPr>
                <w:rFonts w:ascii="Times New Roman" w:hAnsi="Times New Roman" w:eastAsia="Times New Roman" w:cs="Times New Roman"/>
                <w:color w:val="000000"/>
                <w:sz w:val="20"/>
                <w:szCs w:val="20"/>
              </w:rPr>
            </w:pPr>
          </w:p>
        </w:tc>
        <w:tc>
          <w:tcPr>
            <w:tcW w:w="0" w:type="auto"/>
            <w:tcBorders>
              <w:top w:val="nil"/>
              <w:left w:val="nil"/>
              <w:bottom w:val="single" w:color="auto" w:sz="4" w:space="0"/>
              <w:right w:val="single" w:color="auto" w:sz="4" w:space="0"/>
            </w:tcBorders>
            <w:shd w:val="clear" w:color="auto" w:fill="auto"/>
            <w:noWrap/>
            <w:vAlign w:val="center"/>
            <w:hideMark/>
          </w:tcPr>
          <w:p w:rsidRPr="006E637B" w:rsidR="002C23CC" w:rsidP="00435881" w:rsidRDefault="002C23CC" w14:paraId="110A4034" w14:textId="18169017">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Analysis</w:t>
            </w:r>
            <w:r w:rsidRPr="006E637B" w:rsidR="004B2FA8">
              <w:rPr>
                <w:rFonts w:ascii="Times New Roman" w:hAnsi="Times New Roman" w:eastAsia="Times New Roman" w:cs="Times New Roman"/>
                <w:color w:val="000000"/>
                <w:sz w:val="20"/>
                <w:szCs w:val="20"/>
              </w:rPr>
              <w:t xml:space="preserve"> Period </w:t>
            </w:r>
          </w:p>
        </w:tc>
        <w:tc>
          <w:tcPr>
            <w:tcW w:w="2993" w:type="dxa"/>
            <w:tcBorders>
              <w:top w:val="nil"/>
              <w:left w:val="nil"/>
              <w:bottom w:val="single" w:color="auto" w:sz="4" w:space="0"/>
              <w:right w:val="single" w:color="auto" w:sz="4" w:space="0"/>
            </w:tcBorders>
            <w:shd w:val="clear" w:color="auto" w:fill="auto"/>
            <w:noWrap/>
            <w:vAlign w:val="center"/>
            <w:hideMark/>
          </w:tcPr>
          <w:p w:rsidRPr="006E637B" w:rsidR="002C23CC" w:rsidP="00435881" w:rsidRDefault="00682B51" w14:paraId="2FAC60E4" w14:textId="3968ED75">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themeColor="text1"/>
                <w:sz w:val="20"/>
                <w:szCs w:val="20"/>
              </w:rPr>
              <w:t>10/</w:t>
            </w:r>
            <w:r w:rsidRPr="006E637B" w:rsidR="001F5685">
              <w:rPr>
                <w:rFonts w:ascii="Times New Roman" w:hAnsi="Times New Roman" w:eastAsia="Times New Roman" w:cs="Times New Roman"/>
                <w:color w:val="000000" w:themeColor="text1"/>
                <w:sz w:val="20"/>
                <w:szCs w:val="20"/>
              </w:rPr>
              <w:t>1/</w:t>
            </w:r>
            <w:r w:rsidRPr="006E637B">
              <w:rPr>
                <w:rFonts w:ascii="Times New Roman" w:hAnsi="Times New Roman" w:eastAsia="Times New Roman" w:cs="Times New Roman"/>
                <w:color w:val="000000" w:themeColor="text1"/>
                <w:sz w:val="20"/>
                <w:szCs w:val="20"/>
              </w:rPr>
              <w:t xml:space="preserve">19 </w:t>
            </w:r>
            <w:r w:rsidRPr="006E637B" w:rsidR="00A25537">
              <w:rPr>
                <w:rFonts w:ascii="Times New Roman" w:hAnsi="Times New Roman" w:eastAsia="Times New Roman" w:cs="Times New Roman"/>
                <w:color w:val="000000" w:themeColor="text1"/>
                <w:sz w:val="20"/>
                <w:szCs w:val="20"/>
              </w:rPr>
              <w:t>–</w:t>
            </w:r>
            <w:r w:rsidRPr="006E637B">
              <w:rPr>
                <w:rFonts w:ascii="Times New Roman" w:hAnsi="Times New Roman" w:eastAsia="Times New Roman" w:cs="Times New Roman"/>
                <w:color w:val="000000" w:themeColor="text1"/>
                <w:sz w:val="20"/>
                <w:szCs w:val="20"/>
              </w:rPr>
              <w:t xml:space="preserve"> </w:t>
            </w:r>
            <w:r w:rsidRPr="006E637B" w:rsidR="03D7AEA6">
              <w:rPr>
                <w:rFonts w:ascii="Times New Roman" w:hAnsi="Times New Roman" w:eastAsia="Times New Roman" w:cs="Times New Roman"/>
                <w:color w:val="000000" w:themeColor="text1"/>
                <w:sz w:val="20"/>
                <w:szCs w:val="20"/>
              </w:rPr>
              <w:t>09/25/2020</w:t>
            </w:r>
          </w:p>
        </w:tc>
      </w:tr>
      <w:tr w:rsidRPr="006E637B" w:rsidR="00723ABC" w:rsidTr="006E637B" w14:paraId="29F8AC58" w14:textId="77777777">
        <w:trPr>
          <w:trHeight w:val="288"/>
          <w:jc w:val="center"/>
        </w:trPr>
        <w:tc>
          <w:tcPr>
            <w:tcW w:w="95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E637B" w:rsidR="00723ABC" w:rsidP="00435881" w:rsidRDefault="00723ABC" w14:paraId="42B4B7B6" w14:textId="76D8E8B9">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Data Files and Documentation</w:t>
            </w:r>
          </w:p>
        </w:tc>
      </w:tr>
      <w:tr w:rsidRPr="006E637B" w:rsidR="00723ABC" w:rsidTr="006E637B" w14:paraId="50A055DC" w14:textId="77777777">
        <w:trPr>
          <w:trHeight w:val="288"/>
          <w:jc w:val="center"/>
        </w:trPr>
        <w:tc>
          <w:tcPr>
            <w:tcW w:w="3533" w:type="dxa"/>
            <w:tcBorders>
              <w:top w:val="nil"/>
              <w:left w:val="single" w:color="auto" w:sz="4" w:space="0"/>
              <w:bottom w:val="single" w:color="auto" w:sz="4" w:space="0"/>
              <w:right w:val="single" w:color="auto" w:sz="4" w:space="0"/>
            </w:tcBorders>
            <w:shd w:val="clear" w:color="auto" w:fill="auto"/>
            <w:noWrap/>
            <w:vAlign w:val="center"/>
          </w:tcPr>
          <w:p w:rsidRPr="006E637B" w:rsidR="00723ABC" w:rsidP="00435881" w:rsidRDefault="00723ABC" w14:paraId="43F873AD" w14:textId="77777777">
            <w:pPr>
              <w:jc w:val="both"/>
              <w:rPr>
                <w:rFonts w:ascii="Times New Roman" w:hAnsi="Times New Roman" w:eastAsia="Times New Roman" w:cs="Times New Roman"/>
                <w:color w:val="000000"/>
                <w:sz w:val="20"/>
                <w:szCs w:val="20"/>
              </w:rPr>
            </w:pPr>
          </w:p>
        </w:tc>
        <w:tc>
          <w:tcPr>
            <w:tcW w:w="6002" w:type="dxa"/>
            <w:gridSpan w:val="2"/>
            <w:tcBorders>
              <w:top w:val="nil"/>
              <w:left w:val="nil"/>
              <w:bottom w:val="single" w:color="auto" w:sz="4" w:space="0"/>
              <w:right w:val="single" w:color="auto" w:sz="4" w:space="0"/>
            </w:tcBorders>
            <w:shd w:val="clear" w:color="auto" w:fill="auto"/>
            <w:noWrap/>
            <w:vAlign w:val="center"/>
          </w:tcPr>
          <w:p w:rsidRPr="006E637B" w:rsidR="00723ABC" w:rsidP="00435881" w:rsidRDefault="00723ABC" w14:paraId="2D7A872B" w14:textId="77777777">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Interim Report - 60 months post random assignment</w:t>
            </w:r>
          </w:p>
        </w:tc>
      </w:tr>
      <w:tr w:rsidRPr="006E637B" w:rsidR="002C23CC" w:rsidTr="006E637B" w14:paraId="384C90FF" w14:textId="77777777">
        <w:trPr>
          <w:trHeight w:val="288"/>
          <w:jc w:val="center"/>
        </w:trPr>
        <w:tc>
          <w:tcPr>
            <w:tcW w:w="3533" w:type="dxa"/>
            <w:tcBorders>
              <w:top w:val="nil"/>
              <w:left w:val="single" w:color="auto" w:sz="4" w:space="0"/>
              <w:bottom w:val="single" w:color="auto" w:sz="4" w:space="0"/>
              <w:right w:val="single" w:color="auto" w:sz="4" w:space="0"/>
            </w:tcBorders>
            <w:shd w:val="clear" w:color="auto" w:fill="auto"/>
            <w:noWrap/>
            <w:vAlign w:val="center"/>
          </w:tcPr>
          <w:p w:rsidRPr="006E637B" w:rsidR="002C23CC" w:rsidP="00435881" w:rsidRDefault="002C23CC" w14:paraId="320ABF93" w14:textId="77777777">
            <w:pPr>
              <w:jc w:val="both"/>
              <w:rPr>
                <w:rFonts w:ascii="Times New Roman" w:hAnsi="Times New Roman" w:eastAsia="Times New Roman" w:cs="Times New Roman"/>
                <w:color w:val="000000"/>
                <w:sz w:val="20"/>
                <w:szCs w:val="20"/>
              </w:rPr>
            </w:pPr>
          </w:p>
        </w:tc>
        <w:tc>
          <w:tcPr>
            <w:tcW w:w="0" w:type="auto"/>
            <w:tcBorders>
              <w:top w:val="nil"/>
              <w:left w:val="nil"/>
              <w:bottom w:val="single" w:color="auto" w:sz="4" w:space="0"/>
              <w:right w:val="single" w:color="auto" w:sz="4" w:space="0"/>
            </w:tcBorders>
            <w:shd w:val="clear" w:color="auto" w:fill="auto"/>
            <w:noWrap/>
            <w:vAlign w:val="center"/>
          </w:tcPr>
          <w:p w:rsidRPr="006E637B" w:rsidR="002C23CC" w:rsidP="00435881" w:rsidRDefault="002C23CC" w14:paraId="61643E65" w14:textId="77777777">
            <w:pPr>
              <w:ind w:left="720"/>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1st Draft</w:t>
            </w:r>
          </w:p>
        </w:tc>
        <w:tc>
          <w:tcPr>
            <w:tcW w:w="2993" w:type="dxa"/>
            <w:tcBorders>
              <w:top w:val="nil"/>
              <w:left w:val="nil"/>
              <w:bottom w:val="single" w:color="auto" w:sz="4" w:space="0"/>
              <w:right w:val="single" w:color="auto" w:sz="4" w:space="0"/>
            </w:tcBorders>
            <w:shd w:val="clear" w:color="auto" w:fill="auto"/>
            <w:noWrap/>
            <w:vAlign w:val="center"/>
          </w:tcPr>
          <w:p w:rsidRPr="006E637B" w:rsidR="002C23CC" w:rsidP="00435881" w:rsidRDefault="083A00D4" w14:paraId="5ABDA415" w14:textId="096A780D">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themeColor="text1"/>
                <w:sz w:val="20"/>
                <w:szCs w:val="20"/>
              </w:rPr>
              <w:t>09/01/2020</w:t>
            </w:r>
          </w:p>
        </w:tc>
      </w:tr>
      <w:tr w:rsidRPr="006E637B" w:rsidR="002C23CC" w:rsidTr="006E637B" w14:paraId="608A7C22" w14:textId="77777777">
        <w:trPr>
          <w:trHeight w:val="288"/>
          <w:jc w:val="center"/>
        </w:trPr>
        <w:tc>
          <w:tcPr>
            <w:tcW w:w="3533" w:type="dxa"/>
            <w:tcBorders>
              <w:top w:val="nil"/>
              <w:left w:val="single" w:color="auto" w:sz="4" w:space="0"/>
              <w:bottom w:val="single" w:color="auto" w:sz="4" w:space="0"/>
              <w:right w:val="single" w:color="auto" w:sz="4" w:space="0"/>
            </w:tcBorders>
            <w:shd w:val="clear" w:color="auto" w:fill="auto"/>
            <w:noWrap/>
            <w:vAlign w:val="center"/>
          </w:tcPr>
          <w:p w:rsidRPr="006E637B" w:rsidR="002C23CC" w:rsidP="00435881" w:rsidRDefault="002C23CC" w14:paraId="42CA40DF" w14:textId="77777777">
            <w:pPr>
              <w:jc w:val="both"/>
              <w:rPr>
                <w:rFonts w:ascii="Times New Roman" w:hAnsi="Times New Roman" w:eastAsia="Times New Roman" w:cs="Times New Roman"/>
                <w:color w:val="000000"/>
                <w:sz w:val="20"/>
                <w:szCs w:val="20"/>
              </w:rPr>
            </w:pPr>
          </w:p>
        </w:tc>
        <w:tc>
          <w:tcPr>
            <w:tcW w:w="0" w:type="auto"/>
            <w:tcBorders>
              <w:top w:val="nil"/>
              <w:left w:val="nil"/>
              <w:bottom w:val="single" w:color="auto" w:sz="4" w:space="0"/>
              <w:right w:val="single" w:color="auto" w:sz="4" w:space="0"/>
            </w:tcBorders>
            <w:shd w:val="clear" w:color="auto" w:fill="auto"/>
            <w:noWrap/>
            <w:vAlign w:val="center"/>
          </w:tcPr>
          <w:p w:rsidRPr="006E637B" w:rsidR="002C23CC" w:rsidP="00435881" w:rsidRDefault="004B2FA8" w14:paraId="64277C15" w14:textId="4597FFF7">
            <w:pPr>
              <w:ind w:left="720"/>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2</w:t>
            </w:r>
            <w:r w:rsidRPr="006E637B">
              <w:rPr>
                <w:rFonts w:ascii="Times New Roman" w:hAnsi="Times New Roman" w:eastAsia="Times New Roman" w:cs="Times New Roman"/>
                <w:color w:val="000000"/>
                <w:sz w:val="20"/>
                <w:szCs w:val="20"/>
                <w:vertAlign w:val="superscript"/>
              </w:rPr>
              <w:t>nd</w:t>
            </w:r>
            <w:r w:rsidRPr="006E637B">
              <w:rPr>
                <w:rFonts w:ascii="Times New Roman" w:hAnsi="Times New Roman" w:eastAsia="Times New Roman" w:cs="Times New Roman"/>
                <w:color w:val="000000"/>
                <w:sz w:val="20"/>
                <w:szCs w:val="20"/>
              </w:rPr>
              <w:t xml:space="preserve"> draft </w:t>
            </w:r>
          </w:p>
        </w:tc>
        <w:tc>
          <w:tcPr>
            <w:tcW w:w="2993" w:type="dxa"/>
            <w:tcBorders>
              <w:top w:val="nil"/>
              <w:left w:val="nil"/>
              <w:bottom w:val="single" w:color="auto" w:sz="4" w:space="0"/>
              <w:right w:val="single" w:color="auto" w:sz="4" w:space="0"/>
            </w:tcBorders>
            <w:shd w:val="clear" w:color="auto" w:fill="auto"/>
            <w:noWrap/>
            <w:vAlign w:val="center"/>
          </w:tcPr>
          <w:p w:rsidRPr="006E637B" w:rsidR="002C23CC" w:rsidP="00435881" w:rsidRDefault="67B6ADD5" w14:paraId="206868D5" w14:textId="5B3E654E">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themeColor="text1"/>
                <w:sz w:val="20"/>
                <w:szCs w:val="20"/>
              </w:rPr>
              <w:t>TBD pending HUD feedback</w:t>
            </w:r>
          </w:p>
        </w:tc>
      </w:tr>
      <w:tr w:rsidRPr="006E637B" w:rsidR="002C23CC" w:rsidTr="006E637B" w14:paraId="20C30EE3" w14:textId="77777777">
        <w:trPr>
          <w:trHeight w:val="288"/>
          <w:jc w:val="center"/>
        </w:trPr>
        <w:tc>
          <w:tcPr>
            <w:tcW w:w="3533" w:type="dxa"/>
            <w:tcBorders>
              <w:top w:val="nil"/>
              <w:left w:val="single" w:color="auto" w:sz="4" w:space="0"/>
              <w:bottom w:val="single" w:color="auto" w:sz="4" w:space="0"/>
              <w:right w:val="single" w:color="auto" w:sz="4" w:space="0"/>
            </w:tcBorders>
            <w:shd w:val="clear" w:color="auto" w:fill="auto"/>
            <w:noWrap/>
            <w:vAlign w:val="center"/>
            <w:hideMark/>
          </w:tcPr>
          <w:p w:rsidRPr="006E637B" w:rsidR="002C23CC" w:rsidP="00435881" w:rsidRDefault="002C23CC" w14:paraId="5EC3781B" w14:textId="77777777">
            <w:pPr>
              <w:jc w:val="both"/>
              <w:rPr>
                <w:rFonts w:ascii="Times New Roman" w:hAnsi="Times New Roman" w:eastAsia="Times New Roman" w:cs="Times New Roman"/>
                <w:color w:val="000000"/>
                <w:sz w:val="20"/>
                <w:szCs w:val="20"/>
              </w:rPr>
            </w:pPr>
          </w:p>
        </w:tc>
        <w:tc>
          <w:tcPr>
            <w:tcW w:w="0" w:type="auto"/>
            <w:tcBorders>
              <w:top w:val="nil"/>
              <w:left w:val="nil"/>
              <w:bottom w:val="single" w:color="auto" w:sz="4" w:space="0"/>
              <w:right w:val="single" w:color="auto" w:sz="4" w:space="0"/>
            </w:tcBorders>
            <w:shd w:val="clear" w:color="auto" w:fill="auto"/>
            <w:noWrap/>
            <w:vAlign w:val="center"/>
            <w:hideMark/>
          </w:tcPr>
          <w:p w:rsidRPr="006E637B" w:rsidR="002C23CC" w:rsidP="00435881" w:rsidRDefault="002C23CC" w14:paraId="0BE38F09" w14:textId="03C145AB">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themeColor="text1"/>
                <w:sz w:val="20"/>
                <w:szCs w:val="20"/>
              </w:rPr>
              <w:t>Final</w:t>
            </w:r>
            <w:r w:rsidRPr="006E637B" w:rsidR="004B24C5">
              <w:rPr>
                <w:rFonts w:ascii="Times New Roman" w:hAnsi="Times New Roman" w:eastAsia="Times New Roman" w:cs="Times New Roman"/>
                <w:color w:val="000000" w:themeColor="text1"/>
                <w:sz w:val="20"/>
                <w:szCs w:val="20"/>
              </w:rPr>
              <w:t xml:space="preserve"> </w:t>
            </w:r>
            <w:r w:rsidRPr="006E637B">
              <w:rPr>
                <w:rFonts w:ascii="Times New Roman" w:hAnsi="Times New Roman" w:eastAsia="Times New Roman" w:cs="Times New Roman"/>
                <w:color w:val="000000" w:themeColor="text1"/>
                <w:sz w:val="20"/>
                <w:szCs w:val="20"/>
              </w:rPr>
              <w:t>Data Files/Documentation</w:t>
            </w:r>
          </w:p>
        </w:tc>
        <w:tc>
          <w:tcPr>
            <w:tcW w:w="2993" w:type="dxa"/>
            <w:tcBorders>
              <w:top w:val="nil"/>
              <w:left w:val="nil"/>
              <w:bottom w:val="single" w:color="auto" w:sz="4" w:space="0"/>
              <w:right w:val="single" w:color="auto" w:sz="4" w:space="0"/>
            </w:tcBorders>
            <w:shd w:val="clear" w:color="auto" w:fill="auto"/>
            <w:noWrap/>
            <w:vAlign w:val="center"/>
            <w:hideMark/>
          </w:tcPr>
          <w:p w:rsidRPr="006E637B" w:rsidR="002C23CC" w:rsidP="00435881" w:rsidRDefault="002C23CC" w14:paraId="0BDFB8D9" w14:textId="77777777">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9/25/2020</w:t>
            </w:r>
          </w:p>
        </w:tc>
      </w:tr>
      <w:tr w:rsidRPr="006E637B" w:rsidR="00723ABC" w:rsidTr="006E637B" w14:paraId="05939DF6" w14:textId="77777777">
        <w:trPr>
          <w:trHeight w:val="288"/>
          <w:jc w:val="center"/>
        </w:trPr>
        <w:tc>
          <w:tcPr>
            <w:tcW w:w="9535"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noWrap/>
            <w:vAlign w:val="center"/>
            <w:hideMark/>
          </w:tcPr>
          <w:p w:rsidRPr="006E637B" w:rsidR="00723ABC" w:rsidP="00435881" w:rsidRDefault="00723ABC" w14:paraId="2D392D82" w14:textId="77777777">
            <w:pPr>
              <w:jc w:val="both"/>
              <w:rPr>
                <w:rFonts w:ascii="Times New Roman" w:hAnsi="Times New Roman" w:eastAsia="Times New Roman" w:cs="Times New Roman"/>
                <w:b/>
                <w:bCs/>
                <w:color w:val="000000"/>
                <w:sz w:val="20"/>
                <w:szCs w:val="20"/>
              </w:rPr>
            </w:pPr>
            <w:r w:rsidRPr="006E637B">
              <w:rPr>
                <w:rFonts w:ascii="Times New Roman" w:hAnsi="Times New Roman" w:eastAsia="Times New Roman" w:cs="Times New Roman"/>
                <w:b/>
                <w:bCs/>
                <w:color w:val="000000"/>
                <w:sz w:val="20"/>
                <w:szCs w:val="20"/>
              </w:rPr>
              <w:t>Option 2 Tasks</w:t>
            </w:r>
          </w:p>
        </w:tc>
      </w:tr>
      <w:tr w:rsidRPr="006E637B" w:rsidR="00723ABC" w:rsidTr="006E637B" w14:paraId="7AA4039B" w14:textId="77777777">
        <w:trPr>
          <w:trHeight w:val="288"/>
          <w:jc w:val="center"/>
        </w:trPr>
        <w:tc>
          <w:tcPr>
            <w:tcW w:w="95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E637B" w:rsidR="00723ABC" w:rsidP="00435881" w:rsidRDefault="00C705FD" w14:paraId="3C9D53C8" w14:textId="0969DBAB">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Data Collection and Analysis</w:t>
            </w:r>
          </w:p>
        </w:tc>
      </w:tr>
      <w:tr w:rsidRPr="006E637B" w:rsidR="002C23CC" w:rsidTr="006E637B" w14:paraId="679C4DFD" w14:textId="77777777">
        <w:trPr>
          <w:trHeight w:val="288"/>
          <w:jc w:val="center"/>
        </w:trPr>
        <w:tc>
          <w:tcPr>
            <w:tcW w:w="3533" w:type="dxa"/>
            <w:tcBorders>
              <w:top w:val="nil"/>
              <w:left w:val="single" w:color="auto" w:sz="4" w:space="0"/>
              <w:bottom w:val="single" w:color="auto" w:sz="4" w:space="0"/>
              <w:right w:val="single" w:color="auto" w:sz="4" w:space="0"/>
            </w:tcBorders>
            <w:shd w:val="clear" w:color="auto" w:fill="auto"/>
            <w:noWrap/>
            <w:vAlign w:val="center"/>
            <w:hideMark/>
          </w:tcPr>
          <w:p w:rsidRPr="006E637B" w:rsidR="002C23CC" w:rsidP="00435881" w:rsidRDefault="002C23CC" w14:paraId="78767507" w14:textId="77777777">
            <w:pPr>
              <w:jc w:val="both"/>
              <w:rPr>
                <w:rFonts w:ascii="Times New Roman" w:hAnsi="Times New Roman" w:eastAsia="Times New Roman" w:cs="Times New Roman"/>
                <w:color w:val="000000"/>
                <w:sz w:val="20"/>
                <w:szCs w:val="20"/>
              </w:rPr>
            </w:pPr>
          </w:p>
        </w:tc>
        <w:tc>
          <w:tcPr>
            <w:tcW w:w="0" w:type="auto"/>
            <w:tcBorders>
              <w:top w:val="nil"/>
              <w:left w:val="nil"/>
              <w:bottom w:val="single" w:color="auto" w:sz="4" w:space="0"/>
              <w:right w:val="single" w:color="auto" w:sz="4" w:space="0"/>
            </w:tcBorders>
            <w:shd w:val="clear" w:color="auto" w:fill="auto"/>
            <w:noWrap/>
            <w:vAlign w:val="center"/>
            <w:hideMark/>
          </w:tcPr>
          <w:p w:rsidRPr="006E637B" w:rsidR="002C23CC" w:rsidP="00435881" w:rsidRDefault="002C23CC" w14:paraId="73748893" w14:textId="77777777">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Analysis</w:t>
            </w:r>
          </w:p>
        </w:tc>
        <w:tc>
          <w:tcPr>
            <w:tcW w:w="2993" w:type="dxa"/>
            <w:tcBorders>
              <w:top w:val="nil"/>
              <w:left w:val="nil"/>
              <w:bottom w:val="single" w:color="auto" w:sz="4" w:space="0"/>
              <w:right w:val="single" w:color="auto" w:sz="4" w:space="0"/>
            </w:tcBorders>
            <w:shd w:val="clear" w:color="auto" w:fill="auto"/>
            <w:noWrap/>
            <w:vAlign w:val="center"/>
            <w:hideMark/>
          </w:tcPr>
          <w:p w:rsidRPr="006E637B" w:rsidR="002C23CC" w:rsidP="00435881" w:rsidRDefault="000E0A94" w14:paraId="4C8A1033" w14:textId="4AD8814A">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10/2020-</w:t>
            </w:r>
            <w:r w:rsidRPr="006E637B" w:rsidR="002509BE">
              <w:rPr>
                <w:rFonts w:ascii="Times New Roman" w:hAnsi="Times New Roman" w:eastAsia="Times New Roman" w:cs="Times New Roman"/>
                <w:color w:val="000000"/>
                <w:sz w:val="20"/>
                <w:szCs w:val="20"/>
              </w:rPr>
              <w:t>7/2021</w:t>
            </w:r>
          </w:p>
        </w:tc>
      </w:tr>
      <w:tr w:rsidRPr="006E637B" w:rsidR="00723ABC" w:rsidTr="006E637B" w14:paraId="3C2B693A" w14:textId="77777777">
        <w:trPr>
          <w:trHeight w:val="288"/>
          <w:jc w:val="center"/>
        </w:trPr>
        <w:tc>
          <w:tcPr>
            <w:tcW w:w="95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E637B" w:rsidR="00723ABC" w:rsidP="00435881" w:rsidRDefault="00723ABC" w14:paraId="7268DE77" w14:textId="3088D609">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Data Files and Documentation</w:t>
            </w:r>
          </w:p>
        </w:tc>
      </w:tr>
      <w:tr w:rsidRPr="006E637B" w:rsidR="00723ABC" w:rsidTr="006E637B" w14:paraId="4A823B7F" w14:textId="77777777">
        <w:trPr>
          <w:trHeight w:val="288"/>
          <w:jc w:val="center"/>
        </w:trPr>
        <w:tc>
          <w:tcPr>
            <w:tcW w:w="3533" w:type="dxa"/>
            <w:tcBorders>
              <w:top w:val="nil"/>
              <w:left w:val="single" w:color="auto" w:sz="4" w:space="0"/>
              <w:bottom w:val="single" w:color="auto" w:sz="4" w:space="0"/>
              <w:right w:val="single" w:color="auto" w:sz="4" w:space="0"/>
            </w:tcBorders>
            <w:shd w:val="clear" w:color="auto" w:fill="auto"/>
            <w:noWrap/>
            <w:vAlign w:val="center"/>
          </w:tcPr>
          <w:p w:rsidRPr="006E637B" w:rsidR="00723ABC" w:rsidP="00435881" w:rsidRDefault="00723ABC" w14:paraId="6870A26C" w14:textId="77777777">
            <w:pPr>
              <w:jc w:val="both"/>
              <w:rPr>
                <w:rFonts w:ascii="Times New Roman" w:hAnsi="Times New Roman" w:eastAsia="Times New Roman" w:cs="Times New Roman"/>
                <w:color w:val="000000"/>
                <w:sz w:val="20"/>
                <w:szCs w:val="20"/>
              </w:rPr>
            </w:pPr>
          </w:p>
        </w:tc>
        <w:tc>
          <w:tcPr>
            <w:tcW w:w="6002" w:type="dxa"/>
            <w:gridSpan w:val="2"/>
            <w:tcBorders>
              <w:top w:val="nil"/>
              <w:left w:val="nil"/>
              <w:bottom w:val="single" w:color="auto" w:sz="4" w:space="0"/>
              <w:right w:val="single" w:color="auto" w:sz="4" w:space="0"/>
            </w:tcBorders>
            <w:shd w:val="clear" w:color="auto" w:fill="auto"/>
            <w:noWrap/>
            <w:vAlign w:val="center"/>
          </w:tcPr>
          <w:p w:rsidRPr="006E637B" w:rsidR="00723ABC" w:rsidP="00435881" w:rsidRDefault="00723ABC" w14:paraId="4413E698" w14:textId="77777777">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Final Report - 72 months post random assignment</w:t>
            </w:r>
          </w:p>
        </w:tc>
      </w:tr>
      <w:tr w:rsidRPr="006E637B" w:rsidR="002C23CC" w:rsidTr="006E637B" w14:paraId="31A9B893" w14:textId="77777777">
        <w:trPr>
          <w:trHeight w:val="288"/>
          <w:jc w:val="center"/>
        </w:trPr>
        <w:tc>
          <w:tcPr>
            <w:tcW w:w="3533" w:type="dxa"/>
            <w:tcBorders>
              <w:top w:val="nil"/>
              <w:left w:val="single" w:color="auto" w:sz="4" w:space="0"/>
              <w:bottom w:val="single" w:color="auto" w:sz="4" w:space="0"/>
              <w:right w:val="single" w:color="auto" w:sz="4" w:space="0"/>
            </w:tcBorders>
            <w:shd w:val="clear" w:color="auto" w:fill="auto"/>
            <w:noWrap/>
            <w:vAlign w:val="center"/>
          </w:tcPr>
          <w:p w:rsidRPr="006E637B" w:rsidR="002C23CC" w:rsidP="00435881" w:rsidRDefault="002C23CC" w14:paraId="01314EA8" w14:textId="77777777">
            <w:pPr>
              <w:jc w:val="both"/>
              <w:rPr>
                <w:rFonts w:ascii="Times New Roman" w:hAnsi="Times New Roman" w:eastAsia="Times New Roman" w:cs="Times New Roman"/>
                <w:color w:val="000000"/>
                <w:sz w:val="20"/>
                <w:szCs w:val="20"/>
              </w:rPr>
            </w:pPr>
          </w:p>
        </w:tc>
        <w:tc>
          <w:tcPr>
            <w:tcW w:w="0" w:type="auto"/>
            <w:tcBorders>
              <w:top w:val="nil"/>
              <w:left w:val="nil"/>
              <w:bottom w:val="single" w:color="auto" w:sz="4" w:space="0"/>
              <w:right w:val="single" w:color="auto" w:sz="4" w:space="0"/>
            </w:tcBorders>
            <w:shd w:val="clear" w:color="auto" w:fill="auto"/>
            <w:noWrap/>
            <w:vAlign w:val="center"/>
          </w:tcPr>
          <w:p w:rsidRPr="006E637B" w:rsidR="002C23CC" w:rsidP="00435881" w:rsidRDefault="002C23CC" w14:paraId="5BA33C80" w14:textId="77777777">
            <w:pPr>
              <w:ind w:left="720"/>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1st Draft</w:t>
            </w:r>
          </w:p>
        </w:tc>
        <w:tc>
          <w:tcPr>
            <w:tcW w:w="2993" w:type="dxa"/>
            <w:tcBorders>
              <w:top w:val="nil"/>
              <w:left w:val="nil"/>
              <w:bottom w:val="single" w:color="auto" w:sz="4" w:space="0"/>
              <w:right w:val="single" w:color="auto" w:sz="4" w:space="0"/>
            </w:tcBorders>
            <w:shd w:val="clear" w:color="auto" w:fill="auto"/>
            <w:noWrap/>
            <w:vAlign w:val="center"/>
          </w:tcPr>
          <w:p w:rsidRPr="006E637B" w:rsidR="002C23CC" w:rsidP="00435881" w:rsidRDefault="002C23CC" w14:paraId="733775A9" w14:textId="77777777">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4/10/2021</w:t>
            </w:r>
          </w:p>
        </w:tc>
      </w:tr>
      <w:tr w:rsidRPr="006E637B" w:rsidR="002A7CF2" w:rsidTr="006E637B" w14:paraId="79950294" w14:textId="77777777">
        <w:trPr>
          <w:trHeight w:val="288"/>
          <w:jc w:val="center"/>
        </w:trPr>
        <w:tc>
          <w:tcPr>
            <w:tcW w:w="3533" w:type="dxa"/>
            <w:tcBorders>
              <w:top w:val="nil"/>
              <w:left w:val="single" w:color="auto" w:sz="4" w:space="0"/>
              <w:bottom w:val="single" w:color="auto" w:sz="4" w:space="0"/>
              <w:right w:val="single" w:color="auto" w:sz="4" w:space="0"/>
            </w:tcBorders>
            <w:shd w:val="clear" w:color="auto" w:fill="auto"/>
            <w:noWrap/>
            <w:vAlign w:val="center"/>
          </w:tcPr>
          <w:p w:rsidRPr="006E637B" w:rsidR="002A7CF2" w:rsidP="00435881" w:rsidRDefault="002A7CF2" w14:paraId="59BD6411" w14:textId="77777777">
            <w:pPr>
              <w:jc w:val="both"/>
              <w:rPr>
                <w:rFonts w:ascii="Times New Roman" w:hAnsi="Times New Roman" w:eastAsia="Times New Roman" w:cs="Times New Roman"/>
                <w:color w:val="000000"/>
                <w:sz w:val="20"/>
                <w:szCs w:val="20"/>
              </w:rPr>
            </w:pPr>
          </w:p>
        </w:tc>
        <w:tc>
          <w:tcPr>
            <w:tcW w:w="0" w:type="auto"/>
            <w:tcBorders>
              <w:top w:val="nil"/>
              <w:left w:val="nil"/>
              <w:bottom w:val="single" w:color="auto" w:sz="4" w:space="0"/>
              <w:right w:val="single" w:color="auto" w:sz="4" w:space="0"/>
            </w:tcBorders>
            <w:shd w:val="clear" w:color="auto" w:fill="auto"/>
            <w:noWrap/>
            <w:vAlign w:val="center"/>
          </w:tcPr>
          <w:p w:rsidRPr="006E637B" w:rsidR="002A7CF2" w:rsidP="00435881" w:rsidRDefault="002A7CF2" w14:paraId="51B4C7A7" w14:textId="77777777">
            <w:pPr>
              <w:ind w:left="720"/>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Final Version</w:t>
            </w:r>
          </w:p>
        </w:tc>
        <w:tc>
          <w:tcPr>
            <w:tcW w:w="2993" w:type="dxa"/>
            <w:tcBorders>
              <w:top w:val="nil"/>
              <w:left w:val="nil"/>
              <w:bottom w:val="single" w:color="auto" w:sz="4" w:space="0"/>
              <w:right w:val="single" w:color="auto" w:sz="4" w:space="0"/>
            </w:tcBorders>
            <w:shd w:val="clear" w:color="auto" w:fill="auto"/>
            <w:noWrap/>
            <w:vAlign w:val="center"/>
          </w:tcPr>
          <w:p w:rsidRPr="006E637B" w:rsidR="002A7CF2" w:rsidP="00435881" w:rsidRDefault="002A7CF2" w14:paraId="2D1AD61E" w14:textId="77777777">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7/31/2021</w:t>
            </w:r>
          </w:p>
        </w:tc>
      </w:tr>
      <w:tr w:rsidRPr="006E637B" w:rsidR="00100582" w:rsidTr="006E637B" w14:paraId="41FF6481" w14:textId="77777777">
        <w:trPr>
          <w:trHeight w:val="288"/>
          <w:jc w:val="center"/>
        </w:trPr>
        <w:tc>
          <w:tcPr>
            <w:tcW w:w="3533" w:type="dxa"/>
            <w:tcBorders>
              <w:top w:val="nil"/>
              <w:left w:val="single" w:color="auto" w:sz="4" w:space="0"/>
              <w:bottom w:val="single" w:color="auto" w:sz="4" w:space="0"/>
              <w:right w:val="single" w:color="auto" w:sz="4" w:space="0"/>
            </w:tcBorders>
            <w:shd w:val="clear" w:color="auto" w:fill="auto"/>
            <w:noWrap/>
            <w:vAlign w:val="center"/>
            <w:hideMark/>
          </w:tcPr>
          <w:p w:rsidRPr="006E637B" w:rsidR="00100582" w:rsidP="00435881" w:rsidRDefault="00100582" w14:paraId="4BDFBE86" w14:textId="77777777">
            <w:pPr>
              <w:jc w:val="both"/>
              <w:rPr>
                <w:rFonts w:ascii="Times New Roman" w:hAnsi="Times New Roman" w:eastAsia="Times New Roman" w:cs="Times New Roman"/>
                <w:color w:val="000000"/>
                <w:sz w:val="20"/>
                <w:szCs w:val="20"/>
              </w:rPr>
            </w:pPr>
          </w:p>
        </w:tc>
        <w:tc>
          <w:tcPr>
            <w:tcW w:w="0" w:type="auto"/>
            <w:tcBorders>
              <w:top w:val="nil"/>
              <w:left w:val="nil"/>
              <w:bottom w:val="single" w:color="auto" w:sz="4" w:space="0"/>
              <w:right w:val="single" w:color="auto" w:sz="4" w:space="0"/>
            </w:tcBorders>
            <w:shd w:val="clear" w:color="auto" w:fill="auto"/>
            <w:noWrap/>
            <w:vAlign w:val="center"/>
            <w:hideMark/>
          </w:tcPr>
          <w:p w:rsidRPr="006E637B" w:rsidR="00100582" w:rsidP="00435881" w:rsidRDefault="00100582" w14:paraId="619CEC80" w14:textId="77777777">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Final Data Files/Documentation</w:t>
            </w:r>
          </w:p>
        </w:tc>
        <w:tc>
          <w:tcPr>
            <w:tcW w:w="2993" w:type="dxa"/>
            <w:tcBorders>
              <w:top w:val="nil"/>
              <w:left w:val="nil"/>
              <w:bottom w:val="single" w:color="auto" w:sz="4" w:space="0"/>
              <w:right w:val="single" w:color="auto" w:sz="4" w:space="0"/>
            </w:tcBorders>
            <w:shd w:val="clear" w:color="auto" w:fill="auto"/>
            <w:noWrap/>
            <w:vAlign w:val="center"/>
            <w:hideMark/>
          </w:tcPr>
          <w:p w:rsidRPr="006E637B" w:rsidR="00100582" w:rsidP="00435881" w:rsidRDefault="00100582" w14:paraId="4B637800" w14:textId="77777777">
            <w:pPr>
              <w:jc w:val="both"/>
              <w:rPr>
                <w:rFonts w:ascii="Times New Roman" w:hAnsi="Times New Roman" w:eastAsia="Times New Roman" w:cs="Times New Roman"/>
                <w:color w:val="000000"/>
                <w:sz w:val="20"/>
                <w:szCs w:val="20"/>
              </w:rPr>
            </w:pPr>
            <w:r w:rsidRPr="006E637B">
              <w:rPr>
                <w:rFonts w:ascii="Times New Roman" w:hAnsi="Times New Roman" w:eastAsia="Times New Roman" w:cs="Times New Roman"/>
                <w:color w:val="000000"/>
                <w:sz w:val="20"/>
                <w:szCs w:val="20"/>
              </w:rPr>
              <w:t>9/11/2021</w:t>
            </w:r>
          </w:p>
        </w:tc>
      </w:tr>
    </w:tbl>
    <w:p w:rsidRPr="003F63A6" w:rsidR="00723ABC" w:rsidP="00435881" w:rsidRDefault="00723ABC" w14:paraId="65E90649" w14:textId="77777777">
      <w:pPr>
        <w:ind w:left="360"/>
        <w:jc w:val="both"/>
        <w:rPr>
          <w:rFonts w:ascii="Times New Roman" w:hAnsi="Times New Roman" w:cs="Times New Roman"/>
          <w:b/>
          <w:sz w:val="24"/>
          <w:szCs w:val="24"/>
        </w:rPr>
      </w:pPr>
    </w:p>
    <w:p w:rsidR="006E637B" w:rsidP="006E637B" w:rsidRDefault="00343058" w14:paraId="69E1EE0F" w14:textId="77777777">
      <w:pPr>
        <w:keepLines/>
        <w:tabs>
          <w:tab w:val="left" w:pos="360"/>
        </w:tabs>
        <w:spacing w:after="80"/>
        <w:ind w:left="360" w:hanging="360"/>
        <w:jc w:val="both"/>
        <w:rPr>
          <w:rFonts w:ascii="Times New Roman" w:hAnsi="Times New Roman" w:cs="Times New Roman"/>
          <w:b/>
          <w:sz w:val="24"/>
          <w:szCs w:val="24"/>
        </w:rPr>
      </w:pPr>
      <w:r w:rsidRPr="00511484">
        <w:rPr>
          <w:rFonts w:ascii="Times New Roman" w:hAnsi="Times New Roman" w:cs="Times New Roman"/>
          <w:b/>
          <w:sz w:val="24"/>
          <w:szCs w:val="24"/>
        </w:rPr>
        <w:t>17.</w:t>
      </w:r>
      <w:r w:rsidRPr="00511484">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Pr="006E637B" w:rsidR="00EE4721" w:rsidP="006E637B" w:rsidRDefault="006A688B" w14:paraId="6C84704B" w14:textId="354D19C2">
      <w:pPr>
        <w:keepLines/>
        <w:tabs>
          <w:tab w:val="left" w:pos="360"/>
        </w:tabs>
        <w:spacing w:after="80"/>
        <w:ind w:left="360" w:hanging="360"/>
        <w:jc w:val="both"/>
        <w:rPr>
          <w:rFonts w:ascii="Times New Roman" w:hAnsi="Times New Roman" w:cs="Times New Roman"/>
          <w:b/>
          <w:sz w:val="24"/>
          <w:szCs w:val="24"/>
        </w:rPr>
      </w:pPr>
      <w:r>
        <w:rPr>
          <w:rFonts w:ascii="Times New Roman" w:hAnsi="Times New Roman" w:cs="Times New Roman"/>
          <w:b/>
          <w:sz w:val="24"/>
          <w:szCs w:val="24"/>
        </w:rPr>
        <w:tab/>
      </w:r>
      <w:r w:rsidRPr="00D920EA" w:rsidR="00EE4721">
        <w:rPr>
          <w:rFonts w:ascii="Times New Roman" w:hAnsi="Times New Roman" w:cs="Times New Roman"/>
          <w:sz w:val="24"/>
          <w:szCs w:val="24"/>
        </w:rPr>
        <w:t xml:space="preserve">The expiration date for OMB approval will be displayed on all forms completed as part of the data collection. </w:t>
      </w:r>
    </w:p>
    <w:p w:rsidRPr="00A15383" w:rsidR="00343058" w:rsidP="006E637B" w:rsidRDefault="00343058" w14:paraId="00324650" w14:textId="77777777">
      <w:pPr>
        <w:pStyle w:val="NoSpacing"/>
      </w:pPr>
    </w:p>
    <w:p w:rsidR="006E637B" w:rsidP="006E637B" w:rsidRDefault="00343058" w14:paraId="1D8B2CDE" w14:textId="77777777">
      <w:pPr>
        <w:keepLines/>
        <w:tabs>
          <w:tab w:val="left" w:pos="360"/>
        </w:tabs>
        <w:spacing w:after="80"/>
        <w:ind w:left="360" w:hanging="360"/>
        <w:jc w:val="both"/>
        <w:rPr>
          <w:rFonts w:ascii="Times New Roman" w:hAnsi="Times New Roman" w:cs="Times New Roman"/>
          <w:b/>
          <w:sz w:val="24"/>
          <w:szCs w:val="24"/>
        </w:rPr>
      </w:pPr>
      <w:r w:rsidRPr="00A15383">
        <w:rPr>
          <w:rFonts w:ascii="Times New Roman" w:hAnsi="Times New Roman" w:cs="Times New Roman"/>
          <w:b/>
          <w:sz w:val="24"/>
          <w:szCs w:val="24"/>
        </w:rPr>
        <w:t>18.</w:t>
      </w:r>
      <w:r w:rsidRPr="00A15383">
        <w:rPr>
          <w:rFonts w:ascii="Times New Roman" w:hAnsi="Times New Roman" w:cs="Times New Roman"/>
          <w:b/>
          <w:sz w:val="24"/>
          <w:szCs w:val="24"/>
        </w:rPr>
        <w:tab/>
        <w:t>Explain each exception to the certification statement identified in i</w:t>
      </w:r>
      <w:r w:rsidRPr="008036E8">
        <w:rPr>
          <w:rFonts w:ascii="Times New Roman" w:hAnsi="Times New Roman" w:cs="Times New Roman"/>
          <w:b/>
          <w:sz w:val="24"/>
          <w:szCs w:val="24"/>
        </w:rPr>
        <w:t>tem 19.</w:t>
      </w:r>
    </w:p>
    <w:p w:rsidRPr="00511484" w:rsidR="00343058" w:rsidP="006E637B" w:rsidRDefault="006E637B" w14:paraId="58E6D5A8" w14:textId="238E7754">
      <w:pPr>
        <w:keepLines/>
        <w:tabs>
          <w:tab w:val="left" w:pos="360"/>
        </w:tabs>
        <w:spacing w:after="80"/>
        <w:ind w:left="360" w:hanging="360"/>
        <w:jc w:val="both"/>
        <w:rPr>
          <w:rFonts w:ascii="Times New Roman" w:hAnsi="Times New Roman" w:cs="Times New Roman"/>
          <w:sz w:val="24"/>
          <w:szCs w:val="24"/>
        </w:rPr>
      </w:pPr>
      <w:r>
        <w:rPr>
          <w:rFonts w:ascii="Times New Roman" w:hAnsi="Times New Roman" w:cs="Times New Roman"/>
          <w:sz w:val="24"/>
          <w:szCs w:val="24"/>
        </w:rPr>
        <w:tab/>
      </w:r>
      <w:r w:rsidRPr="008036E8" w:rsidR="00E03800">
        <w:rPr>
          <w:rFonts w:ascii="Times New Roman" w:hAnsi="Times New Roman" w:cs="Times New Roman"/>
          <w:sz w:val="24"/>
          <w:szCs w:val="24"/>
        </w:rPr>
        <w:t xml:space="preserve">No exceptions are necessary for this information collection. </w:t>
      </w:r>
    </w:p>
    <w:sectPr w:rsidRPr="00511484" w:rsidR="00343058" w:rsidSect="0000125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45B37" w14:textId="77777777" w:rsidR="0072093B" w:rsidRDefault="0072093B" w:rsidP="008D36CA">
      <w:r>
        <w:separator/>
      </w:r>
    </w:p>
    <w:p w14:paraId="609C3787" w14:textId="77777777" w:rsidR="0072093B" w:rsidRDefault="0072093B"/>
  </w:endnote>
  <w:endnote w:type="continuationSeparator" w:id="0">
    <w:p w14:paraId="191C4F61" w14:textId="77777777" w:rsidR="0072093B" w:rsidRDefault="0072093B" w:rsidP="008D36CA">
      <w:r>
        <w:continuationSeparator/>
      </w:r>
    </w:p>
    <w:p w14:paraId="6E1DEAEB" w14:textId="77777777" w:rsidR="0072093B" w:rsidRDefault="0072093B"/>
  </w:endnote>
  <w:endnote w:type="continuationNotice" w:id="1">
    <w:p w14:paraId="403E65B5" w14:textId="77777777" w:rsidR="0072093B" w:rsidRDefault="0072093B"/>
    <w:p w14:paraId="34D094F1" w14:textId="77777777" w:rsidR="0072093B" w:rsidRDefault="00720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767643"/>
      <w:docPartObj>
        <w:docPartGallery w:val="Page Numbers (Bottom of Page)"/>
        <w:docPartUnique/>
      </w:docPartObj>
    </w:sdtPr>
    <w:sdtEndPr>
      <w:rPr>
        <w:noProof/>
      </w:rPr>
    </w:sdtEndPr>
    <w:sdtContent>
      <w:p w14:paraId="345DA468" w14:textId="4941D449" w:rsidR="00962AB7" w:rsidRDefault="00962A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963420" w14:textId="77777777" w:rsidR="00962AB7" w:rsidRDefault="00962AB7">
    <w:pPr>
      <w:pStyle w:val="Footer"/>
    </w:pPr>
  </w:p>
  <w:p w14:paraId="75D153F7" w14:textId="77777777" w:rsidR="00155C1C" w:rsidRDefault="00155C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25C3E" w14:textId="77777777" w:rsidR="0072093B" w:rsidRDefault="0072093B" w:rsidP="008D36CA">
      <w:r>
        <w:separator/>
      </w:r>
    </w:p>
    <w:p w14:paraId="28D985E0" w14:textId="77777777" w:rsidR="0072093B" w:rsidRDefault="0072093B"/>
  </w:footnote>
  <w:footnote w:type="continuationSeparator" w:id="0">
    <w:p w14:paraId="401CA633" w14:textId="77777777" w:rsidR="0072093B" w:rsidRDefault="0072093B" w:rsidP="008D36CA">
      <w:r>
        <w:continuationSeparator/>
      </w:r>
    </w:p>
    <w:p w14:paraId="2620D908" w14:textId="77777777" w:rsidR="0072093B" w:rsidRDefault="0072093B"/>
  </w:footnote>
  <w:footnote w:type="continuationNotice" w:id="1">
    <w:p w14:paraId="19145034" w14:textId="77777777" w:rsidR="0072093B" w:rsidRDefault="0072093B"/>
    <w:p w14:paraId="3B559BB4" w14:textId="77777777" w:rsidR="0072093B" w:rsidRDefault="0072093B"/>
  </w:footnote>
  <w:footnote w:id="2">
    <w:p w14:paraId="46293268" w14:textId="77777777" w:rsidR="008D36CA" w:rsidRPr="00CB41A5" w:rsidRDefault="008D36CA" w:rsidP="008D36CA">
      <w:pPr>
        <w:pStyle w:val="FootnoteText"/>
      </w:pPr>
      <w:r>
        <w:rPr>
          <w:rStyle w:val="FootnoteReference"/>
        </w:rPr>
        <w:footnoteRef/>
      </w:r>
      <w:r>
        <w:t xml:space="preserve"> </w:t>
      </w:r>
      <w:r w:rsidRPr="00CB41A5">
        <w:t>Another benefit of CATI is that interviewers can focus on the respondent rather than management of the survey instrument, creating a more pleasant experience for the respondent. The technology ensures that scheduled appointments are honored with respondents. CATI also ensures adherence to dialing protocols, maintaining the integrity of the study without unduly burdening sample members and eliminates many human errors, such as accidental calling of resolved sample records.  Finally, CATI provides translated scripts for crisp script delivery to non-English speakers.</w:t>
      </w:r>
    </w:p>
  </w:footnote>
  <w:footnote w:id="3">
    <w:p w14:paraId="5792914D" w14:textId="77777777" w:rsidR="00EE7336" w:rsidRPr="006A1EB7" w:rsidRDefault="00EE7336" w:rsidP="00EE7336">
      <w:pPr>
        <w:pStyle w:val="FootnoteText"/>
      </w:pPr>
      <w:r w:rsidRPr="006A1EB7">
        <w:rPr>
          <w:rStyle w:val="FootnoteReference"/>
          <w:rFonts w:eastAsia="Courier New"/>
        </w:rPr>
        <w:footnoteRef/>
      </w:r>
      <w:r w:rsidRPr="006A1EB7">
        <w:t xml:space="preserve"> </w:t>
      </w:r>
      <w:r w:rsidRPr="006A1EB7">
        <w:rPr>
          <w:szCs w:val="18"/>
        </w:rPr>
        <w:t xml:space="preserve">Berlin, M., L. Mohadjer and J. Waksberg (1992). An experiment in monetary incentives. </w:t>
      </w:r>
      <w:r w:rsidRPr="006A1EB7">
        <w:rPr>
          <w:i/>
          <w:iCs/>
          <w:szCs w:val="18"/>
        </w:rPr>
        <w:t xml:space="preserve">Proceedings of the Survey Research Section of the American Statistical Association, </w:t>
      </w:r>
      <w:r w:rsidRPr="006A1EB7">
        <w:rPr>
          <w:szCs w:val="18"/>
        </w:rPr>
        <w:t xml:space="preserve">393-398; de Heer, W. and E. de Leeuw. “Trends in household survey non-response: A longitudinal and international comparison.” In </w:t>
      </w:r>
      <w:r w:rsidRPr="006A1EB7">
        <w:rPr>
          <w:i/>
          <w:iCs/>
          <w:szCs w:val="18"/>
        </w:rPr>
        <w:t>Survey Non-response</w:t>
      </w:r>
      <w:r w:rsidRPr="006A1EB7">
        <w:rPr>
          <w:szCs w:val="18"/>
        </w:rPr>
        <w:t xml:space="preserve">, edited by R. M. Groves, D. A. Dillman, J. L. Eltinge, and R. J. A. Little. New York: John Wiley, 2002, pp.41-54; Singer, E. and Kulka, R. Studies of Welfare Populations: Data Collection and Research Issues, Panel on Data and Methods for Measuring the Effects of Changes in Social Welfare Programs. Ploeg, Robert A.Moffitt, and Constance F.Citro, Editors. National Academies Press, Washington, DC, 2000, pp. 105-128. </w:t>
      </w:r>
      <w:r w:rsidRPr="006A1EB7">
        <w:t xml:space="preserve"> </w:t>
      </w:r>
    </w:p>
  </w:footnote>
  <w:footnote w:id="4">
    <w:p w14:paraId="625BC719" w14:textId="5F7F250B" w:rsidR="00E14BD0" w:rsidRDefault="00E14BD0">
      <w:pPr>
        <w:pStyle w:val="FootnoteText"/>
      </w:pPr>
      <w:r>
        <w:rPr>
          <w:rStyle w:val="FootnoteReference"/>
        </w:rPr>
        <w:footnoteRef/>
      </w:r>
      <w:r>
        <w:t xml:space="preserve"> </w:t>
      </w:r>
      <w:r w:rsidR="007F42A1">
        <w:t>Based on HUD feedback and suggestions on the instrument, the survey might run between 18-20 minutes, slightly longer than the 15-minute estimate in the Federal notice.</w:t>
      </w:r>
    </w:p>
  </w:footnote>
  <w:footnote w:id="5">
    <w:p w14:paraId="30716A86" w14:textId="3FAE5C03" w:rsidR="00C13027" w:rsidRPr="00F279B2" w:rsidRDefault="00C13027" w:rsidP="00C13027">
      <w:pPr>
        <w:pStyle w:val="FootnoteText"/>
      </w:pPr>
      <w:r w:rsidRPr="00F279B2">
        <w:rPr>
          <w:rStyle w:val="FootnoteReference"/>
        </w:rPr>
        <w:footnoteRef/>
      </w:r>
      <w:r w:rsidRPr="00F279B2">
        <w:t xml:space="preserve"> To compute the hourly cost per response, MDRC used the</w:t>
      </w:r>
      <w:r w:rsidR="00F14D3C">
        <w:t xml:space="preserve"> weighted</w:t>
      </w:r>
      <w:r w:rsidRPr="00F279B2">
        <w:t xml:space="preserve"> average state minimum wage of the 18 study sites, as of </w:t>
      </w:r>
      <w:r w:rsidR="0085590B">
        <w:t>October</w:t>
      </w:r>
      <w:r w:rsidRPr="00F279B2">
        <w:t xml:space="preserve"> 1, 2020.</w:t>
      </w:r>
      <w:r w:rsidR="00F14D3C">
        <w:t xml:space="preserve"> The state minimum wages were weighted by the number of study participants in each state.</w:t>
      </w:r>
      <w:r w:rsidR="0085590B">
        <w:t xml:space="preserve"> State minimum wage rates were found on the DOL website (</w:t>
      </w:r>
      <w:hyperlink r:id="rId1" w:history="1">
        <w:r w:rsidR="0085590B" w:rsidRPr="00E374FC">
          <w:rPr>
            <w:rStyle w:val="Hyperlink"/>
          </w:rPr>
          <w:t>https://www.dol.gov/agencies/whd/minimum-wage/</w:t>
        </w:r>
      </w:hyperlink>
      <w:r w:rsidR="0085590B">
        <w:t xml:space="preserve">). </w:t>
      </w:r>
      <w:r w:rsidR="00EF63BD">
        <w:t>The minimum wage</w:t>
      </w:r>
      <w:r w:rsidR="00C4765D">
        <w:t>s</w:t>
      </w:r>
      <w:r w:rsidR="00EF63BD">
        <w:t xml:space="preserve"> in 7 states are: California (</w:t>
      </w:r>
      <w:r w:rsidR="002A0643">
        <w:t>$12.00), Florida ($8.56), Maryland ($11.00), Missouri ($</w:t>
      </w:r>
      <w:r w:rsidR="00AF1ED9">
        <w:t>9.45), New Jersey ($11.00), Ohio ($7.25), and Texas ($7.25).</w:t>
      </w:r>
    </w:p>
  </w:footnote>
  <w:footnote w:id="6">
    <w:p w14:paraId="0A107518" w14:textId="271DDDFB" w:rsidR="00C13027" w:rsidRPr="004B2562" w:rsidRDefault="00C13027" w:rsidP="00C13027">
      <w:pPr>
        <w:pStyle w:val="FootnoteText"/>
      </w:pPr>
      <w:r w:rsidRPr="00F279B2">
        <w:rPr>
          <w:rStyle w:val="FootnoteReference"/>
        </w:rPr>
        <w:footnoteRef/>
      </w:r>
      <w:r w:rsidRPr="00F279B2">
        <w:t xml:space="preserve"> To compute the total estimated annual cost, the total estimated annual burden hours were multiplied by the hourly cost per response. The calculation assumes </w:t>
      </w:r>
      <w:r w:rsidR="00016B90">
        <w:t>4</w:t>
      </w:r>
      <w:r w:rsidR="00ED5B99">
        <w:t>29</w:t>
      </w:r>
      <w:r w:rsidRPr="00F279B2">
        <w:t xml:space="preserve"> total annual burden hours if all 1,300 study participants respond to the survey.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6C555A0"/>
    <w:multiLevelType w:val="hybridMultilevel"/>
    <w:tmpl w:val="33746094"/>
    <w:lvl w:ilvl="0" w:tplc="38A0CB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51529"/>
    <w:multiLevelType w:val="hybridMultilevel"/>
    <w:tmpl w:val="7F845EFC"/>
    <w:lvl w:ilvl="0" w:tplc="48AC6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5B3940"/>
    <w:multiLevelType w:val="hybridMultilevel"/>
    <w:tmpl w:val="2E6E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15177"/>
    <w:multiLevelType w:val="hybridMultilevel"/>
    <w:tmpl w:val="FE3E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6"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19739D"/>
    <w:multiLevelType w:val="hybridMultilevel"/>
    <w:tmpl w:val="04090001"/>
    <w:lvl w:ilvl="0" w:tplc="2004A162">
      <w:start w:val="1"/>
      <w:numFmt w:val="bullet"/>
      <w:lvlText w:val=""/>
      <w:lvlJc w:val="left"/>
      <w:pPr>
        <w:ind w:left="720" w:hanging="360"/>
      </w:pPr>
      <w:rPr>
        <w:rFonts w:ascii="Symbol" w:hAnsi="Symbol" w:hint="default"/>
      </w:rPr>
    </w:lvl>
    <w:lvl w:ilvl="1" w:tplc="D34E04DC">
      <w:numFmt w:val="decimal"/>
      <w:lvlText w:val=""/>
      <w:lvlJc w:val="left"/>
    </w:lvl>
    <w:lvl w:ilvl="2" w:tplc="ADFAF1AA">
      <w:numFmt w:val="decimal"/>
      <w:lvlText w:val=""/>
      <w:lvlJc w:val="left"/>
    </w:lvl>
    <w:lvl w:ilvl="3" w:tplc="96548CDE">
      <w:numFmt w:val="decimal"/>
      <w:lvlText w:val=""/>
      <w:lvlJc w:val="left"/>
    </w:lvl>
    <w:lvl w:ilvl="4" w:tplc="AEF20B32">
      <w:numFmt w:val="decimal"/>
      <w:lvlText w:val=""/>
      <w:lvlJc w:val="left"/>
    </w:lvl>
    <w:lvl w:ilvl="5" w:tplc="D3E81750">
      <w:numFmt w:val="decimal"/>
      <w:lvlText w:val=""/>
      <w:lvlJc w:val="left"/>
    </w:lvl>
    <w:lvl w:ilvl="6" w:tplc="97DEA218">
      <w:numFmt w:val="decimal"/>
      <w:lvlText w:val=""/>
      <w:lvlJc w:val="left"/>
    </w:lvl>
    <w:lvl w:ilvl="7" w:tplc="0F2E9816">
      <w:numFmt w:val="decimal"/>
      <w:lvlText w:val=""/>
      <w:lvlJc w:val="left"/>
    </w:lvl>
    <w:lvl w:ilvl="8" w:tplc="1B38A286">
      <w:numFmt w:val="decimal"/>
      <w:lvlText w:val=""/>
      <w:lvlJc w:val="left"/>
    </w:lvl>
  </w:abstractNum>
  <w:abstractNum w:abstractNumId="8" w15:restartNumberingAfterBreak="0">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94B14DB"/>
    <w:multiLevelType w:val="hybridMultilevel"/>
    <w:tmpl w:val="72581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206095"/>
    <w:multiLevelType w:val="hybridMultilevel"/>
    <w:tmpl w:val="1898D564"/>
    <w:lvl w:ilvl="0" w:tplc="492CAEC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lvl w:ilvl="1" w:tplc="7A2C76FE">
      <w:numFmt w:val="decimal"/>
      <w:lvlText w:val=""/>
      <w:lvlJc w:val="left"/>
    </w:lvl>
    <w:lvl w:ilvl="2" w:tplc="70A4C0A8">
      <w:numFmt w:val="decimal"/>
      <w:lvlText w:val=""/>
      <w:lvlJc w:val="left"/>
    </w:lvl>
    <w:lvl w:ilvl="3" w:tplc="9446CFC4">
      <w:numFmt w:val="decimal"/>
      <w:lvlText w:val=""/>
      <w:lvlJc w:val="left"/>
    </w:lvl>
    <w:lvl w:ilvl="4" w:tplc="1FAA2CE6">
      <w:numFmt w:val="decimal"/>
      <w:lvlText w:val=""/>
      <w:lvlJc w:val="left"/>
    </w:lvl>
    <w:lvl w:ilvl="5" w:tplc="C4B4A390">
      <w:numFmt w:val="decimal"/>
      <w:lvlText w:val=""/>
      <w:lvlJc w:val="left"/>
    </w:lvl>
    <w:lvl w:ilvl="6" w:tplc="3356CE8A">
      <w:numFmt w:val="decimal"/>
      <w:lvlText w:val=""/>
      <w:lvlJc w:val="left"/>
    </w:lvl>
    <w:lvl w:ilvl="7" w:tplc="0DBE9BD4">
      <w:numFmt w:val="decimal"/>
      <w:lvlText w:val=""/>
      <w:lvlJc w:val="left"/>
    </w:lvl>
    <w:lvl w:ilvl="8" w:tplc="7CCE8764">
      <w:numFmt w:val="decimal"/>
      <w:lvlText w:val=""/>
      <w:lvlJc w:val="left"/>
    </w:lvl>
  </w:abstractNum>
  <w:abstractNum w:abstractNumId="11" w15:restartNumberingAfterBreak="0">
    <w:nsid w:val="5A69306F"/>
    <w:multiLevelType w:val="hybridMultilevel"/>
    <w:tmpl w:val="8E943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7C3150"/>
    <w:multiLevelType w:val="hybridMultilevel"/>
    <w:tmpl w:val="334C5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C1D97"/>
    <w:multiLevelType w:val="hybridMultilevel"/>
    <w:tmpl w:val="C232A370"/>
    <w:lvl w:ilvl="0" w:tplc="83D026D4">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84410D8"/>
    <w:multiLevelType w:val="hybridMultilevel"/>
    <w:tmpl w:val="04090001"/>
    <w:lvl w:ilvl="0" w:tplc="5D52AEE0">
      <w:start w:val="1"/>
      <w:numFmt w:val="bullet"/>
      <w:lvlText w:val=""/>
      <w:lvlJc w:val="left"/>
      <w:pPr>
        <w:ind w:left="360" w:hanging="360"/>
      </w:pPr>
      <w:rPr>
        <w:rFonts w:ascii="Symbol" w:hAnsi="Symbol" w:hint="default"/>
      </w:rPr>
    </w:lvl>
    <w:lvl w:ilvl="1" w:tplc="69763D0C">
      <w:numFmt w:val="decimal"/>
      <w:lvlText w:val=""/>
      <w:lvlJc w:val="left"/>
    </w:lvl>
    <w:lvl w:ilvl="2" w:tplc="52527490">
      <w:numFmt w:val="decimal"/>
      <w:lvlText w:val=""/>
      <w:lvlJc w:val="left"/>
    </w:lvl>
    <w:lvl w:ilvl="3" w:tplc="3F225A8A">
      <w:numFmt w:val="decimal"/>
      <w:lvlText w:val=""/>
      <w:lvlJc w:val="left"/>
    </w:lvl>
    <w:lvl w:ilvl="4" w:tplc="DF7C5A96">
      <w:numFmt w:val="decimal"/>
      <w:lvlText w:val=""/>
      <w:lvlJc w:val="left"/>
    </w:lvl>
    <w:lvl w:ilvl="5" w:tplc="8A9AACFE">
      <w:numFmt w:val="decimal"/>
      <w:lvlText w:val=""/>
      <w:lvlJc w:val="left"/>
    </w:lvl>
    <w:lvl w:ilvl="6" w:tplc="020A77EA">
      <w:numFmt w:val="decimal"/>
      <w:lvlText w:val=""/>
      <w:lvlJc w:val="left"/>
    </w:lvl>
    <w:lvl w:ilvl="7" w:tplc="ABC2D592">
      <w:numFmt w:val="decimal"/>
      <w:lvlText w:val=""/>
      <w:lvlJc w:val="left"/>
    </w:lvl>
    <w:lvl w:ilvl="8" w:tplc="BD5ABD0E">
      <w:numFmt w:val="decimal"/>
      <w:lvlText w:val=""/>
      <w:lvlJc w:val="left"/>
    </w:lvl>
  </w:abstractNum>
  <w:abstractNum w:abstractNumId="15"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6"/>
  </w:num>
  <w:num w:numId="3">
    <w:abstractNumId w:val="10"/>
    <w:lvlOverride w:ilvl="0">
      <w:startOverride w:val="7"/>
    </w:lvlOverride>
  </w:num>
  <w:num w:numId="4">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5">
    <w:abstractNumId w:val="14"/>
  </w:num>
  <w:num w:numId="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5"/>
  </w:num>
  <w:num w:numId="9">
    <w:abstractNumId w:val="7"/>
  </w:num>
  <w:num w:numId="10">
    <w:abstractNumId w:val="11"/>
  </w:num>
  <w:num w:numId="11">
    <w:abstractNumId w:val="8"/>
  </w:num>
  <w:num w:numId="12">
    <w:abstractNumId w:val="12"/>
  </w:num>
  <w:num w:numId="13">
    <w:abstractNumId w:val="2"/>
  </w:num>
  <w:num w:numId="14">
    <w:abstractNumId w:val="4"/>
  </w:num>
  <w:num w:numId="15">
    <w:abstractNumId w:val="3"/>
  </w:num>
  <w:num w:numId="16">
    <w:abstractNumId w:val="9"/>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37EED"/>
    <w:rsid w:val="0000125C"/>
    <w:rsid w:val="00001290"/>
    <w:rsid w:val="00007281"/>
    <w:rsid w:val="00007C20"/>
    <w:rsid w:val="00010A19"/>
    <w:rsid w:val="00014105"/>
    <w:rsid w:val="00016B90"/>
    <w:rsid w:val="00016E2F"/>
    <w:rsid w:val="00020A16"/>
    <w:rsid w:val="00023084"/>
    <w:rsid w:val="00024246"/>
    <w:rsid w:val="000242BF"/>
    <w:rsid w:val="00033A2F"/>
    <w:rsid w:val="00033FF5"/>
    <w:rsid w:val="00040925"/>
    <w:rsid w:val="00041FE3"/>
    <w:rsid w:val="0005005D"/>
    <w:rsid w:val="000533F9"/>
    <w:rsid w:val="000548BF"/>
    <w:rsid w:val="00061923"/>
    <w:rsid w:val="00061D68"/>
    <w:rsid w:val="00066C6E"/>
    <w:rsid w:val="0006741E"/>
    <w:rsid w:val="00067C8B"/>
    <w:rsid w:val="00070962"/>
    <w:rsid w:val="00071C60"/>
    <w:rsid w:val="00072494"/>
    <w:rsid w:val="00073593"/>
    <w:rsid w:val="0007499A"/>
    <w:rsid w:val="00075FBB"/>
    <w:rsid w:val="000762B2"/>
    <w:rsid w:val="00082167"/>
    <w:rsid w:val="00084A2A"/>
    <w:rsid w:val="00084EB2"/>
    <w:rsid w:val="00090B6F"/>
    <w:rsid w:val="00091EA2"/>
    <w:rsid w:val="000922D9"/>
    <w:rsid w:val="00092A63"/>
    <w:rsid w:val="00093B67"/>
    <w:rsid w:val="0009474C"/>
    <w:rsid w:val="000A146E"/>
    <w:rsid w:val="000A2750"/>
    <w:rsid w:val="000A47E5"/>
    <w:rsid w:val="000A4C31"/>
    <w:rsid w:val="000A5653"/>
    <w:rsid w:val="000A74FA"/>
    <w:rsid w:val="000B2F2A"/>
    <w:rsid w:val="000B3779"/>
    <w:rsid w:val="000B4DB3"/>
    <w:rsid w:val="000B57A8"/>
    <w:rsid w:val="000B7CD6"/>
    <w:rsid w:val="000C055C"/>
    <w:rsid w:val="000C12D8"/>
    <w:rsid w:val="000C5409"/>
    <w:rsid w:val="000C6374"/>
    <w:rsid w:val="000C77B2"/>
    <w:rsid w:val="000D141B"/>
    <w:rsid w:val="000D2800"/>
    <w:rsid w:val="000D4F10"/>
    <w:rsid w:val="000E0A94"/>
    <w:rsid w:val="000E3FBD"/>
    <w:rsid w:val="000E5232"/>
    <w:rsid w:val="000E69C5"/>
    <w:rsid w:val="000F2652"/>
    <w:rsid w:val="000F3873"/>
    <w:rsid w:val="000F4042"/>
    <w:rsid w:val="000F4E89"/>
    <w:rsid w:val="000F5B5D"/>
    <w:rsid w:val="00100582"/>
    <w:rsid w:val="00101C29"/>
    <w:rsid w:val="00103034"/>
    <w:rsid w:val="001053F4"/>
    <w:rsid w:val="00105473"/>
    <w:rsid w:val="001061E8"/>
    <w:rsid w:val="001079FD"/>
    <w:rsid w:val="001119E8"/>
    <w:rsid w:val="00116CBB"/>
    <w:rsid w:val="00121012"/>
    <w:rsid w:val="00121A45"/>
    <w:rsid w:val="00121A92"/>
    <w:rsid w:val="00122C3F"/>
    <w:rsid w:val="0012492A"/>
    <w:rsid w:val="00126D14"/>
    <w:rsid w:val="00131002"/>
    <w:rsid w:val="001312E5"/>
    <w:rsid w:val="001368A7"/>
    <w:rsid w:val="00137470"/>
    <w:rsid w:val="001377A0"/>
    <w:rsid w:val="0014099E"/>
    <w:rsid w:val="001457C8"/>
    <w:rsid w:val="0014638E"/>
    <w:rsid w:val="00153653"/>
    <w:rsid w:val="00153D1C"/>
    <w:rsid w:val="001542FF"/>
    <w:rsid w:val="0015475F"/>
    <w:rsid w:val="00155C1C"/>
    <w:rsid w:val="001579EC"/>
    <w:rsid w:val="00157CDF"/>
    <w:rsid w:val="00160E93"/>
    <w:rsid w:val="00161A9F"/>
    <w:rsid w:val="00164236"/>
    <w:rsid w:val="0017192F"/>
    <w:rsid w:val="00174920"/>
    <w:rsid w:val="00175042"/>
    <w:rsid w:val="0018036F"/>
    <w:rsid w:val="00183DE4"/>
    <w:rsid w:val="0018447A"/>
    <w:rsid w:val="00187603"/>
    <w:rsid w:val="00190969"/>
    <w:rsid w:val="00193509"/>
    <w:rsid w:val="00194956"/>
    <w:rsid w:val="00195596"/>
    <w:rsid w:val="00196D38"/>
    <w:rsid w:val="001A11F1"/>
    <w:rsid w:val="001A2725"/>
    <w:rsid w:val="001A2B5C"/>
    <w:rsid w:val="001B0185"/>
    <w:rsid w:val="001B0329"/>
    <w:rsid w:val="001B052A"/>
    <w:rsid w:val="001B0683"/>
    <w:rsid w:val="001B1FDA"/>
    <w:rsid w:val="001B45DC"/>
    <w:rsid w:val="001B6CE9"/>
    <w:rsid w:val="001B7F3F"/>
    <w:rsid w:val="001C615C"/>
    <w:rsid w:val="001C7A7F"/>
    <w:rsid w:val="001D0C64"/>
    <w:rsid w:val="001D1706"/>
    <w:rsid w:val="001D2764"/>
    <w:rsid w:val="001D3A5F"/>
    <w:rsid w:val="001D6177"/>
    <w:rsid w:val="001D7BFA"/>
    <w:rsid w:val="001E2F19"/>
    <w:rsid w:val="001E33B5"/>
    <w:rsid w:val="001F220D"/>
    <w:rsid w:val="001F5685"/>
    <w:rsid w:val="001F5B41"/>
    <w:rsid w:val="001F6BF2"/>
    <w:rsid w:val="00201854"/>
    <w:rsid w:val="00202335"/>
    <w:rsid w:val="00202FD8"/>
    <w:rsid w:val="002031F1"/>
    <w:rsid w:val="00205101"/>
    <w:rsid w:val="00205D73"/>
    <w:rsid w:val="00210A56"/>
    <w:rsid w:val="00210EEE"/>
    <w:rsid w:val="00211D32"/>
    <w:rsid w:val="00212B0B"/>
    <w:rsid w:val="00213D1F"/>
    <w:rsid w:val="00214068"/>
    <w:rsid w:val="002140E2"/>
    <w:rsid w:val="00216FE3"/>
    <w:rsid w:val="00221AAE"/>
    <w:rsid w:val="002228D4"/>
    <w:rsid w:val="00225624"/>
    <w:rsid w:val="00225E3C"/>
    <w:rsid w:val="002316E7"/>
    <w:rsid w:val="0023357F"/>
    <w:rsid w:val="00234A50"/>
    <w:rsid w:val="00235DBA"/>
    <w:rsid w:val="0023635E"/>
    <w:rsid w:val="00236488"/>
    <w:rsid w:val="00236D04"/>
    <w:rsid w:val="00240D4E"/>
    <w:rsid w:val="00241998"/>
    <w:rsid w:val="00242129"/>
    <w:rsid w:val="002449F3"/>
    <w:rsid w:val="00244C15"/>
    <w:rsid w:val="002509BE"/>
    <w:rsid w:val="00251916"/>
    <w:rsid w:val="00251B6E"/>
    <w:rsid w:val="00251E64"/>
    <w:rsid w:val="00261452"/>
    <w:rsid w:val="002628C2"/>
    <w:rsid w:val="0026660F"/>
    <w:rsid w:val="0026727E"/>
    <w:rsid w:val="00271822"/>
    <w:rsid w:val="00276E2D"/>
    <w:rsid w:val="002851B1"/>
    <w:rsid w:val="002853D3"/>
    <w:rsid w:val="00286CD8"/>
    <w:rsid w:val="00292B93"/>
    <w:rsid w:val="0029373A"/>
    <w:rsid w:val="00293764"/>
    <w:rsid w:val="00293E78"/>
    <w:rsid w:val="002A0442"/>
    <w:rsid w:val="002A0643"/>
    <w:rsid w:val="002A1FD8"/>
    <w:rsid w:val="002A68A8"/>
    <w:rsid w:val="002A7CF2"/>
    <w:rsid w:val="002B50CF"/>
    <w:rsid w:val="002B70F6"/>
    <w:rsid w:val="002B7DE9"/>
    <w:rsid w:val="002C23CC"/>
    <w:rsid w:val="002D3351"/>
    <w:rsid w:val="002D3FC6"/>
    <w:rsid w:val="002D470F"/>
    <w:rsid w:val="002E0B0A"/>
    <w:rsid w:val="002E1145"/>
    <w:rsid w:val="002E1FF6"/>
    <w:rsid w:val="002F01DA"/>
    <w:rsid w:val="002F1F33"/>
    <w:rsid w:val="002F2B12"/>
    <w:rsid w:val="002F2FB8"/>
    <w:rsid w:val="002F59CC"/>
    <w:rsid w:val="002F6C2D"/>
    <w:rsid w:val="002F7E62"/>
    <w:rsid w:val="0030199B"/>
    <w:rsid w:val="00302D0D"/>
    <w:rsid w:val="003038EF"/>
    <w:rsid w:val="00304875"/>
    <w:rsid w:val="00305039"/>
    <w:rsid w:val="00305AFB"/>
    <w:rsid w:val="00306402"/>
    <w:rsid w:val="00310127"/>
    <w:rsid w:val="0031294A"/>
    <w:rsid w:val="00316D2F"/>
    <w:rsid w:val="003172FD"/>
    <w:rsid w:val="003176B1"/>
    <w:rsid w:val="00317DBB"/>
    <w:rsid w:val="00320511"/>
    <w:rsid w:val="00333105"/>
    <w:rsid w:val="003343D6"/>
    <w:rsid w:val="00335B48"/>
    <w:rsid w:val="00343058"/>
    <w:rsid w:val="00344D4B"/>
    <w:rsid w:val="00353810"/>
    <w:rsid w:val="00357743"/>
    <w:rsid w:val="00360C91"/>
    <w:rsid w:val="00361B51"/>
    <w:rsid w:val="003702CA"/>
    <w:rsid w:val="003725D6"/>
    <w:rsid w:val="003772C1"/>
    <w:rsid w:val="00382BD1"/>
    <w:rsid w:val="003830EC"/>
    <w:rsid w:val="00384AF4"/>
    <w:rsid w:val="00384CCF"/>
    <w:rsid w:val="00395468"/>
    <w:rsid w:val="003968A0"/>
    <w:rsid w:val="0039788E"/>
    <w:rsid w:val="00397C16"/>
    <w:rsid w:val="00397FF1"/>
    <w:rsid w:val="003A3851"/>
    <w:rsid w:val="003A5F7A"/>
    <w:rsid w:val="003A629D"/>
    <w:rsid w:val="003A7152"/>
    <w:rsid w:val="003B26FA"/>
    <w:rsid w:val="003B3E2D"/>
    <w:rsid w:val="003B3F57"/>
    <w:rsid w:val="003B5646"/>
    <w:rsid w:val="003B635C"/>
    <w:rsid w:val="003B6590"/>
    <w:rsid w:val="003B6B37"/>
    <w:rsid w:val="003B6F8E"/>
    <w:rsid w:val="003C1125"/>
    <w:rsid w:val="003C2437"/>
    <w:rsid w:val="003C53B6"/>
    <w:rsid w:val="003C72D7"/>
    <w:rsid w:val="003D046A"/>
    <w:rsid w:val="003D7916"/>
    <w:rsid w:val="003E0BCC"/>
    <w:rsid w:val="003E3328"/>
    <w:rsid w:val="003E4026"/>
    <w:rsid w:val="003E47E2"/>
    <w:rsid w:val="003E520E"/>
    <w:rsid w:val="003F44D0"/>
    <w:rsid w:val="003F44F3"/>
    <w:rsid w:val="003F48A2"/>
    <w:rsid w:val="003F63A6"/>
    <w:rsid w:val="003F723F"/>
    <w:rsid w:val="00401187"/>
    <w:rsid w:val="00403A87"/>
    <w:rsid w:val="00404E11"/>
    <w:rsid w:val="00406F19"/>
    <w:rsid w:val="00410D11"/>
    <w:rsid w:val="004111FE"/>
    <w:rsid w:val="00414342"/>
    <w:rsid w:val="004215CF"/>
    <w:rsid w:val="00430463"/>
    <w:rsid w:val="004315DA"/>
    <w:rsid w:val="00433F48"/>
    <w:rsid w:val="00435881"/>
    <w:rsid w:val="00435AA0"/>
    <w:rsid w:val="004363E8"/>
    <w:rsid w:val="004409DE"/>
    <w:rsid w:val="004422F2"/>
    <w:rsid w:val="00443531"/>
    <w:rsid w:val="00444344"/>
    <w:rsid w:val="00452A44"/>
    <w:rsid w:val="0045564E"/>
    <w:rsid w:val="00461DA6"/>
    <w:rsid w:val="0046336F"/>
    <w:rsid w:val="00463AA3"/>
    <w:rsid w:val="004649F9"/>
    <w:rsid w:val="00473E98"/>
    <w:rsid w:val="004749BD"/>
    <w:rsid w:val="004757B8"/>
    <w:rsid w:val="00490328"/>
    <w:rsid w:val="0049435A"/>
    <w:rsid w:val="00494530"/>
    <w:rsid w:val="00495544"/>
    <w:rsid w:val="00495A80"/>
    <w:rsid w:val="004A043C"/>
    <w:rsid w:val="004A04DB"/>
    <w:rsid w:val="004A3A02"/>
    <w:rsid w:val="004A3DA3"/>
    <w:rsid w:val="004B24C5"/>
    <w:rsid w:val="004B2FA8"/>
    <w:rsid w:val="004B3AA1"/>
    <w:rsid w:val="004B4693"/>
    <w:rsid w:val="004B5243"/>
    <w:rsid w:val="004B66E5"/>
    <w:rsid w:val="004C049E"/>
    <w:rsid w:val="004C31EE"/>
    <w:rsid w:val="004C3D6D"/>
    <w:rsid w:val="004C4028"/>
    <w:rsid w:val="004C4181"/>
    <w:rsid w:val="004C6B27"/>
    <w:rsid w:val="004D49F0"/>
    <w:rsid w:val="004D49FF"/>
    <w:rsid w:val="004D5C03"/>
    <w:rsid w:val="004D6D3C"/>
    <w:rsid w:val="004F1045"/>
    <w:rsid w:val="004F2065"/>
    <w:rsid w:val="004F3DFA"/>
    <w:rsid w:val="004F4D5D"/>
    <w:rsid w:val="004F5204"/>
    <w:rsid w:val="004F535F"/>
    <w:rsid w:val="004F5799"/>
    <w:rsid w:val="004F70AC"/>
    <w:rsid w:val="004F7D81"/>
    <w:rsid w:val="00500C58"/>
    <w:rsid w:val="00511484"/>
    <w:rsid w:val="00514762"/>
    <w:rsid w:val="00515687"/>
    <w:rsid w:val="005214D5"/>
    <w:rsid w:val="005228ED"/>
    <w:rsid w:val="00525A9E"/>
    <w:rsid w:val="00525F47"/>
    <w:rsid w:val="00526293"/>
    <w:rsid w:val="0053339A"/>
    <w:rsid w:val="00533756"/>
    <w:rsid w:val="005367A3"/>
    <w:rsid w:val="00536D4B"/>
    <w:rsid w:val="00540003"/>
    <w:rsid w:val="00541D6E"/>
    <w:rsid w:val="00542410"/>
    <w:rsid w:val="00550A76"/>
    <w:rsid w:val="00553C59"/>
    <w:rsid w:val="00554151"/>
    <w:rsid w:val="00554F12"/>
    <w:rsid w:val="00560FB9"/>
    <w:rsid w:val="005611B9"/>
    <w:rsid w:val="00563172"/>
    <w:rsid w:val="00565E90"/>
    <w:rsid w:val="00567DE1"/>
    <w:rsid w:val="00570031"/>
    <w:rsid w:val="00570268"/>
    <w:rsid w:val="00570E0F"/>
    <w:rsid w:val="00573E5A"/>
    <w:rsid w:val="00583774"/>
    <w:rsid w:val="00584C51"/>
    <w:rsid w:val="00585E18"/>
    <w:rsid w:val="0058651C"/>
    <w:rsid w:val="0059074A"/>
    <w:rsid w:val="00593B03"/>
    <w:rsid w:val="00594C65"/>
    <w:rsid w:val="005A02A8"/>
    <w:rsid w:val="005A7273"/>
    <w:rsid w:val="005B0F1D"/>
    <w:rsid w:val="005B2777"/>
    <w:rsid w:val="005B395C"/>
    <w:rsid w:val="005B7732"/>
    <w:rsid w:val="005B7ED5"/>
    <w:rsid w:val="005C303A"/>
    <w:rsid w:val="005C3501"/>
    <w:rsid w:val="005C403F"/>
    <w:rsid w:val="005C6D02"/>
    <w:rsid w:val="005C744B"/>
    <w:rsid w:val="005D239B"/>
    <w:rsid w:val="005D326E"/>
    <w:rsid w:val="005D65F5"/>
    <w:rsid w:val="005D7549"/>
    <w:rsid w:val="005E34D4"/>
    <w:rsid w:val="005E48E4"/>
    <w:rsid w:val="005E5D37"/>
    <w:rsid w:val="005E7537"/>
    <w:rsid w:val="005F0C2D"/>
    <w:rsid w:val="005F2EEE"/>
    <w:rsid w:val="005F38E3"/>
    <w:rsid w:val="005F75FB"/>
    <w:rsid w:val="00600559"/>
    <w:rsid w:val="0060365B"/>
    <w:rsid w:val="00604970"/>
    <w:rsid w:val="0060799B"/>
    <w:rsid w:val="00610F48"/>
    <w:rsid w:val="0061351B"/>
    <w:rsid w:val="0061437A"/>
    <w:rsid w:val="00624927"/>
    <w:rsid w:val="00626218"/>
    <w:rsid w:val="00627E82"/>
    <w:rsid w:val="00635DE6"/>
    <w:rsid w:val="00642985"/>
    <w:rsid w:val="00642E07"/>
    <w:rsid w:val="00643286"/>
    <w:rsid w:val="006444B3"/>
    <w:rsid w:val="00646487"/>
    <w:rsid w:val="0065588B"/>
    <w:rsid w:val="006571EB"/>
    <w:rsid w:val="00662873"/>
    <w:rsid w:val="00665074"/>
    <w:rsid w:val="00666F24"/>
    <w:rsid w:val="00670A54"/>
    <w:rsid w:val="006720E3"/>
    <w:rsid w:val="00672A35"/>
    <w:rsid w:val="006734F5"/>
    <w:rsid w:val="00677FCB"/>
    <w:rsid w:val="006814AE"/>
    <w:rsid w:val="00682B0F"/>
    <w:rsid w:val="00682B51"/>
    <w:rsid w:val="00683FA9"/>
    <w:rsid w:val="00685324"/>
    <w:rsid w:val="00686940"/>
    <w:rsid w:val="00690083"/>
    <w:rsid w:val="00691869"/>
    <w:rsid w:val="0069259B"/>
    <w:rsid w:val="00693533"/>
    <w:rsid w:val="006A5D39"/>
    <w:rsid w:val="006A688B"/>
    <w:rsid w:val="006A7213"/>
    <w:rsid w:val="006A7F03"/>
    <w:rsid w:val="006B013F"/>
    <w:rsid w:val="006B3252"/>
    <w:rsid w:val="006B3D2F"/>
    <w:rsid w:val="006B5941"/>
    <w:rsid w:val="006B673E"/>
    <w:rsid w:val="006C0993"/>
    <w:rsid w:val="006C1E47"/>
    <w:rsid w:val="006C38A5"/>
    <w:rsid w:val="006C617F"/>
    <w:rsid w:val="006C7B56"/>
    <w:rsid w:val="006D4F37"/>
    <w:rsid w:val="006D59EB"/>
    <w:rsid w:val="006D7F4C"/>
    <w:rsid w:val="006E5F22"/>
    <w:rsid w:val="006E637B"/>
    <w:rsid w:val="006F1FE3"/>
    <w:rsid w:val="006F50AB"/>
    <w:rsid w:val="006F7CF0"/>
    <w:rsid w:val="007047CE"/>
    <w:rsid w:val="00707A95"/>
    <w:rsid w:val="007110C7"/>
    <w:rsid w:val="0071212D"/>
    <w:rsid w:val="007147D7"/>
    <w:rsid w:val="007166E4"/>
    <w:rsid w:val="0072093B"/>
    <w:rsid w:val="007210AB"/>
    <w:rsid w:val="00723ABC"/>
    <w:rsid w:val="00725A96"/>
    <w:rsid w:val="00731AE7"/>
    <w:rsid w:val="00732286"/>
    <w:rsid w:val="007334D8"/>
    <w:rsid w:val="00734115"/>
    <w:rsid w:val="0073578F"/>
    <w:rsid w:val="00737CC2"/>
    <w:rsid w:val="00750612"/>
    <w:rsid w:val="00754133"/>
    <w:rsid w:val="00756561"/>
    <w:rsid w:val="007571C4"/>
    <w:rsid w:val="007637CE"/>
    <w:rsid w:val="00764EDC"/>
    <w:rsid w:val="00765C21"/>
    <w:rsid w:val="00765D45"/>
    <w:rsid w:val="00765F14"/>
    <w:rsid w:val="00766CE4"/>
    <w:rsid w:val="00766F57"/>
    <w:rsid w:val="00773B34"/>
    <w:rsid w:val="00780ED6"/>
    <w:rsid w:val="007811D6"/>
    <w:rsid w:val="0078283C"/>
    <w:rsid w:val="00783246"/>
    <w:rsid w:val="00783FD9"/>
    <w:rsid w:val="00784573"/>
    <w:rsid w:val="00785E13"/>
    <w:rsid w:val="00785F63"/>
    <w:rsid w:val="00786CC5"/>
    <w:rsid w:val="007877F9"/>
    <w:rsid w:val="00787B8B"/>
    <w:rsid w:val="00793CF8"/>
    <w:rsid w:val="00794A03"/>
    <w:rsid w:val="007A0E24"/>
    <w:rsid w:val="007A131C"/>
    <w:rsid w:val="007A14B1"/>
    <w:rsid w:val="007A51B8"/>
    <w:rsid w:val="007B01E0"/>
    <w:rsid w:val="007B02FB"/>
    <w:rsid w:val="007B2115"/>
    <w:rsid w:val="007B30B7"/>
    <w:rsid w:val="007B3C23"/>
    <w:rsid w:val="007B5017"/>
    <w:rsid w:val="007B73AA"/>
    <w:rsid w:val="007C29EB"/>
    <w:rsid w:val="007C3D59"/>
    <w:rsid w:val="007C70F7"/>
    <w:rsid w:val="007C73BE"/>
    <w:rsid w:val="007D020B"/>
    <w:rsid w:val="007D0920"/>
    <w:rsid w:val="007D4F04"/>
    <w:rsid w:val="007E066A"/>
    <w:rsid w:val="007E0E09"/>
    <w:rsid w:val="007E1E36"/>
    <w:rsid w:val="007E24B0"/>
    <w:rsid w:val="007E7CC6"/>
    <w:rsid w:val="007F122F"/>
    <w:rsid w:val="007F22D3"/>
    <w:rsid w:val="007F2438"/>
    <w:rsid w:val="007F2655"/>
    <w:rsid w:val="007F3318"/>
    <w:rsid w:val="007F3AD5"/>
    <w:rsid w:val="007F42A1"/>
    <w:rsid w:val="007F6864"/>
    <w:rsid w:val="00800B5F"/>
    <w:rsid w:val="00801066"/>
    <w:rsid w:val="00801740"/>
    <w:rsid w:val="00802EF3"/>
    <w:rsid w:val="008036E8"/>
    <w:rsid w:val="00804CE8"/>
    <w:rsid w:val="008064C8"/>
    <w:rsid w:val="0080651C"/>
    <w:rsid w:val="008101E1"/>
    <w:rsid w:val="00811F26"/>
    <w:rsid w:val="008133CA"/>
    <w:rsid w:val="0081351C"/>
    <w:rsid w:val="00813670"/>
    <w:rsid w:val="0081578A"/>
    <w:rsid w:val="00816EF5"/>
    <w:rsid w:val="00823E06"/>
    <w:rsid w:val="00824933"/>
    <w:rsid w:val="0082636F"/>
    <w:rsid w:val="00833692"/>
    <w:rsid w:val="0083469D"/>
    <w:rsid w:val="008355C7"/>
    <w:rsid w:val="00835C43"/>
    <w:rsid w:val="00836B7C"/>
    <w:rsid w:val="0084344E"/>
    <w:rsid w:val="00843E09"/>
    <w:rsid w:val="0084562A"/>
    <w:rsid w:val="00852277"/>
    <w:rsid w:val="00852B6C"/>
    <w:rsid w:val="0085590B"/>
    <w:rsid w:val="00860C0A"/>
    <w:rsid w:val="008610A2"/>
    <w:rsid w:val="008636CC"/>
    <w:rsid w:val="00863AF4"/>
    <w:rsid w:val="0086572F"/>
    <w:rsid w:val="00867F30"/>
    <w:rsid w:val="0087065E"/>
    <w:rsid w:val="00871925"/>
    <w:rsid w:val="0087269E"/>
    <w:rsid w:val="00873CAC"/>
    <w:rsid w:val="00875ED3"/>
    <w:rsid w:val="00877F70"/>
    <w:rsid w:val="00877FA8"/>
    <w:rsid w:val="00884428"/>
    <w:rsid w:val="00885D2C"/>
    <w:rsid w:val="00890677"/>
    <w:rsid w:val="008917A4"/>
    <w:rsid w:val="00892223"/>
    <w:rsid w:val="00893FD0"/>
    <w:rsid w:val="008955D1"/>
    <w:rsid w:val="00896D76"/>
    <w:rsid w:val="008A082A"/>
    <w:rsid w:val="008A0C61"/>
    <w:rsid w:val="008A3D5C"/>
    <w:rsid w:val="008A406E"/>
    <w:rsid w:val="008A5D60"/>
    <w:rsid w:val="008A7563"/>
    <w:rsid w:val="008A7AE1"/>
    <w:rsid w:val="008A7D9A"/>
    <w:rsid w:val="008B3392"/>
    <w:rsid w:val="008B40D0"/>
    <w:rsid w:val="008B44AE"/>
    <w:rsid w:val="008B511B"/>
    <w:rsid w:val="008B61FD"/>
    <w:rsid w:val="008C1214"/>
    <w:rsid w:val="008C2361"/>
    <w:rsid w:val="008C3C2C"/>
    <w:rsid w:val="008C4B2D"/>
    <w:rsid w:val="008C4FA2"/>
    <w:rsid w:val="008C64D8"/>
    <w:rsid w:val="008C7B16"/>
    <w:rsid w:val="008D0D33"/>
    <w:rsid w:val="008D1FD7"/>
    <w:rsid w:val="008D2778"/>
    <w:rsid w:val="008D335D"/>
    <w:rsid w:val="008D36CA"/>
    <w:rsid w:val="008D3910"/>
    <w:rsid w:val="008D3AC2"/>
    <w:rsid w:val="008D5673"/>
    <w:rsid w:val="008D5F4D"/>
    <w:rsid w:val="008E1F2D"/>
    <w:rsid w:val="008F0F31"/>
    <w:rsid w:val="008F5142"/>
    <w:rsid w:val="008F6200"/>
    <w:rsid w:val="008F7B0F"/>
    <w:rsid w:val="00902380"/>
    <w:rsid w:val="00903891"/>
    <w:rsid w:val="00903FCF"/>
    <w:rsid w:val="0090532A"/>
    <w:rsid w:val="00906029"/>
    <w:rsid w:val="00910376"/>
    <w:rsid w:val="00911A79"/>
    <w:rsid w:val="00911CA5"/>
    <w:rsid w:val="00915CE9"/>
    <w:rsid w:val="00915D4C"/>
    <w:rsid w:val="00920BA8"/>
    <w:rsid w:val="00923543"/>
    <w:rsid w:val="0092692E"/>
    <w:rsid w:val="00933F4C"/>
    <w:rsid w:val="00935E63"/>
    <w:rsid w:val="00936B9E"/>
    <w:rsid w:val="0093702D"/>
    <w:rsid w:val="00944956"/>
    <w:rsid w:val="009464F7"/>
    <w:rsid w:val="00946933"/>
    <w:rsid w:val="00950325"/>
    <w:rsid w:val="00953186"/>
    <w:rsid w:val="0095486C"/>
    <w:rsid w:val="00954E20"/>
    <w:rsid w:val="00954FD8"/>
    <w:rsid w:val="009566D3"/>
    <w:rsid w:val="00960A86"/>
    <w:rsid w:val="00960DB1"/>
    <w:rsid w:val="00962369"/>
    <w:rsid w:val="00962AB7"/>
    <w:rsid w:val="009711A7"/>
    <w:rsid w:val="00972A0B"/>
    <w:rsid w:val="00975480"/>
    <w:rsid w:val="00975D1E"/>
    <w:rsid w:val="00976E74"/>
    <w:rsid w:val="00980B87"/>
    <w:rsid w:val="00984782"/>
    <w:rsid w:val="009855F6"/>
    <w:rsid w:val="00985AF1"/>
    <w:rsid w:val="00986072"/>
    <w:rsid w:val="00986492"/>
    <w:rsid w:val="0099137B"/>
    <w:rsid w:val="009968AF"/>
    <w:rsid w:val="00997377"/>
    <w:rsid w:val="009A016B"/>
    <w:rsid w:val="009A047C"/>
    <w:rsid w:val="009A5582"/>
    <w:rsid w:val="009B1FE7"/>
    <w:rsid w:val="009B3FF9"/>
    <w:rsid w:val="009B44E8"/>
    <w:rsid w:val="009B5189"/>
    <w:rsid w:val="009B5ED1"/>
    <w:rsid w:val="009C33AD"/>
    <w:rsid w:val="009C4043"/>
    <w:rsid w:val="009D1693"/>
    <w:rsid w:val="009D4069"/>
    <w:rsid w:val="009D5D72"/>
    <w:rsid w:val="009D7AC5"/>
    <w:rsid w:val="009E2A82"/>
    <w:rsid w:val="009E5113"/>
    <w:rsid w:val="009E77FB"/>
    <w:rsid w:val="009F16FB"/>
    <w:rsid w:val="009F2F5D"/>
    <w:rsid w:val="009F40EC"/>
    <w:rsid w:val="009F48EA"/>
    <w:rsid w:val="00A0023E"/>
    <w:rsid w:val="00A02D79"/>
    <w:rsid w:val="00A03116"/>
    <w:rsid w:val="00A036C7"/>
    <w:rsid w:val="00A04082"/>
    <w:rsid w:val="00A0493C"/>
    <w:rsid w:val="00A05927"/>
    <w:rsid w:val="00A10226"/>
    <w:rsid w:val="00A113CA"/>
    <w:rsid w:val="00A1373C"/>
    <w:rsid w:val="00A15383"/>
    <w:rsid w:val="00A157B9"/>
    <w:rsid w:val="00A15F8E"/>
    <w:rsid w:val="00A214EC"/>
    <w:rsid w:val="00A25537"/>
    <w:rsid w:val="00A25C86"/>
    <w:rsid w:val="00A27542"/>
    <w:rsid w:val="00A32332"/>
    <w:rsid w:val="00A33F1D"/>
    <w:rsid w:val="00A35B9C"/>
    <w:rsid w:val="00A37CD6"/>
    <w:rsid w:val="00A37EED"/>
    <w:rsid w:val="00A40AE6"/>
    <w:rsid w:val="00A4197E"/>
    <w:rsid w:val="00A43CEA"/>
    <w:rsid w:val="00A45B81"/>
    <w:rsid w:val="00A52925"/>
    <w:rsid w:val="00A5682B"/>
    <w:rsid w:val="00A57602"/>
    <w:rsid w:val="00A6095B"/>
    <w:rsid w:val="00A61814"/>
    <w:rsid w:val="00A6185A"/>
    <w:rsid w:val="00A648F6"/>
    <w:rsid w:val="00A64F52"/>
    <w:rsid w:val="00A66A4B"/>
    <w:rsid w:val="00A6791A"/>
    <w:rsid w:val="00A7189B"/>
    <w:rsid w:val="00A730AC"/>
    <w:rsid w:val="00A7317B"/>
    <w:rsid w:val="00A73603"/>
    <w:rsid w:val="00A753E0"/>
    <w:rsid w:val="00A757F6"/>
    <w:rsid w:val="00A76199"/>
    <w:rsid w:val="00A76F3D"/>
    <w:rsid w:val="00A806F9"/>
    <w:rsid w:val="00A8073F"/>
    <w:rsid w:val="00A822C3"/>
    <w:rsid w:val="00A8242A"/>
    <w:rsid w:val="00A83178"/>
    <w:rsid w:val="00A84B25"/>
    <w:rsid w:val="00A91637"/>
    <w:rsid w:val="00A9370D"/>
    <w:rsid w:val="00A954E0"/>
    <w:rsid w:val="00AA0E13"/>
    <w:rsid w:val="00AA2848"/>
    <w:rsid w:val="00AA40A3"/>
    <w:rsid w:val="00AA4469"/>
    <w:rsid w:val="00AA5C68"/>
    <w:rsid w:val="00AA761F"/>
    <w:rsid w:val="00AB0575"/>
    <w:rsid w:val="00AC0FFE"/>
    <w:rsid w:val="00AC1EE0"/>
    <w:rsid w:val="00AC57D5"/>
    <w:rsid w:val="00AC5947"/>
    <w:rsid w:val="00AC7EEA"/>
    <w:rsid w:val="00AD1077"/>
    <w:rsid w:val="00AD35E9"/>
    <w:rsid w:val="00AD679D"/>
    <w:rsid w:val="00AE1520"/>
    <w:rsid w:val="00AE5451"/>
    <w:rsid w:val="00AE6FFC"/>
    <w:rsid w:val="00AF190E"/>
    <w:rsid w:val="00AF1ED9"/>
    <w:rsid w:val="00AF3966"/>
    <w:rsid w:val="00B01EB4"/>
    <w:rsid w:val="00B0465D"/>
    <w:rsid w:val="00B1476E"/>
    <w:rsid w:val="00B1510B"/>
    <w:rsid w:val="00B206F4"/>
    <w:rsid w:val="00B21C78"/>
    <w:rsid w:val="00B22CEF"/>
    <w:rsid w:val="00B22D33"/>
    <w:rsid w:val="00B24041"/>
    <w:rsid w:val="00B2478B"/>
    <w:rsid w:val="00B315CE"/>
    <w:rsid w:val="00B3190D"/>
    <w:rsid w:val="00B3490F"/>
    <w:rsid w:val="00B35150"/>
    <w:rsid w:val="00B36236"/>
    <w:rsid w:val="00B42E85"/>
    <w:rsid w:val="00B463E6"/>
    <w:rsid w:val="00B51990"/>
    <w:rsid w:val="00B530F7"/>
    <w:rsid w:val="00B54A01"/>
    <w:rsid w:val="00B571EB"/>
    <w:rsid w:val="00B60016"/>
    <w:rsid w:val="00B61480"/>
    <w:rsid w:val="00B62105"/>
    <w:rsid w:val="00B65965"/>
    <w:rsid w:val="00B71033"/>
    <w:rsid w:val="00B74708"/>
    <w:rsid w:val="00B75DB3"/>
    <w:rsid w:val="00B77187"/>
    <w:rsid w:val="00B77D0E"/>
    <w:rsid w:val="00B8348E"/>
    <w:rsid w:val="00B839D1"/>
    <w:rsid w:val="00B839F1"/>
    <w:rsid w:val="00B87DDB"/>
    <w:rsid w:val="00B92A73"/>
    <w:rsid w:val="00B96542"/>
    <w:rsid w:val="00B979A2"/>
    <w:rsid w:val="00BB448E"/>
    <w:rsid w:val="00BC0563"/>
    <w:rsid w:val="00BC0E59"/>
    <w:rsid w:val="00BC244B"/>
    <w:rsid w:val="00BC5727"/>
    <w:rsid w:val="00BC6831"/>
    <w:rsid w:val="00BC74AB"/>
    <w:rsid w:val="00BD04F0"/>
    <w:rsid w:val="00BD5024"/>
    <w:rsid w:val="00BE009D"/>
    <w:rsid w:val="00BE253D"/>
    <w:rsid w:val="00BE3B97"/>
    <w:rsid w:val="00BF2F08"/>
    <w:rsid w:val="00BF36BC"/>
    <w:rsid w:val="00BF7791"/>
    <w:rsid w:val="00BF7B3F"/>
    <w:rsid w:val="00C005C9"/>
    <w:rsid w:val="00C007FE"/>
    <w:rsid w:val="00C02F3D"/>
    <w:rsid w:val="00C05600"/>
    <w:rsid w:val="00C05C85"/>
    <w:rsid w:val="00C062DF"/>
    <w:rsid w:val="00C13027"/>
    <w:rsid w:val="00C131C8"/>
    <w:rsid w:val="00C132DD"/>
    <w:rsid w:val="00C163EA"/>
    <w:rsid w:val="00C22B56"/>
    <w:rsid w:val="00C25609"/>
    <w:rsid w:val="00C27065"/>
    <w:rsid w:val="00C327AE"/>
    <w:rsid w:val="00C33969"/>
    <w:rsid w:val="00C3480D"/>
    <w:rsid w:val="00C363D5"/>
    <w:rsid w:val="00C36878"/>
    <w:rsid w:val="00C3793D"/>
    <w:rsid w:val="00C44172"/>
    <w:rsid w:val="00C452BF"/>
    <w:rsid w:val="00C4765D"/>
    <w:rsid w:val="00C47C69"/>
    <w:rsid w:val="00C5000E"/>
    <w:rsid w:val="00C503EF"/>
    <w:rsid w:val="00C56167"/>
    <w:rsid w:val="00C57A01"/>
    <w:rsid w:val="00C57D44"/>
    <w:rsid w:val="00C622BD"/>
    <w:rsid w:val="00C626EC"/>
    <w:rsid w:val="00C635B8"/>
    <w:rsid w:val="00C65221"/>
    <w:rsid w:val="00C6553A"/>
    <w:rsid w:val="00C6628E"/>
    <w:rsid w:val="00C705FD"/>
    <w:rsid w:val="00C717AA"/>
    <w:rsid w:val="00C74192"/>
    <w:rsid w:val="00C74306"/>
    <w:rsid w:val="00C8362E"/>
    <w:rsid w:val="00C84950"/>
    <w:rsid w:val="00C85934"/>
    <w:rsid w:val="00C8638E"/>
    <w:rsid w:val="00C87094"/>
    <w:rsid w:val="00C9011E"/>
    <w:rsid w:val="00C91C42"/>
    <w:rsid w:val="00C92436"/>
    <w:rsid w:val="00CA35AA"/>
    <w:rsid w:val="00CB10A0"/>
    <w:rsid w:val="00CB1A26"/>
    <w:rsid w:val="00CB2606"/>
    <w:rsid w:val="00CC5DC4"/>
    <w:rsid w:val="00CD0356"/>
    <w:rsid w:val="00CD2523"/>
    <w:rsid w:val="00CD4EC1"/>
    <w:rsid w:val="00CD63C1"/>
    <w:rsid w:val="00CD721D"/>
    <w:rsid w:val="00CE1767"/>
    <w:rsid w:val="00CF21AF"/>
    <w:rsid w:val="00CF40BB"/>
    <w:rsid w:val="00CF4B00"/>
    <w:rsid w:val="00D0164C"/>
    <w:rsid w:val="00D01E4B"/>
    <w:rsid w:val="00D045B0"/>
    <w:rsid w:val="00D10F9A"/>
    <w:rsid w:val="00D17173"/>
    <w:rsid w:val="00D21B57"/>
    <w:rsid w:val="00D23B50"/>
    <w:rsid w:val="00D24A5D"/>
    <w:rsid w:val="00D24FB0"/>
    <w:rsid w:val="00D25562"/>
    <w:rsid w:val="00D300E2"/>
    <w:rsid w:val="00D3080F"/>
    <w:rsid w:val="00D33A90"/>
    <w:rsid w:val="00D361CA"/>
    <w:rsid w:val="00D373D9"/>
    <w:rsid w:val="00D41014"/>
    <w:rsid w:val="00D43138"/>
    <w:rsid w:val="00D44C2C"/>
    <w:rsid w:val="00D47701"/>
    <w:rsid w:val="00D50491"/>
    <w:rsid w:val="00D50622"/>
    <w:rsid w:val="00D52C60"/>
    <w:rsid w:val="00D53DA6"/>
    <w:rsid w:val="00D55187"/>
    <w:rsid w:val="00D601DF"/>
    <w:rsid w:val="00D618E9"/>
    <w:rsid w:val="00D6245A"/>
    <w:rsid w:val="00D645A7"/>
    <w:rsid w:val="00D66AA8"/>
    <w:rsid w:val="00D67DBD"/>
    <w:rsid w:val="00D70748"/>
    <w:rsid w:val="00D719AC"/>
    <w:rsid w:val="00D81267"/>
    <w:rsid w:val="00D83F0B"/>
    <w:rsid w:val="00D85D14"/>
    <w:rsid w:val="00D87A2F"/>
    <w:rsid w:val="00D920EA"/>
    <w:rsid w:val="00D9386C"/>
    <w:rsid w:val="00D94BD1"/>
    <w:rsid w:val="00D973B2"/>
    <w:rsid w:val="00D97DA3"/>
    <w:rsid w:val="00D97F13"/>
    <w:rsid w:val="00DA0038"/>
    <w:rsid w:val="00DA08C4"/>
    <w:rsid w:val="00DA266B"/>
    <w:rsid w:val="00DA701E"/>
    <w:rsid w:val="00DA7D34"/>
    <w:rsid w:val="00DB032B"/>
    <w:rsid w:val="00DB316D"/>
    <w:rsid w:val="00DB34AD"/>
    <w:rsid w:val="00DB3AE5"/>
    <w:rsid w:val="00DB3BAA"/>
    <w:rsid w:val="00DB494D"/>
    <w:rsid w:val="00DC00A1"/>
    <w:rsid w:val="00DC0477"/>
    <w:rsid w:val="00DC3715"/>
    <w:rsid w:val="00DC64F3"/>
    <w:rsid w:val="00DC6AE0"/>
    <w:rsid w:val="00DC6E4D"/>
    <w:rsid w:val="00DC793D"/>
    <w:rsid w:val="00DC7EA6"/>
    <w:rsid w:val="00DD32C2"/>
    <w:rsid w:val="00DD5891"/>
    <w:rsid w:val="00DD5A86"/>
    <w:rsid w:val="00DD6006"/>
    <w:rsid w:val="00DD72B5"/>
    <w:rsid w:val="00DE3FA8"/>
    <w:rsid w:val="00DE417F"/>
    <w:rsid w:val="00DE47D4"/>
    <w:rsid w:val="00DE7BF7"/>
    <w:rsid w:val="00DF02F5"/>
    <w:rsid w:val="00DF15AE"/>
    <w:rsid w:val="00DF1D64"/>
    <w:rsid w:val="00DF4E4E"/>
    <w:rsid w:val="00DF6AED"/>
    <w:rsid w:val="00DF6F33"/>
    <w:rsid w:val="00E02CA3"/>
    <w:rsid w:val="00E03571"/>
    <w:rsid w:val="00E03800"/>
    <w:rsid w:val="00E03E7E"/>
    <w:rsid w:val="00E03F95"/>
    <w:rsid w:val="00E07A59"/>
    <w:rsid w:val="00E07C4B"/>
    <w:rsid w:val="00E14BD0"/>
    <w:rsid w:val="00E14E30"/>
    <w:rsid w:val="00E246C5"/>
    <w:rsid w:val="00E25D82"/>
    <w:rsid w:val="00E32C9C"/>
    <w:rsid w:val="00E40449"/>
    <w:rsid w:val="00E40822"/>
    <w:rsid w:val="00E42B37"/>
    <w:rsid w:val="00E43A51"/>
    <w:rsid w:val="00E45527"/>
    <w:rsid w:val="00E46D74"/>
    <w:rsid w:val="00E507D1"/>
    <w:rsid w:val="00E54209"/>
    <w:rsid w:val="00E54454"/>
    <w:rsid w:val="00E54508"/>
    <w:rsid w:val="00E55496"/>
    <w:rsid w:val="00E5600B"/>
    <w:rsid w:val="00E60B54"/>
    <w:rsid w:val="00E61E2E"/>
    <w:rsid w:val="00E65FCF"/>
    <w:rsid w:val="00E6718C"/>
    <w:rsid w:val="00E7567B"/>
    <w:rsid w:val="00E75781"/>
    <w:rsid w:val="00E77EF0"/>
    <w:rsid w:val="00E801DA"/>
    <w:rsid w:val="00E819C4"/>
    <w:rsid w:val="00E848AA"/>
    <w:rsid w:val="00E84E71"/>
    <w:rsid w:val="00E8697D"/>
    <w:rsid w:val="00E90532"/>
    <w:rsid w:val="00E91685"/>
    <w:rsid w:val="00E929C8"/>
    <w:rsid w:val="00E932A1"/>
    <w:rsid w:val="00EA039A"/>
    <w:rsid w:val="00EA38F0"/>
    <w:rsid w:val="00EA3C0D"/>
    <w:rsid w:val="00EA7C1E"/>
    <w:rsid w:val="00EB4CF5"/>
    <w:rsid w:val="00EB50AE"/>
    <w:rsid w:val="00EB585F"/>
    <w:rsid w:val="00EC1149"/>
    <w:rsid w:val="00EC1D28"/>
    <w:rsid w:val="00EC31F7"/>
    <w:rsid w:val="00EC5846"/>
    <w:rsid w:val="00EC6914"/>
    <w:rsid w:val="00ED0899"/>
    <w:rsid w:val="00ED22FC"/>
    <w:rsid w:val="00ED2C53"/>
    <w:rsid w:val="00ED3F03"/>
    <w:rsid w:val="00ED4F60"/>
    <w:rsid w:val="00ED5B99"/>
    <w:rsid w:val="00ED5EE7"/>
    <w:rsid w:val="00ED6B2B"/>
    <w:rsid w:val="00EE0DD7"/>
    <w:rsid w:val="00EE215D"/>
    <w:rsid w:val="00EE22B7"/>
    <w:rsid w:val="00EE3EE5"/>
    <w:rsid w:val="00EE4721"/>
    <w:rsid w:val="00EE67F9"/>
    <w:rsid w:val="00EE7336"/>
    <w:rsid w:val="00EE7373"/>
    <w:rsid w:val="00EE754C"/>
    <w:rsid w:val="00EE76E1"/>
    <w:rsid w:val="00EF042D"/>
    <w:rsid w:val="00EF0590"/>
    <w:rsid w:val="00EF170E"/>
    <w:rsid w:val="00EF1FF9"/>
    <w:rsid w:val="00EF25C5"/>
    <w:rsid w:val="00EF3ABD"/>
    <w:rsid w:val="00EF3FC5"/>
    <w:rsid w:val="00EF484F"/>
    <w:rsid w:val="00EF6124"/>
    <w:rsid w:val="00EF63BD"/>
    <w:rsid w:val="00EF6EDB"/>
    <w:rsid w:val="00F01913"/>
    <w:rsid w:val="00F12155"/>
    <w:rsid w:val="00F13E6F"/>
    <w:rsid w:val="00F14D3C"/>
    <w:rsid w:val="00F17D10"/>
    <w:rsid w:val="00F24A07"/>
    <w:rsid w:val="00F250A4"/>
    <w:rsid w:val="00F25A3E"/>
    <w:rsid w:val="00F30B3C"/>
    <w:rsid w:val="00F32390"/>
    <w:rsid w:val="00F3413F"/>
    <w:rsid w:val="00F360B5"/>
    <w:rsid w:val="00F37597"/>
    <w:rsid w:val="00F377D7"/>
    <w:rsid w:val="00F40977"/>
    <w:rsid w:val="00F44383"/>
    <w:rsid w:val="00F45F83"/>
    <w:rsid w:val="00F46F95"/>
    <w:rsid w:val="00F55A9E"/>
    <w:rsid w:val="00F609C4"/>
    <w:rsid w:val="00F615D8"/>
    <w:rsid w:val="00F63E4D"/>
    <w:rsid w:val="00F661B3"/>
    <w:rsid w:val="00F6641C"/>
    <w:rsid w:val="00F66D25"/>
    <w:rsid w:val="00F6716B"/>
    <w:rsid w:val="00F67E80"/>
    <w:rsid w:val="00F70016"/>
    <w:rsid w:val="00F70AD8"/>
    <w:rsid w:val="00F74BDF"/>
    <w:rsid w:val="00F752DF"/>
    <w:rsid w:val="00F758F5"/>
    <w:rsid w:val="00F769CF"/>
    <w:rsid w:val="00F77428"/>
    <w:rsid w:val="00F77ACE"/>
    <w:rsid w:val="00F8330D"/>
    <w:rsid w:val="00F911BB"/>
    <w:rsid w:val="00F92FF1"/>
    <w:rsid w:val="00F954AD"/>
    <w:rsid w:val="00F9562D"/>
    <w:rsid w:val="00FA2165"/>
    <w:rsid w:val="00FA4095"/>
    <w:rsid w:val="00FA7295"/>
    <w:rsid w:val="00FB2792"/>
    <w:rsid w:val="00FB3C7E"/>
    <w:rsid w:val="00FB77B6"/>
    <w:rsid w:val="00FC3867"/>
    <w:rsid w:val="00FC3E5F"/>
    <w:rsid w:val="00FC4A38"/>
    <w:rsid w:val="00FC4E5C"/>
    <w:rsid w:val="00FC697E"/>
    <w:rsid w:val="00FC6EE9"/>
    <w:rsid w:val="00FC7055"/>
    <w:rsid w:val="00FC7666"/>
    <w:rsid w:val="00FC78CC"/>
    <w:rsid w:val="00FD1CD1"/>
    <w:rsid w:val="00FD5729"/>
    <w:rsid w:val="00FD67C8"/>
    <w:rsid w:val="00FD7794"/>
    <w:rsid w:val="00FD7AF7"/>
    <w:rsid w:val="00FD7FEC"/>
    <w:rsid w:val="00FE0011"/>
    <w:rsid w:val="00FE13D8"/>
    <w:rsid w:val="00FE39DB"/>
    <w:rsid w:val="00FE58D3"/>
    <w:rsid w:val="00FE637E"/>
    <w:rsid w:val="00FE7750"/>
    <w:rsid w:val="00FF16DC"/>
    <w:rsid w:val="00FF4004"/>
    <w:rsid w:val="00FF6A91"/>
    <w:rsid w:val="03D7AEA6"/>
    <w:rsid w:val="083A00D4"/>
    <w:rsid w:val="1958065D"/>
    <w:rsid w:val="20403D50"/>
    <w:rsid w:val="441BA03F"/>
    <w:rsid w:val="48D1C442"/>
    <w:rsid w:val="54927DA3"/>
    <w:rsid w:val="569DC933"/>
    <w:rsid w:val="5AF4E506"/>
    <w:rsid w:val="67B6ADD5"/>
    <w:rsid w:val="68EE21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A395"/>
  <w15:docId w15:val="{DC36C131-2B74-4B75-BAE0-774B882C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508"/>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uiPriority w:val="59"/>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A730AC"/>
    <w:rPr>
      <w:color w:val="0000FF"/>
      <w:u w:val="single"/>
    </w:rPr>
  </w:style>
  <w:style w:type="character" w:styleId="CommentReference">
    <w:name w:val="annotation reference"/>
    <w:basedOn w:val="DefaultParagraphFont"/>
    <w:uiPriority w:val="99"/>
    <w:unhideWhenUsed/>
    <w:rsid w:val="00E07A59"/>
    <w:rPr>
      <w:sz w:val="16"/>
      <w:szCs w:val="16"/>
    </w:rPr>
  </w:style>
  <w:style w:type="paragraph" w:styleId="CommentText">
    <w:name w:val="annotation text"/>
    <w:basedOn w:val="Normal"/>
    <w:link w:val="CommentTextChar"/>
    <w:unhideWhenUsed/>
    <w:rsid w:val="00E07A59"/>
    <w:rPr>
      <w:sz w:val="20"/>
      <w:szCs w:val="20"/>
    </w:rPr>
  </w:style>
  <w:style w:type="character" w:customStyle="1" w:styleId="CommentTextChar">
    <w:name w:val="Comment Text Char"/>
    <w:basedOn w:val="DefaultParagraphFont"/>
    <w:link w:val="CommentText"/>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customStyle="1" w:styleId="Level1">
    <w:name w:val="Level 1"/>
    <w:basedOn w:val="Normal"/>
    <w:rsid w:val="00A7189B"/>
    <w:pPr>
      <w:autoSpaceDE w:val="0"/>
      <w:autoSpaceDN w:val="0"/>
      <w:ind w:left="720"/>
    </w:pPr>
    <w:rPr>
      <w:rFonts w:ascii="Courier" w:eastAsia="Calibri" w:hAnsi="Courier" w:cs="Times New Roman"/>
      <w:sz w:val="24"/>
      <w:szCs w:val="24"/>
    </w:rPr>
  </w:style>
  <w:style w:type="paragraph" w:styleId="PlainText">
    <w:name w:val="Plain Text"/>
    <w:basedOn w:val="Normal"/>
    <w:link w:val="PlainTextChar"/>
    <w:uiPriority w:val="99"/>
    <w:semiHidden/>
    <w:unhideWhenUsed/>
    <w:rsid w:val="001B7F3F"/>
    <w:rPr>
      <w:rFonts w:ascii="Calibri" w:hAnsi="Calibri" w:cs="Calibri"/>
    </w:rPr>
  </w:style>
  <w:style w:type="character" w:customStyle="1" w:styleId="PlainTextChar">
    <w:name w:val="Plain Text Char"/>
    <w:basedOn w:val="DefaultParagraphFont"/>
    <w:link w:val="PlainText"/>
    <w:uiPriority w:val="99"/>
    <w:semiHidden/>
    <w:rsid w:val="001B7F3F"/>
    <w:rPr>
      <w:rFonts w:ascii="Calibri" w:hAnsi="Calibri" w:cs="Calibri"/>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8D36CA"/>
    <w:rPr>
      <w:rFonts w:ascii="Times New Roman" w:eastAsia="Calibri" w:hAnsi="Times New Roman" w:cs="Times New Roman"/>
      <w:sz w:val="20"/>
      <w:szCs w:val="20"/>
    </w:rPr>
  </w:style>
  <w:style w:type="character" w:customStyle="1" w:styleId="FootnoteTextChar">
    <w:name w:val="Footnote Text Char"/>
    <w:basedOn w:val="DefaultParagraphFont"/>
    <w:uiPriority w:val="99"/>
    <w:semiHidden/>
    <w:rsid w:val="008D36CA"/>
    <w:rPr>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8D36CA"/>
    <w:rPr>
      <w:rFonts w:ascii="Times New Roman" w:eastAsia="Calibri" w:hAnsi="Times New Roman" w:cs="Times New Roman"/>
      <w:sz w:val="20"/>
      <w:szCs w:val="20"/>
    </w:rPr>
  </w:style>
  <w:style w:type="character" w:styleId="FootnoteReference">
    <w:name w:val="footnote reference"/>
    <w:aliases w:val="*Footnote Reference"/>
    <w:rsid w:val="008D36CA"/>
    <w:rPr>
      <w:vertAlign w:val="superscript"/>
    </w:rPr>
  </w:style>
  <w:style w:type="paragraph" w:styleId="BodyText">
    <w:name w:val="Body Text"/>
    <w:basedOn w:val="Normal"/>
    <w:link w:val="BodyTextChar"/>
    <w:rsid w:val="008D36CA"/>
    <w:rPr>
      <w:rFonts w:ascii="Arial" w:eastAsia="Times New Roman" w:hAnsi="Arial" w:cs="Times New Roman"/>
      <w:sz w:val="28"/>
      <w:szCs w:val="28"/>
    </w:rPr>
  </w:style>
  <w:style w:type="character" w:customStyle="1" w:styleId="BodyTextChar">
    <w:name w:val="Body Text Char"/>
    <w:basedOn w:val="DefaultParagraphFont"/>
    <w:link w:val="BodyText"/>
    <w:rsid w:val="008D36CA"/>
    <w:rPr>
      <w:rFonts w:ascii="Arial" w:eastAsia="Times New Roman" w:hAnsi="Arial" w:cs="Times New Roman"/>
      <w:sz w:val="28"/>
      <w:szCs w:val="28"/>
    </w:rPr>
  </w:style>
  <w:style w:type="paragraph" w:customStyle="1" w:styleId="ParagraphLAST">
    <w:name w:val="Paragraph (LAST)"/>
    <w:basedOn w:val="Normal"/>
    <w:next w:val="Normal"/>
    <w:uiPriority w:val="99"/>
    <w:qFormat/>
    <w:rsid w:val="00D94BD1"/>
    <w:pPr>
      <w:tabs>
        <w:tab w:val="left" w:pos="432"/>
      </w:tabs>
      <w:spacing w:after="240" w:line="480" w:lineRule="auto"/>
      <w:ind w:firstLine="432"/>
      <w:jc w:val="both"/>
    </w:pPr>
    <w:rPr>
      <w:rFonts w:ascii="Garamond" w:eastAsia="Times New Roman" w:hAnsi="Garamond" w:cs="Times New Roman"/>
      <w:sz w:val="24"/>
      <w:szCs w:val="24"/>
    </w:rPr>
  </w:style>
  <w:style w:type="paragraph" w:styleId="BodyText3">
    <w:name w:val="Body Text 3"/>
    <w:basedOn w:val="Normal"/>
    <w:link w:val="BodyText3Char"/>
    <w:uiPriority w:val="99"/>
    <w:unhideWhenUsed/>
    <w:rsid w:val="00D94BD1"/>
    <w:pPr>
      <w:tabs>
        <w:tab w:val="left" w:pos="432"/>
      </w:tabs>
      <w:spacing w:after="120" w:line="480" w:lineRule="auto"/>
      <w:ind w:firstLine="432"/>
      <w:jc w:val="both"/>
    </w:pPr>
    <w:rPr>
      <w:rFonts w:ascii="Garamond" w:eastAsia="Times New Roman" w:hAnsi="Garamond" w:cs="Times New Roman"/>
      <w:sz w:val="16"/>
      <w:szCs w:val="16"/>
    </w:rPr>
  </w:style>
  <w:style w:type="character" w:customStyle="1" w:styleId="BodyText3Char">
    <w:name w:val="Body Text 3 Char"/>
    <w:basedOn w:val="DefaultParagraphFont"/>
    <w:link w:val="BodyText3"/>
    <w:uiPriority w:val="99"/>
    <w:rsid w:val="00D94BD1"/>
    <w:rPr>
      <w:rFonts w:ascii="Garamond" w:eastAsia="Times New Roman" w:hAnsi="Garamond" w:cs="Times New Roman"/>
      <w:sz w:val="16"/>
      <w:szCs w:val="16"/>
    </w:rPr>
  </w:style>
  <w:style w:type="paragraph" w:styleId="NoSpacing">
    <w:name w:val="No Spacing"/>
    <w:uiPriority w:val="1"/>
    <w:qFormat/>
    <w:rsid w:val="00E03800"/>
    <w:rPr>
      <w:rFonts w:ascii="Calibri" w:eastAsia="Calibri" w:hAnsi="Calibri" w:cs="Calibri"/>
    </w:rPr>
  </w:style>
  <w:style w:type="paragraph" w:styleId="Header">
    <w:name w:val="header"/>
    <w:basedOn w:val="Normal"/>
    <w:link w:val="HeaderChar"/>
    <w:uiPriority w:val="99"/>
    <w:unhideWhenUsed/>
    <w:rsid w:val="00066C6E"/>
    <w:pPr>
      <w:tabs>
        <w:tab w:val="center" w:pos="4680"/>
        <w:tab w:val="right" w:pos="9360"/>
      </w:tabs>
    </w:pPr>
  </w:style>
  <w:style w:type="character" w:customStyle="1" w:styleId="HeaderChar">
    <w:name w:val="Header Char"/>
    <w:basedOn w:val="DefaultParagraphFont"/>
    <w:link w:val="Header"/>
    <w:uiPriority w:val="99"/>
    <w:rsid w:val="00066C6E"/>
  </w:style>
  <w:style w:type="paragraph" w:styleId="Footer">
    <w:name w:val="footer"/>
    <w:basedOn w:val="Normal"/>
    <w:link w:val="FooterChar"/>
    <w:uiPriority w:val="99"/>
    <w:unhideWhenUsed/>
    <w:rsid w:val="00066C6E"/>
    <w:pPr>
      <w:tabs>
        <w:tab w:val="center" w:pos="4680"/>
        <w:tab w:val="right" w:pos="9360"/>
      </w:tabs>
    </w:pPr>
  </w:style>
  <w:style w:type="character" w:customStyle="1" w:styleId="FooterChar">
    <w:name w:val="Footer Char"/>
    <w:basedOn w:val="DefaultParagraphFont"/>
    <w:link w:val="Footer"/>
    <w:uiPriority w:val="99"/>
    <w:rsid w:val="00066C6E"/>
  </w:style>
  <w:style w:type="character" w:styleId="UnresolvedMention">
    <w:name w:val="Unresolved Mention"/>
    <w:basedOn w:val="DefaultParagraphFont"/>
    <w:uiPriority w:val="99"/>
    <w:unhideWhenUsed/>
    <w:rsid w:val="008B44AE"/>
    <w:rPr>
      <w:color w:val="605E5C"/>
      <w:shd w:val="clear" w:color="auto" w:fill="E1DFDD"/>
    </w:rPr>
  </w:style>
  <w:style w:type="character" w:styleId="Mention">
    <w:name w:val="Mention"/>
    <w:basedOn w:val="DefaultParagraphFont"/>
    <w:uiPriority w:val="99"/>
    <w:unhideWhenUsed/>
    <w:rsid w:val="008B44AE"/>
    <w:rPr>
      <w:color w:val="2B579A"/>
      <w:shd w:val="clear" w:color="auto" w:fill="E1DFDD"/>
    </w:rPr>
  </w:style>
  <w:style w:type="character" w:styleId="FollowedHyperlink">
    <w:name w:val="FollowedHyperlink"/>
    <w:basedOn w:val="DefaultParagraphFont"/>
    <w:uiPriority w:val="99"/>
    <w:semiHidden/>
    <w:unhideWhenUsed/>
    <w:rsid w:val="007334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50347">
      <w:bodyDiv w:val="1"/>
      <w:marLeft w:val="0"/>
      <w:marRight w:val="0"/>
      <w:marTop w:val="0"/>
      <w:marBottom w:val="0"/>
      <w:divBdr>
        <w:top w:val="none" w:sz="0" w:space="0" w:color="auto"/>
        <w:left w:val="none" w:sz="0" w:space="0" w:color="auto"/>
        <w:bottom w:val="none" w:sz="0" w:space="0" w:color="auto"/>
        <w:right w:val="none" w:sz="0" w:space="0" w:color="auto"/>
      </w:divBdr>
    </w:div>
    <w:div w:id="210188570">
      <w:bodyDiv w:val="1"/>
      <w:marLeft w:val="0"/>
      <w:marRight w:val="0"/>
      <w:marTop w:val="0"/>
      <w:marBottom w:val="0"/>
      <w:divBdr>
        <w:top w:val="none" w:sz="0" w:space="0" w:color="auto"/>
        <w:left w:val="none" w:sz="0" w:space="0" w:color="auto"/>
        <w:bottom w:val="none" w:sz="0" w:space="0" w:color="auto"/>
        <w:right w:val="none" w:sz="0" w:space="0" w:color="auto"/>
      </w:divBdr>
    </w:div>
    <w:div w:id="330105240">
      <w:bodyDiv w:val="1"/>
      <w:marLeft w:val="0"/>
      <w:marRight w:val="0"/>
      <w:marTop w:val="0"/>
      <w:marBottom w:val="0"/>
      <w:divBdr>
        <w:top w:val="none" w:sz="0" w:space="0" w:color="auto"/>
        <w:left w:val="none" w:sz="0" w:space="0" w:color="auto"/>
        <w:bottom w:val="none" w:sz="0" w:space="0" w:color="auto"/>
        <w:right w:val="none" w:sz="0" w:space="0" w:color="auto"/>
      </w:divBdr>
    </w:div>
    <w:div w:id="349647421">
      <w:bodyDiv w:val="1"/>
      <w:marLeft w:val="0"/>
      <w:marRight w:val="0"/>
      <w:marTop w:val="0"/>
      <w:marBottom w:val="0"/>
      <w:divBdr>
        <w:top w:val="none" w:sz="0" w:space="0" w:color="auto"/>
        <w:left w:val="none" w:sz="0" w:space="0" w:color="auto"/>
        <w:bottom w:val="none" w:sz="0" w:space="0" w:color="auto"/>
        <w:right w:val="none" w:sz="0" w:space="0" w:color="auto"/>
      </w:divBdr>
    </w:div>
    <w:div w:id="356319604">
      <w:bodyDiv w:val="1"/>
      <w:marLeft w:val="0"/>
      <w:marRight w:val="0"/>
      <w:marTop w:val="0"/>
      <w:marBottom w:val="0"/>
      <w:divBdr>
        <w:top w:val="none" w:sz="0" w:space="0" w:color="auto"/>
        <w:left w:val="none" w:sz="0" w:space="0" w:color="auto"/>
        <w:bottom w:val="none" w:sz="0" w:space="0" w:color="auto"/>
        <w:right w:val="none" w:sz="0" w:space="0" w:color="auto"/>
      </w:divBdr>
    </w:div>
    <w:div w:id="362751406">
      <w:bodyDiv w:val="1"/>
      <w:marLeft w:val="0"/>
      <w:marRight w:val="0"/>
      <w:marTop w:val="0"/>
      <w:marBottom w:val="0"/>
      <w:divBdr>
        <w:top w:val="none" w:sz="0" w:space="0" w:color="auto"/>
        <w:left w:val="none" w:sz="0" w:space="0" w:color="auto"/>
        <w:bottom w:val="none" w:sz="0" w:space="0" w:color="auto"/>
        <w:right w:val="none" w:sz="0" w:space="0" w:color="auto"/>
      </w:divBdr>
    </w:div>
    <w:div w:id="378746352">
      <w:bodyDiv w:val="1"/>
      <w:marLeft w:val="0"/>
      <w:marRight w:val="0"/>
      <w:marTop w:val="0"/>
      <w:marBottom w:val="0"/>
      <w:divBdr>
        <w:top w:val="none" w:sz="0" w:space="0" w:color="auto"/>
        <w:left w:val="none" w:sz="0" w:space="0" w:color="auto"/>
        <w:bottom w:val="none" w:sz="0" w:space="0" w:color="auto"/>
        <w:right w:val="none" w:sz="0" w:space="0" w:color="auto"/>
      </w:divBdr>
    </w:div>
    <w:div w:id="554704454">
      <w:bodyDiv w:val="1"/>
      <w:marLeft w:val="0"/>
      <w:marRight w:val="0"/>
      <w:marTop w:val="0"/>
      <w:marBottom w:val="0"/>
      <w:divBdr>
        <w:top w:val="none" w:sz="0" w:space="0" w:color="auto"/>
        <w:left w:val="none" w:sz="0" w:space="0" w:color="auto"/>
        <w:bottom w:val="none" w:sz="0" w:space="0" w:color="auto"/>
        <w:right w:val="none" w:sz="0" w:space="0" w:color="auto"/>
      </w:divBdr>
    </w:div>
    <w:div w:id="753865684">
      <w:bodyDiv w:val="1"/>
      <w:marLeft w:val="0"/>
      <w:marRight w:val="0"/>
      <w:marTop w:val="0"/>
      <w:marBottom w:val="0"/>
      <w:divBdr>
        <w:top w:val="none" w:sz="0" w:space="0" w:color="auto"/>
        <w:left w:val="none" w:sz="0" w:space="0" w:color="auto"/>
        <w:bottom w:val="none" w:sz="0" w:space="0" w:color="auto"/>
        <w:right w:val="none" w:sz="0" w:space="0" w:color="auto"/>
      </w:divBdr>
    </w:div>
    <w:div w:id="841317355">
      <w:bodyDiv w:val="1"/>
      <w:marLeft w:val="0"/>
      <w:marRight w:val="0"/>
      <w:marTop w:val="0"/>
      <w:marBottom w:val="0"/>
      <w:divBdr>
        <w:top w:val="none" w:sz="0" w:space="0" w:color="auto"/>
        <w:left w:val="none" w:sz="0" w:space="0" w:color="auto"/>
        <w:bottom w:val="none" w:sz="0" w:space="0" w:color="auto"/>
        <w:right w:val="none" w:sz="0" w:space="0" w:color="auto"/>
      </w:divBdr>
    </w:div>
    <w:div w:id="882448679">
      <w:bodyDiv w:val="1"/>
      <w:marLeft w:val="0"/>
      <w:marRight w:val="0"/>
      <w:marTop w:val="0"/>
      <w:marBottom w:val="0"/>
      <w:divBdr>
        <w:top w:val="none" w:sz="0" w:space="0" w:color="auto"/>
        <w:left w:val="none" w:sz="0" w:space="0" w:color="auto"/>
        <w:bottom w:val="none" w:sz="0" w:space="0" w:color="auto"/>
        <w:right w:val="none" w:sz="0" w:space="0" w:color="auto"/>
      </w:divBdr>
    </w:div>
    <w:div w:id="950863638">
      <w:bodyDiv w:val="1"/>
      <w:marLeft w:val="0"/>
      <w:marRight w:val="0"/>
      <w:marTop w:val="0"/>
      <w:marBottom w:val="0"/>
      <w:divBdr>
        <w:top w:val="none" w:sz="0" w:space="0" w:color="auto"/>
        <w:left w:val="none" w:sz="0" w:space="0" w:color="auto"/>
        <w:bottom w:val="none" w:sz="0" w:space="0" w:color="auto"/>
        <w:right w:val="none" w:sz="0" w:space="0" w:color="auto"/>
      </w:divBdr>
    </w:div>
    <w:div w:id="970211260">
      <w:bodyDiv w:val="1"/>
      <w:marLeft w:val="0"/>
      <w:marRight w:val="0"/>
      <w:marTop w:val="0"/>
      <w:marBottom w:val="0"/>
      <w:divBdr>
        <w:top w:val="none" w:sz="0" w:space="0" w:color="auto"/>
        <w:left w:val="none" w:sz="0" w:space="0" w:color="auto"/>
        <w:bottom w:val="none" w:sz="0" w:space="0" w:color="auto"/>
        <w:right w:val="none" w:sz="0" w:space="0" w:color="auto"/>
      </w:divBdr>
    </w:div>
    <w:div w:id="1060010143">
      <w:bodyDiv w:val="1"/>
      <w:marLeft w:val="0"/>
      <w:marRight w:val="0"/>
      <w:marTop w:val="0"/>
      <w:marBottom w:val="0"/>
      <w:divBdr>
        <w:top w:val="none" w:sz="0" w:space="0" w:color="auto"/>
        <w:left w:val="none" w:sz="0" w:space="0" w:color="auto"/>
        <w:bottom w:val="none" w:sz="0" w:space="0" w:color="auto"/>
        <w:right w:val="none" w:sz="0" w:space="0" w:color="auto"/>
      </w:divBdr>
    </w:div>
    <w:div w:id="1148673535">
      <w:bodyDiv w:val="1"/>
      <w:marLeft w:val="0"/>
      <w:marRight w:val="0"/>
      <w:marTop w:val="0"/>
      <w:marBottom w:val="0"/>
      <w:divBdr>
        <w:top w:val="none" w:sz="0" w:space="0" w:color="auto"/>
        <w:left w:val="none" w:sz="0" w:space="0" w:color="auto"/>
        <w:bottom w:val="none" w:sz="0" w:space="0" w:color="auto"/>
        <w:right w:val="none" w:sz="0" w:space="0" w:color="auto"/>
      </w:divBdr>
    </w:div>
    <w:div w:id="1233153235">
      <w:bodyDiv w:val="1"/>
      <w:marLeft w:val="0"/>
      <w:marRight w:val="0"/>
      <w:marTop w:val="0"/>
      <w:marBottom w:val="0"/>
      <w:divBdr>
        <w:top w:val="none" w:sz="0" w:space="0" w:color="auto"/>
        <w:left w:val="none" w:sz="0" w:space="0" w:color="auto"/>
        <w:bottom w:val="none" w:sz="0" w:space="0" w:color="auto"/>
        <w:right w:val="none" w:sz="0" w:space="0" w:color="auto"/>
      </w:divBdr>
    </w:div>
    <w:div w:id="1259829299">
      <w:bodyDiv w:val="1"/>
      <w:marLeft w:val="0"/>
      <w:marRight w:val="0"/>
      <w:marTop w:val="0"/>
      <w:marBottom w:val="0"/>
      <w:divBdr>
        <w:top w:val="none" w:sz="0" w:space="0" w:color="auto"/>
        <w:left w:val="none" w:sz="0" w:space="0" w:color="auto"/>
        <w:bottom w:val="none" w:sz="0" w:space="0" w:color="auto"/>
        <w:right w:val="none" w:sz="0" w:space="0" w:color="auto"/>
      </w:divBdr>
    </w:div>
    <w:div w:id="1489130154">
      <w:bodyDiv w:val="1"/>
      <w:marLeft w:val="0"/>
      <w:marRight w:val="0"/>
      <w:marTop w:val="0"/>
      <w:marBottom w:val="0"/>
      <w:divBdr>
        <w:top w:val="none" w:sz="0" w:space="0" w:color="auto"/>
        <w:left w:val="none" w:sz="0" w:space="0" w:color="auto"/>
        <w:bottom w:val="none" w:sz="0" w:space="0" w:color="auto"/>
        <w:right w:val="none" w:sz="0" w:space="0" w:color="auto"/>
      </w:divBdr>
    </w:div>
    <w:div w:id="1495729280">
      <w:bodyDiv w:val="1"/>
      <w:marLeft w:val="0"/>
      <w:marRight w:val="0"/>
      <w:marTop w:val="0"/>
      <w:marBottom w:val="0"/>
      <w:divBdr>
        <w:top w:val="none" w:sz="0" w:space="0" w:color="auto"/>
        <w:left w:val="none" w:sz="0" w:space="0" w:color="auto"/>
        <w:bottom w:val="none" w:sz="0" w:space="0" w:color="auto"/>
        <w:right w:val="none" w:sz="0" w:space="0" w:color="auto"/>
      </w:divBdr>
    </w:div>
    <w:div w:id="1666282521">
      <w:bodyDiv w:val="1"/>
      <w:marLeft w:val="0"/>
      <w:marRight w:val="0"/>
      <w:marTop w:val="0"/>
      <w:marBottom w:val="0"/>
      <w:divBdr>
        <w:top w:val="none" w:sz="0" w:space="0" w:color="auto"/>
        <w:left w:val="none" w:sz="0" w:space="0" w:color="auto"/>
        <w:bottom w:val="none" w:sz="0" w:space="0" w:color="auto"/>
        <w:right w:val="none" w:sz="0" w:space="0" w:color="auto"/>
      </w:divBdr>
    </w:div>
    <w:div w:id="1699163320">
      <w:bodyDiv w:val="1"/>
      <w:marLeft w:val="0"/>
      <w:marRight w:val="0"/>
      <w:marTop w:val="0"/>
      <w:marBottom w:val="0"/>
      <w:divBdr>
        <w:top w:val="none" w:sz="0" w:space="0" w:color="auto"/>
        <w:left w:val="none" w:sz="0" w:space="0" w:color="auto"/>
        <w:bottom w:val="none" w:sz="0" w:space="0" w:color="auto"/>
        <w:right w:val="none" w:sz="0" w:space="0" w:color="auto"/>
      </w:divBdr>
    </w:div>
    <w:div w:id="1754424627">
      <w:bodyDiv w:val="1"/>
      <w:marLeft w:val="0"/>
      <w:marRight w:val="0"/>
      <w:marTop w:val="0"/>
      <w:marBottom w:val="0"/>
      <w:divBdr>
        <w:top w:val="none" w:sz="0" w:space="0" w:color="auto"/>
        <w:left w:val="none" w:sz="0" w:space="0" w:color="auto"/>
        <w:bottom w:val="none" w:sz="0" w:space="0" w:color="auto"/>
        <w:right w:val="none" w:sz="0" w:space="0" w:color="auto"/>
      </w:divBdr>
    </w:div>
    <w:div w:id="1997684496">
      <w:bodyDiv w:val="1"/>
      <w:marLeft w:val="0"/>
      <w:marRight w:val="0"/>
      <w:marTop w:val="0"/>
      <w:marBottom w:val="0"/>
      <w:divBdr>
        <w:top w:val="none" w:sz="0" w:space="0" w:color="auto"/>
        <w:left w:val="none" w:sz="0" w:space="0" w:color="auto"/>
        <w:bottom w:val="none" w:sz="0" w:space="0" w:color="auto"/>
        <w:right w:val="none" w:sz="0" w:space="0" w:color="auto"/>
      </w:divBdr>
    </w:div>
    <w:div w:id="2007782033">
      <w:bodyDiv w:val="1"/>
      <w:marLeft w:val="0"/>
      <w:marRight w:val="0"/>
      <w:marTop w:val="0"/>
      <w:marBottom w:val="0"/>
      <w:divBdr>
        <w:top w:val="none" w:sz="0" w:space="0" w:color="auto"/>
        <w:left w:val="none" w:sz="0" w:space="0" w:color="auto"/>
        <w:bottom w:val="none" w:sz="0" w:space="0" w:color="auto"/>
        <w:right w:val="none" w:sz="0" w:space="0" w:color="auto"/>
      </w:divBdr>
    </w:div>
    <w:div w:id="2061511477">
      <w:bodyDiv w:val="1"/>
      <w:marLeft w:val="0"/>
      <w:marRight w:val="0"/>
      <w:marTop w:val="0"/>
      <w:marBottom w:val="0"/>
      <w:divBdr>
        <w:top w:val="none" w:sz="0" w:space="0" w:color="auto"/>
        <w:left w:val="none" w:sz="0" w:space="0" w:color="auto"/>
        <w:bottom w:val="none" w:sz="0" w:space="0" w:color="auto"/>
        <w:right w:val="none" w:sz="0" w:space="0" w:color="auto"/>
      </w:divBdr>
    </w:div>
    <w:div w:id="2066905376">
      <w:bodyDiv w:val="1"/>
      <w:marLeft w:val="0"/>
      <w:marRight w:val="0"/>
      <w:marTop w:val="0"/>
      <w:marBottom w:val="0"/>
      <w:divBdr>
        <w:top w:val="none" w:sz="0" w:space="0" w:color="auto"/>
        <w:left w:val="none" w:sz="0" w:space="0" w:color="auto"/>
        <w:bottom w:val="none" w:sz="0" w:space="0" w:color="auto"/>
        <w:right w:val="none" w:sz="0" w:space="0" w:color="auto"/>
      </w:divBdr>
    </w:div>
    <w:div w:id="2083790798">
      <w:bodyDiv w:val="1"/>
      <w:marLeft w:val="0"/>
      <w:marRight w:val="0"/>
      <w:marTop w:val="0"/>
      <w:marBottom w:val="0"/>
      <w:divBdr>
        <w:top w:val="none" w:sz="0" w:space="0" w:color="auto"/>
        <w:left w:val="none" w:sz="0" w:space="0" w:color="auto"/>
        <w:bottom w:val="none" w:sz="0" w:space="0" w:color="auto"/>
        <w:right w:val="none" w:sz="0" w:space="0" w:color="auto"/>
      </w:divBdr>
    </w:div>
    <w:div w:id="21458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agencies/whd/minimum-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f23d295-d5e0-40df-b591-d31a839fecb4">
      <UserInfo>
        <DisplayName>Nandita Verma</DisplayName>
        <AccountId>15</AccountId>
        <AccountType/>
      </UserInfo>
      <UserInfo>
        <DisplayName>Stephen Freedman</DisplayName>
        <AccountId>13</AccountId>
        <AccountType/>
      </UserInfo>
      <UserInfo>
        <DisplayName>Simran Vazirani</DisplayName>
        <AccountId>52</AccountId>
        <AccountType/>
      </UserInfo>
      <UserInfo>
        <DisplayName>Betsy Tessler</DisplayName>
        <AccountId>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721BF433B7E94D9C46F4E49A4AE4E4" ma:contentTypeVersion="7" ma:contentTypeDescription="Create a new document." ma:contentTypeScope="" ma:versionID="76f27bbb9f110fe6daf8b62622063e3e">
  <xsd:schema xmlns:xsd="http://www.w3.org/2001/XMLSchema" xmlns:xs="http://www.w3.org/2001/XMLSchema" xmlns:p="http://schemas.microsoft.com/office/2006/metadata/properties" xmlns:ns2="8129dfdd-4c28-4d14-aa52-8cf01d6dc6ca" xmlns:ns3="2f23d295-d5e0-40df-b591-d31a839fecb4" targetNamespace="http://schemas.microsoft.com/office/2006/metadata/properties" ma:root="true" ma:fieldsID="cccd911bd53d68adfc88f4f680807394" ns2:_="" ns3:_="">
    <xsd:import namespace="8129dfdd-4c28-4d14-aa52-8cf01d6dc6ca"/>
    <xsd:import namespace="2f23d295-d5e0-40df-b591-d31a839fec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9dfdd-4c28-4d14-aa52-8cf01d6dc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3d295-d5e0-40df-b591-d31a839fec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DA1BA-B8AC-4B4A-A6D4-1BA6BF717A39}">
  <ds:schemaRefs>
    <ds:schemaRef ds:uri="http://schemas.openxmlformats.org/officeDocument/2006/bibliography"/>
  </ds:schemaRefs>
</ds:datastoreItem>
</file>

<file path=customXml/itemProps2.xml><?xml version="1.0" encoding="utf-8"?>
<ds:datastoreItem xmlns:ds="http://schemas.openxmlformats.org/officeDocument/2006/customXml" ds:itemID="{610AF4B2-FA7F-4FDC-BEB2-5C9CC72DB460}">
  <ds:schemaRefs>
    <ds:schemaRef ds:uri="http://schemas.microsoft.com/sharepoint/v3/contenttype/forms"/>
  </ds:schemaRefs>
</ds:datastoreItem>
</file>

<file path=customXml/itemProps3.xml><?xml version="1.0" encoding="utf-8"?>
<ds:datastoreItem xmlns:ds="http://schemas.openxmlformats.org/officeDocument/2006/customXml" ds:itemID="{1FD387A4-34A5-49FE-9409-D89435BFD367}">
  <ds:schemaRefs>
    <ds:schemaRef ds:uri="http://schemas.microsoft.com/office/2006/metadata/properties"/>
    <ds:schemaRef ds:uri="http://schemas.microsoft.com/office/infopath/2007/PartnerControls"/>
    <ds:schemaRef ds:uri="2f23d295-d5e0-40df-b591-d31a839fecb4"/>
  </ds:schemaRefs>
</ds:datastoreItem>
</file>

<file path=customXml/itemProps4.xml><?xml version="1.0" encoding="utf-8"?>
<ds:datastoreItem xmlns:ds="http://schemas.openxmlformats.org/officeDocument/2006/customXml" ds:itemID="{6A671B6E-EF32-4B17-BC6F-887324413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9dfdd-4c28-4d14-aa52-8cf01d6dc6ca"/>
    <ds:schemaRef ds:uri="2f23d295-d5e0-40df-b591-d31a839fe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5907</Words>
  <Characters>33671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h46776</dc:creator>
  <cp:keywords/>
  <dc:description/>
  <cp:lastModifiedBy>Anna Guido</cp:lastModifiedBy>
  <cp:revision>2</cp:revision>
  <cp:lastPrinted>2019-10-18T09:54:00Z</cp:lastPrinted>
  <dcterms:created xsi:type="dcterms:W3CDTF">2020-11-20T19:29:00Z</dcterms:created>
  <dcterms:modified xsi:type="dcterms:W3CDTF">2020-11-20T19:29:00Z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0x01010046721BF433B7E94D9C46F4E49A4AE4E4</vt:lpwstr>
  </property>
</Properties>
</file>