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37B02" w:rsidR="00266F6D" w:rsidP="00100E56" w:rsidRDefault="00266F6D" w14:paraId="164D6B60" w14:textId="77777777">
      <w:pPr>
        <w:pStyle w:val="NoSpacing"/>
        <w:jc w:val="center"/>
        <w:rPr>
          <w:rFonts w:ascii="Times New Roman" w:hAnsi="Times New Roman"/>
          <w:b/>
          <w:sz w:val="24"/>
          <w:szCs w:val="24"/>
        </w:rPr>
      </w:pPr>
      <w:r w:rsidRPr="00B37B02">
        <w:rPr>
          <w:rFonts w:ascii="Times New Roman" w:hAnsi="Times New Roman"/>
          <w:b/>
          <w:sz w:val="24"/>
          <w:szCs w:val="24"/>
        </w:rPr>
        <w:t>Supporting Statement for Paperwork Reduction Act Submissions</w:t>
      </w:r>
    </w:p>
    <w:p w:rsidRPr="00B37B02" w:rsidR="008E25A8" w:rsidP="00100E56" w:rsidRDefault="006A4CFC" w14:paraId="7BE5CDDE" w14:textId="0AE81AD0">
      <w:pPr>
        <w:widowControl w:val="0"/>
        <w:tabs>
          <w:tab w:val="center" w:pos="4680"/>
        </w:tabs>
        <w:autoSpaceDE w:val="0"/>
        <w:autoSpaceDN w:val="0"/>
        <w:adjustRightInd w:val="0"/>
        <w:spacing w:after="0" w:line="240" w:lineRule="auto"/>
        <w:jc w:val="center"/>
        <w:rPr>
          <w:rFonts w:ascii="Times New Roman" w:hAnsi="Times New Roman" w:eastAsia="Times New Roman"/>
          <w:b/>
          <w:bCs/>
          <w:sz w:val="24"/>
          <w:szCs w:val="24"/>
        </w:rPr>
      </w:pPr>
      <w:r w:rsidRPr="00B37B02">
        <w:rPr>
          <w:rFonts w:ascii="Times New Roman" w:hAnsi="Times New Roman" w:eastAsia="Times New Roman"/>
          <w:b/>
          <w:bCs/>
          <w:sz w:val="24"/>
          <w:szCs w:val="24"/>
        </w:rPr>
        <w:t xml:space="preserve">Family Self Sufficiency (FSS) Evaluation </w:t>
      </w:r>
      <w:r w:rsidRPr="00B37B02" w:rsidR="00D76087">
        <w:rPr>
          <w:rFonts w:ascii="Times New Roman" w:hAnsi="Times New Roman" w:eastAsia="Times New Roman"/>
          <w:b/>
          <w:bCs/>
          <w:sz w:val="24"/>
          <w:szCs w:val="24"/>
        </w:rPr>
        <w:t>–</w:t>
      </w:r>
      <w:r w:rsidRPr="00B37B02">
        <w:rPr>
          <w:rFonts w:ascii="Times New Roman" w:hAnsi="Times New Roman" w:eastAsia="Times New Roman"/>
          <w:b/>
          <w:bCs/>
          <w:sz w:val="24"/>
          <w:szCs w:val="24"/>
        </w:rPr>
        <w:t xml:space="preserve"> Lon</w:t>
      </w:r>
      <w:r w:rsidRPr="00B37B02" w:rsidR="00D76087">
        <w:rPr>
          <w:rFonts w:ascii="Times New Roman" w:hAnsi="Times New Roman" w:eastAsia="Times New Roman"/>
          <w:b/>
          <w:bCs/>
          <w:sz w:val="24"/>
          <w:szCs w:val="24"/>
        </w:rPr>
        <w:t>g-Term Follow-Up Survey</w:t>
      </w:r>
    </w:p>
    <w:p w:rsidRPr="00B37B02" w:rsidR="008E25A8" w:rsidP="00100E56" w:rsidRDefault="008E25A8" w14:paraId="3A17C438" w14:textId="05A692DA">
      <w:pPr>
        <w:widowControl w:val="0"/>
        <w:tabs>
          <w:tab w:val="center" w:pos="4680"/>
        </w:tabs>
        <w:autoSpaceDE w:val="0"/>
        <w:autoSpaceDN w:val="0"/>
        <w:adjustRightInd w:val="0"/>
        <w:spacing w:after="0" w:line="240" w:lineRule="auto"/>
        <w:jc w:val="center"/>
        <w:rPr>
          <w:rFonts w:ascii="Times New Roman" w:hAnsi="Times New Roman" w:eastAsia="Times New Roman"/>
          <w:b/>
          <w:bCs/>
          <w:sz w:val="24"/>
          <w:szCs w:val="24"/>
        </w:rPr>
      </w:pPr>
      <w:r w:rsidRPr="00AC6391">
        <w:rPr>
          <w:rFonts w:ascii="Times New Roman" w:hAnsi="Times New Roman" w:eastAsia="Times New Roman"/>
          <w:b/>
          <w:bCs/>
          <w:sz w:val="24"/>
          <w:szCs w:val="24"/>
        </w:rPr>
        <w:t xml:space="preserve">OMB Control # </w:t>
      </w:r>
      <w:r w:rsidR="00AC6391">
        <w:rPr>
          <w:rFonts w:ascii="Times New Roman" w:hAnsi="Times New Roman" w:eastAsia="Times New Roman"/>
          <w:b/>
          <w:bCs/>
          <w:sz w:val="24"/>
          <w:szCs w:val="24"/>
        </w:rPr>
        <w:t>2528</w:t>
      </w:r>
      <w:r w:rsidRPr="00AC6391">
        <w:rPr>
          <w:rFonts w:ascii="Times New Roman" w:hAnsi="Times New Roman" w:eastAsia="Times New Roman"/>
          <w:b/>
          <w:bCs/>
          <w:sz w:val="24"/>
          <w:szCs w:val="24"/>
        </w:rPr>
        <w:t>-</w:t>
      </w:r>
      <w:r w:rsidRPr="00AC6391" w:rsidR="00D76087">
        <w:rPr>
          <w:rFonts w:ascii="Times New Roman" w:hAnsi="Times New Roman" w:eastAsia="Times New Roman"/>
          <w:b/>
          <w:bCs/>
          <w:sz w:val="24"/>
          <w:szCs w:val="24"/>
        </w:rPr>
        <w:t>XXXX</w:t>
      </w:r>
    </w:p>
    <w:p w:rsidRPr="00B37B02" w:rsidR="003B2333" w:rsidP="00100E56" w:rsidRDefault="003B2333" w14:paraId="7EA9B7B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b/>
          <w:sz w:val="24"/>
          <w:szCs w:val="24"/>
        </w:rPr>
      </w:pPr>
    </w:p>
    <w:p w:rsidRPr="00B37B02" w:rsidR="00266F6D" w:rsidP="00100E56" w:rsidRDefault="00266F6D" w14:paraId="4FFAE218" w14:textId="77777777">
      <w:pPr>
        <w:pStyle w:val="NoSpacing"/>
        <w:jc w:val="both"/>
        <w:rPr>
          <w:rFonts w:ascii="Times New Roman" w:hAnsi="Times New Roman"/>
          <w:b/>
          <w:bCs/>
          <w:sz w:val="24"/>
          <w:szCs w:val="24"/>
        </w:rPr>
      </w:pPr>
      <w:r w:rsidRPr="00B37B02">
        <w:rPr>
          <w:rFonts w:ascii="Times New Roman" w:hAnsi="Times New Roman"/>
          <w:b/>
          <w:bCs/>
          <w:sz w:val="24"/>
          <w:szCs w:val="24"/>
        </w:rPr>
        <w:t>B. Collections of Information Employing</w:t>
      </w:r>
      <w:r w:rsidRPr="00B37B02" w:rsidR="00763388">
        <w:rPr>
          <w:rFonts w:ascii="Times New Roman" w:hAnsi="Times New Roman"/>
          <w:b/>
          <w:bCs/>
          <w:sz w:val="24"/>
          <w:szCs w:val="24"/>
        </w:rPr>
        <w:t xml:space="preserve"> </w:t>
      </w:r>
      <w:r w:rsidRPr="00B37B02">
        <w:rPr>
          <w:rFonts w:ascii="Times New Roman" w:hAnsi="Times New Roman"/>
          <w:b/>
          <w:bCs/>
          <w:sz w:val="24"/>
          <w:szCs w:val="24"/>
        </w:rPr>
        <w:t>Statistical Methods</w:t>
      </w:r>
    </w:p>
    <w:p w:rsidRPr="00B37B02" w:rsidR="00763388" w:rsidP="00100E56" w:rsidRDefault="00763388" w14:paraId="66C0861D" w14:textId="77777777">
      <w:pPr>
        <w:pStyle w:val="NoSpacing"/>
        <w:jc w:val="both"/>
        <w:rPr>
          <w:rFonts w:ascii="Times New Roman" w:hAnsi="Times New Roman"/>
          <w:sz w:val="24"/>
          <w:szCs w:val="24"/>
        </w:rPr>
      </w:pPr>
    </w:p>
    <w:p w:rsidRPr="00B37B02" w:rsidR="00266F6D" w:rsidP="00100E56" w:rsidRDefault="00266F6D" w14:paraId="48D1E98E" w14:textId="11190413">
      <w:pPr>
        <w:pStyle w:val="NoSpacing"/>
        <w:numPr>
          <w:ilvl w:val="0"/>
          <w:numId w:val="8"/>
        </w:numPr>
        <w:jc w:val="both"/>
        <w:rPr>
          <w:rFonts w:ascii="Times New Roman" w:hAnsi="Times New Roman"/>
          <w:b/>
          <w:bCs/>
          <w:sz w:val="24"/>
          <w:szCs w:val="24"/>
        </w:rPr>
      </w:pPr>
      <w:r w:rsidRPr="00B37B02">
        <w:rPr>
          <w:rFonts w:ascii="Times New Roman" w:hAnsi="Times New Roman"/>
          <w:b/>
          <w:bCs/>
          <w:sz w:val="24"/>
          <w:szCs w:val="24"/>
        </w:rPr>
        <w:t>Describe (including a numerical estimate) the</w:t>
      </w:r>
      <w:r w:rsidRPr="00B37B02" w:rsidR="00763388">
        <w:rPr>
          <w:rFonts w:ascii="Times New Roman" w:hAnsi="Times New Roman"/>
          <w:b/>
          <w:bCs/>
          <w:sz w:val="24"/>
          <w:szCs w:val="24"/>
        </w:rPr>
        <w:t xml:space="preserve"> </w:t>
      </w:r>
      <w:r w:rsidRPr="00B37B02">
        <w:rPr>
          <w:rFonts w:ascii="Times New Roman" w:hAnsi="Times New Roman"/>
          <w:b/>
          <w:bCs/>
          <w:sz w:val="24"/>
          <w:szCs w:val="24"/>
        </w:rPr>
        <w:t>potential respondent universe and any sampling or</w:t>
      </w:r>
      <w:r w:rsidRPr="00B37B02" w:rsidR="00763388">
        <w:rPr>
          <w:rFonts w:ascii="Times New Roman" w:hAnsi="Times New Roman"/>
          <w:b/>
          <w:bCs/>
          <w:sz w:val="24"/>
          <w:szCs w:val="24"/>
        </w:rPr>
        <w:t xml:space="preserve"> </w:t>
      </w:r>
      <w:r w:rsidRPr="00B37B02">
        <w:rPr>
          <w:rFonts w:ascii="Times New Roman" w:hAnsi="Times New Roman"/>
          <w:b/>
          <w:bCs/>
          <w:sz w:val="24"/>
          <w:szCs w:val="24"/>
        </w:rPr>
        <w:t>other respondent selection methods to be used. Data</w:t>
      </w:r>
      <w:r w:rsidRPr="00B37B02" w:rsidR="00763388">
        <w:rPr>
          <w:rFonts w:ascii="Times New Roman" w:hAnsi="Times New Roman"/>
          <w:b/>
          <w:bCs/>
          <w:sz w:val="24"/>
          <w:szCs w:val="24"/>
        </w:rPr>
        <w:t xml:space="preserve"> </w:t>
      </w:r>
      <w:r w:rsidRPr="00B37B02">
        <w:rPr>
          <w:rFonts w:ascii="Times New Roman" w:hAnsi="Times New Roman"/>
          <w:b/>
          <w:bCs/>
          <w:sz w:val="24"/>
          <w:szCs w:val="24"/>
        </w:rPr>
        <w:t>on the number of entities (e.g., establishments, State</w:t>
      </w:r>
      <w:r w:rsidRPr="00B37B02" w:rsidR="00763388">
        <w:rPr>
          <w:rFonts w:ascii="Times New Roman" w:hAnsi="Times New Roman"/>
          <w:b/>
          <w:bCs/>
          <w:sz w:val="24"/>
          <w:szCs w:val="24"/>
        </w:rPr>
        <w:t xml:space="preserve"> </w:t>
      </w:r>
      <w:r w:rsidRPr="00B37B02">
        <w:rPr>
          <w:rFonts w:ascii="Times New Roman" w:hAnsi="Times New Roman"/>
          <w:b/>
          <w:bCs/>
          <w:sz w:val="24"/>
          <w:szCs w:val="24"/>
        </w:rPr>
        <w:t>and local government units, households, or persons)</w:t>
      </w:r>
      <w:r w:rsidRPr="00B37B02" w:rsidR="00763388">
        <w:rPr>
          <w:rFonts w:ascii="Times New Roman" w:hAnsi="Times New Roman"/>
          <w:b/>
          <w:bCs/>
          <w:sz w:val="24"/>
          <w:szCs w:val="24"/>
        </w:rPr>
        <w:t xml:space="preserve"> </w:t>
      </w:r>
      <w:r w:rsidRPr="00B37B02">
        <w:rPr>
          <w:rFonts w:ascii="Times New Roman" w:hAnsi="Times New Roman"/>
          <w:b/>
          <w:bCs/>
          <w:sz w:val="24"/>
          <w:szCs w:val="24"/>
        </w:rPr>
        <w:t>in the universe covered by the collection and in the</w:t>
      </w:r>
      <w:r w:rsidRPr="00B37B02" w:rsidR="00763388">
        <w:rPr>
          <w:rFonts w:ascii="Times New Roman" w:hAnsi="Times New Roman"/>
          <w:b/>
          <w:bCs/>
          <w:sz w:val="24"/>
          <w:szCs w:val="24"/>
        </w:rPr>
        <w:t xml:space="preserve"> </w:t>
      </w:r>
      <w:r w:rsidRPr="00B37B02">
        <w:rPr>
          <w:rFonts w:ascii="Times New Roman" w:hAnsi="Times New Roman"/>
          <w:b/>
          <w:bCs/>
          <w:sz w:val="24"/>
          <w:szCs w:val="24"/>
        </w:rPr>
        <w:t>corresponding sample are to be provided in tabular</w:t>
      </w:r>
      <w:r w:rsidRPr="00B37B02" w:rsidR="00763388">
        <w:rPr>
          <w:rFonts w:ascii="Times New Roman" w:hAnsi="Times New Roman"/>
          <w:b/>
          <w:bCs/>
          <w:sz w:val="24"/>
          <w:szCs w:val="24"/>
        </w:rPr>
        <w:t xml:space="preserve"> </w:t>
      </w:r>
      <w:r w:rsidRPr="00B37B02">
        <w:rPr>
          <w:rFonts w:ascii="Times New Roman" w:hAnsi="Times New Roman"/>
          <w:b/>
          <w:bCs/>
          <w:sz w:val="24"/>
          <w:szCs w:val="24"/>
        </w:rPr>
        <w:t>form for the universe as a whole and for each of the</w:t>
      </w:r>
      <w:r w:rsidRPr="00B37B02" w:rsidR="00763388">
        <w:rPr>
          <w:rFonts w:ascii="Times New Roman" w:hAnsi="Times New Roman"/>
          <w:b/>
          <w:bCs/>
          <w:sz w:val="24"/>
          <w:szCs w:val="24"/>
        </w:rPr>
        <w:t xml:space="preserve"> </w:t>
      </w:r>
      <w:r w:rsidRPr="00B37B02">
        <w:rPr>
          <w:rFonts w:ascii="Times New Roman" w:hAnsi="Times New Roman"/>
          <w:b/>
          <w:bCs/>
          <w:sz w:val="24"/>
          <w:szCs w:val="24"/>
        </w:rPr>
        <w:t>strata in the proposed sample. Indicate expected</w:t>
      </w:r>
      <w:r w:rsidRPr="00B37B02" w:rsidR="001F2E83">
        <w:rPr>
          <w:rFonts w:ascii="Times New Roman" w:hAnsi="Times New Roman"/>
          <w:b/>
          <w:bCs/>
          <w:sz w:val="24"/>
          <w:szCs w:val="24"/>
        </w:rPr>
        <w:t xml:space="preserve"> </w:t>
      </w:r>
      <w:r w:rsidRPr="00B37B02">
        <w:rPr>
          <w:rFonts w:ascii="Times New Roman" w:hAnsi="Times New Roman"/>
          <w:b/>
          <w:bCs/>
          <w:sz w:val="24"/>
          <w:szCs w:val="24"/>
        </w:rPr>
        <w:t xml:space="preserve">response rates for the </w:t>
      </w:r>
      <w:proofErr w:type="gramStart"/>
      <w:r w:rsidRPr="00B37B02">
        <w:rPr>
          <w:rFonts w:ascii="Times New Roman" w:hAnsi="Times New Roman"/>
          <w:b/>
          <w:bCs/>
          <w:sz w:val="24"/>
          <w:szCs w:val="24"/>
        </w:rPr>
        <w:t>collection as a whole</w:t>
      </w:r>
      <w:proofErr w:type="gramEnd"/>
      <w:r w:rsidRPr="00B37B02">
        <w:rPr>
          <w:rFonts w:ascii="Times New Roman" w:hAnsi="Times New Roman"/>
          <w:b/>
          <w:bCs/>
          <w:sz w:val="24"/>
          <w:szCs w:val="24"/>
        </w:rPr>
        <w:t>. If the</w:t>
      </w:r>
      <w:r w:rsidRPr="00B37B02" w:rsidR="00763388">
        <w:rPr>
          <w:rFonts w:ascii="Times New Roman" w:hAnsi="Times New Roman"/>
          <w:b/>
          <w:bCs/>
          <w:sz w:val="24"/>
          <w:szCs w:val="24"/>
        </w:rPr>
        <w:t xml:space="preserve"> </w:t>
      </w:r>
      <w:r w:rsidRPr="00B37B02">
        <w:rPr>
          <w:rFonts w:ascii="Times New Roman" w:hAnsi="Times New Roman"/>
          <w:b/>
          <w:bCs/>
          <w:sz w:val="24"/>
          <w:szCs w:val="24"/>
        </w:rPr>
        <w:t>collection had been conducted previously, include the</w:t>
      </w:r>
      <w:r w:rsidRPr="00B37B02" w:rsidR="00763388">
        <w:rPr>
          <w:rFonts w:ascii="Times New Roman" w:hAnsi="Times New Roman"/>
          <w:b/>
          <w:bCs/>
          <w:sz w:val="24"/>
          <w:szCs w:val="24"/>
        </w:rPr>
        <w:t xml:space="preserve"> </w:t>
      </w:r>
      <w:r w:rsidRPr="00B37B02">
        <w:rPr>
          <w:rFonts w:ascii="Times New Roman" w:hAnsi="Times New Roman"/>
          <w:b/>
          <w:bCs/>
          <w:sz w:val="24"/>
          <w:szCs w:val="24"/>
        </w:rPr>
        <w:t>actual response rate achieved during the last</w:t>
      </w:r>
      <w:r w:rsidRPr="00B37B02" w:rsidR="00763388">
        <w:rPr>
          <w:rFonts w:ascii="Times New Roman" w:hAnsi="Times New Roman"/>
          <w:b/>
          <w:bCs/>
          <w:sz w:val="24"/>
          <w:szCs w:val="24"/>
        </w:rPr>
        <w:t xml:space="preserve"> </w:t>
      </w:r>
      <w:r w:rsidRPr="00B37B02">
        <w:rPr>
          <w:rFonts w:ascii="Times New Roman" w:hAnsi="Times New Roman"/>
          <w:b/>
          <w:bCs/>
          <w:sz w:val="24"/>
          <w:szCs w:val="24"/>
        </w:rPr>
        <w:t>collection.</w:t>
      </w:r>
    </w:p>
    <w:p w:rsidRPr="00B37B02" w:rsidR="008E25A8" w:rsidP="00100E56" w:rsidRDefault="008E25A8" w14:paraId="036C55B8" w14:textId="5BC4E124">
      <w:pPr>
        <w:widowControl w:val="0"/>
        <w:autoSpaceDE w:val="0"/>
        <w:autoSpaceDN w:val="0"/>
        <w:adjustRightInd w:val="0"/>
        <w:spacing w:after="0" w:line="240" w:lineRule="auto"/>
        <w:jc w:val="both"/>
        <w:rPr>
          <w:rFonts w:ascii="Times New Roman" w:hAnsi="Times New Roman" w:eastAsia="Times New Roman"/>
          <w:sz w:val="24"/>
          <w:szCs w:val="24"/>
        </w:rPr>
      </w:pPr>
    </w:p>
    <w:p w:rsidRPr="00B37B02" w:rsidR="000E0397" w:rsidP="00100E56" w:rsidRDefault="000E0397" w14:paraId="4934D28B" w14:textId="6A5ABB89">
      <w:pPr>
        <w:widowControl w:val="0"/>
        <w:autoSpaceDE w:val="0"/>
        <w:autoSpaceDN w:val="0"/>
        <w:adjustRightInd w:val="0"/>
        <w:spacing w:after="0" w:line="240" w:lineRule="auto"/>
        <w:ind w:left="360"/>
        <w:jc w:val="both"/>
        <w:rPr>
          <w:rFonts w:ascii="Times New Roman" w:hAnsi="Times New Roman" w:eastAsia="Times New Roman"/>
          <w:sz w:val="24"/>
          <w:szCs w:val="24"/>
        </w:rPr>
      </w:pPr>
      <w:r w:rsidRPr="00B37B02">
        <w:rPr>
          <w:rFonts w:ascii="Times New Roman" w:hAnsi="Times New Roman" w:eastAsia="Times New Roman"/>
          <w:sz w:val="24"/>
          <w:szCs w:val="24"/>
        </w:rPr>
        <w:t xml:space="preserve">The </w:t>
      </w:r>
      <w:r w:rsidR="00B56B1D">
        <w:rPr>
          <w:rFonts w:ascii="Times New Roman" w:hAnsi="Times New Roman" w:eastAsia="Times New Roman"/>
          <w:sz w:val="24"/>
          <w:szCs w:val="24"/>
        </w:rPr>
        <w:t>U.S. Department of Housing and Urban Development (</w:t>
      </w:r>
      <w:r w:rsidRPr="00B37B02">
        <w:rPr>
          <w:rFonts w:ascii="Times New Roman" w:hAnsi="Times New Roman" w:eastAsia="Times New Roman"/>
          <w:sz w:val="24"/>
          <w:szCs w:val="24"/>
        </w:rPr>
        <w:t>HUD</w:t>
      </w:r>
      <w:r w:rsidR="00B56B1D">
        <w:rPr>
          <w:rFonts w:ascii="Times New Roman" w:hAnsi="Times New Roman" w:eastAsia="Times New Roman"/>
          <w:sz w:val="24"/>
          <w:szCs w:val="24"/>
        </w:rPr>
        <w:t>)</w:t>
      </w:r>
      <w:r w:rsidRPr="00B37B02">
        <w:rPr>
          <w:rFonts w:ascii="Times New Roman" w:hAnsi="Times New Roman" w:eastAsia="Times New Roman"/>
          <w:sz w:val="24"/>
          <w:szCs w:val="24"/>
        </w:rPr>
        <w:t xml:space="preserve">-funded Family Self-Sufficiency (FSS) evaluation has enrolled 2,551 households across 18 public housing authorities (PHAs). </w:t>
      </w:r>
      <w:r w:rsidRPr="00B37B02" w:rsidR="00323500">
        <w:rPr>
          <w:rFonts w:ascii="Times New Roman" w:hAnsi="Times New Roman" w:eastAsia="Times New Roman"/>
          <w:sz w:val="24"/>
          <w:szCs w:val="24"/>
        </w:rPr>
        <w:t xml:space="preserve">A random sample of about 1,300 </w:t>
      </w:r>
      <w:r w:rsidRPr="00B37B02" w:rsidR="00FF40A7">
        <w:rPr>
          <w:rFonts w:ascii="Times New Roman" w:hAnsi="Times New Roman" w:eastAsia="Times New Roman"/>
          <w:sz w:val="24"/>
          <w:szCs w:val="24"/>
        </w:rPr>
        <w:t xml:space="preserve">FSS sample members </w:t>
      </w:r>
      <w:r w:rsidRPr="00B37B02" w:rsidR="008C33A8">
        <w:rPr>
          <w:rFonts w:ascii="Times New Roman" w:hAnsi="Times New Roman" w:eastAsia="Times New Roman"/>
          <w:sz w:val="24"/>
          <w:szCs w:val="24"/>
        </w:rPr>
        <w:t>will be target</w:t>
      </w:r>
      <w:r w:rsidRPr="00B37B02" w:rsidR="00806727">
        <w:rPr>
          <w:rFonts w:ascii="Times New Roman" w:hAnsi="Times New Roman" w:eastAsia="Times New Roman"/>
          <w:sz w:val="24"/>
          <w:szCs w:val="24"/>
        </w:rPr>
        <w:t>ed for the long-term follow-up survey</w:t>
      </w:r>
      <w:r w:rsidRPr="00B37B02" w:rsidR="00327140">
        <w:rPr>
          <w:rFonts w:ascii="Times New Roman" w:hAnsi="Times New Roman" w:eastAsia="Times New Roman"/>
          <w:sz w:val="24"/>
          <w:szCs w:val="24"/>
        </w:rPr>
        <w:t xml:space="preserve">. </w:t>
      </w:r>
      <w:r w:rsidRPr="00B37B02" w:rsidR="00FF40A7">
        <w:rPr>
          <w:rFonts w:ascii="Times New Roman" w:hAnsi="Times New Roman" w:eastAsia="Times New Roman"/>
          <w:sz w:val="24"/>
          <w:szCs w:val="24"/>
        </w:rPr>
        <w:t xml:space="preserve">The sample will </w:t>
      </w:r>
      <w:r w:rsidRPr="00B37B02" w:rsidR="004708CF">
        <w:rPr>
          <w:rFonts w:ascii="Times New Roman" w:hAnsi="Times New Roman" w:eastAsia="Times New Roman"/>
          <w:sz w:val="24"/>
          <w:szCs w:val="24"/>
        </w:rPr>
        <w:t xml:space="preserve">be evenly split between </w:t>
      </w:r>
      <w:r w:rsidRPr="00B37B02" w:rsidR="00156D74">
        <w:rPr>
          <w:rFonts w:ascii="Times New Roman" w:hAnsi="Times New Roman" w:eastAsia="Times New Roman"/>
          <w:sz w:val="24"/>
          <w:szCs w:val="24"/>
        </w:rPr>
        <w:t xml:space="preserve">control and program group members. It is expected that the program group </w:t>
      </w:r>
      <w:r w:rsidRPr="00B37B02" w:rsidR="00495EB5">
        <w:rPr>
          <w:rFonts w:ascii="Times New Roman" w:hAnsi="Times New Roman" w:eastAsia="Times New Roman"/>
          <w:sz w:val="24"/>
          <w:szCs w:val="24"/>
        </w:rPr>
        <w:t>sample will include a mix of active FSS participants, program graduates (the successful exits), as well as</w:t>
      </w:r>
      <w:r w:rsidRPr="00B37B02" w:rsidR="001A29B7">
        <w:rPr>
          <w:rFonts w:ascii="Times New Roman" w:hAnsi="Times New Roman" w:eastAsia="Times New Roman"/>
          <w:sz w:val="24"/>
          <w:szCs w:val="24"/>
        </w:rPr>
        <w:t xml:space="preserve"> those </w:t>
      </w:r>
      <w:r w:rsidRPr="00B37B02" w:rsidR="00042228">
        <w:rPr>
          <w:rFonts w:ascii="Times New Roman" w:hAnsi="Times New Roman" w:eastAsia="Times New Roman"/>
          <w:sz w:val="24"/>
          <w:szCs w:val="24"/>
        </w:rPr>
        <w:t>that were terminated from FSS</w:t>
      </w:r>
      <w:r w:rsidRPr="00B37B02" w:rsidR="0040454E">
        <w:rPr>
          <w:rFonts w:ascii="Times New Roman" w:hAnsi="Times New Roman" w:eastAsia="Times New Roman"/>
          <w:sz w:val="24"/>
          <w:szCs w:val="24"/>
        </w:rPr>
        <w:t xml:space="preserve">, </w:t>
      </w:r>
      <w:r w:rsidRPr="00B37B02" w:rsidR="00042228">
        <w:rPr>
          <w:rFonts w:ascii="Times New Roman" w:hAnsi="Times New Roman" w:eastAsia="Times New Roman"/>
          <w:sz w:val="24"/>
          <w:szCs w:val="24"/>
        </w:rPr>
        <w:t>voluntarily exited</w:t>
      </w:r>
      <w:r w:rsidRPr="00B37B02" w:rsidR="00AA2303">
        <w:rPr>
          <w:rFonts w:ascii="Times New Roman" w:hAnsi="Times New Roman" w:eastAsia="Times New Roman"/>
          <w:sz w:val="24"/>
          <w:szCs w:val="24"/>
        </w:rPr>
        <w:t xml:space="preserve"> the FSS program</w:t>
      </w:r>
      <w:r w:rsidRPr="00B37B02" w:rsidR="0040454E">
        <w:rPr>
          <w:rFonts w:ascii="Times New Roman" w:hAnsi="Times New Roman" w:eastAsia="Times New Roman"/>
          <w:sz w:val="24"/>
          <w:szCs w:val="24"/>
        </w:rPr>
        <w:t xml:space="preserve">, or are no longer receiving </w:t>
      </w:r>
      <w:r w:rsidR="00B56B1D">
        <w:rPr>
          <w:rFonts w:ascii="Times New Roman" w:hAnsi="Times New Roman" w:eastAsia="Times New Roman"/>
          <w:sz w:val="24"/>
          <w:szCs w:val="24"/>
        </w:rPr>
        <w:t>Housing Choice Voucher (</w:t>
      </w:r>
      <w:r w:rsidRPr="00B37B02" w:rsidR="0040454E">
        <w:rPr>
          <w:rFonts w:ascii="Times New Roman" w:hAnsi="Times New Roman" w:eastAsia="Times New Roman"/>
          <w:sz w:val="24"/>
          <w:szCs w:val="24"/>
        </w:rPr>
        <w:t>HCV</w:t>
      </w:r>
      <w:r w:rsidR="00B56B1D">
        <w:rPr>
          <w:rFonts w:ascii="Times New Roman" w:hAnsi="Times New Roman" w:eastAsia="Times New Roman"/>
          <w:sz w:val="24"/>
          <w:szCs w:val="24"/>
        </w:rPr>
        <w:t>)</w:t>
      </w:r>
      <w:r w:rsidRPr="00B37B02" w:rsidR="0040454E">
        <w:rPr>
          <w:rFonts w:ascii="Times New Roman" w:hAnsi="Times New Roman" w:eastAsia="Times New Roman"/>
          <w:sz w:val="24"/>
          <w:szCs w:val="24"/>
        </w:rPr>
        <w:t xml:space="preserve">. </w:t>
      </w:r>
    </w:p>
    <w:p w:rsidRPr="00B37B02" w:rsidR="000E0397" w:rsidP="00100E56" w:rsidRDefault="000E0397" w14:paraId="0A7E03F4" w14:textId="77777777">
      <w:pPr>
        <w:widowControl w:val="0"/>
        <w:autoSpaceDE w:val="0"/>
        <w:autoSpaceDN w:val="0"/>
        <w:adjustRightInd w:val="0"/>
        <w:spacing w:after="0" w:line="240" w:lineRule="auto"/>
        <w:ind w:left="360"/>
        <w:jc w:val="both"/>
        <w:rPr>
          <w:rFonts w:ascii="Times New Roman" w:hAnsi="Times New Roman" w:eastAsia="Times New Roman"/>
          <w:sz w:val="24"/>
          <w:szCs w:val="24"/>
        </w:rPr>
      </w:pPr>
    </w:p>
    <w:p w:rsidRPr="00B37B02" w:rsidR="00062667" w:rsidP="00100E56" w:rsidRDefault="000E0397" w14:paraId="7B433E4E" w14:textId="346181A3">
      <w:pPr>
        <w:widowControl w:val="0"/>
        <w:autoSpaceDE w:val="0"/>
        <w:autoSpaceDN w:val="0"/>
        <w:adjustRightInd w:val="0"/>
        <w:spacing w:after="0" w:line="240" w:lineRule="auto"/>
        <w:ind w:left="360"/>
        <w:jc w:val="both"/>
        <w:rPr>
          <w:rFonts w:ascii="Times New Roman" w:hAnsi="Times New Roman" w:eastAsia="Times New Roman"/>
          <w:sz w:val="24"/>
          <w:szCs w:val="24"/>
        </w:rPr>
      </w:pPr>
      <w:r w:rsidRPr="00B37B02">
        <w:rPr>
          <w:rFonts w:ascii="Times New Roman" w:hAnsi="Times New Roman" w:eastAsia="Times New Roman"/>
          <w:sz w:val="24"/>
          <w:szCs w:val="24"/>
        </w:rPr>
        <w:t xml:space="preserve">The expected response rate to the </w:t>
      </w:r>
      <w:r w:rsidRPr="00B37B02" w:rsidR="00B00881">
        <w:rPr>
          <w:rFonts w:ascii="Times New Roman" w:hAnsi="Times New Roman" w:eastAsia="Times New Roman"/>
          <w:sz w:val="24"/>
          <w:szCs w:val="24"/>
        </w:rPr>
        <w:t>long-term</w:t>
      </w:r>
      <w:r w:rsidRPr="00B37B02">
        <w:rPr>
          <w:rFonts w:ascii="Times New Roman" w:hAnsi="Times New Roman" w:eastAsia="Times New Roman"/>
          <w:sz w:val="24"/>
          <w:szCs w:val="24"/>
        </w:rPr>
        <w:t xml:space="preserve"> follow-up survey is </w:t>
      </w:r>
      <w:r w:rsidRPr="00B37B02" w:rsidR="00B00881">
        <w:rPr>
          <w:rFonts w:ascii="Times New Roman" w:hAnsi="Times New Roman" w:eastAsia="Times New Roman"/>
          <w:sz w:val="24"/>
          <w:szCs w:val="24"/>
        </w:rPr>
        <w:t>60 to 70</w:t>
      </w:r>
      <w:r w:rsidRPr="00B37B02">
        <w:rPr>
          <w:rFonts w:ascii="Times New Roman" w:hAnsi="Times New Roman" w:eastAsia="Times New Roman"/>
          <w:sz w:val="24"/>
          <w:szCs w:val="24"/>
        </w:rPr>
        <w:t xml:space="preserve"> percent. Historically, MDRC has targeted and achieved a</w:t>
      </w:r>
      <w:r w:rsidRPr="00B37B02" w:rsidR="000505A8">
        <w:rPr>
          <w:rFonts w:ascii="Times New Roman" w:hAnsi="Times New Roman" w:eastAsia="Times New Roman"/>
          <w:sz w:val="24"/>
          <w:szCs w:val="24"/>
        </w:rPr>
        <w:t xml:space="preserve"> 60 to 70</w:t>
      </w:r>
      <w:r w:rsidRPr="00B37B02">
        <w:rPr>
          <w:rFonts w:ascii="Times New Roman" w:hAnsi="Times New Roman" w:eastAsia="Times New Roman"/>
          <w:sz w:val="24"/>
          <w:szCs w:val="24"/>
        </w:rPr>
        <w:t xml:space="preserve"> percent response rate to fielded surveys. MDRC will use a variety of strategies to produce this response rate, which are detailed in section B3 below.</w:t>
      </w:r>
    </w:p>
    <w:p w:rsidRPr="00B37B02" w:rsidR="00062667" w:rsidP="00100E56" w:rsidRDefault="00062667" w14:paraId="4B2D04EB" w14:textId="77777777">
      <w:pPr>
        <w:widowControl w:val="0"/>
        <w:autoSpaceDE w:val="0"/>
        <w:autoSpaceDN w:val="0"/>
        <w:adjustRightInd w:val="0"/>
        <w:spacing w:after="0" w:line="240" w:lineRule="auto"/>
        <w:ind w:left="360"/>
        <w:jc w:val="both"/>
        <w:rPr>
          <w:rFonts w:ascii="Times New Roman" w:hAnsi="Times New Roman" w:eastAsia="Times New Roman"/>
          <w:sz w:val="24"/>
          <w:szCs w:val="24"/>
        </w:rPr>
      </w:pPr>
    </w:p>
    <w:p w:rsidRPr="00B37B02" w:rsidR="00266F6D" w:rsidP="00100E56" w:rsidRDefault="00266F6D" w14:paraId="1D553DAD" w14:textId="77777777">
      <w:pPr>
        <w:pStyle w:val="NoSpacing"/>
        <w:numPr>
          <w:ilvl w:val="0"/>
          <w:numId w:val="8"/>
        </w:numPr>
        <w:jc w:val="both"/>
        <w:rPr>
          <w:rFonts w:ascii="Times New Roman" w:hAnsi="Times New Roman"/>
          <w:b/>
          <w:bCs/>
          <w:sz w:val="24"/>
          <w:szCs w:val="24"/>
        </w:rPr>
      </w:pPr>
      <w:r w:rsidRPr="00B37B02">
        <w:rPr>
          <w:rFonts w:ascii="Times New Roman" w:hAnsi="Times New Roman"/>
          <w:b/>
          <w:bCs/>
          <w:sz w:val="24"/>
          <w:szCs w:val="24"/>
        </w:rPr>
        <w:t>Describe the procedures for the collection of information</w:t>
      </w:r>
      <w:r w:rsidRPr="00B37B02" w:rsidR="00763388">
        <w:rPr>
          <w:rFonts w:ascii="Times New Roman" w:hAnsi="Times New Roman"/>
          <w:b/>
          <w:bCs/>
          <w:sz w:val="24"/>
          <w:szCs w:val="24"/>
        </w:rPr>
        <w:t xml:space="preserve"> </w:t>
      </w:r>
      <w:r w:rsidRPr="00B37B02">
        <w:rPr>
          <w:rFonts w:ascii="Times New Roman" w:hAnsi="Times New Roman"/>
          <w:b/>
          <w:bCs/>
          <w:sz w:val="24"/>
          <w:szCs w:val="24"/>
        </w:rPr>
        <w:t>including:</w:t>
      </w:r>
    </w:p>
    <w:p w:rsidRPr="00B37B02" w:rsidR="000A251D" w:rsidP="00100E56" w:rsidRDefault="000A251D" w14:paraId="6A2BD7DB" w14:textId="77777777">
      <w:pPr>
        <w:pStyle w:val="NoSpacing"/>
        <w:jc w:val="both"/>
        <w:rPr>
          <w:rFonts w:ascii="Times New Roman" w:hAnsi="Times New Roman"/>
          <w:b/>
          <w:bCs/>
          <w:sz w:val="24"/>
          <w:szCs w:val="24"/>
        </w:rPr>
      </w:pPr>
    </w:p>
    <w:p w:rsidRPr="00B37B02" w:rsidR="00266F6D" w:rsidP="00100E56" w:rsidRDefault="00266F6D" w14:paraId="2F04EDBC" w14:textId="77777777">
      <w:pPr>
        <w:pStyle w:val="NoSpacing"/>
        <w:numPr>
          <w:ilvl w:val="0"/>
          <w:numId w:val="3"/>
        </w:numPr>
        <w:jc w:val="both"/>
        <w:rPr>
          <w:rFonts w:ascii="Times New Roman" w:hAnsi="Times New Roman"/>
          <w:b/>
          <w:bCs/>
          <w:sz w:val="24"/>
          <w:szCs w:val="24"/>
        </w:rPr>
      </w:pPr>
      <w:r w:rsidRPr="00B37B02">
        <w:rPr>
          <w:rFonts w:ascii="Times New Roman" w:hAnsi="Times New Roman"/>
          <w:b/>
          <w:bCs/>
          <w:sz w:val="24"/>
          <w:szCs w:val="24"/>
        </w:rPr>
        <w:t>Statistical methodology for stratification and sample</w:t>
      </w:r>
      <w:r w:rsidRPr="00B37B02" w:rsidR="00763388">
        <w:rPr>
          <w:rFonts w:ascii="Times New Roman" w:hAnsi="Times New Roman"/>
          <w:b/>
          <w:bCs/>
          <w:sz w:val="24"/>
          <w:szCs w:val="24"/>
        </w:rPr>
        <w:t xml:space="preserve"> </w:t>
      </w:r>
      <w:r w:rsidRPr="00B37B02">
        <w:rPr>
          <w:rFonts w:ascii="Times New Roman" w:hAnsi="Times New Roman"/>
          <w:b/>
          <w:bCs/>
          <w:sz w:val="24"/>
          <w:szCs w:val="24"/>
        </w:rPr>
        <w:t>selection,</w:t>
      </w:r>
    </w:p>
    <w:p w:rsidRPr="00B37B02" w:rsidR="00266F6D" w:rsidP="00100E56" w:rsidRDefault="00266F6D" w14:paraId="6B2124D4" w14:textId="77777777">
      <w:pPr>
        <w:pStyle w:val="NoSpacing"/>
        <w:numPr>
          <w:ilvl w:val="0"/>
          <w:numId w:val="3"/>
        </w:numPr>
        <w:jc w:val="both"/>
        <w:rPr>
          <w:rFonts w:ascii="Times New Roman" w:hAnsi="Times New Roman"/>
          <w:b/>
          <w:bCs/>
          <w:sz w:val="24"/>
          <w:szCs w:val="24"/>
        </w:rPr>
      </w:pPr>
      <w:r w:rsidRPr="00B37B02">
        <w:rPr>
          <w:rFonts w:ascii="Times New Roman" w:hAnsi="Times New Roman"/>
          <w:b/>
          <w:bCs/>
          <w:sz w:val="24"/>
          <w:szCs w:val="24"/>
        </w:rPr>
        <w:t>Estimation procedure,</w:t>
      </w:r>
    </w:p>
    <w:p w:rsidRPr="00B37B02" w:rsidR="00266F6D" w:rsidP="00100E56" w:rsidRDefault="00266F6D" w14:paraId="718EC98E" w14:textId="77777777">
      <w:pPr>
        <w:pStyle w:val="NoSpacing"/>
        <w:numPr>
          <w:ilvl w:val="0"/>
          <w:numId w:val="3"/>
        </w:numPr>
        <w:jc w:val="both"/>
        <w:rPr>
          <w:rFonts w:ascii="Times New Roman" w:hAnsi="Times New Roman"/>
          <w:b/>
          <w:bCs/>
          <w:sz w:val="24"/>
          <w:szCs w:val="24"/>
        </w:rPr>
      </w:pPr>
      <w:r w:rsidRPr="00B37B02">
        <w:rPr>
          <w:rFonts w:ascii="Times New Roman" w:hAnsi="Times New Roman"/>
          <w:b/>
          <w:bCs/>
          <w:sz w:val="24"/>
          <w:szCs w:val="24"/>
        </w:rPr>
        <w:t>Degree of accuracy needed for the purpose described in</w:t>
      </w:r>
      <w:r w:rsidRPr="00B37B02" w:rsidR="00763388">
        <w:rPr>
          <w:rFonts w:ascii="Times New Roman" w:hAnsi="Times New Roman"/>
          <w:b/>
          <w:bCs/>
          <w:sz w:val="24"/>
          <w:szCs w:val="24"/>
        </w:rPr>
        <w:t xml:space="preserve"> </w:t>
      </w:r>
      <w:r w:rsidRPr="00B37B02">
        <w:rPr>
          <w:rFonts w:ascii="Times New Roman" w:hAnsi="Times New Roman"/>
          <w:b/>
          <w:bCs/>
          <w:sz w:val="24"/>
          <w:szCs w:val="24"/>
        </w:rPr>
        <w:t>the justification,</w:t>
      </w:r>
    </w:p>
    <w:p w:rsidRPr="00B37B02" w:rsidR="00266F6D" w:rsidP="00100E56" w:rsidRDefault="00266F6D" w14:paraId="0DD74633" w14:textId="77777777">
      <w:pPr>
        <w:pStyle w:val="NoSpacing"/>
        <w:numPr>
          <w:ilvl w:val="0"/>
          <w:numId w:val="3"/>
        </w:numPr>
        <w:jc w:val="both"/>
        <w:rPr>
          <w:rFonts w:ascii="Times New Roman" w:hAnsi="Times New Roman"/>
          <w:b/>
          <w:bCs/>
          <w:sz w:val="24"/>
          <w:szCs w:val="24"/>
        </w:rPr>
      </w:pPr>
      <w:r w:rsidRPr="00B37B02">
        <w:rPr>
          <w:rFonts w:ascii="Times New Roman" w:hAnsi="Times New Roman"/>
          <w:b/>
          <w:bCs/>
          <w:sz w:val="24"/>
          <w:szCs w:val="24"/>
        </w:rPr>
        <w:t>Unusual problems requiring specialized sampling</w:t>
      </w:r>
      <w:r w:rsidRPr="00B37B02" w:rsidR="00763388">
        <w:rPr>
          <w:rFonts w:ascii="Times New Roman" w:hAnsi="Times New Roman"/>
          <w:b/>
          <w:bCs/>
          <w:sz w:val="24"/>
          <w:szCs w:val="24"/>
        </w:rPr>
        <w:t xml:space="preserve"> </w:t>
      </w:r>
      <w:r w:rsidRPr="00B37B02">
        <w:rPr>
          <w:rFonts w:ascii="Times New Roman" w:hAnsi="Times New Roman"/>
          <w:b/>
          <w:bCs/>
          <w:sz w:val="24"/>
          <w:szCs w:val="24"/>
        </w:rPr>
        <w:t>procedures, and</w:t>
      </w:r>
    </w:p>
    <w:p w:rsidRPr="00B37B02" w:rsidR="00266F6D" w:rsidP="00100E56" w:rsidRDefault="00266F6D" w14:paraId="16ACBE83" w14:textId="2C4941AB">
      <w:pPr>
        <w:pStyle w:val="NoSpacing"/>
        <w:numPr>
          <w:ilvl w:val="0"/>
          <w:numId w:val="3"/>
        </w:numPr>
        <w:jc w:val="both"/>
        <w:rPr>
          <w:rFonts w:ascii="Times New Roman" w:hAnsi="Times New Roman"/>
          <w:b/>
          <w:bCs/>
          <w:sz w:val="24"/>
          <w:szCs w:val="24"/>
        </w:rPr>
      </w:pPr>
      <w:r w:rsidRPr="00B37B02">
        <w:rPr>
          <w:rFonts w:ascii="Times New Roman" w:hAnsi="Times New Roman"/>
          <w:b/>
          <w:bCs/>
          <w:sz w:val="24"/>
          <w:szCs w:val="24"/>
        </w:rPr>
        <w:t>Any use of periodic (less frequent than annual) data</w:t>
      </w:r>
      <w:r w:rsidRPr="00B37B02" w:rsidR="00763388">
        <w:rPr>
          <w:rFonts w:ascii="Times New Roman" w:hAnsi="Times New Roman"/>
          <w:b/>
          <w:bCs/>
          <w:sz w:val="24"/>
          <w:szCs w:val="24"/>
        </w:rPr>
        <w:t xml:space="preserve"> </w:t>
      </w:r>
      <w:r w:rsidRPr="00B37B02">
        <w:rPr>
          <w:rFonts w:ascii="Times New Roman" w:hAnsi="Times New Roman"/>
          <w:b/>
          <w:bCs/>
          <w:sz w:val="24"/>
          <w:szCs w:val="24"/>
        </w:rPr>
        <w:t>collection cycles to reduce burden.</w:t>
      </w:r>
    </w:p>
    <w:p w:rsidRPr="00B37B02" w:rsidR="006C6A43" w:rsidP="00100E56" w:rsidRDefault="006C6A43" w14:paraId="1168F6AB" w14:textId="02CBC4C8">
      <w:pPr>
        <w:pStyle w:val="NoSpacing"/>
        <w:ind w:left="360"/>
        <w:jc w:val="both"/>
        <w:rPr>
          <w:rFonts w:ascii="Times New Roman" w:hAnsi="Times New Roman"/>
          <w:b/>
          <w:bCs/>
          <w:sz w:val="24"/>
          <w:szCs w:val="24"/>
        </w:rPr>
      </w:pPr>
    </w:p>
    <w:p w:rsidRPr="00B37B02" w:rsidR="006C6A43" w:rsidP="00100E56" w:rsidRDefault="006C6A43" w14:paraId="40383F98" w14:textId="09F32FA3">
      <w:pPr>
        <w:spacing w:after="240" w:line="240" w:lineRule="auto"/>
        <w:ind w:left="360"/>
        <w:jc w:val="both"/>
        <w:rPr>
          <w:rFonts w:ascii="Times New Roman" w:hAnsi="Times New Roman"/>
          <w:b/>
          <w:iCs/>
          <w:sz w:val="24"/>
          <w:szCs w:val="24"/>
          <w:u w:val="single"/>
        </w:rPr>
      </w:pPr>
      <w:r w:rsidRPr="00B37B02">
        <w:rPr>
          <w:rFonts w:ascii="Times New Roman" w:hAnsi="Times New Roman"/>
          <w:sz w:val="24"/>
          <w:szCs w:val="24"/>
        </w:rPr>
        <w:t xml:space="preserve">The long-term follow-up survey will be </w:t>
      </w:r>
      <w:r w:rsidRPr="00B37B02" w:rsidR="008D2BEF">
        <w:rPr>
          <w:rFonts w:ascii="Times New Roman" w:hAnsi="Times New Roman"/>
          <w:sz w:val="24"/>
          <w:szCs w:val="24"/>
        </w:rPr>
        <w:t>coordinated</w:t>
      </w:r>
      <w:r w:rsidRPr="00B37B02">
        <w:rPr>
          <w:rFonts w:ascii="Times New Roman" w:hAnsi="Times New Roman"/>
          <w:sz w:val="24"/>
          <w:szCs w:val="24"/>
        </w:rPr>
        <w:t xml:space="preserve"> by MDRC’s subcontractor M Davis and Company (MDAC) </w:t>
      </w:r>
      <w:r w:rsidRPr="00B37B02" w:rsidR="008E4FD2">
        <w:rPr>
          <w:rFonts w:ascii="Times New Roman" w:hAnsi="Times New Roman"/>
          <w:sz w:val="24"/>
          <w:szCs w:val="24"/>
        </w:rPr>
        <w:t xml:space="preserve">via a self-administered web-based </w:t>
      </w:r>
      <w:r w:rsidRPr="00B37B02" w:rsidR="008D2BEF">
        <w:rPr>
          <w:rFonts w:ascii="Times New Roman" w:hAnsi="Times New Roman"/>
          <w:sz w:val="24"/>
          <w:szCs w:val="24"/>
        </w:rPr>
        <w:t xml:space="preserve">survey and </w:t>
      </w:r>
      <w:r w:rsidRPr="00B37B02" w:rsidR="008E4FD2">
        <w:rPr>
          <w:rFonts w:ascii="Times New Roman" w:hAnsi="Times New Roman"/>
          <w:sz w:val="24"/>
          <w:szCs w:val="24"/>
        </w:rPr>
        <w:t xml:space="preserve">a computer-assisted telephone interview (CATI) for the non-respondents. </w:t>
      </w:r>
      <w:r w:rsidR="00FB5002">
        <w:rPr>
          <w:rFonts w:ascii="Times New Roman" w:hAnsi="Times New Roman"/>
          <w:sz w:val="24"/>
          <w:szCs w:val="24"/>
        </w:rPr>
        <w:t xml:space="preserve">So far, MDAC has administered all the follow-up surveys for the evaluation. </w:t>
      </w:r>
    </w:p>
    <w:p w:rsidRPr="00714D72" w:rsidR="006C6A43" w:rsidP="00100E56" w:rsidRDefault="006C6A43" w14:paraId="48EC7A04" w14:textId="77777777">
      <w:pPr>
        <w:spacing w:after="240" w:line="240" w:lineRule="auto"/>
        <w:ind w:left="360"/>
        <w:jc w:val="both"/>
        <w:rPr>
          <w:rFonts w:ascii="Times New Roman" w:hAnsi="Times New Roman"/>
          <w:b/>
          <w:iCs/>
          <w:sz w:val="24"/>
          <w:szCs w:val="24"/>
        </w:rPr>
      </w:pPr>
      <w:r w:rsidRPr="00714D72">
        <w:rPr>
          <w:rFonts w:ascii="Times New Roman" w:hAnsi="Times New Roman"/>
          <w:b/>
          <w:iCs/>
          <w:sz w:val="24"/>
          <w:szCs w:val="24"/>
        </w:rPr>
        <w:t>Statistical Impact Analysis</w:t>
      </w:r>
    </w:p>
    <w:p w:rsidRPr="00B37B02" w:rsidR="006C6A43" w:rsidP="00100E56" w:rsidRDefault="006C6A43" w14:paraId="4E5CE24D" w14:textId="21CD8DD8">
      <w:pPr>
        <w:widowControl w:val="0"/>
        <w:spacing w:line="240" w:lineRule="auto"/>
        <w:ind w:left="360"/>
        <w:jc w:val="both"/>
        <w:rPr>
          <w:rFonts w:ascii="Times New Roman" w:hAnsi="Times New Roman"/>
          <w:sz w:val="24"/>
          <w:szCs w:val="24"/>
        </w:rPr>
      </w:pPr>
      <w:r w:rsidRPr="00B37B02">
        <w:rPr>
          <w:rFonts w:ascii="Times New Roman" w:hAnsi="Times New Roman"/>
          <w:sz w:val="24"/>
          <w:szCs w:val="24"/>
        </w:rPr>
        <w:lastRenderedPageBreak/>
        <w:t xml:space="preserve">Impact analysis will assess the overall and independent effects of the FSS program by comparing the key outcomes of this treatment group to the outcomes of the control group. </w:t>
      </w:r>
      <w:r w:rsidR="00714D72">
        <w:rPr>
          <w:rFonts w:ascii="Times New Roman" w:hAnsi="Times New Roman"/>
          <w:sz w:val="24"/>
          <w:szCs w:val="24"/>
        </w:rPr>
        <w:t xml:space="preserve"> </w:t>
      </w:r>
      <w:r w:rsidRPr="00B37B02">
        <w:rPr>
          <w:rFonts w:ascii="Times New Roman" w:hAnsi="Times New Roman"/>
          <w:sz w:val="24"/>
          <w:szCs w:val="24"/>
        </w:rPr>
        <w:t xml:space="preserve">The study will track both the program and the control groups for </w:t>
      </w:r>
      <w:proofErr w:type="gramStart"/>
      <w:r w:rsidRPr="00B37B02">
        <w:rPr>
          <w:rFonts w:ascii="Times New Roman" w:hAnsi="Times New Roman"/>
          <w:sz w:val="24"/>
          <w:szCs w:val="24"/>
        </w:rPr>
        <w:t>a number</w:t>
      </w:r>
      <w:r w:rsidR="000059F5">
        <w:rPr>
          <w:rFonts w:ascii="Times New Roman" w:hAnsi="Times New Roman"/>
          <w:sz w:val="24"/>
          <w:szCs w:val="24"/>
        </w:rPr>
        <w:t xml:space="preserve"> o</w:t>
      </w:r>
      <w:r w:rsidRPr="00B37B02">
        <w:rPr>
          <w:rFonts w:ascii="Times New Roman" w:hAnsi="Times New Roman"/>
          <w:sz w:val="24"/>
          <w:szCs w:val="24"/>
        </w:rPr>
        <w:t>f</w:t>
      </w:r>
      <w:proofErr w:type="gramEnd"/>
      <w:r w:rsidRPr="00B37B02">
        <w:rPr>
          <w:rFonts w:ascii="Times New Roman" w:hAnsi="Times New Roman"/>
          <w:sz w:val="24"/>
          <w:szCs w:val="24"/>
        </w:rPr>
        <w:t xml:space="preserve"> years using administrative and survey data to measures outcomes.  </w:t>
      </w:r>
    </w:p>
    <w:p w:rsidRPr="00B37B02" w:rsidR="006C6A43" w:rsidP="00100E56" w:rsidRDefault="006C6A43" w14:paraId="4BBD6C80" w14:textId="6EE330AE">
      <w:pPr>
        <w:widowControl w:val="0"/>
        <w:spacing w:line="240" w:lineRule="auto"/>
        <w:ind w:left="360"/>
        <w:jc w:val="both"/>
        <w:rPr>
          <w:rFonts w:ascii="Times New Roman" w:hAnsi="Times New Roman"/>
          <w:sz w:val="24"/>
          <w:szCs w:val="24"/>
        </w:rPr>
      </w:pPr>
      <w:r w:rsidRPr="00B37B02">
        <w:rPr>
          <w:rFonts w:ascii="Times New Roman" w:hAnsi="Times New Roman"/>
          <w:sz w:val="24"/>
          <w:szCs w:val="24"/>
        </w:rPr>
        <w:t xml:space="preserve">The impact analysis will examine the program’s effects on a wide range of outcomes. Key clusters of outcomes measured through the </w:t>
      </w:r>
      <w:r w:rsidRPr="00B37B02" w:rsidR="007169AE">
        <w:rPr>
          <w:rFonts w:ascii="Times New Roman" w:hAnsi="Times New Roman"/>
          <w:sz w:val="24"/>
          <w:szCs w:val="24"/>
        </w:rPr>
        <w:t>long-term</w:t>
      </w:r>
      <w:r w:rsidRPr="00B37B02">
        <w:rPr>
          <w:rFonts w:ascii="Times New Roman" w:hAnsi="Times New Roman"/>
          <w:sz w:val="24"/>
          <w:szCs w:val="24"/>
        </w:rPr>
        <w:t xml:space="preserve"> follow-up survey are detailed below (the full survey</w:t>
      </w:r>
      <w:r w:rsidR="004565A0">
        <w:rPr>
          <w:rFonts w:ascii="Times New Roman" w:hAnsi="Times New Roman"/>
          <w:sz w:val="24"/>
          <w:szCs w:val="24"/>
        </w:rPr>
        <w:t xml:space="preserve"> is</w:t>
      </w:r>
      <w:r w:rsidRPr="00B37B02">
        <w:rPr>
          <w:rFonts w:ascii="Times New Roman" w:hAnsi="Times New Roman"/>
          <w:sz w:val="24"/>
          <w:szCs w:val="24"/>
        </w:rPr>
        <w:t xml:space="preserve"> included in </w:t>
      </w:r>
      <w:r w:rsidR="004565A0">
        <w:rPr>
          <w:rFonts w:ascii="Times New Roman" w:hAnsi="Times New Roman"/>
          <w:sz w:val="24"/>
          <w:szCs w:val="24"/>
        </w:rPr>
        <w:t xml:space="preserve">an </w:t>
      </w:r>
      <w:r w:rsidRPr="00B37B02">
        <w:rPr>
          <w:rFonts w:ascii="Times New Roman" w:hAnsi="Times New Roman"/>
          <w:sz w:val="24"/>
          <w:szCs w:val="24"/>
        </w:rPr>
        <w:t>appendix in Supporting Statement A).</w:t>
      </w:r>
    </w:p>
    <w:p w:rsidRPr="00B37B02" w:rsidR="00576F58" w:rsidP="00100E56" w:rsidRDefault="00576F58" w14:paraId="4CB0AAFF" w14:textId="5EC49279">
      <w:pPr>
        <w:spacing w:line="240" w:lineRule="auto"/>
        <w:ind w:left="360" w:firstLine="360"/>
        <w:jc w:val="both"/>
        <w:rPr>
          <w:rFonts w:ascii="Times New Roman" w:hAnsi="Times New Roman"/>
          <w:sz w:val="24"/>
          <w:szCs w:val="24"/>
        </w:rPr>
      </w:pPr>
      <w:r w:rsidRPr="004D173F">
        <w:rPr>
          <w:rFonts w:ascii="Times New Roman" w:hAnsi="Times New Roman"/>
          <w:b/>
          <w:bCs/>
          <w:sz w:val="24"/>
          <w:szCs w:val="24"/>
        </w:rPr>
        <w:t>Education and Work:</w:t>
      </w:r>
      <w:r w:rsidRPr="00B37B02">
        <w:rPr>
          <w:rFonts w:ascii="Times New Roman" w:hAnsi="Times New Roman"/>
          <w:sz w:val="24"/>
          <w:szCs w:val="24"/>
        </w:rPr>
        <w:t xml:space="preserve"> MDRC will use both Unemployment Insurance (UI) wage records, obtained from the National Directory of New Hires database, and the survey to collect data on employment, earnings, job characteristics, and work search behaviors. Discussions with PHAs have revealed that some programs take a human capital development approach to self-sufficiency and thus emphasize degree, diploma</w:t>
      </w:r>
      <w:r w:rsidRPr="00B37B02" w:rsidR="00022AC1">
        <w:rPr>
          <w:rFonts w:ascii="Times New Roman" w:hAnsi="Times New Roman"/>
          <w:sz w:val="24"/>
          <w:szCs w:val="24"/>
        </w:rPr>
        <w:t>,</w:t>
      </w:r>
      <w:r w:rsidRPr="00B37B02">
        <w:rPr>
          <w:rFonts w:ascii="Times New Roman" w:hAnsi="Times New Roman"/>
          <w:sz w:val="24"/>
          <w:szCs w:val="24"/>
        </w:rPr>
        <w:t xml:space="preserve"> and certification achievement. MDRC will track educational attainment among study participants through FSS </w:t>
      </w:r>
      <w:r w:rsidR="00B17BF2">
        <w:rPr>
          <w:rFonts w:ascii="Times New Roman" w:hAnsi="Times New Roman"/>
          <w:sz w:val="24"/>
          <w:szCs w:val="24"/>
        </w:rPr>
        <w:t>l</w:t>
      </w:r>
      <w:r w:rsidRPr="00B37B02">
        <w:rPr>
          <w:rFonts w:ascii="Times New Roman" w:hAnsi="Times New Roman"/>
          <w:sz w:val="24"/>
          <w:szCs w:val="24"/>
        </w:rPr>
        <w:t>ong-</w:t>
      </w:r>
      <w:r w:rsidR="00B17BF2">
        <w:rPr>
          <w:rFonts w:ascii="Times New Roman" w:hAnsi="Times New Roman"/>
          <w:sz w:val="24"/>
          <w:szCs w:val="24"/>
        </w:rPr>
        <w:t>t</w:t>
      </w:r>
      <w:r w:rsidRPr="00B37B02">
        <w:rPr>
          <w:rFonts w:ascii="Times New Roman" w:hAnsi="Times New Roman"/>
          <w:sz w:val="24"/>
          <w:szCs w:val="24"/>
        </w:rPr>
        <w:t xml:space="preserve">erm </w:t>
      </w:r>
      <w:r w:rsidR="00B17BF2">
        <w:rPr>
          <w:rFonts w:ascii="Times New Roman" w:hAnsi="Times New Roman"/>
          <w:sz w:val="24"/>
          <w:szCs w:val="24"/>
        </w:rPr>
        <w:t>f</w:t>
      </w:r>
      <w:r w:rsidRPr="00B37B02">
        <w:rPr>
          <w:rFonts w:ascii="Times New Roman" w:hAnsi="Times New Roman"/>
          <w:sz w:val="24"/>
          <w:szCs w:val="24"/>
        </w:rPr>
        <w:t>ollow-</w:t>
      </w:r>
      <w:r w:rsidR="00B17BF2">
        <w:rPr>
          <w:rFonts w:ascii="Times New Roman" w:hAnsi="Times New Roman"/>
          <w:sz w:val="24"/>
          <w:szCs w:val="24"/>
        </w:rPr>
        <w:t>u</w:t>
      </w:r>
      <w:r w:rsidRPr="00B37B02">
        <w:rPr>
          <w:rFonts w:ascii="Times New Roman" w:hAnsi="Times New Roman"/>
          <w:sz w:val="24"/>
          <w:szCs w:val="24"/>
        </w:rPr>
        <w:t xml:space="preserve">p survey data. </w:t>
      </w:r>
    </w:p>
    <w:p w:rsidRPr="00B37B02" w:rsidR="00576F58" w:rsidP="00100E56" w:rsidRDefault="00576F58" w14:paraId="7ECEFF80" w14:textId="6F3D9503">
      <w:pPr>
        <w:spacing w:line="240" w:lineRule="auto"/>
        <w:ind w:left="360" w:firstLine="360"/>
        <w:jc w:val="both"/>
        <w:rPr>
          <w:rFonts w:ascii="Times New Roman" w:hAnsi="Times New Roman"/>
          <w:sz w:val="24"/>
          <w:szCs w:val="24"/>
        </w:rPr>
      </w:pPr>
      <w:r w:rsidRPr="004D173F">
        <w:rPr>
          <w:rFonts w:ascii="Times New Roman" w:hAnsi="Times New Roman"/>
          <w:b/>
          <w:bCs/>
          <w:sz w:val="24"/>
          <w:szCs w:val="24"/>
        </w:rPr>
        <w:t>Income, debt, expense, and material hardship</w:t>
      </w:r>
      <w:r w:rsidRPr="00B37B02">
        <w:rPr>
          <w:rFonts w:ascii="Times New Roman" w:hAnsi="Times New Roman"/>
          <w:sz w:val="24"/>
          <w:szCs w:val="24"/>
        </w:rPr>
        <w:t>: If FSS increases participants’ disposable income, it may help participants accumulate assets and reduce their material hardships. With survey data, MDRC will assess the effects of the program on household finances and financial behaviors (such as savings, access to credit, and debt reduction, outcomes which several FSS programs focus on). MDRC will also evaluate how the program affects material hardships, including housing-related hardships such as disconnection of phone and utilities, and reductions in food insufficiency. MDRC observed such effects on poverty and hardship in its study of N</w:t>
      </w:r>
      <w:r w:rsidR="00724724">
        <w:rPr>
          <w:rFonts w:ascii="Times New Roman" w:hAnsi="Times New Roman"/>
          <w:sz w:val="24"/>
          <w:szCs w:val="24"/>
        </w:rPr>
        <w:t>ew York City</w:t>
      </w:r>
      <w:r w:rsidR="00AC6391">
        <w:rPr>
          <w:rFonts w:ascii="Times New Roman" w:hAnsi="Times New Roman"/>
          <w:sz w:val="24"/>
          <w:szCs w:val="24"/>
        </w:rPr>
        <w:t xml:space="preserve"> </w:t>
      </w:r>
      <w:r w:rsidRPr="00B37B02">
        <w:rPr>
          <w:rFonts w:ascii="Times New Roman" w:hAnsi="Times New Roman"/>
          <w:sz w:val="24"/>
          <w:szCs w:val="24"/>
        </w:rPr>
        <w:t xml:space="preserve">conditional cash transfer program, which included a significant housing-assisted population. The longer-term follow-up survey will allow investigation in these potential impacts. </w:t>
      </w:r>
    </w:p>
    <w:p w:rsidRPr="00B37B02" w:rsidR="006C6A43" w:rsidP="00100E56" w:rsidRDefault="006C6A43" w14:paraId="3C019D0D" w14:textId="2B47DBFB">
      <w:pPr>
        <w:spacing w:line="240" w:lineRule="auto"/>
        <w:ind w:left="360" w:firstLine="360"/>
        <w:jc w:val="both"/>
        <w:rPr>
          <w:rFonts w:ascii="Times New Roman" w:hAnsi="Times New Roman"/>
          <w:b/>
          <w:sz w:val="24"/>
          <w:szCs w:val="24"/>
        </w:rPr>
      </w:pPr>
      <w:r w:rsidRPr="00B37B02">
        <w:rPr>
          <w:rFonts w:ascii="Times New Roman" w:hAnsi="Times New Roman"/>
          <w:b/>
          <w:sz w:val="24"/>
          <w:szCs w:val="24"/>
        </w:rPr>
        <w:t>Statistical models</w:t>
      </w:r>
    </w:p>
    <w:p w:rsidRPr="00B37B02" w:rsidR="006C6A43" w:rsidP="00100E56" w:rsidRDefault="006C6A43" w14:paraId="12E687C3" w14:textId="4D295D5E">
      <w:pPr>
        <w:spacing w:line="240" w:lineRule="auto"/>
        <w:ind w:left="360"/>
        <w:jc w:val="both"/>
        <w:rPr>
          <w:rFonts w:ascii="Times New Roman" w:hAnsi="Times New Roman"/>
          <w:sz w:val="24"/>
          <w:szCs w:val="24"/>
        </w:rPr>
      </w:pPr>
      <w:r w:rsidRPr="00B37B02">
        <w:rPr>
          <w:rFonts w:ascii="Times New Roman" w:hAnsi="Times New Roman"/>
          <w:sz w:val="24"/>
          <w:szCs w:val="24"/>
        </w:rPr>
        <w:t xml:space="preserve">The power of this experimental design comes from the fact that random assignment ensures that the treatment and control groups are alike in all aspects of the distribution of observed and unobserved baseline and pre-baseline characteristics. As a result, any post-baseline differences between the two groups can be interpreted as effects of the intervention. </w:t>
      </w:r>
    </w:p>
    <w:p w:rsidRPr="00B37B02" w:rsidR="006C6A43" w:rsidP="00100E56" w:rsidRDefault="006C6A43" w14:paraId="77AA0631" w14:textId="3EBA8B40">
      <w:pPr>
        <w:spacing w:line="240" w:lineRule="auto"/>
        <w:ind w:left="360"/>
        <w:jc w:val="both"/>
        <w:rPr>
          <w:rFonts w:ascii="Times New Roman" w:hAnsi="Times New Roman"/>
          <w:sz w:val="24"/>
          <w:szCs w:val="24"/>
        </w:rPr>
      </w:pPr>
      <w:r w:rsidRPr="00B37B02">
        <w:rPr>
          <w:rFonts w:ascii="Times New Roman" w:hAnsi="Times New Roman"/>
          <w:sz w:val="24"/>
          <w:szCs w:val="24"/>
        </w:rPr>
        <w:t xml:space="preserve">The estimation strategy for survey-based outcomes is the same as that used for those collected from administrative records. We will use regression adjustment to increase the power of statistical tests that are performed, in which the outcome, such as “employment during Year 1” is regressed on an indicator for program group status and a range of other background characteristics. </w:t>
      </w:r>
    </w:p>
    <w:p w:rsidRPr="00B37B02" w:rsidR="006C6A43" w:rsidP="00100E56" w:rsidRDefault="006C6A43" w14:paraId="50BC8D0C" w14:textId="77777777">
      <w:pPr>
        <w:autoSpaceDE w:val="0"/>
        <w:autoSpaceDN w:val="0"/>
        <w:adjustRightInd w:val="0"/>
        <w:spacing w:after="240" w:line="240" w:lineRule="auto"/>
        <w:ind w:left="360"/>
        <w:jc w:val="both"/>
        <w:rPr>
          <w:rFonts w:ascii="Times New Roman" w:hAnsi="Times New Roman"/>
          <w:color w:val="000000"/>
          <w:sz w:val="24"/>
          <w:szCs w:val="24"/>
        </w:rPr>
      </w:pPr>
      <w:r w:rsidRPr="00B37B02">
        <w:rPr>
          <w:rFonts w:ascii="Times New Roman" w:hAnsi="Times New Roman"/>
          <w:color w:val="000000"/>
          <w:sz w:val="24"/>
          <w:szCs w:val="24"/>
        </w:rPr>
        <w:t xml:space="preserve">The general form of the regression models which will be used to estimate program impacts is as follows:  </w:t>
      </w:r>
    </w:p>
    <w:p w:rsidRPr="00B37B02" w:rsidR="006C6A43" w:rsidP="00100E56" w:rsidRDefault="006C6A43" w14:paraId="6C7BD9F3" w14:textId="77777777">
      <w:pPr>
        <w:autoSpaceDE w:val="0"/>
        <w:autoSpaceDN w:val="0"/>
        <w:adjustRightInd w:val="0"/>
        <w:spacing w:after="240" w:line="240" w:lineRule="auto"/>
        <w:ind w:left="360" w:firstLine="720"/>
        <w:jc w:val="both"/>
        <w:rPr>
          <w:rFonts w:ascii="Times New Roman" w:hAnsi="Times New Roman"/>
          <w:color w:val="000000"/>
          <w:sz w:val="24"/>
          <w:szCs w:val="24"/>
        </w:rPr>
      </w:pPr>
      <w:r w:rsidRPr="00B37B02">
        <w:rPr>
          <w:rFonts w:ascii="Times New Roman" w:hAnsi="Times New Roman"/>
          <w:i/>
          <w:iCs/>
          <w:color w:val="000000"/>
          <w:sz w:val="24"/>
          <w:szCs w:val="24"/>
        </w:rPr>
        <w:t xml:space="preserve">Yi = α + βPi + </w:t>
      </w:r>
      <w:proofErr w:type="spellStart"/>
      <w:r w:rsidRPr="00B37B02">
        <w:rPr>
          <w:rFonts w:ascii="Times New Roman" w:hAnsi="Times New Roman"/>
          <w:i/>
          <w:iCs/>
          <w:color w:val="000000"/>
          <w:sz w:val="24"/>
          <w:szCs w:val="24"/>
        </w:rPr>
        <w:t>δXi</w:t>
      </w:r>
      <w:proofErr w:type="spellEnd"/>
      <w:r w:rsidRPr="00B37B02">
        <w:rPr>
          <w:rFonts w:ascii="Times New Roman" w:hAnsi="Times New Roman"/>
          <w:i/>
          <w:iCs/>
          <w:color w:val="000000"/>
          <w:sz w:val="24"/>
          <w:szCs w:val="24"/>
        </w:rPr>
        <w:t xml:space="preserve"> + </w:t>
      </w:r>
      <w:proofErr w:type="spellStart"/>
      <w:r w:rsidRPr="00B37B02">
        <w:rPr>
          <w:rFonts w:ascii="Times New Roman" w:hAnsi="Times New Roman"/>
          <w:i/>
          <w:iCs/>
          <w:color w:val="000000"/>
          <w:sz w:val="24"/>
          <w:szCs w:val="24"/>
        </w:rPr>
        <w:t>εi</w:t>
      </w:r>
      <w:proofErr w:type="spellEnd"/>
      <w:r w:rsidRPr="00B37B02">
        <w:rPr>
          <w:rFonts w:ascii="Times New Roman" w:hAnsi="Times New Roman"/>
          <w:i/>
          <w:iCs/>
          <w:color w:val="000000"/>
          <w:sz w:val="24"/>
          <w:szCs w:val="24"/>
        </w:rPr>
        <w:t xml:space="preserve"> </w:t>
      </w:r>
    </w:p>
    <w:p w:rsidRPr="00B37B02" w:rsidR="006C6A43" w:rsidP="00100E56" w:rsidRDefault="006C6A43" w14:paraId="66654240" w14:textId="77777777">
      <w:pPr>
        <w:autoSpaceDE w:val="0"/>
        <w:autoSpaceDN w:val="0"/>
        <w:adjustRightInd w:val="0"/>
        <w:spacing w:after="240" w:line="240" w:lineRule="auto"/>
        <w:ind w:left="360" w:firstLine="720"/>
        <w:jc w:val="both"/>
        <w:rPr>
          <w:rFonts w:ascii="Times New Roman" w:hAnsi="Times New Roman"/>
          <w:color w:val="000000"/>
          <w:sz w:val="24"/>
          <w:szCs w:val="24"/>
        </w:rPr>
      </w:pPr>
      <w:r w:rsidRPr="00B37B02">
        <w:rPr>
          <w:rFonts w:ascii="Times New Roman" w:hAnsi="Times New Roman"/>
          <w:color w:val="000000"/>
          <w:sz w:val="24"/>
          <w:szCs w:val="24"/>
        </w:rPr>
        <w:t xml:space="preserve">where </w:t>
      </w:r>
    </w:p>
    <w:p w:rsidRPr="00B37B02" w:rsidR="006C6A43" w:rsidP="00100E56" w:rsidRDefault="006C6A43" w14:paraId="55AB7E92" w14:textId="77777777">
      <w:pPr>
        <w:autoSpaceDE w:val="0"/>
        <w:autoSpaceDN w:val="0"/>
        <w:adjustRightInd w:val="0"/>
        <w:spacing w:after="240" w:line="240" w:lineRule="auto"/>
        <w:ind w:left="360" w:firstLine="720"/>
        <w:jc w:val="both"/>
        <w:rPr>
          <w:rFonts w:ascii="Times New Roman" w:hAnsi="Times New Roman"/>
          <w:color w:val="000000"/>
          <w:sz w:val="24"/>
          <w:szCs w:val="24"/>
        </w:rPr>
      </w:pPr>
      <w:r w:rsidRPr="00B37B02">
        <w:rPr>
          <w:rFonts w:ascii="Times New Roman" w:hAnsi="Times New Roman"/>
          <w:i/>
          <w:color w:val="000000"/>
          <w:sz w:val="24"/>
          <w:szCs w:val="24"/>
        </w:rPr>
        <w:lastRenderedPageBreak/>
        <w:t>Y</w:t>
      </w:r>
      <w:r w:rsidRPr="00B37B02">
        <w:rPr>
          <w:rFonts w:ascii="Times New Roman" w:hAnsi="Times New Roman"/>
          <w:color w:val="000000"/>
          <w:sz w:val="24"/>
          <w:szCs w:val="24"/>
          <w:vertAlign w:val="subscript"/>
        </w:rPr>
        <w:t>i</w:t>
      </w:r>
      <w:r w:rsidRPr="00B37B02">
        <w:rPr>
          <w:rFonts w:ascii="Times New Roman" w:hAnsi="Times New Roman"/>
          <w:color w:val="000000"/>
          <w:sz w:val="24"/>
          <w:szCs w:val="24"/>
        </w:rPr>
        <w:t xml:space="preserve"> is the outcome measure for sample member </w:t>
      </w:r>
      <w:proofErr w:type="gramStart"/>
      <w:r w:rsidRPr="00B37B02">
        <w:rPr>
          <w:rFonts w:ascii="Times New Roman" w:hAnsi="Times New Roman"/>
          <w:color w:val="000000"/>
          <w:sz w:val="24"/>
          <w:szCs w:val="24"/>
        </w:rPr>
        <w:t>i;</w:t>
      </w:r>
      <w:proofErr w:type="gramEnd"/>
      <w:r w:rsidRPr="00B37B02">
        <w:rPr>
          <w:rFonts w:ascii="Times New Roman" w:hAnsi="Times New Roman"/>
          <w:color w:val="000000"/>
          <w:sz w:val="24"/>
          <w:szCs w:val="24"/>
        </w:rPr>
        <w:t xml:space="preserve"> </w:t>
      </w:r>
    </w:p>
    <w:p w:rsidRPr="00B37B02" w:rsidR="006C6A43" w:rsidP="00100E56" w:rsidRDefault="006C6A43" w14:paraId="2F238167" w14:textId="77777777">
      <w:pPr>
        <w:autoSpaceDE w:val="0"/>
        <w:autoSpaceDN w:val="0"/>
        <w:adjustRightInd w:val="0"/>
        <w:spacing w:after="240" w:line="240" w:lineRule="auto"/>
        <w:ind w:left="360" w:firstLine="720"/>
        <w:jc w:val="both"/>
        <w:rPr>
          <w:rFonts w:ascii="Times New Roman" w:hAnsi="Times New Roman"/>
          <w:color w:val="000000"/>
          <w:sz w:val="24"/>
          <w:szCs w:val="24"/>
        </w:rPr>
      </w:pPr>
      <w:r w:rsidRPr="00B37B02">
        <w:rPr>
          <w:rFonts w:ascii="Times New Roman" w:hAnsi="Times New Roman"/>
          <w:color w:val="000000"/>
          <w:sz w:val="24"/>
          <w:szCs w:val="24"/>
        </w:rPr>
        <w:t>P</w:t>
      </w:r>
      <w:r w:rsidRPr="00B37B02">
        <w:rPr>
          <w:rFonts w:ascii="Times New Roman" w:hAnsi="Times New Roman"/>
          <w:color w:val="000000"/>
          <w:sz w:val="24"/>
          <w:szCs w:val="24"/>
          <w:vertAlign w:val="subscript"/>
        </w:rPr>
        <w:t>i</w:t>
      </w:r>
      <w:r w:rsidRPr="00B37B02">
        <w:rPr>
          <w:rFonts w:ascii="Times New Roman" w:hAnsi="Times New Roman"/>
          <w:color w:val="000000"/>
          <w:sz w:val="24"/>
          <w:szCs w:val="24"/>
        </w:rPr>
        <w:t xml:space="preserve"> equals one for program group members and zero for control group </w:t>
      </w:r>
      <w:proofErr w:type="gramStart"/>
      <w:r w:rsidRPr="00B37B02">
        <w:rPr>
          <w:rFonts w:ascii="Times New Roman" w:hAnsi="Times New Roman"/>
          <w:color w:val="000000"/>
          <w:sz w:val="24"/>
          <w:szCs w:val="24"/>
        </w:rPr>
        <w:t>members;</w:t>
      </w:r>
      <w:proofErr w:type="gramEnd"/>
      <w:r w:rsidRPr="00B37B02">
        <w:rPr>
          <w:rFonts w:ascii="Times New Roman" w:hAnsi="Times New Roman"/>
          <w:color w:val="000000"/>
          <w:sz w:val="24"/>
          <w:szCs w:val="24"/>
        </w:rPr>
        <w:t xml:space="preserve"> </w:t>
      </w:r>
    </w:p>
    <w:p w:rsidRPr="00B37B02" w:rsidR="006C6A43" w:rsidP="00100E56" w:rsidRDefault="006C6A43" w14:paraId="00282882" w14:textId="77777777">
      <w:pPr>
        <w:autoSpaceDE w:val="0"/>
        <w:autoSpaceDN w:val="0"/>
        <w:adjustRightInd w:val="0"/>
        <w:spacing w:after="240" w:line="240" w:lineRule="auto"/>
        <w:ind w:left="360" w:firstLine="720"/>
        <w:jc w:val="both"/>
        <w:rPr>
          <w:rFonts w:ascii="Times New Roman" w:hAnsi="Times New Roman"/>
          <w:color w:val="000000"/>
          <w:sz w:val="24"/>
          <w:szCs w:val="24"/>
        </w:rPr>
      </w:pPr>
      <w:r w:rsidRPr="00B37B02">
        <w:rPr>
          <w:rFonts w:ascii="Times New Roman" w:hAnsi="Times New Roman"/>
          <w:color w:val="000000"/>
          <w:sz w:val="24"/>
          <w:szCs w:val="24"/>
        </w:rPr>
        <w:t>X</w:t>
      </w:r>
      <w:r w:rsidRPr="00B37B02">
        <w:rPr>
          <w:rFonts w:ascii="Times New Roman" w:hAnsi="Times New Roman"/>
          <w:color w:val="000000"/>
          <w:sz w:val="24"/>
          <w:szCs w:val="24"/>
          <w:vertAlign w:val="subscript"/>
        </w:rPr>
        <w:t>i</w:t>
      </w:r>
      <w:r w:rsidRPr="00B37B02">
        <w:rPr>
          <w:rFonts w:ascii="Times New Roman" w:hAnsi="Times New Roman"/>
          <w:color w:val="000000"/>
          <w:sz w:val="24"/>
          <w:szCs w:val="24"/>
        </w:rPr>
        <w:t xml:space="preserve"> is a set of background characteristics for sample member i; and </w:t>
      </w:r>
    </w:p>
    <w:p w:rsidRPr="00B37B02" w:rsidR="006C6A43" w:rsidP="00100E56" w:rsidRDefault="006C6A43" w14:paraId="1FA6BFC5" w14:textId="77777777">
      <w:pPr>
        <w:autoSpaceDE w:val="0"/>
        <w:autoSpaceDN w:val="0"/>
        <w:adjustRightInd w:val="0"/>
        <w:spacing w:after="240" w:line="240" w:lineRule="auto"/>
        <w:ind w:left="360" w:firstLine="720"/>
        <w:jc w:val="both"/>
        <w:rPr>
          <w:rFonts w:ascii="Times New Roman" w:hAnsi="Times New Roman"/>
          <w:color w:val="000000"/>
          <w:sz w:val="24"/>
          <w:szCs w:val="24"/>
        </w:rPr>
      </w:pPr>
      <w:proofErr w:type="spellStart"/>
      <w:r w:rsidRPr="00B37B02">
        <w:rPr>
          <w:rFonts w:ascii="Times New Roman" w:hAnsi="Times New Roman"/>
          <w:color w:val="000000"/>
          <w:sz w:val="24"/>
          <w:szCs w:val="24"/>
        </w:rPr>
        <w:t>ε</w:t>
      </w:r>
      <w:r w:rsidRPr="00B37B02">
        <w:rPr>
          <w:rFonts w:ascii="Times New Roman" w:hAnsi="Times New Roman"/>
          <w:color w:val="000000"/>
          <w:sz w:val="24"/>
          <w:szCs w:val="24"/>
          <w:vertAlign w:val="subscript"/>
        </w:rPr>
        <w:t>i</w:t>
      </w:r>
      <w:proofErr w:type="spellEnd"/>
      <w:r w:rsidRPr="00B37B02">
        <w:rPr>
          <w:rFonts w:ascii="Times New Roman" w:hAnsi="Times New Roman"/>
          <w:color w:val="000000"/>
          <w:sz w:val="24"/>
          <w:szCs w:val="24"/>
        </w:rPr>
        <w:t xml:space="preserve"> is a random error term for sample member i.  </w:t>
      </w:r>
    </w:p>
    <w:p w:rsidRPr="00B37B02" w:rsidR="006C6A43" w:rsidP="00100E56" w:rsidRDefault="006C6A43" w14:paraId="5B17B96A" w14:textId="2D199166">
      <w:pPr>
        <w:autoSpaceDE w:val="0"/>
        <w:autoSpaceDN w:val="0"/>
        <w:adjustRightInd w:val="0"/>
        <w:spacing w:after="240" w:line="240" w:lineRule="auto"/>
        <w:ind w:left="360"/>
        <w:jc w:val="both"/>
        <w:rPr>
          <w:rFonts w:ascii="Times New Roman" w:hAnsi="Times New Roman"/>
          <w:color w:val="000000"/>
          <w:sz w:val="24"/>
          <w:szCs w:val="24"/>
        </w:rPr>
      </w:pPr>
      <w:r w:rsidRPr="00B37B02">
        <w:rPr>
          <w:rFonts w:ascii="Times New Roman" w:hAnsi="Times New Roman"/>
          <w:color w:val="000000"/>
          <w:sz w:val="24"/>
          <w:szCs w:val="24"/>
        </w:rPr>
        <w:t xml:space="preserve">The coefficient β is interpreted as the impact of the program on the outcome.  The regression coefficients, δ, reflect the influence of background characteristics.  </w:t>
      </w:r>
    </w:p>
    <w:p w:rsidR="00915173" w:rsidP="00100E56" w:rsidRDefault="006C6A43" w14:paraId="25E16CA3" w14:textId="77777777">
      <w:pPr>
        <w:autoSpaceDE w:val="0"/>
        <w:autoSpaceDN w:val="0"/>
        <w:adjustRightInd w:val="0"/>
        <w:spacing w:after="240" w:line="240" w:lineRule="auto"/>
        <w:ind w:left="360"/>
        <w:jc w:val="both"/>
        <w:rPr>
          <w:rFonts w:ascii="Times New Roman" w:hAnsi="Times New Roman"/>
          <w:color w:val="000000"/>
          <w:sz w:val="24"/>
          <w:szCs w:val="24"/>
        </w:rPr>
      </w:pPr>
      <w:r w:rsidRPr="00B37B02">
        <w:rPr>
          <w:rFonts w:ascii="Times New Roman" w:hAnsi="Times New Roman"/>
          <w:color w:val="000000"/>
          <w:sz w:val="24"/>
          <w:szCs w:val="24"/>
        </w:rPr>
        <w:t xml:space="preserve">We may vary the functional form and estimation method depending on the scale of measurement of the outcome for which impacts are estimates; for example, continuous outcomes will be estimated using ordinary least squares (OLS) regression. </w:t>
      </w:r>
      <w:r w:rsidRPr="00B37B02">
        <w:rPr>
          <w:rFonts w:ascii="Times New Roman" w:hAnsi="Times New Roman"/>
          <w:sz w:val="24"/>
          <w:szCs w:val="24"/>
        </w:rPr>
        <w:t xml:space="preserve">We can use a more complex set of methods depending on the nature of the dependent variable and the type of issues being addressed, such as: logistic regressions for binary outcomes (e.g., employed or not); Poisson regressions for outcomes that take on only a few values (e.g., months of employment); and quantile regressions to examine the distribution of outcomes for continuous outcomes. </w:t>
      </w:r>
    </w:p>
    <w:p w:rsidR="00942FD1" w:rsidP="00100E56" w:rsidRDefault="006C6A43" w14:paraId="0FFBE84B" w14:textId="77777777">
      <w:pPr>
        <w:autoSpaceDE w:val="0"/>
        <w:autoSpaceDN w:val="0"/>
        <w:adjustRightInd w:val="0"/>
        <w:spacing w:after="240" w:line="240" w:lineRule="auto"/>
        <w:ind w:left="360"/>
        <w:jc w:val="both"/>
        <w:rPr>
          <w:rFonts w:ascii="Times New Roman" w:hAnsi="Times New Roman"/>
          <w:color w:val="000000"/>
          <w:sz w:val="24"/>
          <w:szCs w:val="24"/>
        </w:rPr>
      </w:pPr>
      <w:r w:rsidRPr="00B37B02">
        <w:rPr>
          <w:rFonts w:ascii="Times New Roman" w:hAnsi="Times New Roman"/>
          <w:sz w:val="24"/>
          <w:szCs w:val="24"/>
        </w:rPr>
        <w:t xml:space="preserve">The evaluation will examine many outcomes across </w:t>
      </w:r>
      <w:proofErr w:type="gramStart"/>
      <w:r w:rsidRPr="00B37B02">
        <w:rPr>
          <w:rFonts w:ascii="Times New Roman" w:hAnsi="Times New Roman"/>
          <w:sz w:val="24"/>
          <w:szCs w:val="24"/>
        </w:rPr>
        <w:t>a number of</w:t>
      </w:r>
      <w:proofErr w:type="gramEnd"/>
      <w:r w:rsidRPr="00B37B02">
        <w:rPr>
          <w:rFonts w:ascii="Times New Roman" w:hAnsi="Times New Roman"/>
          <w:sz w:val="24"/>
          <w:szCs w:val="24"/>
        </w:rPr>
        <w:t xml:space="preserve"> domains. When multiple outcomes are examined, the probability of finding statistically significant effects increases, even when the intervention has no effect. For example, if 10 outcomes are examined in a study of an ineffective treatment, it is likely that one of them will be statistically significant at the ten percent level by chance. </w:t>
      </w:r>
    </w:p>
    <w:p w:rsidRPr="00386593" w:rsidR="006C6A43" w:rsidP="00100E56" w:rsidRDefault="006C6A43" w14:paraId="55AE1187" w14:textId="1A78BB61">
      <w:pPr>
        <w:autoSpaceDE w:val="0"/>
        <w:autoSpaceDN w:val="0"/>
        <w:adjustRightInd w:val="0"/>
        <w:spacing w:after="240" w:line="240" w:lineRule="auto"/>
        <w:ind w:left="360"/>
        <w:jc w:val="both"/>
        <w:rPr>
          <w:rFonts w:ascii="Times New Roman" w:hAnsi="Times New Roman"/>
          <w:color w:val="000000"/>
          <w:sz w:val="24"/>
          <w:szCs w:val="24"/>
        </w:rPr>
      </w:pPr>
      <w:r w:rsidRPr="00B37B02">
        <w:rPr>
          <w:rFonts w:ascii="Times New Roman" w:hAnsi="Times New Roman"/>
          <w:sz w:val="24"/>
          <w:szCs w:val="24"/>
        </w:rPr>
        <w:t xml:space="preserve">While the statistical community has not reached consensus on the appropriate method of correcting for this problem, we propose to address it by being parsimonious in our selection of outcome variables. </w:t>
      </w:r>
      <w:proofErr w:type="gramStart"/>
      <w:r w:rsidRPr="00B37B02">
        <w:rPr>
          <w:rFonts w:ascii="Times New Roman" w:hAnsi="Times New Roman"/>
          <w:sz w:val="24"/>
          <w:szCs w:val="24"/>
        </w:rPr>
        <w:t>In particular, we</w:t>
      </w:r>
      <w:proofErr w:type="gramEnd"/>
      <w:r w:rsidRPr="00B37B02">
        <w:rPr>
          <w:rFonts w:ascii="Times New Roman" w:hAnsi="Times New Roman"/>
          <w:sz w:val="24"/>
          <w:szCs w:val="24"/>
        </w:rPr>
        <w:t xml:space="preserve"> </w:t>
      </w:r>
      <w:r w:rsidR="006F27DF">
        <w:rPr>
          <w:rFonts w:ascii="Times New Roman" w:hAnsi="Times New Roman"/>
          <w:sz w:val="24"/>
          <w:szCs w:val="24"/>
        </w:rPr>
        <w:t>identified</w:t>
      </w:r>
      <w:r w:rsidRPr="00B37B02">
        <w:rPr>
          <w:rFonts w:ascii="Times New Roman" w:hAnsi="Times New Roman"/>
          <w:sz w:val="24"/>
          <w:szCs w:val="24"/>
        </w:rPr>
        <w:t xml:space="preserve"> a set of “primary” outcomes before beginning the impact analysis.  All other outcomes and subgroups </w:t>
      </w:r>
      <w:r w:rsidR="006F27DF">
        <w:rPr>
          <w:rFonts w:ascii="Times New Roman" w:hAnsi="Times New Roman"/>
          <w:sz w:val="24"/>
          <w:szCs w:val="24"/>
        </w:rPr>
        <w:t xml:space="preserve">are </w:t>
      </w:r>
      <w:r w:rsidRPr="00B37B02">
        <w:rPr>
          <w:rFonts w:ascii="Times New Roman" w:hAnsi="Times New Roman"/>
          <w:sz w:val="24"/>
          <w:szCs w:val="24"/>
        </w:rPr>
        <w:t xml:space="preserve">considered “secondary” and will be used to provide context for the primary impact findings or to generate hypotheses about impacts. </w:t>
      </w:r>
      <w:proofErr w:type="spellStart"/>
      <w:r w:rsidRPr="00B37B02">
        <w:rPr>
          <w:rFonts w:ascii="Times New Roman" w:hAnsi="Times New Roman"/>
          <w:sz w:val="24"/>
          <w:szCs w:val="24"/>
        </w:rPr>
        <w:t>Schochet</w:t>
      </w:r>
      <w:proofErr w:type="spellEnd"/>
      <w:r w:rsidRPr="00B37B02">
        <w:rPr>
          <w:rFonts w:ascii="Times New Roman" w:hAnsi="Times New Roman"/>
          <w:sz w:val="24"/>
          <w:szCs w:val="24"/>
        </w:rPr>
        <w:t xml:space="preserve"> (2008) suggests that this strategy is flexible enough to credibly test the key hypotheses about the program, while at the same time allowing the analyst to examine a range of outcomes in a more exploratory manner in order to uncover policy-relevant information. </w:t>
      </w:r>
    </w:p>
    <w:p w:rsidRPr="00F21618" w:rsidR="00386593" w:rsidP="00100E56" w:rsidRDefault="006C6A43" w14:paraId="21387F73" w14:textId="77777777">
      <w:pPr>
        <w:widowControl w:val="0"/>
        <w:spacing w:line="240" w:lineRule="auto"/>
        <w:ind w:left="360" w:firstLine="360"/>
        <w:jc w:val="both"/>
        <w:rPr>
          <w:rFonts w:ascii="Times New Roman" w:hAnsi="Times New Roman"/>
          <w:sz w:val="24"/>
          <w:szCs w:val="24"/>
        </w:rPr>
      </w:pPr>
      <w:r w:rsidRPr="00F21618">
        <w:rPr>
          <w:rFonts w:ascii="Times New Roman" w:hAnsi="Times New Roman"/>
          <w:b/>
          <w:sz w:val="24"/>
          <w:szCs w:val="24"/>
        </w:rPr>
        <w:t>Minimum Detectable Effect Size</w:t>
      </w:r>
    </w:p>
    <w:p w:rsidRPr="00F21618" w:rsidR="006C6A43" w:rsidP="00100E56" w:rsidRDefault="006C6A43" w14:paraId="182C9378" w14:textId="59BF76AC">
      <w:pPr>
        <w:widowControl w:val="0"/>
        <w:spacing w:line="240" w:lineRule="auto"/>
        <w:ind w:left="360"/>
        <w:jc w:val="both"/>
        <w:rPr>
          <w:rFonts w:ascii="Times New Roman" w:hAnsi="Times New Roman"/>
          <w:sz w:val="24"/>
          <w:szCs w:val="24"/>
        </w:rPr>
      </w:pPr>
      <w:r w:rsidRPr="00F21618">
        <w:rPr>
          <w:rFonts w:ascii="Times New Roman" w:hAnsi="Times New Roman"/>
          <w:sz w:val="24"/>
          <w:szCs w:val="24"/>
        </w:rPr>
        <w:t>MDRC has enrolled 2,551 households, across the 18 PHAs participating in the evaluation, with half assigned to the program group and half assigned to a control group.</w:t>
      </w:r>
      <w:r w:rsidRPr="00F21618" w:rsidR="00B77BCC">
        <w:rPr>
          <w:rFonts w:ascii="Times New Roman" w:hAnsi="Times New Roman"/>
          <w:sz w:val="24"/>
          <w:szCs w:val="24"/>
        </w:rPr>
        <w:t xml:space="preserve"> For th</w:t>
      </w:r>
      <w:r w:rsidRPr="00F21618" w:rsidR="006D3A45">
        <w:rPr>
          <w:rFonts w:ascii="Times New Roman" w:hAnsi="Times New Roman"/>
          <w:sz w:val="24"/>
          <w:szCs w:val="24"/>
        </w:rPr>
        <w:t>e long-term follow-up</w:t>
      </w:r>
      <w:r w:rsidRPr="00F21618" w:rsidR="00B77BCC">
        <w:rPr>
          <w:rFonts w:ascii="Times New Roman" w:hAnsi="Times New Roman"/>
          <w:sz w:val="24"/>
          <w:szCs w:val="24"/>
        </w:rPr>
        <w:t xml:space="preserve"> survey, </w:t>
      </w:r>
      <w:r w:rsidRPr="00F21618" w:rsidR="0043432C">
        <w:rPr>
          <w:rFonts w:ascii="Times New Roman" w:hAnsi="Times New Roman"/>
          <w:sz w:val="24"/>
          <w:szCs w:val="24"/>
        </w:rPr>
        <w:t>MDRC will derive a random sample of 1,300</w:t>
      </w:r>
      <w:r w:rsidRPr="00F21618" w:rsidR="006D3A45">
        <w:rPr>
          <w:rFonts w:ascii="Times New Roman" w:hAnsi="Times New Roman"/>
          <w:sz w:val="24"/>
          <w:szCs w:val="24"/>
        </w:rPr>
        <w:t xml:space="preserve"> households from the full sample.</w:t>
      </w:r>
      <w:r w:rsidRPr="00F21618">
        <w:rPr>
          <w:rFonts w:ascii="Times New Roman" w:hAnsi="Times New Roman"/>
          <w:sz w:val="24"/>
          <w:szCs w:val="24"/>
        </w:rPr>
        <w:t xml:space="preserve"> MDRC will work to achieve a survey response rate of </w:t>
      </w:r>
      <w:r w:rsidRPr="00F21618" w:rsidR="005A7B86">
        <w:rPr>
          <w:rFonts w:ascii="Times New Roman" w:hAnsi="Times New Roman"/>
          <w:sz w:val="24"/>
          <w:szCs w:val="24"/>
        </w:rPr>
        <w:t>60 to 70</w:t>
      </w:r>
      <w:r w:rsidRPr="00F21618">
        <w:rPr>
          <w:rFonts w:ascii="Times New Roman" w:hAnsi="Times New Roman"/>
          <w:sz w:val="24"/>
          <w:szCs w:val="24"/>
        </w:rPr>
        <w:t xml:space="preserve"> percent, creating an effective survey sample of approximately </w:t>
      </w:r>
      <w:r w:rsidRPr="00F21618" w:rsidR="00FD346B">
        <w:rPr>
          <w:rFonts w:ascii="Times New Roman" w:hAnsi="Times New Roman"/>
          <w:sz w:val="24"/>
          <w:szCs w:val="24"/>
        </w:rPr>
        <w:t>780 to 910</w:t>
      </w:r>
      <w:r w:rsidRPr="00F21618">
        <w:rPr>
          <w:rFonts w:ascii="Times New Roman" w:hAnsi="Times New Roman"/>
          <w:sz w:val="24"/>
          <w:szCs w:val="24"/>
        </w:rPr>
        <w:t xml:space="preserve"> households. A sample size of</w:t>
      </w:r>
      <w:r w:rsidRPr="00F21618" w:rsidR="003459C1">
        <w:rPr>
          <w:rFonts w:ascii="Times New Roman" w:hAnsi="Times New Roman"/>
          <w:sz w:val="24"/>
          <w:szCs w:val="24"/>
        </w:rPr>
        <w:t xml:space="preserve"> about 400 to 450</w:t>
      </w:r>
      <w:r w:rsidRPr="00F21618">
        <w:rPr>
          <w:rFonts w:ascii="Times New Roman" w:hAnsi="Times New Roman"/>
          <w:sz w:val="24"/>
          <w:szCs w:val="24"/>
        </w:rPr>
        <w:t xml:space="preserve"> per research group is large enough to detect policy relevant impacts on outcomes measured through the survey for the survey sample. </w:t>
      </w:r>
    </w:p>
    <w:p w:rsidRPr="00F21618" w:rsidR="00BB7CFA" w:rsidP="00100E56" w:rsidRDefault="006C6A43" w14:paraId="382F3CFC" w14:textId="77777777">
      <w:pPr>
        <w:pStyle w:val="NoSpacing"/>
        <w:widowControl w:val="0"/>
        <w:ind w:left="360"/>
        <w:jc w:val="both"/>
        <w:rPr>
          <w:rFonts w:ascii="Times New Roman" w:hAnsi="Times New Roman"/>
          <w:sz w:val="24"/>
          <w:szCs w:val="24"/>
        </w:rPr>
      </w:pPr>
      <w:r w:rsidRPr="00F21618">
        <w:rPr>
          <w:rFonts w:ascii="Times New Roman" w:hAnsi="Times New Roman"/>
          <w:sz w:val="24"/>
          <w:szCs w:val="24"/>
        </w:rPr>
        <w:t xml:space="preserve">It is useful to consider the concept of Minimum Detectable Effects (MDEs) to explore the size of program impacts that are likely to be observed or detected for a set of outcomes and a given </w:t>
      </w:r>
      <w:r w:rsidRPr="00F21618">
        <w:rPr>
          <w:rFonts w:ascii="Times New Roman" w:hAnsi="Times New Roman"/>
          <w:sz w:val="24"/>
          <w:szCs w:val="24"/>
        </w:rPr>
        <w:lastRenderedPageBreak/>
        <w:t>sample size. Since these are estimates, the actual MDEs may be smaller or larger than what is shown here. The estimates shown are likely to be conservative, since they assume that baseline variables are not used in the impact model to improve precision. Pre-random assignment values of key outcomes, such as employment and earnings, are likely to be highly predictive of post-random assignment values of the same outcome. In this case, the increased precision brought about by including these variables in the impact model can reduce the MDEs considerably.</w:t>
      </w:r>
    </w:p>
    <w:p w:rsidRPr="00F21618" w:rsidR="00BB7CFA" w:rsidP="00100E56" w:rsidRDefault="00BB7CFA" w14:paraId="3D6BAC74" w14:textId="77777777">
      <w:pPr>
        <w:pStyle w:val="NoSpacing"/>
        <w:widowControl w:val="0"/>
        <w:ind w:left="360" w:firstLine="432"/>
        <w:jc w:val="both"/>
        <w:rPr>
          <w:rFonts w:ascii="Times New Roman" w:hAnsi="Times New Roman"/>
          <w:sz w:val="24"/>
          <w:szCs w:val="24"/>
        </w:rPr>
      </w:pPr>
    </w:p>
    <w:p w:rsidRPr="00F21618" w:rsidR="006C6A43" w:rsidP="00100E56" w:rsidRDefault="006C6A43" w14:paraId="2D15A09B" w14:textId="06DA429E">
      <w:pPr>
        <w:pStyle w:val="NoSpacing"/>
        <w:widowControl w:val="0"/>
        <w:ind w:left="360"/>
        <w:jc w:val="both"/>
        <w:rPr>
          <w:rFonts w:ascii="Times New Roman" w:hAnsi="Times New Roman"/>
          <w:sz w:val="24"/>
          <w:szCs w:val="24"/>
        </w:rPr>
      </w:pPr>
      <w:r w:rsidRPr="00F21618">
        <w:rPr>
          <w:rFonts w:ascii="Times New Roman" w:hAnsi="Times New Roman"/>
          <w:sz w:val="24"/>
          <w:szCs w:val="24"/>
        </w:rPr>
        <w:t xml:space="preserve">Table 1 presents MDEs for the proposed sample size. The first </w:t>
      </w:r>
      <w:r w:rsidRPr="00F21618" w:rsidR="00ED7EBD">
        <w:rPr>
          <w:rFonts w:ascii="Times New Roman" w:hAnsi="Times New Roman"/>
          <w:sz w:val="24"/>
          <w:szCs w:val="24"/>
        </w:rPr>
        <w:t>row</w:t>
      </w:r>
      <w:r w:rsidRPr="00F21618">
        <w:rPr>
          <w:rFonts w:ascii="Times New Roman" w:hAnsi="Times New Roman"/>
          <w:sz w:val="24"/>
          <w:szCs w:val="24"/>
        </w:rPr>
        <w:t xml:space="preserve"> present MDEs for</w:t>
      </w:r>
      <w:r w:rsidRPr="00F21618" w:rsidR="00481474">
        <w:rPr>
          <w:rFonts w:ascii="Times New Roman" w:hAnsi="Times New Roman"/>
          <w:sz w:val="24"/>
          <w:szCs w:val="24"/>
        </w:rPr>
        <w:t xml:space="preserve"> employment at the time of the survey</w:t>
      </w:r>
      <w:r w:rsidRPr="00F21618">
        <w:rPr>
          <w:rFonts w:ascii="Times New Roman" w:hAnsi="Times New Roman"/>
          <w:sz w:val="24"/>
          <w:szCs w:val="24"/>
        </w:rPr>
        <w:t xml:space="preserve">. For the </w:t>
      </w:r>
      <w:r w:rsidRPr="00F21618" w:rsidR="00481474">
        <w:rPr>
          <w:rFonts w:ascii="Times New Roman" w:hAnsi="Times New Roman"/>
          <w:sz w:val="24"/>
          <w:szCs w:val="24"/>
        </w:rPr>
        <w:t xml:space="preserve">long-term follow-up </w:t>
      </w:r>
      <w:r w:rsidRPr="00F21618">
        <w:rPr>
          <w:rFonts w:ascii="Times New Roman" w:hAnsi="Times New Roman"/>
          <w:sz w:val="24"/>
          <w:szCs w:val="24"/>
        </w:rPr>
        <w:t xml:space="preserve">survey sample, the evaluation could detect effects (increases or decreases) </w:t>
      </w:r>
      <w:r w:rsidRPr="00F21618" w:rsidR="006F3F54">
        <w:rPr>
          <w:rFonts w:ascii="Times New Roman" w:hAnsi="Times New Roman"/>
          <w:sz w:val="24"/>
          <w:szCs w:val="24"/>
        </w:rPr>
        <w:t xml:space="preserve">of at least </w:t>
      </w:r>
      <w:r w:rsidRPr="00F21618" w:rsidR="00ED7EBD">
        <w:rPr>
          <w:rFonts w:ascii="Times New Roman" w:hAnsi="Times New Roman"/>
          <w:sz w:val="24"/>
          <w:szCs w:val="24"/>
        </w:rPr>
        <w:t>6.8</w:t>
      </w:r>
      <w:r w:rsidRPr="00F21618">
        <w:rPr>
          <w:rFonts w:ascii="Times New Roman" w:hAnsi="Times New Roman"/>
          <w:sz w:val="24"/>
          <w:szCs w:val="24"/>
        </w:rPr>
        <w:t xml:space="preserve"> percentage points on employment rate at the time of survey. The </w:t>
      </w:r>
      <w:r w:rsidRPr="00F21618" w:rsidR="00ED7EBD">
        <w:rPr>
          <w:rFonts w:ascii="Times New Roman" w:hAnsi="Times New Roman"/>
          <w:sz w:val="24"/>
          <w:szCs w:val="24"/>
        </w:rPr>
        <w:t>second</w:t>
      </w:r>
      <w:r w:rsidRPr="00F21618">
        <w:rPr>
          <w:rFonts w:ascii="Times New Roman" w:hAnsi="Times New Roman"/>
          <w:sz w:val="24"/>
          <w:szCs w:val="24"/>
        </w:rPr>
        <w:t xml:space="preserve"> row presents MDEs in terms of effect sizes (or the impact on a given outcome divided by the standard deviation of that outcome). Effect sizes are a useful way to present and compare impacts on outcomes that are measured in different units, such as family well-being scales. </w:t>
      </w:r>
      <w:r w:rsidRPr="00F21618" w:rsidR="00EA29A0">
        <w:rPr>
          <w:rFonts w:ascii="Times New Roman" w:hAnsi="Times New Roman"/>
          <w:sz w:val="24"/>
          <w:szCs w:val="24"/>
        </w:rPr>
        <w:t>T</w:t>
      </w:r>
      <w:r w:rsidRPr="00F21618">
        <w:rPr>
          <w:rFonts w:ascii="Times New Roman" w:hAnsi="Times New Roman"/>
          <w:sz w:val="24"/>
          <w:szCs w:val="24"/>
        </w:rPr>
        <w:t>he effects sizes</w:t>
      </w:r>
      <w:r w:rsidRPr="00F21618" w:rsidR="008C460D">
        <w:rPr>
          <w:rFonts w:ascii="Times New Roman" w:hAnsi="Times New Roman"/>
          <w:sz w:val="24"/>
          <w:szCs w:val="24"/>
        </w:rPr>
        <w:t xml:space="preserve"> outlined below</w:t>
      </w:r>
      <w:r w:rsidRPr="00F21618">
        <w:rPr>
          <w:rFonts w:ascii="Times New Roman" w:hAnsi="Times New Roman"/>
          <w:sz w:val="24"/>
          <w:szCs w:val="24"/>
        </w:rPr>
        <w:t xml:space="preserve"> are typically considered moderate in the evaluation literature. In sum, the proposed sample size is adequate for detecting effects on a range of outcomes that are relatively modest but still but meaningful from a policy standpoint.    </w:t>
      </w:r>
    </w:p>
    <w:tbl>
      <w:tblPr>
        <w:tblpPr w:leftFromText="180" w:rightFromText="180" w:vertAnchor="text" w:horzAnchor="margin" w:tblpXSpec="center" w:tblpY="706"/>
        <w:tblW w:w="3462" w:type="pct"/>
        <w:tblLayout w:type="fixed"/>
        <w:tblLook w:val="04A0" w:firstRow="1" w:lastRow="0" w:firstColumn="1" w:lastColumn="0" w:noHBand="0" w:noVBand="1"/>
      </w:tblPr>
      <w:tblGrid>
        <w:gridCol w:w="3060"/>
        <w:gridCol w:w="3421"/>
      </w:tblGrid>
      <w:tr w:rsidRPr="00100E56" w:rsidR="00CC122F" w:rsidTr="001E2E03" w14:paraId="44C1EAC7" w14:textId="77777777">
        <w:trPr>
          <w:trHeight w:val="242"/>
        </w:trPr>
        <w:tc>
          <w:tcPr>
            <w:tcW w:w="2361" w:type="pct"/>
            <w:tcBorders>
              <w:bottom w:val="single" w:color="auto" w:sz="4" w:space="0"/>
            </w:tcBorders>
            <w:shd w:val="clear" w:color="auto" w:fill="auto"/>
            <w:noWrap/>
            <w:vAlign w:val="bottom"/>
          </w:tcPr>
          <w:p w:rsidRPr="00F21618" w:rsidR="00CC122F" w:rsidP="00100E56" w:rsidRDefault="00CC122F" w14:paraId="1A445C11" w14:textId="77777777">
            <w:pPr>
              <w:spacing w:line="240" w:lineRule="auto"/>
              <w:jc w:val="both"/>
              <w:rPr>
                <w:rFonts w:ascii="Times New Roman" w:hAnsi="Times New Roman"/>
                <w:b/>
                <w:bCs/>
                <w:sz w:val="24"/>
                <w:szCs w:val="24"/>
              </w:rPr>
            </w:pPr>
          </w:p>
        </w:tc>
        <w:tc>
          <w:tcPr>
            <w:tcW w:w="2639" w:type="pct"/>
            <w:tcBorders>
              <w:bottom w:val="single" w:color="auto" w:sz="4" w:space="0"/>
            </w:tcBorders>
            <w:shd w:val="clear" w:color="auto" w:fill="auto"/>
            <w:noWrap/>
            <w:vAlign w:val="bottom"/>
          </w:tcPr>
          <w:p w:rsidRPr="00F21618" w:rsidR="00CC122F" w:rsidP="00100E56" w:rsidRDefault="00CC122F" w14:paraId="4B8CB099" w14:textId="77777777">
            <w:pPr>
              <w:spacing w:line="240" w:lineRule="auto"/>
              <w:jc w:val="both"/>
              <w:rPr>
                <w:rFonts w:ascii="Times New Roman" w:hAnsi="Times New Roman"/>
                <w:b/>
                <w:bCs/>
                <w:sz w:val="24"/>
                <w:szCs w:val="24"/>
              </w:rPr>
            </w:pPr>
          </w:p>
        </w:tc>
      </w:tr>
      <w:tr w:rsidRPr="00100E56" w:rsidR="00CC122F" w:rsidTr="001E2E03" w14:paraId="587055F3" w14:textId="77777777">
        <w:trPr>
          <w:trHeight w:val="242"/>
        </w:trPr>
        <w:tc>
          <w:tcPr>
            <w:tcW w:w="2361" w:type="pct"/>
            <w:tcBorders>
              <w:top w:val="single" w:color="auto" w:sz="4" w:space="0"/>
            </w:tcBorders>
            <w:shd w:val="clear" w:color="auto" w:fill="auto"/>
            <w:noWrap/>
            <w:vAlign w:val="bottom"/>
            <w:hideMark/>
          </w:tcPr>
          <w:p w:rsidRPr="00100E56" w:rsidR="00CC122F" w:rsidP="00100E56" w:rsidRDefault="00CC122F" w14:paraId="5E58BB51" w14:textId="77777777">
            <w:pPr>
              <w:spacing w:line="240" w:lineRule="auto"/>
              <w:jc w:val="both"/>
              <w:rPr>
                <w:rFonts w:ascii="Times New Roman" w:hAnsi="Times New Roman"/>
                <w:b/>
                <w:bCs/>
                <w:sz w:val="24"/>
                <w:szCs w:val="24"/>
              </w:rPr>
            </w:pPr>
          </w:p>
        </w:tc>
        <w:tc>
          <w:tcPr>
            <w:tcW w:w="2639" w:type="pct"/>
            <w:tcBorders>
              <w:top w:val="single" w:color="auto" w:sz="4" w:space="0"/>
            </w:tcBorders>
            <w:shd w:val="clear" w:color="auto" w:fill="auto"/>
            <w:noWrap/>
            <w:vAlign w:val="bottom"/>
            <w:hideMark/>
          </w:tcPr>
          <w:p w:rsidRPr="00100E56" w:rsidR="00CC122F" w:rsidP="00100E56" w:rsidRDefault="00CC122F" w14:paraId="0D170944" w14:textId="7055BD52">
            <w:pPr>
              <w:spacing w:line="240" w:lineRule="auto"/>
              <w:jc w:val="both"/>
              <w:rPr>
                <w:rFonts w:ascii="Times New Roman" w:hAnsi="Times New Roman"/>
                <w:b/>
                <w:bCs/>
                <w:sz w:val="24"/>
                <w:szCs w:val="24"/>
              </w:rPr>
            </w:pPr>
            <w:r w:rsidRPr="00100E56">
              <w:rPr>
                <w:rFonts w:ascii="Times New Roman" w:hAnsi="Times New Roman"/>
                <w:b/>
                <w:bCs/>
                <w:sz w:val="24"/>
                <w:szCs w:val="24"/>
              </w:rPr>
              <w:t xml:space="preserve">Survey </w:t>
            </w:r>
            <w:r w:rsidRPr="00100E56" w:rsidR="001E2E03">
              <w:rPr>
                <w:rFonts w:ascii="Times New Roman" w:hAnsi="Times New Roman"/>
                <w:b/>
                <w:bCs/>
                <w:sz w:val="24"/>
                <w:szCs w:val="24"/>
              </w:rPr>
              <w:t>s</w:t>
            </w:r>
            <w:r w:rsidRPr="00100E56">
              <w:rPr>
                <w:rFonts w:ascii="Times New Roman" w:hAnsi="Times New Roman"/>
                <w:b/>
                <w:bCs/>
                <w:sz w:val="24"/>
                <w:szCs w:val="24"/>
              </w:rPr>
              <w:t>ample</w:t>
            </w:r>
          </w:p>
        </w:tc>
      </w:tr>
      <w:tr w:rsidRPr="00100E56" w:rsidR="00CC122F" w:rsidTr="001E2E03" w14:paraId="12B9D6AA" w14:textId="77777777">
        <w:trPr>
          <w:trHeight w:val="285"/>
        </w:trPr>
        <w:tc>
          <w:tcPr>
            <w:tcW w:w="2361" w:type="pct"/>
            <w:tcBorders>
              <w:bottom w:val="single" w:color="auto" w:sz="4" w:space="0"/>
            </w:tcBorders>
            <w:shd w:val="clear" w:color="auto" w:fill="auto"/>
            <w:noWrap/>
            <w:vAlign w:val="bottom"/>
            <w:hideMark/>
          </w:tcPr>
          <w:p w:rsidRPr="00100E56" w:rsidR="00CC122F" w:rsidP="00100E56" w:rsidRDefault="00CC122F" w14:paraId="689E3766" w14:textId="77777777">
            <w:pPr>
              <w:spacing w:line="240" w:lineRule="auto"/>
              <w:jc w:val="both"/>
              <w:rPr>
                <w:rFonts w:ascii="Times New Roman" w:hAnsi="Times New Roman"/>
                <w:sz w:val="24"/>
                <w:szCs w:val="24"/>
              </w:rPr>
            </w:pPr>
          </w:p>
        </w:tc>
        <w:tc>
          <w:tcPr>
            <w:tcW w:w="2639" w:type="pct"/>
            <w:tcBorders>
              <w:bottom w:val="single" w:color="auto" w:sz="4" w:space="0"/>
            </w:tcBorders>
            <w:shd w:val="clear" w:color="auto" w:fill="auto"/>
            <w:noWrap/>
            <w:vAlign w:val="bottom"/>
            <w:hideMark/>
          </w:tcPr>
          <w:p w:rsidRPr="00100E56" w:rsidR="00CC122F" w:rsidP="00100E56" w:rsidRDefault="00CC122F" w14:paraId="18C02204" w14:textId="742A2994">
            <w:pPr>
              <w:spacing w:line="240" w:lineRule="auto"/>
              <w:ind w:firstLine="82"/>
              <w:jc w:val="both"/>
              <w:rPr>
                <w:rFonts w:ascii="Times New Roman" w:hAnsi="Times New Roman"/>
                <w:b/>
                <w:bCs/>
                <w:sz w:val="24"/>
                <w:szCs w:val="24"/>
              </w:rPr>
            </w:pPr>
            <w:r w:rsidRPr="00100E56">
              <w:rPr>
                <w:rFonts w:ascii="Times New Roman" w:hAnsi="Times New Roman"/>
                <w:b/>
                <w:bCs/>
                <w:sz w:val="24"/>
                <w:szCs w:val="24"/>
              </w:rPr>
              <w:t>(400-450 per group)</w:t>
            </w:r>
          </w:p>
        </w:tc>
      </w:tr>
      <w:tr w:rsidRPr="00100E56" w:rsidR="00CC122F" w:rsidTr="001E2E03" w14:paraId="24540BD9" w14:textId="77777777">
        <w:trPr>
          <w:trHeight w:val="285"/>
        </w:trPr>
        <w:tc>
          <w:tcPr>
            <w:tcW w:w="2361" w:type="pct"/>
            <w:tcBorders>
              <w:top w:val="single" w:color="auto" w:sz="4" w:space="0"/>
            </w:tcBorders>
            <w:shd w:val="clear" w:color="auto" w:fill="auto"/>
            <w:noWrap/>
            <w:vAlign w:val="bottom"/>
          </w:tcPr>
          <w:p w:rsidRPr="00100E56" w:rsidR="00CC122F" w:rsidP="00100E56" w:rsidRDefault="00CC122F" w14:paraId="7E6CF439" w14:textId="77777777">
            <w:pPr>
              <w:spacing w:line="240" w:lineRule="auto"/>
              <w:jc w:val="both"/>
              <w:rPr>
                <w:rFonts w:ascii="Times New Roman" w:hAnsi="Times New Roman"/>
                <w:sz w:val="24"/>
                <w:szCs w:val="24"/>
              </w:rPr>
            </w:pPr>
            <w:r w:rsidRPr="00100E56">
              <w:rPr>
                <w:rFonts w:ascii="Times New Roman" w:hAnsi="Times New Roman"/>
                <w:b/>
                <w:bCs/>
                <w:sz w:val="24"/>
                <w:szCs w:val="24"/>
                <w:u w:val="single"/>
              </w:rPr>
              <w:t>Percentage point effects</w:t>
            </w:r>
          </w:p>
        </w:tc>
        <w:tc>
          <w:tcPr>
            <w:tcW w:w="2639" w:type="pct"/>
            <w:tcBorders>
              <w:top w:val="single" w:color="auto" w:sz="4" w:space="0"/>
            </w:tcBorders>
            <w:shd w:val="clear" w:color="auto" w:fill="auto"/>
            <w:noWrap/>
            <w:vAlign w:val="bottom"/>
          </w:tcPr>
          <w:p w:rsidRPr="00100E56" w:rsidR="00CC122F" w:rsidP="00100E56" w:rsidRDefault="00CC122F" w14:paraId="34E21EF3" w14:textId="77777777">
            <w:pPr>
              <w:spacing w:line="240" w:lineRule="auto"/>
              <w:jc w:val="both"/>
              <w:rPr>
                <w:rFonts w:ascii="Times New Roman" w:hAnsi="Times New Roman"/>
                <w:sz w:val="24"/>
                <w:szCs w:val="24"/>
              </w:rPr>
            </w:pPr>
          </w:p>
        </w:tc>
      </w:tr>
      <w:tr w:rsidRPr="00100E56" w:rsidR="00CC122F" w:rsidTr="001E2E03" w14:paraId="4F9C91FD" w14:textId="77777777">
        <w:trPr>
          <w:trHeight w:val="285"/>
        </w:trPr>
        <w:tc>
          <w:tcPr>
            <w:tcW w:w="2361" w:type="pct"/>
            <w:shd w:val="clear" w:color="auto" w:fill="auto"/>
            <w:noWrap/>
            <w:vAlign w:val="bottom"/>
            <w:hideMark/>
          </w:tcPr>
          <w:p w:rsidRPr="00100E56" w:rsidR="00CC122F" w:rsidP="00100E56" w:rsidRDefault="00CC122F" w14:paraId="475746BE" w14:textId="71C96768">
            <w:pPr>
              <w:spacing w:line="240" w:lineRule="auto"/>
              <w:jc w:val="both"/>
              <w:rPr>
                <w:rFonts w:ascii="Times New Roman" w:hAnsi="Times New Roman"/>
                <w:sz w:val="24"/>
                <w:szCs w:val="24"/>
                <w:vertAlign w:val="superscript"/>
              </w:rPr>
            </w:pPr>
            <w:r w:rsidRPr="00100E56">
              <w:rPr>
                <w:rFonts w:ascii="Times New Roman" w:hAnsi="Times New Roman"/>
                <w:sz w:val="24"/>
                <w:szCs w:val="24"/>
              </w:rPr>
              <w:t>Employed at time of survey</w:t>
            </w:r>
            <w:r w:rsidRPr="00100E56" w:rsidR="001F382C">
              <w:rPr>
                <w:rFonts w:ascii="Times New Roman" w:hAnsi="Times New Roman"/>
                <w:sz w:val="24"/>
                <w:szCs w:val="24"/>
              </w:rPr>
              <w:t xml:space="preserve"> </w:t>
            </w:r>
            <w:r w:rsidRPr="00100E56" w:rsidR="001F382C">
              <w:rPr>
                <w:rFonts w:ascii="Times New Roman" w:hAnsi="Times New Roman"/>
                <w:sz w:val="24"/>
                <w:szCs w:val="24"/>
                <w:vertAlign w:val="superscript"/>
              </w:rPr>
              <w:t>a</w:t>
            </w:r>
          </w:p>
        </w:tc>
        <w:tc>
          <w:tcPr>
            <w:tcW w:w="2639" w:type="pct"/>
            <w:shd w:val="clear" w:color="auto" w:fill="auto"/>
            <w:noWrap/>
            <w:vAlign w:val="bottom"/>
            <w:hideMark/>
          </w:tcPr>
          <w:p w:rsidRPr="00100E56" w:rsidR="00CC122F" w:rsidP="00100E56" w:rsidRDefault="000D00FC" w14:paraId="7A41C8BA" w14:textId="447BF963">
            <w:pPr>
              <w:spacing w:line="240" w:lineRule="auto"/>
              <w:jc w:val="both"/>
              <w:rPr>
                <w:rFonts w:ascii="Times New Roman" w:hAnsi="Times New Roman"/>
                <w:sz w:val="24"/>
                <w:szCs w:val="24"/>
              </w:rPr>
            </w:pPr>
            <w:r w:rsidRPr="00100E56">
              <w:rPr>
                <w:rFonts w:ascii="Times New Roman" w:hAnsi="Times New Roman"/>
                <w:sz w:val="24"/>
                <w:szCs w:val="24"/>
              </w:rPr>
              <w:t>6.8</w:t>
            </w:r>
          </w:p>
        </w:tc>
      </w:tr>
      <w:tr w:rsidRPr="00100E56" w:rsidR="00CC122F" w:rsidTr="001E2E03" w14:paraId="59E7156A" w14:textId="77777777">
        <w:trPr>
          <w:trHeight w:val="80"/>
        </w:trPr>
        <w:tc>
          <w:tcPr>
            <w:tcW w:w="2361" w:type="pct"/>
            <w:shd w:val="clear" w:color="auto" w:fill="auto"/>
            <w:noWrap/>
            <w:vAlign w:val="bottom"/>
            <w:hideMark/>
          </w:tcPr>
          <w:p w:rsidRPr="00100E56" w:rsidR="00CC122F" w:rsidP="00100E56" w:rsidRDefault="00CC122F" w14:paraId="44996D14" w14:textId="77777777">
            <w:pPr>
              <w:spacing w:line="240" w:lineRule="auto"/>
              <w:jc w:val="both"/>
              <w:rPr>
                <w:rFonts w:ascii="Times New Roman" w:hAnsi="Times New Roman"/>
                <w:sz w:val="24"/>
                <w:szCs w:val="24"/>
              </w:rPr>
            </w:pPr>
          </w:p>
        </w:tc>
        <w:tc>
          <w:tcPr>
            <w:tcW w:w="2639" w:type="pct"/>
            <w:shd w:val="clear" w:color="auto" w:fill="auto"/>
            <w:noWrap/>
            <w:vAlign w:val="bottom"/>
            <w:hideMark/>
          </w:tcPr>
          <w:p w:rsidRPr="00100E56" w:rsidR="00CC122F" w:rsidP="00100E56" w:rsidRDefault="00CC122F" w14:paraId="4CFA6DC2" w14:textId="77777777">
            <w:pPr>
              <w:spacing w:line="240" w:lineRule="auto"/>
              <w:jc w:val="both"/>
              <w:rPr>
                <w:rFonts w:ascii="Times New Roman" w:hAnsi="Times New Roman"/>
                <w:sz w:val="24"/>
                <w:szCs w:val="24"/>
              </w:rPr>
            </w:pPr>
          </w:p>
        </w:tc>
      </w:tr>
      <w:tr w:rsidRPr="00100E56" w:rsidR="00CC122F" w:rsidTr="001E2E03" w14:paraId="4B7AE752" w14:textId="77777777">
        <w:trPr>
          <w:trHeight w:val="285"/>
        </w:trPr>
        <w:tc>
          <w:tcPr>
            <w:tcW w:w="2361" w:type="pct"/>
            <w:shd w:val="clear" w:color="auto" w:fill="auto"/>
            <w:noWrap/>
            <w:vAlign w:val="bottom"/>
            <w:hideMark/>
          </w:tcPr>
          <w:p w:rsidRPr="00100E56" w:rsidR="00CC122F" w:rsidP="00100E56" w:rsidRDefault="00567C1B" w14:paraId="1BA4EB38" w14:textId="77777777">
            <w:pPr>
              <w:spacing w:line="240" w:lineRule="auto"/>
              <w:jc w:val="both"/>
              <w:rPr>
                <w:rFonts w:ascii="Times New Roman" w:hAnsi="Times New Roman"/>
                <w:b/>
                <w:bCs/>
                <w:sz w:val="24"/>
                <w:szCs w:val="24"/>
                <w:u w:val="single"/>
              </w:rPr>
            </w:pPr>
            <w:r w:rsidRPr="00100E56">
              <w:rPr>
                <w:rFonts w:ascii="Times New Roman" w:hAnsi="Times New Roman"/>
                <w:b/>
                <w:bCs/>
                <w:sz w:val="24"/>
                <w:szCs w:val="24"/>
                <w:u w:val="single"/>
              </w:rPr>
              <w:t>Dollar effects</w:t>
            </w:r>
          </w:p>
          <w:p w:rsidRPr="00100E56" w:rsidR="00CC122F" w:rsidP="00100E56" w:rsidRDefault="0022501E" w14:paraId="6FD21B35" w14:textId="392A2FFA">
            <w:pPr>
              <w:spacing w:line="240" w:lineRule="auto"/>
              <w:jc w:val="both"/>
              <w:rPr>
                <w:rFonts w:ascii="Times New Roman" w:hAnsi="Times New Roman"/>
                <w:sz w:val="28"/>
                <w:szCs w:val="28"/>
                <w:vertAlign w:val="superscript"/>
              </w:rPr>
            </w:pPr>
            <w:r w:rsidRPr="00100E56">
              <w:rPr>
                <w:rFonts w:ascii="Times New Roman" w:hAnsi="Times New Roman"/>
                <w:sz w:val="24"/>
                <w:szCs w:val="24"/>
              </w:rPr>
              <w:t>Earnings</w:t>
            </w:r>
            <w:r w:rsidRPr="00100E56" w:rsidR="00163BD7">
              <w:rPr>
                <w:rFonts w:ascii="Times New Roman" w:hAnsi="Times New Roman"/>
                <w:sz w:val="24"/>
                <w:szCs w:val="24"/>
              </w:rPr>
              <w:t xml:space="preserve"> </w:t>
            </w:r>
            <w:r w:rsidRPr="00100E56" w:rsidR="00163BD7">
              <w:rPr>
                <w:rFonts w:ascii="Times New Roman" w:hAnsi="Times New Roman"/>
                <w:sz w:val="24"/>
                <w:szCs w:val="24"/>
                <w:vertAlign w:val="superscript"/>
              </w:rPr>
              <w:t>b</w:t>
            </w:r>
          </w:p>
        </w:tc>
        <w:tc>
          <w:tcPr>
            <w:tcW w:w="2639" w:type="pct"/>
            <w:shd w:val="clear" w:color="auto" w:fill="auto"/>
            <w:noWrap/>
            <w:vAlign w:val="bottom"/>
            <w:hideMark/>
          </w:tcPr>
          <w:p w:rsidRPr="00100E56" w:rsidR="00CC122F" w:rsidP="00100E56" w:rsidRDefault="00163BD7" w14:paraId="6A6AB451" w14:textId="0748C35D">
            <w:pPr>
              <w:spacing w:line="240" w:lineRule="auto"/>
              <w:jc w:val="both"/>
              <w:rPr>
                <w:rFonts w:ascii="Times New Roman" w:hAnsi="Times New Roman"/>
                <w:sz w:val="24"/>
                <w:szCs w:val="24"/>
              </w:rPr>
            </w:pPr>
            <w:r w:rsidRPr="00100E56">
              <w:rPr>
                <w:rFonts w:ascii="Times New Roman" w:hAnsi="Times New Roman"/>
                <w:sz w:val="24"/>
                <w:szCs w:val="24"/>
              </w:rPr>
              <w:t>167</w:t>
            </w:r>
          </w:p>
        </w:tc>
      </w:tr>
      <w:tr w:rsidRPr="00100E56" w:rsidR="00CC122F" w:rsidTr="001E2E03" w14:paraId="6AAC8D8E" w14:textId="77777777">
        <w:trPr>
          <w:trHeight w:val="285"/>
        </w:trPr>
        <w:tc>
          <w:tcPr>
            <w:tcW w:w="2361" w:type="pct"/>
            <w:shd w:val="clear" w:color="auto" w:fill="auto"/>
            <w:noWrap/>
            <w:vAlign w:val="bottom"/>
            <w:hideMark/>
          </w:tcPr>
          <w:p w:rsidRPr="00100E56" w:rsidR="00CC122F" w:rsidP="00100E56" w:rsidRDefault="00CC122F" w14:paraId="45090EEE" w14:textId="77777777">
            <w:pPr>
              <w:spacing w:line="240" w:lineRule="auto"/>
              <w:jc w:val="both"/>
              <w:rPr>
                <w:rFonts w:ascii="Times New Roman" w:hAnsi="Times New Roman"/>
                <w:b/>
                <w:bCs/>
                <w:sz w:val="24"/>
                <w:szCs w:val="24"/>
              </w:rPr>
            </w:pPr>
            <w:r w:rsidRPr="00100E56">
              <w:rPr>
                <w:rFonts w:ascii="Times New Roman" w:hAnsi="Times New Roman"/>
                <w:b/>
                <w:bCs/>
                <w:sz w:val="24"/>
                <w:szCs w:val="24"/>
              </w:rPr>
              <w:t>Effect size</w:t>
            </w:r>
          </w:p>
        </w:tc>
        <w:tc>
          <w:tcPr>
            <w:tcW w:w="2639" w:type="pct"/>
            <w:shd w:val="clear" w:color="auto" w:fill="auto"/>
            <w:noWrap/>
            <w:vAlign w:val="bottom"/>
            <w:hideMark/>
          </w:tcPr>
          <w:p w:rsidRPr="00100E56" w:rsidR="00CC122F" w:rsidP="00100E56" w:rsidRDefault="00CC122F" w14:paraId="078E87A6" w14:textId="30BED9BA">
            <w:pPr>
              <w:spacing w:line="240" w:lineRule="auto"/>
              <w:jc w:val="both"/>
              <w:rPr>
                <w:rFonts w:ascii="Times New Roman" w:hAnsi="Times New Roman"/>
                <w:sz w:val="24"/>
                <w:szCs w:val="24"/>
              </w:rPr>
            </w:pPr>
            <w:r w:rsidRPr="00100E56">
              <w:rPr>
                <w:rFonts w:ascii="Times New Roman" w:hAnsi="Times New Roman"/>
                <w:sz w:val="24"/>
                <w:szCs w:val="24"/>
              </w:rPr>
              <w:t>0.1</w:t>
            </w:r>
            <w:r w:rsidRPr="00100E56" w:rsidR="009F551D">
              <w:rPr>
                <w:rFonts w:ascii="Times New Roman" w:hAnsi="Times New Roman"/>
                <w:sz w:val="24"/>
                <w:szCs w:val="24"/>
              </w:rPr>
              <w:t>4</w:t>
            </w:r>
          </w:p>
        </w:tc>
      </w:tr>
      <w:tr w:rsidRPr="00100E56" w:rsidR="00CC122F" w:rsidTr="001E2E03" w14:paraId="53649F9C" w14:textId="77777777">
        <w:trPr>
          <w:trHeight w:val="242"/>
        </w:trPr>
        <w:tc>
          <w:tcPr>
            <w:tcW w:w="2361" w:type="pct"/>
            <w:tcBorders>
              <w:bottom w:val="single" w:color="auto" w:sz="4" w:space="0"/>
            </w:tcBorders>
            <w:shd w:val="clear" w:color="auto" w:fill="auto"/>
            <w:noWrap/>
            <w:vAlign w:val="bottom"/>
            <w:hideMark/>
          </w:tcPr>
          <w:p w:rsidRPr="00100E56" w:rsidR="00CC122F" w:rsidP="00100E56" w:rsidRDefault="00CC122F" w14:paraId="78BF649D" w14:textId="54A71571">
            <w:pPr>
              <w:spacing w:line="240" w:lineRule="auto"/>
              <w:jc w:val="both"/>
              <w:rPr>
                <w:rFonts w:ascii="Times New Roman" w:hAnsi="Times New Roman"/>
                <w:sz w:val="24"/>
                <w:szCs w:val="24"/>
              </w:rPr>
            </w:pPr>
          </w:p>
        </w:tc>
        <w:tc>
          <w:tcPr>
            <w:tcW w:w="2639" w:type="pct"/>
            <w:tcBorders>
              <w:bottom w:val="single" w:color="auto" w:sz="4" w:space="0"/>
            </w:tcBorders>
            <w:shd w:val="clear" w:color="auto" w:fill="auto"/>
            <w:noWrap/>
            <w:vAlign w:val="bottom"/>
            <w:hideMark/>
          </w:tcPr>
          <w:p w:rsidRPr="00100E56" w:rsidR="00CC122F" w:rsidP="00100E56" w:rsidRDefault="00CC122F" w14:paraId="6183DEAF" w14:textId="77777777">
            <w:pPr>
              <w:spacing w:line="240" w:lineRule="auto"/>
              <w:jc w:val="both"/>
              <w:rPr>
                <w:rFonts w:ascii="Times New Roman" w:hAnsi="Times New Roman"/>
                <w:sz w:val="24"/>
                <w:szCs w:val="24"/>
              </w:rPr>
            </w:pPr>
          </w:p>
        </w:tc>
      </w:tr>
    </w:tbl>
    <w:p w:rsidRPr="00100E56" w:rsidR="00CC122F" w:rsidP="00100E56" w:rsidRDefault="00CC122F" w14:paraId="30090C4E" w14:textId="77777777">
      <w:pPr>
        <w:spacing w:line="240" w:lineRule="auto"/>
        <w:ind w:left="360"/>
        <w:jc w:val="both"/>
        <w:rPr>
          <w:rFonts w:ascii="Times New Roman" w:hAnsi="Times New Roman"/>
          <w:sz w:val="24"/>
          <w:szCs w:val="24"/>
        </w:rPr>
      </w:pPr>
    </w:p>
    <w:p w:rsidRPr="00100E56" w:rsidR="00CC122F" w:rsidP="00100E56" w:rsidRDefault="00CC122F" w14:paraId="6C59CD17" w14:textId="77777777">
      <w:pPr>
        <w:spacing w:line="240" w:lineRule="auto"/>
        <w:ind w:left="360"/>
        <w:jc w:val="both"/>
        <w:rPr>
          <w:rFonts w:ascii="Times New Roman" w:hAnsi="Times New Roman"/>
          <w:sz w:val="24"/>
          <w:szCs w:val="24"/>
        </w:rPr>
      </w:pPr>
    </w:p>
    <w:p w:rsidRPr="00100E56" w:rsidR="00CC122F" w:rsidP="00100E56" w:rsidRDefault="00CC122F" w14:paraId="3366D8C0" w14:textId="77777777">
      <w:pPr>
        <w:spacing w:line="240" w:lineRule="auto"/>
        <w:ind w:left="360"/>
        <w:jc w:val="both"/>
        <w:rPr>
          <w:rFonts w:ascii="Times New Roman" w:hAnsi="Times New Roman"/>
          <w:sz w:val="24"/>
          <w:szCs w:val="24"/>
        </w:rPr>
      </w:pPr>
    </w:p>
    <w:p w:rsidRPr="00100E56" w:rsidR="00CC122F" w:rsidP="00100E56" w:rsidRDefault="00CC122F" w14:paraId="13A4609D" w14:textId="77777777">
      <w:pPr>
        <w:spacing w:line="240" w:lineRule="auto"/>
        <w:ind w:left="360"/>
        <w:jc w:val="both"/>
        <w:rPr>
          <w:rFonts w:ascii="Times New Roman" w:hAnsi="Times New Roman"/>
          <w:sz w:val="24"/>
          <w:szCs w:val="24"/>
        </w:rPr>
      </w:pPr>
    </w:p>
    <w:p w:rsidRPr="00100E56" w:rsidR="00CC122F" w:rsidP="00100E56" w:rsidRDefault="00CC122F" w14:paraId="413EE975" w14:textId="77777777">
      <w:pPr>
        <w:spacing w:line="240" w:lineRule="auto"/>
        <w:ind w:left="360"/>
        <w:jc w:val="both"/>
        <w:rPr>
          <w:rFonts w:ascii="Times New Roman" w:hAnsi="Times New Roman"/>
          <w:sz w:val="24"/>
          <w:szCs w:val="24"/>
        </w:rPr>
      </w:pPr>
    </w:p>
    <w:p w:rsidRPr="00100E56" w:rsidR="00CC122F" w:rsidP="00100E56" w:rsidRDefault="00CC122F" w14:paraId="7A7B73C0" w14:textId="77777777">
      <w:pPr>
        <w:spacing w:line="240" w:lineRule="auto"/>
        <w:ind w:left="360"/>
        <w:jc w:val="both"/>
        <w:rPr>
          <w:rFonts w:ascii="Times New Roman" w:hAnsi="Times New Roman"/>
          <w:sz w:val="24"/>
          <w:szCs w:val="24"/>
        </w:rPr>
      </w:pPr>
    </w:p>
    <w:p w:rsidRPr="00100E56" w:rsidR="00FD0291" w:rsidP="00100E56" w:rsidRDefault="00FD0291" w14:paraId="3F130D3A" w14:textId="77777777">
      <w:pPr>
        <w:spacing w:line="240" w:lineRule="auto"/>
        <w:jc w:val="both"/>
        <w:rPr>
          <w:rFonts w:ascii="Times New Roman" w:hAnsi="Times New Roman"/>
          <w:sz w:val="24"/>
          <w:szCs w:val="24"/>
        </w:rPr>
      </w:pPr>
    </w:p>
    <w:p w:rsidRPr="00100E56" w:rsidR="00BB7CFA" w:rsidP="00100E56" w:rsidRDefault="00BB7CFA" w14:paraId="71D33CA2" w14:textId="77777777">
      <w:pPr>
        <w:spacing w:line="240" w:lineRule="auto"/>
        <w:ind w:left="360"/>
        <w:jc w:val="both"/>
        <w:rPr>
          <w:rFonts w:ascii="Times New Roman" w:hAnsi="Times New Roman"/>
          <w:sz w:val="24"/>
          <w:szCs w:val="24"/>
        </w:rPr>
      </w:pPr>
    </w:p>
    <w:p w:rsidRPr="00100E56" w:rsidR="00BB7CFA" w:rsidP="00100E56" w:rsidRDefault="00BB7CFA" w14:paraId="15DC96C0" w14:textId="77777777">
      <w:pPr>
        <w:spacing w:line="240" w:lineRule="auto"/>
        <w:ind w:left="360"/>
        <w:jc w:val="both"/>
        <w:rPr>
          <w:rFonts w:ascii="Times New Roman" w:hAnsi="Times New Roman"/>
          <w:sz w:val="24"/>
          <w:szCs w:val="24"/>
        </w:rPr>
      </w:pPr>
    </w:p>
    <w:p w:rsidRPr="00100E56" w:rsidR="0022501E" w:rsidP="00100E56" w:rsidRDefault="0022501E" w14:paraId="61E9FD8A" w14:textId="77777777">
      <w:pPr>
        <w:spacing w:line="240" w:lineRule="auto"/>
        <w:ind w:left="360"/>
        <w:jc w:val="both"/>
        <w:rPr>
          <w:rFonts w:ascii="Times New Roman" w:hAnsi="Times New Roman"/>
          <w:sz w:val="20"/>
          <w:szCs w:val="20"/>
        </w:rPr>
      </w:pPr>
    </w:p>
    <w:p w:rsidRPr="00100E56" w:rsidR="0022501E" w:rsidP="00100E56" w:rsidRDefault="0022501E" w14:paraId="58406035" w14:textId="77777777">
      <w:pPr>
        <w:spacing w:line="240" w:lineRule="auto"/>
        <w:ind w:left="360"/>
        <w:jc w:val="both"/>
        <w:rPr>
          <w:rFonts w:ascii="Times New Roman" w:hAnsi="Times New Roman"/>
          <w:sz w:val="20"/>
          <w:szCs w:val="20"/>
        </w:rPr>
      </w:pPr>
    </w:p>
    <w:p w:rsidRPr="00BB7CFA" w:rsidR="001F382C" w:rsidP="00C445B1" w:rsidRDefault="006C6A43" w14:paraId="03F5DEB5" w14:textId="6904ECA9">
      <w:pPr>
        <w:spacing w:line="240" w:lineRule="auto"/>
        <w:ind w:left="360"/>
        <w:rPr>
          <w:rFonts w:ascii="Times New Roman" w:hAnsi="Times New Roman"/>
          <w:sz w:val="20"/>
          <w:szCs w:val="20"/>
        </w:rPr>
      </w:pPr>
      <w:r w:rsidRPr="00100E56">
        <w:rPr>
          <w:rFonts w:ascii="Times New Roman" w:hAnsi="Times New Roman"/>
          <w:sz w:val="20"/>
          <w:szCs w:val="20"/>
        </w:rPr>
        <w:t>Notes: MDEs are calculated based on a two-tailed significance test and assuming an R-squared in the impact model of 0. Average values for employment are taken from the Opportunity NYC Work Rewards sample. Average values are 44% for employment at time of survey</w:t>
      </w:r>
      <w:r w:rsidRPr="00100E56" w:rsidR="00E72926">
        <w:rPr>
          <w:rFonts w:ascii="Times New Roman" w:hAnsi="Times New Roman"/>
          <w:sz w:val="20"/>
          <w:szCs w:val="20"/>
        </w:rPr>
        <w:t xml:space="preserve">. </w:t>
      </w:r>
      <w:r w:rsidRPr="00100E56">
        <w:rPr>
          <w:rFonts w:ascii="Times New Roman" w:hAnsi="Times New Roman"/>
          <w:sz w:val="20"/>
          <w:szCs w:val="20"/>
        </w:rPr>
        <w:t>Effect sizes are measured as the impact on a given outcome divided by its standard deviation</w:t>
      </w:r>
      <w:r w:rsidRPr="00100E56" w:rsidR="00584D2A">
        <w:rPr>
          <w:rFonts w:ascii="Times New Roman" w:hAnsi="Times New Roman"/>
          <w:sz w:val="20"/>
          <w:szCs w:val="20"/>
        </w:rPr>
        <w:t>.</w:t>
      </w:r>
      <w:r w:rsidRPr="00100E56" w:rsidR="00BB7CFA">
        <w:rPr>
          <w:rFonts w:ascii="Times New Roman" w:hAnsi="Times New Roman"/>
          <w:sz w:val="20"/>
          <w:szCs w:val="20"/>
        </w:rPr>
        <w:tab/>
      </w:r>
      <w:r w:rsidRPr="00100E56" w:rsidR="00BB7CFA">
        <w:rPr>
          <w:rFonts w:ascii="Times New Roman" w:hAnsi="Times New Roman"/>
          <w:sz w:val="20"/>
          <w:szCs w:val="20"/>
        </w:rPr>
        <w:tab/>
      </w:r>
      <w:r w:rsidRPr="00100E56" w:rsidR="00BB7CFA">
        <w:rPr>
          <w:rFonts w:ascii="Times New Roman" w:hAnsi="Times New Roman"/>
          <w:sz w:val="20"/>
          <w:szCs w:val="20"/>
        </w:rPr>
        <w:tab/>
      </w:r>
      <w:r w:rsidRPr="00100E56" w:rsidR="00BB7CFA">
        <w:rPr>
          <w:rFonts w:ascii="Times New Roman" w:hAnsi="Times New Roman"/>
          <w:sz w:val="20"/>
          <w:szCs w:val="20"/>
        </w:rPr>
        <w:tab/>
      </w:r>
      <w:r w:rsidRPr="00100E56" w:rsidR="00BB7CFA">
        <w:rPr>
          <w:rFonts w:ascii="Times New Roman" w:hAnsi="Times New Roman"/>
          <w:sz w:val="20"/>
          <w:szCs w:val="20"/>
        </w:rPr>
        <w:tab/>
      </w:r>
      <w:r w:rsidRPr="00100E56" w:rsidR="00BB7CFA">
        <w:rPr>
          <w:rFonts w:ascii="Times New Roman" w:hAnsi="Times New Roman"/>
          <w:sz w:val="20"/>
          <w:szCs w:val="20"/>
        </w:rPr>
        <w:tab/>
      </w:r>
      <w:r w:rsidRPr="00100E56" w:rsidR="00BB7CFA">
        <w:rPr>
          <w:rFonts w:ascii="Times New Roman" w:hAnsi="Times New Roman"/>
          <w:sz w:val="20"/>
          <w:szCs w:val="20"/>
        </w:rPr>
        <w:tab/>
      </w:r>
      <w:r w:rsidRPr="00100E56" w:rsidR="00246A9C">
        <w:rPr>
          <w:rFonts w:ascii="Times New Roman" w:hAnsi="Times New Roman"/>
          <w:sz w:val="20"/>
          <w:szCs w:val="20"/>
        </w:rPr>
        <w:t xml:space="preserve">                </w:t>
      </w:r>
      <w:proofErr w:type="spellStart"/>
      <w:r w:rsidRPr="00100E56" w:rsidR="00157264">
        <w:rPr>
          <w:rFonts w:ascii="Times New Roman" w:hAnsi="Times New Roman"/>
          <w:sz w:val="20"/>
          <w:szCs w:val="20"/>
          <w:vertAlign w:val="superscript"/>
        </w:rPr>
        <w:t>a</w:t>
      </w:r>
      <w:proofErr w:type="spellEnd"/>
      <w:r w:rsidRPr="00100E56" w:rsidR="00157264">
        <w:rPr>
          <w:rFonts w:ascii="Times New Roman" w:hAnsi="Times New Roman"/>
          <w:sz w:val="20"/>
          <w:szCs w:val="20"/>
        </w:rPr>
        <w:t xml:space="preserve"> </w:t>
      </w:r>
      <w:proofErr w:type="gramStart"/>
      <w:r w:rsidRPr="00100E56" w:rsidR="00157264">
        <w:rPr>
          <w:rFonts w:ascii="Times New Roman" w:hAnsi="Times New Roman"/>
          <w:sz w:val="20"/>
          <w:szCs w:val="20"/>
        </w:rPr>
        <w:t>The</w:t>
      </w:r>
      <w:proofErr w:type="gramEnd"/>
      <w:r w:rsidRPr="00100E56" w:rsidR="00157264">
        <w:rPr>
          <w:rFonts w:ascii="Times New Roman" w:hAnsi="Times New Roman"/>
          <w:sz w:val="20"/>
          <w:szCs w:val="20"/>
        </w:rPr>
        <w:t xml:space="preserve"> value of 6.8 </w:t>
      </w:r>
      <w:r w:rsidRPr="00100E56" w:rsidR="00DB2BC0">
        <w:rPr>
          <w:rFonts w:ascii="Times New Roman" w:hAnsi="Times New Roman"/>
          <w:sz w:val="20"/>
          <w:szCs w:val="20"/>
        </w:rPr>
        <w:t>indicates that the FSS program</w:t>
      </w:r>
      <w:r w:rsidRPr="00100E56" w:rsidR="00A40FB0">
        <w:rPr>
          <w:rFonts w:ascii="Times New Roman" w:hAnsi="Times New Roman"/>
          <w:sz w:val="20"/>
          <w:szCs w:val="20"/>
        </w:rPr>
        <w:t xml:space="preserve"> group</w:t>
      </w:r>
      <w:r w:rsidRPr="00100E56" w:rsidR="00DB2BC0">
        <w:rPr>
          <w:rFonts w:ascii="Times New Roman" w:hAnsi="Times New Roman"/>
          <w:sz w:val="20"/>
          <w:szCs w:val="20"/>
        </w:rPr>
        <w:t xml:space="preserve"> rate of employment at time of survey would need to be at least 6.8 percentage points above the control group level to be statistically significant 80% of the time.</w:t>
      </w:r>
      <w:r w:rsidRPr="00F21618" w:rsidR="00DB2BC0">
        <w:rPr>
          <w:rFonts w:ascii="Times New Roman" w:hAnsi="Times New Roman"/>
          <w:sz w:val="20"/>
          <w:szCs w:val="20"/>
        </w:rPr>
        <w:t xml:space="preserve"> </w:t>
      </w:r>
      <w:r w:rsidRPr="00100E56" w:rsidR="007A4919">
        <w:rPr>
          <w:rFonts w:ascii="Times New Roman" w:hAnsi="Times New Roman"/>
          <w:sz w:val="20"/>
          <w:szCs w:val="20"/>
        </w:rPr>
        <w:tab/>
      </w:r>
      <w:r w:rsidRPr="00100E56" w:rsidR="007A4919">
        <w:rPr>
          <w:rFonts w:ascii="Times New Roman" w:hAnsi="Times New Roman"/>
          <w:sz w:val="20"/>
          <w:szCs w:val="20"/>
          <w:vertAlign w:val="superscript"/>
        </w:rPr>
        <w:t xml:space="preserve"> </w:t>
      </w:r>
      <w:r w:rsidRPr="00100E56" w:rsidR="00A0792D">
        <w:rPr>
          <w:rFonts w:ascii="Times New Roman" w:hAnsi="Times New Roman"/>
          <w:sz w:val="20"/>
          <w:szCs w:val="20"/>
          <w:vertAlign w:val="superscript"/>
        </w:rPr>
        <w:t xml:space="preserve">b </w:t>
      </w:r>
      <w:r w:rsidRPr="00100E56" w:rsidR="007A4919">
        <w:rPr>
          <w:rFonts w:ascii="Times New Roman" w:hAnsi="Times New Roman"/>
          <w:sz w:val="20"/>
          <w:szCs w:val="20"/>
        </w:rPr>
        <w:t>The value 167</w:t>
      </w:r>
      <w:r w:rsidRPr="00100E56" w:rsidR="00A0792D">
        <w:rPr>
          <w:rFonts w:ascii="Times New Roman" w:hAnsi="Times New Roman"/>
          <w:sz w:val="20"/>
          <w:szCs w:val="20"/>
        </w:rPr>
        <w:t xml:space="preserve"> indicates that the </w:t>
      </w:r>
      <w:r w:rsidRPr="00100E56" w:rsidR="00246590">
        <w:rPr>
          <w:rFonts w:ascii="Times New Roman" w:hAnsi="Times New Roman"/>
          <w:sz w:val="20"/>
          <w:szCs w:val="20"/>
        </w:rPr>
        <w:t>FSS program group total monthly household income at the time of survey would need to be</w:t>
      </w:r>
      <w:r w:rsidRPr="00100E56" w:rsidR="007E32A8">
        <w:rPr>
          <w:rFonts w:ascii="Times New Roman" w:hAnsi="Times New Roman"/>
          <w:sz w:val="20"/>
          <w:szCs w:val="20"/>
        </w:rPr>
        <w:t xml:space="preserve"> at least $167 </w:t>
      </w:r>
      <w:r w:rsidRPr="00100E56" w:rsidR="005B0F9D">
        <w:rPr>
          <w:rFonts w:ascii="Times New Roman" w:hAnsi="Times New Roman"/>
          <w:sz w:val="20"/>
          <w:szCs w:val="20"/>
        </w:rPr>
        <w:t xml:space="preserve">above the control group level to be statistically significant </w:t>
      </w:r>
      <w:r w:rsidRPr="00100E56" w:rsidR="002D15AD">
        <w:rPr>
          <w:rFonts w:ascii="Times New Roman" w:hAnsi="Times New Roman"/>
          <w:sz w:val="20"/>
          <w:szCs w:val="20"/>
        </w:rPr>
        <w:t>90% of the time with a response rate of 70% of the fielded sample.</w:t>
      </w:r>
      <w:r w:rsidR="002D15AD">
        <w:rPr>
          <w:rFonts w:ascii="Times New Roman" w:hAnsi="Times New Roman"/>
          <w:sz w:val="20"/>
          <w:szCs w:val="20"/>
        </w:rPr>
        <w:t xml:space="preserve"> </w:t>
      </w:r>
      <w:r w:rsidR="007E32A8">
        <w:rPr>
          <w:rFonts w:ascii="Times New Roman" w:hAnsi="Times New Roman"/>
          <w:sz w:val="20"/>
          <w:szCs w:val="20"/>
        </w:rPr>
        <w:t xml:space="preserve"> </w:t>
      </w:r>
      <w:r w:rsidR="007A4919">
        <w:rPr>
          <w:rFonts w:ascii="Times New Roman" w:hAnsi="Times New Roman"/>
          <w:sz w:val="20"/>
          <w:szCs w:val="20"/>
        </w:rPr>
        <w:t xml:space="preserve"> </w:t>
      </w:r>
      <w:r w:rsidR="00163BD7">
        <w:rPr>
          <w:rFonts w:ascii="Times New Roman" w:hAnsi="Times New Roman"/>
          <w:sz w:val="20"/>
          <w:szCs w:val="20"/>
          <w:vertAlign w:val="superscript"/>
        </w:rPr>
        <w:t xml:space="preserve"> </w:t>
      </w:r>
    </w:p>
    <w:p w:rsidRPr="00B37B02" w:rsidR="00763388" w:rsidP="00100E56" w:rsidRDefault="00266F6D" w14:paraId="3139A22E" w14:textId="1536F8D0">
      <w:pPr>
        <w:pStyle w:val="NoSpacing"/>
        <w:numPr>
          <w:ilvl w:val="0"/>
          <w:numId w:val="8"/>
        </w:numPr>
        <w:jc w:val="both"/>
        <w:rPr>
          <w:rFonts w:ascii="Times New Roman" w:hAnsi="Times New Roman"/>
          <w:b/>
          <w:bCs/>
          <w:sz w:val="24"/>
          <w:szCs w:val="24"/>
        </w:rPr>
      </w:pPr>
      <w:r w:rsidRPr="00B37B02">
        <w:rPr>
          <w:rFonts w:ascii="Times New Roman" w:hAnsi="Times New Roman"/>
          <w:b/>
          <w:bCs/>
          <w:sz w:val="24"/>
          <w:szCs w:val="24"/>
        </w:rPr>
        <w:lastRenderedPageBreak/>
        <w:t>Describe methods to maximize response rates and to</w:t>
      </w:r>
      <w:r w:rsidRPr="00B37B02" w:rsidR="00763388">
        <w:rPr>
          <w:rFonts w:ascii="Times New Roman" w:hAnsi="Times New Roman"/>
          <w:b/>
          <w:bCs/>
          <w:sz w:val="24"/>
          <w:szCs w:val="24"/>
        </w:rPr>
        <w:t xml:space="preserve"> </w:t>
      </w:r>
      <w:r w:rsidRPr="00B37B02">
        <w:rPr>
          <w:rFonts w:ascii="Times New Roman" w:hAnsi="Times New Roman"/>
          <w:b/>
          <w:bCs/>
          <w:sz w:val="24"/>
          <w:szCs w:val="24"/>
        </w:rPr>
        <w:t>deal with issues of non-response. The accuracy and</w:t>
      </w:r>
      <w:r w:rsidRPr="00B37B02" w:rsidR="00763388">
        <w:rPr>
          <w:rFonts w:ascii="Times New Roman" w:hAnsi="Times New Roman"/>
          <w:b/>
          <w:bCs/>
          <w:sz w:val="24"/>
          <w:szCs w:val="24"/>
        </w:rPr>
        <w:t xml:space="preserve"> </w:t>
      </w:r>
      <w:r w:rsidRPr="00B37B02">
        <w:rPr>
          <w:rFonts w:ascii="Times New Roman" w:hAnsi="Times New Roman"/>
          <w:b/>
          <w:bCs/>
          <w:sz w:val="24"/>
          <w:szCs w:val="24"/>
        </w:rPr>
        <w:t>reliability of information collected must be shown to be</w:t>
      </w:r>
      <w:r w:rsidRPr="00B37B02" w:rsidR="00763388">
        <w:rPr>
          <w:rFonts w:ascii="Times New Roman" w:hAnsi="Times New Roman"/>
          <w:b/>
          <w:bCs/>
          <w:sz w:val="24"/>
          <w:szCs w:val="24"/>
        </w:rPr>
        <w:t xml:space="preserve"> </w:t>
      </w:r>
      <w:r w:rsidRPr="00B37B02">
        <w:rPr>
          <w:rFonts w:ascii="Times New Roman" w:hAnsi="Times New Roman"/>
          <w:b/>
          <w:bCs/>
          <w:sz w:val="24"/>
          <w:szCs w:val="24"/>
        </w:rPr>
        <w:t>adequate for intended uses. For collections based on</w:t>
      </w:r>
      <w:r w:rsidRPr="00B37B02" w:rsidR="00763388">
        <w:rPr>
          <w:rFonts w:ascii="Times New Roman" w:hAnsi="Times New Roman"/>
          <w:b/>
          <w:bCs/>
          <w:sz w:val="24"/>
          <w:szCs w:val="24"/>
        </w:rPr>
        <w:t xml:space="preserve"> </w:t>
      </w:r>
      <w:r w:rsidRPr="00B37B02">
        <w:rPr>
          <w:rFonts w:ascii="Times New Roman" w:hAnsi="Times New Roman"/>
          <w:b/>
          <w:bCs/>
          <w:sz w:val="24"/>
          <w:szCs w:val="24"/>
        </w:rPr>
        <w:t>sampling, a special justification must be provided for any</w:t>
      </w:r>
      <w:r w:rsidRPr="00B37B02" w:rsidR="00763388">
        <w:rPr>
          <w:rFonts w:ascii="Times New Roman" w:hAnsi="Times New Roman"/>
          <w:b/>
          <w:bCs/>
          <w:sz w:val="24"/>
          <w:szCs w:val="24"/>
        </w:rPr>
        <w:t xml:space="preserve"> </w:t>
      </w:r>
      <w:r w:rsidRPr="00B37B02">
        <w:rPr>
          <w:rFonts w:ascii="Times New Roman" w:hAnsi="Times New Roman"/>
          <w:b/>
          <w:bCs/>
          <w:sz w:val="24"/>
          <w:szCs w:val="24"/>
        </w:rPr>
        <w:t>collection that will not yield "reliable" data that can be</w:t>
      </w:r>
      <w:r w:rsidRPr="00B37B02" w:rsidR="00763388">
        <w:rPr>
          <w:rFonts w:ascii="Times New Roman" w:hAnsi="Times New Roman"/>
          <w:b/>
          <w:bCs/>
          <w:sz w:val="24"/>
          <w:szCs w:val="24"/>
        </w:rPr>
        <w:t xml:space="preserve"> </w:t>
      </w:r>
      <w:r w:rsidRPr="00B37B02">
        <w:rPr>
          <w:rFonts w:ascii="Times New Roman" w:hAnsi="Times New Roman"/>
          <w:b/>
          <w:bCs/>
          <w:sz w:val="24"/>
          <w:szCs w:val="24"/>
        </w:rPr>
        <w:t>generalized to the universe studied.</w:t>
      </w:r>
    </w:p>
    <w:p w:rsidRPr="00B37B02" w:rsidR="008E25A8" w:rsidP="00100E56" w:rsidRDefault="008E25A8" w14:paraId="0B0F7BC8" w14:textId="77777777">
      <w:pPr>
        <w:pStyle w:val="NoSpacing"/>
        <w:ind w:left="360"/>
        <w:jc w:val="both"/>
        <w:rPr>
          <w:rFonts w:ascii="Times New Roman" w:hAnsi="Times New Roman"/>
          <w:b/>
          <w:bCs/>
          <w:sz w:val="24"/>
          <w:szCs w:val="24"/>
        </w:rPr>
      </w:pPr>
    </w:p>
    <w:p w:rsidRPr="00B37B02" w:rsidR="00BF1E34" w:rsidP="00100E56" w:rsidRDefault="00BF1E34" w14:paraId="40C64F03" w14:textId="20CEBD57">
      <w:pPr>
        <w:widowControl w:val="0"/>
        <w:suppressAutoHyphens/>
        <w:spacing w:after="180" w:line="240" w:lineRule="auto"/>
        <w:ind w:left="360"/>
        <w:jc w:val="both"/>
        <w:rPr>
          <w:rFonts w:ascii="Times New Roman" w:hAnsi="Times New Roman" w:eastAsia="Tahoma"/>
          <w:kern w:val="2"/>
          <w:sz w:val="24"/>
          <w:szCs w:val="24"/>
        </w:rPr>
      </w:pPr>
      <w:r w:rsidRPr="00B37B02">
        <w:rPr>
          <w:rFonts w:ascii="Times New Roman" w:hAnsi="Times New Roman" w:eastAsia="Tahoma"/>
          <w:kern w:val="2"/>
          <w:sz w:val="24"/>
          <w:szCs w:val="24"/>
        </w:rPr>
        <w:t xml:space="preserve">Because of the recognized mobility of </w:t>
      </w:r>
      <w:r w:rsidRPr="00B37B02" w:rsidR="001A08AD">
        <w:rPr>
          <w:rFonts w:ascii="Times New Roman" w:hAnsi="Times New Roman" w:eastAsia="Tahoma"/>
          <w:kern w:val="2"/>
          <w:sz w:val="24"/>
          <w:szCs w:val="24"/>
        </w:rPr>
        <w:t>low-income</w:t>
      </w:r>
      <w:r w:rsidRPr="00B37B02">
        <w:rPr>
          <w:rFonts w:ascii="Times New Roman" w:hAnsi="Times New Roman" w:eastAsia="Tahoma"/>
          <w:kern w:val="2"/>
          <w:sz w:val="24"/>
          <w:szCs w:val="24"/>
        </w:rPr>
        <w:t xml:space="preserve"> populations and the need to ensure high and comparable response rates for both the control and program groups, tracking is considered a critical component to ensure the success of the project’s data collection efforts. </w:t>
      </w:r>
      <w:r w:rsidRPr="00B37B02" w:rsidR="00CC1813">
        <w:rPr>
          <w:rFonts w:ascii="Times New Roman" w:hAnsi="Times New Roman" w:eastAsia="Tahoma"/>
          <w:kern w:val="2"/>
          <w:sz w:val="24"/>
          <w:szCs w:val="24"/>
        </w:rPr>
        <w:t>T</w:t>
      </w:r>
      <w:r w:rsidRPr="00B37B02">
        <w:rPr>
          <w:rFonts w:ascii="Times New Roman" w:hAnsi="Times New Roman" w:eastAsia="Tahoma"/>
          <w:kern w:val="2"/>
          <w:sz w:val="24"/>
          <w:szCs w:val="24"/>
        </w:rPr>
        <w:t>racking efforts will occur in the interim period between an individual’s random assignment and their re-contact for the</w:t>
      </w:r>
      <w:r w:rsidRPr="00B37B02" w:rsidR="004D5A7E">
        <w:rPr>
          <w:rFonts w:ascii="Times New Roman" w:hAnsi="Times New Roman" w:eastAsia="Tahoma"/>
          <w:kern w:val="2"/>
          <w:sz w:val="24"/>
          <w:szCs w:val="24"/>
        </w:rPr>
        <w:t xml:space="preserve"> long-term </w:t>
      </w:r>
      <w:r w:rsidRPr="00B37B02">
        <w:rPr>
          <w:rFonts w:ascii="Times New Roman" w:hAnsi="Times New Roman" w:eastAsia="Tahoma"/>
          <w:kern w:val="2"/>
          <w:sz w:val="24"/>
          <w:szCs w:val="24"/>
        </w:rPr>
        <w:t>follow-up surve</w:t>
      </w:r>
      <w:r w:rsidRPr="00B37B02" w:rsidR="004D5A7E">
        <w:rPr>
          <w:rFonts w:ascii="Times New Roman" w:hAnsi="Times New Roman" w:eastAsia="Tahoma"/>
          <w:kern w:val="2"/>
          <w:sz w:val="24"/>
          <w:szCs w:val="24"/>
        </w:rPr>
        <w:t>y</w:t>
      </w:r>
      <w:r w:rsidRPr="00B37B02">
        <w:rPr>
          <w:rFonts w:ascii="Times New Roman" w:hAnsi="Times New Roman" w:eastAsia="Tahoma"/>
          <w:kern w:val="2"/>
          <w:sz w:val="24"/>
          <w:szCs w:val="24"/>
        </w:rPr>
        <w:t>. Multiple methods will be employed during the interim period to update sample-member contact information to help ensure response-rate goals are achieved.</w:t>
      </w:r>
    </w:p>
    <w:p w:rsidRPr="00B37B02" w:rsidR="00A408AB" w:rsidP="00100E56" w:rsidRDefault="00826713" w14:paraId="4F688660" w14:textId="77777777">
      <w:pPr>
        <w:widowControl w:val="0"/>
        <w:suppressAutoHyphens/>
        <w:spacing w:after="180" w:line="240" w:lineRule="auto"/>
        <w:ind w:left="360"/>
        <w:jc w:val="both"/>
        <w:rPr>
          <w:rFonts w:ascii="Times New Roman" w:hAnsi="Times New Roman"/>
          <w:sz w:val="24"/>
          <w:szCs w:val="24"/>
        </w:rPr>
      </w:pPr>
      <w:r w:rsidRPr="00B37B02">
        <w:rPr>
          <w:rFonts w:ascii="Times New Roman" w:hAnsi="Times New Roman"/>
          <w:sz w:val="24"/>
          <w:szCs w:val="24"/>
        </w:rPr>
        <w:t>We w</w:t>
      </w:r>
      <w:r w:rsidRPr="004D173F">
        <w:rPr>
          <w:rFonts w:ascii="Times New Roman" w:hAnsi="Times New Roman"/>
          <w:sz w:val="24"/>
          <w:szCs w:val="24"/>
        </w:rPr>
        <w:t>ill utilize survey tracking information</w:t>
      </w:r>
      <w:r w:rsidRPr="00B37B02" w:rsidR="0069027E">
        <w:rPr>
          <w:rFonts w:ascii="Times New Roman" w:hAnsi="Times New Roman"/>
          <w:sz w:val="24"/>
          <w:szCs w:val="24"/>
        </w:rPr>
        <w:t xml:space="preserve"> </w:t>
      </w:r>
      <w:proofErr w:type="gramStart"/>
      <w:r w:rsidRPr="00B37B02" w:rsidR="0069027E">
        <w:rPr>
          <w:rFonts w:ascii="Times New Roman" w:hAnsi="Times New Roman"/>
          <w:sz w:val="24"/>
          <w:szCs w:val="24"/>
        </w:rPr>
        <w:t>in order to</w:t>
      </w:r>
      <w:proofErr w:type="gramEnd"/>
      <w:r w:rsidRPr="00B37B02" w:rsidR="0069027E">
        <w:rPr>
          <w:rFonts w:ascii="Times New Roman" w:hAnsi="Times New Roman"/>
          <w:sz w:val="24"/>
          <w:szCs w:val="24"/>
        </w:rPr>
        <w:t xml:space="preserve"> maximize </w:t>
      </w:r>
      <w:r w:rsidRPr="00B37B02" w:rsidR="008740E3">
        <w:rPr>
          <w:rFonts w:ascii="Times New Roman" w:hAnsi="Times New Roman"/>
          <w:sz w:val="24"/>
          <w:szCs w:val="24"/>
        </w:rPr>
        <w:t>response rate</w:t>
      </w:r>
      <w:r w:rsidRPr="00B37B02" w:rsidR="00B77197">
        <w:rPr>
          <w:rFonts w:ascii="Times New Roman" w:hAnsi="Times New Roman"/>
          <w:sz w:val="24"/>
          <w:szCs w:val="24"/>
        </w:rPr>
        <w:t>s</w:t>
      </w:r>
      <w:r w:rsidRPr="00B37B02">
        <w:rPr>
          <w:rFonts w:ascii="Times New Roman" w:hAnsi="Times New Roman"/>
          <w:sz w:val="24"/>
          <w:szCs w:val="24"/>
        </w:rPr>
        <w:t>. MDRC collects contact information semi-annually from participating housing authorities and quarterly from federal HUD database.  MDRC is forwarding the information to M Davis and Company (MDAC). Address changes come</w:t>
      </w:r>
      <w:r w:rsidRPr="004D173F">
        <w:rPr>
          <w:rFonts w:ascii="Times New Roman" w:hAnsi="Times New Roman"/>
          <w:sz w:val="24"/>
          <w:szCs w:val="24"/>
        </w:rPr>
        <w:t xml:space="preserve"> from mailings to the participants and passively tracking respondents through the U.S. Postal Service Change of Address database</w:t>
      </w:r>
      <w:r w:rsidRPr="00B37B02" w:rsidR="00250D8D">
        <w:rPr>
          <w:rFonts w:ascii="Times New Roman" w:hAnsi="Times New Roman"/>
          <w:sz w:val="24"/>
          <w:szCs w:val="24"/>
        </w:rPr>
        <w:t>. T</w:t>
      </w:r>
      <w:r w:rsidRPr="00B37B02">
        <w:rPr>
          <w:rFonts w:ascii="Times New Roman" w:hAnsi="Times New Roman"/>
          <w:sz w:val="24"/>
          <w:szCs w:val="24"/>
        </w:rPr>
        <w:t>his approach provides an inexpensive method for being able to collect more recent contact information for respondents</w:t>
      </w:r>
      <w:r w:rsidRPr="00B37B02" w:rsidR="00250D8D">
        <w:rPr>
          <w:rFonts w:ascii="Times New Roman" w:hAnsi="Times New Roman"/>
          <w:sz w:val="24"/>
          <w:szCs w:val="24"/>
        </w:rPr>
        <w:t>.</w:t>
      </w:r>
    </w:p>
    <w:p w:rsidRPr="00B37B02" w:rsidR="00826713" w:rsidP="00100E56" w:rsidRDefault="00A408AB" w14:paraId="4AF33A4B" w14:textId="574B02D9">
      <w:pPr>
        <w:widowControl w:val="0"/>
        <w:suppressAutoHyphens/>
        <w:spacing w:after="180" w:line="240" w:lineRule="auto"/>
        <w:ind w:left="360"/>
        <w:jc w:val="both"/>
        <w:rPr>
          <w:rFonts w:ascii="Times New Roman" w:hAnsi="Times New Roman" w:eastAsia="Tahoma"/>
          <w:kern w:val="2"/>
          <w:sz w:val="24"/>
          <w:szCs w:val="24"/>
        </w:rPr>
      </w:pPr>
      <w:r w:rsidRPr="00B37B02">
        <w:rPr>
          <w:rFonts w:ascii="Times New Roman" w:hAnsi="Times New Roman"/>
          <w:sz w:val="24"/>
          <w:szCs w:val="24"/>
        </w:rPr>
        <w:t xml:space="preserve">MDAC will also conduct passive tracking </w:t>
      </w:r>
      <w:r w:rsidRPr="00B37B02" w:rsidR="006F0E5C">
        <w:rPr>
          <w:rFonts w:ascii="Times New Roman" w:hAnsi="Times New Roman"/>
          <w:sz w:val="24"/>
          <w:szCs w:val="24"/>
        </w:rPr>
        <w:t>using a service such as LexisNexis</w:t>
      </w:r>
      <w:r w:rsidRPr="00B37B02" w:rsidR="005C11CA">
        <w:rPr>
          <w:rFonts w:ascii="Times New Roman" w:hAnsi="Times New Roman"/>
          <w:sz w:val="24"/>
          <w:szCs w:val="24"/>
        </w:rPr>
        <w:t xml:space="preserve">’ Smart </w:t>
      </w:r>
      <w:proofErr w:type="spellStart"/>
      <w:r w:rsidRPr="00B37B02" w:rsidR="005C11CA">
        <w:rPr>
          <w:rFonts w:ascii="Times New Roman" w:hAnsi="Times New Roman"/>
          <w:sz w:val="24"/>
          <w:szCs w:val="24"/>
        </w:rPr>
        <w:t>Linx</w:t>
      </w:r>
      <w:proofErr w:type="spellEnd"/>
      <w:r w:rsidRPr="00B37B02" w:rsidR="006F0E5C">
        <w:rPr>
          <w:rFonts w:ascii="Times New Roman" w:hAnsi="Times New Roman"/>
          <w:sz w:val="24"/>
          <w:szCs w:val="24"/>
        </w:rPr>
        <w:t xml:space="preserve"> </w:t>
      </w:r>
      <w:proofErr w:type="gramStart"/>
      <w:r w:rsidRPr="00B37B02">
        <w:rPr>
          <w:rFonts w:ascii="Times New Roman" w:hAnsi="Times New Roman"/>
          <w:sz w:val="24"/>
          <w:szCs w:val="24"/>
        </w:rPr>
        <w:t>in order to</w:t>
      </w:r>
      <w:proofErr w:type="gramEnd"/>
      <w:r w:rsidRPr="00B37B02">
        <w:rPr>
          <w:rFonts w:ascii="Times New Roman" w:hAnsi="Times New Roman"/>
          <w:sz w:val="24"/>
          <w:szCs w:val="24"/>
        </w:rPr>
        <w:t xml:space="preserve"> maximize response rates and </w:t>
      </w:r>
      <w:r w:rsidRPr="00B37B02" w:rsidR="006360F6">
        <w:rPr>
          <w:rFonts w:ascii="Times New Roman" w:hAnsi="Times New Roman"/>
          <w:sz w:val="24"/>
          <w:szCs w:val="24"/>
        </w:rPr>
        <w:t>deal with issues of non-response.</w:t>
      </w:r>
      <w:r w:rsidRPr="00B37B02" w:rsidR="006F0E5C">
        <w:rPr>
          <w:rFonts w:ascii="Times New Roman" w:hAnsi="Times New Roman"/>
          <w:sz w:val="24"/>
          <w:szCs w:val="24"/>
        </w:rPr>
        <w:t xml:space="preserve"> Passive tracking may </w:t>
      </w:r>
      <w:r w:rsidRPr="00B37B02" w:rsidR="004C6EEA">
        <w:rPr>
          <w:rFonts w:ascii="Times New Roman" w:hAnsi="Times New Roman"/>
          <w:sz w:val="24"/>
          <w:szCs w:val="24"/>
        </w:rPr>
        <w:t xml:space="preserve">begin as early as 3 months prior to data collect and will take place through the </w:t>
      </w:r>
      <w:r w:rsidRPr="00B37B02" w:rsidR="00EE747D">
        <w:rPr>
          <w:rFonts w:ascii="Times New Roman" w:hAnsi="Times New Roman"/>
          <w:sz w:val="24"/>
          <w:szCs w:val="24"/>
        </w:rPr>
        <w:t xml:space="preserve">end of fielding. </w:t>
      </w:r>
      <w:r w:rsidRPr="00B37B02" w:rsidR="000A31BD">
        <w:rPr>
          <w:rFonts w:ascii="Times New Roman" w:hAnsi="Times New Roman"/>
          <w:sz w:val="24"/>
          <w:szCs w:val="24"/>
        </w:rPr>
        <w:t>Such tracking efforts will help maintain</w:t>
      </w:r>
      <w:r w:rsidRPr="00B37B02" w:rsidR="00A5288E">
        <w:rPr>
          <w:rFonts w:ascii="Times New Roman" w:hAnsi="Times New Roman"/>
          <w:sz w:val="24"/>
          <w:szCs w:val="24"/>
        </w:rPr>
        <w:t xml:space="preserve"> up-to-date participant data and reestablish lapsed connections. Changes to contact information will be carefully documented in a database, tracking the history of changed fields to pre</w:t>
      </w:r>
      <w:r w:rsidRPr="00B37B02" w:rsidR="000805F2">
        <w:rPr>
          <w:rFonts w:ascii="Times New Roman" w:hAnsi="Times New Roman"/>
          <w:sz w:val="24"/>
          <w:szCs w:val="24"/>
        </w:rPr>
        <w:t xml:space="preserve">vent reversions to out-of-date information and maximizing the amount of information available for future tracking activities. </w:t>
      </w:r>
    </w:p>
    <w:p w:rsidRPr="00B37B02" w:rsidR="00BF1E34" w:rsidP="00100E56" w:rsidRDefault="00BF1E34" w14:paraId="2B4329CF" w14:textId="51BD705A">
      <w:pPr>
        <w:spacing w:after="240" w:line="240" w:lineRule="auto"/>
        <w:ind w:left="360"/>
        <w:jc w:val="both"/>
        <w:rPr>
          <w:rFonts w:ascii="Times New Roman" w:hAnsi="Times New Roman"/>
          <w:sz w:val="24"/>
          <w:szCs w:val="24"/>
        </w:rPr>
      </w:pPr>
      <w:r w:rsidRPr="00B37B02">
        <w:rPr>
          <w:rFonts w:ascii="Times New Roman" w:hAnsi="Times New Roman"/>
          <w:sz w:val="24"/>
          <w:szCs w:val="24"/>
        </w:rPr>
        <w:t xml:space="preserve">MDRC will also utilize incentive payments as detailed in Supporting Statement A. Payment ($30) upon survey completion is intended as a token of appreciation. As documented in the literature, this token of appreciation is likely to improve response rates by decreasing the number of refusals, enhancing respondent retention, and providing a gesture of goodwill to acknowledge respondent burdens. This technique is proposed in addition to many of the techniques suggested by OMB to improve response rates that have been incorporated into our data collection effort because our experience has shown that small monetary amounts are useful when fielding data collection instruments with hard-to-employ populations as part of a complex study design. In a seminal meta-analysis, Singer, et al. (1999) found that incentives in face-to-face and telephone surveys were effective at increasing response rates, with a one dollar increase in incentive resulting in approximately a one-third of a percentage point increase in response rate, on average. They found some evidence that incentives were useful in boosting response rates among underrepresented demographic groups, such as low-income </w:t>
      </w:r>
      <w:r w:rsidRPr="00B37B02">
        <w:rPr>
          <w:rFonts w:ascii="Times New Roman" w:hAnsi="Times New Roman"/>
          <w:sz w:val="24"/>
          <w:szCs w:val="24"/>
        </w:rPr>
        <w:lastRenderedPageBreak/>
        <w:t>and non-white individuals.</w:t>
      </w:r>
      <w:r w:rsidRPr="00B37B02">
        <w:rPr>
          <w:rStyle w:val="FootnoteReference"/>
          <w:rFonts w:ascii="Times New Roman" w:hAnsi="Times New Roman" w:eastAsia="Courier New"/>
          <w:sz w:val="24"/>
          <w:szCs w:val="24"/>
        </w:rPr>
        <w:footnoteReference w:id="2"/>
      </w:r>
      <w:r w:rsidRPr="00B37B02">
        <w:rPr>
          <w:rFonts w:ascii="Times New Roman" w:hAnsi="Times New Roman"/>
          <w:sz w:val="24"/>
          <w:szCs w:val="24"/>
        </w:rPr>
        <w:t xml:space="preserve"> This is a significant consideration for this study. Another important consideration is the burden posed by this data collection, which will take on average </w:t>
      </w:r>
      <w:r w:rsidRPr="00B37B02" w:rsidR="00A26FC7">
        <w:rPr>
          <w:rFonts w:ascii="Times New Roman" w:hAnsi="Times New Roman"/>
          <w:sz w:val="24"/>
          <w:szCs w:val="24"/>
        </w:rPr>
        <w:t>18 to 20</w:t>
      </w:r>
      <w:r w:rsidRPr="00B37B02">
        <w:rPr>
          <w:rFonts w:ascii="Times New Roman" w:hAnsi="Times New Roman"/>
          <w:sz w:val="24"/>
          <w:szCs w:val="24"/>
        </w:rPr>
        <w:t xml:space="preserve"> minutes of the participant’s time for the follow-up survey.  </w:t>
      </w:r>
    </w:p>
    <w:p w:rsidRPr="00B37B02" w:rsidR="0030106A" w:rsidP="00100E56" w:rsidRDefault="00266F6D" w14:paraId="22681092" w14:textId="58218A38">
      <w:pPr>
        <w:pStyle w:val="NoSpacing"/>
        <w:numPr>
          <w:ilvl w:val="0"/>
          <w:numId w:val="8"/>
        </w:numPr>
        <w:jc w:val="both"/>
        <w:rPr>
          <w:rFonts w:ascii="Times New Roman" w:hAnsi="Times New Roman"/>
          <w:b/>
          <w:bCs/>
          <w:sz w:val="24"/>
          <w:szCs w:val="24"/>
        </w:rPr>
      </w:pPr>
      <w:r w:rsidRPr="00B37B02">
        <w:rPr>
          <w:rFonts w:ascii="Times New Roman" w:hAnsi="Times New Roman"/>
          <w:b/>
          <w:bCs/>
          <w:sz w:val="24"/>
          <w:szCs w:val="24"/>
        </w:rPr>
        <w:t>Describe any tests of procedures or methods to be</w:t>
      </w:r>
      <w:r w:rsidRPr="00B37B02" w:rsidR="00763388">
        <w:rPr>
          <w:rFonts w:ascii="Times New Roman" w:hAnsi="Times New Roman"/>
          <w:b/>
          <w:bCs/>
          <w:sz w:val="24"/>
          <w:szCs w:val="24"/>
        </w:rPr>
        <w:t xml:space="preserve"> </w:t>
      </w:r>
      <w:r w:rsidRPr="00B37B02">
        <w:rPr>
          <w:rFonts w:ascii="Times New Roman" w:hAnsi="Times New Roman"/>
          <w:b/>
          <w:bCs/>
          <w:sz w:val="24"/>
          <w:szCs w:val="24"/>
        </w:rPr>
        <w:t>undertaken. Testing is encouraged as an effective means</w:t>
      </w:r>
      <w:r w:rsidRPr="00B37B02" w:rsidR="00763388">
        <w:rPr>
          <w:rFonts w:ascii="Times New Roman" w:hAnsi="Times New Roman"/>
          <w:b/>
          <w:bCs/>
          <w:sz w:val="24"/>
          <w:szCs w:val="24"/>
        </w:rPr>
        <w:t xml:space="preserve"> </w:t>
      </w:r>
      <w:r w:rsidRPr="00B37B02">
        <w:rPr>
          <w:rFonts w:ascii="Times New Roman" w:hAnsi="Times New Roman"/>
          <w:b/>
          <w:bCs/>
          <w:sz w:val="24"/>
          <w:szCs w:val="24"/>
        </w:rPr>
        <w:t>of refining collections of information to minimize burden and</w:t>
      </w:r>
      <w:r w:rsidRPr="00B37B02" w:rsidR="00763388">
        <w:rPr>
          <w:rFonts w:ascii="Times New Roman" w:hAnsi="Times New Roman"/>
          <w:b/>
          <w:bCs/>
          <w:sz w:val="24"/>
          <w:szCs w:val="24"/>
        </w:rPr>
        <w:t xml:space="preserve"> </w:t>
      </w:r>
      <w:r w:rsidRPr="00B37B02">
        <w:rPr>
          <w:rFonts w:ascii="Times New Roman" w:hAnsi="Times New Roman"/>
          <w:b/>
          <w:bCs/>
          <w:sz w:val="24"/>
          <w:szCs w:val="24"/>
        </w:rPr>
        <w:t>improve utility. Tests must be approved if they call for</w:t>
      </w:r>
      <w:r w:rsidRPr="00B37B02" w:rsidR="00763388">
        <w:rPr>
          <w:rFonts w:ascii="Times New Roman" w:hAnsi="Times New Roman"/>
          <w:b/>
          <w:bCs/>
          <w:sz w:val="24"/>
          <w:szCs w:val="24"/>
        </w:rPr>
        <w:t xml:space="preserve"> </w:t>
      </w:r>
      <w:r w:rsidRPr="00B37B02">
        <w:rPr>
          <w:rFonts w:ascii="Times New Roman" w:hAnsi="Times New Roman"/>
          <w:b/>
          <w:bCs/>
          <w:sz w:val="24"/>
          <w:szCs w:val="24"/>
        </w:rPr>
        <w:t>answers to identical questions from 10 or more</w:t>
      </w:r>
      <w:r w:rsidRPr="00B37B02" w:rsidR="00763388">
        <w:rPr>
          <w:rFonts w:ascii="Times New Roman" w:hAnsi="Times New Roman"/>
          <w:b/>
          <w:bCs/>
          <w:sz w:val="24"/>
          <w:szCs w:val="24"/>
        </w:rPr>
        <w:t xml:space="preserve"> </w:t>
      </w:r>
      <w:r w:rsidRPr="00B37B02">
        <w:rPr>
          <w:rFonts w:ascii="Times New Roman" w:hAnsi="Times New Roman"/>
          <w:b/>
          <w:bCs/>
          <w:sz w:val="24"/>
          <w:szCs w:val="24"/>
        </w:rPr>
        <w:t xml:space="preserve">respondents. A proposed test or set of </w:t>
      </w:r>
      <w:proofErr w:type="gramStart"/>
      <w:r w:rsidRPr="00B37B02">
        <w:rPr>
          <w:rFonts w:ascii="Times New Roman" w:hAnsi="Times New Roman"/>
          <w:b/>
          <w:bCs/>
          <w:sz w:val="24"/>
          <w:szCs w:val="24"/>
        </w:rPr>
        <w:t>test</w:t>
      </w:r>
      <w:proofErr w:type="gramEnd"/>
      <w:r w:rsidRPr="00B37B02">
        <w:rPr>
          <w:rFonts w:ascii="Times New Roman" w:hAnsi="Times New Roman"/>
          <w:b/>
          <w:bCs/>
          <w:sz w:val="24"/>
          <w:szCs w:val="24"/>
        </w:rPr>
        <w:t xml:space="preserve"> may be</w:t>
      </w:r>
      <w:r w:rsidRPr="00B37B02" w:rsidR="00763388">
        <w:rPr>
          <w:rFonts w:ascii="Times New Roman" w:hAnsi="Times New Roman"/>
          <w:b/>
          <w:bCs/>
          <w:sz w:val="24"/>
          <w:szCs w:val="24"/>
        </w:rPr>
        <w:t xml:space="preserve"> </w:t>
      </w:r>
      <w:r w:rsidRPr="00B37B02">
        <w:rPr>
          <w:rFonts w:ascii="Times New Roman" w:hAnsi="Times New Roman"/>
          <w:b/>
          <w:bCs/>
          <w:sz w:val="24"/>
          <w:szCs w:val="24"/>
        </w:rPr>
        <w:t>submitted for approval separately or in combination with the</w:t>
      </w:r>
      <w:r w:rsidRPr="00B37B02" w:rsidR="00763388">
        <w:rPr>
          <w:rFonts w:ascii="Times New Roman" w:hAnsi="Times New Roman"/>
          <w:b/>
          <w:bCs/>
          <w:sz w:val="24"/>
          <w:szCs w:val="24"/>
        </w:rPr>
        <w:t xml:space="preserve"> </w:t>
      </w:r>
      <w:r w:rsidRPr="00B37B02">
        <w:rPr>
          <w:rFonts w:ascii="Times New Roman" w:hAnsi="Times New Roman"/>
          <w:b/>
          <w:bCs/>
          <w:sz w:val="24"/>
          <w:szCs w:val="24"/>
        </w:rPr>
        <w:t>main collection of information.</w:t>
      </w:r>
    </w:p>
    <w:p w:rsidR="00FE25D2" w:rsidP="00100E56" w:rsidRDefault="00FE25D2" w14:paraId="522D412F" w14:textId="77777777">
      <w:pPr>
        <w:pStyle w:val="Heading5"/>
        <w:spacing w:line="240" w:lineRule="auto"/>
        <w:ind w:left="360"/>
        <w:jc w:val="both"/>
        <w:rPr>
          <w:rFonts w:ascii="Times New Roman" w:hAnsi="Times New Roman" w:cs="Times New Roman"/>
          <w:color w:val="auto"/>
          <w:sz w:val="24"/>
          <w:szCs w:val="24"/>
        </w:rPr>
      </w:pPr>
    </w:p>
    <w:p w:rsidR="00C73E2B" w:rsidP="00100E56" w:rsidRDefault="00C73E2B" w14:paraId="290B07CE" w14:textId="2F6F0C07">
      <w:pPr>
        <w:pStyle w:val="Heading5"/>
        <w:spacing w:line="240" w:lineRule="auto"/>
        <w:ind w:left="360"/>
        <w:jc w:val="both"/>
        <w:rPr>
          <w:rFonts w:ascii="Times New Roman" w:hAnsi="Times New Roman" w:cs="Times New Roman"/>
          <w:color w:val="auto"/>
          <w:sz w:val="24"/>
          <w:szCs w:val="24"/>
        </w:rPr>
      </w:pPr>
      <w:r w:rsidRPr="00B37B02">
        <w:rPr>
          <w:rFonts w:ascii="Times New Roman" w:hAnsi="Times New Roman" w:cs="Times New Roman"/>
          <w:color w:val="auto"/>
          <w:sz w:val="24"/>
          <w:szCs w:val="24"/>
        </w:rPr>
        <w:t xml:space="preserve">Both MDRC and MDAC will conduct pre-testing of the survey instrument </w:t>
      </w:r>
      <w:r w:rsidR="00CF51D8">
        <w:rPr>
          <w:rFonts w:ascii="Times New Roman" w:hAnsi="Times New Roman" w:cs="Times New Roman"/>
          <w:color w:val="auto"/>
          <w:sz w:val="24"/>
          <w:szCs w:val="24"/>
        </w:rPr>
        <w:t xml:space="preserve">– the </w:t>
      </w:r>
      <w:r w:rsidR="00C13346">
        <w:rPr>
          <w:rFonts w:ascii="Times New Roman" w:hAnsi="Times New Roman" w:cs="Times New Roman"/>
          <w:color w:val="auto"/>
          <w:sz w:val="24"/>
          <w:szCs w:val="24"/>
        </w:rPr>
        <w:t xml:space="preserve">online and CATI versions </w:t>
      </w:r>
      <w:r w:rsidR="004C1D2B">
        <w:rPr>
          <w:rFonts w:ascii="Times New Roman" w:hAnsi="Times New Roman" w:cs="Times New Roman"/>
          <w:color w:val="auto"/>
          <w:sz w:val="24"/>
          <w:szCs w:val="24"/>
        </w:rPr>
        <w:t xml:space="preserve">– </w:t>
      </w:r>
      <w:r w:rsidRPr="00B37B02">
        <w:rPr>
          <w:rFonts w:ascii="Times New Roman" w:hAnsi="Times New Roman" w:cs="Times New Roman"/>
          <w:color w:val="auto"/>
          <w:sz w:val="24"/>
          <w:szCs w:val="24"/>
        </w:rPr>
        <w:t xml:space="preserve">before fielding. The survey will be thoroughly tested prior to the fielding of the survey, including: </w:t>
      </w:r>
    </w:p>
    <w:p w:rsidRPr="00B37B02" w:rsidR="00C73E2B" w:rsidP="00100E56" w:rsidRDefault="00C73E2B" w14:paraId="7EDCA079" w14:textId="651207E4">
      <w:pPr>
        <w:widowControl w:val="0"/>
        <w:numPr>
          <w:ilvl w:val="0"/>
          <w:numId w:val="10"/>
        </w:numPr>
        <w:suppressAutoHyphens/>
        <w:spacing w:line="240" w:lineRule="auto"/>
        <w:ind w:left="1080"/>
        <w:contextualSpacing/>
        <w:jc w:val="both"/>
        <w:rPr>
          <w:rFonts w:ascii="Times New Roman" w:hAnsi="Times New Roman"/>
          <w:sz w:val="24"/>
          <w:szCs w:val="24"/>
        </w:rPr>
      </w:pPr>
      <w:r w:rsidRPr="00B37B02">
        <w:rPr>
          <w:rFonts w:ascii="Times New Roman" w:hAnsi="Times New Roman"/>
          <w:sz w:val="24"/>
          <w:szCs w:val="24"/>
        </w:rPr>
        <w:t>Screen reviews by both MDAC and MDRC to prevent the release of text with typos and to ensure proper flow</w:t>
      </w:r>
      <w:r w:rsidRPr="00B37B02" w:rsidR="0083115E">
        <w:rPr>
          <w:rFonts w:ascii="Times New Roman" w:hAnsi="Times New Roman"/>
          <w:sz w:val="24"/>
          <w:szCs w:val="24"/>
        </w:rPr>
        <w:t xml:space="preserve"> </w:t>
      </w:r>
      <w:r w:rsidRPr="00B37B02">
        <w:rPr>
          <w:rFonts w:ascii="Times New Roman" w:hAnsi="Times New Roman"/>
          <w:sz w:val="24"/>
          <w:szCs w:val="24"/>
        </w:rPr>
        <w:t>of the questionnaire</w:t>
      </w:r>
      <w:r w:rsidRPr="00B37B02" w:rsidR="0083115E">
        <w:rPr>
          <w:rFonts w:ascii="Times New Roman" w:hAnsi="Times New Roman"/>
          <w:sz w:val="24"/>
          <w:szCs w:val="24"/>
        </w:rPr>
        <w:t>. These reviews will test different pathways through the instrument, ensuring that questions and response categories appear as intended and that skip patterns are correct</w:t>
      </w:r>
      <w:r w:rsidRPr="00B37B02" w:rsidR="00BB1A5D">
        <w:rPr>
          <w:rFonts w:ascii="Times New Roman" w:hAnsi="Times New Roman"/>
          <w:sz w:val="24"/>
          <w:szCs w:val="24"/>
        </w:rPr>
        <w:t>,</w:t>
      </w:r>
      <w:r w:rsidRPr="00B37B02" w:rsidR="00881B1D">
        <w:rPr>
          <w:rFonts w:ascii="Times New Roman" w:hAnsi="Times New Roman"/>
          <w:sz w:val="24"/>
          <w:szCs w:val="24"/>
        </w:rPr>
        <w:t xml:space="preserve"> and</w:t>
      </w:r>
    </w:p>
    <w:p w:rsidRPr="004D173F" w:rsidR="006A5222" w:rsidP="00100E56" w:rsidRDefault="00035F05" w14:paraId="36EEFC19" w14:textId="0AF9A750">
      <w:pPr>
        <w:widowControl w:val="0"/>
        <w:numPr>
          <w:ilvl w:val="0"/>
          <w:numId w:val="10"/>
        </w:numPr>
        <w:suppressAutoHyphens/>
        <w:spacing w:line="240" w:lineRule="auto"/>
        <w:ind w:left="1080"/>
        <w:contextualSpacing/>
        <w:jc w:val="both"/>
        <w:rPr>
          <w:rFonts w:ascii="Times New Roman" w:hAnsi="Times New Roman"/>
          <w:sz w:val="24"/>
          <w:szCs w:val="24"/>
        </w:rPr>
      </w:pPr>
      <w:r w:rsidRPr="00B37B02">
        <w:rPr>
          <w:rFonts w:ascii="Times New Roman" w:hAnsi="Times New Roman"/>
          <w:sz w:val="24"/>
          <w:szCs w:val="24"/>
        </w:rPr>
        <w:t>An operational pre-test of the survey instrument by MDAC to mitigate risk. The test will be a s</w:t>
      </w:r>
      <w:r w:rsidR="00FC4748">
        <w:rPr>
          <w:rFonts w:ascii="Times New Roman" w:hAnsi="Times New Roman"/>
          <w:sz w:val="24"/>
          <w:szCs w:val="24"/>
        </w:rPr>
        <w:t>l</w:t>
      </w:r>
      <w:r w:rsidRPr="00B37B02">
        <w:rPr>
          <w:rFonts w:ascii="Times New Roman" w:hAnsi="Times New Roman"/>
          <w:sz w:val="24"/>
          <w:szCs w:val="24"/>
        </w:rPr>
        <w:t xml:space="preserve">ow start that will collect up to 9 interviews to help ensure that systems are working as intended. </w:t>
      </w:r>
    </w:p>
    <w:p w:rsidRPr="00B37B02" w:rsidR="0072310C" w:rsidP="00100E56" w:rsidRDefault="00266F6D" w14:paraId="7EDF481F" w14:textId="3FAEAC1F">
      <w:pPr>
        <w:pStyle w:val="NoSpacing"/>
        <w:numPr>
          <w:ilvl w:val="0"/>
          <w:numId w:val="8"/>
        </w:numPr>
        <w:jc w:val="both"/>
        <w:rPr>
          <w:rFonts w:ascii="Times New Roman" w:hAnsi="Times New Roman"/>
          <w:b/>
          <w:bCs/>
          <w:sz w:val="24"/>
          <w:szCs w:val="24"/>
        </w:rPr>
      </w:pPr>
      <w:r w:rsidRPr="00B37B02">
        <w:rPr>
          <w:rFonts w:ascii="Times New Roman" w:hAnsi="Times New Roman"/>
          <w:b/>
          <w:bCs/>
          <w:sz w:val="24"/>
          <w:szCs w:val="24"/>
        </w:rPr>
        <w:t>Provide the name and telephone number of individuals</w:t>
      </w:r>
      <w:r w:rsidRPr="00B37B02" w:rsidR="00763388">
        <w:rPr>
          <w:rFonts w:ascii="Times New Roman" w:hAnsi="Times New Roman"/>
          <w:b/>
          <w:bCs/>
          <w:sz w:val="24"/>
          <w:szCs w:val="24"/>
        </w:rPr>
        <w:t xml:space="preserve"> </w:t>
      </w:r>
      <w:r w:rsidRPr="00B37B02">
        <w:rPr>
          <w:rFonts w:ascii="Times New Roman" w:hAnsi="Times New Roman"/>
          <w:b/>
          <w:bCs/>
          <w:sz w:val="24"/>
          <w:szCs w:val="24"/>
        </w:rPr>
        <w:t>consulted on statistical aspects of the design and the name</w:t>
      </w:r>
      <w:r w:rsidRPr="00B37B02" w:rsidR="00763388">
        <w:rPr>
          <w:rFonts w:ascii="Times New Roman" w:hAnsi="Times New Roman"/>
          <w:b/>
          <w:bCs/>
          <w:sz w:val="24"/>
          <w:szCs w:val="24"/>
        </w:rPr>
        <w:t xml:space="preserve"> </w:t>
      </w:r>
      <w:r w:rsidRPr="00B37B02">
        <w:rPr>
          <w:rFonts w:ascii="Times New Roman" w:hAnsi="Times New Roman"/>
          <w:b/>
          <w:bCs/>
          <w:sz w:val="24"/>
          <w:szCs w:val="24"/>
        </w:rPr>
        <w:t>of the agency unit, contractor(s), grantee(s), or other</w:t>
      </w:r>
      <w:r w:rsidRPr="00B37B02" w:rsidR="00763388">
        <w:rPr>
          <w:rFonts w:ascii="Times New Roman" w:hAnsi="Times New Roman"/>
          <w:b/>
          <w:bCs/>
          <w:sz w:val="24"/>
          <w:szCs w:val="24"/>
        </w:rPr>
        <w:t xml:space="preserve"> </w:t>
      </w:r>
      <w:r w:rsidRPr="00B37B02">
        <w:rPr>
          <w:rFonts w:ascii="Times New Roman" w:hAnsi="Times New Roman"/>
          <w:b/>
          <w:bCs/>
          <w:sz w:val="24"/>
          <w:szCs w:val="24"/>
        </w:rPr>
        <w:t>person(s) who will actually collect and/or analyze the</w:t>
      </w:r>
      <w:r w:rsidRPr="00B37B02" w:rsidR="00763388">
        <w:rPr>
          <w:rFonts w:ascii="Times New Roman" w:hAnsi="Times New Roman"/>
          <w:b/>
          <w:bCs/>
          <w:sz w:val="24"/>
          <w:szCs w:val="24"/>
        </w:rPr>
        <w:t xml:space="preserve"> </w:t>
      </w:r>
      <w:r w:rsidRPr="00B37B02">
        <w:rPr>
          <w:rFonts w:ascii="Times New Roman" w:hAnsi="Times New Roman"/>
          <w:b/>
          <w:bCs/>
          <w:sz w:val="24"/>
          <w:szCs w:val="24"/>
        </w:rPr>
        <w:t>information for the agency.</w:t>
      </w:r>
    </w:p>
    <w:p w:rsidRPr="00B37B02" w:rsidR="005C2765" w:rsidP="00100E56" w:rsidRDefault="005C2765" w14:paraId="2B0E0631" w14:textId="541052FA">
      <w:pPr>
        <w:pStyle w:val="NoSpacing"/>
        <w:jc w:val="both"/>
        <w:rPr>
          <w:rFonts w:ascii="Times New Roman" w:hAnsi="Times New Roman"/>
          <w:b/>
          <w:bCs/>
          <w:sz w:val="24"/>
          <w:szCs w:val="24"/>
        </w:rPr>
      </w:pPr>
    </w:p>
    <w:p w:rsidRPr="00B37B02" w:rsidR="005C2765" w:rsidP="00100E56" w:rsidRDefault="005C2765" w14:paraId="302BD11E" w14:textId="0A675171">
      <w:pPr>
        <w:spacing w:line="240" w:lineRule="auto"/>
        <w:ind w:left="360"/>
        <w:jc w:val="both"/>
        <w:rPr>
          <w:rFonts w:ascii="Times New Roman" w:hAnsi="Times New Roman"/>
          <w:sz w:val="24"/>
          <w:szCs w:val="24"/>
        </w:rPr>
      </w:pPr>
      <w:r w:rsidRPr="00B37B02">
        <w:rPr>
          <w:rFonts w:ascii="Times New Roman" w:hAnsi="Times New Roman"/>
          <w:sz w:val="24"/>
          <w:szCs w:val="24"/>
        </w:rPr>
        <w:t>The information for the FSS stud</w:t>
      </w:r>
      <w:r w:rsidR="00903820">
        <w:rPr>
          <w:rFonts w:ascii="Times New Roman" w:hAnsi="Times New Roman"/>
          <w:sz w:val="24"/>
          <w:szCs w:val="24"/>
        </w:rPr>
        <w:t>y</w:t>
      </w:r>
      <w:r w:rsidRPr="00B37B02">
        <w:rPr>
          <w:rFonts w:ascii="Times New Roman" w:hAnsi="Times New Roman"/>
          <w:sz w:val="24"/>
          <w:szCs w:val="24"/>
        </w:rPr>
        <w:t xml:space="preserve"> is being collected by MDRC and its </w:t>
      </w:r>
      <w:proofErr w:type="gramStart"/>
      <w:r w:rsidRPr="00B37B02">
        <w:rPr>
          <w:rFonts w:ascii="Times New Roman" w:hAnsi="Times New Roman"/>
          <w:sz w:val="24"/>
          <w:szCs w:val="24"/>
        </w:rPr>
        <w:t>subcontractors,</w:t>
      </w:r>
      <w:r w:rsidR="00680D3F">
        <w:rPr>
          <w:rFonts w:ascii="Times New Roman" w:hAnsi="Times New Roman"/>
          <w:sz w:val="24"/>
          <w:szCs w:val="24"/>
        </w:rPr>
        <w:t xml:space="preserve"> </w:t>
      </w:r>
      <w:r w:rsidRPr="00B37B02">
        <w:rPr>
          <w:rFonts w:ascii="Times New Roman" w:hAnsi="Times New Roman"/>
          <w:sz w:val="24"/>
          <w:szCs w:val="24"/>
        </w:rPr>
        <w:t xml:space="preserve"> MDAC</w:t>
      </w:r>
      <w:proofErr w:type="gramEnd"/>
      <w:r w:rsidR="00680D3F">
        <w:rPr>
          <w:rFonts w:ascii="Times New Roman" w:hAnsi="Times New Roman"/>
          <w:sz w:val="24"/>
          <w:szCs w:val="24"/>
        </w:rPr>
        <w:t>,</w:t>
      </w:r>
      <w:r w:rsidRPr="00B37B02">
        <w:rPr>
          <w:rFonts w:ascii="Times New Roman" w:hAnsi="Times New Roman"/>
          <w:sz w:val="24"/>
          <w:szCs w:val="24"/>
        </w:rPr>
        <w:t xml:space="preserve"> on behalf of the Department of Housing and Urban Development. With HUD oversight</w:t>
      </w:r>
      <w:r w:rsidR="001D4E39">
        <w:rPr>
          <w:rFonts w:ascii="Times New Roman" w:hAnsi="Times New Roman"/>
          <w:sz w:val="24"/>
          <w:szCs w:val="24"/>
        </w:rPr>
        <w:t xml:space="preserve"> and input</w:t>
      </w:r>
      <w:r w:rsidRPr="00B37B02">
        <w:rPr>
          <w:rFonts w:ascii="Times New Roman" w:hAnsi="Times New Roman"/>
          <w:sz w:val="24"/>
          <w:szCs w:val="24"/>
        </w:rPr>
        <w:t xml:space="preserve">, </w:t>
      </w:r>
      <w:r w:rsidR="001D4E39">
        <w:rPr>
          <w:rFonts w:ascii="Times New Roman" w:hAnsi="Times New Roman"/>
          <w:sz w:val="24"/>
          <w:szCs w:val="24"/>
        </w:rPr>
        <w:t xml:space="preserve">the </w:t>
      </w:r>
      <w:r w:rsidRPr="00B37B02">
        <w:rPr>
          <w:rFonts w:ascii="Times New Roman" w:hAnsi="Times New Roman"/>
          <w:sz w:val="24"/>
          <w:szCs w:val="24"/>
        </w:rPr>
        <w:t xml:space="preserve">MDRC </w:t>
      </w:r>
      <w:r w:rsidR="001D4E39">
        <w:rPr>
          <w:rFonts w:ascii="Times New Roman" w:hAnsi="Times New Roman"/>
          <w:sz w:val="24"/>
          <w:szCs w:val="24"/>
        </w:rPr>
        <w:t xml:space="preserve">team </w:t>
      </w:r>
      <w:r w:rsidR="00381469">
        <w:rPr>
          <w:rFonts w:ascii="Times New Roman" w:hAnsi="Times New Roman"/>
          <w:sz w:val="24"/>
          <w:szCs w:val="24"/>
        </w:rPr>
        <w:t xml:space="preserve">is </w:t>
      </w:r>
      <w:r w:rsidRPr="00B37B02">
        <w:rPr>
          <w:rFonts w:ascii="Times New Roman" w:hAnsi="Times New Roman"/>
          <w:sz w:val="24"/>
          <w:szCs w:val="24"/>
        </w:rPr>
        <w:t xml:space="preserve">responsible for developing the </w:t>
      </w:r>
      <w:r w:rsidR="00603BCE">
        <w:rPr>
          <w:rFonts w:ascii="Times New Roman" w:hAnsi="Times New Roman"/>
          <w:sz w:val="24"/>
          <w:szCs w:val="24"/>
        </w:rPr>
        <w:t xml:space="preserve">latest follow-up survey </w:t>
      </w:r>
      <w:r w:rsidR="009F1CC3">
        <w:rPr>
          <w:rFonts w:ascii="Times New Roman" w:hAnsi="Times New Roman"/>
          <w:sz w:val="24"/>
          <w:szCs w:val="24"/>
        </w:rPr>
        <w:t xml:space="preserve">for this evaluation, </w:t>
      </w:r>
      <w:r w:rsidRPr="00B37B02">
        <w:rPr>
          <w:rFonts w:ascii="Times New Roman" w:hAnsi="Times New Roman"/>
          <w:sz w:val="24"/>
          <w:szCs w:val="24"/>
        </w:rPr>
        <w:t>included in this submission. The statistical aspects of the study were developed in consultation with MDRC senior economist and impact analyst, Cynthia Miller</w:t>
      </w:r>
      <w:r w:rsidR="00381469">
        <w:rPr>
          <w:rFonts w:ascii="Times New Roman" w:hAnsi="Times New Roman"/>
          <w:sz w:val="24"/>
          <w:szCs w:val="24"/>
        </w:rPr>
        <w:t xml:space="preserve"> </w:t>
      </w:r>
      <w:r w:rsidR="00064040">
        <w:rPr>
          <w:rFonts w:ascii="Times New Roman" w:hAnsi="Times New Roman"/>
          <w:sz w:val="24"/>
          <w:szCs w:val="24"/>
        </w:rPr>
        <w:t>(212-340-</w:t>
      </w:r>
      <w:r w:rsidR="00305259">
        <w:rPr>
          <w:rFonts w:ascii="Times New Roman" w:hAnsi="Times New Roman"/>
          <w:sz w:val="24"/>
          <w:szCs w:val="24"/>
        </w:rPr>
        <w:t>8693)</w:t>
      </w:r>
      <w:r w:rsidR="00381469">
        <w:rPr>
          <w:rFonts w:ascii="Times New Roman" w:hAnsi="Times New Roman"/>
          <w:sz w:val="24"/>
          <w:szCs w:val="24"/>
        </w:rPr>
        <w:t xml:space="preserve">. </w:t>
      </w:r>
      <w:r w:rsidRPr="00B37B02">
        <w:rPr>
          <w:rFonts w:ascii="Times New Roman" w:hAnsi="Times New Roman"/>
          <w:sz w:val="24"/>
          <w:szCs w:val="24"/>
        </w:rPr>
        <w:t xml:space="preserve">  </w:t>
      </w:r>
    </w:p>
    <w:sectPr w:rsidRPr="00B37B02" w:rsidR="005C2765" w:rsidSect="0030106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BF063" w14:textId="77777777" w:rsidR="006831A3" w:rsidRDefault="006831A3" w:rsidP="00557ABE">
      <w:pPr>
        <w:spacing w:after="0" w:line="240" w:lineRule="auto"/>
      </w:pPr>
      <w:r>
        <w:separator/>
      </w:r>
    </w:p>
  </w:endnote>
  <w:endnote w:type="continuationSeparator" w:id="0">
    <w:p w14:paraId="1F917B87" w14:textId="77777777" w:rsidR="006831A3" w:rsidRDefault="006831A3" w:rsidP="00557ABE">
      <w:pPr>
        <w:spacing w:after="0" w:line="240" w:lineRule="auto"/>
      </w:pPr>
      <w:r>
        <w:continuationSeparator/>
      </w:r>
    </w:p>
  </w:endnote>
  <w:endnote w:type="continuationNotice" w:id="1">
    <w:p w14:paraId="532E1E0D" w14:textId="77777777" w:rsidR="006831A3" w:rsidRDefault="006831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093FF" w14:textId="77777777" w:rsidR="00BA7A3D" w:rsidRDefault="00BA7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9007638"/>
      <w:docPartObj>
        <w:docPartGallery w:val="Page Numbers (Bottom of Page)"/>
        <w:docPartUnique/>
      </w:docPartObj>
    </w:sdtPr>
    <w:sdtEndPr>
      <w:rPr>
        <w:noProof/>
      </w:rPr>
    </w:sdtEndPr>
    <w:sdtContent>
      <w:p w14:paraId="74586B20" w14:textId="09D17D1C" w:rsidR="00BA7A3D" w:rsidRDefault="00BA7A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860420" w14:textId="77777777" w:rsidR="00BA7A3D" w:rsidRDefault="00BA7A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C74C4" w14:textId="77777777" w:rsidR="00BA7A3D" w:rsidRDefault="00BA7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15ECC" w14:textId="77777777" w:rsidR="006831A3" w:rsidRDefault="006831A3" w:rsidP="00557ABE">
      <w:pPr>
        <w:spacing w:after="0" w:line="240" w:lineRule="auto"/>
      </w:pPr>
      <w:r>
        <w:separator/>
      </w:r>
    </w:p>
  </w:footnote>
  <w:footnote w:type="continuationSeparator" w:id="0">
    <w:p w14:paraId="6EE57F5C" w14:textId="77777777" w:rsidR="006831A3" w:rsidRDefault="006831A3" w:rsidP="00557ABE">
      <w:pPr>
        <w:spacing w:after="0" w:line="240" w:lineRule="auto"/>
      </w:pPr>
      <w:r>
        <w:continuationSeparator/>
      </w:r>
    </w:p>
  </w:footnote>
  <w:footnote w:type="continuationNotice" w:id="1">
    <w:p w14:paraId="2EE330DF" w14:textId="77777777" w:rsidR="006831A3" w:rsidRDefault="006831A3">
      <w:pPr>
        <w:spacing w:after="0" w:line="240" w:lineRule="auto"/>
      </w:pPr>
    </w:p>
  </w:footnote>
  <w:footnote w:id="2">
    <w:p w14:paraId="4AA7AFF5" w14:textId="77777777" w:rsidR="00BF1E34" w:rsidRPr="006A1EB7" w:rsidRDefault="00BF1E34" w:rsidP="00BF1E34">
      <w:pPr>
        <w:pStyle w:val="FootnoteText"/>
      </w:pPr>
      <w:r w:rsidRPr="006A1EB7">
        <w:rPr>
          <w:rStyle w:val="FootnoteReference"/>
          <w:rFonts w:eastAsia="Courier New"/>
        </w:rPr>
        <w:footnoteRef/>
      </w:r>
      <w:r w:rsidRPr="006A1EB7">
        <w:t xml:space="preserve"> </w:t>
      </w:r>
      <w:r w:rsidRPr="006A1EB7">
        <w:rPr>
          <w:szCs w:val="18"/>
        </w:rPr>
        <w:t xml:space="preserve">Berlin, M., L. Mohadjer and J. Waksberg (1992). An experiment in monetary incentives. </w:t>
      </w:r>
      <w:r w:rsidRPr="006A1EB7">
        <w:rPr>
          <w:i/>
          <w:iCs/>
          <w:szCs w:val="18"/>
        </w:rPr>
        <w:t xml:space="preserve">Proceedings of the Survey Research Section of the American Statistical Association, </w:t>
      </w:r>
      <w:r w:rsidRPr="006A1EB7">
        <w:rPr>
          <w:szCs w:val="18"/>
        </w:rPr>
        <w:t xml:space="preserve">393-398; de Heer, W. and E. de Leeuw. “Trends in household survey non-response: A longitudinal and international comparison.” In </w:t>
      </w:r>
      <w:r w:rsidRPr="006A1EB7">
        <w:rPr>
          <w:i/>
          <w:iCs/>
          <w:szCs w:val="18"/>
        </w:rPr>
        <w:t>Survey Non-response</w:t>
      </w:r>
      <w:r w:rsidRPr="006A1EB7">
        <w:rPr>
          <w:szCs w:val="18"/>
        </w:rPr>
        <w:t xml:space="preserve">, edited by R. M. Groves, D. A. Dillman, J. L. Eltinge, and R. J. A. Little. New York: John Wiley, 2002, pp.41-54; Singer, E. and Kulka, R. Studies of Welfare Populations: Data Collection and Research Issues, Panel on Data and Methods for Measuring the Effects of Changes in Social Welfare Programs. Ploeg, Robert A.Moffitt, and Constance F.Citro, Editors. National Academies Press, Washington, DC, 2000, pp. 105-128. </w:t>
      </w:r>
      <w:r w:rsidRPr="006A1EB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CC055" w14:textId="77777777" w:rsidR="00BA7A3D" w:rsidRDefault="00BA7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CF133" w14:textId="77777777" w:rsidR="00BA7A3D" w:rsidRDefault="00BA7A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63942" w14:textId="77777777" w:rsidR="00BA7A3D" w:rsidRDefault="00BA7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D3532"/>
    <w:multiLevelType w:val="hybridMultilevel"/>
    <w:tmpl w:val="0974E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9A1158"/>
    <w:multiLevelType w:val="hybridMultilevel"/>
    <w:tmpl w:val="686C7EB8"/>
    <w:lvl w:ilvl="0" w:tplc="DB42FEB6">
      <w:start w:val="1"/>
      <w:numFmt w:val="decimal"/>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81D62"/>
    <w:multiLevelType w:val="hybridMultilevel"/>
    <w:tmpl w:val="CB86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67AD"/>
    <w:multiLevelType w:val="hybridMultilevel"/>
    <w:tmpl w:val="2F7E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0783B"/>
    <w:multiLevelType w:val="hybridMultilevel"/>
    <w:tmpl w:val="7EF8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D58FD"/>
    <w:multiLevelType w:val="hybridMultilevel"/>
    <w:tmpl w:val="317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023B97"/>
    <w:multiLevelType w:val="hybridMultilevel"/>
    <w:tmpl w:val="85B60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F16DBF"/>
    <w:multiLevelType w:val="hybridMultilevel"/>
    <w:tmpl w:val="70944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5EB397D"/>
    <w:multiLevelType w:val="hybridMultilevel"/>
    <w:tmpl w:val="9942FBDA"/>
    <w:lvl w:ilvl="0" w:tplc="B3E63182">
      <w:start w:val="1"/>
      <w:numFmt w:val="decimal"/>
      <w:lvlText w:val="%1)"/>
      <w:lvlJc w:val="left"/>
      <w:pPr>
        <w:ind w:left="720" w:hanging="360"/>
      </w:pPr>
      <w:rPr>
        <w:rFonts w:ascii="Times New Roman" w:eastAsiaTheme="majorEastAsia"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987841"/>
    <w:multiLevelType w:val="hybridMultilevel"/>
    <w:tmpl w:val="59268D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7B414723"/>
    <w:multiLevelType w:val="hybridMultilevel"/>
    <w:tmpl w:val="880468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2"/>
  </w:num>
  <w:num w:numId="6">
    <w:abstractNumId w:val="9"/>
  </w:num>
  <w:num w:numId="7">
    <w:abstractNumId w:val="4"/>
  </w:num>
  <w:num w:numId="8">
    <w:abstractNumId w:val="1"/>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6D"/>
    <w:rsid w:val="0000501E"/>
    <w:rsid w:val="000059F5"/>
    <w:rsid w:val="00022AC1"/>
    <w:rsid w:val="00035F05"/>
    <w:rsid w:val="00037E0A"/>
    <w:rsid w:val="00042228"/>
    <w:rsid w:val="00046321"/>
    <w:rsid w:val="000505A8"/>
    <w:rsid w:val="00056C67"/>
    <w:rsid w:val="00062667"/>
    <w:rsid w:val="00064040"/>
    <w:rsid w:val="00066F39"/>
    <w:rsid w:val="000712E0"/>
    <w:rsid w:val="000805F2"/>
    <w:rsid w:val="00092D8B"/>
    <w:rsid w:val="00097065"/>
    <w:rsid w:val="000A251D"/>
    <w:rsid w:val="000A31BD"/>
    <w:rsid w:val="000A58D0"/>
    <w:rsid w:val="000D00FC"/>
    <w:rsid w:val="000D7401"/>
    <w:rsid w:val="000D7405"/>
    <w:rsid w:val="000E0397"/>
    <w:rsid w:val="00100E56"/>
    <w:rsid w:val="00133B65"/>
    <w:rsid w:val="00156D74"/>
    <w:rsid w:val="00157264"/>
    <w:rsid w:val="00163BD7"/>
    <w:rsid w:val="001A08AD"/>
    <w:rsid w:val="001A29B7"/>
    <w:rsid w:val="001A4F9B"/>
    <w:rsid w:val="001A7EEC"/>
    <w:rsid w:val="001D18F7"/>
    <w:rsid w:val="001D1A98"/>
    <w:rsid w:val="001D4E39"/>
    <w:rsid w:val="001E2E03"/>
    <w:rsid w:val="001F2E83"/>
    <w:rsid w:val="001F382C"/>
    <w:rsid w:val="00217EFC"/>
    <w:rsid w:val="00223F3F"/>
    <w:rsid w:val="0022501E"/>
    <w:rsid w:val="00246590"/>
    <w:rsid w:val="00246A9C"/>
    <w:rsid w:val="00250C5C"/>
    <w:rsid w:val="00250D8D"/>
    <w:rsid w:val="00266F6D"/>
    <w:rsid w:val="002B149A"/>
    <w:rsid w:val="002D15AD"/>
    <w:rsid w:val="002D5E43"/>
    <w:rsid w:val="002D75E2"/>
    <w:rsid w:val="002E6E6F"/>
    <w:rsid w:val="0030106A"/>
    <w:rsid w:val="00305259"/>
    <w:rsid w:val="00313D33"/>
    <w:rsid w:val="00321330"/>
    <w:rsid w:val="00323500"/>
    <w:rsid w:val="00327140"/>
    <w:rsid w:val="003459C1"/>
    <w:rsid w:val="00347CC2"/>
    <w:rsid w:val="00357386"/>
    <w:rsid w:val="00381469"/>
    <w:rsid w:val="00386593"/>
    <w:rsid w:val="00396C83"/>
    <w:rsid w:val="003A45C4"/>
    <w:rsid w:val="003B2333"/>
    <w:rsid w:val="003C1421"/>
    <w:rsid w:val="003E4A0A"/>
    <w:rsid w:val="0040454E"/>
    <w:rsid w:val="00420C19"/>
    <w:rsid w:val="0042301E"/>
    <w:rsid w:val="0043432C"/>
    <w:rsid w:val="0043499D"/>
    <w:rsid w:val="00436E51"/>
    <w:rsid w:val="004565A0"/>
    <w:rsid w:val="004619FF"/>
    <w:rsid w:val="004708CF"/>
    <w:rsid w:val="00481474"/>
    <w:rsid w:val="00495EB5"/>
    <w:rsid w:val="004C1D2B"/>
    <w:rsid w:val="004C564F"/>
    <w:rsid w:val="004C5682"/>
    <w:rsid w:val="004C6EEA"/>
    <w:rsid w:val="004D173F"/>
    <w:rsid w:val="004D5A7E"/>
    <w:rsid w:val="005077F1"/>
    <w:rsid w:val="0051272D"/>
    <w:rsid w:val="00527856"/>
    <w:rsid w:val="0055218D"/>
    <w:rsid w:val="00552D2E"/>
    <w:rsid w:val="005543E0"/>
    <w:rsid w:val="00557ABE"/>
    <w:rsid w:val="00567C1B"/>
    <w:rsid w:val="00573F6E"/>
    <w:rsid w:val="00576F58"/>
    <w:rsid w:val="00584D2A"/>
    <w:rsid w:val="005A55CA"/>
    <w:rsid w:val="005A7B86"/>
    <w:rsid w:val="005B0F9D"/>
    <w:rsid w:val="005B5242"/>
    <w:rsid w:val="005C11CA"/>
    <w:rsid w:val="005C2765"/>
    <w:rsid w:val="005C352B"/>
    <w:rsid w:val="005F199E"/>
    <w:rsid w:val="00603BCE"/>
    <w:rsid w:val="006360F6"/>
    <w:rsid w:val="00636584"/>
    <w:rsid w:val="006378CD"/>
    <w:rsid w:val="006457D3"/>
    <w:rsid w:val="00663A1E"/>
    <w:rsid w:val="00674EDE"/>
    <w:rsid w:val="00680D3F"/>
    <w:rsid w:val="006831A3"/>
    <w:rsid w:val="0069027E"/>
    <w:rsid w:val="0069562E"/>
    <w:rsid w:val="006A4CFC"/>
    <w:rsid w:val="006A5222"/>
    <w:rsid w:val="006C6A43"/>
    <w:rsid w:val="006D2918"/>
    <w:rsid w:val="006D3A45"/>
    <w:rsid w:val="006F0E5C"/>
    <w:rsid w:val="006F27DF"/>
    <w:rsid w:val="006F3F54"/>
    <w:rsid w:val="006F594B"/>
    <w:rsid w:val="007000A9"/>
    <w:rsid w:val="00714D72"/>
    <w:rsid w:val="007169AE"/>
    <w:rsid w:val="0072310C"/>
    <w:rsid w:val="00724724"/>
    <w:rsid w:val="00752F15"/>
    <w:rsid w:val="00763388"/>
    <w:rsid w:val="00785D8B"/>
    <w:rsid w:val="00792202"/>
    <w:rsid w:val="007A4919"/>
    <w:rsid w:val="007C6131"/>
    <w:rsid w:val="007E0D9F"/>
    <w:rsid w:val="007E32A8"/>
    <w:rsid w:val="00806727"/>
    <w:rsid w:val="008215DE"/>
    <w:rsid w:val="00826713"/>
    <w:rsid w:val="0083115E"/>
    <w:rsid w:val="008740E3"/>
    <w:rsid w:val="00881B1D"/>
    <w:rsid w:val="008A575F"/>
    <w:rsid w:val="008A5A84"/>
    <w:rsid w:val="008C33A8"/>
    <w:rsid w:val="008C460D"/>
    <w:rsid w:val="008D2BEF"/>
    <w:rsid w:val="008E25A8"/>
    <w:rsid w:val="008E4FD2"/>
    <w:rsid w:val="008F6568"/>
    <w:rsid w:val="00900DE7"/>
    <w:rsid w:val="00903820"/>
    <w:rsid w:val="00913903"/>
    <w:rsid w:val="00915173"/>
    <w:rsid w:val="00942FD1"/>
    <w:rsid w:val="0094486C"/>
    <w:rsid w:val="00971658"/>
    <w:rsid w:val="00975F6C"/>
    <w:rsid w:val="00977C6A"/>
    <w:rsid w:val="00982F46"/>
    <w:rsid w:val="009927E3"/>
    <w:rsid w:val="009D0056"/>
    <w:rsid w:val="009E3D60"/>
    <w:rsid w:val="009F14D0"/>
    <w:rsid w:val="009F1CC3"/>
    <w:rsid w:val="009F551D"/>
    <w:rsid w:val="00A03F3D"/>
    <w:rsid w:val="00A0792D"/>
    <w:rsid w:val="00A26FC7"/>
    <w:rsid w:val="00A30BC9"/>
    <w:rsid w:val="00A30C40"/>
    <w:rsid w:val="00A408AB"/>
    <w:rsid w:val="00A40FB0"/>
    <w:rsid w:val="00A41A01"/>
    <w:rsid w:val="00A46858"/>
    <w:rsid w:val="00A5288E"/>
    <w:rsid w:val="00A5548E"/>
    <w:rsid w:val="00A70399"/>
    <w:rsid w:val="00A70817"/>
    <w:rsid w:val="00A87030"/>
    <w:rsid w:val="00AA2303"/>
    <w:rsid w:val="00AC6391"/>
    <w:rsid w:val="00AD12FF"/>
    <w:rsid w:val="00AF11E9"/>
    <w:rsid w:val="00AF33E9"/>
    <w:rsid w:val="00AF73CA"/>
    <w:rsid w:val="00B00881"/>
    <w:rsid w:val="00B17BF2"/>
    <w:rsid w:val="00B221CC"/>
    <w:rsid w:val="00B30CF4"/>
    <w:rsid w:val="00B327E3"/>
    <w:rsid w:val="00B37B02"/>
    <w:rsid w:val="00B56B1D"/>
    <w:rsid w:val="00B6022B"/>
    <w:rsid w:val="00B77197"/>
    <w:rsid w:val="00B77BCC"/>
    <w:rsid w:val="00B841A0"/>
    <w:rsid w:val="00B901BE"/>
    <w:rsid w:val="00B9028B"/>
    <w:rsid w:val="00BA3091"/>
    <w:rsid w:val="00BA4D48"/>
    <w:rsid w:val="00BA6538"/>
    <w:rsid w:val="00BA7A3D"/>
    <w:rsid w:val="00BB1A5D"/>
    <w:rsid w:val="00BB7CFA"/>
    <w:rsid w:val="00BD0E38"/>
    <w:rsid w:val="00BF1E34"/>
    <w:rsid w:val="00BF388B"/>
    <w:rsid w:val="00BF50E4"/>
    <w:rsid w:val="00C03432"/>
    <w:rsid w:val="00C04521"/>
    <w:rsid w:val="00C072CE"/>
    <w:rsid w:val="00C13346"/>
    <w:rsid w:val="00C27AE3"/>
    <w:rsid w:val="00C445B1"/>
    <w:rsid w:val="00C46F02"/>
    <w:rsid w:val="00C472D3"/>
    <w:rsid w:val="00C67E1B"/>
    <w:rsid w:val="00C73E2B"/>
    <w:rsid w:val="00C756DD"/>
    <w:rsid w:val="00C91590"/>
    <w:rsid w:val="00C97289"/>
    <w:rsid w:val="00CA5BC9"/>
    <w:rsid w:val="00CB223A"/>
    <w:rsid w:val="00CC122F"/>
    <w:rsid w:val="00CC1813"/>
    <w:rsid w:val="00CF51D8"/>
    <w:rsid w:val="00D50274"/>
    <w:rsid w:val="00D53A7F"/>
    <w:rsid w:val="00D733A7"/>
    <w:rsid w:val="00D76087"/>
    <w:rsid w:val="00DA46DF"/>
    <w:rsid w:val="00DB15C9"/>
    <w:rsid w:val="00DB2BC0"/>
    <w:rsid w:val="00DC4AF2"/>
    <w:rsid w:val="00DD6ADA"/>
    <w:rsid w:val="00E47EE4"/>
    <w:rsid w:val="00E72926"/>
    <w:rsid w:val="00E8006D"/>
    <w:rsid w:val="00E954B9"/>
    <w:rsid w:val="00EA29A0"/>
    <w:rsid w:val="00EB5419"/>
    <w:rsid w:val="00ED7EBD"/>
    <w:rsid w:val="00EE2F8D"/>
    <w:rsid w:val="00EE5D6E"/>
    <w:rsid w:val="00EE747D"/>
    <w:rsid w:val="00F21618"/>
    <w:rsid w:val="00F33BEB"/>
    <w:rsid w:val="00F47007"/>
    <w:rsid w:val="00FB5002"/>
    <w:rsid w:val="00FB7727"/>
    <w:rsid w:val="00FC2DE2"/>
    <w:rsid w:val="00FC4748"/>
    <w:rsid w:val="00FC79CD"/>
    <w:rsid w:val="00FD0291"/>
    <w:rsid w:val="00FD346B"/>
    <w:rsid w:val="00FE25D2"/>
    <w:rsid w:val="00FE2980"/>
    <w:rsid w:val="00FF40A7"/>
    <w:rsid w:val="1BBAB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ED369"/>
  <w15:chartTrackingRefBased/>
  <w15:docId w15:val="{D4B0A40B-ED8A-4D47-BAC3-24EC78A7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E2B"/>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paragraph" w:styleId="Heading5">
    <w:name w:val="heading 5"/>
    <w:basedOn w:val="Normal"/>
    <w:next w:val="Normal"/>
    <w:link w:val="Heading5Char"/>
    <w:uiPriority w:val="9"/>
    <w:semiHidden/>
    <w:unhideWhenUsed/>
    <w:qFormat/>
    <w:rsid w:val="006A522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C6A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character" w:customStyle="1" w:styleId="Heading6Char">
    <w:name w:val="Heading 6 Char"/>
    <w:basedOn w:val="DefaultParagraphFont"/>
    <w:link w:val="Heading6"/>
    <w:uiPriority w:val="9"/>
    <w:semiHidden/>
    <w:rsid w:val="006C6A43"/>
    <w:rPr>
      <w:rFonts w:asciiTheme="majorHAnsi" w:eastAsiaTheme="majorEastAsia" w:hAnsiTheme="majorHAnsi" w:cstheme="majorBidi"/>
      <w:color w:val="1F3763" w:themeColor="accent1" w:themeShade="7F"/>
      <w:sz w:val="22"/>
      <w:szCs w:val="22"/>
    </w:rPr>
  </w:style>
  <w:style w:type="character" w:styleId="CommentReference">
    <w:name w:val="annotation reference"/>
    <w:uiPriority w:val="99"/>
    <w:unhideWhenUsed/>
    <w:rsid w:val="006C6A43"/>
    <w:rPr>
      <w:sz w:val="16"/>
      <w:szCs w:val="16"/>
    </w:rPr>
  </w:style>
  <w:style w:type="paragraph" w:styleId="CommentText">
    <w:name w:val="annotation text"/>
    <w:basedOn w:val="Normal"/>
    <w:link w:val="CommentTextChar"/>
    <w:uiPriority w:val="99"/>
    <w:semiHidden/>
    <w:unhideWhenUsed/>
    <w:rsid w:val="006C6A43"/>
    <w:pPr>
      <w:tabs>
        <w:tab w:val="left" w:pos="432"/>
      </w:tabs>
      <w:spacing w:after="0" w:line="240" w:lineRule="auto"/>
      <w:ind w:firstLine="432"/>
      <w:jc w:val="both"/>
    </w:pPr>
    <w:rPr>
      <w:rFonts w:ascii="Garamond" w:eastAsia="Times New Roman" w:hAnsi="Garamond"/>
      <w:sz w:val="20"/>
      <w:szCs w:val="20"/>
    </w:rPr>
  </w:style>
  <w:style w:type="character" w:customStyle="1" w:styleId="CommentTextChar">
    <w:name w:val="Comment Text Char"/>
    <w:basedOn w:val="DefaultParagraphFont"/>
    <w:link w:val="CommentText"/>
    <w:uiPriority w:val="99"/>
    <w:semiHidden/>
    <w:rsid w:val="006C6A43"/>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092D8B"/>
    <w:pPr>
      <w:tabs>
        <w:tab w:val="clear" w:pos="432"/>
      </w:tabs>
      <w:spacing w:after="200"/>
      <w:ind w:firstLine="0"/>
      <w:jc w:val="left"/>
    </w:pPr>
    <w:rPr>
      <w:rFonts w:ascii="Calibri" w:eastAsia="Calibri" w:hAnsi="Calibri"/>
      <w:b/>
      <w:bCs/>
    </w:rPr>
  </w:style>
  <w:style w:type="character" w:customStyle="1" w:styleId="CommentSubjectChar">
    <w:name w:val="Comment Subject Char"/>
    <w:basedOn w:val="CommentTextChar"/>
    <w:link w:val="CommentSubject"/>
    <w:uiPriority w:val="99"/>
    <w:semiHidden/>
    <w:rsid w:val="00092D8B"/>
    <w:rPr>
      <w:rFonts w:ascii="Garamond" w:eastAsia="Times New Roman" w:hAnsi="Garamond"/>
      <w:b/>
      <w:bCs/>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rsid w:val="00BF1E34"/>
    <w:pPr>
      <w:spacing w:after="0" w:line="240" w:lineRule="auto"/>
    </w:pPr>
    <w:rPr>
      <w:rFonts w:ascii="Times New Roman" w:hAnsi="Times New Roman"/>
      <w:sz w:val="20"/>
      <w:szCs w:val="20"/>
    </w:rPr>
  </w:style>
  <w:style w:type="character" w:customStyle="1" w:styleId="FootnoteTextChar">
    <w:name w:val="Footnote Text Char"/>
    <w:basedOn w:val="DefaultParagraphFont"/>
    <w:uiPriority w:val="99"/>
    <w:semiHidden/>
    <w:rsid w:val="00BF1E34"/>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locked/>
    <w:rsid w:val="00BF1E34"/>
    <w:rPr>
      <w:rFonts w:ascii="Times New Roman" w:hAnsi="Times New Roman"/>
    </w:rPr>
  </w:style>
  <w:style w:type="character" w:styleId="FootnoteReference">
    <w:name w:val="footnote reference"/>
    <w:aliases w:val="*Footnote Reference"/>
    <w:uiPriority w:val="99"/>
    <w:rsid w:val="00BF1E34"/>
    <w:rPr>
      <w:vertAlign w:val="superscript"/>
    </w:rPr>
  </w:style>
  <w:style w:type="character" w:customStyle="1" w:styleId="Heading5Char">
    <w:name w:val="Heading 5 Char"/>
    <w:basedOn w:val="DefaultParagraphFont"/>
    <w:link w:val="Heading5"/>
    <w:uiPriority w:val="9"/>
    <w:semiHidden/>
    <w:rsid w:val="006A5222"/>
    <w:rPr>
      <w:rFonts w:asciiTheme="majorHAnsi" w:eastAsiaTheme="majorEastAsia" w:hAnsiTheme="majorHAnsi" w:cstheme="majorBidi"/>
      <w:color w:val="2F5496" w:themeColor="accent1" w:themeShade="BF"/>
      <w:sz w:val="22"/>
      <w:szCs w:val="22"/>
    </w:rPr>
  </w:style>
  <w:style w:type="paragraph" w:styleId="ListParagraph">
    <w:name w:val="List Paragraph"/>
    <w:basedOn w:val="Normal"/>
    <w:uiPriority w:val="34"/>
    <w:qFormat/>
    <w:rsid w:val="00C73E2B"/>
    <w:pPr>
      <w:ind w:left="720"/>
      <w:contextualSpacing/>
    </w:pPr>
  </w:style>
  <w:style w:type="character" w:styleId="UnresolvedMention">
    <w:name w:val="Unresolved Mention"/>
    <w:basedOn w:val="DefaultParagraphFont"/>
    <w:uiPriority w:val="99"/>
    <w:unhideWhenUsed/>
    <w:rsid w:val="0069562E"/>
    <w:rPr>
      <w:color w:val="605E5C"/>
      <w:shd w:val="clear" w:color="auto" w:fill="E1DFDD"/>
    </w:rPr>
  </w:style>
  <w:style w:type="character" w:styleId="Mention">
    <w:name w:val="Mention"/>
    <w:basedOn w:val="DefaultParagraphFont"/>
    <w:uiPriority w:val="99"/>
    <w:unhideWhenUsed/>
    <w:rsid w:val="006956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721BF433B7E94D9C46F4E49A4AE4E4" ma:contentTypeVersion="7" ma:contentTypeDescription="Create a new document." ma:contentTypeScope="" ma:versionID="76f27bbb9f110fe6daf8b62622063e3e">
  <xsd:schema xmlns:xsd="http://www.w3.org/2001/XMLSchema" xmlns:xs="http://www.w3.org/2001/XMLSchema" xmlns:p="http://schemas.microsoft.com/office/2006/metadata/properties" xmlns:ns2="8129dfdd-4c28-4d14-aa52-8cf01d6dc6ca" xmlns:ns3="2f23d295-d5e0-40df-b591-d31a839fecb4" targetNamespace="http://schemas.microsoft.com/office/2006/metadata/properties" ma:root="true" ma:fieldsID="cccd911bd53d68adfc88f4f680807394" ns2:_="" ns3:_="">
    <xsd:import namespace="8129dfdd-4c28-4d14-aa52-8cf01d6dc6ca"/>
    <xsd:import namespace="2f23d295-d5e0-40df-b591-d31a839fec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9dfdd-4c28-4d14-aa52-8cf01d6dc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3d295-d5e0-40df-b591-d31a839fec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f23d295-d5e0-40df-b591-d31a839fecb4">
      <UserInfo>
        <DisplayName>Nandita Verma</DisplayName>
        <AccountId>15</AccountId>
        <AccountType/>
      </UserInfo>
      <UserInfo>
        <DisplayName>Stephen Freedman</DisplayName>
        <AccountId>13</AccountId>
        <AccountType/>
      </UserInfo>
      <UserInfo>
        <DisplayName>Betsy Tessler</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216A6-B2F7-4517-9F20-E4923113DFE7}">
  <ds:schemaRefs>
    <ds:schemaRef ds:uri="http://schemas.openxmlformats.org/officeDocument/2006/bibliography"/>
  </ds:schemaRefs>
</ds:datastoreItem>
</file>

<file path=customXml/itemProps2.xml><?xml version="1.0" encoding="utf-8"?>
<ds:datastoreItem xmlns:ds="http://schemas.openxmlformats.org/officeDocument/2006/customXml" ds:itemID="{72D986E0-8C20-4B58-920B-3EBC0AD52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9dfdd-4c28-4d14-aa52-8cf01d6dc6ca"/>
    <ds:schemaRef ds:uri="2f23d295-d5e0-40df-b591-d31a839fe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03F96F-7B23-4AF7-ADC6-E1D7BC4F5278}">
  <ds:schemaRefs>
    <ds:schemaRef ds:uri="http://schemas.microsoft.com/office/2006/metadata/properties"/>
    <ds:schemaRef ds:uri="http://schemas.microsoft.com/office/infopath/2007/PartnerControls"/>
    <ds:schemaRef ds:uri="2f23d295-d5e0-40df-b591-d31a839fecb4"/>
  </ds:schemaRefs>
</ds:datastoreItem>
</file>

<file path=customXml/itemProps4.xml><?xml version="1.0" encoding="utf-8"?>
<ds:datastoreItem xmlns:ds="http://schemas.openxmlformats.org/officeDocument/2006/customXml" ds:itemID="{46789722-9E3A-4EAE-BDA2-7FA1C5D513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2409</Words>
  <Characters>13733</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h03483</dc:creator>
  <cp:keywords/>
  <cp:lastModifiedBy>Anna Guido</cp:lastModifiedBy>
  <cp:revision>2</cp:revision>
  <cp:lastPrinted>2019-10-18T15:54:00Z</cp:lastPrinted>
  <dcterms:created xsi:type="dcterms:W3CDTF">2020-11-20T19:48:00Z</dcterms:created>
  <dcterms:modified xsi:type="dcterms:W3CDTF">2020-11-20T19:48:00Z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0x01010046721BF433B7E94D9C46F4E49A4AE4E4</vt:lpwstr>
  </property>
</Properties>
</file>