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2AB7" w:rsidP="00C623A5" w:rsidRDefault="000B2AB7" w14:paraId="0817E35F" w14:textId="77777777">
      <w:pPr>
        <w:pStyle w:val="Header"/>
        <w:tabs>
          <w:tab w:val="clear" w:pos="4320"/>
          <w:tab w:val="clear" w:pos="8640"/>
          <w:tab w:val="right" w:pos="9360"/>
        </w:tabs>
        <w:rPr>
          <w:lang w:val="en-CA"/>
        </w:rPr>
      </w:pPr>
    </w:p>
    <w:p w:rsidRPr="0077509A" w:rsidR="000B2AB7" w:rsidP="00C623A5" w:rsidRDefault="0077509A" w14:paraId="177A7514" w14:textId="1854A755">
      <w:pPr>
        <w:jc w:val="center"/>
        <w:rPr>
          <w:b/>
          <w:bCs/>
        </w:rPr>
      </w:pPr>
      <w:bookmarkStart w:name="_Hlk1660570" w:id="0"/>
      <w:r w:rsidRPr="0077509A">
        <w:rPr>
          <w:b/>
          <w:bCs/>
        </w:rPr>
        <w:t>Supporting Statement</w:t>
      </w:r>
      <w:r>
        <w:rPr>
          <w:b/>
          <w:bCs/>
        </w:rPr>
        <w:t xml:space="preserve"> for Paperwork Reduction Act Submission</w:t>
      </w:r>
    </w:p>
    <w:p w:rsidRPr="0077509A" w:rsidR="0077509A" w:rsidP="00C623A5" w:rsidRDefault="0077509A" w14:paraId="37F9E7A3" w14:textId="505DB156">
      <w:pPr>
        <w:jc w:val="center"/>
        <w:rPr>
          <w:b/>
        </w:rPr>
      </w:pPr>
      <w:r w:rsidRPr="0077509A">
        <w:rPr>
          <w:b/>
        </w:rPr>
        <w:t>American Housing Survey</w:t>
      </w:r>
    </w:p>
    <w:p w:rsidRPr="0077509A" w:rsidR="0077509A" w:rsidP="00C623A5" w:rsidRDefault="0077509A" w14:paraId="35690A9B" w14:textId="76FBD866">
      <w:pPr>
        <w:jc w:val="center"/>
        <w:rPr>
          <w:b/>
        </w:rPr>
      </w:pPr>
      <w:r w:rsidRPr="0077509A">
        <w:rPr>
          <w:b/>
        </w:rPr>
        <w:t xml:space="preserve">OMB Number </w:t>
      </w:r>
      <w:r w:rsidRPr="00E704A5">
        <w:rPr>
          <w:b/>
        </w:rPr>
        <w:t>2528-0017</w:t>
      </w:r>
    </w:p>
    <w:bookmarkEnd w:id="0"/>
    <w:p w:rsidR="000B2AB7" w:rsidP="00C623A5" w:rsidRDefault="000B2AB7" w14:paraId="4FEA3145" w14:textId="77777777"/>
    <w:p w:rsidR="000B2AB7" w:rsidP="00C623A5" w:rsidRDefault="000B2AB7" w14:paraId="6670F5F6" w14:textId="77777777">
      <w:r>
        <w:rPr>
          <w:b/>
          <w:bCs/>
        </w:rPr>
        <w:t xml:space="preserve">A.  </w:t>
      </w:r>
      <w:r>
        <w:rPr>
          <w:b/>
          <w:bCs/>
          <w:u w:val="single"/>
        </w:rPr>
        <w:t>Justification</w:t>
      </w:r>
    </w:p>
    <w:p w:rsidR="000B2AB7" w:rsidP="00C623A5" w:rsidRDefault="000B2AB7" w14:paraId="1698CCAA" w14:textId="77777777"/>
    <w:p w:rsidR="000B2AB7" w:rsidP="00C623A5" w:rsidRDefault="000B2AB7" w14:paraId="7EF0579E" w14:textId="77777777">
      <w:pPr>
        <w:pStyle w:val="Level1"/>
        <w:numPr>
          <w:ilvl w:val="0"/>
          <w:numId w:val="1"/>
        </w:numPr>
        <w:tabs>
          <w:tab w:val="left" w:pos="432"/>
          <w:tab w:val="left" w:pos="720"/>
          <w:tab w:val="left" w:pos="864"/>
          <w:tab w:val="left" w:pos="1022"/>
          <w:tab w:val="left" w:pos="1296"/>
          <w:tab w:val="left" w:pos="1728"/>
          <w:tab w:val="left" w:pos="2160"/>
        </w:tabs>
        <w:rPr>
          <w:rFonts w:ascii="Times New Roman" w:hAnsi="Times New Roman"/>
        </w:rPr>
      </w:pPr>
      <w:r>
        <w:rPr>
          <w:rFonts w:ascii="Times New Roman" w:hAnsi="Times New Roman"/>
          <w:b/>
          <w:bCs/>
        </w:rPr>
        <w:t>Necessity of Information Collection</w:t>
      </w:r>
    </w:p>
    <w:p w:rsidR="000B2AB7" w:rsidP="00C623A5" w:rsidRDefault="000B2AB7" w14:paraId="655E3BA3" w14:textId="77777777">
      <w:pPr>
        <w:numPr>
          <w:ilvl w:val="12"/>
          <w:numId w:val="0"/>
        </w:numPr>
        <w:tabs>
          <w:tab w:val="left" w:pos="432"/>
          <w:tab w:val="left" w:pos="720"/>
          <w:tab w:val="left" w:pos="864"/>
          <w:tab w:val="left" w:pos="1022"/>
          <w:tab w:val="left" w:pos="1296"/>
          <w:tab w:val="left" w:pos="1728"/>
          <w:tab w:val="left" w:pos="2160"/>
        </w:tabs>
        <w:ind w:left="1022"/>
      </w:pPr>
      <w:r>
        <w:t xml:space="preserve"> </w:t>
      </w:r>
    </w:p>
    <w:p w:rsidR="00AB0B5E" w:rsidP="00AB0B5E" w:rsidRDefault="000B2AB7" w14:paraId="6B22C3FD" w14:textId="12C53440">
      <w:pPr>
        <w:numPr>
          <w:ilvl w:val="12"/>
          <w:numId w:val="0"/>
        </w:numPr>
        <w:tabs>
          <w:tab w:val="left" w:pos="432"/>
          <w:tab w:val="left" w:pos="720"/>
          <w:tab w:val="left" w:pos="864"/>
          <w:tab w:val="left" w:pos="1022"/>
          <w:tab w:val="left" w:pos="1296"/>
          <w:tab w:val="left" w:pos="1728"/>
          <w:tab w:val="left" w:pos="2160"/>
        </w:tabs>
        <w:ind w:left="1022"/>
      </w:pPr>
      <w:r>
        <w:t xml:space="preserve">We request clearance for the proposed </w:t>
      </w:r>
      <w:r w:rsidR="00B63410">
        <w:t xml:space="preserve">questions to be used on the </w:t>
      </w:r>
      <w:r w:rsidR="0054555B">
        <w:t xml:space="preserve">2021 </w:t>
      </w:r>
      <w:r w:rsidR="003963D9">
        <w:t xml:space="preserve">American Housing Survey (AHS).  </w:t>
      </w:r>
      <w:r w:rsidR="00987D64">
        <w:t>We</w:t>
      </w:r>
      <w:r w:rsidR="003963D9">
        <w:t xml:space="preserve"> will collect data</w:t>
      </w:r>
      <w:r w:rsidR="00287C35">
        <w:t xml:space="preserve"> for </w:t>
      </w:r>
      <w:proofErr w:type="gramStart"/>
      <w:r w:rsidR="00287C35">
        <w:t>the majority of</w:t>
      </w:r>
      <w:proofErr w:type="gramEnd"/>
      <w:r w:rsidR="00287C35">
        <w:t xml:space="preserve"> </w:t>
      </w:r>
      <w:r w:rsidR="006330B0">
        <w:t xml:space="preserve">the </w:t>
      </w:r>
      <w:r w:rsidR="00287C35">
        <w:t>sample</w:t>
      </w:r>
      <w:r w:rsidR="003963D9">
        <w:t xml:space="preserve"> </w:t>
      </w:r>
      <w:r>
        <w:t xml:space="preserve">between </w:t>
      </w:r>
      <w:r w:rsidR="0054555B">
        <w:t>May</w:t>
      </w:r>
      <w:r w:rsidR="000F7598">
        <w:t xml:space="preserve"> </w:t>
      </w:r>
      <w:r w:rsidR="005B213D">
        <w:t xml:space="preserve">3 </w:t>
      </w:r>
      <w:r w:rsidR="000F7598">
        <w:t xml:space="preserve">and </w:t>
      </w:r>
      <w:r w:rsidR="0054555B">
        <w:t>September</w:t>
      </w:r>
      <w:r w:rsidR="00063617">
        <w:t xml:space="preserve"> 1</w:t>
      </w:r>
      <w:r w:rsidR="005B213D">
        <w:t>4</w:t>
      </w:r>
      <w:r w:rsidR="00F45E89">
        <w:t xml:space="preserve">, </w:t>
      </w:r>
      <w:r w:rsidR="0054555B">
        <w:t>2021.</w:t>
      </w:r>
      <w:r w:rsidR="0065799D">
        <w:t xml:space="preserve"> </w:t>
      </w:r>
      <w:r w:rsidR="00AB0B5E">
        <w:t>This request is a revision to the currently approved data collection request for the AHS</w:t>
      </w:r>
      <w:r w:rsidR="00863706">
        <w:t xml:space="preserve"> due to changes in content and increased sample size.</w:t>
      </w:r>
      <w:r w:rsidR="00AB0B5E">
        <w:t xml:space="preserve"> </w:t>
      </w:r>
    </w:p>
    <w:p w:rsidR="00896EEE" w:rsidP="00C623A5" w:rsidRDefault="0065799D" w14:paraId="2FC5B0B4" w14:textId="77777777">
      <w:pPr>
        <w:numPr>
          <w:ilvl w:val="12"/>
          <w:numId w:val="0"/>
        </w:numPr>
        <w:tabs>
          <w:tab w:val="left" w:pos="432"/>
          <w:tab w:val="left" w:pos="720"/>
          <w:tab w:val="left" w:pos="864"/>
          <w:tab w:val="left" w:pos="1022"/>
          <w:tab w:val="left" w:pos="1296"/>
          <w:tab w:val="left" w:pos="1728"/>
          <w:tab w:val="left" w:pos="2160"/>
        </w:tabs>
        <w:ind w:left="1022"/>
      </w:pPr>
      <w:r>
        <w:t xml:space="preserve"> </w:t>
      </w:r>
    </w:p>
    <w:p w:rsidR="000C4B9C" w:rsidP="000C4B9C" w:rsidRDefault="0098291D" w14:paraId="129090EC" w14:textId="04E0115C">
      <w:pPr>
        <w:shd w:val="clear" w:color="auto" w:fill="FFFFFF"/>
        <w:ind w:left="1022"/>
        <w:rPr>
          <w:color w:val="000000" w:themeColor="text1"/>
        </w:rPr>
      </w:pPr>
      <w:bookmarkStart w:name="_Hlk536430998" w:id="1"/>
      <w:r w:rsidRPr="0098291D">
        <w:rPr>
          <w:color w:val="000000" w:themeColor="text1"/>
        </w:rPr>
        <w:t xml:space="preserve">In 2015, AHS began a new longitudinal panel.  The sample design has two components: an integrated national sample, and an independent metropolitan areas sample.  Furthermore, the integrated national sample includes three parts: (1) 35,731 national cases representative of the US and 9 Census divisions, (2) </w:t>
      </w:r>
      <w:r w:rsidR="001E04C4">
        <w:rPr>
          <w:color w:val="000000" w:themeColor="text1"/>
        </w:rPr>
        <w:t>12,060</w:t>
      </w:r>
      <w:r w:rsidRPr="0098291D">
        <w:rPr>
          <w:color w:val="000000" w:themeColor="text1"/>
        </w:rPr>
        <w:t xml:space="preserve"> subsidized renter oversample cases, and (3) 47,175 oversample of the top 15 metropolitan areas in the US.  The total integrated national sample for 2021 will be 9</w:t>
      </w:r>
      <w:r w:rsidR="001E04C4">
        <w:rPr>
          <w:color w:val="000000" w:themeColor="text1"/>
        </w:rPr>
        <w:t>4,966</w:t>
      </w:r>
      <w:r w:rsidRPr="0098291D">
        <w:rPr>
          <w:color w:val="000000" w:themeColor="text1"/>
        </w:rPr>
        <w:t>.  For 2021, the independent metropolitan areas sample will consist of an additional 10 metropolitan areas and will include 32,919 records (approximately 3,000 per metropolitan area).  The ten metropolitan areas were selected from the U.S. Department of Housing and Urban Development’s (HUD) “Next 20” group, as described in HUD’s report, “Metro Area Selection Strategies &amp; Decisions for the 2015 AHS &amp; Beyond.” The total AHS sample size will be 12</w:t>
      </w:r>
      <w:r w:rsidR="001E04C4">
        <w:rPr>
          <w:color w:val="000000" w:themeColor="text1"/>
        </w:rPr>
        <w:t>7</w:t>
      </w:r>
      <w:r w:rsidRPr="0098291D">
        <w:rPr>
          <w:color w:val="000000" w:themeColor="text1"/>
        </w:rPr>
        <w:t>,</w:t>
      </w:r>
      <w:r w:rsidR="001E04C4">
        <w:rPr>
          <w:color w:val="000000" w:themeColor="text1"/>
        </w:rPr>
        <w:t>885</w:t>
      </w:r>
      <w:r w:rsidR="0043125E">
        <w:rPr>
          <w:color w:val="000000" w:themeColor="text1"/>
        </w:rPr>
        <w:t xml:space="preserve">. </w:t>
      </w:r>
    </w:p>
    <w:bookmarkEnd w:id="1"/>
    <w:p w:rsidR="00E704A5" w:rsidP="000C4B9C" w:rsidRDefault="00E704A5" w14:paraId="23E4C6D3" w14:textId="77777777">
      <w:pPr>
        <w:shd w:val="clear" w:color="auto" w:fill="FFFFFF"/>
        <w:ind w:left="1022"/>
      </w:pPr>
    </w:p>
    <w:p w:rsidR="006918CE" w:rsidP="00C623A5" w:rsidRDefault="006918CE" w14:paraId="78870CC2" w14:textId="6096CBB1">
      <w:pPr>
        <w:numPr>
          <w:ilvl w:val="12"/>
          <w:numId w:val="0"/>
        </w:numPr>
        <w:tabs>
          <w:tab w:val="left" w:pos="432"/>
          <w:tab w:val="left" w:pos="720"/>
          <w:tab w:val="left" w:pos="864"/>
          <w:tab w:val="left" w:pos="1022"/>
          <w:tab w:val="left" w:pos="1296"/>
          <w:tab w:val="left" w:pos="1728"/>
          <w:tab w:val="left" w:pos="2160"/>
        </w:tabs>
        <w:ind w:left="1022"/>
      </w:pPr>
      <w:r>
        <w:t>Starting in 2009, the AHS questions were classified into “core” modules and “</w:t>
      </w:r>
      <w:r w:rsidR="00EE7C0F">
        <w:t>supplemental</w:t>
      </w:r>
      <w:r>
        <w:t xml:space="preserve">” modules </w:t>
      </w:r>
      <w:proofErr w:type="gramStart"/>
      <w:r w:rsidRPr="006918CE">
        <w:t>in order to</w:t>
      </w:r>
      <w:proofErr w:type="gramEnd"/>
      <w:r w:rsidRPr="006918CE">
        <w:t xml:space="preserve"> minimize respondent burden and satisfy widening needs for data content</w:t>
      </w:r>
      <w:r>
        <w:t>.  Questions in the core modules are asked in each su</w:t>
      </w:r>
      <w:r w:rsidR="0065587D">
        <w:t xml:space="preserve">rvey and typically undergo </w:t>
      </w:r>
      <w:r>
        <w:t>minor revisions between surveys. Question</w:t>
      </w:r>
      <w:r w:rsidR="00E92293">
        <w:t>s</w:t>
      </w:r>
      <w:r>
        <w:t xml:space="preserve"> in the </w:t>
      </w:r>
      <w:r w:rsidR="00EE7C0F">
        <w:t>supplemental</w:t>
      </w:r>
      <w:r>
        <w:t xml:space="preserve"> modules are asked on a </w:t>
      </w:r>
      <w:r w:rsidR="00EE7C0F">
        <w:t>supplemental</w:t>
      </w:r>
      <w:r>
        <w:t xml:space="preserve"> basis.</w:t>
      </w:r>
    </w:p>
    <w:p w:rsidR="000B2AB7" w:rsidP="00C623A5" w:rsidRDefault="000B2AB7" w14:paraId="70016490" w14:textId="77777777">
      <w:pPr>
        <w:numPr>
          <w:ilvl w:val="12"/>
          <w:numId w:val="0"/>
        </w:numPr>
        <w:tabs>
          <w:tab w:val="left" w:pos="432"/>
          <w:tab w:val="left" w:pos="720"/>
          <w:tab w:val="left" w:pos="864"/>
          <w:tab w:val="left" w:pos="1022"/>
          <w:tab w:val="left" w:pos="1296"/>
          <w:tab w:val="left" w:pos="1728"/>
          <w:tab w:val="left" w:pos="2160"/>
        </w:tabs>
      </w:pPr>
    </w:p>
    <w:p w:rsidR="000B2AB7" w:rsidP="00C623A5" w:rsidRDefault="000B2AB7" w14:paraId="007BCC59" w14:textId="77777777">
      <w:pPr>
        <w:numPr>
          <w:ilvl w:val="12"/>
          <w:numId w:val="0"/>
        </w:numPr>
        <w:tabs>
          <w:tab w:val="right" w:pos="9360"/>
        </w:tabs>
        <w:ind w:left="1022"/>
      </w:pPr>
      <w:r>
        <w:t xml:space="preserve">Title 12, United States Code, Sections 1701z-1, 1701z-2(g), and 1701z-10a provide authority to collect this information.  </w:t>
      </w:r>
      <w:r>
        <w:tab/>
      </w:r>
    </w:p>
    <w:p w:rsidR="000B2AB7" w:rsidP="00A65323" w:rsidRDefault="00EE7C0F" w14:paraId="285B1254" w14:textId="42494418">
      <w:pPr>
        <w:numPr>
          <w:ilvl w:val="12"/>
          <w:numId w:val="0"/>
        </w:numPr>
        <w:tabs>
          <w:tab w:val="left" w:pos="432"/>
          <w:tab w:val="left" w:pos="720"/>
          <w:tab w:val="left" w:pos="864"/>
          <w:tab w:val="left" w:pos="1022"/>
          <w:tab w:val="left" w:pos="1296"/>
          <w:tab w:val="left" w:pos="1728"/>
          <w:tab w:val="left" w:pos="2160"/>
        </w:tabs>
        <w:spacing w:before="240"/>
        <w:ind w:left="1022"/>
      </w:pPr>
      <w:r>
        <w:t xml:space="preserve">HUD uses </w:t>
      </w:r>
      <w:r w:rsidRPr="00B45E7E" w:rsidR="000B2AB7">
        <w:t xml:space="preserve">information from </w:t>
      </w:r>
      <w:r w:rsidRPr="00B45E7E" w:rsidR="00455739">
        <w:t>the</w:t>
      </w:r>
      <w:r w:rsidRPr="003C3B79" w:rsidR="00455739">
        <w:t xml:space="preserve"> AHS</w:t>
      </w:r>
      <w:r w:rsidRPr="003C3B79" w:rsidR="000B2AB7">
        <w:t xml:space="preserve"> to prepare the </w:t>
      </w:r>
      <w:proofErr w:type="gramStart"/>
      <w:r w:rsidRPr="00F87851" w:rsidR="00D70977">
        <w:rPr>
          <w:i/>
        </w:rPr>
        <w:t>Worst Case</w:t>
      </w:r>
      <w:proofErr w:type="gramEnd"/>
      <w:r w:rsidRPr="00F87851" w:rsidR="00D70977">
        <w:rPr>
          <w:i/>
        </w:rPr>
        <w:t xml:space="preserve"> Needs</w:t>
      </w:r>
      <w:r w:rsidRPr="00B45E7E" w:rsidR="00D70977">
        <w:t xml:space="preserve"> reports</w:t>
      </w:r>
      <w:r w:rsidRPr="00B45E7E" w:rsidR="008B7E97">
        <w:t xml:space="preserve"> to Congress.  </w:t>
      </w:r>
      <w:r w:rsidR="00B45E7E">
        <w:t xml:space="preserve">HUD was directed to prepare this report series by </w:t>
      </w:r>
      <w:r w:rsidRPr="00B45E7E" w:rsidR="00B45E7E">
        <w:t xml:space="preserve">U.S. Senate Appropriations </w:t>
      </w:r>
      <w:r w:rsidRPr="00B45E7E" w:rsidR="00455739">
        <w:t xml:space="preserve">Committee </w:t>
      </w:r>
      <w:r w:rsidR="00455739">
        <w:t>in</w:t>
      </w:r>
      <w:r w:rsidR="00B45E7E">
        <w:t xml:space="preserve"> 1990 (</w:t>
      </w:r>
      <w:r w:rsidRPr="00B45E7E" w:rsidR="00B45E7E">
        <w:t>Committee Report to accompany H.R. 5158, The VA-HUD Appropriations Act for FY 1991 (S. Rpt. 101-474)</w:t>
      </w:r>
      <w:r w:rsidR="00B45E7E">
        <w:t xml:space="preserve">).  </w:t>
      </w:r>
      <w:r w:rsidRPr="00215CC8" w:rsidR="008C6429">
        <w:t>HUD</w:t>
      </w:r>
      <w:r w:rsidRPr="00B45E7E" w:rsidR="000B2AB7">
        <w:t xml:space="preserve"> also uses these data to prepare other special reports for</w:t>
      </w:r>
      <w:r w:rsidR="000B2AB7">
        <w:t xml:space="preserve"> Congress and its committees concerning the effect of legislation on the housing stock.</w:t>
      </w:r>
    </w:p>
    <w:p w:rsidR="00D25A32" w:rsidRDefault="00D25A32" w14:paraId="71DAC5EA" w14:textId="77777777">
      <w:r>
        <w:br w:type="page"/>
      </w:r>
    </w:p>
    <w:p w:rsidR="00E870D4" w:rsidP="00A65323" w:rsidRDefault="00C94742" w14:paraId="48DAE97F" w14:textId="625BABCD">
      <w:pPr>
        <w:numPr>
          <w:ilvl w:val="12"/>
          <w:numId w:val="0"/>
        </w:numPr>
        <w:tabs>
          <w:tab w:val="left" w:pos="432"/>
          <w:tab w:val="left" w:pos="720"/>
          <w:tab w:val="left" w:pos="864"/>
          <w:tab w:val="left" w:pos="1022"/>
          <w:tab w:val="left" w:pos="1296"/>
          <w:tab w:val="left" w:pos="1728"/>
          <w:tab w:val="left" w:pos="2160"/>
        </w:tabs>
        <w:spacing w:before="240"/>
        <w:ind w:left="1022"/>
      </w:pPr>
      <w:r>
        <w:lastRenderedPageBreak/>
        <w:t xml:space="preserve">The </w:t>
      </w:r>
      <w:r w:rsidR="0054555B">
        <w:t xml:space="preserve">2021 </w:t>
      </w:r>
      <w:r w:rsidR="00E870D4">
        <w:t>data collection procedures and questionnaire c</w:t>
      </w:r>
      <w:r>
        <w:t xml:space="preserve">ontent are </w:t>
      </w:r>
      <w:proofErr w:type="gramStart"/>
      <w:r w:rsidR="006073F2">
        <w:t>similar</w:t>
      </w:r>
      <w:r>
        <w:t xml:space="preserve"> to</w:t>
      </w:r>
      <w:proofErr w:type="gramEnd"/>
      <w:r>
        <w:t xml:space="preserve"> the </w:t>
      </w:r>
      <w:r w:rsidR="0054555B">
        <w:t xml:space="preserve">2019 </w:t>
      </w:r>
      <w:r w:rsidR="00E870D4">
        <w:t>survey with the following exceptions</w:t>
      </w:r>
      <w:r w:rsidR="00813152">
        <w:t>:</w:t>
      </w:r>
    </w:p>
    <w:p w:rsidRPr="0062443E" w:rsidR="000B2AB7" w:rsidP="00C623A5" w:rsidRDefault="000B2AB7" w14:paraId="113C8F55" w14:textId="77777777">
      <w:pPr>
        <w:numPr>
          <w:ilvl w:val="12"/>
          <w:numId w:val="0"/>
        </w:numPr>
        <w:tabs>
          <w:tab w:val="left" w:pos="432"/>
          <w:tab w:val="left" w:pos="720"/>
          <w:tab w:val="left" w:pos="864"/>
          <w:tab w:val="left" w:pos="1022"/>
          <w:tab w:val="left" w:pos="1296"/>
          <w:tab w:val="left" w:pos="1728"/>
          <w:tab w:val="left" w:pos="2160"/>
        </w:tabs>
      </w:pPr>
    </w:p>
    <w:p w:rsidR="00FE4177" w:rsidP="00AF3ED1" w:rsidRDefault="00FE4177" w14:paraId="12C8ACF3" w14:textId="01149C3A">
      <w:pPr>
        <w:pStyle w:val="ListParagraph"/>
        <w:numPr>
          <w:ilvl w:val="0"/>
          <w:numId w:val="7"/>
        </w:numPr>
        <w:tabs>
          <w:tab w:val="left" w:pos="432"/>
          <w:tab w:val="left" w:pos="720"/>
          <w:tab w:val="left" w:pos="864"/>
          <w:tab w:val="left" w:pos="1022"/>
          <w:tab w:val="left" w:pos="1440"/>
          <w:tab w:val="left" w:pos="1728"/>
          <w:tab w:val="left" w:pos="2160"/>
        </w:tabs>
        <w:ind w:left="1350" w:hanging="270"/>
        <w:contextualSpacing w:val="0"/>
      </w:pPr>
      <w:r w:rsidRPr="00CF15FF">
        <w:rPr>
          <w:u w:val="single"/>
        </w:rPr>
        <w:t>R</w:t>
      </w:r>
      <w:r>
        <w:rPr>
          <w:u w:val="single"/>
        </w:rPr>
        <w:t>edesign of the Core Mortgage Module</w:t>
      </w:r>
      <w:r w:rsidRPr="00CF15FF">
        <w:rPr>
          <w:u w:val="single"/>
        </w:rPr>
        <w:t>:</w:t>
      </w:r>
      <w:r>
        <w:t xml:space="preserve">  The purpose of the redesign was to simplify </w:t>
      </w:r>
      <w:r w:rsidR="007917FA">
        <w:t xml:space="preserve">the questions </w:t>
      </w:r>
      <w:r>
        <w:t xml:space="preserve">and streamline the </w:t>
      </w:r>
      <w:r w:rsidR="007917FA">
        <w:t xml:space="preserve">flow of the </w:t>
      </w:r>
      <w:r>
        <w:t xml:space="preserve">module.  The primary purpose of the Mortgage module is to measure housing costs </w:t>
      </w:r>
      <w:r w:rsidR="007917FA">
        <w:t>to</w:t>
      </w:r>
      <w:r>
        <w:t xml:space="preserve"> feed into HUD’s interest of measuring housing affordability.  Secondary purposes include measuring the household’s financial capacity in terms of access to credit and understanding the sources of financing for alterations and repairs.</w:t>
      </w:r>
    </w:p>
    <w:p w:rsidRPr="00FE4177" w:rsidR="00FE4177" w:rsidP="00FE4177" w:rsidRDefault="00FE4177" w14:paraId="0617EE51" w14:textId="77777777">
      <w:pPr>
        <w:pStyle w:val="ListParagraph"/>
        <w:tabs>
          <w:tab w:val="left" w:pos="432"/>
          <w:tab w:val="left" w:pos="720"/>
          <w:tab w:val="left" w:pos="864"/>
          <w:tab w:val="left" w:pos="1022"/>
          <w:tab w:val="left" w:pos="1440"/>
          <w:tab w:val="left" w:pos="1728"/>
          <w:tab w:val="left" w:pos="2160"/>
        </w:tabs>
        <w:ind w:left="1350"/>
        <w:contextualSpacing w:val="0"/>
      </w:pPr>
    </w:p>
    <w:p w:rsidR="00305D0B" w:rsidP="00AF3ED1" w:rsidRDefault="0005304D" w14:paraId="74021F94" w14:textId="39E7A0FD">
      <w:pPr>
        <w:pStyle w:val="ListParagraph"/>
        <w:numPr>
          <w:ilvl w:val="0"/>
          <w:numId w:val="7"/>
        </w:numPr>
        <w:tabs>
          <w:tab w:val="left" w:pos="432"/>
          <w:tab w:val="left" w:pos="720"/>
          <w:tab w:val="left" w:pos="864"/>
          <w:tab w:val="left" w:pos="1022"/>
          <w:tab w:val="left" w:pos="1440"/>
          <w:tab w:val="left" w:pos="1728"/>
          <w:tab w:val="left" w:pos="2160"/>
        </w:tabs>
        <w:ind w:left="1350" w:hanging="270"/>
        <w:contextualSpacing w:val="0"/>
      </w:pPr>
      <w:r w:rsidRPr="00CF15FF">
        <w:rPr>
          <w:u w:val="single"/>
        </w:rPr>
        <w:t>Remov</w:t>
      </w:r>
      <w:r w:rsidR="00D324EC">
        <w:rPr>
          <w:u w:val="single"/>
        </w:rPr>
        <w:t xml:space="preserve">al </w:t>
      </w:r>
      <w:r w:rsidR="0080722F">
        <w:rPr>
          <w:u w:val="single"/>
        </w:rPr>
        <w:t xml:space="preserve">of </w:t>
      </w:r>
      <w:r w:rsidR="0023728C">
        <w:rPr>
          <w:u w:val="single"/>
        </w:rPr>
        <w:t>Three</w:t>
      </w:r>
      <w:r w:rsidRPr="00CF15FF">
        <w:rPr>
          <w:u w:val="single"/>
        </w:rPr>
        <w:t xml:space="preserve"> </w:t>
      </w:r>
      <w:r w:rsidR="00EE7C0F">
        <w:rPr>
          <w:u w:val="single"/>
        </w:rPr>
        <w:t>Supplemental</w:t>
      </w:r>
      <w:r w:rsidR="00E92293">
        <w:rPr>
          <w:u w:val="single"/>
        </w:rPr>
        <w:t xml:space="preserve"> </w:t>
      </w:r>
      <w:r w:rsidRPr="00CF15FF">
        <w:rPr>
          <w:u w:val="single"/>
        </w:rPr>
        <w:t xml:space="preserve">Modules from the </w:t>
      </w:r>
      <w:r w:rsidR="0054555B">
        <w:rPr>
          <w:u w:val="single"/>
        </w:rPr>
        <w:t xml:space="preserve">2019 </w:t>
      </w:r>
      <w:r w:rsidRPr="00CF15FF">
        <w:rPr>
          <w:u w:val="single"/>
        </w:rPr>
        <w:t>AHS:</w:t>
      </w:r>
      <w:r>
        <w:t xml:space="preserve">  </w:t>
      </w:r>
      <w:r w:rsidR="00EE7C0F">
        <w:t xml:space="preserve">The </w:t>
      </w:r>
      <w:r w:rsidR="00AC3301">
        <w:t xml:space="preserve">Food Security, Home Accessibility, and Post-Secondary Education </w:t>
      </w:r>
      <w:r w:rsidR="00EE7C0F">
        <w:t xml:space="preserve">supplemental modules will not be included in the </w:t>
      </w:r>
      <w:r w:rsidR="0054555B">
        <w:t xml:space="preserve">2021 </w:t>
      </w:r>
      <w:r w:rsidR="00EE7C0F">
        <w:t>survey.</w:t>
      </w:r>
      <w:r w:rsidRPr="0062443E" w:rsidR="00EE7C0F">
        <w:t xml:space="preserve">  </w:t>
      </w:r>
    </w:p>
    <w:p w:rsidRPr="00305D0B" w:rsidR="00305D0B" w:rsidP="00305D0B" w:rsidRDefault="00305D0B" w14:paraId="218F1FE5" w14:textId="77777777">
      <w:pPr>
        <w:pStyle w:val="ListParagraph"/>
        <w:tabs>
          <w:tab w:val="left" w:pos="432"/>
          <w:tab w:val="left" w:pos="720"/>
          <w:tab w:val="left" w:pos="864"/>
          <w:tab w:val="left" w:pos="1022"/>
          <w:tab w:val="left" w:pos="1350"/>
          <w:tab w:val="left" w:pos="1728"/>
          <w:tab w:val="left" w:pos="2160"/>
        </w:tabs>
        <w:ind w:left="1350"/>
        <w:contextualSpacing w:val="0"/>
      </w:pPr>
    </w:p>
    <w:p w:rsidR="00305D0B" w:rsidP="00E26915" w:rsidRDefault="00B030A4" w14:paraId="67808092" w14:textId="5D44B693">
      <w:pPr>
        <w:pStyle w:val="ListParagraph"/>
        <w:numPr>
          <w:ilvl w:val="0"/>
          <w:numId w:val="7"/>
        </w:numPr>
        <w:tabs>
          <w:tab w:val="left" w:pos="432"/>
          <w:tab w:val="left" w:pos="720"/>
          <w:tab w:val="left" w:pos="864"/>
          <w:tab w:val="left" w:pos="1022"/>
          <w:tab w:val="left" w:pos="1350"/>
          <w:tab w:val="left" w:pos="1728"/>
          <w:tab w:val="left" w:pos="2160"/>
        </w:tabs>
        <w:ind w:hanging="328"/>
        <w:contextualSpacing w:val="0"/>
      </w:pPr>
      <w:r w:rsidRPr="00B030A4">
        <w:rPr>
          <w:u w:val="single"/>
        </w:rPr>
        <w:t xml:space="preserve">Conclusion </w:t>
      </w:r>
      <w:r w:rsidRPr="00B030A4" w:rsidR="00305D0B">
        <w:rPr>
          <w:u w:val="single"/>
        </w:rPr>
        <w:t xml:space="preserve">of </w:t>
      </w:r>
      <w:r w:rsidRPr="00B030A4">
        <w:rPr>
          <w:u w:val="single"/>
        </w:rPr>
        <w:t xml:space="preserve">the </w:t>
      </w:r>
      <w:r w:rsidRPr="00B030A4" w:rsidR="00305D0B">
        <w:rPr>
          <w:u w:val="single"/>
        </w:rPr>
        <w:t>Housing Insecurity Research Module Follow-On:</w:t>
      </w:r>
      <w:r w:rsidRPr="008D1F72" w:rsidR="00305D0B">
        <w:t xml:space="preserve"> The</w:t>
      </w:r>
      <w:r w:rsidRPr="008D1F72">
        <w:t xml:space="preserve">re will not </w:t>
      </w:r>
      <w:r>
        <w:t xml:space="preserve">be a Housing Insecurity Research Module Follow-on </w:t>
      </w:r>
      <w:r w:rsidR="00D25A32">
        <w:t>module</w:t>
      </w:r>
      <w:r>
        <w:t xml:space="preserve"> for the 2021 AHS.  </w:t>
      </w:r>
      <w:r w:rsidR="00826D5B">
        <w:t xml:space="preserve">Analysis </w:t>
      </w:r>
      <w:proofErr w:type="gramStart"/>
      <w:r w:rsidR="00826D5B">
        <w:t>continues on</w:t>
      </w:r>
      <w:proofErr w:type="gramEnd"/>
      <w:r w:rsidR="00826D5B">
        <w:t xml:space="preserve"> the data collected </w:t>
      </w:r>
      <w:r w:rsidR="006F3C8C">
        <w:t xml:space="preserve">in the 2019 AHS.  </w:t>
      </w:r>
    </w:p>
    <w:p w:rsidRPr="00305D0B" w:rsidR="00305D0B" w:rsidP="00305D0B" w:rsidRDefault="00305D0B" w14:paraId="67CBEB79" w14:textId="77777777">
      <w:pPr>
        <w:pStyle w:val="ListParagraph"/>
        <w:tabs>
          <w:tab w:val="left" w:pos="432"/>
          <w:tab w:val="left" w:pos="720"/>
          <w:tab w:val="left" w:pos="864"/>
          <w:tab w:val="left" w:pos="1022"/>
          <w:tab w:val="left" w:pos="1350"/>
          <w:tab w:val="left" w:pos="1728"/>
          <w:tab w:val="left" w:pos="2160"/>
        </w:tabs>
        <w:ind w:left="1440"/>
      </w:pPr>
    </w:p>
    <w:p w:rsidR="00A15DB9" w:rsidP="00305D0B" w:rsidRDefault="0080722F" w14:paraId="094B1235" w14:textId="1D4F172C">
      <w:pPr>
        <w:pStyle w:val="ListParagraph"/>
        <w:numPr>
          <w:ilvl w:val="0"/>
          <w:numId w:val="7"/>
        </w:numPr>
        <w:tabs>
          <w:tab w:val="left" w:pos="432"/>
          <w:tab w:val="left" w:pos="720"/>
          <w:tab w:val="left" w:pos="864"/>
          <w:tab w:val="left" w:pos="1022"/>
          <w:tab w:val="left" w:pos="1350"/>
          <w:tab w:val="left" w:pos="1728"/>
          <w:tab w:val="left" w:pos="2160"/>
        </w:tabs>
      </w:pPr>
      <w:r w:rsidRPr="00DE4599">
        <w:rPr>
          <w:u w:val="single"/>
        </w:rPr>
        <w:t>Reinstatement of</w:t>
      </w:r>
      <w:r w:rsidRPr="00DE4599" w:rsidR="00A15DB9">
        <w:rPr>
          <w:u w:val="single"/>
        </w:rPr>
        <w:t xml:space="preserve"> </w:t>
      </w:r>
      <w:r w:rsidRPr="00DE4599">
        <w:rPr>
          <w:u w:val="single"/>
        </w:rPr>
        <w:t xml:space="preserve">the </w:t>
      </w:r>
      <w:r w:rsidR="00AB43A4">
        <w:rPr>
          <w:u w:val="single"/>
        </w:rPr>
        <w:t xml:space="preserve">Delinquent Payments </w:t>
      </w:r>
      <w:r w:rsidR="00121D7C">
        <w:rPr>
          <w:u w:val="single"/>
        </w:rPr>
        <w:t xml:space="preserve">and Notices </w:t>
      </w:r>
      <w:r w:rsidR="007917FA">
        <w:rPr>
          <w:u w:val="single"/>
        </w:rPr>
        <w:t xml:space="preserve">Supplemental </w:t>
      </w:r>
      <w:r w:rsidRPr="00DE4599" w:rsidR="00A15DB9">
        <w:rPr>
          <w:u w:val="single"/>
        </w:rPr>
        <w:t>Module:</w:t>
      </w:r>
      <w:r w:rsidRPr="00896E8C" w:rsidR="00A15DB9">
        <w:t xml:space="preserve">  </w:t>
      </w:r>
      <w:r w:rsidR="00121D7C">
        <w:t>The Delinquent Payment and Notices module collects data on wh</w:t>
      </w:r>
      <w:r w:rsidRPr="00341DBB" w:rsidR="00121D7C">
        <w:t xml:space="preserve">ether </w:t>
      </w:r>
      <w:r w:rsidR="00121D7C">
        <w:t xml:space="preserve">people had to move </w:t>
      </w:r>
      <w:r w:rsidRPr="00341DBB" w:rsidR="00121D7C">
        <w:t>due to lack of financial means or other support</w:t>
      </w:r>
      <w:r w:rsidR="00121D7C">
        <w:t xml:space="preserve"> and w</w:t>
      </w:r>
      <w:r w:rsidRPr="00341DBB" w:rsidR="00121D7C">
        <w:t xml:space="preserve">here </w:t>
      </w:r>
      <w:r w:rsidR="00121D7C">
        <w:t xml:space="preserve">they </w:t>
      </w:r>
      <w:r w:rsidRPr="00341DBB" w:rsidR="00121D7C">
        <w:t>would stay if they left the household.</w:t>
      </w:r>
      <w:r w:rsidR="00860EDD">
        <w:t xml:space="preserve">  This supplemental module was last deployed in 2017.</w:t>
      </w:r>
    </w:p>
    <w:p w:rsidRPr="00B862D1" w:rsidR="00B862D1" w:rsidP="00785077" w:rsidRDefault="00B862D1" w14:paraId="0BE68493" w14:textId="0227507E">
      <w:pPr>
        <w:tabs>
          <w:tab w:val="left" w:pos="432"/>
          <w:tab w:val="left" w:pos="720"/>
          <w:tab w:val="left" w:pos="864"/>
          <w:tab w:val="left" w:pos="1022"/>
          <w:tab w:val="left" w:pos="1350"/>
          <w:tab w:val="left" w:pos="1728"/>
          <w:tab w:val="left" w:pos="2160"/>
        </w:tabs>
      </w:pPr>
    </w:p>
    <w:p w:rsidRPr="0062443E" w:rsidR="000461B4" w:rsidP="00A34925" w:rsidRDefault="00814AC3" w14:paraId="2578AEA8" w14:textId="31F697D6">
      <w:pPr>
        <w:pStyle w:val="ListParagraph"/>
        <w:numPr>
          <w:ilvl w:val="0"/>
          <w:numId w:val="7"/>
        </w:numPr>
        <w:tabs>
          <w:tab w:val="left" w:pos="432"/>
          <w:tab w:val="left" w:pos="720"/>
          <w:tab w:val="left" w:pos="864"/>
          <w:tab w:val="left" w:pos="1022"/>
          <w:tab w:val="left" w:pos="1350"/>
          <w:tab w:val="left" w:pos="1728"/>
          <w:tab w:val="left" w:pos="2160"/>
        </w:tabs>
        <w:contextualSpacing w:val="0"/>
      </w:pPr>
      <w:r w:rsidRPr="0061424E">
        <w:rPr>
          <w:u w:val="single"/>
        </w:rPr>
        <w:t>In</w:t>
      </w:r>
      <w:r w:rsidRPr="0061424E" w:rsidR="0005304D">
        <w:rPr>
          <w:u w:val="single"/>
        </w:rPr>
        <w:t>troduc</w:t>
      </w:r>
      <w:r w:rsidRPr="0061424E" w:rsidR="00D324EC">
        <w:rPr>
          <w:u w:val="single"/>
        </w:rPr>
        <w:t xml:space="preserve">tion </w:t>
      </w:r>
      <w:r w:rsidRPr="0061424E" w:rsidR="004A31FA">
        <w:rPr>
          <w:u w:val="single"/>
        </w:rPr>
        <w:t xml:space="preserve">of </w:t>
      </w:r>
      <w:r w:rsidR="001E04C4">
        <w:rPr>
          <w:u w:val="single"/>
        </w:rPr>
        <w:t>Five</w:t>
      </w:r>
      <w:r w:rsidRPr="0061424E" w:rsidR="0063089D">
        <w:rPr>
          <w:u w:val="single"/>
        </w:rPr>
        <w:t xml:space="preserve"> </w:t>
      </w:r>
      <w:r w:rsidRPr="0061424E">
        <w:rPr>
          <w:u w:val="single"/>
        </w:rPr>
        <w:t>N</w:t>
      </w:r>
      <w:r w:rsidRPr="0061424E" w:rsidR="000B2AB7">
        <w:rPr>
          <w:u w:val="single"/>
        </w:rPr>
        <w:t xml:space="preserve">ew </w:t>
      </w:r>
      <w:r w:rsidRPr="0061424E" w:rsidR="00EE7C0F">
        <w:rPr>
          <w:u w:val="single"/>
        </w:rPr>
        <w:t>Supplemental</w:t>
      </w:r>
      <w:r w:rsidRPr="0061424E" w:rsidR="0005304D">
        <w:rPr>
          <w:u w:val="single"/>
        </w:rPr>
        <w:t xml:space="preserve"> </w:t>
      </w:r>
      <w:r w:rsidRPr="0061424E">
        <w:rPr>
          <w:u w:val="single"/>
        </w:rPr>
        <w:t>M</w:t>
      </w:r>
      <w:r w:rsidRPr="0061424E" w:rsidR="000B2AB7">
        <w:rPr>
          <w:u w:val="single"/>
        </w:rPr>
        <w:t>odules</w:t>
      </w:r>
      <w:r w:rsidRPr="0061424E">
        <w:rPr>
          <w:u w:val="single"/>
        </w:rPr>
        <w:t>:</w:t>
      </w:r>
      <w:r w:rsidRPr="000D6B2D">
        <w:t xml:space="preserve">  </w:t>
      </w:r>
      <w:r w:rsidR="00C604DD">
        <w:t>To</w:t>
      </w:r>
      <w:r w:rsidRPr="0062443E" w:rsidR="00C604DD">
        <w:t xml:space="preserve"> </w:t>
      </w:r>
      <w:r w:rsidR="00C604DD">
        <w:t>continue the</w:t>
      </w:r>
      <w:r w:rsidRPr="0062443E" w:rsidR="00C604DD">
        <w:t xml:space="preserve"> strategy of </w:t>
      </w:r>
      <w:r w:rsidR="00EE7C0F">
        <w:t>supplemental</w:t>
      </w:r>
      <w:r w:rsidRPr="0062443E" w:rsidR="00C604DD">
        <w:t xml:space="preserve"> modules in order to minimize respondent burden and satisfy widening needs for data content</w:t>
      </w:r>
      <w:r w:rsidR="00C604DD">
        <w:t xml:space="preserve">, </w:t>
      </w:r>
      <w:r w:rsidR="00734B8B">
        <w:t>four</w:t>
      </w:r>
      <w:r w:rsidR="00AB43A4">
        <w:t xml:space="preserve"> </w:t>
      </w:r>
      <w:r w:rsidRPr="000D6B2D" w:rsidR="00694C92">
        <w:t>new</w:t>
      </w:r>
      <w:r w:rsidRPr="000D6B2D">
        <w:t xml:space="preserve"> </w:t>
      </w:r>
      <w:r w:rsidR="00EE7C0F">
        <w:t>supplemental</w:t>
      </w:r>
      <w:r w:rsidRPr="00402618" w:rsidR="0005304D">
        <w:t xml:space="preserve"> </w:t>
      </w:r>
      <w:r w:rsidRPr="00402618">
        <w:t>modules</w:t>
      </w:r>
      <w:r w:rsidRPr="00402618" w:rsidR="000B2AB7">
        <w:t xml:space="preserve"> have been added</w:t>
      </w:r>
      <w:r w:rsidRPr="00402618" w:rsidR="00F12DA8">
        <w:t xml:space="preserve"> to the survey</w:t>
      </w:r>
      <w:r w:rsidR="00785077">
        <w:t xml:space="preserve"> – </w:t>
      </w:r>
      <w:r w:rsidR="00734B8B">
        <w:t xml:space="preserve">Intent to Move, </w:t>
      </w:r>
      <w:r w:rsidR="00500534">
        <w:t xml:space="preserve">Expanded Renter Housing Search, </w:t>
      </w:r>
      <w:r w:rsidR="00AB43A4">
        <w:t xml:space="preserve">Wildfire Risk, </w:t>
      </w:r>
      <w:r w:rsidR="00500534">
        <w:t>Pets</w:t>
      </w:r>
      <w:r w:rsidR="001E04C4">
        <w:t>, and Smoking</w:t>
      </w:r>
      <w:r w:rsidRPr="00402618" w:rsidR="00AC249B">
        <w:t>.</w:t>
      </w:r>
      <w:r w:rsidR="00500534">
        <w:t xml:space="preserve"> </w:t>
      </w:r>
      <w:r w:rsidR="00BF0088">
        <w:t xml:space="preserve">These </w:t>
      </w:r>
      <w:r w:rsidRPr="00402618" w:rsidR="00AC249B">
        <w:t>module</w:t>
      </w:r>
      <w:r w:rsidR="00BF0088">
        <w:t>s</w:t>
      </w:r>
      <w:r w:rsidRPr="00402618" w:rsidR="00AC249B">
        <w:t xml:space="preserve"> collect data </w:t>
      </w:r>
      <w:r w:rsidR="008B0DF4">
        <w:t xml:space="preserve">on whether the respondent </w:t>
      </w:r>
      <w:r w:rsidR="00421228">
        <w:t>plan</w:t>
      </w:r>
      <w:r w:rsidR="004963EF">
        <w:t>s to move</w:t>
      </w:r>
      <w:r w:rsidR="008B0DF4">
        <w:t xml:space="preserve">, </w:t>
      </w:r>
      <w:r w:rsidR="00421228">
        <w:t xml:space="preserve">the </w:t>
      </w:r>
      <w:r w:rsidR="00500534">
        <w:t>renter housing s</w:t>
      </w:r>
      <w:r w:rsidRPr="00384F51" w:rsidR="00500534">
        <w:t>earch</w:t>
      </w:r>
      <w:r w:rsidR="00500534">
        <w:t xml:space="preserve"> process, </w:t>
      </w:r>
      <w:r w:rsidR="0061424E">
        <w:t xml:space="preserve">housing characteristics that increase wildfire risk, household </w:t>
      </w:r>
      <w:r w:rsidR="00500534">
        <w:t>pets</w:t>
      </w:r>
      <w:r w:rsidR="001E04C4">
        <w:t>, and smoke and smoking in the housing unit</w:t>
      </w:r>
      <w:r w:rsidR="0061424E">
        <w:t xml:space="preserve">. </w:t>
      </w:r>
      <w:r w:rsidRPr="0062443E" w:rsidR="000B2AB7">
        <w:t>Please refer to the attached items b</w:t>
      </w:r>
      <w:r w:rsidRPr="0062443E" w:rsidR="00F12DA8">
        <w:t>ooklet for the questions in these</w:t>
      </w:r>
      <w:r w:rsidRPr="0062443E" w:rsidR="000B2AB7">
        <w:t xml:space="preserve"> module</w:t>
      </w:r>
      <w:r w:rsidRPr="0062443E" w:rsidR="00F12DA8">
        <w:t>s</w:t>
      </w:r>
      <w:r w:rsidRPr="0062443E" w:rsidR="000B2AB7">
        <w:t xml:space="preserve"> and the entire AHS questionnaire.</w:t>
      </w:r>
      <w:r w:rsidRPr="0062443E" w:rsidR="006D725E">
        <w:t xml:space="preserve"> </w:t>
      </w:r>
    </w:p>
    <w:p w:rsidR="000461B4" w:rsidP="00297577" w:rsidRDefault="000461B4" w14:paraId="21D11FCD" w14:textId="77777777">
      <w:pPr>
        <w:pStyle w:val="ListParagraph"/>
        <w:spacing w:line="276" w:lineRule="auto"/>
        <w:ind w:left="1382"/>
      </w:pPr>
    </w:p>
    <w:p w:rsidR="00C94D42" w:rsidP="00B370F6" w:rsidRDefault="0005304D" w14:paraId="36806596" w14:textId="5C2BB951">
      <w:pPr>
        <w:pStyle w:val="ListParagraph"/>
        <w:numPr>
          <w:ilvl w:val="0"/>
          <w:numId w:val="7"/>
        </w:numPr>
      </w:pPr>
      <w:r w:rsidRPr="005F06A4">
        <w:rPr>
          <w:u w:val="single"/>
        </w:rPr>
        <w:t xml:space="preserve">Sample Split for </w:t>
      </w:r>
      <w:r w:rsidRPr="005F06A4" w:rsidR="00EE7C0F">
        <w:rPr>
          <w:u w:val="single"/>
        </w:rPr>
        <w:t>Supplemental</w:t>
      </w:r>
      <w:r w:rsidRPr="005F06A4">
        <w:rPr>
          <w:u w:val="single"/>
        </w:rPr>
        <w:t xml:space="preserve"> Modules:</w:t>
      </w:r>
      <w:r>
        <w:t xml:space="preserve">  </w:t>
      </w:r>
      <w:r w:rsidR="00DB7941">
        <w:t>A</w:t>
      </w:r>
      <w:r>
        <w:t xml:space="preserve"> split of the </w:t>
      </w:r>
      <w:r w:rsidR="00631BF7">
        <w:t xml:space="preserve">survey sample will be </w:t>
      </w:r>
      <w:r>
        <w:t xml:space="preserve">used </w:t>
      </w:r>
      <w:r w:rsidR="003B5868">
        <w:t xml:space="preserve">to </w:t>
      </w:r>
      <w:r>
        <w:t xml:space="preserve">maximize the </w:t>
      </w:r>
      <w:r w:rsidR="00AE20AF">
        <w:t xml:space="preserve">number of </w:t>
      </w:r>
      <w:r w:rsidR="00EE7C0F">
        <w:t>supplemental</w:t>
      </w:r>
      <w:r w:rsidR="00AE20AF">
        <w:t xml:space="preserve"> modules that can be included in the </w:t>
      </w:r>
      <w:r w:rsidR="0054555B">
        <w:t xml:space="preserve">2021 </w:t>
      </w:r>
      <w:r w:rsidR="00AE20AF">
        <w:t>AHS.</w:t>
      </w:r>
      <w:r w:rsidR="000461B4">
        <w:t xml:space="preserve">  Fifty </w:t>
      </w:r>
      <w:r w:rsidR="000D5C79">
        <w:t>p</w:t>
      </w:r>
      <w:r w:rsidR="006F7801">
        <w:t>ercent</w:t>
      </w:r>
      <w:r w:rsidR="000C1083">
        <w:t xml:space="preserve"> of the sample </w:t>
      </w:r>
      <w:r w:rsidRPr="0091571E" w:rsidR="00F57659">
        <w:t xml:space="preserve">will be asked the </w:t>
      </w:r>
      <w:r w:rsidR="004963EF">
        <w:t>Intent to Move and Expanded Renter Housing Search</w:t>
      </w:r>
      <w:r w:rsidR="005F06A4">
        <w:t xml:space="preserve"> modules. </w:t>
      </w:r>
      <w:r w:rsidRPr="0091571E" w:rsidR="00452542">
        <w:t xml:space="preserve">The other 50 percent </w:t>
      </w:r>
      <w:r w:rsidR="00F57659">
        <w:t>will be</w:t>
      </w:r>
      <w:r w:rsidRPr="00297577" w:rsidR="00F57659">
        <w:t xml:space="preserve"> asked</w:t>
      </w:r>
      <w:r w:rsidR="0061424E">
        <w:t xml:space="preserve"> the </w:t>
      </w:r>
      <w:r w:rsidR="004963EF">
        <w:t>Wildfire Risk</w:t>
      </w:r>
      <w:r w:rsidR="00E3222A">
        <w:t xml:space="preserve">, </w:t>
      </w:r>
      <w:r w:rsidR="004963EF">
        <w:t>Pets</w:t>
      </w:r>
      <w:r w:rsidR="00E3222A">
        <w:t>, and Smoking</w:t>
      </w:r>
      <w:r w:rsidR="0061424E">
        <w:t xml:space="preserve"> </w:t>
      </w:r>
      <w:r w:rsidRPr="0091571E" w:rsidR="00F57659">
        <w:t>module</w:t>
      </w:r>
      <w:r w:rsidR="004963EF">
        <w:t>s</w:t>
      </w:r>
      <w:r w:rsidR="00460730">
        <w:t xml:space="preserve">. </w:t>
      </w:r>
      <w:r w:rsidR="005F06A4">
        <w:t>The full sample will receive the Delinquent Payments and Notices</w:t>
      </w:r>
      <w:r w:rsidR="00460730">
        <w:t xml:space="preserve"> Module. </w:t>
      </w:r>
      <w:r w:rsidR="00BB18F7">
        <w:t>The Wildfire Risk module will be targeted toward geographical areas at</w:t>
      </w:r>
      <w:r w:rsidR="008C5D0D">
        <w:t xml:space="preserve"> increased </w:t>
      </w:r>
      <w:r w:rsidR="00BB18F7">
        <w:t>risk for wildfires.</w:t>
      </w:r>
    </w:p>
    <w:p w:rsidR="00F4672D" w:rsidP="00F4672D" w:rsidRDefault="00F4672D" w14:paraId="3955A6F5" w14:textId="77777777">
      <w:pPr>
        <w:pStyle w:val="ListParagraph"/>
      </w:pPr>
    </w:p>
    <w:p w:rsidRPr="00F4672D" w:rsidR="00F4672D" w:rsidP="00F4672D" w:rsidRDefault="00F4672D" w14:paraId="1B2D7106" w14:textId="1B9A6495">
      <w:pPr>
        <w:pStyle w:val="ListParagraph"/>
        <w:numPr>
          <w:ilvl w:val="0"/>
          <w:numId w:val="7"/>
        </w:numPr>
        <w:rPr>
          <w:u w:val="single"/>
        </w:rPr>
      </w:pPr>
      <w:r w:rsidRPr="00CF2A96">
        <w:rPr>
          <w:u w:val="single"/>
        </w:rPr>
        <w:lastRenderedPageBreak/>
        <w:t>Nonresponse Bias Incentives Experiment</w:t>
      </w:r>
      <w:r w:rsidRPr="00F4672D">
        <w:rPr>
          <w:u w:val="single"/>
        </w:rPr>
        <w:t>:</w:t>
      </w:r>
      <w:r w:rsidRPr="00F4672D">
        <w:t xml:space="preserve"> A proposed experiment will test whether targeting incentives to units at risk of nonresponse and likely to introduce bias can lower nonresponse bias in the integrated national sample.</w:t>
      </w:r>
    </w:p>
    <w:p w:rsidR="00677B13" w:rsidP="00297577" w:rsidRDefault="00677B13" w14:paraId="7FB67D62" w14:textId="321F20AD">
      <w:pPr>
        <w:ind w:left="720" w:firstLine="302"/>
      </w:pPr>
    </w:p>
    <w:p w:rsidR="00F4672D" w:rsidP="00297577" w:rsidRDefault="00F4672D" w14:paraId="6F355E98" w14:textId="77777777">
      <w:pPr>
        <w:ind w:left="720" w:firstLine="302"/>
      </w:pPr>
    </w:p>
    <w:p w:rsidRPr="00AE3B03" w:rsidR="00F03515" w:rsidP="00341DBB" w:rsidRDefault="007865C5" w14:paraId="27199034" w14:textId="017F5D01">
      <w:pPr>
        <w:ind w:left="1080"/>
      </w:pPr>
      <w:r w:rsidRPr="00AE3B03">
        <w:t>We also request clearance for the reinterview questions to be used in conjunction with this survey.  We will conduct a second interview at approximately 7 percent of the total addresses in the survey for the purpose of interviewer quality control.  Reinterview questions ask respondent</w:t>
      </w:r>
      <w:r w:rsidR="00C96CBC">
        <w:t>s</w:t>
      </w:r>
      <w:r w:rsidRPr="00AE3B03">
        <w:t xml:space="preserve"> whether they recall general details from the original interview.  The </w:t>
      </w:r>
      <w:r w:rsidR="0054555B">
        <w:t xml:space="preserve">2021 </w:t>
      </w:r>
      <w:r w:rsidRPr="00AE3B03">
        <w:t xml:space="preserve">reinterview instrument will contain </w:t>
      </w:r>
      <w:r w:rsidRPr="00AE3B03" w:rsidR="00D27ABC">
        <w:t>five</w:t>
      </w:r>
      <w:r w:rsidRPr="00AE3B03" w:rsidR="001326C4">
        <w:t xml:space="preserve"> </w:t>
      </w:r>
      <w:r w:rsidR="00C96CBC">
        <w:t>questions about the AHS questionnaire.</w:t>
      </w:r>
      <w:r w:rsidRPr="00AE3B03">
        <w:t xml:space="preserve"> </w:t>
      </w:r>
      <w:r w:rsidR="006F31DF">
        <w:t xml:space="preserve">Each respondent will </w:t>
      </w:r>
      <w:r w:rsidRPr="00AE3B03">
        <w:t xml:space="preserve">be asked </w:t>
      </w:r>
      <w:r w:rsidR="006F31DF">
        <w:t xml:space="preserve">all five </w:t>
      </w:r>
      <w:r w:rsidRPr="00AE3B03" w:rsidR="00D27ABC">
        <w:t>question</w:t>
      </w:r>
      <w:r w:rsidR="006F31DF">
        <w:t xml:space="preserve">. </w:t>
      </w:r>
      <w:r w:rsidRPr="00AE3B03">
        <w:t>We included in this clearance the cost and respondent burden estimates for the reinterview.</w:t>
      </w:r>
      <w:r w:rsidRPr="00AE3B03" w:rsidR="00F5764F">
        <w:t xml:space="preserve"> </w:t>
      </w:r>
    </w:p>
    <w:p w:rsidR="0023728C" w:rsidRDefault="0023728C" w14:paraId="60E66CD9" w14:textId="78136352">
      <w:pPr>
        <w:rPr>
          <w:b/>
          <w:bCs/>
        </w:rPr>
      </w:pPr>
    </w:p>
    <w:p w:rsidR="00E13F9E" w:rsidP="00E17586" w:rsidRDefault="000B2AB7" w14:paraId="1ABDE931" w14:textId="1CDCE268">
      <w:pPr>
        <w:pStyle w:val="Level1"/>
        <w:numPr>
          <w:ilvl w:val="0"/>
          <w:numId w:val="1"/>
        </w:numPr>
        <w:tabs>
          <w:tab w:val="left" w:pos="432"/>
          <w:tab w:val="left" w:pos="720"/>
          <w:tab w:val="left" w:pos="864"/>
          <w:tab w:val="left" w:pos="1022"/>
          <w:tab w:val="left" w:pos="1296"/>
          <w:tab w:val="num" w:pos="1413"/>
          <w:tab w:val="left" w:pos="1728"/>
          <w:tab w:val="left" w:pos="2160"/>
        </w:tabs>
        <w:spacing w:before="240"/>
        <w:rPr>
          <w:rFonts w:ascii="Times New Roman" w:hAnsi="Times New Roman"/>
        </w:rPr>
      </w:pPr>
      <w:r>
        <w:rPr>
          <w:rFonts w:ascii="Times New Roman" w:hAnsi="Times New Roman"/>
          <w:b/>
          <w:bCs/>
        </w:rPr>
        <w:t>Needs and Uses</w:t>
      </w:r>
    </w:p>
    <w:p w:rsidR="000B2AB7" w:rsidP="00C623A5" w:rsidRDefault="000B2AB7" w14:paraId="02A7CF87" w14:textId="77777777">
      <w:pPr>
        <w:numPr>
          <w:ilvl w:val="12"/>
          <w:numId w:val="0"/>
        </w:numPr>
        <w:tabs>
          <w:tab w:val="left" w:pos="432"/>
          <w:tab w:val="left" w:pos="720"/>
          <w:tab w:val="left" w:pos="864"/>
          <w:tab w:val="left" w:pos="1022"/>
          <w:tab w:val="left" w:pos="1296"/>
          <w:tab w:val="left" w:pos="1728"/>
          <w:tab w:val="left" w:pos="2160"/>
        </w:tabs>
      </w:pPr>
    </w:p>
    <w:p w:rsidR="000B2AB7" w:rsidP="00C623A5" w:rsidRDefault="00E92293" w14:paraId="7AD10F88" w14:textId="36E1724A">
      <w:pPr>
        <w:pStyle w:val="BodyTextIndent"/>
      </w:pPr>
      <w:r>
        <w:t xml:space="preserve">Both HUD and outside entities use the </w:t>
      </w:r>
      <w:r w:rsidR="00813152">
        <w:t xml:space="preserve">core modules of the </w:t>
      </w:r>
      <w:r w:rsidR="00E979C8">
        <w:t>AHS</w:t>
      </w:r>
      <w:r>
        <w:t xml:space="preserve"> extensively.  </w:t>
      </w:r>
      <w:r w:rsidR="00813152">
        <w:t xml:space="preserve">The core modules capture information about building and unit characteristics, housing quality, fuel and electricity costs, resident </w:t>
      </w:r>
      <w:proofErr w:type="gramStart"/>
      <w:r w:rsidR="00813152">
        <w:t>mobility</w:t>
      </w:r>
      <w:proofErr w:type="gramEnd"/>
      <w:r w:rsidR="00813152">
        <w:t xml:space="preserve"> and recent movers, rent and mortgage expenses, household demographic characteristics, income, and repairs and remodeling frequency and expenses.  </w:t>
      </w:r>
      <w:r>
        <w:t xml:space="preserve">The following subsections describe the internal and external uses of the core modules and expected uses of the </w:t>
      </w:r>
      <w:r w:rsidR="00EE7C0F">
        <w:t>supplemental</w:t>
      </w:r>
      <w:r>
        <w:t xml:space="preserve"> modules.</w:t>
      </w:r>
    </w:p>
    <w:p w:rsidR="000B2AB7" w:rsidP="00C623A5" w:rsidRDefault="000B2AB7" w14:paraId="414DDC07" w14:textId="77777777">
      <w:pPr>
        <w:numPr>
          <w:ilvl w:val="12"/>
          <w:numId w:val="0"/>
        </w:numPr>
        <w:tabs>
          <w:tab w:val="left" w:pos="432"/>
          <w:tab w:val="left" w:pos="720"/>
          <w:tab w:val="left" w:pos="864"/>
          <w:tab w:val="left" w:pos="1022"/>
          <w:tab w:val="left" w:pos="1296"/>
          <w:tab w:val="left" w:pos="1728"/>
          <w:tab w:val="left" w:pos="2160"/>
        </w:tabs>
        <w:ind w:left="1022"/>
      </w:pPr>
    </w:p>
    <w:p w:rsidR="00924430" w:rsidP="00341DBB" w:rsidRDefault="00863819" w14:paraId="62FEE077" w14:textId="77777777">
      <w:pPr>
        <w:pStyle w:val="ListParagraph"/>
        <w:numPr>
          <w:ilvl w:val="0"/>
          <w:numId w:val="30"/>
        </w:numPr>
        <w:tabs>
          <w:tab w:val="left" w:pos="432"/>
          <w:tab w:val="left" w:pos="720"/>
          <w:tab w:val="left" w:pos="864"/>
          <w:tab w:val="left" w:pos="1022"/>
          <w:tab w:val="left" w:pos="1296"/>
          <w:tab w:val="left" w:pos="1728"/>
          <w:tab w:val="left" w:pos="2160"/>
        </w:tabs>
      </w:pPr>
      <w:r>
        <w:t xml:space="preserve">HUD’s </w:t>
      </w:r>
      <w:r w:rsidR="00E979C8">
        <w:t xml:space="preserve">Internal Needs </w:t>
      </w:r>
      <w:r>
        <w:t xml:space="preserve">for the </w:t>
      </w:r>
      <w:r w:rsidR="00924430">
        <w:t>Core Module</w:t>
      </w:r>
      <w:r>
        <w:t>s</w:t>
      </w:r>
    </w:p>
    <w:p w:rsidR="000B2AB7" w:rsidP="00C623A5" w:rsidRDefault="000B2AB7" w14:paraId="66F632F5" w14:textId="77777777">
      <w:pPr>
        <w:numPr>
          <w:ilvl w:val="12"/>
          <w:numId w:val="0"/>
        </w:numPr>
        <w:tabs>
          <w:tab w:val="left" w:pos="432"/>
          <w:tab w:val="left" w:pos="720"/>
          <w:tab w:val="left" w:pos="864"/>
          <w:tab w:val="left" w:pos="1022"/>
          <w:tab w:val="left" w:pos="1296"/>
          <w:tab w:val="left" w:pos="1728"/>
          <w:tab w:val="left" w:pos="2160"/>
        </w:tabs>
        <w:ind w:left="1022"/>
      </w:pPr>
    </w:p>
    <w:p w:rsidR="000B2AB7" w:rsidP="00C623A5" w:rsidRDefault="000B2AB7" w14:paraId="0E0DD944" w14:textId="77777777">
      <w:pPr>
        <w:spacing w:line="2" w:lineRule="exact"/>
        <w:rPr>
          <w:sz w:val="14"/>
          <w:szCs w:val="14"/>
        </w:rPr>
      </w:pPr>
    </w:p>
    <w:p w:rsidR="00A960DE" w:rsidP="00EF1680" w:rsidRDefault="00E979C8" w14:paraId="0461A815" w14:textId="3093B9CA">
      <w:pPr>
        <w:ind w:left="1382" w:hanging="32"/>
        <w:rPr>
          <w:lang w:val="en-CA"/>
        </w:rPr>
      </w:pPr>
      <w:r>
        <w:rPr>
          <w:lang w:val="en-CA"/>
        </w:rPr>
        <w:t xml:space="preserve">HUD has numerous needs for the AHS to support Congressional reporting requirements, programmatic needs, and </w:t>
      </w:r>
      <w:r w:rsidR="00CB5E4F">
        <w:rPr>
          <w:lang w:val="en-CA"/>
        </w:rPr>
        <w:t xml:space="preserve">ongoing </w:t>
      </w:r>
      <w:r>
        <w:rPr>
          <w:lang w:val="en-CA"/>
        </w:rPr>
        <w:t>research.</w:t>
      </w:r>
      <w:r w:rsidR="00813152">
        <w:rPr>
          <w:lang w:val="en-CA"/>
        </w:rPr>
        <w:t xml:space="preserve">  </w:t>
      </w:r>
    </w:p>
    <w:p w:rsidR="00A960DE" w:rsidP="00CB5E4F" w:rsidRDefault="00A960DE" w14:paraId="3179D425" w14:textId="77777777">
      <w:pPr>
        <w:ind w:left="1382" w:hanging="32"/>
        <w:rPr>
          <w:lang w:val="en-CA"/>
        </w:rPr>
      </w:pPr>
    </w:p>
    <w:p w:rsidR="006F1AC1" w:rsidP="00CB5E4F" w:rsidRDefault="00813152" w14:paraId="29CC50DB" w14:textId="77777777">
      <w:pPr>
        <w:ind w:left="1382" w:hanging="32"/>
        <w:rPr>
          <w:lang w:val="en-CA"/>
        </w:rPr>
      </w:pPr>
      <w:r>
        <w:rPr>
          <w:lang w:val="en-CA"/>
        </w:rPr>
        <w:t>The needs include, but are not limited to:</w:t>
      </w:r>
    </w:p>
    <w:p w:rsidR="006F1AC1" w:rsidP="00C623A5" w:rsidRDefault="006F1AC1" w14:paraId="1E46AAFE" w14:textId="77777777">
      <w:pPr>
        <w:rPr>
          <w:lang w:val="en-CA"/>
        </w:rPr>
      </w:pPr>
    </w:p>
    <w:p w:rsidRPr="00E979C8" w:rsidR="00B120E8" w:rsidP="00CB5E4F" w:rsidRDefault="00B120E8" w14:paraId="181A860D" w14:textId="77777777">
      <w:pPr>
        <w:pStyle w:val="ListParagraph"/>
        <w:numPr>
          <w:ilvl w:val="1"/>
          <w:numId w:val="8"/>
        </w:numPr>
        <w:ind w:left="1800" w:hanging="450"/>
        <w:rPr>
          <w:lang w:val="en-CA"/>
        </w:rPr>
      </w:pPr>
      <w:r w:rsidRPr="00E979C8">
        <w:rPr>
          <w:u w:val="single"/>
          <w:lang w:val="en-CA"/>
        </w:rPr>
        <w:t>Worst Case Housing Needs:</w:t>
      </w:r>
      <w:r w:rsidRPr="00E979C8">
        <w:rPr>
          <w:lang w:val="en-CA"/>
        </w:rPr>
        <w:t xml:space="preserve">  Congress requires HUD to produce the </w:t>
      </w:r>
      <w:proofErr w:type="gramStart"/>
      <w:r w:rsidRPr="00E979C8">
        <w:rPr>
          <w:lang w:val="en-CA"/>
        </w:rPr>
        <w:t>Worst Case</w:t>
      </w:r>
      <w:proofErr w:type="gramEnd"/>
      <w:r w:rsidRPr="00E979C8">
        <w:rPr>
          <w:lang w:val="en-CA"/>
        </w:rPr>
        <w:t xml:space="preserve"> Housing Needs report every two years.  This report is based almost entirely on the AHS.</w:t>
      </w:r>
    </w:p>
    <w:p w:rsidR="00B120E8" w:rsidP="00E979C8" w:rsidRDefault="00B120E8" w14:paraId="4C9567E7" w14:textId="77777777">
      <w:pPr>
        <w:ind w:left="1800" w:hanging="450"/>
        <w:rPr>
          <w:lang w:val="en-CA"/>
        </w:rPr>
      </w:pPr>
    </w:p>
    <w:p w:rsidR="00B120E8" w:rsidP="00CB5E4F" w:rsidRDefault="00B120E8" w14:paraId="1ABFF830" w14:textId="77777777">
      <w:pPr>
        <w:pStyle w:val="ListParagraph"/>
        <w:numPr>
          <w:ilvl w:val="1"/>
          <w:numId w:val="8"/>
        </w:numPr>
        <w:ind w:left="1800" w:hanging="450"/>
        <w:rPr>
          <w:lang w:val="en-CA"/>
        </w:rPr>
      </w:pPr>
      <w:r w:rsidRPr="00E979C8">
        <w:rPr>
          <w:u w:val="single"/>
          <w:lang w:val="en-CA"/>
        </w:rPr>
        <w:t xml:space="preserve">Worst Case Housing Needs </w:t>
      </w:r>
      <w:r w:rsidRPr="00E979C8" w:rsidR="00E979C8">
        <w:rPr>
          <w:u w:val="single"/>
          <w:lang w:val="en-CA"/>
        </w:rPr>
        <w:t>of People with Disabilities</w:t>
      </w:r>
      <w:r w:rsidRPr="00E979C8">
        <w:rPr>
          <w:u w:val="single"/>
          <w:lang w:val="en-CA"/>
        </w:rPr>
        <w:t>:</w:t>
      </w:r>
      <w:r w:rsidRPr="00E979C8">
        <w:rPr>
          <w:lang w:val="en-CA"/>
        </w:rPr>
        <w:t xml:space="preserve">  </w:t>
      </w:r>
      <w:r w:rsidRPr="00E979C8" w:rsidR="00E979C8">
        <w:rPr>
          <w:lang w:val="en-CA"/>
        </w:rPr>
        <w:t>HUD produces a supplemental report to the Worst Case Housing Needs report providing national estimates and information on the critical housing problems that confront low income renting families that include people with disabilities.</w:t>
      </w:r>
    </w:p>
    <w:p w:rsidRPr="00E979C8" w:rsidR="00E979C8" w:rsidP="00CB5E4F" w:rsidRDefault="00E979C8" w14:paraId="51A11929" w14:textId="77777777">
      <w:pPr>
        <w:pStyle w:val="ListParagraph"/>
        <w:rPr>
          <w:lang w:val="en-CA"/>
        </w:rPr>
      </w:pPr>
    </w:p>
    <w:p w:rsidR="00620A21" w:rsidP="00813152" w:rsidRDefault="00AB0B5E" w14:paraId="2C4F1DED" w14:textId="1B2AEA48">
      <w:pPr>
        <w:pStyle w:val="ListParagraph"/>
        <w:numPr>
          <w:ilvl w:val="1"/>
          <w:numId w:val="8"/>
        </w:numPr>
        <w:ind w:left="1800" w:hanging="450"/>
        <w:rPr>
          <w:lang w:val="en-CA"/>
        </w:rPr>
      </w:pPr>
      <w:r>
        <w:rPr>
          <w:u w:val="single"/>
          <w:lang w:val="en-CA"/>
        </w:rPr>
        <w:t xml:space="preserve">Characteristics of </w:t>
      </w:r>
      <w:r w:rsidRPr="00CB5E4F" w:rsidR="00E979C8">
        <w:rPr>
          <w:u w:val="single"/>
          <w:lang w:val="en-CA"/>
        </w:rPr>
        <w:t>HUD Assisted Renters and Their Units:</w:t>
      </w:r>
      <w:r w:rsidR="00E979C8">
        <w:rPr>
          <w:lang w:val="en-CA"/>
        </w:rPr>
        <w:t xml:space="preserve">  HUD produces a report detailing the housing conditions of HUD-assisted renters.  This report is based entirely on the AHS</w:t>
      </w:r>
      <w:r w:rsidR="00DC5D0B">
        <w:rPr>
          <w:lang w:val="en-CA"/>
        </w:rPr>
        <w:t xml:space="preserve"> responses of units that</w:t>
      </w:r>
      <w:r w:rsidR="009A7D0F">
        <w:rPr>
          <w:lang w:val="en-CA"/>
        </w:rPr>
        <w:t xml:space="preserve"> match to HUD administrative records of subsidized housing</w:t>
      </w:r>
      <w:r w:rsidR="00E979C8">
        <w:rPr>
          <w:lang w:val="en-CA"/>
        </w:rPr>
        <w:t>.</w:t>
      </w:r>
    </w:p>
    <w:p w:rsidR="00620A21" w:rsidP="00813152" w:rsidRDefault="00620A21" w14:paraId="723BD361" w14:textId="77777777">
      <w:pPr>
        <w:pStyle w:val="ListParagraph"/>
        <w:ind w:left="1800"/>
        <w:rPr>
          <w:lang w:val="en-CA"/>
        </w:rPr>
      </w:pPr>
    </w:p>
    <w:p w:rsidR="00620A21" w:rsidP="00813152" w:rsidRDefault="00620A21" w14:paraId="7C29189C" w14:textId="77777777">
      <w:pPr>
        <w:pStyle w:val="ListParagraph"/>
        <w:numPr>
          <w:ilvl w:val="1"/>
          <w:numId w:val="8"/>
        </w:numPr>
        <w:ind w:left="1800" w:hanging="450"/>
      </w:pPr>
      <w:r w:rsidRPr="00813152">
        <w:rPr>
          <w:u w:val="single"/>
          <w:lang w:val="en-CA"/>
        </w:rPr>
        <w:lastRenderedPageBreak/>
        <w:t>Housing Program Monitoring:</w:t>
      </w:r>
      <w:r>
        <w:rPr>
          <w:lang w:val="en-CA"/>
        </w:rPr>
        <w:t xml:space="preserve">  AHS </w:t>
      </w:r>
      <w:r>
        <w:t>data is used to evaluate, monitor, and design the HUD programs to improve efficiency and effectiveness.  From a HUD policy perspective, the AHS data have proved valuable in analyzing the potential effects of program design and redesign proposals.  Past data have enabled HUD, for instance, to determine under what conditions a moderate income, multifamily construction program might be needed and feasible; to examine the effect of low vacancy rates on housing maintenance and quality; and to evaluate how housing assistance programs help welfare recipients.</w:t>
      </w:r>
    </w:p>
    <w:p w:rsidRPr="00AC0084" w:rsidR="00620A21" w:rsidP="00813152" w:rsidRDefault="00620A21" w14:paraId="4FA219EC" w14:textId="77777777">
      <w:pPr>
        <w:pStyle w:val="ListParagraph"/>
        <w:rPr>
          <w:u w:val="single"/>
          <w:lang w:val="en-CA"/>
        </w:rPr>
      </w:pPr>
    </w:p>
    <w:p w:rsidRPr="00AC0084" w:rsidR="00E979C8" w:rsidP="00CB5E4F" w:rsidRDefault="00CB5E4F" w14:paraId="18C95950" w14:textId="18DC4E89">
      <w:pPr>
        <w:pStyle w:val="ListParagraph"/>
        <w:numPr>
          <w:ilvl w:val="1"/>
          <w:numId w:val="8"/>
        </w:numPr>
        <w:ind w:left="1800" w:hanging="450"/>
        <w:rPr>
          <w:lang w:val="en-CA"/>
        </w:rPr>
      </w:pPr>
      <w:r w:rsidRPr="00AC0084">
        <w:rPr>
          <w:u w:val="single"/>
          <w:lang w:val="en-CA"/>
        </w:rPr>
        <w:t xml:space="preserve">National </w:t>
      </w:r>
      <w:r w:rsidRPr="00AC0084" w:rsidR="00E979C8">
        <w:rPr>
          <w:u w:val="single"/>
          <w:lang w:val="en-CA"/>
        </w:rPr>
        <w:t xml:space="preserve">Housing Market </w:t>
      </w:r>
      <w:r w:rsidRPr="00AC0084">
        <w:rPr>
          <w:u w:val="single"/>
          <w:lang w:val="en-CA"/>
        </w:rPr>
        <w:t xml:space="preserve">Program of </w:t>
      </w:r>
      <w:r w:rsidRPr="00AC0084" w:rsidR="00E979C8">
        <w:rPr>
          <w:u w:val="single"/>
          <w:lang w:val="en-CA"/>
        </w:rPr>
        <w:t>Research</w:t>
      </w:r>
      <w:r w:rsidRPr="00AC0084">
        <w:rPr>
          <w:u w:val="single"/>
          <w:lang w:val="en-CA"/>
        </w:rPr>
        <w:t>:</w:t>
      </w:r>
      <w:r w:rsidRPr="00AC0084">
        <w:rPr>
          <w:lang w:val="en-CA"/>
        </w:rPr>
        <w:t xml:space="preserve">  HUD</w:t>
      </w:r>
      <w:r w:rsidR="00FC6D83">
        <w:rPr>
          <w:lang w:val="en-CA"/>
        </w:rPr>
        <w:t>’s Office of Policy Development and Research</w:t>
      </w:r>
      <w:r w:rsidRPr="00AC0084">
        <w:rPr>
          <w:lang w:val="en-CA"/>
        </w:rPr>
        <w:t xml:space="preserve"> </w:t>
      </w:r>
      <w:r w:rsidR="00FC6D83">
        <w:rPr>
          <w:lang w:val="en-CA"/>
        </w:rPr>
        <w:t>(</w:t>
      </w:r>
      <w:r w:rsidRPr="00AC0084">
        <w:rPr>
          <w:lang w:val="en-CA"/>
        </w:rPr>
        <w:t>PD&amp;R</w:t>
      </w:r>
      <w:r w:rsidR="00FC6D83">
        <w:rPr>
          <w:lang w:val="en-CA"/>
        </w:rPr>
        <w:t>)</w:t>
      </w:r>
      <w:r w:rsidRPr="00AC0084">
        <w:rPr>
          <w:lang w:val="en-CA"/>
        </w:rPr>
        <w:t xml:space="preserve"> continuously monitors the state of the </w:t>
      </w:r>
      <w:r w:rsidRPr="00AC0084" w:rsidR="00674871">
        <w:rPr>
          <w:lang w:val="en-CA"/>
        </w:rPr>
        <w:t xml:space="preserve">nation’s </w:t>
      </w:r>
      <w:r w:rsidRPr="00AC0084">
        <w:rPr>
          <w:lang w:val="en-CA"/>
        </w:rPr>
        <w:t xml:space="preserve">housing market.  </w:t>
      </w:r>
      <w:r w:rsidRPr="00AC0084" w:rsidR="00674871">
        <w:rPr>
          <w:lang w:val="en-CA"/>
        </w:rPr>
        <w:t xml:space="preserve">The AHS </w:t>
      </w:r>
      <w:proofErr w:type="gramStart"/>
      <w:r w:rsidRPr="00AC0084" w:rsidR="00674871">
        <w:rPr>
          <w:lang w:val="en-CA"/>
        </w:rPr>
        <w:t>contributes</w:t>
      </w:r>
      <w:proofErr w:type="gramEnd"/>
      <w:r w:rsidRPr="00AC0084" w:rsidR="00674871">
        <w:rPr>
          <w:lang w:val="en-CA"/>
        </w:rPr>
        <w:t xml:space="preserve"> to this effort by providing estimates of vacancy, </w:t>
      </w:r>
      <w:r w:rsidRPr="00AC0084" w:rsidR="00AB0B5E">
        <w:rPr>
          <w:lang w:val="en-CA"/>
        </w:rPr>
        <w:t xml:space="preserve">financing types, </w:t>
      </w:r>
      <w:r w:rsidRPr="00AC0084" w:rsidR="00674871">
        <w:rPr>
          <w:lang w:val="en-CA"/>
        </w:rPr>
        <w:t>homeowner equity, and housing values, to name a few.</w:t>
      </w:r>
      <w:r w:rsidRPr="00AC0084">
        <w:rPr>
          <w:lang w:val="en-CA"/>
        </w:rPr>
        <w:t xml:space="preserve"> </w:t>
      </w:r>
    </w:p>
    <w:p w:rsidRPr="00A00B1B" w:rsidR="00A00B1B" w:rsidP="00297577" w:rsidRDefault="00A00B1B" w14:paraId="7F741F16" w14:textId="77777777">
      <w:pPr>
        <w:rPr>
          <w:lang w:val="en-CA"/>
        </w:rPr>
      </w:pPr>
    </w:p>
    <w:p w:rsidR="00620A21" w:rsidP="00CB5E4F" w:rsidRDefault="00620A21" w14:paraId="24D984B5" w14:textId="77777777">
      <w:pPr>
        <w:pStyle w:val="ListParagraph"/>
        <w:numPr>
          <w:ilvl w:val="1"/>
          <w:numId w:val="8"/>
        </w:numPr>
        <w:ind w:left="1800" w:hanging="450"/>
        <w:rPr>
          <w:lang w:val="en-CA"/>
        </w:rPr>
      </w:pPr>
      <w:r>
        <w:rPr>
          <w:u w:val="single"/>
          <w:lang w:val="en-CA"/>
        </w:rPr>
        <w:t>Regional and Local Housing Market Research:</w:t>
      </w:r>
      <w:r>
        <w:rPr>
          <w:lang w:val="en-CA"/>
        </w:rPr>
        <w:t xml:space="preserve">  HUD PD&amp;R use the AHS data </w:t>
      </w:r>
      <w:r w:rsidR="00F97CE3">
        <w:rPr>
          <w:lang w:val="en-CA"/>
        </w:rPr>
        <w:t xml:space="preserve">as one source of data </w:t>
      </w:r>
      <w:r>
        <w:rPr>
          <w:lang w:val="en-CA"/>
        </w:rPr>
        <w:t>for creating Comprehensive Housing Market Analys</w:t>
      </w:r>
      <w:r w:rsidR="00F97CE3">
        <w:rPr>
          <w:lang w:val="en-CA"/>
        </w:rPr>
        <w:t xml:space="preserve">es </w:t>
      </w:r>
      <w:r w:rsidR="00813152">
        <w:rPr>
          <w:lang w:val="en-CA"/>
        </w:rPr>
        <w:t xml:space="preserve">and other local housing market intelligence reports.  These reports help HUD field economists evaluate feasibility and market impacts of proposed multifamily assisted housing project investments.  </w:t>
      </w:r>
      <w:r w:rsidR="00F97CE3">
        <w:rPr>
          <w:lang w:val="en-CA"/>
        </w:rPr>
        <w:t xml:space="preserve"> </w:t>
      </w:r>
    </w:p>
    <w:p w:rsidRPr="00CB5E4F" w:rsidR="00CB5E4F" w:rsidP="00CB5E4F" w:rsidRDefault="00CB5E4F" w14:paraId="47C4D504" w14:textId="77777777">
      <w:pPr>
        <w:pStyle w:val="ListParagraph"/>
        <w:rPr>
          <w:lang w:val="en-CA"/>
        </w:rPr>
      </w:pPr>
    </w:p>
    <w:p w:rsidRPr="00AB0B5E" w:rsidR="00CB5E4F" w:rsidP="00CB5E4F" w:rsidRDefault="00CB5E4F" w14:paraId="652CDC4F" w14:textId="77777777">
      <w:pPr>
        <w:pStyle w:val="ListParagraph"/>
        <w:numPr>
          <w:ilvl w:val="1"/>
          <w:numId w:val="8"/>
        </w:numPr>
        <w:ind w:left="1800" w:hanging="450"/>
        <w:rPr>
          <w:lang w:val="en-CA"/>
        </w:rPr>
      </w:pPr>
      <w:r w:rsidRPr="00CB5E4F">
        <w:rPr>
          <w:u w:val="single"/>
          <w:lang w:val="en-CA"/>
        </w:rPr>
        <w:t>Affordable Housing Program of Research:</w:t>
      </w:r>
      <w:r>
        <w:rPr>
          <w:lang w:val="en-CA"/>
        </w:rPr>
        <w:t xml:space="preserve">  HUD PD&amp;R uses the AHS to </w:t>
      </w:r>
      <w:r>
        <w:t>conduct research on the number of affordable rental units in the housing stock and the degree to which rents are affordable to low- and moderate-income families and to very-low-income families</w:t>
      </w:r>
      <w:r w:rsidR="00674871">
        <w:t>.</w:t>
      </w:r>
    </w:p>
    <w:p w:rsidRPr="00AB0B5E" w:rsidR="00AB0B5E" w:rsidP="00AB0B5E" w:rsidRDefault="00AB0B5E" w14:paraId="050CA516" w14:textId="77777777">
      <w:pPr>
        <w:pStyle w:val="ListParagraph"/>
        <w:rPr>
          <w:lang w:val="en-CA"/>
        </w:rPr>
      </w:pPr>
    </w:p>
    <w:p w:rsidRPr="000B6804" w:rsidR="00AB0B5E" w:rsidP="00CB5E4F" w:rsidRDefault="00AB0B5E" w14:paraId="5125DD10" w14:textId="3CF2C548">
      <w:pPr>
        <w:pStyle w:val="ListParagraph"/>
        <w:numPr>
          <w:ilvl w:val="1"/>
          <w:numId w:val="8"/>
        </w:numPr>
        <w:ind w:left="1800" w:hanging="450"/>
        <w:rPr>
          <w:lang w:val="en-CA"/>
        </w:rPr>
      </w:pPr>
      <w:r w:rsidRPr="00620A21">
        <w:rPr>
          <w:u w:val="single"/>
          <w:lang w:val="en-CA"/>
        </w:rPr>
        <w:t xml:space="preserve">Housing </w:t>
      </w:r>
      <w:r w:rsidRPr="00620A21" w:rsidR="008F1347">
        <w:rPr>
          <w:u w:val="single"/>
          <w:lang w:val="en-CA"/>
        </w:rPr>
        <w:t xml:space="preserve">and </w:t>
      </w:r>
      <w:r w:rsidRPr="00620A21">
        <w:rPr>
          <w:u w:val="single"/>
          <w:lang w:val="en-CA"/>
        </w:rPr>
        <w:t>Demographic</w:t>
      </w:r>
      <w:r w:rsidRPr="00620A21" w:rsidR="008F1347">
        <w:rPr>
          <w:u w:val="single"/>
          <w:lang w:val="en-CA"/>
        </w:rPr>
        <w:t>s</w:t>
      </w:r>
      <w:r w:rsidRPr="00620A21">
        <w:rPr>
          <w:u w:val="single"/>
          <w:lang w:val="en-CA"/>
        </w:rPr>
        <w:t xml:space="preserve"> Program of Research:</w:t>
      </w:r>
      <w:r>
        <w:rPr>
          <w:lang w:val="en-CA"/>
        </w:rPr>
        <w:t xml:space="preserve">  HUD PD&amp;R uses the AHS to conduct research on demographic distributions by types of housing units.  </w:t>
      </w:r>
      <w:r w:rsidR="008F1347">
        <w:rPr>
          <w:lang w:val="en-CA"/>
        </w:rPr>
        <w:t xml:space="preserve">Of particular interest are housing choices by </w:t>
      </w:r>
      <w:r w:rsidR="008F1347">
        <w:t xml:space="preserve">low-income female householders, minorities, first-time </w:t>
      </w:r>
      <w:r w:rsidR="00785077">
        <w:t>homebuyers</w:t>
      </w:r>
      <w:r w:rsidR="008F1347">
        <w:t>, the elderly, and households nearing retirement.</w:t>
      </w:r>
    </w:p>
    <w:p w:rsidR="00674871" w:rsidP="000B6804" w:rsidRDefault="00674871" w14:paraId="349E7EC3" w14:textId="272F97DC">
      <w:pPr>
        <w:pStyle w:val="ListParagraph"/>
        <w:rPr>
          <w:lang w:val="en-CA"/>
        </w:rPr>
      </w:pPr>
    </w:p>
    <w:p w:rsidRPr="00674871" w:rsidR="00E84473" w:rsidP="000B6804" w:rsidRDefault="00E84473" w14:paraId="67E18CB1" w14:textId="77777777">
      <w:pPr>
        <w:pStyle w:val="ListParagraph"/>
        <w:rPr>
          <w:lang w:val="en-CA"/>
        </w:rPr>
      </w:pPr>
    </w:p>
    <w:p w:rsidR="00A44FBE" w:rsidP="00FA2FA2" w:rsidRDefault="00A44FBE" w14:paraId="3F71D169" w14:textId="77777777">
      <w:pPr>
        <w:pStyle w:val="ListParagraph"/>
        <w:numPr>
          <w:ilvl w:val="0"/>
          <w:numId w:val="30"/>
        </w:numPr>
      </w:pPr>
      <w:r>
        <w:t>Core Modules Uses</w:t>
      </w:r>
      <w:r w:rsidR="00212F9A">
        <w:t xml:space="preserve"> </w:t>
      </w:r>
      <w:r w:rsidR="00AB0B5E">
        <w:t xml:space="preserve">External </w:t>
      </w:r>
      <w:r w:rsidR="00D21F74">
        <w:t>to</w:t>
      </w:r>
      <w:r w:rsidR="00212F9A">
        <w:t xml:space="preserve"> HUD</w:t>
      </w:r>
    </w:p>
    <w:p w:rsidR="00BE23AE" w:rsidP="002977DE" w:rsidRDefault="00BE23AE" w14:paraId="0C7B896E" w14:textId="77777777">
      <w:pPr>
        <w:pStyle w:val="ListParagraph"/>
        <w:ind w:left="1715"/>
      </w:pPr>
    </w:p>
    <w:p w:rsidRPr="006A3886" w:rsidR="00E1001F" w:rsidP="00FA2FA2" w:rsidRDefault="00A44FBE" w14:paraId="7A540418" w14:textId="1D1639AC">
      <w:pPr>
        <w:tabs>
          <w:tab w:val="left" w:pos="432"/>
          <w:tab w:val="left" w:pos="720"/>
          <w:tab w:val="left" w:pos="864"/>
          <w:tab w:val="left" w:pos="1022"/>
          <w:tab w:val="left" w:pos="1296"/>
          <w:tab w:val="left" w:pos="1728"/>
          <w:tab w:val="left" w:pos="2160"/>
        </w:tabs>
        <w:ind w:left="1440"/>
        <w:rPr>
          <w:rStyle w:val="Hyperlink"/>
        </w:rPr>
      </w:pPr>
      <w:r w:rsidRPr="00341DBB">
        <w:rPr>
          <w:vanish/>
        </w:rPr>
        <w:t>Core Modules Uses</w:t>
      </w:r>
      <w:r w:rsidRPr="00341DBB">
        <w:rPr>
          <w:vanish/>
        </w:rPr>
        <w:cr/>
        <w:t>s:  ibility to their places of workn part of the current AHS sampletistical precision of national estimates wa</w:t>
      </w:r>
      <w:r>
        <w:t xml:space="preserve">National and local policy analysts, program managers, budget analysts, and Congressional staff use the AHS data to advise executive and legislative branches about housing conditions and the suitability of policy initiatives.  Academic researchers and private organizations also use the AHS data in efforts of specific interest and concern to their respective communities. </w:t>
      </w:r>
    </w:p>
    <w:p w:rsidR="00E92293" w:rsidP="006A3886" w:rsidRDefault="00E92293" w14:paraId="042E0356" w14:textId="4B292D7C">
      <w:pPr>
        <w:spacing w:before="240"/>
        <w:ind w:left="1440"/>
      </w:pPr>
      <w:r>
        <w:t xml:space="preserve">Data from the </w:t>
      </w:r>
      <w:r w:rsidR="00D21F74">
        <w:t xml:space="preserve">AHS is </w:t>
      </w:r>
      <w:r>
        <w:t xml:space="preserve">the major source of estimates of the space-rental value of housing (a component of personal consumption expenditures) and of the rental </w:t>
      </w:r>
      <w:r>
        <w:lastRenderedPageBreak/>
        <w:t>income of persons (a component of both personal income and national income).  The Bureau of Economic Analysis (BEA) uses the AHS data in preparing metropolitan income and product accounts. The specific data that the BEA uses are those defining farm or nonfarm location, type of housing unit, occupancy status, tenure of the occupant, and the expenditures related to housing (rent, utilities, mortgage, and so on).  Another use of the AHS data is to evaluate the housing program benefits reported on the Current Population Survey (CPS) and the Survey of Income and Program Participation (SIPP).  The Energy Information Administration of the Department of Energy</w:t>
      </w:r>
      <w:r w:rsidR="00AD105E">
        <w:t xml:space="preserve"> (EIA)</w:t>
      </w:r>
      <w:r>
        <w:t xml:space="preserve"> issues an annual report “Annual Energy Review” using the heating fuel data collected in AHS</w:t>
      </w:r>
      <w:r w:rsidR="00951358">
        <w:t xml:space="preserve"> (</w:t>
      </w:r>
      <w:r w:rsidRPr="007B2F37" w:rsidR="00951358">
        <w:t>http://www.eia.gov/totalenergy/data/annual/</w:t>
      </w:r>
      <w:r w:rsidR="00951358">
        <w:t>)</w:t>
      </w:r>
      <w:r>
        <w:t xml:space="preserve">. </w:t>
      </w:r>
    </w:p>
    <w:p w:rsidR="00E92293" w:rsidP="00297577" w:rsidRDefault="00CB5E4F" w14:paraId="74429C08" w14:textId="69CDA394">
      <w:pPr>
        <w:spacing w:before="240"/>
        <w:ind w:left="1440"/>
      </w:pPr>
      <w:r>
        <w:t xml:space="preserve">Data from the AHS are the primary input into </w:t>
      </w:r>
      <w:r w:rsidR="00674871">
        <w:t>Harvard’s Joint Center for Housing Studies estimate of the size of the remodeling market</w:t>
      </w:r>
      <w:r w:rsidR="00350FAB">
        <w:t xml:space="preserve"> (</w:t>
      </w:r>
      <w:r w:rsidRPr="007B2F37" w:rsidR="00350FAB">
        <w:t>http://www.jchs.harvard.edu/research/remodeling-futures</w:t>
      </w:r>
      <w:r w:rsidR="00350FAB">
        <w:t>)</w:t>
      </w:r>
      <w:r w:rsidR="00674871">
        <w:t>.</w:t>
      </w:r>
    </w:p>
    <w:p w:rsidR="00F71F97" w:rsidRDefault="00F71F97" w14:paraId="3A68DC0A" w14:textId="77777777"/>
    <w:p w:rsidR="000E31A3" w:rsidRDefault="000E31A3" w14:paraId="0013E45E" w14:textId="4FCFFCEE"/>
    <w:p w:rsidR="00924430" w:rsidP="00FA2FA2" w:rsidRDefault="00EE7C0F" w14:paraId="63CE2C25" w14:textId="0C60FE99">
      <w:pPr>
        <w:pStyle w:val="ListParagraph"/>
        <w:numPr>
          <w:ilvl w:val="0"/>
          <w:numId w:val="30"/>
        </w:numPr>
      </w:pPr>
      <w:r>
        <w:t>Supplemental</w:t>
      </w:r>
      <w:r w:rsidR="00924430">
        <w:t xml:space="preserve"> Module Needs</w:t>
      </w:r>
      <w:r w:rsidR="00A44FBE">
        <w:t xml:space="preserve"> and Potential Uses</w:t>
      </w:r>
    </w:p>
    <w:p w:rsidR="00924430" w:rsidP="002977DE" w:rsidRDefault="00924430" w14:paraId="77807057" w14:textId="77777777">
      <w:pPr>
        <w:ind w:left="1341"/>
      </w:pPr>
    </w:p>
    <w:p w:rsidR="000E31A3" w:rsidP="003C3DEE" w:rsidRDefault="00C11B85" w14:paraId="5CF45824" w14:textId="7DECFB18">
      <w:pPr>
        <w:ind w:left="1440"/>
      </w:pPr>
      <w:r w:rsidRPr="00D87439">
        <w:t xml:space="preserve">New data are being collected in the </w:t>
      </w:r>
      <w:r>
        <w:t xml:space="preserve">2021 </w:t>
      </w:r>
      <w:r w:rsidRPr="00D87439">
        <w:t>survey on</w:t>
      </w:r>
      <w:r w:rsidRPr="00FF6FDA">
        <w:t xml:space="preserve"> </w:t>
      </w:r>
      <w:r w:rsidR="00421228">
        <w:rPr>
          <w:iCs/>
        </w:rPr>
        <w:t>whether the respondent plans to move</w:t>
      </w:r>
      <w:r>
        <w:t>, the renter housing s</w:t>
      </w:r>
      <w:r w:rsidRPr="00384F51">
        <w:t>earch</w:t>
      </w:r>
      <w:r>
        <w:t xml:space="preserve"> process, housing characteristics that increase wildfire risk, household pets, </w:t>
      </w:r>
      <w:r w:rsidRPr="00384F51">
        <w:t>delinquent payments and notices for mortgage, rent, or utility bills</w:t>
      </w:r>
      <w:r w:rsidR="00786474">
        <w:t>, and smoking</w:t>
      </w:r>
      <w:r>
        <w:t xml:space="preserve">. </w:t>
      </w:r>
      <w:r w:rsidRPr="00D87439" w:rsidR="0038748E">
        <w:t xml:space="preserve">We will collect this data in the following </w:t>
      </w:r>
      <w:r w:rsidR="00335178">
        <w:t>f</w:t>
      </w:r>
      <w:r w:rsidR="0023728C">
        <w:t>ive</w:t>
      </w:r>
      <w:r w:rsidR="00EC6F05">
        <w:t xml:space="preserve"> </w:t>
      </w:r>
      <w:r w:rsidRPr="00D87439" w:rsidR="0038748E">
        <w:t>modules</w:t>
      </w:r>
      <w:r w:rsidRPr="00D87439" w:rsidR="000607D3">
        <w:t>.</w:t>
      </w:r>
      <w:r w:rsidR="000E31A3">
        <w:t xml:space="preserve">  </w:t>
      </w:r>
    </w:p>
    <w:p w:rsidRPr="00240A5D" w:rsidR="007407A2" w:rsidP="00846998" w:rsidRDefault="004963EF" w14:paraId="3C74AE65" w14:textId="20E11698">
      <w:pPr>
        <w:pStyle w:val="NormalWeb"/>
        <w:numPr>
          <w:ilvl w:val="0"/>
          <w:numId w:val="11"/>
        </w:numPr>
      </w:pPr>
      <w:r>
        <w:rPr>
          <w:u w:val="single"/>
        </w:rPr>
        <w:t>Intent to Move</w:t>
      </w:r>
      <w:r w:rsidRPr="00B134AE" w:rsidR="008848EF">
        <w:rPr>
          <w:u w:val="single"/>
        </w:rPr>
        <w:t xml:space="preserve"> </w:t>
      </w:r>
      <w:r w:rsidRPr="00B134AE" w:rsidR="00335178">
        <w:rPr>
          <w:u w:val="single"/>
        </w:rPr>
        <w:t>Module:</w:t>
      </w:r>
      <w:r w:rsidRPr="004963EF">
        <w:t xml:space="preserve"> </w:t>
      </w:r>
      <w:r>
        <w:t xml:space="preserve"> </w:t>
      </w:r>
      <w:r w:rsidRPr="004963EF" w:rsidR="00335178">
        <w:t xml:space="preserve"> </w:t>
      </w:r>
      <w:r w:rsidRPr="00240A5D" w:rsidR="005D6D02">
        <w:t xml:space="preserve">Virtually no other surveys </w:t>
      </w:r>
      <w:proofErr w:type="gramStart"/>
      <w:r w:rsidRPr="00240A5D" w:rsidR="005D6D02">
        <w:t>have the ability to</w:t>
      </w:r>
      <w:proofErr w:type="gramEnd"/>
      <w:r w:rsidRPr="00240A5D" w:rsidR="005D6D02">
        <w:t xml:space="preserve"> ask people if they intend to move, then actually measure whether they moved.</w:t>
      </w:r>
      <w:r w:rsidRPr="00240A5D" w:rsidR="00590D83">
        <w:t xml:space="preserve"> </w:t>
      </w:r>
      <w:r w:rsidRPr="00240A5D" w:rsidR="005D6D02">
        <w:t>Including these questions in the AHS will help determine if intent-based moving questions have validity.</w:t>
      </w:r>
    </w:p>
    <w:p w:rsidR="009F7842" w:rsidP="00B134AE" w:rsidRDefault="00423EFC" w14:paraId="386C1CE4" w14:textId="7CC5C514">
      <w:pPr>
        <w:pStyle w:val="NormalWeb"/>
        <w:numPr>
          <w:ilvl w:val="0"/>
          <w:numId w:val="11"/>
        </w:numPr>
        <w:spacing w:before="240" w:beforeAutospacing="0"/>
      </w:pPr>
      <w:r w:rsidRPr="00423EFC">
        <w:rPr>
          <w:u w:val="single"/>
        </w:rPr>
        <w:t xml:space="preserve">Expanded Renter </w:t>
      </w:r>
      <w:r w:rsidRPr="00423EFC" w:rsidR="007F04FF">
        <w:rPr>
          <w:u w:val="single"/>
        </w:rPr>
        <w:t>H</w:t>
      </w:r>
      <w:r w:rsidR="007F04FF">
        <w:rPr>
          <w:u w:val="single"/>
        </w:rPr>
        <w:t xml:space="preserve">ousing Search </w:t>
      </w:r>
      <w:r w:rsidRPr="00A97EA4" w:rsidR="00A97EA4">
        <w:rPr>
          <w:u w:val="single"/>
        </w:rPr>
        <w:t>Module</w:t>
      </w:r>
      <w:r w:rsidR="00B134AE">
        <w:t>:</w:t>
      </w:r>
      <w:r w:rsidR="005D6D02">
        <w:t xml:space="preserve"> </w:t>
      </w:r>
      <w:r w:rsidRPr="00240A5D" w:rsidR="005D6D02">
        <w:t>This will become a very important series of questions during the pandemic recovery. Many renters may have suffered reductions in their credit scores due to job loss. We are interested in whether they will have difficulty finding rental housing.</w:t>
      </w:r>
      <w:r w:rsidR="00A97EA4">
        <w:t xml:space="preserve">   </w:t>
      </w:r>
    </w:p>
    <w:p w:rsidR="00240A5D" w:rsidP="00240A5D" w:rsidRDefault="007F04FF" w14:paraId="15B2B911" w14:textId="77777777">
      <w:pPr>
        <w:pStyle w:val="ListParagraph"/>
        <w:numPr>
          <w:ilvl w:val="0"/>
          <w:numId w:val="11"/>
        </w:numPr>
        <w:spacing w:before="240"/>
      </w:pPr>
      <w:r>
        <w:rPr>
          <w:u w:val="single"/>
        </w:rPr>
        <w:t>Wildfire Risk</w:t>
      </w:r>
      <w:r w:rsidRPr="009F7842" w:rsidR="009F7842">
        <w:rPr>
          <w:u w:val="single"/>
        </w:rPr>
        <w:t xml:space="preserve"> Module:</w:t>
      </w:r>
      <w:r w:rsidR="00846998">
        <w:t xml:space="preserve">   </w:t>
      </w:r>
      <w:r w:rsidR="00FF4B29">
        <w:t xml:space="preserve">This module, developed with input from the National Fire Prevention Association, will be useful in analyzing housing characteristics that make housing units vulnerable to wildfires in areas </w:t>
      </w:r>
      <w:r w:rsidR="005C68EF">
        <w:t>at greater risk of wildfire</w:t>
      </w:r>
      <w:r w:rsidR="00FF4B29">
        <w:t>.</w:t>
      </w:r>
    </w:p>
    <w:p w:rsidRPr="00240A5D" w:rsidR="00240A5D" w:rsidP="00240A5D" w:rsidRDefault="00240A5D" w14:paraId="37A9C88E" w14:textId="77777777">
      <w:pPr>
        <w:pStyle w:val="ListParagraph"/>
        <w:spacing w:before="240"/>
        <w:ind w:left="1800"/>
      </w:pPr>
    </w:p>
    <w:p w:rsidR="00C94D42" w:rsidP="00240A5D" w:rsidRDefault="007F04FF" w14:paraId="46BF05C9" w14:textId="19691D16">
      <w:pPr>
        <w:pStyle w:val="ListParagraph"/>
        <w:numPr>
          <w:ilvl w:val="0"/>
          <w:numId w:val="11"/>
        </w:numPr>
        <w:spacing w:before="240"/>
      </w:pPr>
      <w:r w:rsidRPr="00240A5D">
        <w:rPr>
          <w:u w:val="single"/>
        </w:rPr>
        <w:t>Pets</w:t>
      </w:r>
      <w:r w:rsidRPr="00240A5D" w:rsidR="00C11B85">
        <w:rPr>
          <w:u w:val="single"/>
        </w:rPr>
        <w:t xml:space="preserve"> Module:</w:t>
      </w:r>
      <w:r w:rsidR="00846998">
        <w:t xml:space="preserve">  </w:t>
      </w:r>
      <w:r w:rsidR="00240A5D">
        <w:t xml:space="preserve">When the </w:t>
      </w:r>
      <w:proofErr w:type="gramStart"/>
      <w:r w:rsidR="00240A5D">
        <w:t>pets</w:t>
      </w:r>
      <w:proofErr w:type="gramEnd"/>
      <w:r w:rsidR="00240A5D">
        <w:t xml:space="preserve"> question was included in the 2017 AHS Disaster Preparedness module, HUD received a lot of interest in the AHS data. Further examination of the results revealed that the AHS estimates were not matching other major surveys, such as the GSS. In the interest of providing accurate </w:t>
      </w:r>
      <w:r w:rsidR="00240A5D">
        <w:lastRenderedPageBreak/>
        <w:t xml:space="preserve">data, we decided to replicate the results of the GSS. To do this, we adopted their questions about pet ownership, with a few changes. </w:t>
      </w:r>
    </w:p>
    <w:p w:rsidR="00846998" w:rsidP="00846998" w:rsidRDefault="00846998" w14:paraId="013AE184" w14:textId="77777777">
      <w:pPr>
        <w:pStyle w:val="ListParagraph"/>
        <w:numPr>
          <w:ilvl w:val="0"/>
          <w:numId w:val="11"/>
        </w:numPr>
        <w:spacing w:before="240"/>
        <w:contextualSpacing w:val="0"/>
      </w:pPr>
      <w:r>
        <w:rPr>
          <w:u w:val="single"/>
        </w:rPr>
        <w:t>Delinquent Payments and Notices Module</w:t>
      </w:r>
      <w:r w:rsidRPr="00341DBB">
        <w:rPr>
          <w:u w:val="single"/>
        </w:rPr>
        <w:t>:</w:t>
      </w:r>
      <w:r w:rsidRPr="004F4C67">
        <w:t xml:space="preserve">  The </w:t>
      </w:r>
      <w:r w:rsidRPr="00341DBB">
        <w:t>D</w:t>
      </w:r>
      <w:r>
        <w:t xml:space="preserve">elinquent Payments and Notices topical module is comprised of a subset of the questions from the 2013 AHS Doubled-Up Households module.  The original Doubled-Up Households module </w:t>
      </w:r>
      <w:r w:rsidRPr="00341DBB">
        <w:t>was created as a rotating topical module that collect</w:t>
      </w:r>
      <w:r>
        <w:t xml:space="preserve">ed data on </w:t>
      </w:r>
      <w:r w:rsidRPr="00341DBB">
        <w:t>people who had to temporarily move in with other households in the last year</w:t>
      </w:r>
      <w:r>
        <w:t>; w</w:t>
      </w:r>
      <w:r w:rsidRPr="00341DBB">
        <w:t>hy people left their previous homes to move in with other households</w:t>
      </w:r>
      <w:r>
        <w:t>;</w:t>
      </w:r>
      <w:r w:rsidRPr="00341DBB">
        <w:t xml:space="preserve"> and</w:t>
      </w:r>
      <w:r>
        <w:t>,</w:t>
      </w:r>
      <w:r w:rsidRPr="00341DBB">
        <w:t xml:space="preserve"> </w:t>
      </w:r>
      <w:r>
        <w:t xml:space="preserve">in </w:t>
      </w:r>
      <w:r w:rsidRPr="00341DBB">
        <w:t>wh</w:t>
      </w:r>
      <w:r>
        <w:t>at is now the Delinquent Payments and Notices module, wh</w:t>
      </w:r>
      <w:r w:rsidRPr="00341DBB">
        <w:t xml:space="preserve">ether </w:t>
      </w:r>
      <w:r>
        <w:t xml:space="preserve">people had to move </w:t>
      </w:r>
      <w:r w:rsidRPr="00341DBB">
        <w:t>due to lack of financial means or other support</w:t>
      </w:r>
      <w:r>
        <w:t xml:space="preserve"> and w</w:t>
      </w:r>
      <w:r w:rsidRPr="00341DBB">
        <w:t xml:space="preserve">here </w:t>
      </w:r>
      <w:r>
        <w:t xml:space="preserve">they </w:t>
      </w:r>
      <w:r w:rsidRPr="00341DBB">
        <w:t>would stay if they left the household.</w:t>
      </w:r>
      <w:r>
        <w:t xml:space="preserve">  The Delinquent Payments and Notices module was last included in the 2017 AHS.</w:t>
      </w:r>
    </w:p>
    <w:p w:rsidR="00846998" w:rsidP="00846998" w:rsidRDefault="00846998" w14:paraId="4AEA3C41" w14:textId="77777777">
      <w:pPr>
        <w:pStyle w:val="ListParagraph"/>
        <w:spacing w:before="240"/>
        <w:ind w:left="1800"/>
        <w:contextualSpacing w:val="0"/>
      </w:pPr>
      <w:r>
        <w:t xml:space="preserve">This module is related to HUD’s Strategic </w:t>
      </w:r>
      <w:r w:rsidRPr="00C623A5">
        <w:t>Goal 2</w:t>
      </w:r>
      <w:r>
        <w:t>,</w:t>
      </w:r>
      <w:r w:rsidRPr="00C623A5">
        <w:t xml:space="preserve"> </w:t>
      </w:r>
      <w:r>
        <w:t>“</w:t>
      </w:r>
      <w:r w:rsidRPr="00C623A5">
        <w:t>Meet the Need for Quality Affordable Rental Homes</w:t>
      </w:r>
      <w:r>
        <w:t xml:space="preserve">.”  </w:t>
      </w:r>
      <w:proofErr w:type="gramStart"/>
      <w:r>
        <w:t>In particular, Subgoal</w:t>
      </w:r>
      <w:proofErr w:type="gramEnd"/>
      <w:r>
        <w:t xml:space="preserve"> 2A is “End homelessness and substantially reduce the number of families and individuals</w:t>
      </w:r>
      <w:r w:rsidRPr="00C623A5">
        <w:t xml:space="preserve"> </w:t>
      </w:r>
      <w:r>
        <w:t>with severe housing needs.”  Doubling up is widely seen as a precursor to homelessness.</w:t>
      </w:r>
    </w:p>
    <w:p w:rsidR="00846998" w:rsidP="00846998" w:rsidRDefault="00846998" w14:paraId="43749B37" w14:textId="21AAC82E">
      <w:pPr>
        <w:pStyle w:val="ListParagraph"/>
        <w:spacing w:before="240"/>
        <w:ind w:left="1800"/>
        <w:contextualSpacing w:val="0"/>
      </w:pPr>
      <w:r>
        <w:t>HUD expects The Department of Education to be interested in the data produced by this module.  Children in temporary doubled-up conditions are considered homeless for the purposes of education policy, and efforts are made to ensure that these children attend the same schools as their housing situation changes.  The United State Interagency Council on Homelessness and the National Alliance to End Homelessness Research Institute each has expressed strong interest in the findings from this module.</w:t>
      </w:r>
    </w:p>
    <w:p w:rsidRPr="00786474" w:rsidR="00786474" w:rsidP="00786474" w:rsidRDefault="00786474" w14:paraId="2FCE5432" w14:textId="6E6122D4">
      <w:pPr>
        <w:pStyle w:val="ListParagraph"/>
        <w:numPr>
          <w:ilvl w:val="0"/>
          <w:numId w:val="11"/>
        </w:numPr>
        <w:spacing w:before="240"/>
        <w:contextualSpacing w:val="0"/>
        <w:rPr>
          <w:u w:val="single"/>
        </w:rPr>
      </w:pPr>
      <w:r>
        <w:rPr>
          <w:u w:val="single"/>
        </w:rPr>
        <w:t>Smoking Supplement</w:t>
      </w:r>
      <w:r w:rsidRPr="00786474">
        <w:rPr>
          <w:u w:val="single"/>
        </w:rPr>
        <w:t>:</w:t>
      </w:r>
      <w:r>
        <w:rPr>
          <w:u w:val="single"/>
        </w:rPr>
        <w:t xml:space="preserve"> </w:t>
      </w:r>
      <w:r>
        <w:t>These questions on the frequency of smoking in the home and secondhand smoke are important to help assess the impact of HUD’s smoke-free housing rule, which became effective in July 2018.  There have also been efforts to promote adoption of smoke-free policies in assisted MF housing, so the data would be important for that as well.  </w:t>
      </w:r>
    </w:p>
    <w:p w:rsidR="00F4672D" w:rsidP="00846998" w:rsidRDefault="00F4672D" w14:paraId="424C0FBF" w14:textId="77777777">
      <w:pPr>
        <w:pStyle w:val="ListParagraph"/>
        <w:spacing w:before="240"/>
        <w:ind w:left="1800"/>
        <w:contextualSpacing w:val="0"/>
      </w:pPr>
    </w:p>
    <w:p w:rsidR="00F4672D" w:rsidP="00F4672D" w:rsidRDefault="00F4672D" w14:paraId="5B7E8DE1" w14:textId="77777777">
      <w:pPr>
        <w:pStyle w:val="ListParagraph"/>
        <w:numPr>
          <w:ilvl w:val="0"/>
          <w:numId w:val="30"/>
        </w:numPr>
        <w:ind w:left="1350"/>
        <w:rPr>
          <w:u w:val="single"/>
        </w:rPr>
      </w:pPr>
      <w:r w:rsidRPr="003345E4">
        <w:rPr>
          <w:u w:val="single"/>
        </w:rPr>
        <w:t>Nonresponse Bias Incentives Experiment</w:t>
      </w:r>
    </w:p>
    <w:p w:rsidR="00F4672D" w:rsidP="00F4672D" w:rsidRDefault="00F4672D" w14:paraId="2115E302" w14:textId="77777777">
      <w:pPr>
        <w:ind w:left="1382"/>
        <w:rPr>
          <w:u w:val="single"/>
        </w:rPr>
      </w:pPr>
    </w:p>
    <w:p w:rsidR="00F4672D" w:rsidP="00F4672D" w:rsidRDefault="00F4672D" w14:paraId="5FB27747" w14:textId="77777777">
      <w:pPr>
        <w:pStyle w:val="ListParagraph"/>
        <w:ind w:left="1800"/>
      </w:pPr>
      <w:r>
        <w:t xml:space="preserve">As with many federal surveys, the AHS has experienced declining response rates, requiring increasing amounts of time and effort to reach the 80 percent response rate preferred by the Office of Management and Budget. </w:t>
      </w:r>
      <w:proofErr w:type="gramStart"/>
      <w:r>
        <w:t>In particular, response</w:t>
      </w:r>
      <w:proofErr w:type="gramEnd"/>
      <w:r>
        <w:t xml:space="preserve"> rates have declined from approximately 85 percent in the 2015 wave to 80.4 percent in the 2017 wave to 73.3 percent in the 2019 wave.</w:t>
      </w:r>
    </w:p>
    <w:p w:rsidR="00F4672D" w:rsidP="00F4672D" w:rsidRDefault="00F4672D" w14:paraId="5C96B76F" w14:textId="77777777">
      <w:pPr>
        <w:pStyle w:val="ListParagraph"/>
        <w:ind w:left="1800"/>
      </w:pPr>
    </w:p>
    <w:p w:rsidR="00F4672D" w:rsidP="00F4672D" w:rsidRDefault="00F4672D" w14:paraId="1D07F298" w14:textId="77777777">
      <w:pPr>
        <w:pStyle w:val="ListParagraph"/>
        <w:ind w:left="1800"/>
      </w:pPr>
      <w:r>
        <w:t xml:space="preserve">If the features we want to, but cannot, measure for </w:t>
      </w:r>
      <w:proofErr w:type="spellStart"/>
      <w:r>
        <w:t>nonresponders</w:t>
      </w:r>
      <w:proofErr w:type="spellEnd"/>
      <w:r>
        <w:t xml:space="preserve"> differ systematically from those of responders, nonresponse can lead to bias. The attached nonresponse bias memorandum (NRB Summary Memo Draft) </w:t>
      </w:r>
      <w:r>
        <w:lastRenderedPageBreak/>
        <w:t>presents multiple forms of evidence suggesting that AHS is at risk of nonresponse bias: responders and non-responders differ systematically on a range of attributes, and AHS estimates diverge from the equivalent quantities measured through the 2010 Census count.</w:t>
      </w:r>
    </w:p>
    <w:p w:rsidR="00F4672D" w:rsidP="00F4672D" w:rsidRDefault="00F4672D" w14:paraId="54F27FD1" w14:textId="77777777">
      <w:pPr>
        <w:pStyle w:val="ListParagraph"/>
        <w:ind w:left="1800"/>
      </w:pPr>
    </w:p>
    <w:p w:rsidR="00F4672D" w:rsidP="00F4672D" w:rsidRDefault="00F4672D" w14:paraId="761E6384" w14:textId="77777777">
      <w:pPr>
        <w:pStyle w:val="ListParagraph"/>
        <w:ind w:left="1800"/>
      </w:pPr>
      <w:r>
        <w:t xml:space="preserve">The purpose of this project is to determine whether and how the provision of unconditional, prepaid cash incentives included in advance letters can reduce nonresponse bias. </w:t>
      </w:r>
      <w:r w:rsidRPr="00CF2A96">
        <w:t xml:space="preserve">The proposed incentive project will test whether </w:t>
      </w:r>
      <w:r>
        <w:t xml:space="preserve">targeting </w:t>
      </w:r>
      <w:r w:rsidRPr="00CF2A96">
        <w:t xml:space="preserve">differing levels of incentives ($0, $1, $5, and $10) </w:t>
      </w:r>
      <w:r>
        <w:t xml:space="preserve">to units in the integrated national sample both with </w:t>
      </w:r>
      <w:r w:rsidRPr="00CF2A96">
        <w:t xml:space="preserve">a high risk of non-response </w:t>
      </w:r>
      <w:r>
        <w:t xml:space="preserve">and likely to introduce bias </w:t>
      </w:r>
      <w:r w:rsidRPr="00CF2A96">
        <w:t xml:space="preserve">can successfully </w:t>
      </w:r>
      <w:r>
        <w:t xml:space="preserve">decrease </w:t>
      </w:r>
      <w:r w:rsidRPr="003345E4">
        <w:t>non</w:t>
      </w:r>
      <w:r w:rsidRPr="00CF2A96">
        <w:t xml:space="preserve">response bias. </w:t>
      </w:r>
    </w:p>
    <w:p w:rsidR="00F4672D" w:rsidP="00F4672D" w:rsidRDefault="00F4672D" w14:paraId="06DCC30E" w14:textId="77777777">
      <w:pPr>
        <w:pStyle w:val="ListParagraph"/>
        <w:ind w:left="1800"/>
      </w:pPr>
    </w:p>
    <w:p w:rsidRPr="00CF2A96" w:rsidR="00F4672D" w:rsidP="00F4672D" w:rsidRDefault="00F4672D" w14:paraId="5E33AC8D" w14:textId="77777777">
      <w:pPr>
        <w:pStyle w:val="ListParagraph"/>
        <w:ind w:left="1800"/>
      </w:pPr>
      <w:r w:rsidRPr="00CF2A96">
        <w:t>The experimental design will text three main outcomes and three secondary outcomes. The three main outcomes are:</w:t>
      </w:r>
    </w:p>
    <w:p w:rsidRPr="00CF2A96" w:rsidR="00F4672D" w:rsidP="00F4672D" w:rsidRDefault="00F4672D" w14:paraId="7F6F8D76" w14:textId="77777777">
      <w:pPr>
        <w:pStyle w:val="ListParagraph"/>
        <w:ind w:left="1800"/>
      </w:pPr>
    </w:p>
    <w:p w:rsidRPr="00CF2A96" w:rsidR="00F4672D" w:rsidP="00F4672D" w:rsidRDefault="00F4672D" w14:paraId="7592EBD0" w14:textId="77777777">
      <w:pPr>
        <w:pStyle w:val="ListParagraph"/>
        <w:ind w:left="1800"/>
      </w:pPr>
      <w:r w:rsidRPr="00CF2A96">
        <w:t>1. The effect of propensity-determined allocation</w:t>
      </w:r>
      <w:r>
        <w:t xml:space="preserve"> of incentives</w:t>
      </w:r>
      <w:r w:rsidRPr="00CF2A96">
        <w:t xml:space="preserve"> on the difference in sample and population means of selected covariates</w:t>
      </w:r>
      <w:r>
        <w:t>, including both characteristics correlated with important outcomes and, where possible, important outcomes themselves</w:t>
      </w:r>
      <w:r w:rsidRPr="00CF2A96">
        <w:t>.</w:t>
      </w:r>
    </w:p>
    <w:p w:rsidRPr="00CF2A96" w:rsidR="00F4672D" w:rsidP="00F4672D" w:rsidRDefault="00F4672D" w14:paraId="206D85D2" w14:textId="77777777">
      <w:pPr>
        <w:pStyle w:val="ListParagraph"/>
        <w:ind w:left="1800"/>
      </w:pPr>
    </w:p>
    <w:p w:rsidRPr="00CF2A96" w:rsidR="00F4672D" w:rsidP="00F4672D" w:rsidRDefault="00F4672D" w14:paraId="24B39B7D" w14:textId="77777777">
      <w:pPr>
        <w:pStyle w:val="ListParagraph"/>
        <w:ind w:left="1800"/>
      </w:pPr>
      <w:r w:rsidRPr="00CF2A96">
        <w:t xml:space="preserve">2. The effect of propensity-determined allocation </w:t>
      </w:r>
      <w:r>
        <w:t xml:space="preserve">of incentives </w:t>
      </w:r>
      <w:r w:rsidRPr="00CF2A96">
        <w:t>on the response rate.</w:t>
      </w:r>
    </w:p>
    <w:p w:rsidRPr="00CF2A96" w:rsidR="00F4672D" w:rsidP="00F4672D" w:rsidRDefault="00F4672D" w14:paraId="1960C7DB" w14:textId="77777777">
      <w:pPr>
        <w:pStyle w:val="ListParagraph"/>
        <w:ind w:left="1800"/>
      </w:pPr>
    </w:p>
    <w:p w:rsidRPr="00CF2A96" w:rsidR="00F4672D" w:rsidP="00F4672D" w:rsidRDefault="00F4672D" w14:paraId="30DFCDF0" w14:textId="77777777">
      <w:pPr>
        <w:pStyle w:val="ListParagraph"/>
        <w:ind w:left="1800"/>
      </w:pPr>
      <w:r w:rsidRPr="00CF2A96">
        <w:t>3. The effect of a one-dollar change in incentive on the response rate.</w:t>
      </w:r>
    </w:p>
    <w:p w:rsidRPr="00CF2A96" w:rsidR="00F4672D" w:rsidP="00F4672D" w:rsidRDefault="00F4672D" w14:paraId="14EC3E91" w14:textId="77777777">
      <w:pPr>
        <w:pStyle w:val="ListParagraph"/>
        <w:ind w:left="1800"/>
      </w:pPr>
    </w:p>
    <w:p w:rsidRPr="00CF2A96" w:rsidR="00F4672D" w:rsidP="00F4672D" w:rsidRDefault="00F4672D" w14:paraId="4628F400" w14:textId="77777777">
      <w:pPr>
        <w:pStyle w:val="ListParagraph"/>
        <w:ind w:left="1800"/>
      </w:pPr>
      <w:r w:rsidRPr="00CF2A96">
        <w:t xml:space="preserve">Including incentives will not impact the overall respondent burden times. </w:t>
      </w:r>
    </w:p>
    <w:p w:rsidRPr="00CF2A96" w:rsidR="00F4672D" w:rsidP="00F4672D" w:rsidRDefault="00F4672D" w14:paraId="2C258E1A" w14:textId="77777777">
      <w:pPr>
        <w:pStyle w:val="ListParagraph"/>
        <w:ind w:left="1800"/>
      </w:pPr>
    </w:p>
    <w:p w:rsidRPr="003345E4" w:rsidR="00F4672D" w:rsidP="00F4672D" w:rsidRDefault="00F4672D" w14:paraId="37C936B7" w14:textId="77777777">
      <w:pPr>
        <w:pStyle w:val="BodyTextIndent3"/>
        <w:ind w:left="1800"/>
      </w:pPr>
      <w:r w:rsidRPr="00CF2A96">
        <w:t xml:space="preserve">The </w:t>
      </w:r>
      <w:r>
        <w:t xml:space="preserve">attached </w:t>
      </w:r>
      <w:r w:rsidRPr="00CF2A96">
        <w:t xml:space="preserve">Project Design </w:t>
      </w:r>
      <w:r>
        <w:t>Document</w:t>
      </w:r>
      <w:r w:rsidRPr="00CF2A96">
        <w:t xml:space="preserve"> describes </w:t>
      </w:r>
      <w:r>
        <w:t xml:space="preserve">in more detail the </w:t>
      </w:r>
      <w:r w:rsidRPr="00CF2A96">
        <w:t>intended test outcomes, sample design, protocol for data collection, and decision criteria.</w:t>
      </w:r>
    </w:p>
    <w:p w:rsidR="00EA1C99" w:rsidP="00300480" w:rsidRDefault="00EA1C99" w14:paraId="1683B2A2" w14:textId="77777777"/>
    <w:p w:rsidR="00E5505E" w:rsidP="0065587D" w:rsidRDefault="00C94D42" w14:paraId="789FF278" w14:textId="23B1BFCB">
      <w:pPr>
        <w:pStyle w:val="ListParagraph"/>
        <w:ind w:left="1413"/>
        <w:contextualSpacing w:val="0"/>
      </w:pPr>
      <w:r>
        <w:t>Finally, i</w:t>
      </w:r>
      <w:r w:rsidR="000B2AB7">
        <w:t>nformation quality assessment is an integral part of the pre</w:t>
      </w:r>
      <w:r w:rsidR="00FF248A">
        <w:t>-</w:t>
      </w:r>
      <w:r w:rsidR="000B2AB7">
        <w:t>dissemination review of information disseminated by the Census Bureau (fully described in the Census Bureau’s Information Quality Guidelines).  Information quality assurance is also integral to information collections conducted by the Census Bureau and is incorporated into the clearance process required by the Paperwork Reduction Act.</w:t>
      </w:r>
    </w:p>
    <w:p w:rsidR="00F03515" w:rsidP="002977DE" w:rsidRDefault="00F03515" w14:paraId="61BC4EAA" w14:textId="77777777">
      <w:pPr>
        <w:ind w:left="1341"/>
      </w:pPr>
    </w:p>
    <w:p w:rsidR="000B2AB7" w:rsidP="00606211" w:rsidRDefault="000B2AB7" w14:paraId="1022CBFE" w14:textId="77777777">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Use of Information Technology</w:t>
      </w:r>
    </w:p>
    <w:p w:rsidR="000B2AB7" w:rsidP="002977DE" w:rsidRDefault="000B2AB7" w14:paraId="21F888E5" w14:textId="77777777">
      <w:pPr>
        <w:ind w:left="333" w:firstLine="720"/>
      </w:pPr>
    </w:p>
    <w:p w:rsidR="000B2AB7" w:rsidP="002977DE" w:rsidRDefault="000B2AB7" w14:paraId="56A886D1" w14:textId="77777777">
      <w:pPr>
        <w:numPr>
          <w:ilvl w:val="0"/>
          <w:numId w:val="4"/>
        </w:numPr>
        <w:tabs>
          <w:tab w:val="clear" w:pos="1368"/>
          <w:tab w:val="left" w:pos="432"/>
          <w:tab w:val="left" w:pos="720"/>
          <w:tab w:val="left" w:pos="864"/>
          <w:tab w:val="left" w:pos="1008"/>
          <w:tab w:val="left" w:pos="1296"/>
          <w:tab w:val="num" w:pos="1701"/>
          <w:tab w:val="left" w:pos="1728"/>
          <w:tab w:val="left" w:pos="2160"/>
        </w:tabs>
        <w:ind w:left="1701"/>
      </w:pPr>
      <w:r>
        <w:t>Data Collection</w:t>
      </w:r>
    </w:p>
    <w:p w:rsidR="000B2AB7" w:rsidP="002977DE" w:rsidRDefault="000B2AB7" w14:paraId="1A48E0A9" w14:textId="77777777">
      <w:pPr>
        <w:tabs>
          <w:tab w:val="left" w:pos="432"/>
          <w:tab w:val="left" w:pos="720"/>
          <w:tab w:val="left" w:pos="864"/>
          <w:tab w:val="left" w:pos="1008"/>
          <w:tab w:val="left" w:pos="1296"/>
          <w:tab w:val="left" w:pos="1368"/>
          <w:tab w:val="left" w:pos="1728"/>
          <w:tab w:val="left" w:pos="2160"/>
        </w:tabs>
        <w:ind w:left="333"/>
      </w:pPr>
    </w:p>
    <w:p w:rsidR="000B2AB7" w:rsidP="00FA2FA2" w:rsidRDefault="000B2AB7" w14:paraId="78DF79F9" w14:textId="43A11BB2">
      <w:pPr>
        <w:pStyle w:val="BodyTextIndent2"/>
        <w:tabs>
          <w:tab w:val="left" w:pos="432"/>
          <w:tab w:val="left" w:pos="720"/>
          <w:tab w:val="left" w:pos="864"/>
          <w:tab w:val="left" w:pos="1008"/>
          <w:tab w:val="left" w:pos="1296"/>
          <w:tab w:val="left" w:pos="1368"/>
          <w:tab w:val="left" w:pos="1728"/>
          <w:tab w:val="left" w:pos="2160"/>
        </w:tabs>
        <w:ind w:left="1710"/>
      </w:pPr>
      <w:r>
        <w:t xml:space="preserve">The U.S. Census Bureau began conducting all the AHS interviewing with computers with the 1997 AHS enumeration.  A Census Bureau </w:t>
      </w:r>
      <w:r w:rsidR="00394CE6">
        <w:t>Field Representative (</w:t>
      </w:r>
      <w:r>
        <w:t>FR</w:t>
      </w:r>
      <w:r w:rsidR="00394CE6">
        <w:t>)</w:t>
      </w:r>
      <w:r>
        <w:t xml:space="preserve"> conducts the interview </w:t>
      </w:r>
      <w:r w:rsidR="004C2428">
        <w:t>via a Blaise</w:t>
      </w:r>
      <w:r w:rsidR="00E84DAE">
        <w:t xml:space="preserve"> </w:t>
      </w:r>
      <w:r w:rsidR="00394CE6">
        <w:t xml:space="preserve">Computer Assisted </w:t>
      </w:r>
      <w:r w:rsidR="00394CE6">
        <w:lastRenderedPageBreak/>
        <w:t>Person Interview (</w:t>
      </w:r>
      <w:r w:rsidR="00E84DAE">
        <w:t>CAPI</w:t>
      </w:r>
      <w:r w:rsidR="00394CE6">
        <w:t>)</w:t>
      </w:r>
      <w:r w:rsidR="00E84DAE">
        <w:t xml:space="preserve"> instrument</w:t>
      </w:r>
      <w:r>
        <w:t>.</w:t>
      </w:r>
      <w:r w:rsidR="00DF61CA">
        <w:t xml:space="preserve">  The same survey instrument is used for all interviews.  However, the instrument code includes skip patterns and makes use of dependent interviewing techniques</w:t>
      </w:r>
      <w:r>
        <w:t xml:space="preserve">, which means that a few questions will not have to be asked in future enumerations </w:t>
      </w:r>
      <w:r w:rsidR="00E84DAE">
        <w:t xml:space="preserve">to </w:t>
      </w:r>
      <w:r>
        <w:t>decrease respondent burden for households in sample.</w:t>
      </w:r>
    </w:p>
    <w:p w:rsidR="000B2AB7" w:rsidP="00FA2FA2" w:rsidRDefault="000B2AB7" w14:paraId="305749B5" w14:textId="77777777">
      <w:pPr>
        <w:tabs>
          <w:tab w:val="left" w:pos="432"/>
          <w:tab w:val="left" w:pos="720"/>
          <w:tab w:val="left" w:pos="864"/>
          <w:tab w:val="left" w:pos="1008"/>
          <w:tab w:val="left" w:pos="1296"/>
          <w:tab w:val="left" w:pos="1368"/>
          <w:tab w:val="left" w:pos="1728"/>
          <w:tab w:val="left" w:pos="2160"/>
        </w:tabs>
        <w:ind w:left="1710"/>
      </w:pPr>
    </w:p>
    <w:p w:rsidR="00FA69D8" w:rsidP="00FA69D8" w:rsidRDefault="000B2AB7" w14:paraId="5B9ECC0B" w14:textId="0ED819AB">
      <w:pPr>
        <w:pStyle w:val="BodyTextIndent2"/>
        <w:tabs>
          <w:tab w:val="left" w:pos="432"/>
          <w:tab w:val="left" w:pos="720"/>
          <w:tab w:val="left" w:pos="864"/>
          <w:tab w:val="left" w:pos="1008"/>
          <w:tab w:val="left" w:pos="1296"/>
          <w:tab w:val="left" w:pos="1368"/>
          <w:tab w:val="left" w:pos="1728"/>
          <w:tab w:val="left" w:pos="2160"/>
        </w:tabs>
        <w:spacing w:after="240"/>
        <w:ind w:left="1710"/>
      </w:pPr>
      <w:r>
        <w:t xml:space="preserve">The AHS </w:t>
      </w:r>
      <w:r w:rsidR="001F2A21">
        <w:t xml:space="preserve">has </w:t>
      </w:r>
      <w:r>
        <w:t>not collect</w:t>
      </w:r>
      <w:r w:rsidR="001F2A21">
        <w:t>ed</w:t>
      </w:r>
      <w:r>
        <w:t xml:space="preserve"> data via the Internet or through the Electronic Data Interchange because of the significant investment in time and research needed to establish these types of electronic reporting in an ongoing survey.</w:t>
      </w:r>
      <w:r w:rsidRPr="001F2A21" w:rsidR="001F2A21">
        <w:t xml:space="preserve"> </w:t>
      </w:r>
      <w:r w:rsidR="001F2A21">
        <w:t>However, t</w:t>
      </w:r>
      <w:r w:rsidR="00765E64">
        <w:t>he Census Bureau</w:t>
      </w:r>
      <w:r w:rsidR="002D3F84">
        <w:t xml:space="preserve"> has plans to use</w:t>
      </w:r>
      <w:r w:rsidR="001F2A21">
        <w:t xml:space="preserve"> a</w:t>
      </w:r>
      <w:r w:rsidR="006546D2">
        <w:t xml:space="preserve"> multimode</w:t>
      </w:r>
      <w:r w:rsidR="001F2A21">
        <w:t xml:space="preserve"> Internet</w:t>
      </w:r>
      <w:r w:rsidR="006546D2">
        <w:t xml:space="preserve"> self-response and CAPI</w:t>
      </w:r>
      <w:r w:rsidR="001F2A21">
        <w:t xml:space="preserve"> survey </w:t>
      </w:r>
      <w:r w:rsidR="002D3F84">
        <w:t>in a future interview cycle</w:t>
      </w:r>
      <w:r w:rsidR="001F2A21">
        <w:t>.</w:t>
      </w:r>
    </w:p>
    <w:p w:rsidR="000B2AB7" w:rsidP="00AE3B03" w:rsidRDefault="000B2AB7" w14:paraId="6CF7F4BD" w14:textId="77777777">
      <w:pPr>
        <w:keepNext/>
        <w:keepLines/>
        <w:numPr>
          <w:ilvl w:val="0"/>
          <w:numId w:val="4"/>
        </w:numPr>
        <w:tabs>
          <w:tab w:val="clear" w:pos="1368"/>
          <w:tab w:val="num" w:pos="-270"/>
          <w:tab w:val="left" w:pos="1800"/>
        </w:tabs>
        <w:ind w:left="1701"/>
      </w:pPr>
      <w:r>
        <w:t>Data Dissemination</w:t>
      </w:r>
    </w:p>
    <w:p w:rsidR="000B2AB7" w:rsidP="00AE3B03" w:rsidRDefault="000B2AB7" w14:paraId="7F74EACC" w14:textId="77777777">
      <w:pPr>
        <w:pStyle w:val="Header"/>
        <w:keepNext/>
        <w:keepLines/>
        <w:tabs>
          <w:tab w:val="clear" w:pos="4320"/>
          <w:tab w:val="clear" w:pos="8640"/>
          <w:tab w:val="left" w:pos="432"/>
          <w:tab w:val="left" w:pos="720"/>
          <w:tab w:val="left" w:pos="864"/>
          <w:tab w:val="left" w:pos="1008"/>
          <w:tab w:val="left" w:pos="1296"/>
          <w:tab w:val="left" w:pos="1368"/>
          <w:tab w:val="left" w:pos="1728"/>
          <w:tab w:val="left" w:pos="2160"/>
        </w:tabs>
        <w:ind w:left="333"/>
      </w:pPr>
    </w:p>
    <w:p w:rsidR="00741E3D" w:rsidP="00AE3B03" w:rsidRDefault="0063330A" w14:paraId="436082C7" w14:textId="3A009108">
      <w:pPr>
        <w:pStyle w:val="BodyTextIndent2"/>
        <w:keepNext/>
        <w:keepLines/>
        <w:tabs>
          <w:tab w:val="left" w:pos="432"/>
          <w:tab w:val="left" w:pos="720"/>
          <w:tab w:val="left" w:pos="864"/>
          <w:tab w:val="left" w:pos="1008"/>
          <w:tab w:val="left" w:pos="1296"/>
          <w:tab w:val="left" w:pos="1368"/>
          <w:tab w:val="left" w:pos="1728"/>
          <w:tab w:val="left" w:pos="2160"/>
        </w:tabs>
        <w:ind w:left="1701"/>
      </w:pPr>
      <w:r>
        <w:t xml:space="preserve">The Census Bureau </w:t>
      </w:r>
      <w:r w:rsidR="006F6FC8">
        <w:t xml:space="preserve">currently makes </w:t>
      </w:r>
      <w:r w:rsidR="0050152F">
        <w:t xml:space="preserve">public-use </w:t>
      </w:r>
      <w:r w:rsidR="00944E84">
        <w:t xml:space="preserve">micro </w:t>
      </w:r>
      <w:r w:rsidR="006F6FC8">
        <w:t>data collected by</w:t>
      </w:r>
      <w:r w:rsidR="000B2AB7">
        <w:t xml:space="preserve"> the AHS available to the public on </w:t>
      </w:r>
      <w:r w:rsidR="002D3F84">
        <w:t xml:space="preserve">the </w:t>
      </w:r>
      <w:r>
        <w:t xml:space="preserve">Census Bureau </w:t>
      </w:r>
      <w:r w:rsidR="000B2AB7">
        <w:t>Internet Web site</w:t>
      </w:r>
      <w:r w:rsidR="00BC496D">
        <w:t xml:space="preserve"> at: </w:t>
      </w:r>
      <w:r w:rsidR="000B2AB7">
        <w:t xml:space="preserve">  </w:t>
      </w:r>
      <w:r w:rsidRPr="0063330A">
        <w:t xml:space="preserve"> </w:t>
      </w:r>
    </w:p>
    <w:p w:rsidR="00096DCA" w:rsidP="00AE3B03" w:rsidRDefault="00E109D6" w14:paraId="4DA10000" w14:textId="77777777">
      <w:pPr>
        <w:pStyle w:val="BodyTextIndent2"/>
        <w:keepNext/>
        <w:keepLines/>
        <w:tabs>
          <w:tab w:val="left" w:pos="432"/>
          <w:tab w:val="left" w:pos="720"/>
          <w:tab w:val="left" w:pos="864"/>
          <w:tab w:val="left" w:pos="1008"/>
          <w:tab w:val="left" w:pos="1296"/>
          <w:tab w:val="left" w:pos="1368"/>
          <w:tab w:val="left" w:pos="1728"/>
          <w:tab w:val="left" w:pos="2160"/>
        </w:tabs>
        <w:ind w:left="1701"/>
      </w:pPr>
      <w:hyperlink w:history="1" r:id="rId8">
        <w:r w:rsidRPr="00741E3D" w:rsidR="0063330A">
          <w:rPr>
            <w:rStyle w:val="Hyperlink"/>
          </w:rPr>
          <w:t>http://www.census.gov/programs-surveys/ahs</w:t>
        </w:r>
      </w:hyperlink>
    </w:p>
    <w:p w:rsidR="00096DCA" w:rsidP="00096DCA" w:rsidRDefault="00096DCA" w14:paraId="25579739" w14:textId="77777777">
      <w:pPr>
        <w:pStyle w:val="BodyTextIndent2"/>
        <w:tabs>
          <w:tab w:val="left" w:pos="432"/>
          <w:tab w:val="left" w:pos="720"/>
          <w:tab w:val="left" w:pos="864"/>
          <w:tab w:val="left" w:pos="1008"/>
          <w:tab w:val="left" w:pos="1296"/>
          <w:tab w:val="left" w:pos="1368"/>
          <w:tab w:val="left" w:pos="1728"/>
          <w:tab w:val="left" w:pos="2160"/>
        </w:tabs>
        <w:ind w:left="1701"/>
      </w:pPr>
    </w:p>
    <w:p w:rsidR="0077251A" w:rsidP="00096DCA" w:rsidRDefault="00574072" w14:paraId="242107F2" w14:textId="5C13C2DC">
      <w:pPr>
        <w:pStyle w:val="BodyTextIndent2"/>
        <w:tabs>
          <w:tab w:val="left" w:pos="432"/>
          <w:tab w:val="left" w:pos="720"/>
          <w:tab w:val="left" w:pos="864"/>
          <w:tab w:val="left" w:pos="1008"/>
          <w:tab w:val="left" w:pos="1296"/>
          <w:tab w:val="left" w:pos="1368"/>
          <w:tab w:val="left" w:pos="1728"/>
          <w:tab w:val="left" w:pos="2160"/>
        </w:tabs>
        <w:ind w:left="1701"/>
      </w:pPr>
      <w:r>
        <w:t xml:space="preserve">The Census Bureau </w:t>
      </w:r>
      <w:r w:rsidR="006546D2">
        <w:t xml:space="preserve">will </w:t>
      </w:r>
      <w:r>
        <w:t xml:space="preserve">make the </w:t>
      </w:r>
      <w:r w:rsidR="0054555B">
        <w:t xml:space="preserve">2021 </w:t>
      </w:r>
      <w:r>
        <w:t xml:space="preserve">AHS summary data available </w:t>
      </w:r>
      <w:r w:rsidR="00450DB7">
        <w:t>via the AHS Table Creator Tool</w:t>
      </w:r>
      <w:r w:rsidR="00EF6C0F">
        <w:t xml:space="preserve"> </w:t>
      </w:r>
      <w:r w:rsidR="001C6468">
        <w:t>(</w:t>
      </w:r>
      <w:r w:rsidRPr="00F743AD" w:rsidR="00365186">
        <w:t>http://</w:t>
      </w:r>
      <w:r w:rsidRPr="006546D2" w:rsidR="006546D2">
        <w:t>www.census.gov/programs-surveys/ahs/data/interactive/ahstablecreator.html</w:t>
      </w:r>
      <w:r w:rsidR="00365186">
        <w:t>)</w:t>
      </w:r>
      <w:r w:rsidR="00450DB7">
        <w:t xml:space="preserve">. </w:t>
      </w:r>
    </w:p>
    <w:p w:rsidR="008E3FB0" w:rsidP="003C6324" w:rsidRDefault="008E3FB0" w14:paraId="223A9234" w14:textId="77777777">
      <w:pPr>
        <w:pStyle w:val="BodyTextIndent2"/>
        <w:tabs>
          <w:tab w:val="left" w:pos="432"/>
          <w:tab w:val="left" w:pos="720"/>
          <w:tab w:val="left" w:pos="864"/>
          <w:tab w:val="left" w:pos="1008"/>
          <w:tab w:val="left" w:pos="1296"/>
          <w:tab w:val="left" w:pos="1368"/>
          <w:tab w:val="left" w:pos="1728"/>
          <w:tab w:val="left" w:pos="2160"/>
        </w:tabs>
      </w:pPr>
    </w:p>
    <w:p w:rsidR="006C0CE6" w:rsidP="004C103B" w:rsidRDefault="006C0CE6" w14:paraId="7B6B4EB2" w14:textId="77777777">
      <w:pPr>
        <w:pStyle w:val="BodyTextIndent2"/>
        <w:tabs>
          <w:tab w:val="left" w:pos="432"/>
          <w:tab w:val="left" w:pos="720"/>
          <w:tab w:val="left" w:pos="864"/>
          <w:tab w:val="left" w:pos="1008"/>
          <w:tab w:val="left" w:pos="1296"/>
          <w:tab w:val="left" w:pos="1368"/>
          <w:tab w:val="left" w:pos="1728"/>
          <w:tab w:val="left" w:pos="2160"/>
        </w:tabs>
        <w:ind w:left="1701"/>
      </w:pPr>
      <w:r>
        <w:t>T</w:t>
      </w:r>
      <w:r w:rsidRPr="006C0CE6">
        <w:t xml:space="preserve">he data being disseminated and released are not individually identifiable and will have been cleared for release/dissemination by the Census Bureau's Disclosure Review Board.  </w:t>
      </w:r>
    </w:p>
    <w:p w:rsidR="008E3FB0" w:rsidP="0087369A" w:rsidRDefault="008E3FB0" w14:paraId="3C078CB6" w14:textId="77777777">
      <w:pPr>
        <w:pStyle w:val="BodyTextIndent2"/>
        <w:tabs>
          <w:tab w:val="left" w:pos="432"/>
          <w:tab w:val="left" w:pos="720"/>
          <w:tab w:val="left" w:pos="864"/>
          <w:tab w:val="left" w:pos="1008"/>
          <w:tab w:val="left" w:pos="1296"/>
          <w:tab w:val="left" w:pos="1368"/>
          <w:tab w:val="left" w:pos="1728"/>
          <w:tab w:val="left" w:pos="2160"/>
        </w:tabs>
      </w:pPr>
    </w:p>
    <w:p w:rsidR="00F03515" w:rsidP="002977DE" w:rsidRDefault="00450DB7" w14:paraId="08AE0853" w14:textId="77777777">
      <w:pPr>
        <w:pStyle w:val="BodyTextIndent2"/>
        <w:tabs>
          <w:tab w:val="left" w:pos="432"/>
          <w:tab w:val="left" w:pos="720"/>
          <w:tab w:val="left" w:pos="864"/>
          <w:tab w:val="left" w:pos="1008"/>
          <w:tab w:val="left" w:pos="1296"/>
          <w:tab w:val="left" w:pos="1368"/>
          <w:tab w:val="left" w:pos="1728"/>
          <w:tab w:val="left" w:pos="2160"/>
        </w:tabs>
        <w:ind w:left="333"/>
      </w:pPr>
      <w:r>
        <w:t xml:space="preserve"> </w:t>
      </w:r>
    </w:p>
    <w:p w:rsidR="000B2AB7" w:rsidP="00096DCA" w:rsidRDefault="000B2AB7" w14:paraId="17820257" w14:textId="77777777">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Efforts to Identify Duplication</w:t>
      </w:r>
    </w:p>
    <w:p w:rsidR="000B2AB7" w:rsidP="002977DE" w:rsidRDefault="000B2AB7" w14:paraId="71A08132" w14:textId="77777777">
      <w:pPr>
        <w:ind w:left="333"/>
      </w:pPr>
    </w:p>
    <w:p w:rsidR="00F02076" w:rsidP="00FA2FA2" w:rsidRDefault="00F02076" w14:paraId="358940D8" w14:textId="77777777">
      <w:pPr>
        <w:pStyle w:val="Level1"/>
        <w:numPr>
          <w:ilvl w:val="0"/>
          <w:numId w:val="29"/>
        </w:numPr>
        <w:autoSpaceDE/>
        <w:autoSpaceDN/>
        <w:adjustRightInd/>
        <w:ind w:left="1773" w:hanging="423"/>
        <w:rPr>
          <w:rFonts w:ascii="Times New Roman" w:hAnsi="Times New Roman"/>
        </w:rPr>
      </w:pPr>
      <w:r>
        <w:rPr>
          <w:rFonts w:ascii="Times New Roman" w:hAnsi="Times New Roman"/>
        </w:rPr>
        <w:t>Duplication in the Core Modules</w:t>
      </w:r>
    </w:p>
    <w:p w:rsidR="00F02076" w:rsidP="002977DE" w:rsidRDefault="00F02076" w14:paraId="6D8964AD" w14:textId="77777777">
      <w:pPr>
        <w:pStyle w:val="Level1"/>
        <w:autoSpaceDE/>
        <w:autoSpaceDN/>
        <w:adjustRightInd/>
        <w:ind w:left="1773"/>
        <w:rPr>
          <w:rFonts w:ascii="Times New Roman" w:hAnsi="Times New Roman"/>
        </w:rPr>
      </w:pPr>
    </w:p>
    <w:p w:rsidR="000B2AB7" w:rsidP="002977DE" w:rsidRDefault="000B2AB7" w14:paraId="4AE82241" w14:textId="258D8FD8">
      <w:pPr>
        <w:pStyle w:val="Level1"/>
        <w:autoSpaceDE/>
        <w:autoSpaceDN/>
        <w:adjustRightInd/>
        <w:ind w:left="1773"/>
        <w:rPr>
          <w:rFonts w:ascii="Times New Roman" w:hAnsi="Times New Roman"/>
        </w:rPr>
      </w:pPr>
      <w:r>
        <w:rPr>
          <w:rFonts w:ascii="Times New Roman" w:hAnsi="Times New Roman"/>
        </w:rPr>
        <w:t xml:space="preserve">HUD consulted with other government agencies and determined that the AHS is the only data source with </w:t>
      </w:r>
      <w:r w:rsidR="00717CA3">
        <w:rPr>
          <w:rFonts w:ascii="Times New Roman" w:hAnsi="Times New Roman"/>
        </w:rPr>
        <w:t>both</w:t>
      </w:r>
      <w:r>
        <w:rPr>
          <w:rFonts w:ascii="Times New Roman" w:hAnsi="Times New Roman"/>
        </w:rPr>
        <w:t xml:space="preserve"> detailed information on the physical condition of the housing inventory and of rents of housing units.  Although housing data are collected as part of the American Community Survey (ACS) (Census Bureau), Consumer Expenditure Survey (CES) (Bureau of Labor Statistics), and the Residential Energy Consumption Survey (RECS) (Department of Energy), </w:t>
      </w:r>
      <w:r w:rsidR="00C437DF">
        <w:rPr>
          <w:rFonts w:ascii="Times New Roman" w:hAnsi="Times New Roman"/>
        </w:rPr>
        <w:t xml:space="preserve">neither of </w:t>
      </w:r>
      <w:r>
        <w:rPr>
          <w:rFonts w:ascii="Times New Roman" w:hAnsi="Times New Roman"/>
        </w:rPr>
        <w:t xml:space="preserve">these surveys provide the longitudinal data over a period of years </w:t>
      </w:r>
      <w:r w:rsidR="00E5505E">
        <w:rPr>
          <w:rFonts w:ascii="Times New Roman" w:hAnsi="Times New Roman"/>
        </w:rPr>
        <w:t>or</w:t>
      </w:r>
      <w:r>
        <w:rPr>
          <w:rFonts w:ascii="Times New Roman" w:hAnsi="Times New Roman"/>
        </w:rPr>
        <w:t xml:space="preserve"> the detailed information available from the AHS.  The CES collects housing cost data but does not collect detailed information on vacant units.  The RECS </w:t>
      </w:r>
      <w:proofErr w:type="gramStart"/>
      <w:r>
        <w:rPr>
          <w:rFonts w:ascii="Times New Roman" w:hAnsi="Times New Roman"/>
        </w:rPr>
        <w:t>does</w:t>
      </w:r>
      <w:proofErr w:type="gramEnd"/>
      <w:r>
        <w:rPr>
          <w:rFonts w:ascii="Times New Roman" w:hAnsi="Times New Roman"/>
        </w:rPr>
        <w:t xml:space="preserve"> not collect mortgage or detailed housing cost data.  Neither the ACS nor the RECS have detailed information on the physical condition of housing units or information on vacant units.  Thus, these datasets could not serve as substitutes for the measures produced by the AHS that detail worst case housing needs.</w:t>
      </w:r>
    </w:p>
    <w:p w:rsidR="000B2AB7" w:rsidP="002977DE" w:rsidRDefault="000B2AB7" w14:paraId="4676F68C" w14:textId="77777777">
      <w:pPr>
        <w:pStyle w:val="Level1"/>
        <w:autoSpaceDE/>
        <w:autoSpaceDN/>
        <w:adjustRightInd/>
        <w:ind w:left="1773"/>
        <w:rPr>
          <w:rFonts w:ascii="Times New Roman" w:hAnsi="Times New Roman"/>
        </w:rPr>
      </w:pPr>
    </w:p>
    <w:p w:rsidR="000B2AB7" w:rsidP="002977DE" w:rsidRDefault="000B2AB7" w14:paraId="5CDD3804" w14:textId="494BB720">
      <w:pPr>
        <w:pStyle w:val="Level1"/>
        <w:autoSpaceDE/>
        <w:autoSpaceDN/>
        <w:adjustRightInd/>
        <w:ind w:left="1773"/>
        <w:rPr>
          <w:rFonts w:ascii="Times New Roman" w:hAnsi="Times New Roman"/>
        </w:rPr>
      </w:pPr>
      <w:r>
        <w:rPr>
          <w:rFonts w:ascii="Times New Roman" w:hAnsi="Times New Roman"/>
        </w:rPr>
        <w:t xml:space="preserve">The purposes of the AHS and the other surveys cited above also differ according to the agency’s goals and objectives.  </w:t>
      </w:r>
      <w:r w:rsidR="00785077">
        <w:rPr>
          <w:rFonts w:ascii="Times New Roman" w:hAnsi="Times New Roman"/>
        </w:rPr>
        <w:t>Certainly,</w:t>
      </w:r>
      <w:r>
        <w:rPr>
          <w:rFonts w:ascii="Times New Roman" w:hAnsi="Times New Roman"/>
        </w:rPr>
        <w:t xml:space="preserve"> the HUD surveys involve personal/household behavior with respect to housing and community development issues.  </w:t>
      </w:r>
      <w:r w:rsidR="00785077">
        <w:rPr>
          <w:rFonts w:ascii="Times New Roman" w:hAnsi="Times New Roman"/>
        </w:rPr>
        <w:t>However,</w:t>
      </w:r>
      <w:r>
        <w:rPr>
          <w:rFonts w:ascii="Times New Roman" w:hAnsi="Times New Roman"/>
        </w:rPr>
        <w:t xml:space="preserve"> human behavior in general is conditional on fundamental familial, demographic, housing, and economic variables.  </w:t>
      </w:r>
      <w:r w:rsidR="009F4811">
        <w:rPr>
          <w:rFonts w:ascii="Times New Roman" w:hAnsi="Times New Roman"/>
        </w:rPr>
        <w:t>Generally</w:t>
      </w:r>
      <w:r>
        <w:rPr>
          <w:rFonts w:ascii="Times New Roman" w:hAnsi="Times New Roman"/>
        </w:rPr>
        <w:t xml:space="preserve">, HUD is not interested in the levels of individual variables, but in the relationships among variables.  Therefore, they must observe the values of the variables for the same individuals in the same sample to capture covariance structure.  (All multivariate statistical procedures rely on the covariance structure.)  The AHS </w:t>
      </w:r>
      <w:proofErr w:type="gramStart"/>
      <w:r>
        <w:rPr>
          <w:rFonts w:ascii="Times New Roman" w:hAnsi="Times New Roman"/>
        </w:rPr>
        <w:t>asks</w:t>
      </w:r>
      <w:proofErr w:type="gramEnd"/>
      <w:r>
        <w:rPr>
          <w:rFonts w:ascii="Times New Roman" w:hAnsi="Times New Roman"/>
        </w:rPr>
        <w:t xml:space="preserve"> about the same fundamental variables but goes further and asks numerous detailed questions about other aspects of housing consumption, finance, </w:t>
      </w:r>
      <w:r w:rsidR="003E5A34">
        <w:rPr>
          <w:rFonts w:ascii="Times New Roman" w:hAnsi="Times New Roman"/>
        </w:rPr>
        <w:t xml:space="preserve">and </w:t>
      </w:r>
      <w:r>
        <w:rPr>
          <w:rFonts w:ascii="Times New Roman" w:hAnsi="Times New Roman"/>
        </w:rPr>
        <w:t xml:space="preserve">moving.  </w:t>
      </w:r>
      <w:proofErr w:type="gramStart"/>
      <w:r>
        <w:rPr>
          <w:rFonts w:ascii="Times New Roman" w:hAnsi="Times New Roman"/>
        </w:rPr>
        <w:t>In order to</w:t>
      </w:r>
      <w:proofErr w:type="gramEnd"/>
      <w:r>
        <w:rPr>
          <w:rFonts w:ascii="Times New Roman" w:hAnsi="Times New Roman"/>
        </w:rPr>
        <w:t xml:space="preserve"> understand human behavior and detailed housing information, HUD needs to know how the fundamental housing variables </w:t>
      </w:r>
      <w:r w:rsidR="007B3C15">
        <w:rPr>
          <w:rFonts w:ascii="Times New Roman" w:hAnsi="Times New Roman"/>
        </w:rPr>
        <w:t xml:space="preserve">affect </w:t>
      </w:r>
      <w:r>
        <w:rPr>
          <w:rFonts w:ascii="Times New Roman" w:hAnsi="Times New Roman"/>
        </w:rPr>
        <w:t xml:space="preserve">or are related to the more detailed housing variables. It would make no sense to collect detailed information about housing cost burdens and mortgage financing if we had no idea about fundamental housing attributes such as size, value, or rent of the housing unit. </w:t>
      </w:r>
    </w:p>
    <w:p w:rsidR="000B7EDF" w:rsidP="002977DE" w:rsidRDefault="000B7EDF" w14:paraId="2DBAE585" w14:textId="77777777">
      <w:pPr>
        <w:pStyle w:val="Level1"/>
        <w:autoSpaceDE/>
        <w:autoSpaceDN/>
        <w:adjustRightInd/>
        <w:ind w:left="1773"/>
        <w:rPr>
          <w:rFonts w:ascii="Times New Roman" w:hAnsi="Times New Roman"/>
        </w:rPr>
      </w:pPr>
    </w:p>
    <w:p w:rsidR="000B7EDF" w:rsidP="002977DE" w:rsidRDefault="000B7EDF" w14:paraId="7603E0A7" w14:textId="68C370C3">
      <w:pPr>
        <w:pStyle w:val="Level1"/>
        <w:numPr>
          <w:ilvl w:val="0"/>
          <w:numId w:val="29"/>
        </w:numPr>
        <w:autoSpaceDE/>
        <w:autoSpaceDN/>
        <w:adjustRightInd/>
        <w:ind w:left="1773"/>
        <w:rPr>
          <w:rFonts w:ascii="Times New Roman" w:hAnsi="Times New Roman"/>
        </w:rPr>
      </w:pPr>
      <w:r>
        <w:rPr>
          <w:rFonts w:ascii="Times New Roman" w:hAnsi="Times New Roman"/>
        </w:rPr>
        <w:t xml:space="preserve">Duplication in the </w:t>
      </w:r>
      <w:r w:rsidR="00EE7C0F">
        <w:rPr>
          <w:rFonts w:ascii="Times New Roman" w:hAnsi="Times New Roman"/>
        </w:rPr>
        <w:t>Supplemental</w:t>
      </w:r>
      <w:r>
        <w:rPr>
          <w:rFonts w:ascii="Times New Roman" w:hAnsi="Times New Roman"/>
        </w:rPr>
        <w:t xml:space="preserve"> Modules</w:t>
      </w:r>
    </w:p>
    <w:p w:rsidR="000B7EDF" w:rsidP="002977DE" w:rsidRDefault="000B7EDF" w14:paraId="0DCE4F7F" w14:textId="77777777">
      <w:pPr>
        <w:pStyle w:val="Level1"/>
        <w:autoSpaceDE/>
        <w:autoSpaceDN/>
        <w:adjustRightInd/>
        <w:ind w:left="1773"/>
        <w:rPr>
          <w:rFonts w:ascii="Times New Roman" w:hAnsi="Times New Roman"/>
        </w:rPr>
      </w:pPr>
    </w:p>
    <w:p w:rsidR="00DF1423" w:rsidP="002977DE" w:rsidRDefault="00DF1423" w14:paraId="3ECC731C" w14:textId="47C8CF63">
      <w:pPr>
        <w:pStyle w:val="Level1"/>
        <w:autoSpaceDE/>
        <w:autoSpaceDN/>
        <w:adjustRightInd/>
        <w:ind w:left="1773"/>
        <w:rPr>
          <w:rFonts w:ascii="Times New Roman" w:hAnsi="Times New Roman"/>
        </w:rPr>
      </w:pPr>
      <w:r>
        <w:rPr>
          <w:rFonts w:ascii="Times New Roman" w:hAnsi="Times New Roman"/>
        </w:rPr>
        <w:t xml:space="preserve">HUD undertook considerable effort to determine if the </w:t>
      </w:r>
      <w:r w:rsidR="00EE7C0F">
        <w:rPr>
          <w:rFonts w:ascii="Times New Roman" w:hAnsi="Times New Roman"/>
        </w:rPr>
        <w:t>supplemental</w:t>
      </w:r>
      <w:r>
        <w:rPr>
          <w:rFonts w:ascii="Times New Roman" w:hAnsi="Times New Roman"/>
        </w:rPr>
        <w:t xml:space="preserve"> modules would be duplicative of existing surveys.  HUD’s conclusions are below</w:t>
      </w:r>
      <w:r w:rsidR="00D50C61">
        <w:rPr>
          <w:rFonts w:ascii="Times New Roman" w:hAnsi="Times New Roman"/>
        </w:rPr>
        <w:t>:</w:t>
      </w:r>
    </w:p>
    <w:p w:rsidR="00741E3D" w:rsidP="002977DE" w:rsidRDefault="00741E3D" w14:paraId="4468C6F3" w14:textId="77777777">
      <w:pPr>
        <w:pStyle w:val="Level1"/>
        <w:autoSpaceDE/>
        <w:autoSpaceDN/>
        <w:adjustRightInd/>
        <w:ind w:left="1773"/>
        <w:rPr>
          <w:rFonts w:ascii="Times New Roman" w:hAnsi="Times New Roman"/>
        </w:rPr>
      </w:pPr>
    </w:p>
    <w:p w:rsidRPr="00590D83" w:rsidR="004F36EC" w:rsidP="00E06F13" w:rsidRDefault="004963EF" w14:paraId="7995F885" w14:textId="28495AD9">
      <w:pPr>
        <w:pStyle w:val="ListParagraph"/>
        <w:numPr>
          <w:ilvl w:val="0"/>
          <w:numId w:val="34"/>
        </w:numPr>
        <w:ind w:left="2043" w:hanging="270"/>
      </w:pPr>
      <w:r>
        <w:rPr>
          <w:u w:val="single"/>
        </w:rPr>
        <w:t>Intent to Move</w:t>
      </w:r>
      <w:r w:rsidRPr="00E06F13" w:rsidR="00E06F13">
        <w:rPr>
          <w:u w:val="single"/>
        </w:rPr>
        <w:t xml:space="preserve"> </w:t>
      </w:r>
      <w:r w:rsidRPr="00E06F13" w:rsidR="004F36EC">
        <w:rPr>
          <w:u w:val="single"/>
        </w:rPr>
        <w:t xml:space="preserve">Module: </w:t>
      </w:r>
      <w:r>
        <w:t xml:space="preserve"> </w:t>
      </w:r>
      <w:r w:rsidR="005D6D02">
        <w:t xml:space="preserve">Virtually no other surveys </w:t>
      </w:r>
      <w:proofErr w:type="gramStart"/>
      <w:r w:rsidR="005D6D02">
        <w:t>have the ability to</w:t>
      </w:r>
      <w:proofErr w:type="gramEnd"/>
      <w:r w:rsidR="005D6D02">
        <w:t xml:space="preserve"> ask people if they intend to move, then actually measure whether they moved.</w:t>
      </w:r>
      <w:r w:rsidR="00590D83">
        <w:t xml:space="preserve"> </w:t>
      </w:r>
      <w:r w:rsidRPr="00590D83" w:rsidR="00590D83">
        <w:t>The Survey of Income and Program Participation asks about moving intentions as a starting point for recontacting households in the following wave of the survey, but the data are not edited or released.</w:t>
      </w:r>
    </w:p>
    <w:p w:rsidRPr="00E06F13" w:rsidR="004F36EC" w:rsidP="00E06F13" w:rsidRDefault="004F36EC" w14:paraId="62BAC76E" w14:textId="03CB9281">
      <w:pPr>
        <w:rPr>
          <w:u w:val="single"/>
        </w:rPr>
      </w:pPr>
    </w:p>
    <w:p w:rsidR="00384A36" w:rsidP="002977DE" w:rsidRDefault="00423EFC" w14:paraId="02A52096" w14:textId="71107123">
      <w:pPr>
        <w:pStyle w:val="ListParagraph"/>
        <w:numPr>
          <w:ilvl w:val="0"/>
          <w:numId w:val="34"/>
        </w:numPr>
        <w:ind w:left="2043" w:hanging="270"/>
      </w:pPr>
      <w:r w:rsidRPr="00423EFC">
        <w:rPr>
          <w:u w:val="single"/>
        </w:rPr>
        <w:t xml:space="preserve">Expanded Renter </w:t>
      </w:r>
      <w:r w:rsidR="00E06F13">
        <w:rPr>
          <w:u w:val="single"/>
        </w:rPr>
        <w:t>Housing Search Module</w:t>
      </w:r>
      <w:r w:rsidRPr="00297577" w:rsidR="00B351FE">
        <w:rPr>
          <w:u w:val="single"/>
        </w:rPr>
        <w:t>:</w:t>
      </w:r>
      <w:r w:rsidR="005D6D02">
        <w:t xml:space="preserve"> We are not aware of any other major federal surveys with similar questions.</w:t>
      </w:r>
      <w:r w:rsidRPr="00297577" w:rsidR="00CD3EFF">
        <w:t xml:space="preserve"> </w:t>
      </w:r>
      <w:r w:rsidR="00297577">
        <w:t xml:space="preserve"> </w:t>
      </w:r>
    </w:p>
    <w:p w:rsidR="00741E3D" w:rsidP="00297577" w:rsidRDefault="00741E3D" w14:paraId="13DFD8D6" w14:textId="77777777">
      <w:pPr>
        <w:pStyle w:val="ListParagraph"/>
        <w:ind w:left="2043"/>
      </w:pPr>
    </w:p>
    <w:p w:rsidR="00D50C61" w:rsidP="00870A25" w:rsidRDefault="00E06F13" w14:paraId="0D8E4205" w14:textId="71B45F38">
      <w:pPr>
        <w:pStyle w:val="ListParagraph"/>
        <w:numPr>
          <w:ilvl w:val="0"/>
          <w:numId w:val="34"/>
        </w:numPr>
        <w:ind w:left="2043" w:hanging="270"/>
      </w:pPr>
      <w:r>
        <w:rPr>
          <w:u w:val="single"/>
        </w:rPr>
        <w:t xml:space="preserve">Wildfire Risk </w:t>
      </w:r>
      <w:r w:rsidR="00B351FE">
        <w:rPr>
          <w:u w:val="single"/>
        </w:rPr>
        <w:t>Module</w:t>
      </w:r>
      <w:r w:rsidRPr="00297577" w:rsidR="00741E3D">
        <w:rPr>
          <w:u w:val="single"/>
        </w:rPr>
        <w:t>:</w:t>
      </w:r>
      <w:r w:rsidR="00CD3EFF">
        <w:t xml:space="preserve">  </w:t>
      </w:r>
      <w:r w:rsidR="005D6D02">
        <w:t>We are not aware of any other major federal surveys with similar questions.</w:t>
      </w:r>
    </w:p>
    <w:p w:rsidR="00F933AA" w:rsidP="00F933AA" w:rsidRDefault="00F933AA" w14:paraId="23FF0AC4" w14:textId="77777777">
      <w:pPr>
        <w:pStyle w:val="ListParagraph"/>
      </w:pPr>
    </w:p>
    <w:p w:rsidR="00F933AA" w:rsidP="00F933AA" w:rsidRDefault="00F933AA" w14:paraId="113951F9" w14:textId="79449A33">
      <w:pPr>
        <w:pStyle w:val="ListParagraph"/>
        <w:numPr>
          <w:ilvl w:val="0"/>
          <w:numId w:val="34"/>
        </w:numPr>
        <w:ind w:left="2043" w:hanging="270"/>
      </w:pPr>
      <w:r>
        <w:rPr>
          <w:u w:val="single"/>
        </w:rPr>
        <w:t>Pets Module</w:t>
      </w:r>
      <w:r w:rsidRPr="00297577">
        <w:rPr>
          <w:u w:val="single"/>
        </w:rPr>
        <w:t>:</w:t>
      </w:r>
      <w:r>
        <w:t xml:space="preserve">  </w:t>
      </w:r>
      <w:r w:rsidR="005D6D02">
        <w:t>When</w:t>
      </w:r>
      <w:r w:rsidR="00240A5D">
        <w:t xml:space="preserve"> t</w:t>
      </w:r>
      <w:r w:rsidR="005D6D02">
        <w:t xml:space="preserve">he </w:t>
      </w:r>
      <w:proofErr w:type="gramStart"/>
      <w:r w:rsidR="005D6D02">
        <w:t>pets</w:t>
      </w:r>
      <w:proofErr w:type="gramEnd"/>
      <w:r w:rsidR="005D6D02">
        <w:t xml:space="preserve"> question</w:t>
      </w:r>
      <w:r w:rsidR="00240A5D">
        <w:t xml:space="preserve"> was included in</w:t>
      </w:r>
      <w:r w:rsidR="005D6D02">
        <w:t xml:space="preserve"> the </w:t>
      </w:r>
      <w:r w:rsidR="00240A5D">
        <w:t xml:space="preserve">2017 AHS </w:t>
      </w:r>
      <w:r w:rsidR="005D6D02">
        <w:t xml:space="preserve">Disaster Preparedness module, </w:t>
      </w:r>
      <w:r w:rsidR="00240A5D">
        <w:t xml:space="preserve">HUD received </w:t>
      </w:r>
      <w:r w:rsidR="005D6D02">
        <w:t xml:space="preserve">a lot of interest in the AHS data. Further examination of the results revealed that </w:t>
      </w:r>
      <w:r w:rsidR="00240A5D">
        <w:t xml:space="preserve">the AHS </w:t>
      </w:r>
      <w:r w:rsidR="005D6D02">
        <w:t>estimates were not matching other major surveys, such as the GSS. In the interest of providing accurate data, we decided to replicate the results of the GSS. To do this, we adopted their questions about pet ownership, with a few changes</w:t>
      </w:r>
      <w:r w:rsidR="00240A5D">
        <w:t>.</w:t>
      </w:r>
      <w:r>
        <w:t xml:space="preserve"> </w:t>
      </w:r>
    </w:p>
    <w:p w:rsidRPr="00297577" w:rsidR="00D50C61" w:rsidP="00297577" w:rsidRDefault="00D50C61" w14:paraId="25876DBE" w14:textId="340EE5F9">
      <w:pPr>
        <w:pStyle w:val="ListParagraph"/>
        <w:ind w:left="2043"/>
      </w:pPr>
    </w:p>
    <w:p w:rsidRPr="00F933AA" w:rsidR="00F933AA" w:rsidP="00F933AA" w:rsidRDefault="00F933AA" w14:paraId="6A38D5AD" w14:textId="540B8606">
      <w:pPr>
        <w:pStyle w:val="ListParagraph"/>
        <w:numPr>
          <w:ilvl w:val="0"/>
          <w:numId w:val="34"/>
        </w:numPr>
        <w:ind w:left="2043" w:hanging="270"/>
      </w:pPr>
      <w:r>
        <w:rPr>
          <w:u w:val="single"/>
        </w:rPr>
        <w:lastRenderedPageBreak/>
        <w:t>Delinquent Payments and Notices</w:t>
      </w:r>
      <w:r w:rsidR="00B351FE">
        <w:rPr>
          <w:u w:val="single"/>
        </w:rPr>
        <w:t xml:space="preserve"> Module</w:t>
      </w:r>
      <w:r w:rsidRPr="00297577" w:rsidR="00741E3D">
        <w:rPr>
          <w:u w:val="single"/>
        </w:rPr>
        <w:t>:</w:t>
      </w:r>
      <w:r w:rsidR="00CD3EFF">
        <w:t xml:space="preserve">  </w:t>
      </w:r>
      <w:r w:rsidR="00857C22">
        <w:t>T</w:t>
      </w:r>
      <w:r w:rsidRPr="00F933AA">
        <w:t xml:space="preserve">he most current research report to </w:t>
      </w:r>
      <w:proofErr w:type="gramStart"/>
      <w:r w:rsidRPr="00F933AA">
        <w:t>make an attempt</w:t>
      </w:r>
      <w:proofErr w:type="gramEnd"/>
      <w:r w:rsidRPr="00F933AA">
        <w:t xml:space="preserve"> to estimate the population of doubled-up households is:</w:t>
      </w:r>
    </w:p>
    <w:p w:rsidRPr="00F933AA" w:rsidR="00F933AA" w:rsidP="00F933AA" w:rsidRDefault="00F933AA" w14:paraId="216A364D" w14:textId="77777777">
      <w:pPr>
        <w:pStyle w:val="ListParagraph"/>
        <w:ind w:left="2043"/>
      </w:pPr>
    </w:p>
    <w:p w:rsidRPr="00F933AA" w:rsidR="00F933AA" w:rsidP="00F933AA" w:rsidRDefault="00F933AA" w14:paraId="02B1E365" w14:textId="77777777">
      <w:pPr>
        <w:pStyle w:val="ListParagraph"/>
        <w:ind w:left="2043"/>
      </w:pPr>
      <w:r w:rsidRPr="00F933AA">
        <w:t xml:space="preserve">Mykyta, Laryssa and Macartney, Suzanne. June 2012. Sharing a Household: Household Composition and Economic Well-Being: 2007-2010. </w:t>
      </w:r>
      <w:r w:rsidRPr="00F933AA">
        <w:rPr>
          <w:i/>
        </w:rPr>
        <w:t>Current Population Report</w:t>
      </w:r>
      <w:r w:rsidRPr="00F933AA">
        <w:t xml:space="preserve"> U.S. Census Bureau. Accessed July 7, 2012 at </w:t>
      </w:r>
      <w:hyperlink w:history="1" r:id="rId9">
        <w:r w:rsidRPr="00F933AA">
          <w:rPr>
            <w:rStyle w:val="Hyperlink"/>
          </w:rPr>
          <w:t>http://www.census.gov/prod/2012pubs/p60-242.pdf</w:t>
        </w:r>
      </w:hyperlink>
    </w:p>
    <w:p w:rsidRPr="00F933AA" w:rsidR="00F933AA" w:rsidP="00F933AA" w:rsidRDefault="00F933AA" w14:paraId="7D6D4EBD" w14:textId="77777777">
      <w:pPr>
        <w:pStyle w:val="ListParagraph"/>
        <w:ind w:left="2043"/>
      </w:pPr>
    </w:p>
    <w:p w:rsidR="00F933AA" w:rsidP="00F933AA" w:rsidRDefault="00F933AA" w14:paraId="65729994" w14:textId="1F821913">
      <w:pPr>
        <w:pStyle w:val="ListParagraph"/>
        <w:ind w:left="2043"/>
      </w:pPr>
      <w:r w:rsidRPr="00F933AA">
        <w:t xml:space="preserve">The </w:t>
      </w:r>
      <w:proofErr w:type="gramStart"/>
      <w:r w:rsidRPr="00F933AA">
        <w:t>aforementioned report</w:t>
      </w:r>
      <w:proofErr w:type="gramEnd"/>
      <w:r w:rsidRPr="00F933AA">
        <w:t xml:space="preserve"> used data from the Survey of Income and Program Participation (SIPP).  HUD PD&amp;R feels that the SIPP-based analysis has shortcomings that make it difficult to accurately measure the doubled-up household population.  First, SIPP does not address the issue of risk of housing loss.  They focus instead on doubled-up households at the time of the interviews and shifts over different interview waves rather than on housing loss and out-movers.  Second, SIPP questions do not directly allow for an assessment of “economic” doubled-up households, which is of the most interest to HUD.  Instead, SIPP permits analysis of the presence of “additional adults,” describing their basic demographic characteristics and shifts in numbers over time, plus changes in overall household economic well-being and eligibility for means-tested public benefits given a change in household composition.</w:t>
      </w:r>
    </w:p>
    <w:p w:rsidR="00786474" w:rsidP="00F933AA" w:rsidRDefault="00786474" w14:paraId="5D08C3B2" w14:textId="34485CAE">
      <w:pPr>
        <w:pStyle w:val="ListParagraph"/>
        <w:ind w:left="2043"/>
      </w:pPr>
    </w:p>
    <w:p w:rsidRPr="00E54F96" w:rsidR="00786474" w:rsidP="00E54F96" w:rsidRDefault="00786474" w14:paraId="571850F5" w14:textId="2D286A0F">
      <w:pPr>
        <w:pStyle w:val="ListParagraph"/>
        <w:numPr>
          <w:ilvl w:val="0"/>
          <w:numId w:val="34"/>
        </w:numPr>
        <w:ind w:left="2043" w:hanging="270"/>
      </w:pPr>
      <w:r w:rsidRPr="00786474">
        <w:rPr>
          <w:u w:val="single"/>
        </w:rPr>
        <w:t xml:space="preserve">Smoking Supplement: </w:t>
      </w:r>
      <w:r>
        <w:t xml:space="preserve">The questions were suggested by HUD’s Office of Healthy Homes and were last included in the 2015 AHS. The AHS is the most appropriate vehicle for collecting these data because it is a random sample of U.S. housing and has an established infrastructure for implementation and reporting. </w:t>
      </w:r>
      <w:r w:rsidR="00E54F96">
        <w:t xml:space="preserve">The oversample of HUD-assisted units in the AHS make it possible to assess the impacts of HUD policies on smoking in HUD-assisted units. </w:t>
      </w:r>
      <w:r>
        <w:t xml:space="preserve">  There is no other regularly administered survey that routinely captures these data.</w:t>
      </w:r>
    </w:p>
    <w:p w:rsidRPr="00D50C61" w:rsidR="00384A36" w:rsidP="00F933AA" w:rsidRDefault="003B077B" w14:paraId="5789E724" w14:textId="5F9726A3">
      <w:r>
        <w:t xml:space="preserve"> </w:t>
      </w:r>
    </w:p>
    <w:p w:rsidR="00336F25" w:rsidP="00336F25" w:rsidRDefault="00336F25" w14:paraId="3F82C225" w14:textId="77777777">
      <w:pPr>
        <w:pStyle w:val="ListParagraph"/>
      </w:pPr>
    </w:p>
    <w:p w:rsidR="000B2AB7" w:rsidP="00F40EF9" w:rsidRDefault="000B2AB7" w14:paraId="165EC8E1" w14:textId="77777777">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Minimizing Burden</w:t>
      </w:r>
    </w:p>
    <w:p w:rsidR="000B2AB7" w:rsidP="002977DE" w:rsidRDefault="000B2AB7" w14:paraId="4D4D257F" w14:textId="77777777">
      <w:pPr>
        <w:ind w:left="333"/>
      </w:pPr>
    </w:p>
    <w:p w:rsidR="000B2AB7" w:rsidP="002977DE" w:rsidRDefault="000B2AB7" w14:paraId="23A45719" w14:textId="1318A080">
      <w:pPr>
        <w:pStyle w:val="Level1"/>
        <w:autoSpaceDE/>
        <w:autoSpaceDN/>
        <w:adjustRightInd/>
        <w:ind w:left="1413"/>
        <w:rPr>
          <w:rFonts w:ascii="Times New Roman" w:hAnsi="Times New Roman"/>
        </w:rPr>
      </w:pPr>
      <w:r>
        <w:rPr>
          <w:rFonts w:ascii="Times New Roman" w:hAnsi="Times New Roman"/>
        </w:rPr>
        <w:t>We</w:t>
      </w:r>
      <w:r w:rsidR="007452FA">
        <w:rPr>
          <w:rFonts w:ascii="Times New Roman" w:hAnsi="Times New Roman"/>
        </w:rPr>
        <w:t xml:space="preserve"> have designed the AHS questions to obtain the required information, while keeping respondent burden to a minimum.  The data are collected only from individual households, not small </w:t>
      </w:r>
      <w:proofErr w:type="gramStart"/>
      <w:r w:rsidR="007452FA">
        <w:rPr>
          <w:rFonts w:ascii="Times New Roman" w:hAnsi="Times New Roman"/>
        </w:rPr>
        <w:t>businesses</w:t>
      </w:r>
      <w:proofErr w:type="gramEnd"/>
      <w:r w:rsidR="007452FA">
        <w:rPr>
          <w:rFonts w:ascii="Times New Roman" w:hAnsi="Times New Roman"/>
        </w:rPr>
        <w:t xml:space="preserve"> or other small entities.  For unoccupied units, data are collected from a “knowledgeable respondent,” who could be a landlord, property manager, rental agent, real estate agent, or neighbor.</w:t>
      </w:r>
    </w:p>
    <w:p w:rsidR="00E109D6" w:rsidP="002977DE" w:rsidRDefault="00E109D6" w14:paraId="32D1FDA2" w14:textId="3CFBECFE">
      <w:pPr>
        <w:pStyle w:val="Level1"/>
        <w:autoSpaceDE/>
        <w:autoSpaceDN/>
        <w:adjustRightInd/>
        <w:ind w:left="1413"/>
        <w:rPr>
          <w:rFonts w:ascii="Times New Roman" w:hAnsi="Times New Roman"/>
        </w:rPr>
      </w:pPr>
    </w:p>
    <w:p w:rsidR="00E109D6" w:rsidP="002977DE" w:rsidRDefault="00E109D6" w14:paraId="27BFAE82" w14:textId="7F9669B8">
      <w:pPr>
        <w:pStyle w:val="Level1"/>
        <w:autoSpaceDE/>
        <w:autoSpaceDN/>
        <w:adjustRightInd/>
        <w:ind w:left="1413"/>
        <w:rPr>
          <w:rFonts w:ascii="Times New Roman" w:hAnsi="Times New Roman"/>
        </w:rPr>
      </w:pPr>
    </w:p>
    <w:p w:rsidR="00E109D6" w:rsidP="002977DE" w:rsidRDefault="00E109D6" w14:paraId="4862B666" w14:textId="77777777">
      <w:pPr>
        <w:pStyle w:val="Level1"/>
        <w:autoSpaceDE/>
        <w:autoSpaceDN/>
        <w:adjustRightInd/>
        <w:ind w:left="1413"/>
        <w:rPr>
          <w:rFonts w:ascii="Times New Roman" w:hAnsi="Times New Roman"/>
        </w:rPr>
      </w:pPr>
    </w:p>
    <w:p w:rsidR="00F03515" w:rsidP="002977DE" w:rsidRDefault="00F03515" w14:paraId="72AE2B60" w14:textId="77777777">
      <w:pPr>
        <w:ind w:left="333"/>
      </w:pPr>
    </w:p>
    <w:p w:rsidR="000B2AB7" w:rsidP="00F40EF9" w:rsidRDefault="000B2AB7" w14:paraId="1EC30527" w14:textId="77777777">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Consequences of Less Frequent Collection</w:t>
      </w:r>
    </w:p>
    <w:p w:rsidR="000B2AB7" w:rsidP="002977DE" w:rsidRDefault="000B2AB7" w14:paraId="3AA965A3" w14:textId="77777777">
      <w:pPr>
        <w:ind w:left="333"/>
      </w:pPr>
    </w:p>
    <w:p w:rsidR="000B2AB7" w:rsidP="002977DE" w:rsidRDefault="000B2AB7" w14:paraId="0FACE819" w14:textId="2DD6B3AA">
      <w:pPr>
        <w:pStyle w:val="BodyTextIndent3"/>
        <w:numPr>
          <w:ilvl w:val="0"/>
          <w:numId w:val="0"/>
        </w:numPr>
        <w:ind w:left="1413"/>
      </w:pPr>
      <w:r>
        <w:lastRenderedPageBreak/>
        <w:t xml:space="preserve">As a longitudinal survey, we interview our samples periodically to provide intermittent readings between decennial censuses.  The length of time between interviews is two years on the AHS.  Less frequent enumerations </w:t>
      </w:r>
      <w:r w:rsidR="00A63971">
        <w:t xml:space="preserve">would </w:t>
      </w:r>
      <w:r>
        <w:t xml:space="preserve">reduce HUD’s ability to detect changes in </w:t>
      </w:r>
      <w:r w:rsidR="00717CA3">
        <w:t>worst case</w:t>
      </w:r>
      <w:r>
        <w:t xml:space="preserve"> housing needs.  Without this ability, the Administration and Congress would be unable to formulate policy on housing assistance.</w:t>
      </w:r>
    </w:p>
    <w:p w:rsidR="00B450F7" w:rsidP="002977DE" w:rsidRDefault="00B450F7" w14:paraId="046F4DA9" w14:textId="77777777">
      <w:pPr>
        <w:ind w:left="333"/>
      </w:pPr>
    </w:p>
    <w:p w:rsidRPr="0077509A" w:rsidR="000B2AB7" w:rsidP="00F40EF9" w:rsidRDefault="000B2AB7" w14:paraId="6FA18B27" w14:textId="55FF7688">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Special Circumstances</w:t>
      </w:r>
    </w:p>
    <w:p w:rsidR="0077509A" w:rsidP="0077509A" w:rsidRDefault="0077509A" w14:paraId="44732648" w14:textId="7611EF22">
      <w:pPr>
        <w:pStyle w:val="Level1"/>
        <w:tabs>
          <w:tab w:val="left" w:pos="432"/>
          <w:tab w:val="left" w:pos="720"/>
          <w:tab w:val="left" w:pos="864"/>
          <w:tab w:val="left" w:pos="1022"/>
          <w:tab w:val="left" w:pos="1296"/>
          <w:tab w:val="num" w:pos="1413"/>
          <w:tab w:val="left" w:pos="1728"/>
          <w:tab w:val="left" w:pos="2160"/>
        </w:tabs>
        <w:ind w:left="1350"/>
        <w:rPr>
          <w:rFonts w:ascii="Times New Roman" w:hAnsi="Times New Roman"/>
          <w:b/>
          <w:bCs/>
        </w:rPr>
      </w:pPr>
    </w:p>
    <w:p w:rsidRPr="0077509A" w:rsidR="0077509A" w:rsidP="0077509A" w:rsidRDefault="00785077" w14:paraId="150DCD58" w14:textId="6CAC9C60">
      <w:pPr>
        <w:numPr>
          <w:ilvl w:val="0"/>
          <w:numId w:val="55"/>
        </w:numPr>
        <w:tabs>
          <w:tab w:val="left" w:pos="600"/>
        </w:tabs>
        <w:overflowPunct w:val="0"/>
        <w:autoSpaceDE w:val="0"/>
        <w:autoSpaceDN w:val="0"/>
        <w:adjustRightInd w:val="0"/>
        <w:textAlignment w:val="baseline"/>
      </w:pPr>
      <w:r w:rsidRPr="0077509A">
        <w:t>Requiring</w:t>
      </w:r>
      <w:r w:rsidRPr="0077509A" w:rsidR="0077509A">
        <w:t xml:space="preserve"> respondents to report information to the agency more than quarterly; </w:t>
      </w:r>
      <w:r w:rsidRPr="00F564D4" w:rsidR="00F564D4">
        <w:rPr>
          <w:b/>
        </w:rPr>
        <w:t>Not Applicable.</w:t>
      </w:r>
    </w:p>
    <w:p w:rsidRPr="0077509A" w:rsidR="0077509A" w:rsidP="0077509A" w:rsidRDefault="00785077" w14:paraId="4D8B740C" w14:textId="02309FDB">
      <w:pPr>
        <w:numPr>
          <w:ilvl w:val="0"/>
          <w:numId w:val="55"/>
        </w:numPr>
        <w:tabs>
          <w:tab w:val="left" w:pos="600"/>
        </w:tabs>
        <w:overflowPunct w:val="0"/>
        <w:autoSpaceDE w:val="0"/>
        <w:autoSpaceDN w:val="0"/>
        <w:adjustRightInd w:val="0"/>
        <w:textAlignment w:val="baseline"/>
      </w:pPr>
      <w:r w:rsidRPr="0077509A">
        <w:t>Requiring</w:t>
      </w:r>
      <w:r w:rsidRPr="0077509A" w:rsidR="0077509A">
        <w:t xml:space="preserve"> respondents to prepare a written response to a collection of information in fewer than 30 days after receipt of </w:t>
      </w:r>
      <w:proofErr w:type="gramStart"/>
      <w:r w:rsidRPr="0077509A" w:rsidR="0077509A">
        <w:t>it;</w:t>
      </w:r>
      <w:proofErr w:type="gramEnd"/>
      <w:r w:rsidRPr="0077509A" w:rsidR="0077509A">
        <w:t xml:space="preserve"> </w:t>
      </w:r>
      <w:r w:rsidRPr="00F564D4" w:rsidR="00F564D4">
        <w:rPr>
          <w:b/>
        </w:rPr>
        <w:t>Not Applicable.</w:t>
      </w:r>
    </w:p>
    <w:p w:rsidRPr="0077509A" w:rsidR="0077509A" w:rsidP="0077509A" w:rsidRDefault="00785077" w14:paraId="79EFCA58" w14:textId="6A2BF5B1">
      <w:pPr>
        <w:numPr>
          <w:ilvl w:val="0"/>
          <w:numId w:val="55"/>
        </w:numPr>
        <w:tabs>
          <w:tab w:val="left" w:pos="600"/>
        </w:tabs>
        <w:overflowPunct w:val="0"/>
        <w:autoSpaceDE w:val="0"/>
        <w:autoSpaceDN w:val="0"/>
        <w:adjustRightInd w:val="0"/>
        <w:textAlignment w:val="baseline"/>
      </w:pPr>
      <w:r w:rsidRPr="0077509A">
        <w:t>Requiring</w:t>
      </w:r>
      <w:r w:rsidRPr="0077509A" w:rsidR="0077509A">
        <w:t xml:space="preserve"> respondents to submit more than an original and two copies of any </w:t>
      </w:r>
      <w:proofErr w:type="gramStart"/>
      <w:r w:rsidRPr="0077509A" w:rsidR="0077509A">
        <w:t>document;</w:t>
      </w:r>
      <w:proofErr w:type="gramEnd"/>
      <w:r w:rsidRPr="0077509A" w:rsidR="0077509A">
        <w:t xml:space="preserve"> </w:t>
      </w:r>
      <w:r w:rsidRPr="00F564D4" w:rsidR="00F564D4">
        <w:rPr>
          <w:b/>
        </w:rPr>
        <w:t>Not Applicable.</w:t>
      </w:r>
    </w:p>
    <w:p w:rsidRPr="0077509A" w:rsidR="0077509A" w:rsidP="0077509A" w:rsidRDefault="00785077" w14:paraId="7F3297F0" w14:textId="0543B8E5">
      <w:pPr>
        <w:numPr>
          <w:ilvl w:val="0"/>
          <w:numId w:val="55"/>
        </w:numPr>
        <w:tabs>
          <w:tab w:val="left" w:pos="600"/>
        </w:tabs>
        <w:overflowPunct w:val="0"/>
        <w:autoSpaceDE w:val="0"/>
        <w:autoSpaceDN w:val="0"/>
        <w:adjustRightInd w:val="0"/>
        <w:textAlignment w:val="baseline"/>
      </w:pPr>
      <w:r>
        <w:t>R</w:t>
      </w:r>
      <w:r w:rsidRPr="0077509A" w:rsidR="0077509A">
        <w:t xml:space="preserve">equiring respondents to retain records other than health, medical, government contract, grant-in-aid, or tax records for more than three years; </w:t>
      </w:r>
      <w:r w:rsidRPr="00F564D4" w:rsidR="00F564D4">
        <w:rPr>
          <w:b/>
        </w:rPr>
        <w:t>Not Applicable.</w:t>
      </w:r>
    </w:p>
    <w:p w:rsidRPr="0077509A" w:rsidR="0077509A" w:rsidP="0077509A" w:rsidRDefault="00785077" w14:paraId="52FBC9B3" w14:textId="122CB957">
      <w:pPr>
        <w:numPr>
          <w:ilvl w:val="0"/>
          <w:numId w:val="55"/>
        </w:numPr>
        <w:tabs>
          <w:tab w:val="left" w:pos="600"/>
        </w:tabs>
        <w:overflowPunct w:val="0"/>
        <w:autoSpaceDE w:val="0"/>
        <w:autoSpaceDN w:val="0"/>
        <w:adjustRightInd w:val="0"/>
        <w:textAlignment w:val="baseline"/>
      </w:pPr>
      <w:r w:rsidRPr="0077509A">
        <w:t>In</w:t>
      </w:r>
      <w:r w:rsidRPr="0077509A" w:rsidR="0077509A">
        <w:t xml:space="preserve"> connection with a statistical </w:t>
      </w:r>
      <w:r w:rsidRPr="0077509A" w:rsidR="0065587D">
        <w:t>survey that</w:t>
      </w:r>
      <w:r w:rsidRPr="0077509A" w:rsidR="0077509A">
        <w:t xml:space="preserve"> is not designed to produce valid and reliable results than can be generalized to the universe of study; </w:t>
      </w:r>
      <w:r w:rsidRPr="00F564D4" w:rsidR="00F564D4">
        <w:rPr>
          <w:b/>
        </w:rPr>
        <w:t>Not Applicable.</w:t>
      </w:r>
    </w:p>
    <w:p w:rsidRPr="0077509A" w:rsidR="0077509A" w:rsidP="0077509A" w:rsidRDefault="00785077" w14:paraId="2075A714" w14:textId="54C2DDFE">
      <w:pPr>
        <w:numPr>
          <w:ilvl w:val="0"/>
          <w:numId w:val="55"/>
        </w:numPr>
        <w:tabs>
          <w:tab w:val="left" w:pos="600"/>
        </w:tabs>
        <w:overflowPunct w:val="0"/>
        <w:autoSpaceDE w:val="0"/>
        <w:autoSpaceDN w:val="0"/>
        <w:adjustRightInd w:val="0"/>
        <w:textAlignment w:val="baseline"/>
      </w:pPr>
      <w:r w:rsidRPr="0077509A">
        <w:t>Requiring</w:t>
      </w:r>
      <w:r w:rsidRPr="0077509A" w:rsidR="0077509A">
        <w:t xml:space="preserve"> the use of a statistical data classification that has not been reviewed and approved by OMB; </w:t>
      </w:r>
      <w:r w:rsidRPr="00F564D4" w:rsidR="00F564D4">
        <w:rPr>
          <w:b/>
        </w:rPr>
        <w:t>Not Applicable.</w:t>
      </w:r>
    </w:p>
    <w:p w:rsidR="0077509A" w:rsidP="0077509A" w:rsidRDefault="00785077" w14:paraId="008B6092" w14:textId="0D69C4E5">
      <w:pPr>
        <w:numPr>
          <w:ilvl w:val="0"/>
          <w:numId w:val="55"/>
        </w:numPr>
        <w:tabs>
          <w:tab w:val="left" w:pos="600"/>
        </w:tabs>
        <w:overflowPunct w:val="0"/>
        <w:autoSpaceDE w:val="0"/>
        <w:autoSpaceDN w:val="0"/>
        <w:adjustRightInd w:val="0"/>
        <w:textAlignment w:val="baseline"/>
      </w:pPr>
      <w:r w:rsidRPr="0077509A">
        <w:t>That</w:t>
      </w:r>
      <w:r w:rsidRPr="0077509A" w:rsidR="0077509A">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F564D4" w:rsidR="00F564D4">
        <w:rPr>
          <w:b/>
        </w:rPr>
        <w:t xml:space="preserve">Not Applicable. </w:t>
      </w:r>
    </w:p>
    <w:p w:rsidRPr="0077509A" w:rsidR="0077509A" w:rsidP="0077509A" w:rsidRDefault="00785077" w14:paraId="290FE9E8" w14:textId="47762BA4">
      <w:pPr>
        <w:pStyle w:val="ListParagraph"/>
        <w:numPr>
          <w:ilvl w:val="0"/>
          <w:numId w:val="55"/>
        </w:numPr>
        <w:tabs>
          <w:tab w:val="left" w:pos="600"/>
        </w:tabs>
        <w:overflowPunct w:val="0"/>
        <w:autoSpaceDE w:val="0"/>
        <w:autoSpaceDN w:val="0"/>
        <w:adjustRightInd w:val="0"/>
        <w:textAlignment w:val="baseline"/>
      </w:pPr>
      <w:r>
        <w:t>R</w:t>
      </w:r>
      <w:r w:rsidRPr="0077509A" w:rsidR="0077509A">
        <w:t>equiring respondents to submit proprietary trade secret, or other confidential information unless the agency can demonstrate that it has instituted procedures to protect the information's confidentiality to the extent permitted by law.</w:t>
      </w:r>
      <w:r w:rsidR="00F564D4">
        <w:t xml:space="preserve"> </w:t>
      </w:r>
      <w:r w:rsidRPr="00F564D4" w:rsidR="00F564D4">
        <w:rPr>
          <w:b/>
        </w:rPr>
        <w:t>Not Applicable.</w:t>
      </w:r>
    </w:p>
    <w:p w:rsidR="000B2AB7" w:rsidP="002977DE" w:rsidRDefault="000B2AB7" w14:paraId="236448B0" w14:textId="2AAD693B">
      <w:pPr>
        <w:tabs>
          <w:tab w:val="left" w:pos="720"/>
        </w:tabs>
        <w:ind w:left="333"/>
      </w:pPr>
    </w:p>
    <w:p w:rsidR="000B2AB7" w:rsidP="002977DE" w:rsidRDefault="000B2AB7" w14:paraId="5945429B" w14:textId="77777777">
      <w:pPr>
        <w:pStyle w:val="Level1"/>
        <w:tabs>
          <w:tab w:val="left" w:pos="720"/>
        </w:tabs>
        <w:autoSpaceDE/>
        <w:autoSpaceDN/>
        <w:adjustRightInd/>
        <w:ind w:left="1413"/>
        <w:rPr>
          <w:rFonts w:ascii="Times New Roman" w:hAnsi="Times New Roman"/>
        </w:rPr>
      </w:pPr>
      <w:r>
        <w:rPr>
          <w:rFonts w:ascii="Times New Roman" w:hAnsi="Times New Roman"/>
        </w:rPr>
        <w:t>We collect the data in a manner consistent with OMB guidelines, and there are no special circumstances.</w:t>
      </w:r>
    </w:p>
    <w:p w:rsidR="000B2AB7" w:rsidP="002977DE" w:rsidRDefault="000B2AB7" w14:paraId="511916C3" w14:textId="77777777">
      <w:pPr>
        <w:ind w:left="333"/>
      </w:pPr>
    </w:p>
    <w:p w:rsidR="000B2AB7" w:rsidP="00F40EF9" w:rsidRDefault="000B2AB7" w14:paraId="4A8B2A9B" w14:textId="77777777">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Consultations Outside the Agency</w:t>
      </w:r>
    </w:p>
    <w:p w:rsidR="000B2AB7" w:rsidP="002977DE" w:rsidRDefault="000B2AB7" w14:paraId="57EE4823" w14:textId="77777777">
      <w:pPr>
        <w:pStyle w:val="Header"/>
        <w:tabs>
          <w:tab w:val="clear" w:pos="4320"/>
          <w:tab w:val="clear" w:pos="8640"/>
        </w:tabs>
        <w:ind w:left="333"/>
      </w:pPr>
    </w:p>
    <w:p w:rsidRPr="00F02076" w:rsidR="00A21D8C" w:rsidP="002977DE" w:rsidRDefault="00A21D8C" w14:paraId="6B5239A8" w14:textId="77777777">
      <w:pPr>
        <w:pStyle w:val="ListParagraph"/>
        <w:numPr>
          <w:ilvl w:val="0"/>
          <w:numId w:val="28"/>
        </w:numPr>
        <w:tabs>
          <w:tab w:val="clear" w:pos="1368"/>
          <w:tab w:val="num" w:pos="1701"/>
        </w:tabs>
        <w:ind w:left="1701"/>
      </w:pPr>
      <w:r w:rsidRPr="00F02076">
        <w:t>Federal Register Comments</w:t>
      </w:r>
    </w:p>
    <w:p w:rsidRPr="00341DBB" w:rsidR="00A21D8C" w:rsidP="002977DE" w:rsidRDefault="00A21D8C" w14:paraId="4C7AE528" w14:textId="77777777">
      <w:pPr>
        <w:ind w:left="1413"/>
        <w:rPr>
          <w:i/>
        </w:rPr>
      </w:pPr>
    </w:p>
    <w:p w:rsidR="004C1BBC" w:rsidP="002977DE" w:rsidRDefault="006E1A69" w14:paraId="3E6C0139" w14:textId="3EB6C613">
      <w:pPr>
        <w:ind w:left="1701"/>
      </w:pPr>
      <w:r w:rsidRPr="00A1213D">
        <w:t>Attached</w:t>
      </w:r>
      <w:r w:rsidRPr="00A1213D" w:rsidR="000B2AB7">
        <w:t xml:space="preserve"> is a copy of the </w:t>
      </w:r>
      <w:r w:rsidRPr="00A1213D" w:rsidR="000B2AB7">
        <w:rPr>
          <w:i/>
          <w:iCs/>
        </w:rPr>
        <w:t>Federal Register Notice</w:t>
      </w:r>
      <w:r w:rsidRPr="00A1213D" w:rsidR="000B2AB7">
        <w:rPr>
          <w:i/>
          <w:iCs/>
          <w:color w:val="FF0000"/>
        </w:rPr>
        <w:t xml:space="preserve"> </w:t>
      </w:r>
      <w:r w:rsidRPr="00A1213D" w:rsidR="000B2AB7">
        <w:t xml:space="preserve">required by 5 CFR 1320.8(d). </w:t>
      </w:r>
      <w:r w:rsidRPr="00A1213D" w:rsidR="00F564D4">
        <w:t xml:space="preserve">The Notice </w:t>
      </w:r>
      <w:r w:rsidRPr="00A1213D" w:rsidR="009C089F">
        <w:t>w</w:t>
      </w:r>
      <w:r w:rsidRPr="00A1213D" w:rsidR="00F564D4">
        <w:t xml:space="preserve">as published on </w:t>
      </w:r>
      <w:r w:rsidR="0008366A">
        <w:t>August 7</w:t>
      </w:r>
      <w:r w:rsidRPr="00A1213D" w:rsidR="00F564D4">
        <w:t>, 20</w:t>
      </w:r>
      <w:r w:rsidR="0008366A">
        <w:t>20</w:t>
      </w:r>
      <w:r w:rsidRPr="00A1213D" w:rsidR="00F564D4">
        <w:t>.</w:t>
      </w:r>
      <w:r w:rsidRPr="00A1213D" w:rsidR="00AE4BBE">
        <w:t xml:space="preserve">  </w:t>
      </w:r>
    </w:p>
    <w:p w:rsidR="004C1BBC" w:rsidP="002977DE" w:rsidRDefault="004C1BBC" w14:paraId="1E0980DE" w14:textId="77777777">
      <w:pPr>
        <w:ind w:left="1701"/>
      </w:pPr>
    </w:p>
    <w:p w:rsidR="00343169" w:rsidP="002977DE" w:rsidRDefault="00AE4BBE" w14:paraId="1D66BEAF" w14:textId="39C41893">
      <w:pPr>
        <w:ind w:left="1701"/>
      </w:pPr>
      <w:r w:rsidRPr="00A1213D">
        <w:t xml:space="preserve">HUD </w:t>
      </w:r>
      <w:r w:rsidRPr="00A1213D" w:rsidR="00343169">
        <w:t>received</w:t>
      </w:r>
      <w:r w:rsidR="00240A5D">
        <w:t xml:space="preserve"> no comments.</w:t>
      </w:r>
      <w:r w:rsidR="00A1213D">
        <w:t xml:space="preserve"> </w:t>
      </w:r>
    </w:p>
    <w:p w:rsidRPr="00341DBB" w:rsidR="000B2AB7" w:rsidP="00AE3B03" w:rsidRDefault="000B2AB7" w14:paraId="09ADF514" w14:textId="1D376D49"/>
    <w:p w:rsidRPr="00341DBB" w:rsidR="00A21D8C" w:rsidP="002977DE" w:rsidRDefault="00A21D8C" w14:paraId="719FA7E6" w14:textId="5D567AFB">
      <w:pPr>
        <w:pStyle w:val="Level1"/>
        <w:numPr>
          <w:ilvl w:val="0"/>
          <w:numId w:val="28"/>
        </w:numPr>
        <w:tabs>
          <w:tab w:val="clear" w:pos="1368"/>
          <w:tab w:val="num" w:pos="1701"/>
        </w:tabs>
        <w:autoSpaceDE/>
        <w:autoSpaceDN/>
        <w:adjustRightInd/>
        <w:ind w:left="1701"/>
        <w:rPr>
          <w:rFonts w:ascii="Times New Roman" w:hAnsi="Times New Roman"/>
        </w:rPr>
      </w:pPr>
      <w:r w:rsidRPr="00341DBB">
        <w:rPr>
          <w:rFonts w:ascii="Times New Roman" w:hAnsi="Times New Roman"/>
        </w:rPr>
        <w:t xml:space="preserve">Consultations Influencing the </w:t>
      </w:r>
      <w:r w:rsidR="0054555B">
        <w:rPr>
          <w:rFonts w:ascii="Times New Roman" w:hAnsi="Times New Roman"/>
        </w:rPr>
        <w:t xml:space="preserve">2021 </w:t>
      </w:r>
      <w:r w:rsidRPr="00341DBB">
        <w:rPr>
          <w:rFonts w:ascii="Times New Roman" w:hAnsi="Times New Roman"/>
        </w:rPr>
        <w:t xml:space="preserve">AHS </w:t>
      </w:r>
      <w:r w:rsidR="00341DBB">
        <w:rPr>
          <w:rFonts w:ascii="Times New Roman" w:hAnsi="Times New Roman"/>
        </w:rPr>
        <w:t xml:space="preserve">Core Modules </w:t>
      </w:r>
    </w:p>
    <w:p w:rsidR="0036669A" w:rsidP="002A1DF3" w:rsidRDefault="0036669A" w14:paraId="1CEC5A9C" w14:textId="77777777">
      <w:pPr>
        <w:pStyle w:val="Level1"/>
        <w:autoSpaceDE/>
        <w:autoSpaceDN/>
        <w:adjustRightInd/>
        <w:ind w:left="1341"/>
        <w:rPr>
          <w:rFonts w:ascii="Times New Roman" w:hAnsi="Times New Roman"/>
        </w:rPr>
      </w:pPr>
    </w:p>
    <w:p w:rsidR="009303B0" w:rsidP="009303B0" w:rsidRDefault="001A45FE" w14:paraId="4C1CABAF" w14:textId="20AE80BC">
      <w:pPr>
        <w:ind w:left="1710"/>
      </w:pPr>
      <w:r>
        <w:t xml:space="preserve">The content of the </w:t>
      </w:r>
      <w:r w:rsidR="0054555B">
        <w:t xml:space="preserve">2021 </w:t>
      </w:r>
      <w:r w:rsidRPr="00583F28" w:rsidR="00367B24">
        <w:t xml:space="preserve">AHS Core Modules are the result of many years of consultation and testing starting with </w:t>
      </w:r>
      <w:r w:rsidRPr="009303B0" w:rsidR="000B2AB7">
        <w:t>the development of the 1984 AHS</w:t>
      </w:r>
      <w:r w:rsidRPr="009303B0" w:rsidR="002272FF">
        <w:t xml:space="preserve"> questionnaire</w:t>
      </w:r>
      <w:r w:rsidRPr="00583F28" w:rsidR="00367B24">
        <w:t xml:space="preserve">.  For the original 1984 AHS questionnaire </w:t>
      </w:r>
      <w:r w:rsidRPr="009303B0" w:rsidR="000B2AB7">
        <w:t xml:space="preserve">approximately 250 prospective data users </w:t>
      </w:r>
      <w:r w:rsidRPr="00583F28" w:rsidR="00367B24">
        <w:t xml:space="preserve">were consulted </w:t>
      </w:r>
      <w:r w:rsidRPr="009303B0" w:rsidR="000B2AB7">
        <w:t xml:space="preserve">who </w:t>
      </w:r>
      <w:r w:rsidRPr="00583F28" w:rsidR="00367B24">
        <w:t>represented</w:t>
      </w:r>
      <w:r w:rsidRPr="009303B0" w:rsidR="000B2AB7">
        <w:t xml:space="preserve"> diverse areas of interest.  </w:t>
      </w:r>
      <w:r w:rsidRPr="00583F28" w:rsidR="00367B24">
        <w:t xml:space="preserve">The BEA </w:t>
      </w:r>
      <w:r w:rsidRPr="009303B0" w:rsidR="000B2AB7">
        <w:t xml:space="preserve">suggested modifications to the </w:t>
      </w:r>
      <w:r w:rsidRPr="00583F28" w:rsidR="00367B24">
        <w:t>original questionnaire to improve BEA’s</w:t>
      </w:r>
      <w:r w:rsidRPr="009303B0" w:rsidR="000B2AB7">
        <w:t xml:space="preserve"> estimates and to improve the clarity and consistency of the </w:t>
      </w:r>
      <w:r w:rsidRPr="00583F28" w:rsidR="00367B24">
        <w:t xml:space="preserve">questions. </w:t>
      </w:r>
    </w:p>
    <w:p w:rsidRPr="009F3790" w:rsidR="009303B0" w:rsidP="009303B0" w:rsidRDefault="009303B0" w14:paraId="45C26B1D" w14:textId="77777777">
      <w:pPr>
        <w:ind w:left="1710"/>
      </w:pPr>
    </w:p>
    <w:p w:rsidRPr="009303B0" w:rsidR="00814AC3" w:rsidP="009303B0" w:rsidRDefault="00447A0B" w14:paraId="18DB4ADD" w14:textId="08D672A3">
      <w:pPr>
        <w:ind w:left="1710"/>
      </w:pPr>
      <w:r w:rsidRPr="009303B0">
        <w:t>HUD and the Census Bureau routinely consult with outside groups who are frequent users of the AHS, including the National Association of Home Builders and the Harvard Joint Center for Housing Studies</w:t>
      </w:r>
      <w:r w:rsidRPr="009303B0" w:rsidR="00574072">
        <w:t xml:space="preserve"> (JCHS)</w:t>
      </w:r>
      <w:r w:rsidRPr="009303B0">
        <w:t xml:space="preserve">.  Because of the depth of their experience with the AHS, these groups often make recommendations concerning minor changes to AHS questions. </w:t>
      </w:r>
      <w:r w:rsidRPr="007A0D0F" w:rsidR="00367B24">
        <w:t>The Neighborhood Quality Module was added to the core and the number of questions in the module was reduced after co</w:t>
      </w:r>
      <w:r w:rsidR="00367B24">
        <w:t>nsultation with NAHB</w:t>
      </w:r>
      <w:r w:rsidRPr="007A0D0F" w:rsidR="00367B24">
        <w:t>.  In consultation with</w:t>
      </w:r>
      <w:r w:rsidR="00367B24">
        <w:t xml:space="preserve"> JCHS</w:t>
      </w:r>
      <w:r w:rsidRPr="007A0D0F" w:rsidR="00367B24">
        <w:t>, questions on the date of completion and the source of financing for remodeling jobs were added to the Home Improvement and Remodeling Module.</w:t>
      </w:r>
      <w:r w:rsidRPr="009303B0" w:rsidR="00450DB7">
        <w:t xml:space="preserve">  </w:t>
      </w:r>
      <w:r w:rsidRPr="009303B0" w:rsidR="004929F5">
        <w:t>W</w:t>
      </w:r>
      <w:r w:rsidRPr="009303B0" w:rsidR="00574072">
        <w:t>e also worked with JCHS</w:t>
      </w:r>
      <w:r w:rsidRPr="009303B0" w:rsidR="007E0080">
        <w:t xml:space="preserve"> to combine</w:t>
      </w:r>
      <w:r w:rsidRPr="009303B0" w:rsidR="004929F5">
        <w:t xml:space="preserve"> some of the Home Improvement job categories</w:t>
      </w:r>
      <w:r w:rsidRPr="009303B0" w:rsidR="007E0080">
        <w:t xml:space="preserve"> to reduce respondent burden</w:t>
      </w:r>
      <w:r w:rsidRPr="009303B0" w:rsidR="004929F5">
        <w:t>.</w:t>
      </w:r>
      <w:r w:rsidRPr="007A0D0F" w:rsidR="00367B24">
        <w:t xml:space="preserve">  </w:t>
      </w:r>
      <w:r w:rsidR="00367B24">
        <w:t xml:space="preserve">The EIA at the Department of Energy was consulted in the development of utility cost allocation models, which </w:t>
      </w:r>
      <w:r w:rsidR="009303B0">
        <w:t>are</w:t>
      </w:r>
      <w:r w:rsidR="00367B24">
        <w:t xml:space="preserve"> used to model utility costs using household and housing characteristi</w:t>
      </w:r>
      <w:r w:rsidR="00D17F90">
        <w:t xml:space="preserve">cs and climate data in the </w:t>
      </w:r>
      <w:r w:rsidR="0054555B">
        <w:t xml:space="preserve">2021 </w:t>
      </w:r>
      <w:r w:rsidR="00367B24">
        <w:t>AHS.</w:t>
      </w:r>
    </w:p>
    <w:p w:rsidRPr="002A1DF3" w:rsidR="0036669A" w:rsidP="002A1DF3" w:rsidRDefault="0036669A" w14:paraId="2FD3B569" w14:textId="77777777">
      <w:pPr>
        <w:pStyle w:val="Level1"/>
        <w:autoSpaceDE/>
        <w:autoSpaceDN/>
        <w:adjustRightInd/>
        <w:ind w:left="1341"/>
        <w:rPr>
          <w:rFonts w:ascii="Times New Roman" w:hAnsi="Times New Roman"/>
        </w:rPr>
      </w:pPr>
    </w:p>
    <w:p w:rsidR="00814AC3" w:rsidP="002977DE" w:rsidRDefault="00814AC3" w14:paraId="67E34EAA" w14:textId="4D26A05E">
      <w:pPr>
        <w:pStyle w:val="Level1"/>
        <w:numPr>
          <w:ilvl w:val="0"/>
          <w:numId w:val="28"/>
        </w:numPr>
        <w:tabs>
          <w:tab w:val="clear" w:pos="1368"/>
          <w:tab w:val="num" w:pos="1701"/>
        </w:tabs>
        <w:autoSpaceDE/>
        <w:autoSpaceDN/>
        <w:adjustRightInd/>
        <w:ind w:left="1701"/>
        <w:rPr>
          <w:rFonts w:ascii="Times New Roman" w:hAnsi="Times New Roman"/>
        </w:rPr>
      </w:pPr>
      <w:r>
        <w:rPr>
          <w:rFonts w:ascii="Times New Roman" w:hAnsi="Times New Roman"/>
        </w:rPr>
        <w:t xml:space="preserve">Consultations Influencing the </w:t>
      </w:r>
      <w:r w:rsidR="0054555B">
        <w:rPr>
          <w:rFonts w:ascii="Times New Roman" w:hAnsi="Times New Roman"/>
        </w:rPr>
        <w:t xml:space="preserve">2021 </w:t>
      </w:r>
      <w:r>
        <w:rPr>
          <w:rFonts w:ascii="Times New Roman" w:hAnsi="Times New Roman"/>
        </w:rPr>
        <w:t xml:space="preserve">AHS </w:t>
      </w:r>
      <w:r w:rsidR="00EE7C0F">
        <w:rPr>
          <w:rFonts w:ascii="Times New Roman" w:hAnsi="Times New Roman"/>
        </w:rPr>
        <w:t>Supplemental</w:t>
      </w:r>
      <w:r>
        <w:rPr>
          <w:rFonts w:ascii="Times New Roman" w:hAnsi="Times New Roman"/>
        </w:rPr>
        <w:t xml:space="preserve"> Modules</w:t>
      </w:r>
    </w:p>
    <w:p w:rsidR="00814AC3" w:rsidP="002977DE" w:rsidRDefault="00814AC3" w14:paraId="164DC194" w14:textId="77777777">
      <w:pPr>
        <w:pStyle w:val="Level1"/>
        <w:autoSpaceDE/>
        <w:autoSpaceDN/>
        <w:adjustRightInd/>
        <w:ind w:left="1341"/>
        <w:rPr>
          <w:rFonts w:ascii="Times New Roman" w:hAnsi="Times New Roman"/>
        </w:rPr>
      </w:pPr>
    </w:p>
    <w:p w:rsidRPr="00070EC4" w:rsidR="0099200D" w:rsidP="00070EC4" w:rsidRDefault="00447A0B" w14:paraId="2ACDFD71" w14:textId="694B4134">
      <w:pPr>
        <w:pStyle w:val="Level1"/>
        <w:autoSpaceDE/>
        <w:autoSpaceDN/>
        <w:adjustRightInd/>
        <w:ind w:left="1701"/>
        <w:rPr>
          <w:rFonts w:ascii="Times New Roman" w:hAnsi="Times New Roman"/>
        </w:rPr>
      </w:pPr>
      <w:r>
        <w:rPr>
          <w:rFonts w:ascii="Times New Roman" w:hAnsi="Times New Roman"/>
        </w:rPr>
        <w:t xml:space="preserve">The process of developing the </w:t>
      </w:r>
      <w:r w:rsidR="0054555B">
        <w:rPr>
          <w:rFonts w:ascii="Times New Roman" w:hAnsi="Times New Roman"/>
        </w:rPr>
        <w:t xml:space="preserve">2021 </w:t>
      </w:r>
      <w:r>
        <w:rPr>
          <w:rFonts w:ascii="Times New Roman" w:hAnsi="Times New Roman"/>
        </w:rPr>
        <w:t xml:space="preserve">AHS </w:t>
      </w:r>
      <w:r w:rsidR="00EE7C0F">
        <w:rPr>
          <w:rFonts w:ascii="Times New Roman" w:hAnsi="Times New Roman"/>
        </w:rPr>
        <w:t>supplemental</w:t>
      </w:r>
      <w:r>
        <w:rPr>
          <w:rFonts w:ascii="Times New Roman" w:hAnsi="Times New Roman"/>
        </w:rPr>
        <w:t xml:space="preserve"> topic modules included consultations with several outside groups.</w:t>
      </w:r>
    </w:p>
    <w:p w:rsidR="00662764" w:rsidP="00180029" w:rsidRDefault="00E64381" w14:paraId="39D87520" w14:textId="364EC506">
      <w:pPr>
        <w:pStyle w:val="NormalWeb"/>
        <w:numPr>
          <w:ilvl w:val="0"/>
          <w:numId w:val="52"/>
        </w:numPr>
        <w:spacing w:after="0" w:afterAutospacing="0"/>
      </w:pPr>
      <w:r w:rsidRPr="00E64381">
        <w:rPr>
          <w:u w:val="single"/>
        </w:rPr>
        <w:t>Intent to Move</w:t>
      </w:r>
      <w:r w:rsidRPr="00E64381" w:rsidR="00460730">
        <w:rPr>
          <w:u w:val="single"/>
        </w:rPr>
        <w:t xml:space="preserve"> Module</w:t>
      </w:r>
      <w:r w:rsidR="00460730">
        <w:t xml:space="preserve">: </w:t>
      </w:r>
      <w:r>
        <w:t>Th</w:t>
      </w:r>
      <w:r w:rsidRPr="009C5958">
        <w:t xml:space="preserve">e </w:t>
      </w:r>
      <w:r>
        <w:t xml:space="preserve">2021 </w:t>
      </w:r>
      <w:r w:rsidRPr="009C5958">
        <w:t>supplemental module</w:t>
      </w:r>
      <w:r>
        <w:t xml:space="preserve"> is sponsored by Harvard Joint Center for Housing Studies and the National Academy of Science Committee on National Statistics.</w:t>
      </w:r>
      <w:r w:rsidR="0069698C">
        <w:t xml:space="preserve">  </w:t>
      </w:r>
    </w:p>
    <w:p w:rsidRPr="00662764" w:rsidR="00662764" w:rsidP="00662764" w:rsidRDefault="00662764" w14:paraId="2422C33C" w14:textId="77777777">
      <w:pPr>
        <w:pStyle w:val="ListParagraph"/>
        <w:ind w:left="2043"/>
      </w:pPr>
    </w:p>
    <w:p w:rsidRPr="00694C92" w:rsidR="0099200D" w:rsidP="00662764" w:rsidRDefault="00C1183C" w14:paraId="30EAB4DA" w14:textId="55F88378">
      <w:pPr>
        <w:pStyle w:val="NormalWeb"/>
        <w:numPr>
          <w:ilvl w:val="0"/>
          <w:numId w:val="52"/>
        </w:numPr>
        <w:spacing w:before="0" w:beforeAutospacing="0" w:after="0" w:afterAutospacing="0"/>
      </w:pPr>
      <w:r>
        <w:rPr>
          <w:u w:val="single"/>
        </w:rPr>
        <w:t xml:space="preserve">Expanded </w:t>
      </w:r>
      <w:r w:rsidR="00423972">
        <w:rPr>
          <w:u w:val="single"/>
        </w:rPr>
        <w:t xml:space="preserve">Housing Search </w:t>
      </w:r>
      <w:r w:rsidRPr="00070EC4" w:rsidR="00070EC4">
        <w:rPr>
          <w:u w:val="single"/>
        </w:rPr>
        <w:t>Module</w:t>
      </w:r>
      <w:r w:rsidR="00070EC4">
        <w:t>: Th</w:t>
      </w:r>
      <w:r>
        <w:t>e</w:t>
      </w:r>
      <w:r w:rsidR="00070EC4">
        <w:t xml:space="preserve"> </w:t>
      </w:r>
      <w:r>
        <w:t xml:space="preserve">2021 supplemental </w:t>
      </w:r>
      <w:r w:rsidR="00070EC4">
        <w:t xml:space="preserve">module </w:t>
      </w:r>
      <w:r>
        <w:t xml:space="preserve">expands on the core housing search questions.  HUD consulted with </w:t>
      </w:r>
      <w:r>
        <w:rPr>
          <w:w w:val="105"/>
          <w:sz w:val="23"/>
        </w:rPr>
        <w:t>the Harvard Joint Center for Housing Studies.</w:t>
      </w:r>
      <w:r w:rsidR="00070EC4">
        <w:t xml:space="preserve"> </w:t>
      </w:r>
    </w:p>
    <w:p w:rsidR="0099200D" w:rsidP="0099200D" w:rsidRDefault="0099200D" w14:paraId="24F6C607" w14:textId="77777777">
      <w:pPr>
        <w:pStyle w:val="ListParagraph"/>
        <w:ind w:left="2043"/>
      </w:pPr>
    </w:p>
    <w:p w:rsidRPr="009C5958" w:rsidR="004713C2" w:rsidP="00C1183C" w:rsidRDefault="00C1183C" w14:paraId="2D66696F" w14:textId="0A7FE9CD">
      <w:pPr>
        <w:pStyle w:val="ListParagraph"/>
        <w:numPr>
          <w:ilvl w:val="0"/>
          <w:numId w:val="52"/>
        </w:numPr>
      </w:pPr>
      <w:r>
        <w:rPr>
          <w:u w:val="single"/>
        </w:rPr>
        <w:t>Wildfire Risk</w:t>
      </w:r>
      <w:r w:rsidRPr="009C5958" w:rsidR="004713C2">
        <w:rPr>
          <w:u w:val="single"/>
        </w:rPr>
        <w:t xml:space="preserve"> Module:</w:t>
      </w:r>
      <w:r w:rsidRPr="009C5958" w:rsidR="00E704CF">
        <w:t xml:space="preserve"> </w:t>
      </w:r>
      <w:r>
        <w:t>Th</w:t>
      </w:r>
      <w:r w:rsidRPr="009C5958" w:rsidR="00A1213D">
        <w:t xml:space="preserve">e </w:t>
      </w:r>
      <w:r w:rsidR="0054555B">
        <w:t xml:space="preserve">2021 </w:t>
      </w:r>
      <w:r w:rsidRPr="009C5958" w:rsidR="00A1213D">
        <w:t>supplemental module</w:t>
      </w:r>
      <w:r>
        <w:t xml:space="preserve"> is sponsored by </w:t>
      </w:r>
      <w:r w:rsidRPr="00C1183C">
        <w:t>National Fire Prevention Association</w:t>
      </w:r>
      <w:r w:rsidR="00816768">
        <w:t>.</w:t>
      </w:r>
    </w:p>
    <w:p w:rsidRPr="004713C2" w:rsidR="004713C2" w:rsidP="004713C2" w:rsidRDefault="004713C2" w14:paraId="62D1B1D0" w14:textId="77777777">
      <w:pPr>
        <w:pStyle w:val="ListParagraph"/>
        <w:rPr>
          <w:u w:val="single"/>
        </w:rPr>
      </w:pPr>
    </w:p>
    <w:p w:rsidR="007E7381" w:rsidP="009C336E" w:rsidRDefault="00C1183C" w14:paraId="10243F4C" w14:textId="4032E2AA">
      <w:pPr>
        <w:pStyle w:val="ListParagraph"/>
        <w:numPr>
          <w:ilvl w:val="0"/>
          <w:numId w:val="52"/>
        </w:numPr>
      </w:pPr>
      <w:r w:rsidRPr="007E7381">
        <w:rPr>
          <w:u w:val="single"/>
        </w:rPr>
        <w:t>Pets</w:t>
      </w:r>
      <w:r w:rsidRPr="007E7381" w:rsidR="0099200D">
        <w:rPr>
          <w:u w:val="single"/>
        </w:rPr>
        <w:t xml:space="preserve"> Module:</w:t>
      </w:r>
      <w:r w:rsidR="0099200D">
        <w:t xml:space="preserve">  </w:t>
      </w:r>
      <w:r w:rsidR="009C336E">
        <w:t>The 2021 supplemental module</w:t>
      </w:r>
      <w:r w:rsidRPr="009C336E" w:rsidR="009C336E">
        <w:t xml:space="preserve"> </w:t>
      </w:r>
      <w:r w:rsidR="009C336E">
        <w:t xml:space="preserve">was adapted from similar questions in the </w:t>
      </w:r>
      <w:r w:rsidRPr="009C336E" w:rsidR="009C336E">
        <w:t>General Social Survey</w:t>
      </w:r>
      <w:r w:rsidR="009C336E">
        <w:t xml:space="preserve"> (GSS)</w:t>
      </w:r>
      <w:r w:rsidRPr="009C336E" w:rsidR="009C336E">
        <w:t xml:space="preserve">. In 2018, NORC </w:t>
      </w:r>
      <w:r w:rsidR="009C336E">
        <w:t xml:space="preserve">at the University of Chicago </w:t>
      </w:r>
      <w:r w:rsidRPr="009C336E" w:rsidR="009C336E">
        <w:t>published results from the</w:t>
      </w:r>
      <w:r w:rsidR="0069698C">
        <w:t xml:space="preserve"> GSS </w:t>
      </w:r>
      <w:proofErr w:type="gramStart"/>
      <w:r w:rsidRPr="009C336E" w:rsidR="009C336E">
        <w:t>pets</w:t>
      </w:r>
      <w:proofErr w:type="gramEnd"/>
      <w:r w:rsidRPr="009C336E" w:rsidR="009C336E">
        <w:t xml:space="preserve"> questions showing more pet owners than was reported </w:t>
      </w:r>
      <w:r w:rsidR="0069698C">
        <w:t xml:space="preserve">in a pets question in the 2017 </w:t>
      </w:r>
      <w:r w:rsidR="0069698C">
        <w:lastRenderedPageBreak/>
        <w:t>AHS</w:t>
      </w:r>
      <w:r w:rsidRPr="009C336E" w:rsidR="009C336E">
        <w:t>. Given the importance of the presence of pets to households, and t</w:t>
      </w:r>
      <w:r w:rsidR="0069698C">
        <w:t xml:space="preserve">he differing estimates, HUD </w:t>
      </w:r>
      <w:r w:rsidRPr="009C336E" w:rsidR="009C336E">
        <w:t>determine</w:t>
      </w:r>
      <w:r w:rsidR="0069698C">
        <w:t>d it wa</w:t>
      </w:r>
      <w:r w:rsidRPr="009C336E" w:rsidR="009C336E">
        <w:t>s worth replicating the GSS survey questions.</w:t>
      </w:r>
      <w:r w:rsidR="00E56EE7">
        <w:t xml:space="preserve"> </w:t>
      </w:r>
    </w:p>
    <w:p w:rsidR="007E7381" w:rsidP="007E7381" w:rsidRDefault="007E7381" w14:paraId="4131775D" w14:textId="77777777">
      <w:pPr>
        <w:pStyle w:val="ListParagraph"/>
        <w:ind w:left="2043"/>
      </w:pPr>
    </w:p>
    <w:p w:rsidR="004A55FA" w:rsidP="002720B6" w:rsidRDefault="007E7381" w14:paraId="17021B6C" w14:textId="6695866A">
      <w:pPr>
        <w:pStyle w:val="ListParagraph"/>
        <w:numPr>
          <w:ilvl w:val="0"/>
          <w:numId w:val="52"/>
        </w:numPr>
        <w:spacing w:before="240"/>
      </w:pPr>
      <w:r w:rsidRPr="007E7381">
        <w:rPr>
          <w:u w:val="single"/>
        </w:rPr>
        <w:t>Delinquent Payments and Notices Module:</w:t>
      </w:r>
      <w:r w:rsidRPr="0099200D">
        <w:t xml:space="preserve"> </w:t>
      </w:r>
      <w:r>
        <w:t xml:space="preserve"> The questions were developed by a panel of experts assembled by HUD PD&amp;R’s and modified by AHS personnel at HUD and Census.  The panel of experts included representatives from the </w:t>
      </w:r>
      <w:r w:rsidRPr="00003FF1">
        <w:t xml:space="preserve">Urban Institute, the University of Pennsylvania, the United States Interagency Council on Homelessness, </w:t>
      </w:r>
      <w:proofErr w:type="spellStart"/>
      <w:r w:rsidRPr="00003FF1">
        <w:t>Westat</w:t>
      </w:r>
      <w:proofErr w:type="spellEnd"/>
      <w:r w:rsidRPr="00003FF1">
        <w:t xml:space="preserve">, the National Alliance to End Homelessness Research Institute, </w:t>
      </w:r>
      <w:proofErr w:type="spellStart"/>
      <w:r w:rsidRPr="00003FF1">
        <w:t>Abt</w:t>
      </w:r>
      <w:proofErr w:type="spellEnd"/>
      <w:r w:rsidRPr="00003FF1">
        <w:t xml:space="preserve"> Associates, </w:t>
      </w:r>
      <w:r>
        <w:t xml:space="preserve">and </w:t>
      </w:r>
      <w:r w:rsidRPr="00003FF1">
        <w:t>Wayne State University</w:t>
      </w:r>
      <w:r>
        <w:t>.</w:t>
      </w:r>
    </w:p>
    <w:p w:rsidR="00E3222A" w:rsidP="008C42B5" w:rsidRDefault="00E3222A" w14:paraId="24110FA0" w14:textId="77777777">
      <w:pPr>
        <w:pStyle w:val="ListParagraph"/>
      </w:pPr>
    </w:p>
    <w:p w:rsidRPr="00BC373D" w:rsidR="00E3222A" w:rsidP="002720B6" w:rsidRDefault="00E3222A" w14:paraId="115279A3" w14:textId="4D0119B5">
      <w:pPr>
        <w:pStyle w:val="ListParagraph"/>
        <w:numPr>
          <w:ilvl w:val="0"/>
          <w:numId w:val="52"/>
        </w:numPr>
        <w:spacing w:before="240"/>
      </w:pPr>
      <w:r>
        <w:t xml:space="preserve">Smoking Supplement: </w:t>
      </w:r>
      <w:r w:rsidRPr="008C42B5">
        <w:t xml:space="preserve">Smoking Supplement: </w:t>
      </w:r>
      <w:r w:rsidRPr="00BC373D">
        <w:t>The questions were suggested by HUD’s Office of Healthy Homes and were last included in the 2015 AHS.</w:t>
      </w:r>
    </w:p>
    <w:p w:rsidR="00F4672D" w:rsidP="00F4672D" w:rsidRDefault="00F4672D" w14:paraId="52E3E3F9" w14:textId="77777777">
      <w:pPr>
        <w:pStyle w:val="ListParagraph"/>
      </w:pPr>
    </w:p>
    <w:p w:rsidR="00F4672D" w:rsidP="00F4672D" w:rsidRDefault="00F4672D" w14:paraId="5A413A10" w14:textId="77777777">
      <w:pPr>
        <w:pStyle w:val="Level1"/>
        <w:numPr>
          <w:ilvl w:val="0"/>
          <w:numId w:val="28"/>
        </w:numPr>
        <w:tabs>
          <w:tab w:val="clear" w:pos="1368"/>
          <w:tab w:val="num" w:pos="-495"/>
        </w:tabs>
        <w:autoSpaceDE/>
        <w:autoSpaceDN/>
        <w:adjustRightInd/>
        <w:ind w:left="1710"/>
        <w:rPr>
          <w:rFonts w:ascii="Times New Roman" w:hAnsi="Times New Roman"/>
        </w:rPr>
      </w:pPr>
      <w:r>
        <w:rPr>
          <w:rFonts w:ascii="Times New Roman" w:hAnsi="Times New Roman"/>
        </w:rPr>
        <w:t>Consultations Influencing the Nonresponse Bias Incentives Experiment</w:t>
      </w:r>
    </w:p>
    <w:p w:rsidR="00F4672D" w:rsidP="00F4672D" w:rsidRDefault="00F4672D" w14:paraId="135D631D" w14:textId="77777777">
      <w:pPr>
        <w:pStyle w:val="Level1"/>
        <w:rPr>
          <w:rFonts w:ascii="Times New Roman" w:hAnsi="Times New Roman"/>
        </w:rPr>
      </w:pPr>
    </w:p>
    <w:p w:rsidRPr="00F4672D" w:rsidR="000B2AB7" w:rsidP="00F4672D" w:rsidRDefault="00F4672D" w14:paraId="1908C6FE" w14:textId="52997C25">
      <w:pPr>
        <w:pStyle w:val="Level1"/>
        <w:ind w:left="1710" w:firstLine="9"/>
        <w:rPr>
          <w:rFonts w:ascii="Times New Roman" w:hAnsi="Times New Roman"/>
        </w:rPr>
      </w:pPr>
      <w:r w:rsidRPr="009447A8">
        <w:rPr>
          <w:rFonts w:ascii="Times New Roman" w:hAnsi="Times New Roman"/>
        </w:rPr>
        <w:t xml:space="preserve">HUD consulted with the Office of Evaluation Sciences </w:t>
      </w:r>
      <w:r>
        <w:rPr>
          <w:rFonts w:ascii="Times New Roman" w:hAnsi="Times New Roman"/>
        </w:rPr>
        <w:t xml:space="preserve">(OES) </w:t>
      </w:r>
      <w:r w:rsidRPr="009447A8">
        <w:rPr>
          <w:rFonts w:ascii="Times New Roman" w:hAnsi="Times New Roman"/>
        </w:rPr>
        <w:t>at the U.S. General Services</w:t>
      </w:r>
      <w:r>
        <w:rPr>
          <w:rFonts w:ascii="Times New Roman" w:hAnsi="Times New Roman"/>
        </w:rPr>
        <w:t xml:space="preserve"> </w:t>
      </w:r>
      <w:r w:rsidRPr="009447A8">
        <w:rPr>
          <w:rFonts w:ascii="Times New Roman" w:hAnsi="Times New Roman"/>
        </w:rPr>
        <w:t>Administration to design the Nonresponse Bias Incentives Experiment.</w:t>
      </w:r>
    </w:p>
    <w:p w:rsidR="00612D6B" w:rsidP="00FA69D8" w:rsidRDefault="00612D6B" w14:paraId="0427D21D" w14:textId="2A2C33D2"/>
    <w:p w:rsidR="000B2AB7" w:rsidP="009D75E2" w:rsidRDefault="000B2AB7" w14:paraId="00C6C10A" w14:textId="77777777">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t>Paying Respondents</w:t>
      </w:r>
    </w:p>
    <w:p w:rsidR="000B2AB7" w:rsidP="002977DE" w:rsidRDefault="000B2AB7" w14:paraId="63E84A0A" w14:textId="77777777">
      <w:pPr>
        <w:tabs>
          <w:tab w:val="left" w:pos="720"/>
        </w:tabs>
        <w:ind w:left="333"/>
      </w:pPr>
    </w:p>
    <w:p w:rsidR="00F4672D" w:rsidP="00F4672D" w:rsidRDefault="00F4672D" w14:paraId="14AFBB87" w14:textId="77777777">
      <w:pPr>
        <w:pStyle w:val="BodyTextIndent3"/>
        <w:ind w:left="990"/>
      </w:pPr>
      <w:r>
        <w:t>HUD and Census intend to test whether incentives reduce nonresponse bias in the integrated national sample. Following a design developed by the GSA, HUD and Census will test eight treatment conditions, leading to three main outcomes and three secondary outcomes. For a more detailed discussion on the rationale for incentives, see Section 2 of the attached Project Design Document.</w:t>
      </w:r>
    </w:p>
    <w:p w:rsidR="00F4672D" w:rsidP="00F4672D" w:rsidRDefault="00F4672D" w14:paraId="34B9E22A" w14:textId="77777777">
      <w:pPr>
        <w:pStyle w:val="BodyTextIndent3"/>
        <w:ind w:left="990"/>
      </w:pPr>
    </w:p>
    <w:p w:rsidR="00F4672D" w:rsidP="00F4672D" w:rsidRDefault="00F4672D" w14:paraId="5A2640F8" w14:textId="77777777">
      <w:pPr>
        <w:pStyle w:val="BodyTextIndent3"/>
        <w:ind w:left="990"/>
      </w:pPr>
      <w:r>
        <w:t>An early finding in the literature on incentives is that, while response rates increase as the incentive amount increases, they do so at a decreasing rate (Armstrong 1975).</w:t>
      </w:r>
      <w:r>
        <w:rPr>
          <w:rStyle w:val="FootnoteReference"/>
        </w:rPr>
        <w:footnoteReference w:id="2"/>
      </w:r>
      <w:r>
        <w:t xml:space="preserve"> In a large meta-analysis of the effect of incentive amounts on response rates, Mercer et al. (2015) showed that 1) the type of incentive and survey mode appeared to matter for the dose-response curve (see Section 2.3 of the Project Design Document); and 2) that a relative paucity of data on varying amounts in the context of mixed-mode, panel surveys such as the AHS made generalizing to those contexts based on extant literature difficult.</w:t>
      </w:r>
      <w:r>
        <w:rPr>
          <w:rStyle w:val="FootnoteReference"/>
        </w:rPr>
        <w:footnoteReference w:id="3"/>
      </w:r>
      <w:r>
        <w:t xml:space="preserve"> Understanding where the inflection point lies in the AHS survey sample will help to determine whether a flat $5 incentive, as is used in the NHES, makes sense, or whether differing amounts need to be used among different subgroups. </w:t>
      </w:r>
    </w:p>
    <w:p w:rsidR="00F4672D" w:rsidP="00F4672D" w:rsidRDefault="00F4672D" w14:paraId="08975086" w14:textId="77777777">
      <w:pPr>
        <w:pStyle w:val="BodyTextIndent3"/>
        <w:ind w:left="990"/>
      </w:pPr>
    </w:p>
    <w:p w:rsidR="00F4672D" w:rsidP="00F4672D" w:rsidRDefault="00F4672D" w14:paraId="2FF8E3C5" w14:textId="77777777">
      <w:pPr>
        <w:pStyle w:val="BodyTextIndent3"/>
        <w:ind w:left="990"/>
      </w:pPr>
      <w:r>
        <w:t xml:space="preserve">Our study plans to randomize respondents to one of four amounts: $0, $1, $5, and $10. The $5 dollar amount is chosen </w:t>
      </w:r>
      <w:r w:rsidRPr="00FA0BAE">
        <w:t>as it corresponds to amounts in similar surveys such as the NHES.</w:t>
      </w:r>
    </w:p>
    <w:p w:rsidR="00F4672D" w:rsidP="00F4672D" w:rsidRDefault="00F4672D" w14:paraId="7A46D428" w14:textId="77777777">
      <w:pPr>
        <w:pStyle w:val="BodyTextIndent3"/>
        <w:ind w:left="990"/>
      </w:pPr>
    </w:p>
    <w:p w:rsidR="00F4672D" w:rsidP="00F4672D" w:rsidRDefault="00F4672D" w14:paraId="0A45E956" w14:textId="77777777">
      <w:pPr>
        <w:pStyle w:val="BodyTextIndent3"/>
        <w:ind w:left="990"/>
      </w:pPr>
      <w:r>
        <w:t>We include the $1 amount as it is possible that we find ourselves in a scenario in which the bulk of the response rate increase can be generated with one dollar. However, the medium-cost scenario seems very plausible. Mercer et al. (2015), for example found that, on average, in person surveys that paid $5 versus nothing had a response rate increase of 5 percentage points, those that paid $10 versus nothing had an increase of 7 percentage points, while those that paid $20 had an increase of 9 percentage points. In other words, while doubling the incentive from 5 to 10 produced a 40 percent increase in effectiveness, doubling it from $10 to $20 only produced a 28 percent increase in effectiveness.</w:t>
      </w:r>
    </w:p>
    <w:p w:rsidR="00F4672D" w:rsidP="00F4672D" w:rsidRDefault="00F4672D" w14:paraId="371543D0" w14:textId="77777777">
      <w:pPr>
        <w:pStyle w:val="BodyTextIndent3"/>
        <w:ind w:left="990"/>
      </w:pPr>
    </w:p>
    <w:p w:rsidR="00F4672D" w:rsidP="00F4672D" w:rsidRDefault="00F4672D" w14:paraId="45D7458C" w14:textId="77777777">
      <w:pPr>
        <w:pStyle w:val="BodyTextIndent3"/>
        <w:ind w:left="990"/>
      </w:pPr>
      <w:r>
        <w:t xml:space="preserve">For this reason, we believe it makes sense to test an amount of $10. Moreover, the panel context of the AHS argues in favor of including at least one substantial incentive amount. </w:t>
      </w:r>
      <w:proofErr w:type="gramStart"/>
      <w:r>
        <w:t>In particular, it</w:t>
      </w:r>
      <w:proofErr w:type="gramEnd"/>
      <w:r>
        <w:t xml:space="preserve"> is important to know how incentives in one wave affect response patterns in subsequent waves. While respondents may very easily forget having received $1 or $5 two years ago given the largely symbolic value of these sums, $10 seems more likely to stand out in one’s memory.</w:t>
      </w:r>
    </w:p>
    <w:p w:rsidR="00F4672D" w:rsidP="00F4672D" w:rsidRDefault="00F4672D" w14:paraId="6E93F488" w14:textId="77777777">
      <w:pPr>
        <w:pStyle w:val="BodyTextIndent3"/>
        <w:ind w:left="990"/>
      </w:pPr>
      <w:r>
        <w:t>This raises the prospect that, either through habit-formation or recall, large incentive amounts may durably increase response rates beyond the one wave in which they are conducted or lead to an expectation of similar incentives in future waves. This is a possibility largely unexplored in the literature.</w:t>
      </w:r>
    </w:p>
    <w:p w:rsidR="00F4672D" w:rsidP="00F4672D" w:rsidRDefault="00F4672D" w14:paraId="3D18FC18" w14:textId="77777777">
      <w:pPr>
        <w:pStyle w:val="BodyTextIndent3"/>
        <w:ind w:left="990"/>
      </w:pPr>
    </w:p>
    <w:p w:rsidR="00F4672D" w:rsidP="00F4672D" w:rsidRDefault="00F4672D" w14:paraId="028BF3C6" w14:textId="77777777">
      <w:pPr>
        <w:pStyle w:val="BodyTextIndent3"/>
        <w:ind w:left="990"/>
      </w:pPr>
      <w:r>
        <w:t>Incentives will range from $0 to $10 and will be targeted among units in the integrated national sample (n=93,616 units). Approximately 70 percent of units will be sent no incentive. Approximately 7.5 percent of units will be sent a $1 incentive. Approximately 7.5 percent of units will be sent a $5 incentive. Approximately 15 percent of units will be sent a $10 incentive. The total cost of the incentives is $182,572.</w:t>
      </w:r>
    </w:p>
    <w:p w:rsidR="00F4672D" w:rsidP="00F4672D" w:rsidRDefault="00F4672D" w14:paraId="4E13983E" w14:textId="77777777">
      <w:pPr>
        <w:pStyle w:val="BodyTextIndent3"/>
        <w:ind w:left="1350"/>
      </w:pPr>
    </w:p>
    <w:tbl>
      <w:tblPr>
        <w:tblStyle w:val="TableGrid"/>
        <w:tblW w:w="0" w:type="auto"/>
        <w:tblInd w:w="1350" w:type="dxa"/>
        <w:tblLook w:val="04A0" w:firstRow="1" w:lastRow="0" w:firstColumn="1" w:lastColumn="0" w:noHBand="0" w:noVBand="1"/>
      </w:tblPr>
      <w:tblGrid>
        <w:gridCol w:w="1072"/>
        <w:gridCol w:w="766"/>
        <w:gridCol w:w="766"/>
        <w:gridCol w:w="866"/>
        <w:gridCol w:w="866"/>
        <w:gridCol w:w="766"/>
        <w:gridCol w:w="766"/>
        <w:gridCol w:w="866"/>
        <w:gridCol w:w="866"/>
      </w:tblGrid>
      <w:tr w:rsidR="00F4672D" w:rsidTr="00C435A5" w14:paraId="6104FD4C" w14:textId="77777777">
        <w:tc>
          <w:tcPr>
            <w:tcW w:w="0" w:type="auto"/>
          </w:tcPr>
          <w:p w:rsidRPr="00CF2A96" w:rsidR="00F4672D" w:rsidP="00C435A5" w:rsidRDefault="00F4672D" w14:paraId="60C46DE5" w14:textId="77777777">
            <w:pPr>
              <w:pStyle w:val="BodyTextIndent3"/>
              <w:ind w:left="0"/>
              <w:rPr>
                <w:sz w:val="20"/>
                <w:szCs w:val="20"/>
              </w:rPr>
            </w:pPr>
          </w:p>
        </w:tc>
        <w:tc>
          <w:tcPr>
            <w:tcW w:w="0" w:type="auto"/>
            <w:gridSpan w:val="4"/>
          </w:tcPr>
          <w:p w:rsidRPr="00CF2A96" w:rsidR="00F4672D" w:rsidP="00C435A5" w:rsidRDefault="00F4672D" w14:paraId="6AB8E632" w14:textId="77777777">
            <w:pPr>
              <w:pStyle w:val="BodyTextIndent3"/>
              <w:ind w:left="0"/>
              <w:rPr>
                <w:sz w:val="20"/>
                <w:szCs w:val="20"/>
              </w:rPr>
            </w:pPr>
            <w:r w:rsidRPr="00CF2A96">
              <w:rPr>
                <w:sz w:val="20"/>
                <w:szCs w:val="20"/>
              </w:rPr>
              <w:t>Propensity-Independent (50%)</w:t>
            </w:r>
          </w:p>
        </w:tc>
        <w:tc>
          <w:tcPr>
            <w:tcW w:w="0" w:type="auto"/>
            <w:gridSpan w:val="4"/>
          </w:tcPr>
          <w:p w:rsidRPr="00CF2A96" w:rsidR="00F4672D" w:rsidP="00C435A5" w:rsidRDefault="00F4672D" w14:paraId="5263FD9B" w14:textId="77777777">
            <w:pPr>
              <w:pStyle w:val="BodyTextIndent3"/>
              <w:ind w:left="0"/>
              <w:rPr>
                <w:sz w:val="20"/>
                <w:szCs w:val="20"/>
              </w:rPr>
            </w:pPr>
            <w:r w:rsidRPr="00CF2A96">
              <w:rPr>
                <w:sz w:val="20"/>
                <w:szCs w:val="20"/>
              </w:rPr>
              <w:t>Propensity-Determined (50%)</w:t>
            </w:r>
          </w:p>
        </w:tc>
      </w:tr>
      <w:tr w:rsidR="00F4672D" w:rsidTr="00C435A5" w14:paraId="077DB75F" w14:textId="77777777">
        <w:tc>
          <w:tcPr>
            <w:tcW w:w="0" w:type="auto"/>
          </w:tcPr>
          <w:p w:rsidRPr="00CF2A96" w:rsidR="00F4672D" w:rsidP="00C435A5" w:rsidRDefault="00F4672D" w14:paraId="17762C38" w14:textId="77777777">
            <w:pPr>
              <w:pStyle w:val="BodyTextIndent3"/>
              <w:ind w:left="0"/>
              <w:rPr>
                <w:sz w:val="20"/>
                <w:szCs w:val="20"/>
              </w:rPr>
            </w:pPr>
            <w:r w:rsidRPr="00CF2A96">
              <w:rPr>
                <w:sz w:val="20"/>
                <w:szCs w:val="20"/>
              </w:rPr>
              <w:t xml:space="preserve">Amount </w:t>
            </w:r>
          </w:p>
        </w:tc>
        <w:tc>
          <w:tcPr>
            <w:tcW w:w="0" w:type="auto"/>
          </w:tcPr>
          <w:p w:rsidRPr="00CF2A96" w:rsidR="00F4672D" w:rsidP="00C435A5" w:rsidRDefault="00F4672D" w14:paraId="2B8B317E" w14:textId="77777777">
            <w:pPr>
              <w:pStyle w:val="BodyTextIndent3"/>
              <w:ind w:left="0"/>
              <w:rPr>
                <w:sz w:val="20"/>
                <w:szCs w:val="20"/>
              </w:rPr>
            </w:pPr>
            <w:r w:rsidRPr="00CF2A96">
              <w:rPr>
                <w:sz w:val="20"/>
                <w:szCs w:val="20"/>
              </w:rPr>
              <w:t>$0</w:t>
            </w:r>
          </w:p>
        </w:tc>
        <w:tc>
          <w:tcPr>
            <w:tcW w:w="0" w:type="auto"/>
          </w:tcPr>
          <w:p w:rsidRPr="00CF2A96" w:rsidR="00F4672D" w:rsidP="00C435A5" w:rsidRDefault="00F4672D" w14:paraId="15F67DC0" w14:textId="77777777">
            <w:pPr>
              <w:pStyle w:val="BodyTextIndent3"/>
              <w:ind w:left="0"/>
              <w:rPr>
                <w:sz w:val="20"/>
                <w:szCs w:val="20"/>
              </w:rPr>
            </w:pPr>
            <w:r w:rsidRPr="00CF2A96">
              <w:rPr>
                <w:sz w:val="20"/>
                <w:szCs w:val="20"/>
              </w:rPr>
              <w:t>$1</w:t>
            </w:r>
          </w:p>
        </w:tc>
        <w:tc>
          <w:tcPr>
            <w:tcW w:w="0" w:type="auto"/>
          </w:tcPr>
          <w:p w:rsidRPr="00CF2A96" w:rsidR="00F4672D" w:rsidP="00C435A5" w:rsidRDefault="00F4672D" w14:paraId="2C42F376" w14:textId="77777777">
            <w:pPr>
              <w:pStyle w:val="BodyTextIndent3"/>
              <w:ind w:left="0"/>
              <w:rPr>
                <w:sz w:val="20"/>
                <w:szCs w:val="20"/>
              </w:rPr>
            </w:pPr>
            <w:r w:rsidRPr="00CF2A96">
              <w:rPr>
                <w:sz w:val="20"/>
                <w:szCs w:val="20"/>
              </w:rPr>
              <w:t>$5</w:t>
            </w:r>
          </w:p>
        </w:tc>
        <w:tc>
          <w:tcPr>
            <w:tcW w:w="0" w:type="auto"/>
          </w:tcPr>
          <w:p w:rsidRPr="00CF2A96" w:rsidR="00F4672D" w:rsidP="00C435A5" w:rsidRDefault="00F4672D" w14:paraId="1F82BF00" w14:textId="77777777">
            <w:pPr>
              <w:pStyle w:val="BodyTextIndent3"/>
              <w:ind w:left="0"/>
              <w:rPr>
                <w:sz w:val="20"/>
                <w:szCs w:val="20"/>
              </w:rPr>
            </w:pPr>
            <w:r w:rsidRPr="00CF2A96">
              <w:rPr>
                <w:sz w:val="20"/>
                <w:szCs w:val="20"/>
              </w:rPr>
              <w:t>$10</w:t>
            </w:r>
          </w:p>
        </w:tc>
        <w:tc>
          <w:tcPr>
            <w:tcW w:w="0" w:type="auto"/>
          </w:tcPr>
          <w:p w:rsidRPr="00CF2A96" w:rsidR="00F4672D" w:rsidP="00C435A5" w:rsidRDefault="00F4672D" w14:paraId="75E62143" w14:textId="77777777">
            <w:pPr>
              <w:pStyle w:val="BodyTextIndent3"/>
              <w:ind w:left="0"/>
              <w:rPr>
                <w:sz w:val="20"/>
                <w:szCs w:val="20"/>
              </w:rPr>
            </w:pPr>
            <w:r w:rsidRPr="00CF2A96">
              <w:rPr>
                <w:sz w:val="20"/>
                <w:szCs w:val="20"/>
              </w:rPr>
              <w:t>$0</w:t>
            </w:r>
          </w:p>
        </w:tc>
        <w:tc>
          <w:tcPr>
            <w:tcW w:w="0" w:type="auto"/>
          </w:tcPr>
          <w:p w:rsidRPr="00CF2A96" w:rsidR="00F4672D" w:rsidP="00C435A5" w:rsidRDefault="00F4672D" w14:paraId="1897055F" w14:textId="77777777">
            <w:pPr>
              <w:pStyle w:val="BodyTextIndent3"/>
              <w:ind w:left="0"/>
              <w:rPr>
                <w:sz w:val="20"/>
                <w:szCs w:val="20"/>
              </w:rPr>
            </w:pPr>
            <w:r w:rsidRPr="00CF2A96">
              <w:rPr>
                <w:sz w:val="20"/>
                <w:szCs w:val="20"/>
              </w:rPr>
              <w:t>$1</w:t>
            </w:r>
          </w:p>
        </w:tc>
        <w:tc>
          <w:tcPr>
            <w:tcW w:w="0" w:type="auto"/>
          </w:tcPr>
          <w:p w:rsidRPr="00CF2A96" w:rsidR="00F4672D" w:rsidP="00C435A5" w:rsidRDefault="00F4672D" w14:paraId="74B5D511" w14:textId="77777777">
            <w:pPr>
              <w:pStyle w:val="BodyTextIndent3"/>
              <w:ind w:left="0"/>
              <w:rPr>
                <w:sz w:val="20"/>
                <w:szCs w:val="20"/>
              </w:rPr>
            </w:pPr>
            <w:r w:rsidRPr="00CF2A96">
              <w:rPr>
                <w:sz w:val="20"/>
                <w:szCs w:val="20"/>
              </w:rPr>
              <w:t>$5</w:t>
            </w:r>
          </w:p>
        </w:tc>
        <w:tc>
          <w:tcPr>
            <w:tcW w:w="0" w:type="auto"/>
          </w:tcPr>
          <w:p w:rsidRPr="00CF2A96" w:rsidR="00F4672D" w:rsidP="00C435A5" w:rsidRDefault="00F4672D" w14:paraId="7EBBD8EB" w14:textId="77777777">
            <w:pPr>
              <w:pStyle w:val="BodyTextIndent3"/>
              <w:ind w:left="0"/>
              <w:rPr>
                <w:sz w:val="20"/>
                <w:szCs w:val="20"/>
              </w:rPr>
            </w:pPr>
            <w:r w:rsidRPr="00CF2A96">
              <w:rPr>
                <w:sz w:val="20"/>
                <w:szCs w:val="20"/>
              </w:rPr>
              <w:t>$10</w:t>
            </w:r>
          </w:p>
        </w:tc>
      </w:tr>
      <w:tr w:rsidR="00F4672D" w:rsidTr="00C435A5" w14:paraId="37F82617" w14:textId="77777777">
        <w:tc>
          <w:tcPr>
            <w:tcW w:w="0" w:type="auto"/>
          </w:tcPr>
          <w:p w:rsidRPr="00CF2A96" w:rsidR="00F4672D" w:rsidP="00C435A5" w:rsidRDefault="00F4672D" w14:paraId="7CF05EB2" w14:textId="77777777">
            <w:pPr>
              <w:pStyle w:val="BodyTextIndent3"/>
              <w:ind w:left="0"/>
              <w:rPr>
                <w:sz w:val="20"/>
                <w:szCs w:val="20"/>
              </w:rPr>
            </w:pPr>
            <w:r w:rsidRPr="00CF2A96">
              <w:rPr>
                <w:sz w:val="20"/>
                <w:szCs w:val="20"/>
              </w:rPr>
              <w:t>Proportion</w:t>
            </w:r>
          </w:p>
        </w:tc>
        <w:tc>
          <w:tcPr>
            <w:tcW w:w="0" w:type="auto"/>
          </w:tcPr>
          <w:p w:rsidRPr="00CF2A96" w:rsidR="00F4672D" w:rsidP="00C435A5" w:rsidRDefault="00F4672D" w14:paraId="2C6DD2CB" w14:textId="77777777">
            <w:pPr>
              <w:pStyle w:val="BodyTextIndent3"/>
              <w:ind w:left="0"/>
              <w:rPr>
                <w:sz w:val="20"/>
                <w:szCs w:val="20"/>
              </w:rPr>
            </w:pPr>
            <w:r w:rsidRPr="00CF2A96">
              <w:rPr>
                <w:sz w:val="20"/>
                <w:szCs w:val="20"/>
              </w:rPr>
              <w:t>70%</w:t>
            </w:r>
          </w:p>
        </w:tc>
        <w:tc>
          <w:tcPr>
            <w:tcW w:w="0" w:type="auto"/>
          </w:tcPr>
          <w:p w:rsidRPr="00CF2A96" w:rsidR="00F4672D" w:rsidP="00C435A5" w:rsidRDefault="00F4672D" w14:paraId="0C3C809A" w14:textId="77777777">
            <w:pPr>
              <w:pStyle w:val="BodyTextIndent3"/>
              <w:ind w:left="0"/>
              <w:rPr>
                <w:sz w:val="20"/>
                <w:szCs w:val="20"/>
              </w:rPr>
            </w:pPr>
            <w:r w:rsidRPr="00CF2A96">
              <w:rPr>
                <w:sz w:val="20"/>
                <w:szCs w:val="20"/>
              </w:rPr>
              <w:t>7.5%</w:t>
            </w:r>
          </w:p>
        </w:tc>
        <w:tc>
          <w:tcPr>
            <w:tcW w:w="0" w:type="auto"/>
          </w:tcPr>
          <w:p w:rsidRPr="00CF2A96" w:rsidR="00F4672D" w:rsidP="00C435A5" w:rsidRDefault="00F4672D" w14:paraId="081E5908" w14:textId="77777777">
            <w:pPr>
              <w:pStyle w:val="BodyTextIndent3"/>
              <w:ind w:left="0"/>
              <w:rPr>
                <w:sz w:val="20"/>
                <w:szCs w:val="20"/>
              </w:rPr>
            </w:pPr>
            <w:r w:rsidRPr="00CF2A96">
              <w:rPr>
                <w:sz w:val="20"/>
                <w:szCs w:val="20"/>
              </w:rPr>
              <w:t>7.5%</w:t>
            </w:r>
          </w:p>
        </w:tc>
        <w:tc>
          <w:tcPr>
            <w:tcW w:w="0" w:type="auto"/>
          </w:tcPr>
          <w:p w:rsidRPr="00CF2A96" w:rsidR="00F4672D" w:rsidP="00C435A5" w:rsidRDefault="00F4672D" w14:paraId="0F4A4D85" w14:textId="77777777">
            <w:pPr>
              <w:pStyle w:val="BodyTextIndent3"/>
              <w:ind w:left="0"/>
              <w:rPr>
                <w:sz w:val="20"/>
                <w:szCs w:val="20"/>
              </w:rPr>
            </w:pPr>
            <w:r w:rsidRPr="00CF2A96">
              <w:rPr>
                <w:sz w:val="20"/>
                <w:szCs w:val="20"/>
              </w:rPr>
              <w:t>15%</w:t>
            </w:r>
          </w:p>
        </w:tc>
        <w:tc>
          <w:tcPr>
            <w:tcW w:w="0" w:type="auto"/>
          </w:tcPr>
          <w:p w:rsidRPr="00CF2A96" w:rsidR="00F4672D" w:rsidP="00C435A5" w:rsidRDefault="00F4672D" w14:paraId="308C90FA" w14:textId="77777777">
            <w:pPr>
              <w:pStyle w:val="BodyTextIndent3"/>
              <w:ind w:left="0"/>
              <w:rPr>
                <w:sz w:val="20"/>
                <w:szCs w:val="20"/>
              </w:rPr>
            </w:pPr>
            <w:r w:rsidRPr="00CF2A96">
              <w:rPr>
                <w:sz w:val="20"/>
                <w:szCs w:val="20"/>
              </w:rPr>
              <w:t>70%</w:t>
            </w:r>
          </w:p>
        </w:tc>
        <w:tc>
          <w:tcPr>
            <w:tcW w:w="0" w:type="auto"/>
          </w:tcPr>
          <w:p w:rsidRPr="00CF2A96" w:rsidR="00F4672D" w:rsidP="00C435A5" w:rsidRDefault="00F4672D" w14:paraId="1BA2A05D" w14:textId="77777777">
            <w:pPr>
              <w:pStyle w:val="BodyTextIndent3"/>
              <w:ind w:left="0"/>
              <w:rPr>
                <w:sz w:val="20"/>
                <w:szCs w:val="20"/>
              </w:rPr>
            </w:pPr>
            <w:r w:rsidRPr="00CF2A96">
              <w:rPr>
                <w:sz w:val="20"/>
                <w:szCs w:val="20"/>
              </w:rPr>
              <w:t>7.5%</w:t>
            </w:r>
          </w:p>
        </w:tc>
        <w:tc>
          <w:tcPr>
            <w:tcW w:w="0" w:type="auto"/>
          </w:tcPr>
          <w:p w:rsidRPr="00CF2A96" w:rsidR="00F4672D" w:rsidP="00C435A5" w:rsidRDefault="00F4672D" w14:paraId="48EEC595" w14:textId="77777777">
            <w:pPr>
              <w:pStyle w:val="BodyTextIndent3"/>
              <w:ind w:left="0"/>
              <w:rPr>
                <w:sz w:val="20"/>
                <w:szCs w:val="20"/>
              </w:rPr>
            </w:pPr>
            <w:r w:rsidRPr="00CF2A96">
              <w:rPr>
                <w:sz w:val="20"/>
                <w:szCs w:val="20"/>
              </w:rPr>
              <w:t>7.5%</w:t>
            </w:r>
          </w:p>
        </w:tc>
        <w:tc>
          <w:tcPr>
            <w:tcW w:w="0" w:type="auto"/>
          </w:tcPr>
          <w:p w:rsidRPr="00CF2A96" w:rsidR="00F4672D" w:rsidP="00C435A5" w:rsidRDefault="00F4672D" w14:paraId="0B1ECF02" w14:textId="77777777">
            <w:pPr>
              <w:pStyle w:val="BodyTextIndent3"/>
              <w:ind w:left="0"/>
              <w:rPr>
                <w:sz w:val="20"/>
                <w:szCs w:val="20"/>
              </w:rPr>
            </w:pPr>
            <w:r w:rsidRPr="00CF2A96">
              <w:rPr>
                <w:sz w:val="20"/>
                <w:szCs w:val="20"/>
              </w:rPr>
              <w:t>15%</w:t>
            </w:r>
          </w:p>
        </w:tc>
      </w:tr>
      <w:tr w:rsidR="00F4672D" w:rsidTr="00C435A5" w14:paraId="37696F92" w14:textId="77777777">
        <w:tc>
          <w:tcPr>
            <w:tcW w:w="0" w:type="auto"/>
          </w:tcPr>
          <w:p w:rsidRPr="00CF2A96" w:rsidR="00F4672D" w:rsidP="00C435A5" w:rsidRDefault="00F4672D" w14:paraId="45DA1A32" w14:textId="77777777">
            <w:pPr>
              <w:pStyle w:val="BodyTextIndent3"/>
              <w:ind w:left="0"/>
              <w:rPr>
                <w:sz w:val="20"/>
                <w:szCs w:val="20"/>
              </w:rPr>
            </w:pPr>
            <w:r w:rsidRPr="00CF2A96">
              <w:rPr>
                <w:sz w:val="20"/>
                <w:szCs w:val="20"/>
              </w:rPr>
              <w:t>Number</w:t>
            </w:r>
          </w:p>
        </w:tc>
        <w:tc>
          <w:tcPr>
            <w:tcW w:w="0" w:type="auto"/>
          </w:tcPr>
          <w:p w:rsidRPr="00CF2A96" w:rsidR="00F4672D" w:rsidP="00C435A5" w:rsidRDefault="00F4672D" w14:paraId="5B2BC1D6" w14:textId="77777777">
            <w:pPr>
              <w:pStyle w:val="BodyTextIndent3"/>
              <w:ind w:left="0"/>
              <w:rPr>
                <w:sz w:val="20"/>
                <w:szCs w:val="20"/>
              </w:rPr>
            </w:pPr>
            <w:r w:rsidRPr="00CF2A96">
              <w:rPr>
                <w:sz w:val="20"/>
                <w:szCs w:val="20"/>
              </w:rPr>
              <w:t>32,765</w:t>
            </w:r>
          </w:p>
        </w:tc>
        <w:tc>
          <w:tcPr>
            <w:tcW w:w="0" w:type="auto"/>
          </w:tcPr>
          <w:p w:rsidRPr="00CF2A96" w:rsidR="00F4672D" w:rsidP="00C435A5" w:rsidRDefault="00F4672D" w14:paraId="38B80822" w14:textId="77777777">
            <w:pPr>
              <w:pStyle w:val="BodyTextIndent3"/>
              <w:ind w:left="0"/>
              <w:rPr>
                <w:sz w:val="20"/>
                <w:szCs w:val="20"/>
              </w:rPr>
            </w:pPr>
            <w:r w:rsidRPr="00CF2A96">
              <w:rPr>
                <w:sz w:val="20"/>
                <w:szCs w:val="20"/>
              </w:rPr>
              <w:t>3,511</w:t>
            </w:r>
          </w:p>
        </w:tc>
        <w:tc>
          <w:tcPr>
            <w:tcW w:w="0" w:type="auto"/>
          </w:tcPr>
          <w:p w:rsidRPr="00CF2A96" w:rsidR="00F4672D" w:rsidP="00C435A5" w:rsidRDefault="00F4672D" w14:paraId="071CCE95" w14:textId="77777777">
            <w:pPr>
              <w:pStyle w:val="BodyTextIndent3"/>
              <w:ind w:left="0"/>
              <w:rPr>
                <w:sz w:val="20"/>
                <w:szCs w:val="20"/>
              </w:rPr>
            </w:pPr>
            <w:r w:rsidRPr="00CF2A96">
              <w:rPr>
                <w:sz w:val="20"/>
                <w:szCs w:val="20"/>
              </w:rPr>
              <w:t>3,511</w:t>
            </w:r>
          </w:p>
        </w:tc>
        <w:tc>
          <w:tcPr>
            <w:tcW w:w="0" w:type="auto"/>
          </w:tcPr>
          <w:p w:rsidRPr="00CF2A96" w:rsidR="00F4672D" w:rsidP="00C435A5" w:rsidRDefault="00F4672D" w14:paraId="772DCF84" w14:textId="77777777">
            <w:pPr>
              <w:pStyle w:val="BodyTextIndent3"/>
              <w:ind w:left="0"/>
              <w:rPr>
                <w:sz w:val="20"/>
                <w:szCs w:val="20"/>
              </w:rPr>
            </w:pPr>
            <w:r w:rsidRPr="00CF2A96">
              <w:rPr>
                <w:sz w:val="20"/>
                <w:szCs w:val="20"/>
              </w:rPr>
              <w:t>7,021</w:t>
            </w:r>
          </w:p>
        </w:tc>
        <w:tc>
          <w:tcPr>
            <w:tcW w:w="0" w:type="auto"/>
          </w:tcPr>
          <w:p w:rsidRPr="00CF2A96" w:rsidR="00F4672D" w:rsidP="00C435A5" w:rsidRDefault="00F4672D" w14:paraId="337EED4B" w14:textId="77777777">
            <w:pPr>
              <w:pStyle w:val="BodyTextIndent3"/>
              <w:ind w:left="0"/>
              <w:rPr>
                <w:sz w:val="20"/>
                <w:szCs w:val="20"/>
              </w:rPr>
            </w:pPr>
            <w:r w:rsidRPr="00CF2A96">
              <w:rPr>
                <w:sz w:val="20"/>
                <w:szCs w:val="20"/>
              </w:rPr>
              <w:t>32,765</w:t>
            </w:r>
          </w:p>
        </w:tc>
        <w:tc>
          <w:tcPr>
            <w:tcW w:w="0" w:type="auto"/>
          </w:tcPr>
          <w:p w:rsidRPr="00CF2A96" w:rsidR="00F4672D" w:rsidP="00C435A5" w:rsidRDefault="00F4672D" w14:paraId="27623748" w14:textId="77777777">
            <w:pPr>
              <w:pStyle w:val="BodyTextIndent3"/>
              <w:ind w:left="0"/>
              <w:rPr>
                <w:sz w:val="20"/>
                <w:szCs w:val="20"/>
              </w:rPr>
            </w:pPr>
            <w:r w:rsidRPr="00CF2A96">
              <w:rPr>
                <w:sz w:val="20"/>
                <w:szCs w:val="20"/>
              </w:rPr>
              <w:t>3,511</w:t>
            </w:r>
          </w:p>
        </w:tc>
        <w:tc>
          <w:tcPr>
            <w:tcW w:w="0" w:type="auto"/>
          </w:tcPr>
          <w:p w:rsidRPr="00CF2A96" w:rsidR="00F4672D" w:rsidP="00C435A5" w:rsidRDefault="00F4672D" w14:paraId="7DEF813F" w14:textId="77777777">
            <w:pPr>
              <w:pStyle w:val="BodyTextIndent3"/>
              <w:ind w:left="0"/>
              <w:rPr>
                <w:sz w:val="20"/>
                <w:szCs w:val="20"/>
              </w:rPr>
            </w:pPr>
            <w:r w:rsidRPr="00CF2A96">
              <w:rPr>
                <w:sz w:val="20"/>
                <w:szCs w:val="20"/>
              </w:rPr>
              <w:t>3,511</w:t>
            </w:r>
          </w:p>
        </w:tc>
        <w:tc>
          <w:tcPr>
            <w:tcW w:w="0" w:type="auto"/>
          </w:tcPr>
          <w:p w:rsidRPr="00CF2A96" w:rsidR="00F4672D" w:rsidP="00C435A5" w:rsidRDefault="00F4672D" w14:paraId="683E41A6" w14:textId="77777777">
            <w:pPr>
              <w:pStyle w:val="BodyTextIndent3"/>
              <w:ind w:left="0"/>
              <w:rPr>
                <w:sz w:val="20"/>
                <w:szCs w:val="20"/>
              </w:rPr>
            </w:pPr>
            <w:r w:rsidRPr="00CF2A96">
              <w:rPr>
                <w:sz w:val="20"/>
                <w:szCs w:val="20"/>
              </w:rPr>
              <w:t>7,021</w:t>
            </w:r>
          </w:p>
        </w:tc>
      </w:tr>
      <w:tr w:rsidR="00F4672D" w:rsidTr="00C435A5" w14:paraId="795782BC" w14:textId="77777777">
        <w:tc>
          <w:tcPr>
            <w:tcW w:w="0" w:type="auto"/>
          </w:tcPr>
          <w:p w:rsidRPr="00CF2A96" w:rsidR="00F4672D" w:rsidP="00C435A5" w:rsidRDefault="00F4672D" w14:paraId="62EA0DF4" w14:textId="77777777">
            <w:pPr>
              <w:pStyle w:val="BodyTextIndent3"/>
              <w:ind w:left="0"/>
              <w:rPr>
                <w:sz w:val="20"/>
                <w:szCs w:val="20"/>
              </w:rPr>
            </w:pPr>
            <w:r w:rsidRPr="00CF2A96">
              <w:rPr>
                <w:sz w:val="20"/>
                <w:szCs w:val="20"/>
              </w:rPr>
              <w:t>Total cost</w:t>
            </w:r>
          </w:p>
        </w:tc>
        <w:tc>
          <w:tcPr>
            <w:tcW w:w="0" w:type="auto"/>
          </w:tcPr>
          <w:p w:rsidRPr="00CF2A96" w:rsidR="00F4672D" w:rsidP="00C435A5" w:rsidRDefault="00F4672D" w14:paraId="48262248" w14:textId="77777777">
            <w:pPr>
              <w:pStyle w:val="BodyTextIndent3"/>
              <w:ind w:left="0"/>
              <w:rPr>
                <w:sz w:val="20"/>
                <w:szCs w:val="20"/>
              </w:rPr>
            </w:pPr>
            <w:r w:rsidRPr="00CF2A96">
              <w:rPr>
                <w:sz w:val="20"/>
                <w:szCs w:val="20"/>
              </w:rPr>
              <w:t>$0</w:t>
            </w:r>
          </w:p>
        </w:tc>
        <w:tc>
          <w:tcPr>
            <w:tcW w:w="0" w:type="auto"/>
          </w:tcPr>
          <w:p w:rsidRPr="00CF2A96" w:rsidR="00F4672D" w:rsidP="00C435A5" w:rsidRDefault="00F4672D" w14:paraId="79FDF96C" w14:textId="77777777">
            <w:pPr>
              <w:pStyle w:val="BodyTextIndent3"/>
              <w:ind w:left="0"/>
              <w:rPr>
                <w:sz w:val="20"/>
                <w:szCs w:val="20"/>
              </w:rPr>
            </w:pPr>
            <w:r w:rsidRPr="00CF2A96">
              <w:rPr>
                <w:sz w:val="20"/>
                <w:szCs w:val="20"/>
              </w:rPr>
              <w:t>$3,511</w:t>
            </w:r>
          </w:p>
        </w:tc>
        <w:tc>
          <w:tcPr>
            <w:tcW w:w="0" w:type="auto"/>
          </w:tcPr>
          <w:p w:rsidRPr="00CF2A96" w:rsidR="00F4672D" w:rsidP="00C435A5" w:rsidRDefault="00F4672D" w14:paraId="1F569933" w14:textId="77777777">
            <w:pPr>
              <w:pStyle w:val="BodyTextIndent3"/>
              <w:ind w:left="0"/>
              <w:rPr>
                <w:sz w:val="20"/>
                <w:szCs w:val="20"/>
              </w:rPr>
            </w:pPr>
            <w:r w:rsidRPr="00CF2A96">
              <w:rPr>
                <w:sz w:val="20"/>
                <w:szCs w:val="20"/>
              </w:rPr>
              <w:t>$17,555</w:t>
            </w:r>
          </w:p>
        </w:tc>
        <w:tc>
          <w:tcPr>
            <w:tcW w:w="0" w:type="auto"/>
          </w:tcPr>
          <w:p w:rsidRPr="00CF2A96" w:rsidR="00F4672D" w:rsidP="00C435A5" w:rsidRDefault="00F4672D" w14:paraId="584001D5" w14:textId="77777777">
            <w:pPr>
              <w:pStyle w:val="BodyTextIndent3"/>
              <w:ind w:left="0"/>
              <w:rPr>
                <w:sz w:val="20"/>
                <w:szCs w:val="20"/>
              </w:rPr>
            </w:pPr>
            <w:r w:rsidRPr="00CF2A96">
              <w:rPr>
                <w:sz w:val="20"/>
                <w:szCs w:val="20"/>
              </w:rPr>
              <w:t>$70,021</w:t>
            </w:r>
          </w:p>
        </w:tc>
        <w:tc>
          <w:tcPr>
            <w:tcW w:w="0" w:type="auto"/>
          </w:tcPr>
          <w:p w:rsidRPr="00CF2A96" w:rsidR="00F4672D" w:rsidP="00C435A5" w:rsidRDefault="00F4672D" w14:paraId="2A932D16" w14:textId="77777777">
            <w:pPr>
              <w:pStyle w:val="BodyTextIndent3"/>
              <w:ind w:left="0"/>
              <w:rPr>
                <w:sz w:val="20"/>
                <w:szCs w:val="20"/>
              </w:rPr>
            </w:pPr>
            <w:r w:rsidRPr="00CF2A96">
              <w:rPr>
                <w:sz w:val="20"/>
                <w:szCs w:val="20"/>
              </w:rPr>
              <w:t>$0</w:t>
            </w:r>
          </w:p>
        </w:tc>
        <w:tc>
          <w:tcPr>
            <w:tcW w:w="0" w:type="auto"/>
          </w:tcPr>
          <w:p w:rsidRPr="00CF2A96" w:rsidR="00F4672D" w:rsidP="00C435A5" w:rsidRDefault="00F4672D" w14:paraId="6B355D43" w14:textId="77777777">
            <w:pPr>
              <w:pStyle w:val="BodyTextIndent3"/>
              <w:ind w:left="0"/>
              <w:rPr>
                <w:sz w:val="20"/>
                <w:szCs w:val="20"/>
              </w:rPr>
            </w:pPr>
            <w:r w:rsidRPr="00CF2A96">
              <w:rPr>
                <w:sz w:val="20"/>
                <w:szCs w:val="20"/>
              </w:rPr>
              <w:t>$3,511</w:t>
            </w:r>
          </w:p>
        </w:tc>
        <w:tc>
          <w:tcPr>
            <w:tcW w:w="0" w:type="auto"/>
          </w:tcPr>
          <w:p w:rsidRPr="00CF2A96" w:rsidR="00F4672D" w:rsidP="00C435A5" w:rsidRDefault="00F4672D" w14:paraId="7947BCFC" w14:textId="77777777">
            <w:pPr>
              <w:pStyle w:val="BodyTextIndent3"/>
              <w:ind w:left="0"/>
              <w:rPr>
                <w:sz w:val="20"/>
                <w:szCs w:val="20"/>
              </w:rPr>
            </w:pPr>
            <w:r w:rsidRPr="00CF2A96">
              <w:rPr>
                <w:sz w:val="20"/>
                <w:szCs w:val="20"/>
              </w:rPr>
              <w:t>$17,555</w:t>
            </w:r>
          </w:p>
        </w:tc>
        <w:tc>
          <w:tcPr>
            <w:tcW w:w="0" w:type="auto"/>
          </w:tcPr>
          <w:p w:rsidRPr="00CF2A96" w:rsidR="00F4672D" w:rsidP="00C435A5" w:rsidRDefault="00F4672D" w14:paraId="502A143F" w14:textId="77777777">
            <w:pPr>
              <w:pStyle w:val="BodyTextIndent3"/>
              <w:ind w:left="0"/>
              <w:rPr>
                <w:sz w:val="20"/>
                <w:szCs w:val="20"/>
              </w:rPr>
            </w:pPr>
            <w:r w:rsidRPr="00CF2A96">
              <w:rPr>
                <w:sz w:val="20"/>
                <w:szCs w:val="20"/>
              </w:rPr>
              <w:t>$70,021</w:t>
            </w:r>
          </w:p>
        </w:tc>
      </w:tr>
      <w:tr w:rsidR="00F4672D" w:rsidTr="00C435A5" w14:paraId="6805F488" w14:textId="77777777">
        <w:tc>
          <w:tcPr>
            <w:tcW w:w="0" w:type="auto"/>
          </w:tcPr>
          <w:p w:rsidRPr="00CF2A96" w:rsidR="00F4672D" w:rsidP="00C435A5" w:rsidRDefault="00F4672D" w14:paraId="2D3F5BF0" w14:textId="77777777">
            <w:pPr>
              <w:pStyle w:val="BodyTextIndent3"/>
              <w:ind w:left="0"/>
              <w:rPr>
                <w:b/>
                <w:sz w:val="20"/>
                <w:szCs w:val="20"/>
              </w:rPr>
            </w:pPr>
            <w:r w:rsidRPr="00CF2A96">
              <w:rPr>
                <w:b/>
                <w:sz w:val="20"/>
                <w:szCs w:val="20"/>
              </w:rPr>
              <w:t>Total</w:t>
            </w:r>
          </w:p>
        </w:tc>
        <w:tc>
          <w:tcPr>
            <w:tcW w:w="0" w:type="auto"/>
            <w:gridSpan w:val="8"/>
          </w:tcPr>
          <w:p w:rsidRPr="00CF2A96" w:rsidR="00F4672D" w:rsidP="00C435A5" w:rsidRDefault="00F4672D" w14:paraId="72B6C08E" w14:textId="77777777">
            <w:pPr>
              <w:pStyle w:val="BodyTextIndent3"/>
              <w:jc w:val="right"/>
              <w:rPr>
                <w:b/>
                <w:sz w:val="20"/>
                <w:szCs w:val="20"/>
              </w:rPr>
            </w:pPr>
            <w:r w:rsidRPr="00CF2A96">
              <w:rPr>
                <w:b/>
                <w:sz w:val="20"/>
                <w:szCs w:val="20"/>
              </w:rPr>
              <w:t>$182,572</w:t>
            </w:r>
          </w:p>
        </w:tc>
      </w:tr>
    </w:tbl>
    <w:p w:rsidR="00F4672D" w:rsidP="00F4672D" w:rsidRDefault="00F4672D" w14:paraId="4782E371" w14:textId="77777777">
      <w:pPr>
        <w:pStyle w:val="BodyTextIndent3"/>
        <w:ind w:left="1350"/>
      </w:pPr>
    </w:p>
    <w:p w:rsidRPr="00FA0BAE" w:rsidR="00F4672D" w:rsidP="00F4672D" w:rsidRDefault="00F4672D" w14:paraId="04CF8238" w14:textId="77777777">
      <w:pPr>
        <w:ind w:left="990"/>
      </w:pPr>
      <w:r w:rsidRPr="00FA0BAE">
        <w:t>The precise design of the experiment is detailed in the attached Project Design Document.</w:t>
      </w:r>
    </w:p>
    <w:p w:rsidR="00F4672D" w:rsidP="00F4672D" w:rsidRDefault="00F4672D" w14:paraId="27C35B30" w14:textId="77777777"/>
    <w:p w:rsidR="003F6DE5" w:rsidP="00C94D42" w:rsidRDefault="003F6DE5" w14:paraId="35F65718" w14:textId="77777777">
      <w:pPr>
        <w:pStyle w:val="BodyTextIndent3"/>
        <w:numPr>
          <w:ilvl w:val="0"/>
          <w:numId w:val="0"/>
        </w:numPr>
        <w:ind w:left="2070"/>
      </w:pPr>
    </w:p>
    <w:p w:rsidR="000B2AB7" w:rsidP="009D75E2" w:rsidRDefault="000B2AB7" w14:paraId="15F317F0" w14:textId="77777777">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rPr>
      </w:pPr>
      <w:r>
        <w:rPr>
          <w:rFonts w:ascii="Times New Roman" w:hAnsi="Times New Roman"/>
          <w:b/>
          <w:bCs/>
        </w:rPr>
        <w:lastRenderedPageBreak/>
        <w:t xml:space="preserve"> Assurance of Confidentiality</w:t>
      </w:r>
    </w:p>
    <w:p w:rsidR="000B2AB7" w:rsidP="002977DE" w:rsidRDefault="000B2AB7" w14:paraId="29EA1DF1" w14:textId="77777777">
      <w:pPr>
        <w:ind w:left="333"/>
      </w:pPr>
    </w:p>
    <w:p w:rsidR="000B2AB7" w:rsidP="002977DE" w:rsidRDefault="000B2AB7" w14:paraId="158B7288" w14:textId="77777777">
      <w:pPr>
        <w:pStyle w:val="BodyTextIndent3"/>
        <w:numPr>
          <w:ilvl w:val="0"/>
          <w:numId w:val="0"/>
        </w:numPr>
        <w:ind w:left="1413"/>
      </w:pPr>
      <w:r>
        <w:t xml:space="preserve">The Census Bureau collects these data in compliance with the Privacy Act of 1974 and OMB Circular A-108.  The Census Bureau will send each sample address a letter </w:t>
      </w:r>
      <w:r w:rsidR="009E4EC4">
        <w:t>(AHS</w:t>
      </w:r>
      <w:r w:rsidR="00CD7147">
        <w:t>-26/</w:t>
      </w:r>
      <w:r w:rsidR="009E4EC4">
        <w:t>66</w:t>
      </w:r>
      <w:r w:rsidR="00CD7147">
        <w:t>(L)</w:t>
      </w:r>
      <w:r w:rsidR="009E4EC4">
        <w:t xml:space="preserve">) </w:t>
      </w:r>
      <w:r>
        <w:t xml:space="preserve">in advance of the interview containing the information required by this act.  </w:t>
      </w:r>
    </w:p>
    <w:p w:rsidR="000B2AB7" w:rsidP="002977DE" w:rsidRDefault="000B2AB7" w14:paraId="21B585ED" w14:textId="77777777">
      <w:pPr>
        <w:ind w:left="333"/>
      </w:pPr>
    </w:p>
    <w:p w:rsidRPr="000D2EDB" w:rsidR="000B2AB7" w:rsidP="002977DE" w:rsidRDefault="000B2AB7" w14:paraId="4BDFA99E" w14:textId="77777777">
      <w:pPr>
        <w:pStyle w:val="BodyTextIndent3"/>
        <w:numPr>
          <w:ilvl w:val="0"/>
          <w:numId w:val="0"/>
        </w:numPr>
        <w:ind w:left="1413"/>
      </w:pPr>
      <w:r w:rsidRPr="000D2EDB">
        <w:t xml:space="preserve">The Advance Letter informs the respondents of the voluntary nature of this survey and states that there are no penalties for failure to answer any question.  The letter explains why the information is being collected, how it will be used, and that it will take approximately </w:t>
      </w:r>
      <w:r w:rsidRPr="000D2EDB" w:rsidR="00AB041D">
        <w:t xml:space="preserve">40 </w:t>
      </w:r>
      <w:r w:rsidRPr="000D2EDB">
        <w:t>minutes to complete the interview.  The letter displays the OMB control number and date of expiration.</w:t>
      </w:r>
    </w:p>
    <w:p w:rsidRPr="000D2EDB" w:rsidR="000B2AB7" w:rsidP="002977DE" w:rsidRDefault="000B2AB7" w14:paraId="5E7AE80A" w14:textId="77777777">
      <w:pPr>
        <w:pStyle w:val="BodyTextIndent3"/>
        <w:numPr>
          <w:ilvl w:val="0"/>
          <w:numId w:val="0"/>
        </w:numPr>
        <w:ind w:left="1413"/>
      </w:pPr>
    </w:p>
    <w:p w:rsidRPr="000D2EDB" w:rsidR="000B2AB7" w:rsidP="002977DE" w:rsidRDefault="000B2AB7" w14:paraId="2C24B913" w14:textId="37A938A2">
      <w:pPr>
        <w:pStyle w:val="BodyTextIndent3"/>
        <w:numPr>
          <w:ilvl w:val="0"/>
          <w:numId w:val="0"/>
        </w:numPr>
        <w:ind w:left="1413"/>
      </w:pPr>
      <w:r w:rsidRPr="009C5958">
        <w:t>As part of the introduction for personal-visit households, the Census Bureau FRs will ask the respondents if they received the Advance Letter.  If not, the FRs will give the letter to the respondents and allow them sufficient time to read the contents.  We also display the</w:t>
      </w:r>
      <w:r w:rsidRPr="009C5958" w:rsidR="00655F91">
        <w:t xml:space="preserve"> program website and the</w:t>
      </w:r>
      <w:r w:rsidRPr="009C5958">
        <w:t xml:space="preserve"> toll-free phone number of the regional office for which the FR works as a way for the respondent to authenticate her/his employment with the Census Bureau.</w:t>
      </w:r>
      <w:r w:rsidRPr="009C5958" w:rsidR="0029682C">
        <w:t xml:space="preserve">  For interviews conducted by telephone, FRs will read to the respondents a condensed version of the advance letter that includes the information required by the Privacy Act.</w:t>
      </w:r>
    </w:p>
    <w:p w:rsidRPr="000D2EDB" w:rsidR="000B2AB7" w:rsidP="002977DE" w:rsidRDefault="000B2AB7" w14:paraId="17DCE7E5" w14:textId="77777777">
      <w:pPr>
        <w:pStyle w:val="BodyTextIndent3"/>
        <w:numPr>
          <w:ilvl w:val="0"/>
          <w:numId w:val="0"/>
        </w:numPr>
        <w:ind w:left="1413"/>
      </w:pPr>
    </w:p>
    <w:p w:rsidRPr="000D2EDB" w:rsidR="000B2AB7" w:rsidP="002977DE" w:rsidRDefault="000B2AB7" w14:paraId="10B8F571" w14:textId="77777777">
      <w:pPr>
        <w:pStyle w:val="BodyTextIndent3"/>
        <w:numPr>
          <w:ilvl w:val="0"/>
          <w:numId w:val="0"/>
        </w:numPr>
        <w:ind w:left="1413"/>
      </w:pPr>
      <w:r w:rsidRPr="000D2EDB">
        <w:t>After the interview is completed, the FRs will give the respondents a "Thank You" Letter (AHS</w:t>
      </w:r>
      <w:r w:rsidRPr="000D2EDB" w:rsidR="00CD7147">
        <w:t>-</w:t>
      </w:r>
      <w:r w:rsidRPr="000D2EDB">
        <w:t xml:space="preserve">28/68(L)).  Both the Advance Letter and the Thank You </w:t>
      </w:r>
      <w:r w:rsidRPr="000D2EDB" w:rsidR="00CD7147">
        <w:t xml:space="preserve">Letter </w:t>
      </w:r>
      <w:r w:rsidRPr="000D2EDB">
        <w:t>state that all information respondents give to the Census Bureau employees is held in strict confidence by Title 13, United States Code.  Each FR has taken an oath to this effect and is subject to a jail term, fine, or both, if he/she discloses any information given him/her.</w:t>
      </w:r>
    </w:p>
    <w:p w:rsidRPr="000D2EDB" w:rsidR="000B2AB7" w:rsidP="002977DE" w:rsidRDefault="000B2AB7" w14:paraId="22AC9AD6" w14:textId="77777777">
      <w:pPr>
        <w:pStyle w:val="BodyTextIndent3"/>
        <w:numPr>
          <w:ilvl w:val="0"/>
          <w:numId w:val="0"/>
        </w:numPr>
        <w:ind w:left="1413"/>
      </w:pPr>
    </w:p>
    <w:p w:rsidRPr="000D2EDB" w:rsidR="000B2AB7" w:rsidP="002977DE" w:rsidRDefault="000B2AB7" w14:paraId="52BCD2B7" w14:textId="32C95921">
      <w:pPr>
        <w:pStyle w:val="BodyTextIndent3"/>
        <w:numPr>
          <w:ilvl w:val="0"/>
          <w:numId w:val="0"/>
        </w:numPr>
        <w:ind w:left="1413"/>
      </w:pPr>
      <w:r w:rsidRPr="000D2EDB">
        <w:t>The data collected under this agreement are confidential under Title 13, U.S.C., Section 9</w:t>
      </w:r>
      <w:r w:rsidR="00FA69D8">
        <w:t>(a)</w:t>
      </w:r>
      <w:r w:rsidRPr="000D2EDB">
        <w:t xml:space="preserve">.  Should </w:t>
      </w:r>
      <w:r w:rsidRPr="000D2EDB" w:rsidR="008C6429">
        <w:t>HUD</w:t>
      </w:r>
      <w:r w:rsidRPr="000D2EDB">
        <w:t xml:space="preserve"> staff require access to Title 13 data from this survey to assist in the planning, data collection, data analysis, or production of final products, those staff members are required to obtain Census Bureau Special Sworn Status (SSS).  They must demonstrate that they have suitable background </w:t>
      </w:r>
      <w:proofErr w:type="gramStart"/>
      <w:r w:rsidRPr="000D2EDB">
        <w:t>clearance</w:t>
      </w:r>
      <w:proofErr w:type="gramEnd"/>
      <w:r w:rsidRPr="000D2EDB">
        <w:t xml:space="preserve"> and they must take Title 13 Awareness Training.</w:t>
      </w:r>
    </w:p>
    <w:p w:rsidRPr="000D2EDB" w:rsidR="000B2AB7" w:rsidP="002977DE" w:rsidRDefault="000B2AB7" w14:paraId="30ECA18E" w14:textId="77777777">
      <w:pPr>
        <w:ind w:left="333"/>
      </w:pPr>
    </w:p>
    <w:p w:rsidRPr="000D2EDB" w:rsidR="000B2AB7" w:rsidP="002977DE" w:rsidRDefault="000B2AB7" w14:paraId="00FE8DB8" w14:textId="77777777">
      <w:pPr>
        <w:pStyle w:val="BodyTextIndent3"/>
        <w:numPr>
          <w:ilvl w:val="0"/>
          <w:numId w:val="0"/>
        </w:numPr>
        <w:ind w:left="1413"/>
      </w:pPr>
      <w:r w:rsidRPr="000D2EDB">
        <w:t xml:space="preserve">Any access to Title 13 data at </w:t>
      </w:r>
      <w:r w:rsidRPr="000D2EDB" w:rsidR="008C6429">
        <w:t>HUD</w:t>
      </w:r>
      <w:r w:rsidRPr="000D2EDB">
        <w:t xml:space="preserve"> is subject to prior approval by the Census Bureau's Data Stewardship Executive Policy Committee upon assurance that the HUD facility and information technology security meet Census Bureau requirements.</w:t>
      </w:r>
    </w:p>
    <w:p w:rsidR="000B2AB7" w:rsidP="002977DE" w:rsidRDefault="000B2AB7" w14:paraId="408F8A1C" w14:textId="0DFC38F4">
      <w:pPr>
        <w:ind w:left="333"/>
      </w:pPr>
    </w:p>
    <w:p w:rsidR="00E109D6" w:rsidP="002977DE" w:rsidRDefault="00E109D6" w14:paraId="2021B093" w14:textId="477FB944">
      <w:pPr>
        <w:ind w:left="333"/>
      </w:pPr>
    </w:p>
    <w:p w:rsidRPr="000D2EDB" w:rsidR="00E109D6" w:rsidP="002977DE" w:rsidRDefault="00E109D6" w14:paraId="09F33295" w14:textId="77777777">
      <w:pPr>
        <w:ind w:left="333"/>
      </w:pPr>
    </w:p>
    <w:p w:rsidRPr="002D5DC1" w:rsidR="002D5DC1" w:rsidP="002D5DC1" w:rsidRDefault="000B2AB7" w14:paraId="64B9C125" w14:textId="5D2BB79A">
      <w:pPr>
        <w:pStyle w:val="Level1"/>
        <w:keepLines/>
        <w:numPr>
          <w:ilvl w:val="0"/>
          <w:numId w:val="1"/>
        </w:numPr>
        <w:tabs>
          <w:tab w:val="left" w:pos="360"/>
          <w:tab w:val="left" w:pos="432"/>
          <w:tab w:val="left" w:pos="720"/>
          <w:tab w:val="left" w:pos="864"/>
          <w:tab w:val="left" w:pos="1022"/>
          <w:tab w:val="left" w:pos="1296"/>
          <w:tab w:val="num" w:pos="1413"/>
          <w:tab w:val="left" w:pos="1728"/>
          <w:tab w:val="left" w:pos="2160"/>
        </w:tabs>
        <w:spacing w:after="80"/>
        <w:ind w:left="1413"/>
        <w:rPr>
          <w:rFonts w:ascii="Times New Roman" w:hAnsi="Times New Roman"/>
        </w:rPr>
      </w:pPr>
      <w:r w:rsidRPr="002D5DC1">
        <w:rPr>
          <w:rFonts w:ascii="Times New Roman" w:hAnsi="Times New Roman"/>
          <w:b/>
          <w:bCs/>
        </w:rPr>
        <w:t xml:space="preserve"> Justification for Sensitive Questions</w:t>
      </w:r>
      <w:r w:rsidR="00F02DE2">
        <w:rPr>
          <w:rFonts w:ascii="Times New Roman" w:hAnsi="Times New Roman"/>
          <w:b/>
          <w:bCs/>
        </w:rPr>
        <w:t xml:space="preserve"> </w:t>
      </w:r>
    </w:p>
    <w:p w:rsidRPr="000D2EDB" w:rsidR="000B2AB7" w:rsidP="002977DE" w:rsidRDefault="000B2AB7" w14:paraId="1748A9FB" w14:textId="77777777">
      <w:pPr>
        <w:numPr>
          <w:ilvl w:val="12"/>
          <w:numId w:val="0"/>
        </w:numPr>
        <w:ind w:left="333"/>
      </w:pPr>
    </w:p>
    <w:p w:rsidRPr="00AE3B03" w:rsidR="000B2AB7" w:rsidP="002977DE" w:rsidRDefault="000B2AB7" w14:paraId="59ADB19D" w14:textId="77777777">
      <w:pPr>
        <w:pStyle w:val="BodyTextIndent3"/>
        <w:ind w:left="1413"/>
      </w:pPr>
      <w:r w:rsidRPr="00AE3B03">
        <w:t>The survey does not include any questions of a sensitive nature.</w:t>
      </w:r>
    </w:p>
    <w:p w:rsidR="003010BC" w:rsidRDefault="003010BC" w14:paraId="43BBE1C1" w14:textId="20C72664"/>
    <w:p w:rsidRPr="00AE3B03" w:rsidR="000B2AB7" w:rsidP="000D2EDB" w:rsidRDefault="000B2AB7" w14:paraId="11929D79" w14:textId="0D45A447">
      <w:pPr>
        <w:pStyle w:val="Level1"/>
        <w:numPr>
          <w:ilvl w:val="0"/>
          <w:numId w:val="1"/>
        </w:numPr>
        <w:tabs>
          <w:tab w:val="left" w:pos="432"/>
          <w:tab w:val="left" w:pos="720"/>
          <w:tab w:val="left" w:pos="864"/>
          <w:tab w:val="left" w:pos="1022"/>
          <w:tab w:val="left" w:pos="1296"/>
          <w:tab w:val="num" w:pos="1413"/>
          <w:tab w:val="left" w:pos="1728"/>
          <w:tab w:val="left" w:pos="2160"/>
        </w:tabs>
        <w:rPr>
          <w:rFonts w:ascii="Times New Roman" w:hAnsi="Times New Roman"/>
          <w:b/>
        </w:rPr>
      </w:pPr>
      <w:r w:rsidRPr="00AE3B03">
        <w:rPr>
          <w:rFonts w:ascii="Times New Roman" w:hAnsi="Times New Roman"/>
        </w:rPr>
        <w:t xml:space="preserve"> </w:t>
      </w:r>
      <w:r w:rsidRPr="00AE3B03">
        <w:rPr>
          <w:rFonts w:ascii="Times New Roman" w:hAnsi="Times New Roman"/>
          <w:b/>
        </w:rPr>
        <w:t xml:space="preserve">Estimate of Hour Burden </w:t>
      </w:r>
    </w:p>
    <w:p w:rsidRPr="00AE3B03" w:rsidR="000B2AB7" w:rsidP="002977DE" w:rsidRDefault="000B2AB7" w14:paraId="40AFE507" w14:textId="77777777">
      <w:pPr>
        <w:numPr>
          <w:ilvl w:val="12"/>
          <w:numId w:val="0"/>
        </w:numPr>
        <w:ind w:left="333"/>
      </w:pPr>
    </w:p>
    <w:p w:rsidR="000D2EDB" w:rsidP="000D2EDB" w:rsidRDefault="000D2EDB" w14:paraId="131F61F3" w14:textId="13FEAC28">
      <w:pPr>
        <w:pStyle w:val="BodyTextIndent3"/>
        <w:ind w:left="1413"/>
      </w:pPr>
      <w:r w:rsidRPr="00AE3B03">
        <w:t xml:space="preserve">We estimate the respondent burden hours to be about </w:t>
      </w:r>
      <w:r w:rsidR="00BB5B0C">
        <w:t>63,137</w:t>
      </w:r>
      <w:r w:rsidRPr="00AE3B03">
        <w:t xml:space="preserve"> hours. </w:t>
      </w:r>
      <w:r w:rsidRPr="00AE3B03" w:rsidR="00E5505E">
        <w:t xml:space="preserve"> </w:t>
      </w:r>
      <w:r w:rsidR="007B4646">
        <w:t>R</w:t>
      </w:r>
      <w:r w:rsidRPr="00AE3B03" w:rsidR="00E5505E">
        <w:t xml:space="preserve">efer to the </w:t>
      </w:r>
      <w:r w:rsidR="007B4646">
        <w:t xml:space="preserve">following </w:t>
      </w:r>
      <w:r w:rsidRPr="00AE3B03" w:rsidR="00E5505E">
        <w:t xml:space="preserve">table </w:t>
      </w:r>
      <w:r w:rsidRPr="00AE3B03">
        <w:t>for more detailed information.</w:t>
      </w:r>
    </w:p>
    <w:p w:rsidR="00460883" w:rsidP="000D2EDB" w:rsidRDefault="00460883" w14:paraId="6EFEAD5B" w14:textId="3B4D5FE5">
      <w:pPr>
        <w:pStyle w:val="BodyTextIndent3"/>
        <w:ind w:left="1413"/>
      </w:pPr>
    </w:p>
    <w:tbl>
      <w:tblPr>
        <w:tblW w:w="9540" w:type="dxa"/>
        <w:tblInd w:w="260" w:type="dxa"/>
        <w:tblLayout w:type="fixed"/>
        <w:tblCellMar>
          <w:left w:w="0" w:type="dxa"/>
          <w:right w:w="0" w:type="dxa"/>
        </w:tblCellMar>
        <w:tblLook w:val="04A0" w:firstRow="1" w:lastRow="0" w:firstColumn="1" w:lastColumn="0" w:noHBand="0" w:noVBand="1"/>
      </w:tblPr>
      <w:tblGrid>
        <w:gridCol w:w="1800"/>
        <w:gridCol w:w="1260"/>
        <w:gridCol w:w="1260"/>
        <w:gridCol w:w="1260"/>
        <w:gridCol w:w="1080"/>
        <w:gridCol w:w="1080"/>
        <w:gridCol w:w="990"/>
        <w:gridCol w:w="810"/>
      </w:tblGrid>
      <w:tr w:rsidRPr="00997703" w:rsidR="00460883" w:rsidTr="00E84473" w14:paraId="4B9829BD" w14:textId="77777777">
        <w:trPr>
          <w:trHeight w:val="648"/>
        </w:trPr>
        <w:tc>
          <w:tcPr>
            <w:tcW w:w="18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97703" w:rsidR="00460883" w:rsidP="009B72D8" w:rsidRDefault="00460883" w14:paraId="6859094D" w14:textId="77777777">
            <w:pPr>
              <w:overflowPunct w:val="0"/>
              <w:autoSpaceDE w:val="0"/>
              <w:autoSpaceDN w:val="0"/>
              <w:jc w:val="center"/>
              <w:rPr>
                <w:rFonts w:eastAsia="Calibri"/>
                <w:bCs/>
                <w:sz w:val="20"/>
                <w:szCs w:val="20"/>
              </w:rPr>
            </w:pPr>
            <w:r w:rsidRPr="00997703">
              <w:rPr>
                <w:rFonts w:eastAsia="Calibri"/>
                <w:bCs/>
                <w:sz w:val="20"/>
                <w:szCs w:val="20"/>
              </w:rPr>
              <w:t>Information Collection</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703" w:rsidR="00460883" w:rsidP="009B72D8" w:rsidRDefault="00460883" w14:paraId="3AC6C330" w14:textId="77777777">
            <w:pPr>
              <w:overflowPunct w:val="0"/>
              <w:autoSpaceDE w:val="0"/>
              <w:autoSpaceDN w:val="0"/>
              <w:jc w:val="center"/>
              <w:rPr>
                <w:rFonts w:eastAsia="Calibri"/>
                <w:bCs/>
                <w:sz w:val="20"/>
                <w:szCs w:val="20"/>
              </w:rPr>
            </w:pPr>
            <w:r w:rsidRPr="00997703">
              <w:rPr>
                <w:rFonts w:eastAsia="Calibri"/>
                <w:bCs/>
                <w:sz w:val="20"/>
                <w:szCs w:val="20"/>
              </w:rPr>
              <w:t>Number of Respondents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703" w:rsidR="00460883" w:rsidP="009B72D8" w:rsidRDefault="00460883" w14:paraId="763AD7B5" w14:textId="77777777">
            <w:pPr>
              <w:overflowPunct w:val="0"/>
              <w:autoSpaceDE w:val="0"/>
              <w:autoSpaceDN w:val="0"/>
              <w:jc w:val="center"/>
              <w:rPr>
                <w:rFonts w:eastAsia="Calibri"/>
                <w:bCs/>
                <w:sz w:val="20"/>
                <w:szCs w:val="20"/>
              </w:rPr>
            </w:pPr>
            <w:r w:rsidRPr="00997703">
              <w:rPr>
                <w:rFonts w:eastAsia="Calibri"/>
                <w:bCs/>
                <w:sz w:val="20"/>
                <w:szCs w:val="20"/>
              </w:rPr>
              <w:t>Frequency of Response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703" w:rsidR="00460883" w:rsidP="009B72D8" w:rsidRDefault="00460883" w14:paraId="4A7241B3" w14:textId="77777777">
            <w:pPr>
              <w:jc w:val="center"/>
              <w:rPr>
                <w:rFonts w:eastAsia="Calibri"/>
                <w:bCs/>
                <w:sz w:val="20"/>
                <w:szCs w:val="20"/>
              </w:rPr>
            </w:pPr>
            <w:r w:rsidRPr="00997703">
              <w:rPr>
                <w:rFonts w:eastAsia="Calibri"/>
                <w:bCs/>
                <w:sz w:val="20"/>
                <w:szCs w:val="20"/>
              </w:rPr>
              <w:t>Responses</w:t>
            </w:r>
          </w:p>
          <w:p w:rsidRPr="00997703" w:rsidR="00460883" w:rsidP="009B72D8" w:rsidRDefault="00460883" w14:paraId="1C4F4F1D" w14:textId="77777777">
            <w:pPr>
              <w:overflowPunct w:val="0"/>
              <w:autoSpaceDE w:val="0"/>
              <w:autoSpaceDN w:val="0"/>
              <w:jc w:val="center"/>
              <w:rPr>
                <w:rFonts w:eastAsia="Calibri"/>
                <w:bCs/>
                <w:sz w:val="20"/>
                <w:szCs w:val="20"/>
              </w:rPr>
            </w:pPr>
            <w:r w:rsidRPr="00997703">
              <w:rPr>
                <w:rFonts w:eastAsia="Calibri"/>
                <w:bCs/>
                <w:sz w:val="20"/>
                <w:szCs w:val="20"/>
              </w:rPr>
              <w:t>Per Annum</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703" w:rsidR="00460883" w:rsidP="009B72D8" w:rsidRDefault="00460883" w14:paraId="299AD245" w14:textId="77777777">
            <w:pPr>
              <w:overflowPunct w:val="0"/>
              <w:autoSpaceDE w:val="0"/>
              <w:autoSpaceDN w:val="0"/>
              <w:jc w:val="center"/>
              <w:rPr>
                <w:rFonts w:eastAsia="Calibri"/>
                <w:bCs/>
                <w:sz w:val="20"/>
                <w:szCs w:val="20"/>
              </w:rPr>
            </w:pPr>
            <w:r w:rsidRPr="00997703">
              <w:rPr>
                <w:rFonts w:eastAsia="Calibri"/>
                <w:bCs/>
                <w:sz w:val="20"/>
                <w:szCs w:val="20"/>
              </w:rPr>
              <w:t>Burden Hour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703" w:rsidR="00460883" w:rsidP="009B72D8" w:rsidRDefault="00460883" w14:paraId="33816687" w14:textId="77777777">
            <w:pPr>
              <w:overflowPunct w:val="0"/>
              <w:autoSpaceDE w:val="0"/>
              <w:autoSpaceDN w:val="0"/>
              <w:jc w:val="center"/>
              <w:rPr>
                <w:rFonts w:eastAsia="Calibri"/>
                <w:bCs/>
                <w:sz w:val="20"/>
                <w:szCs w:val="20"/>
              </w:rPr>
            </w:pPr>
            <w:r w:rsidRPr="00997703">
              <w:rPr>
                <w:rFonts w:eastAsia="Calibri"/>
                <w:bCs/>
                <w:sz w:val="20"/>
                <w:szCs w:val="20"/>
              </w:rPr>
              <w:t>Annual Burden Hours</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997703" w:rsidR="00460883" w:rsidP="009B72D8" w:rsidRDefault="00460883" w14:paraId="06470B22" w14:textId="77777777">
            <w:pPr>
              <w:overflowPunct w:val="0"/>
              <w:autoSpaceDE w:val="0"/>
              <w:autoSpaceDN w:val="0"/>
              <w:jc w:val="center"/>
              <w:rPr>
                <w:rFonts w:eastAsia="Calibri"/>
                <w:bCs/>
                <w:sz w:val="20"/>
                <w:szCs w:val="20"/>
              </w:rPr>
            </w:pPr>
            <w:r w:rsidRPr="00997703">
              <w:rPr>
                <w:rFonts w:eastAsia="Calibri"/>
                <w:bCs/>
                <w:sz w:val="20"/>
                <w:szCs w:val="20"/>
              </w:rPr>
              <w:t>Hourly Cost Per Response</w:t>
            </w:r>
          </w:p>
        </w:tc>
        <w:tc>
          <w:tcPr>
            <w:tcW w:w="8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6E82D2C4" w14:textId="77777777">
            <w:pPr>
              <w:jc w:val="center"/>
              <w:rPr>
                <w:rFonts w:eastAsia="Calibri"/>
                <w:bCs/>
                <w:sz w:val="20"/>
                <w:szCs w:val="20"/>
              </w:rPr>
            </w:pPr>
            <w:r w:rsidRPr="00997703">
              <w:rPr>
                <w:rFonts w:eastAsia="Calibri"/>
                <w:bCs/>
                <w:sz w:val="20"/>
                <w:szCs w:val="20"/>
              </w:rPr>
              <w:t>Annual Cost</w:t>
            </w:r>
          </w:p>
          <w:p w:rsidRPr="00997703" w:rsidR="00460883" w:rsidP="009B72D8" w:rsidRDefault="00460883" w14:paraId="2BDCAAFB" w14:textId="77777777">
            <w:pPr>
              <w:overflowPunct w:val="0"/>
              <w:autoSpaceDE w:val="0"/>
              <w:autoSpaceDN w:val="0"/>
              <w:jc w:val="center"/>
              <w:rPr>
                <w:rFonts w:eastAsia="Calibri"/>
                <w:bCs/>
                <w:sz w:val="20"/>
                <w:szCs w:val="20"/>
              </w:rPr>
            </w:pPr>
          </w:p>
        </w:tc>
      </w:tr>
      <w:tr w:rsidRPr="00997703" w:rsidR="00460883" w:rsidTr="00E84473" w14:paraId="3886C20D" w14:textId="77777777">
        <w:trPr>
          <w:trHeight w:val="442"/>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0242D" w:rsidR="00460883" w:rsidP="00E0242D" w:rsidRDefault="00460883" w14:paraId="395CA14B" w14:textId="77777777">
            <w:pPr>
              <w:overflowPunct w:val="0"/>
              <w:autoSpaceDE w:val="0"/>
              <w:autoSpaceDN w:val="0"/>
              <w:adjustRightInd w:val="0"/>
              <w:ind w:left="45"/>
              <w:textAlignment w:val="baseline"/>
              <w:rPr>
                <w:bCs/>
                <w:sz w:val="20"/>
                <w:szCs w:val="20"/>
              </w:rPr>
            </w:pPr>
            <w:r w:rsidRPr="00E0242D">
              <w:rPr>
                <w:bCs/>
                <w:sz w:val="20"/>
                <w:szCs w:val="20"/>
              </w:rPr>
              <w:t>Occupied Interviews</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E757F4" w:rsidRDefault="00A56ED7" w14:paraId="31A49CC7" w14:textId="2C1F47B5">
            <w:pPr>
              <w:overflowPunct w:val="0"/>
              <w:autoSpaceDE w:val="0"/>
              <w:autoSpaceDN w:val="0"/>
              <w:adjustRightInd w:val="0"/>
              <w:jc w:val="right"/>
              <w:textAlignment w:val="baseline"/>
              <w:rPr>
                <w:sz w:val="20"/>
                <w:szCs w:val="20"/>
              </w:rPr>
            </w:pPr>
            <w:r>
              <w:rPr>
                <w:sz w:val="20"/>
                <w:szCs w:val="20"/>
              </w:rPr>
              <w:t>86,962</w:t>
            </w:r>
            <w:r w:rsidR="00460883">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131F52AA" w14:textId="77777777">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3D3E22" w14:paraId="33B30B77" w14:textId="470EC80A">
            <w:pPr>
              <w:overflowPunct w:val="0"/>
              <w:autoSpaceDE w:val="0"/>
              <w:autoSpaceDN w:val="0"/>
              <w:adjustRightInd w:val="0"/>
              <w:jc w:val="right"/>
              <w:textAlignment w:val="baseline"/>
              <w:rPr>
                <w:sz w:val="20"/>
                <w:szCs w:val="20"/>
              </w:rPr>
            </w:pPr>
            <w:r>
              <w:rPr>
                <w:sz w:val="20"/>
                <w:szCs w:val="20"/>
              </w:rPr>
              <w:t>86,962</w:t>
            </w:r>
            <w:r w:rsidR="00460883">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76CBA78C" w14:textId="77777777">
            <w:pPr>
              <w:overflowPunct w:val="0"/>
              <w:autoSpaceDE w:val="0"/>
              <w:autoSpaceDN w:val="0"/>
              <w:adjustRightInd w:val="0"/>
              <w:jc w:val="right"/>
              <w:textAlignment w:val="baseline"/>
              <w:rPr>
                <w:sz w:val="20"/>
                <w:szCs w:val="20"/>
              </w:rPr>
            </w:pPr>
            <w:r w:rsidRPr="00997703">
              <w:rPr>
                <w:sz w:val="20"/>
                <w:szCs w:val="20"/>
              </w:rPr>
              <w:t>.66</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D21CAA" w:rsidRDefault="00F664F4" w14:paraId="7DE7A575" w14:textId="6462A9EA">
            <w:pPr>
              <w:overflowPunct w:val="0"/>
              <w:autoSpaceDE w:val="0"/>
              <w:autoSpaceDN w:val="0"/>
              <w:adjustRightInd w:val="0"/>
              <w:jc w:val="right"/>
              <w:textAlignment w:val="baseline"/>
              <w:rPr>
                <w:sz w:val="20"/>
                <w:szCs w:val="20"/>
              </w:rPr>
            </w:pPr>
            <w:r>
              <w:rPr>
                <w:sz w:val="20"/>
                <w:szCs w:val="20"/>
              </w:rPr>
              <w:t>57,395</w:t>
            </w:r>
            <w:r w:rsidR="00460883">
              <w:rPr>
                <w:sz w:val="20"/>
                <w:szCs w:val="20"/>
              </w:rPr>
              <w:t>.00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3AC38698"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7A0F5041"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Pr="00997703" w:rsidR="00460883" w:rsidTr="00E84473" w14:paraId="42CD50AF" w14:textId="77777777">
        <w:trPr>
          <w:trHeight w:val="442"/>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0242D" w:rsidR="00460883" w:rsidP="00E0242D" w:rsidRDefault="00460883" w14:paraId="24CF510E" w14:textId="77777777">
            <w:pPr>
              <w:overflowPunct w:val="0"/>
              <w:autoSpaceDE w:val="0"/>
              <w:autoSpaceDN w:val="0"/>
              <w:adjustRightInd w:val="0"/>
              <w:ind w:left="45"/>
              <w:textAlignment w:val="baseline"/>
              <w:rPr>
                <w:bCs/>
                <w:sz w:val="20"/>
                <w:szCs w:val="20"/>
              </w:rPr>
            </w:pPr>
            <w:r w:rsidRPr="00E0242D">
              <w:rPr>
                <w:bCs/>
                <w:sz w:val="20"/>
                <w:szCs w:val="20"/>
              </w:rPr>
              <w:t>Vacant Interviews</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A56ED7" w14:paraId="406541E1" w14:textId="593F15F9">
            <w:pPr>
              <w:overflowPunct w:val="0"/>
              <w:autoSpaceDE w:val="0"/>
              <w:autoSpaceDN w:val="0"/>
              <w:adjustRightInd w:val="0"/>
              <w:jc w:val="right"/>
              <w:textAlignment w:val="baseline"/>
              <w:rPr>
                <w:sz w:val="20"/>
                <w:szCs w:val="20"/>
              </w:rPr>
            </w:pPr>
            <w:r>
              <w:rPr>
                <w:sz w:val="20"/>
                <w:szCs w:val="20"/>
              </w:rPr>
              <w:t>12,788</w:t>
            </w:r>
            <w:r w:rsidR="00460883">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079D2CA2" w14:textId="77777777">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3D3E22" w14:paraId="33C5F8CD" w14:textId="643AE8BE">
            <w:pPr>
              <w:overflowPunct w:val="0"/>
              <w:autoSpaceDE w:val="0"/>
              <w:autoSpaceDN w:val="0"/>
              <w:adjustRightInd w:val="0"/>
              <w:jc w:val="right"/>
              <w:textAlignment w:val="baseline"/>
              <w:rPr>
                <w:sz w:val="20"/>
                <w:szCs w:val="20"/>
              </w:rPr>
            </w:pPr>
            <w:r>
              <w:rPr>
                <w:sz w:val="20"/>
                <w:szCs w:val="20"/>
              </w:rPr>
              <w:t>12,788</w:t>
            </w:r>
            <w:r w:rsidR="00460883">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4CE6A1EB" w14:textId="77777777">
            <w:pPr>
              <w:overflowPunct w:val="0"/>
              <w:autoSpaceDE w:val="0"/>
              <w:autoSpaceDN w:val="0"/>
              <w:adjustRightInd w:val="0"/>
              <w:jc w:val="right"/>
              <w:textAlignment w:val="baseline"/>
              <w:rPr>
                <w:sz w:val="20"/>
                <w:szCs w:val="20"/>
              </w:rPr>
            </w:pPr>
            <w:r w:rsidRPr="00997703">
              <w:rPr>
                <w:sz w:val="20"/>
                <w:szCs w:val="20"/>
              </w:rPr>
              <w:t>.33</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F664F4" w14:paraId="46DE9F38" w14:textId="42FFA175">
            <w:pPr>
              <w:overflowPunct w:val="0"/>
              <w:autoSpaceDE w:val="0"/>
              <w:autoSpaceDN w:val="0"/>
              <w:adjustRightInd w:val="0"/>
              <w:jc w:val="right"/>
              <w:textAlignment w:val="baseline"/>
              <w:rPr>
                <w:sz w:val="20"/>
                <w:szCs w:val="20"/>
              </w:rPr>
            </w:pPr>
            <w:r>
              <w:rPr>
                <w:sz w:val="20"/>
                <w:szCs w:val="20"/>
              </w:rPr>
              <w:t>4,220</w:t>
            </w:r>
            <w:r w:rsidR="00460883">
              <w:rPr>
                <w:sz w:val="20"/>
                <w:szCs w:val="20"/>
              </w:rPr>
              <w:t>.00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658F01EE"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3A49F874"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Pr="00997703" w:rsidR="00460883" w:rsidTr="00E84473" w14:paraId="0E2010B0" w14:textId="77777777">
        <w:trPr>
          <w:trHeight w:val="220"/>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0242D" w:rsidR="00460883" w:rsidP="00E0242D" w:rsidRDefault="00460883" w14:paraId="599D1B8B" w14:textId="77777777">
            <w:pPr>
              <w:overflowPunct w:val="0"/>
              <w:autoSpaceDE w:val="0"/>
              <w:autoSpaceDN w:val="0"/>
              <w:adjustRightInd w:val="0"/>
              <w:ind w:left="45"/>
              <w:textAlignment w:val="baseline"/>
              <w:rPr>
                <w:bCs/>
                <w:sz w:val="20"/>
                <w:szCs w:val="20"/>
              </w:rPr>
            </w:pPr>
            <w:r w:rsidRPr="00E0242D">
              <w:rPr>
                <w:bCs/>
                <w:sz w:val="20"/>
                <w:szCs w:val="20"/>
              </w:rPr>
              <w:t>Non-interviews</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E757F4" w:rsidRDefault="00A56ED7" w14:paraId="7B3698C1" w14:textId="69F1B3C5">
            <w:pPr>
              <w:overflowPunct w:val="0"/>
              <w:autoSpaceDE w:val="0"/>
              <w:autoSpaceDN w:val="0"/>
              <w:adjustRightInd w:val="0"/>
              <w:jc w:val="right"/>
              <w:textAlignment w:val="baseline"/>
              <w:rPr>
                <w:sz w:val="20"/>
                <w:szCs w:val="20"/>
              </w:rPr>
            </w:pPr>
            <w:r>
              <w:rPr>
                <w:sz w:val="20"/>
                <w:szCs w:val="20"/>
              </w:rPr>
              <w:t>24,298</w:t>
            </w:r>
            <w:r w:rsidR="00460883">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788F2E94" w14:textId="77777777">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6654FC" w14:paraId="27FAD762" w14:textId="732433B4">
            <w:pPr>
              <w:overflowPunct w:val="0"/>
              <w:autoSpaceDE w:val="0"/>
              <w:autoSpaceDN w:val="0"/>
              <w:adjustRightInd w:val="0"/>
              <w:jc w:val="right"/>
              <w:textAlignment w:val="baseline"/>
              <w:rPr>
                <w:sz w:val="20"/>
                <w:szCs w:val="20"/>
              </w:rPr>
            </w:pPr>
            <w:r>
              <w:rPr>
                <w:sz w:val="20"/>
                <w:szCs w:val="20"/>
              </w:rPr>
              <w:t>24,298</w:t>
            </w:r>
            <w:r w:rsidR="00460883">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5D258891" w14:textId="77777777">
            <w:pPr>
              <w:overflowPunct w:val="0"/>
              <w:autoSpaceDE w:val="0"/>
              <w:autoSpaceDN w:val="0"/>
              <w:adjustRightInd w:val="0"/>
              <w:jc w:val="right"/>
              <w:textAlignment w:val="baseline"/>
              <w:rPr>
                <w:sz w:val="20"/>
                <w:szCs w:val="20"/>
              </w:rPr>
            </w:pPr>
            <w:r>
              <w:rPr>
                <w:sz w:val="20"/>
                <w:szCs w:val="20"/>
              </w:rPr>
              <w:t>.0</w:t>
            </w:r>
            <w:r w:rsidRPr="00997703">
              <w:rPr>
                <w:sz w:val="20"/>
                <w:szCs w:val="20"/>
              </w:rPr>
              <w:t>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03F504D6"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69C73744"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1AA02E61"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Pr="00997703" w:rsidR="00460883" w:rsidTr="00E84473" w14:paraId="0CDC0143" w14:textId="77777777">
        <w:trPr>
          <w:trHeight w:val="220"/>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0242D" w:rsidR="00460883" w:rsidP="00E0242D" w:rsidRDefault="00460883" w14:paraId="7F2CF46B" w14:textId="77777777">
            <w:pPr>
              <w:overflowPunct w:val="0"/>
              <w:autoSpaceDE w:val="0"/>
              <w:autoSpaceDN w:val="0"/>
              <w:adjustRightInd w:val="0"/>
              <w:ind w:left="45"/>
              <w:textAlignment w:val="baseline"/>
              <w:rPr>
                <w:bCs/>
                <w:sz w:val="20"/>
                <w:szCs w:val="20"/>
              </w:rPr>
            </w:pPr>
            <w:r w:rsidRPr="00E0242D">
              <w:rPr>
                <w:bCs/>
                <w:sz w:val="20"/>
                <w:szCs w:val="20"/>
              </w:rPr>
              <w:t>Ineligible</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E757F4" w:rsidRDefault="00BE5EB9" w14:paraId="7AA9ADD2" w14:textId="28AAC9FB">
            <w:pPr>
              <w:overflowPunct w:val="0"/>
              <w:autoSpaceDE w:val="0"/>
              <w:autoSpaceDN w:val="0"/>
              <w:adjustRightInd w:val="0"/>
              <w:jc w:val="right"/>
              <w:textAlignment w:val="baseline"/>
              <w:rPr>
                <w:sz w:val="20"/>
                <w:szCs w:val="20"/>
              </w:rPr>
            </w:pPr>
            <w:r>
              <w:rPr>
                <w:sz w:val="20"/>
                <w:szCs w:val="20"/>
              </w:rPr>
              <w:t>3837</w:t>
            </w:r>
            <w:r w:rsidR="00460883">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5A7E425B" w14:textId="77777777">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6654FC" w14:paraId="38C47AA5" w14:textId="7020422F">
            <w:pPr>
              <w:overflowPunct w:val="0"/>
              <w:autoSpaceDE w:val="0"/>
              <w:autoSpaceDN w:val="0"/>
              <w:adjustRightInd w:val="0"/>
              <w:jc w:val="right"/>
              <w:textAlignment w:val="baseline"/>
              <w:rPr>
                <w:sz w:val="20"/>
                <w:szCs w:val="20"/>
              </w:rPr>
            </w:pPr>
            <w:r>
              <w:rPr>
                <w:sz w:val="20"/>
                <w:szCs w:val="20"/>
              </w:rPr>
              <w:t>3,837</w:t>
            </w:r>
            <w:r w:rsidR="00460883">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64A1E0C2" w14:textId="77777777">
            <w:pPr>
              <w:overflowPunct w:val="0"/>
              <w:autoSpaceDE w:val="0"/>
              <w:autoSpaceDN w:val="0"/>
              <w:adjustRightInd w:val="0"/>
              <w:jc w:val="right"/>
              <w:textAlignment w:val="baseline"/>
              <w:rPr>
                <w:sz w:val="20"/>
                <w:szCs w:val="20"/>
              </w:rPr>
            </w:pPr>
            <w:r>
              <w:rPr>
                <w:sz w:val="20"/>
                <w:szCs w:val="20"/>
              </w:rPr>
              <w:t>.0</w:t>
            </w:r>
            <w:r w:rsidRPr="00997703">
              <w:rPr>
                <w:sz w:val="20"/>
                <w:szCs w:val="20"/>
              </w:rPr>
              <w:t>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313863FF"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5B60E83B"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2FB9FAEC"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Pr="00997703" w:rsidR="00460883" w:rsidTr="00E0242D" w14:paraId="57AE00DC" w14:textId="77777777">
        <w:trPr>
          <w:trHeight w:val="220"/>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0242D" w:rsidR="00460883" w:rsidP="00E0242D" w:rsidRDefault="00460883" w14:paraId="6F290C6D" w14:textId="6ABC4143">
            <w:pPr>
              <w:overflowPunct w:val="0"/>
              <w:autoSpaceDE w:val="0"/>
              <w:autoSpaceDN w:val="0"/>
              <w:adjustRightInd w:val="0"/>
              <w:ind w:left="135"/>
              <w:jc w:val="right"/>
              <w:textAlignment w:val="baseline"/>
              <w:rPr>
                <w:b/>
                <w:sz w:val="20"/>
                <w:szCs w:val="20"/>
              </w:rPr>
            </w:pPr>
            <w:r w:rsidRPr="00E0242D">
              <w:rPr>
                <w:b/>
                <w:sz w:val="20"/>
                <w:szCs w:val="20"/>
              </w:rPr>
              <w:t xml:space="preserve">   </w:t>
            </w:r>
            <w:r w:rsidRPr="00E0242D" w:rsidR="00E84473">
              <w:rPr>
                <w:b/>
                <w:sz w:val="20"/>
                <w:szCs w:val="20"/>
              </w:rPr>
              <w:t>S</w:t>
            </w:r>
            <w:r w:rsidRPr="00E0242D">
              <w:rPr>
                <w:b/>
                <w:sz w:val="20"/>
                <w:szCs w:val="20"/>
              </w:rPr>
              <w:t>ubtotal</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BE5EB9" w14:paraId="14CEAE6E" w14:textId="2097FC4A">
            <w:pPr>
              <w:overflowPunct w:val="0"/>
              <w:autoSpaceDE w:val="0"/>
              <w:autoSpaceDN w:val="0"/>
              <w:adjustRightInd w:val="0"/>
              <w:jc w:val="right"/>
              <w:textAlignment w:val="baseline"/>
              <w:rPr>
                <w:sz w:val="20"/>
                <w:szCs w:val="20"/>
              </w:rPr>
            </w:pPr>
            <w:r>
              <w:rPr>
                <w:sz w:val="20"/>
                <w:szCs w:val="20"/>
              </w:rPr>
              <w:t>127,885</w:t>
            </w:r>
            <w:r w:rsidR="00460883">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58067D1D" w14:textId="77777777">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6654FC" w14:paraId="0BFAA27F" w14:textId="01B65610">
            <w:pPr>
              <w:overflowPunct w:val="0"/>
              <w:autoSpaceDE w:val="0"/>
              <w:autoSpaceDN w:val="0"/>
              <w:adjustRightInd w:val="0"/>
              <w:jc w:val="right"/>
              <w:textAlignment w:val="baseline"/>
              <w:rPr>
                <w:sz w:val="20"/>
                <w:szCs w:val="20"/>
              </w:rPr>
            </w:pPr>
            <w:r>
              <w:rPr>
                <w:sz w:val="20"/>
                <w:szCs w:val="20"/>
              </w:rPr>
              <w:t>127,885</w:t>
            </w:r>
            <w:r w:rsidR="00460883">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29389743" w14:textId="77777777">
            <w:pPr>
              <w:overflowPunct w:val="0"/>
              <w:autoSpaceDE w:val="0"/>
              <w:autoSpaceDN w:val="0"/>
              <w:adjustRightInd w:val="0"/>
              <w:jc w:val="right"/>
              <w:textAlignment w:val="baseline"/>
              <w:rPr>
                <w:sz w:val="20"/>
                <w:szCs w:val="20"/>
              </w:rPr>
            </w:pPr>
            <w:r>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7B0FB6DC" w14:textId="77777777">
            <w:pPr>
              <w:overflowPunct w:val="0"/>
              <w:autoSpaceDE w:val="0"/>
              <w:autoSpaceDN w:val="0"/>
              <w:adjustRightInd w:val="0"/>
              <w:jc w:val="right"/>
              <w:textAlignment w:val="baseline"/>
              <w:rPr>
                <w:sz w:val="20"/>
                <w:szCs w:val="20"/>
              </w:rPr>
            </w:pPr>
            <w:r>
              <w:rPr>
                <w:sz w:val="20"/>
                <w:szCs w:val="20"/>
              </w:rPr>
              <w:t>.00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24E707BD" w14:textId="77777777">
            <w:pPr>
              <w:overflowPunct w:val="0"/>
              <w:autoSpaceDE w:val="0"/>
              <w:autoSpaceDN w:val="0"/>
              <w:adjustRightInd w:val="0"/>
              <w:jc w:val="right"/>
              <w:textAlignment w:val="baseline"/>
              <w:rPr>
                <w:sz w:val="20"/>
                <w:szCs w:val="20"/>
              </w:rPr>
            </w:pPr>
            <w:r w:rsidRPr="00F64C5D">
              <w:rPr>
                <w:sz w:val="20"/>
                <w:szCs w:val="20"/>
              </w:rPr>
              <w:t>$0.00</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4E20B434" w14:textId="77777777">
            <w:pPr>
              <w:overflowPunct w:val="0"/>
              <w:autoSpaceDE w:val="0"/>
              <w:autoSpaceDN w:val="0"/>
              <w:adjustRightInd w:val="0"/>
              <w:jc w:val="right"/>
              <w:textAlignment w:val="baseline"/>
              <w:rPr>
                <w:sz w:val="20"/>
                <w:szCs w:val="20"/>
              </w:rPr>
            </w:pPr>
            <w:r w:rsidRPr="00F64C5D">
              <w:rPr>
                <w:sz w:val="20"/>
                <w:szCs w:val="20"/>
              </w:rPr>
              <w:t>$0.00</w:t>
            </w:r>
          </w:p>
        </w:tc>
      </w:tr>
      <w:tr w:rsidRPr="00997703" w:rsidR="00460883" w:rsidTr="00E84473" w14:paraId="30B61245" w14:textId="77777777">
        <w:trPr>
          <w:trHeight w:val="220"/>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997703" w:rsidR="00460883" w:rsidP="00E0242D" w:rsidRDefault="00460883" w14:paraId="4963ED2F" w14:textId="77777777">
            <w:pPr>
              <w:overflowPunct w:val="0"/>
              <w:autoSpaceDE w:val="0"/>
              <w:autoSpaceDN w:val="0"/>
              <w:adjustRightInd w:val="0"/>
              <w:ind w:left="45"/>
              <w:textAlignment w:val="baseline"/>
              <w:rPr>
                <w:sz w:val="20"/>
                <w:szCs w:val="20"/>
              </w:rPr>
            </w:pPr>
            <w:r w:rsidRPr="00E0242D">
              <w:rPr>
                <w:bCs/>
                <w:sz w:val="20"/>
                <w:szCs w:val="20"/>
              </w:rPr>
              <w:t>Reinterviews</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E920DE" w:rsidRDefault="002B186E" w14:paraId="198F082E" w14:textId="4D4A9F8C">
            <w:pPr>
              <w:overflowPunct w:val="0"/>
              <w:autoSpaceDE w:val="0"/>
              <w:autoSpaceDN w:val="0"/>
              <w:adjustRightInd w:val="0"/>
              <w:jc w:val="right"/>
              <w:textAlignment w:val="baseline"/>
              <w:rPr>
                <w:sz w:val="20"/>
                <w:szCs w:val="20"/>
              </w:rPr>
            </w:pPr>
            <w:r>
              <w:rPr>
                <w:sz w:val="20"/>
                <w:szCs w:val="20"/>
              </w:rPr>
              <w:t>8,952</w:t>
            </w:r>
            <w:r w:rsidR="00460883">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1F3999F7" w14:textId="77777777">
            <w:pPr>
              <w:overflowPunct w:val="0"/>
              <w:autoSpaceDE w:val="0"/>
              <w:autoSpaceDN w:val="0"/>
              <w:adjustRightInd w:val="0"/>
              <w:jc w:val="right"/>
              <w:textAlignment w:val="baseline"/>
              <w:rPr>
                <w:sz w:val="20"/>
                <w:szCs w:val="20"/>
              </w:rPr>
            </w:pPr>
            <w:r w:rsidRPr="00997703">
              <w:rPr>
                <w:sz w:val="20"/>
                <w:szCs w:val="20"/>
              </w:rPr>
              <w:t>1</w:t>
            </w:r>
            <w:r>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6654FC" w14:paraId="7FD4569E" w14:textId="655EEEA0">
            <w:pPr>
              <w:overflowPunct w:val="0"/>
              <w:autoSpaceDE w:val="0"/>
              <w:autoSpaceDN w:val="0"/>
              <w:adjustRightInd w:val="0"/>
              <w:jc w:val="right"/>
              <w:textAlignment w:val="baseline"/>
              <w:rPr>
                <w:sz w:val="20"/>
                <w:szCs w:val="20"/>
              </w:rPr>
            </w:pPr>
            <w:r>
              <w:rPr>
                <w:sz w:val="20"/>
                <w:szCs w:val="20"/>
              </w:rPr>
              <w:t>8,952</w:t>
            </w:r>
            <w:r w:rsidR="00460883">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100BECF4" w14:textId="77777777">
            <w:pPr>
              <w:overflowPunct w:val="0"/>
              <w:autoSpaceDE w:val="0"/>
              <w:autoSpaceDN w:val="0"/>
              <w:adjustRightInd w:val="0"/>
              <w:jc w:val="right"/>
              <w:textAlignment w:val="baseline"/>
              <w:rPr>
                <w:sz w:val="20"/>
                <w:szCs w:val="20"/>
              </w:rPr>
            </w:pPr>
            <w:r w:rsidRPr="00997703">
              <w:rPr>
                <w:sz w:val="20"/>
                <w:szCs w:val="20"/>
              </w:rPr>
              <w:t>.17</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D21CAA" w:rsidRDefault="00BB5B0C" w14:paraId="348E025E" w14:textId="32C964DD">
            <w:pPr>
              <w:overflowPunct w:val="0"/>
              <w:autoSpaceDE w:val="0"/>
              <w:autoSpaceDN w:val="0"/>
              <w:adjustRightInd w:val="0"/>
              <w:jc w:val="right"/>
              <w:textAlignment w:val="baseline"/>
              <w:rPr>
                <w:sz w:val="20"/>
                <w:szCs w:val="20"/>
              </w:rPr>
            </w:pPr>
            <w:r>
              <w:rPr>
                <w:sz w:val="20"/>
                <w:szCs w:val="20"/>
              </w:rPr>
              <w:t>1,522</w:t>
            </w:r>
            <w:r w:rsidR="00460883">
              <w:rPr>
                <w:sz w:val="20"/>
                <w:szCs w:val="20"/>
              </w:rPr>
              <w:t>.00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46FD8CB1"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080B3327" w14:textId="77777777">
            <w:pPr>
              <w:overflowPunct w:val="0"/>
              <w:autoSpaceDE w:val="0"/>
              <w:autoSpaceDN w:val="0"/>
              <w:adjustRightInd w:val="0"/>
              <w:jc w:val="right"/>
              <w:textAlignment w:val="baseline"/>
              <w:rPr>
                <w:sz w:val="20"/>
                <w:szCs w:val="20"/>
              </w:rPr>
            </w:pPr>
            <w:r w:rsidRPr="00997703">
              <w:rPr>
                <w:sz w:val="20"/>
                <w:szCs w:val="20"/>
              </w:rPr>
              <w:t>$0</w:t>
            </w:r>
            <w:r>
              <w:rPr>
                <w:sz w:val="20"/>
                <w:szCs w:val="20"/>
              </w:rPr>
              <w:t>.00</w:t>
            </w:r>
          </w:p>
        </w:tc>
      </w:tr>
      <w:tr w:rsidRPr="00997703" w:rsidR="00460883" w:rsidTr="00E0242D" w14:paraId="2D09ABC6" w14:textId="77777777">
        <w:trPr>
          <w:trHeight w:val="220"/>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0242D" w:rsidR="00460883" w:rsidP="00E0242D" w:rsidRDefault="003010BC" w14:paraId="53E7B642" w14:textId="5CBC6403">
            <w:pPr>
              <w:overflowPunct w:val="0"/>
              <w:autoSpaceDE w:val="0"/>
              <w:autoSpaceDN w:val="0"/>
              <w:adjustRightInd w:val="0"/>
              <w:ind w:left="45"/>
              <w:jc w:val="right"/>
              <w:textAlignment w:val="baseline"/>
              <w:rPr>
                <w:b/>
                <w:sz w:val="20"/>
                <w:szCs w:val="20"/>
              </w:rPr>
            </w:pPr>
            <w:r w:rsidRPr="00E0242D">
              <w:rPr>
                <w:b/>
                <w:bCs/>
                <w:sz w:val="20"/>
                <w:szCs w:val="20"/>
              </w:rPr>
              <w:t>Total</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E920DE" w:rsidRDefault="002B186E" w14:paraId="7B47EFF8" w14:textId="160AC5C2">
            <w:pPr>
              <w:overflowPunct w:val="0"/>
              <w:autoSpaceDE w:val="0"/>
              <w:autoSpaceDN w:val="0"/>
              <w:adjustRightInd w:val="0"/>
              <w:jc w:val="right"/>
              <w:textAlignment w:val="baseline"/>
              <w:rPr>
                <w:sz w:val="20"/>
                <w:szCs w:val="20"/>
              </w:rPr>
            </w:pPr>
            <w:r>
              <w:rPr>
                <w:sz w:val="20"/>
                <w:szCs w:val="20"/>
              </w:rPr>
              <w:t>136</w:t>
            </w:r>
            <w:r w:rsidR="003D3E22">
              <w:rPr>
                <w:sz w:val="20"/>
                <w:szCs w:val="20"/>
              </w:rPr>
              <w:t>,837</w:t>
            </w:r>
            <w:r w:rsidR="00460883">
              <w:rPr>
                <w:sz w:val="20"/>
                <w:szCs w:val="20"/>
              </w:rPr>
              <w:t>.00</w:t>
            </w: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11CDEFD0" w14:textId="77777777">
            <w:pPr>
              <w:overflowPunct w:val="0"/>
              <w:autoSpaceDE w:val="0"/>
              <w:autoSpaceDN w:val="0"/>
              <w:adjustRightInd w:val="0"/>
              <w:jc w:val="right"/>
              <w:textAlignment w:val="baseline"/>
              <w:rPr>
                <w:sz w:val="20"/>
                <w:szCs w:val="20"/>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284182" w:rsidRDefault="006654FC" w14:paraId="2475B5A3" w14:textId="6B9B2820">
            <w:pPr>
              <w:overflowPunct w:val="0"/>
              <w:autoSpaceDE w:val="0"/>
              <w:autoSpaceDN w:val="0"/>
              <w:adjustRightInd w:val="0"/>
              <w:jc w:val="right"/>
              <w:textAlignment w:val="baseline"/>
              <w:rPr>
                <w:sz w:val="20"/>
                <w:szCs w:val="20"/>
              </w:rPr>
            </w:pPr>
            <w:r>
              <w:rPr>
                <w:sz w:val="20"/>
                <w:szCs w:val="20"/>
              </w:rPr>
              <w:t>136</w:t>
            </w:r>
            <w:r w:rsidR="00F664F4">
              <w:rPr>
                <w:sz w:val="20"/>
                <w:szCs w:val="20"/>
              </w:rPr>
              <w:t>,837</w:t>
            </w:r>
            <w:r w:rsidR="00460883">
              <w:rPr>
                <w:sz w:val="20"/>
                <w:szCs w:val="20"/>
              </w:rPr>
              <w:t>.00</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52C5F519" w14:textId="77777777">
            <w:pPr>
              <w:overflowPunct w:val="0"/>
              <w:autoSpaceDE w:val="0"/>
              <w:autoSpaceDN w:val="0"/>
              <w:adjustRightInd w:val="0"/>
              <w:jc w:val="right"/>
              <w:textAlignment w:val="baseline"/>
              <w:rPr>
                <w:sz w:val="20"/>
                <w:szCs w:val="20"/>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BB5B0C" w14:paraId="0F58937B" w14:textId="3A5F5002">
            <w:pPr>
              <w:overflowPunct w:val="0"/>
              <w:autoSpaceDE w:val="0"/>
              <w:autoSpaceDN w:val="0"/>
              <w:adjustRightInd w:val="0"/>
              <w:jc w:val="right"/>
              <w:textAlignment w:val="baseline"/>
              <w:rPr>
                <w:sz w:val="20"/>
                <w:szCs w:val="20"/>
              </w:rPr>
            </w:pPr>
            <w:r>
              <w:rPr>
                <w:sz w:val="20"/>
                <w:szCs w:val="20"/>
              </w:rPr>
              <w:t>63,137</w:t>
            </w:r>
            <w:r w:rsidR="00460883">
              <w:rPr>
                <w:sz w:val="20"/>
                <w:szCs w:val="20"/>
              </w:rPr>
              <w:t>.00</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541E8F87" w14:textId="77777777">
            <w:pPr>
              <w:overflowPunct w:val="0"/>
              <w:autoSpaceDE w:val="0"/>
              <w:autoSpaceDN w:val="0"/>
              <w:adjustRightInd w:val="0"/>
              <w:jc w:val="right"/>
              <w:textAlignment w:val="baseline"/>
              <w:rPr>
                <w:sz w:val="20"/>
                <w:szCs w:val="20"/>
              </w:rPr>
            </w:pPr>
          </w:p>
        </w:tc>
        <w:tc>
          <w:tcPr>
            <w:tcW w:w="810" w:type="dxa"/>
            <w:tcBorders>
              <w:top w:val="nil"/>
              <w:left w:val="nil"/>
              <w:bottom w:val="single" w:color="auto" w:sz="8" w:space="0"/>
              <w:right w:val="single" w:color="auto" w:sz="8" w:space="0"/>
            </w:tcBorders>
            <w:tcMar>
              <w:top w:w="0" w:type="dxa"/>
              <w:left w:w="108" w:type="dxa"/>
              <w:bottom w:w="0" w:type="dxa"/>
              <w:right w:w="108" w:type="dxa"/>
            </w:tcMar>
          </w:tcPr>
          <w:p w:rsidRPr="00997703" w:rsidR="00460883" w:rsidP="009B72D8" w:rsidRDefault="00460883" w14:paraId="33751093" w14:textId="77777777">
            <w:pPr>
              <w:overflowPunct w:val="0"/>
              <w:autoSpaceDE w:val="0"/>
              <w:autoSpaceDN w:val="0"/>
              <w:adjustRightInd w:val="0"/>
              <w:jc w:val="right"/>
              <w:textAlignment w:val="baseline"/>
              <w:rPr>
                <w:sz w:val="20"/>
                <w:szCs w:val="20"/>
              </w:rPr>
            </w:pPr>
          </w:p>
        </w:tc>
      </w:tr>
    </w:tbl>
    <w:p w:rsidR="003010BC" w:rsidP="003010BC" w:rsidRDefault="003010BC" w14:paraId="1F36FB1A" w14:textId="18D97165">
      <w:pPr>
        <w:pStyle w:val="Level1"/>
        <w:tabs>
          <w:tab w:val="left" w:pos="432"/>
          <w:tab w:val="left" w:pos="720"/>
          <w:tab w:val="left" w:pos="864"/>
          <w:tab w:val="left" w:pos="1022"/>
          <w:tab w:val="left" w:pos="1296"/>
          <w:tab w:val="num" w:pos="1413"/>
          <w:tab w:val="left" w:pos="1728"/>
          <w:tab w:val="left" w:pos="2160"/>
        </w:tabs>
        <w:ind w:left="1413"/>
        <w:rPr>
          <w:rFonts w:ascii="Times New Roman" w:hAnsi="Times New Roman"/>
        </w:rPr>
      </w:pPr>
    </w:p>
    <w:p w:rsidR="00863706" w:rsidP="00863706" w:rsidRDefault="00863706" w14:paraId="00867286" w14:textId="77777777">
      <w:pPr>
        <w:pStyle w:val="BodyTextIndent3"/>
        <w:ind w:left="1413"/>
      </w:pPr>
      <w:r>
        <w:t xml:space="preserve">The 2021 AHS sample will be split into two groups. </w:t>
      </w:r>
      <w:r w:rsidRPr="0091571E">
        <w:t xml:space="preserve">Fifty percent of the sample will be asked the </w:t>
      </w:r>
      <w:r>
        <w:t xml:space="preserve">Intent to Move and Expanded Renter Housing Search </w:t>
      </w:r>
      <w:r w:rsidRPr="0091571E">
        <w:t>module</w:t>
      </w:r>
      <w:r>
        <w:t>s</w:t>
      </w:r>
      <w:r w:rsidRPr="0091571E">
        <w:t xml:space="preserve">.  The other 50 percent will be asked the </w:t>
      </w:r>
      <w:r>
        <w:t>Wildfire Risk, Pets, and Smoking modules</w:t>
      </w:r>
      <w:r w:rsidRPr="0091571E">
        <w:t>.</w:t>
      </w:r>
      <w:r>
        <w:t xml:space="preserve">  This will maximize </w:t>
      </w:r>
      <w:r w:rsidRPr="00CC3F3F">
        <w:t xml:space="preserve">the number of </w:t>
      </w:r>
      <w:r>
        <w:t>supplemental</w:t>
      </w:r>
      <w:r w:rsidRPr="00CC3F3F">
        <w:t xml:space="preserve"> modules that can be included while not increasing overall response burden.</w:t>
      </w:r>
    </w:p>
    <w:p w:rsidRPr="003010BC" w:rsidR="00863706" w:rsidP="00820373" w:rsidRDefault="00863706" w14:paraId="2CC4448C" w14:textId="77777777">
      <w:pPr>
        <w:pStyle w:val="Level1"/>
        <w:tabs>
          <w:tab w:val="left" w:pos="432"/>
          <w:tab w:val="left" w:pos="720"/>
          <w:tab w:val="left" w:pos="864"/>
          <w:tab w:val="left" w:pos="1022"/>
          <w:tab w:val="left" w:pos="1296"/>
          <w:tab w:val="num" w:pos="1413"/>
          <w:tab w:val="left" w:pos="1728"/>
          <w:tab w:val="left" w:pos="2160"/>
        </w:tabs>
        <w:rPr>
          <w:rFonts w:ascii="Times New Roman" w:hAnsi="Times New Roman"/>
        </w:rPr>
      </w:pPr>
    </w:p>
    <w:p w:rsidR="000B2AB7" w:rsidP="005A6A4A" w:rsidRDefault="000B2AB7" w14:paraId="0E86660A" w14:textId="46289DB5">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Estimate of Cost Burden</w:t>
      </w:r>
    </w:p>
    <w:p w:rsidR="000B2AB7" w:rsidP="002977DE" w:rsidRDefault="000B2AB7" w14:paraId="55053D96" w14:textId="77777777">
      <w:pPr>
        <w:ind w:left="333"/>
      </w:pPr>
    </w:p>
    <w:p w:rsidR="00C94A36" w:rsidP="00C94A36" w:rsidRDefault="00C94A36" w14:paraId="04B3BDF3" w14:textId="77777777">
      <w:pPr>
        <w:pStyle w:val="BodyTextIndent3"/>
        <w:ind w:left="1413"/>
      </w:pPr>
      <w:r>
        <w:t>The annualized cost estimate to respondents for burden hours is $0.  There are no costs to respondents other than that of their time to respond.</w:t>
      </w:r>
    </w:p>
    <w:p w:rsidR="00F03515" w:rsidP="002977DE" w:rsidRDefault="00F03515" w14:paraId="58FCE6FF" w14:textId="2139CCF7">
      <w:pPr>
        <w:pStyle w:val="BodyTextIndent3"/>
        <w:ind w:left="1413"/>
      </w:pPr>
    </w:p>
    <w:p w:rsidRPr="009C5958" w:rsidR="000B2AB7" w:rsidP="005A6A4A" w:rsidRDefault="000B2AB7" w14:paraId="7936A79D" w14:textId="77777777">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w:t>
      </w:r>
      <w:r w:rsidRPr="009C5958">
        <w:rPr>
          <w:rFonts w:ascii="Times New Roman" w:hAnsi="Times New Roman"/>
          <w:b/>
          <w:bCs/>
        </w:rPr>
        <w:t>Cost to Federal Government</w:t>
      </w:r>
    </w:p>
    <w:p w:rsidRPr="009C5958" w:rsidR="000B2AB7" w:rsidP="002977DE" w:rsidRDefault="000B2AB7" w14:paraId="40C93037" w14:textId="77777777">
      <w:pPr>
        <w:ind w:left="333"/>
      </w:pPr>
    </w:p>
    <w:p w:rsidRPr="009C5958" w:rsidR="005F731A" w:rsidP="00570D68" w:rsidRDefault="00570D68" w14:paraId="7D976AAD" w14:textId="2E776DC2">
      <w:pPr>
        <w:pStyle w:val="Level1"/>
        <w:autoSpaceDE/>
        <w:autoSpaceDN/>
        <w:adjustRightInd/>
        <w:ind w:left="1413"/>
        <w:rPr>
          <w:rFonts w:ascii="Times New Roman" w:hAnsi="Times New Roman"/>
        </w:rPr>
      </w:pPr>
      <w:r w:rsidRPr="009C5958">
        <w:rPr>
          <w:rFonts w:ascii="Times New Roman" w:hAnsi="Times New Roman"/>
        </w:rPr>
        <w:t xml:space="preserve">HUD estimates the </w:t>
      </w:r>
      <w:r w:rsidRPr="009C5958" w:rsidR="00FF03F6">
        <w:rPr>
          <w:rFonts w:ascii="Times New Roman" w:hAnsi="Times New Roman"/>
        </w:rPr>
        <w:t>2-year survey cycle</w:t>
      </w:r>
      <w:r w:rsidRPr="009C5958">
        <w:rPr>
          <w:rFonts w:ascii="Times New Roman" w:hAnsi="Times New Roman"/>
        </w:rPr>
        <w:t xml:space="preserve"> costs to the government for the </w:t>
      </w:r>
      <w:r w:rsidR="0054555B">
        <w:rPr>
          <w:rFonts w:ascii="Times New Roman" w:hAnsi="Times New Roman"/>
        </w:rPr>
        <w:t xml:space="preserve">2021 </w:t>
      </w:r>
      <w:r w:rsidRPr="009C5958">
        <w:rPr>
          <w:rFonts w:ascii="Times New Roman" w:hAnsi="Times New Roman"/>
        </w:rPr>
        <w:t xml:space="preserve">AHS, including </w:t>
      </w:r>
      <w:r w:rsidRPr="009C5958" w:rsidR="003C118E">
        <w:rPr>
          <w:rFonts w:ascii="Times New Roman" w:hAnsi="Times New Roman"/>
        </w:rPr>
        <w:t>1</w:t>
      </w:r>
      <w:r w:rsidRPr="009C5958" w:rsidR="00984085">
        <w:rPr>
          <w:rFonts w:ascii="Times New Roman" w:hAnsi="Times New Roman"/>
        </w:rPr>
        <w:t>0</w:t>
      </w:r>
      <w:r w:rsidRPr="009C5958">
        <w:rPr>
          <w:rFonts w:ascii="Times New Roman" w:hAnsi="Times New Roman"/>
        </w:rPr>
        <w:t xml:space="preserve"> metropolitan areas, to be </w:t>
      </w:r>
      <w:r w:rsidRPr="009C5958" w:rsidR="00FF03F6">
        <w:rPr>
          <w:rFonts w:ascii="Times New Roman" w:hAnsi="Times New Roman"/>
        </w:rPr>
        <w:t>$</w:t>
      </w:r>
      <w:r w:rsidRPr="009C5958" w:rsidR="00653462">
        <w:rPr>
          <w:rFonts w:ascii="Times New Roman" w:hAnsi="Times New Roman"/>
        </w:rPr>
        <w:t>6</w:t>
      </w:r>
      <w:r w:rsidRPr="009C5958" w:rsidR="00233BAB">
        <w:rPr>
          <w:rFonts w:ascii="Times New Roman" w:hAnsi="Times New Roman"/>
        </w:rPr>
        <w:t>6.4</w:t>
      </w:r>
      <w:r w:rsidRPr="009C5958" w:rsidR="00653462">
        <w:rPr>
          <w:rFonts w:ascii="Times New Roman" w:hAnsi="Times New Roman"/>
        </w:rPr>
        <w:t xml:space="preserve"> </w:t>
      </w:r>
      <w:r w:rsidRPr="009C5958" w:rsidR="00FF03F6">
        <w:rPr>
          <w:rFonts w:ascii="Times New Roman" w:hAnsi="Times New Roman"/>
        </w:rPr>
        <w:t>million.</w:t>
      </w:r>
      <w:r w:rsidRPr="009C5958" w:rsidR="003B6CDB">
        <w:rPr>
          <w:rFonts w:ascii="Times New Roman" w:hAnsi="Times New Roman"/>
        </w:rPr>
        <w:t xml:space="preserve"> </w:t>
      </w:r>
    </w:p>
    <w:p w:rsidRPr="009C5958" w:rsidR="005F731A" w:rsidP="00570D68" w:rsidRDefault="005F731A" w14:paraId="401B69B3" w14:textId="77777777">
      <w:pPr>
        <w:pStyle w:val="Level1"/>
        <w:autoSpaceDE/>
        <w:autoSpaceDN/>
        <w:adjustRightInd/>
        <w:ind w:left="1413"/>
        <w:rPr>
          <w:rFonts w:ascii="Times New Roman" w:hAnsi="Times New Roman"/>
        </w:rPr>
      </w:pPr>
    </w:p>
    <w:tbl>
      <w:tblPr>
        <w:tblStyle w:val="TableGrid"/>
        <w:tblW w:w="0" w:type="auto"/>
        <w:tblInd w:w="1773" w:type="dxa"/>
        <w:tblLook w:val="04A0" w:firstRow="1" w:lastRow="0" w:firstColumn="1" w:lastColumn="0" w:noHBand="0" w:noVBand="1"/>
      </w:tblPr>
      <w:tblGrid>
        <w:gridCol w:w="1830"/>
        <w:gridCol w:w="1915"/>
        <w:gridCol w:w="1916"/>
        <w:gridCol w:w="1916"/>
      </w:tblGrid>
      <w:tr w:rsidRPr="00E84473" w:rsidR="005F731A" w:rsidTr="005F731A" w14:paraId="40807E82" w14:textId="77777777">
        <w:tc>
          <w:tcPr>
            <w:tcW w:w="1830" w:type="dxa"/>
          </w:tcPr>
          <w:p w:rsidRPr="00E84473" w:rsidR="005F731A" w:rsidP="00A66836" w:rsidRDefault="005F731A" w14:paraId="10F6A170" w14:textId="77777777">
            <w:pPr>
              <w:pStyle w:val="Level1"/>
              <w:autoSpaceDE/>
              <w:autoSpaceDN/>
              <w:adjustRightInd/>
              <w:ind w:left="0"/>
              <w:rPr>
                <w:rFonts w:ascii="Times New Roman" w:hAnsi="Times New Roman"/>
                <w:b/>
                <w:sz w:val="20"/>
                <w:szCs w:val="20"/>
              </w:rPr>
            </w:pPr>
            <w:r w:rsidRPr="00E84473">
              <w:rPr>
                <w:rFonts w:ascii="Times New Roman" w:hAnsi="Times New Roman"/>
                <w:b/>
                <w:sz w:val="20"/>
                <w:szCs w:val="20"/>
              </w:rPr>
              <w:t>Cost Items</w:t>
            </w:r>
          </w:p>
        </w:tc>
        <w:tc>
          <w:tcPr>
            <w:tcW w:w="1915" w:type="dxa"/>
          </w:tcPr>
          <w:p w:rsidRPr="00E84473" w:rsidR="005F731A" w:rsidP="00FA4E21" w:rsidRDefault="005F731A" w14:paraId="609C00F4" w14:textId="7111B5A5">
            <w:pPr>
              <w:pStyle w:val="Level1"/>
              <w:autoSpaceDE/>
              <w:autoSpaceDN/>
              <w:adjustRightInd/>
              <w:ind w:left="0"/>
              <w:jc w:val="center"/>
              <w:rPr>
                <w:rFonts w:ascii="Times New Roman" w:hAnsi="Times New Roman"/>
                <w:b/>
                <w:sz w:val="20"/>
                <w:szCs w:val="20"/>
              </w:rPr>
            </w:pPr>
            <w:r w:rsidRPr="00E84473">
              <w:rPr>
                <w:rFonts w:ascii="Times New Roman" w:hAnsi="Times New Roman"/>
                <w:b/>
                <w:sz w:val="20"/>
                <w:szCs w:val="20"/>
              </w:rPr>
              <w:t>FY 20</w:t>
            </w:r>
            <w:r w:rsidR="007162AA">
              <w:rPr>
                <w:rFonts w:ascii="Times New Roman" w:hAnsi="Times New Roman"/>
                <w:b/>
                <w:sz w:val="20"/>
                <w:szCs w:val="20"/>
              </w:rPr>
              <w:t>20</w:t>
            </w:r>
          </w:p>
        </w:tc>
        <w:tc>
          <w:tcPr>
            <w:tcW w:w="1916" w:type="dxa"/>
          </w:tcPr>
          <w:p w:rsidRPr="00E84473" w:rsidR="005F731A" w:rsidP="007162AA" w:rsidRDefault="005F731A" w14:paraId="5BDD847A" w14:textId="4F726BEF">
            <w:pPr>
              <w:pStyle w:val="Level1"/>
              <w:autoSpaceDE/>
              <w:autoSpaceDN/>
              <w:adjustRightInd/>
              <w:ind w:left="0"/>
              <w:jc w:val="center"/>
              <w:rPr>
                <w:rFonts w:ascii="Times New Roman" w:hAnsi="Times New Roman"/>
                <w:b/>
                <w:sz w:val="20"/>
                <w:szCs w:val="20"/>
              </w:rPr>
            </w:pPr>
            <w:r w:rsidRPr="00E84473">
              <w:rPr>
                <w:rFonts w:ascii="Times New Roman" w:hAnsi="Times New Roman"/>
                <w:b/>
                <w:sz w:val="20"/>
                <w:szCs w:val="20"/>
              </w:rPr>
              <w:t>FY</w:t>
            </w:r>
            <w:r w:rsidRPr="00E84473" w:rsidR="00EE7C0F">
              <w:rPr>
                <w:rFonts w:ascii="Times New Roman" w:hAnsi="Times New Roman"/>
                <w:b/>
                <w:sz w:val="20"/>
                <w:szCs w:val="20"/>
              </w:rPr>
              <w:t>20</w:t>
            </w:r>
            <w:r w:rsidR="007162AA">
              <w:rPr>
                <w:rFonts w:ascii="Times New Roman" w:hAnsi="Times New Roman"/>
                <w:b/>
                <w:sz w:val="20"/>
                <w:szCs w:val="20"/>
              </w:rPr>
              <w:t>21</w:t>
            </w:r>
          </w:p>
        </w:tc>
        <w:tc>
          <w:tcPr>
            <w:tcW w:w="1916" w:type="dxa"/>
          </w:tcPr>
          <w:p w:rsidRPr="00E84473" w:rsidR="005F731A" w:rsidP="00D25900" w:rsidRDefault="005F731A" w14:paraId="5C30357A" w14:textId="6FBD29A9">
            <w:pPr>
              <w:pStyle w:val="Level1"/>
              <w:autoSpaceDE/>
              <w:autoSpaceDN/>
              <w:adjustRightInd/>
              <w:ind w:left="0"/>
              <w:jc w:val="center"/>
              <w:rPr>
                <w:rFonts w:ascii="Times New Roman" w:hAnsi="Times New Roman"/>
                <w:b/>
                <w:sz w:val="20"/>
                <w:szCs w:val="20"/>
              </w:rPr>
            </w:pPr>
            <w:r w:rsidRPr="00E84473">
              <w:rPr>
                <w:rFonts w:ascii="Times New Roman" w:hAnsi="Times New Roman"/>
                <w:b/>
                <w:sz w:val="20"/>
                <w:szCs w:val="20"/>
              </w:rPr>
              <w:t>Total</w:t>
            </w:r>
          </w:p>
        </w:tc>
      </w:tr>
      <w:tr w:rsidRPr="00E84473" w:rsidR="005F731A" w:rsidTr="005F731A" w14:paraId="65B542D0" w14:textId="77777777">
        <w:tc>
          <w:tcPr>
            <w:tcW w:w="1830" w:type="dxa"/>
          </w:tcPr>
          <w:p w:rsidRPr="00E84473" w:rsidR="005F731A" w:rsidP="00A66836" w:rsidRDefault="005F731A" w14:paraId="1C821E5D" w14:textId="505E5510">
            <w:pPr>
              <w:pStyle w:val="Level1"/>
              <w:autoSpaceDE/>
              <w:autoSpaceDN/>
              <w:adjustRightInd/>
              <w:ind w:left="0"/>
              <w:rPr>
                <w:rFonts w:ascii="Times New Roman" w:hAnsi="Times New Roman"/>
                <w:sz w:val="20"/>
                <w:szCs w:val="20"/>
              </w:rPr>
            </w:pPr>
            <w:r w:rsidRPr="00E84473">
              <w:rPr>
                <w:rFonts w:ascii="Times New Roman" w:hAnsi="Times New Roman"/>
                <w:sz w:val="20"/>
                <w:szCs w:val="20"/>
              </w:rPr>
              <w:t>Professional Staff</w:t>
            </w:r>
          </w:p>
        </w:tc>
        <w:tc>
          <w:tcPr>
            <w:tcW w:w="1915" w:type="dxa"/>
          </w:tcPr>
          <w:p w:rsidRPr="00E84473" w:rsidR="005F731A" w:rsidP="007162AA" w:rsidRDefault="005F731A" w14:paraId="46D3A728" w14:textId="6366961E">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7162AA">
              <w:rPr>
                <w:rFonts w:ascii="Times New Roman" w:hAnsi="Times New Roman"/>
                <w:sz w:val="20"/>
                <w:szCs w:val="20"/>
              </w:rPr>
              <w:t>12</w:t>
            </w:r>
            <w:r w:rsidRPr="00E84473">
              <w:rPr>
                <w:rFonts w:ascii="Times New Roman" w:hAnsi="Times New Roman"/>
                <w:sz w:val="20"/>
                <w:szCs w:val="20"/>
              </w:rPr>
              <w:t>,</w:t>
            </w:r>
            <w:r w:rsidR="007162AA">
              <w:rPr>
                <w:rFonts w:ascii="Times New Roman" w:hAnsi="Times New Roman"/>
                <w:sz w:val="20"/>
                <w:szCs w:val="20"/>
              </w:rPr>
              <w:t>6</w:t>
            </w:r>
            <w:r w:rsidRPr="00E84473">
              <w:rPr>
                <w:rFonts w:ascii="Times New Roman" w:hAnsi="Times New Roman"/>
                <w:sz w:val="20"/>
                <w:szCs w:val="20"/>
              </w:rPr>
              <w:t>00,000</w:t>
            </w:r>
            <w:r w:rsidRPr="00E84473" w:rsidR="00B352C0">
              <w:rPr>
                <w:rFonts w:ascii="Times New Roman" w:hAnsi="Times New Roman"/>
                <w:sz w:val="20"/>
                <w:szCs w:val="20"/>
              </w:rPr>
              <w:t>.00</w:t>
            </w:r>
          </w:p>
        </w:tc>
        <w:tc>
          <w:tcPr>
            <w:tcW w:w="1916" w:type="dxa"/>
          </w:tcPr>
          <w:p w:rsidRPr="00E84473" w:rsidR="005F731A" w:rsidP="00A66836" w:rsidRDefault="005F731A" w14:paraId="40C08D69" w14:textId="7199F24F">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$1</w:t>
            </w:r>
            <w:r w:rsidRPr="00E84473" w:rsidR="00676525">
              <w:rPr>
                <w:rFonts w:ascii="Times New Roman" w:hAnsi="Times New Roman"/>
                <w:sz w:val="20"/>
                <w:szCs w:val="20"/>
              </w:rPr>
              <w:t>3</w:t>
            </w:r>
            <w:r w:rsidRPr="00E84473">
              <w:rPr>
                <w:rFonts w:ascii="Times New Roman" w:hAnsi="Times New Roman"/>
                <w:sz w:val="20"/>
                <w:szCs w:val="20"/>
              </w:rPr>
              <w:t>,</w:t>
            </w:r>
            <w:r w:rsidR="008F2588">
              <w:rPr>
                <w:rFonts w:ascii="Times New Roman" w:hAnsi="Times New Roman"/>
                <w:sz w:val="20"/>
                <w:szCs w:val="20"/>
              </w:rPr>
              <w:t>2</w:t>
            </w:r>
            <w:r w:rsidRPr="00E84473">
              <w:rPr>
                <w:rFonts w:ascii="Times New Roman" w:hAnsi="Times New Roman"/>
                <w:sz w:val="20"/>
                <w:szCs w:val="20"/>
              </w:rPr>
              <w:t>00,000</w:t>
            </w:r>
            <w:r w:rsidRPr="00E84473" w:rsidR="00B352C0">
              <w:rPr>
                <w:rFonts w:ascii="Times New Roman" w:hAnsi="Times New Roman"/>
                <w:sz w:val="20"/>
                <w:szCs w:val="20"/>
              </w:rPr>
              <w:t>.00</w:t>
            </w:r>
          </w:p>
        </w:tc>
        <w:tc>
          <w:tcPr>
            <w:tcW w:w="1916" w:type="dxa"/>
          </w:tcPr>
          <w:p w:rsidRPr="00E84473" w:rsidR="005F731A" w:rsidP="008F2588" w:rsidRDefault="005F731A" w14:paraId="35FDD3DB" w14:textId="0862E830">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$2</w:t>
            </w:r>
            <w:r w:rsidR="008F2588">
              <w:rPr>
                <w:rFonts w:ascii="Times New Roman" w:hAnsi="Times New Roman"/>
                <w:sz w:val="20"/>
                <w:szCs w:val="20"/>
              </w:rPr>
              <w:t>5</w:t>
            </w:r>
            <w:r w:rsidRPr="00E84473">
              <w:rPr>
                <w:rFonts w:ascii="Times New Roman" w:hAnsi="Times New Roman"/>
                <w:sz w:val="20"/>
                <w:szCs w:val="20"/>
              </w:rPr>
              <w:t>,</w:t>
            </w:r>
            <w:r w:rsidR="008F2588">
              <w:rPr>
                <w:rFonts w:ascii="Times New Roman" w:hAnsi="Times New Roman"/>
                <w:sz w:val="20"/>
                <w:szCs w:val="20"/>
              </w:rPr>
              <w:t>8</w:t>
            </w:r>
            <w:r w:rsidRPr="00E84473">
              <w:rPr>
                <w:rFonts w:ascii="Times New Roman" w:hAnsi="Times New Roman"/>
                <w:sz w:val="20"/>
                <w:szCs w:val="20"/>
              </w:rPr>
              <w:t>00,000</w:t>
            </w:r>
            <w:r w:rsidRPr="00E84473" w:rsidR="00B352C0">
              <w:rPr>
                <w:rFonts w:ascii="Times New Roman" w:hAnsi="Times New Roman"/>
                <w:sz w:val="20"/>
                <w:szCs w:val="20"/>
              </w:rPr>
              <w:t>.00</w:t>
            </w:r>
          </w:p>
        </w:tc>
      </w:tr>
      <w:tr w:rsidRPr="00E84473" w:rsidR="005F731A" w:rsidTr="005F731A" w14:paraId="314312BB" w14:textId="77777777">
        <w:tc>
          <w:tcPr>
            <w:tcW w:w="1830" w:type="dxa"/>
          </w:tcPr>
          <w:p w:rsidRPr="00E84473" w:rsidR="005F731A" w:rsidP="005F731A" w:rsidRDefault="005F731A" w14:paraId="75D0FFA0" w14:textId="77777777">
            <w:pPr>
              <w:pStyle w:val="Level1"/>
              <w:autoSpaceDE/>
              <w:autoSpaceDN/>
              <w:adjustRightInd/>
              <w:ind w:left="0"/>
              <w:rPr>
                <w:rFonts w:ascii="Times New Roman" w:hAnsi="Times New Roman"/>
                <w:sz w:val="20"/>
                <w:szCs w:val="20"/>
              </w:rPr>
            </w:pPr>
            <w:r w:rsidRPr="00E84473">
              <w:rPr>
                <w:rFonts w:ascii="Times New Roman" w:hAnsi="Times New Roman"/>
                <w:sz w:val="20"/>
                <w:szCs w:val="20"/>
              </w:rPr>
              <w:t>Field Data Collection</w:t>
            </w:r>
          </w:p>
        </w:tc>
        <w:tc>
          <w:tcPr>
            <w:tcW w:w="1915" w:type="dxa"/>
          </w:tcPr>
          <w:p w:rsidRPr="00E84473" w:rsidR="005F731A" w:rsidP="005F731A" w:rsidRDefault="005F731A" w14:paraId="6DEB83B3" w14:textId="77777777">
            <w:pPr>
              <w:pStyle w:val="Level1"/>
              <w:autoSpaceDE/>
              <w:autoSpaceDN/>
              <w:adjustRightInd/>
              <w:ind w:left="0"/>
              <w:jc w:val="right"/>
              <w:rPr>
                <w:rFonts w:ascii="Times New Roman" w:hAnsi="Times New Roman"/>
                <w:sz w:val="20"/>
                <w:szCs w:val="20"/>
              </w:rPr>
            </w:pPr>
          </w:p>
        </w:tc>
        <w:tc>
          <w:tcPr>
            <w:tcW w:w="1916" w:type="dxa"/>
          </w:tcPr>
          <w:p w:rsidRPr="00E84473" w:rsidR="005F731A" w:rsidP="005F731A" w:rsidRDefault="005F731A" w14:paraId="7F285D7D" w14:textId="16351593">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$4</w:t>
            </w:r>
            <w:r w:rsidR="00624335">
              <w:rPr>
                <w:rFonts w:ascii="Times New Roman" w:hAnsi="Times New Roman"/>
                <w:sz w:val="20"/>
                <w:szCs w:val="20"/>
              </w:rPr>
              <w:t>5</w:t>
            </w:r>
            <w:r w:rsidRPr="00E84473">
              <w:rPr>
                <w:rFonts w:ascii="Times New Roman" w:hAnsi="Times New Roman"/>
                <w:sz w:val="20"/>
                <w:szCs w:val="20"/>
              </w:rPr>
              <w:t>,</w:t>
            </w:r>
            <w:r w:rsidR="00624335">
              <w:rPr>
                <w:rFonts w:ascii="Times New Roman" w:hAnsi="Times New Roman"/>
                <w:sz w:val="20"/>
                <w:szCs w:val="20"/>
              </w:rPr>
              <w:t>5</w:t>
            </w:r>
            <w:r w:rsidRPr="00E84473" w:rsidR="00676525">
              <w:rPr>
                <w:rFonts w:ascii="Times New Roman" w:hAnsi="Times New Roman"/>
                <w:sz w:val="20"/>
                <w:szCs w:val="20"/>
              </w:rPr>
              <w:t>00</w:t>
            </w:r>
            <w:r w:rsidRPr="00E84473">
              <w:rPr>
                <w:rFonts w:ascii="Times New Roman" w:hAnsi="Times New Roman"/>
                <w:sz w:val="20"/>
                <w:szCs w:val="20"/>
              </w:rPr>
              <w:t>,</w:t>
            </w:r>
            <w:r w:rsidRPr="00E84473" w:rsidR="00676525">
              <w:rPr>
                <w:rFonts w:ascii="Times New Roman" w:hAnsi="Times New Roman"/>
                <w:sz w:val="20"/>
                <w:szCs w:val="20"/>
              </w:rPr>
              <w:t>00</w:t>
            </w:r>
            <w:r w:rsidRPr="00E84473">
              <w:rPr>
                <w:rFonts w:ascii="Times New Roman" w:hAnsi="Times New Roman"/>
                <w:sz w:val="20"/>
                <w:szCs w:val="20"/>
              </w:rPr>
              <w:t>0</w:t>
            </w:r>
            <w:r w:rsidRPr="00E84473" w:rsidR="00B352C0">
              <w:rPr>
                <w:rFonts w:ascii="Times New Roman" w:hAnsi="Times New Roman"/>
                <w:sz w:val="20"/>
                <w:szCs w:val="20"/>
              </w:rPr>
              <w:t>.00</w:t>
            </w:r>
          </w:p>
        </w:tc>
        <w:tc>
          <w:tcPr>
            <w:tcW w:w="1916" w:type="dxa"/>
          </w:tcPr>
          <w:p w:rsidRPr="00E84473" w:rsidR="005F731A" w:rsidP="005F731A" w:rsidRDefault="005F731A" w14:paraId="4A97812A" w14:textId="69997847">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$4</w:t>
            </w:r>
            <w:r w:rsidR="00624335">
              <w:rPr>
                <w:rFonts w:ascii="Times New Roman" w:hAnsi="Times New Roman"/>
                <w:sz w:val="20"/>
                <w:szCs w:val="20"/>
              </w:rPr>
              <w:t>5</w:t>
            </w:r>
            <w:r w:rsidRPr="00E84473">
              <w:rPr>
                <w:rFonts w:ascii="Times New Roman" w:hAnsi="Times New Roman"/>
                <w:sz w:val="20"/>
                <w:szCs w:val="20"/>
              </w:rPr>
              <w:t>,</w:t>
            </w:r>
            <w:r w:rsidR="00624335">
              <w:rPr>
                <w:rFonts w:ascii="Times New Roman" w:hAnsi="Times New Roman"/>
                <w:sz w:val="20"/>
                <w:szCs w:val="20"/>
              </w:rPr>
              <w:t>5</w:t>
            </w:r>
            <w:r w:rsidRPr="00E84473" w:rsidR="00676525">
              <w:rPr>
                <w:rFonts w:ascii="Times New Roman" w:hAnsi="Times New Roman"/>
                <w:sz w:val="20"/>
                <w:szCs w:val="20"/>
              </w:rPr>
              <w:t>00,00</w:t>
            </w:r>
            <w:r w:rsidRPr="00E84473">
              <w:rPr>
                <w:rFonts w:ascii="Times New Roman" w:hAnsi="Times New Roman"/>
                <w:sz w:val="20"/>
                <w:szCs w:val="20"/>
              </w:rPr>
              <w:t>0</w:t>
            </w:r>
            <w:r w:rsidRPr="00E84473" w:rsidR="00B352C0">
              <w:rPr>
                <w:rFonts w:ascii="Times New Roman" w:hAnsi="Times New Roman"/>
                <w:sz w:val="20"/>
                <w:szCs w:val="20"/>
              </w:rPr>
              <w:t>.00</w:t>
            </w:r>
          </w:p>
        </w:tc>
      </w:tr>
      <w:tr w:rsidRPr="00E84473" w:rsidR="005F731A" w:rsidTr="005F731A" w14:paraId="2AE1B145" w14:textId="77777777">
        <w:tc>
          <w:tcPr>
            <w:tcW w:w="1830" w:type="dxa"/>
          </w:tcPr>
          <w:p w:rsidRPr="00E84473" w:rsidR="005F731A" w:rsidP="005F731A" w:rsidRDefault="005F731A" w14:paraId="75326E0A" w14:textId="748B04BC">
            <w:pPr>
              <w:pStyle w:val="Level1"/>
              <w:autoSpaceDE/>
              <w:autoSpaceDN/>
              <w:adjustRightInd/>
              <w:ind w:left="0"/>
              <w:rPr>
                <w:rFonts w:ascii="Times New Roman" w:hAnsi="Times New Roman"/>
                <w:sz w:val="20"/>
                <w:szCs w:val="20"/>
              </w:rPr>
            </w:pPr>
            <w:r w:rsidRPr="00E84473">
              <w:rPr>
                <w:rFonts w:ascii="Times New Roman" w:hAnsi="Times New Roman"/>
                <w:sz w:val="20"/>
                <w:szCs w:val="20"/>
              </w:rPr>
              <w:t>Technology</w:t>
            </w:r>
          </w:p>
        </w:tc>
        <w:tc>
          <w:tcPr>
            <w:tcW w:w="1915" w:type="dxa"/>
          </w:tcPr>
          <w:p w:rsidRPr="00E84473" w:rsidR="005F731A" w:rsidP="005F731A" w:rsidRDefault="005F731A" w14:paraId="2AB47B3B" w14:textId="4A2912E2">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$0</w:t>
            </w:r>
            <w:r w:rsidRPr="00E84473" w:rsidR="00B352C0">
              <w:rPr>
                <w:rFonts w:ascii="Times New Roman" w:hAnsi="Times New Roman"/>
                <w:sz w:val="20"/>
                <w:szCs w:val="20"/>
              </w:rPr>
              <w:t>.00</w:t>
            </w:r>
          </w:p>
        </w:tc>
        <w:tc>
          <w:tcPr>
            <w:tcW w:w="1916" w:type="dxa"/>
          </w:tcPr>
          <w:p w:rsidRPr="00E84473" w:rsidR="005F731A" w:rsidP="005F731A" w:rsidRDefault="005F731A" w14:paraId="68E85B2D" w14:textId="33631F33">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8F2588">
              <w:rPr>
                <w:rFonts w:ascii="Times New Roman" w:hAnsi="Times New Roman"/>
                <w:sz w:val="20"/>
                <w:szCs w:val="20"/>
              </w:rPr>
              <w:t>2</w:t>
            </w:r>
            <w:r w:rsidRPr="00E84473" w:rsidR="00676525">
              <w:rPr>
                <w:rFonts w:ascii="Times New Roman" w:hAnsi="Times New Roman"/>
                <w:sz w:val="20"/>
                <w:szCs w:val="20"/>
              </w:rPr>
              <w:t>,</w:t>
            </w:r>
            <w:r w:rsidR="008F2588">
              <w:rPr>
                <w:rFonts w:ascii="Times New Roman" w:hAnsi="Times New Roman"/>
                <w:sz w:val="20"/>
                <w:szCs w:val="20"/>
              </w:rPr>
              <w:t>5</w:t>
            </w:r>
            <w:r w:rsidRPr="00E84473" w:rsidR="00676525">
              <w:rPr>
                <w:rFonts w:ascii="Times New Roman" w:hAnsi="Times New Roman"/>
                <w:sz w:val="20"/>
                <w:szCs w:val="20"/>
              </w:rPr>
              <w:t>00</w:t>
            </w:r>
            <w:r w:rsidRPr="00E84473">
              <w:rPr>
                <w:rFonts w:ascii="Times New Roman" w:hAnsi="Times New Roman"/>
                <w:sz w:val="20"/>
                <w:szCs w:val="20"/>
              </w:rPr>
              <w:t>,000</w:t>
            </w:r>
            <w:r w:rsidRPr="00E84473" w:rsidR="00B352C0">
              <w:rPr>
                <w:rFonts w:ascii="Times New Roman" w:hAnsi="Times New Roman"/>
                <w:sz w:val="20"/>
                <w:szCs w:val="20"/>
              </w:rPr>
              <w:t>.00</w:t>
            </w:r>
          </w:p>
        </w:tc>
        <w:tc>
          <w:tcPr>
            <w:tcW w:w="1916" w:type="dxa"/>
          </w:tcPr>
          <w:p w:rsidRPr="00E84473" w:rsidR="005F731A" w:rsidP="005F731A" w:rsidRDefault="005F731A" w14:paraId="34FEB7E6" w14:textId="21538337">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8F2588">
              <w:rPr>
                <w:rFonts w:ascii="Times New Roman" w:hAnsi="Times New Roman"/>
                <w:sz w:val="20"/>
                <w:szCs w:val="20"/>
              </w:rPr>
              <w:t>2</w:t>
            </w:r>
            <w:r w:rsidRPr="00E84473" w:rsidR="00676525">
              <w:rPr>
                <w:rFonts w:ascii="Times New Roman" w:hAnsi="Times New Roman"/>
                <w:sz w:val="20"/>
                <w:szCs w:val="20"/>
              </w:rPr>
              <w:t>,</w:t>
            </w:r>
            <w:r w:rsidR="008F2588">
              <w:rPr>
                <w:rFonts w:ascii="Times New Roman" w:hAnsi="Times New Roman"/>
                <w:sz w:val="20"/>
                <w:szCs w:val="20"/>
              </w:rPr>
              <w:t>5</w:t>
            </w:r>
            <w:r w:rsidRPr="00E84473" w:rsidR="00676525">
              <w:rPr>
                <w:rFonts w:ascii="Times New Roman" w:hAnsi="Times New Roman"/>
                <w:sz w:val="20"/>
                <w:szCs w:val="20"/>
              </w:rPr>
              <w:t>00</w:t>
            </w:r>
            <w:r w:rsidRPr="00E84473">
              <w:rPr>
                <w:rFonts w:ascii="Times New Roman" w:hAnsi="Times New Roman"/>
                <w:sz w:val="20"/>
                <w:szCs w:val="20"/>
              </w:rPr>
              <w:t>,000</w:t>
            </w:r>
            <w:r w:rsidRPr="00E84473" w:rsidR="00B352C0">
              <w:rPr>
                <w:rFonts w:ascii="Times New Roman" w:hAnsi="Times New Roman"/>
                <w:sz w:val="20"/>
                <w:szCs w:val="20"/>
              </w:rPr>
              <w:t>.00</w:t>
            </w:r>
          </w:p>
        </w:tc>
      </w:tr>
      <w:tr w:rsidRPr="00E84473" w:rsidR="005F731A" w:rsidTr="005F731A" w14:paraId="423891D9" w14:textId="77777777">
        <w:tc>
          <w:tcPr>
            <w:tcW w:w="1830" w:type="dxa"/>
          </w:tcPr>
          <w:p w:rsidRPr="00E0242D" w:rsidR="005F731A" w:rsidP="00E0242D" w:rsidRDefault="005F731A" w14:paraId="298657B1" w14:textId="142072B4">
            <w:pPr>
              <w:overflowPunct w:val="0"/>
              <w:autoSpaceDE w:val="0"/>
              <w:autoSpaceDN w:val="0"/>
              <w:adjustRightInd w:val="0"/>
              <w:ind w:left="45"/>
              <w:jc w:val="right"/>
              <w:textAlignment w:val="baseline"/>
              <w:rPr>
                <w:b/>
                <w:bCs/>
                <w:sz w:val="20"/>
                <w:szCs w:val="20"/>
              </w:rPr>
            </w:pPr>
            <w:r w:rsidRPr="00E0242D">
              <w:rPr>
                <w:b/>
                <w:bCs/>
                <w:sz w:val="20"/>
                <w:szCs w:val="20"/>
              </w:rPr>
              <w:t>T</w:t>
            </w:r>
            <w:r w:rsidR="00E0242D">
              <w:rPr>
                <w:b/>
                <w:bCs/>
                <w:sz w:val="20"/>
                <w:szCs w:val="20"/>
              </w:rPr>
              <w:t>otal</w:t>
            </w:r>
          </w:p>
        </w:tc>
        <w:tc>
          <w:tcPr>
            <w:tcW w:w="1915" w:type="dxa"/>
          </w:tcPr>
          <w:p w:rsidRPr="00E84473" w:rsidR="005F731A" w:rsidP="007162AA" w:rsidRDefault="005F731A" w14:paraId="21DEEEC7" w14:textId="1E21B2A9">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8F2588">
              <w:rPr>
                <w:rFonts w:ascii="Times New Roman" w:hAnsi="Times New Roman"/>
                <w:sz w:val="20"/>
                <w:szCs w:val="20"/>
              </w:rPr>
              <w:t>12</w:t>
            </w:r>
            <w:r w:rsidRPr="00E84473">
              <w:rPr>
                <w:rFonts w:ascii="Times New Roman" w:hAnsi="Times New Roman"/>
                <w:sz w:val="20"/>
                <w:szCs w:val="20"/>
              </w:rPr>
              <w:t>,</w:t>
            </w:r>
            <w:r w:rsidR="008F2588">
              <w:rPr>
                <w:rFonts w:ascii="Times New Roman" w:hAnsi="Times New Roman"/>
                <w:sz w:val="20"/>
                <w:szCs w:val="20"/>
              </w:rPr>
              <w:t>6</w:t>
            </w:r>
            <w:r w:rsidRPr="00E84473">
              <w:rPr>
                <w:rFonts w:ascii="Times New Roman" w:hAnsi="Times New Roman"/>
                <w:sz w:val="20"/>
                <w:szCs w:val="20"/>
              </w:rPr>
              <w:t>00,000</w:t>
            </w:r>
            <w:r w:rsidRPr="00E84473" w:rsidR="00B352C0">
              <w:rPr>
                <w:rFonts w:ascii="Times New Roman" w:hAnsi="Times New Roman"/>
                <w:sz w:val="20"/>
                <w:szCs w:val="20"/>
              </w:rPr>
              <w:t>.00</w:t>
            </w:r>
          </w:p>
        </w:tc>
        <w:tc>
          <w:tcPr>
            <w:tcW w:w="1916" w:type="dxa"/>
          </w:tcPr>
          <w:p w:rsidRPr="00E84473" w:rsidR="005F731A" w:rsidP="003C0DCE" w:rsidRDefault="005F731A" w14:paraId="007B1B18" w14:textId="5E9CBD7F">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624335">
              <w:rPr>
                <w:rFonts w:ascii="Times New Roman" w:hAnsi="Times New Roman"/>
                <w:sz w:val="20"/>
                <w:szCs w:val="20"/>
              </w:rPr>
              <w:t>61</w:t>
            </w:r>
            <w:r w:rsidRPr="00E84473">
              <w:rPr>
                <w:rFonts w:ascii="Times New Roman" w:hAnsi="Times New Roman"/>
                <w:sz w:val="20"/>
                <w:szCs w:val="20"/>
              </w:rPr>
              <w:t>,</w:t>
            </w:r>
            <w:r w:rsidR="00624335">
              <w:rPr>
                <w:rFonts w:ascii="Times New Roman" w:hAnsi="Times New Roman"/>
                <w:sz w:val="20"/>
                <w:szCs w:val="20"/>
              </w:rPr>
              <w:t>2</w:t>
            </w:r>
            <w:r w:rsidRPr="00E84473" w:rsidR="00676525">
              <w:rPr>
                <w:rFonts w:ascii="Times New Roman" w:hAnsi="Times New Roman"/>
                <w:sz w:val="20"/>
                <w:szCs w:val="20"/>
              </w:rPr>
              <w:t>00</w:t>
            </w:r>
            <w:r w:rsidRPr="00E84473">
              <w:rPr>
                <w:rFonts w:ascii="Times New Roman" w:hAnsi="Times New Roman"/>
                <w:sz w:val="20"/>
                <w:szCs w:val="20"/>
              </w:rPr>
              <w:t>,</w:t>
            </w:r>
            <w:r w:rsidRPr="00E84473" w:rsidR="00676525">
              <w:rPr>
                <w:rFonts w:ascii="Times New Roman" w:hAnsi="Times New Roman"/>
                <w:sz w:val="20"/>
                <w:szCs w:val="20"/>
              </w:rPr>
              <w:t>00</w:t>
            </w:r>
            <w:r w:rsidRPr="00E84473">
              <w:rPr>
                <w:rFonts w:ascii="Times New Roman" w:hAnsi="Times New Roman"/>
                <w:sz w:val="20"/>
                <w:szCs w:val="20"/>
              </w:rPr>
              <w:t>0</w:t>
            </w:r>
            <w:r w:rsidRPr="00E84473" w:rsidR="00B352C0">
              <w:rPr>
                <w:rFonts w:ascii="Times New Roman" w:hAnsi="Times New Roman"/>
                <w:sz w:val="20"/>
                <w:szCs w:val="20"/>
              </w:rPr>
              <w:t>.00</w:t>
            </w:r>
          </w:p>
        </w:tc>
        <w:tc>
          <w:tcPr>
            <w:tcW w:w="1916" w:type="dxa"/>
          </w:tcPr>
          <w:p w:rsidRPr="00E84473" w:rsidR="005F731A" w:rsidP="00624335" w:rsidRDefault="005F731A" w14:paraId="0DCB102F" w14:textId="1557F2AB">
            <w:pPr>
              <w:pStyle w:val="Level1"/>
              <w:autoSpaceDE/>
              <w:autoSpaceDN/>
              <w:adjustRightInd/>
              <w:ind w:left="0"/>
              <w:jc w:val="right"/>
              <w:rPr>
                <w:rFonts w:ascii="Times New Roman" w:hAnsi="Times New Roman"/>
                <w:sz w:val="20"/>
                <w:szCs w:val="20"/>
              </w:rPr>
            </w:pPr>
            <w:r w:rsidRPr="00E84473">
              <w:rPr>
                <w:rFonts w:ascii="Times New Roman" w:hAnsi="Times New Roman"/>
                <w:sz w:val="20"/>
                <w:szCs w:val="20"/>
              </w:rPr>
              <w:t>$</w:t>
            </w:r>
            <w:r w:rsidR="008F2588">
              <w:rPr>
                <w:rFonts w:ascii="Times New Roman" w:hAnsi="Times New Roman"/>
                <w:sz w:val="20"/>
                <w:szCs w:val="20"/>
              </w:rPr>
              <w:t>7</w:t>
            </w:r>
            <w:r w:rsidR="00624335">
              <w:rPr>
                <w:rFonts w:ascii="Times New Roman" w:hAnsi="Times New Roman"/>
                <w:sz w:val="20"/>
                <w:szCs w:val="20"/>
              </w:rPr>
              <w:t>3</w:t>
            </w:r>
            <w:r w:rsidRPr="00E84473" w:rsidR="00676525">
              <w:rPr>
                <w:rFonts w:ascii="Times New Roman" w:hAnsi="Times New Roman"/>
                <w:sz w:val="20"/>
                <w:szCs w:val="20"/>
              </w:rPr>
              <w:t>,</w:t>
            </w:r>
            <w:r w:rsidR="00624335">
              <w:rPr>
                <w:rFonts w:ascii="Times New Roman" w:hAnsi="Times New Roman"/>
                <w:sz w:val="20"/>
                <w:szCs w:val="20"/>
              </w:rPr>
              <w:t>8</w:t>
            </w:r>
            <w:r w:rsidRPr="00E84473" w:rsidR="00676525">
              <w:rPr>
                <w:rFonts w:ascii="Times New Roman" w:hAnsi="Times New Roman"/>
                <w:sz w:val="20"/>
                <w:szCs w:val="20"/>
              </w:rPr>
              <w:t>00,000</w:t>
            </w:r>
            <w:r w:rsidRPr="00E84473" w:rsidR="00B352C0">
              <w:rPr>
                <w:rFonts w:ascii="Times New Roman" w:hAnsi="Times New Roman"/>
                <w:sz w:val="20"/>
                <w:szCs w:val="20"/>
              </w:rPr>
              <w:t>.00</w:t>
            </w:r>
          </w:p>
        </w:tc>
      </w:tr>
    </w:tbl>
    <w:p w:rsidRPr="009C5958" w:rsidR="005F731A" w:rsidP="005B213D" w:rsidRDefault="005F731A" w14:paraId="666CDCDE" w14:textId="12800DAB">
      <w:pPr>
        <w:pStyle w:val="Level1"/>
        <w:autoSpaceDE/>
        <w:autoSpaceDN/>
        <w:adjustRightInd/>
        <w:rPr>
          <w:rFonts w:ascii="Times New Roman" w:hAnsi="Times New Roman"/>
        </w:rPr>
      </w:pPr>
    </w:p>
    <w:p w:rsidR="000B2AB7" w:rsidP="00570D68" w:rsidRDefault="000B2AB7" w14:paraId="014B8354" w14:textId="4A668A6B">
      <w:pPr>
        <w:pStyle w:val="Level1"/>
        <w:autoSpaceDE/>
        <w:autoSpaceDN/>
        <w:adjustRightInd/>
        <w:ind w:left="1413"/>
        <w:rPr>
          <w:rFonts w:ascii="Times New Roman" w:hAnsi="Times New Roman"/>
        </w:rPr>
      </w:pPr>
      <w:r w:rsidRPr="009C5958">
        <w:rPr>
          <w:rFonts w:ascii="Times New Roman" w:hAnsi="Times New Roman"/>
        </w:rPr>
        <w:t>The figure</w:t>
      </w:r>
      <w:r w:rsidRPr="009C5958" w:rsidR="005F731A">
        <w:rPr>
          <w:rFonts w:ascii="Times New Roman" w:hAnsi="Times New Roman"/>
        </w:rPr>
        <w:t>s above are</w:t>
      </w:r>
      <w:r w:rsidRPr="009C5958">
        <w:rPr>
          <w:rFonts w:ascii="Times New Roman" w:hAnsi="Times New Roman"/>
        </w:rPr>
        <w:t xml:space="preserve"> based on the following factors.</w:t>
      </w:r>
    </w:p>
    <w:p w:rsidR="000B2AB7" w:rsidP="002977DE" w:rsidRDefault="000B2AB7" w14:paraId="48F9DCB8" w14:textId="2B699747">
      <w:pPr>
        <w:pStyle w:val="Level1"/>
        <w:numPr>
          <w:ilvl w:val="12"/>
          <w:numId w:val="0"/>
        </w:numPr>
        <w:autoSpaceDE/>
        <w:autoSpaceDN/>
        <w:adjustRightInd/>
        <w:ind w:left="1413"/>
        <w:rPr>
          <w:rFonts w:ascii="Times New Roman" w:hAnsi="Times New Roman"/>
        </w:rPr>
      </w:pPr>
      <w:r>
        <w:rPr>
          <w:rFonts w:ascii="Times New Roman" w:hAnsi="Times New Roman"/>
        </w:rPr>
        <w:t xml:space="preserve"> </w:t>
      </w:r>
      <w:r w:rsidR="00796A61">
        <w:rPr>
          <w:rFonts w:ascii="Times New Roman" w:hAnsi="Times New Roman"/>
        </w:rPr>
        <w:t xml:space="preserve"> </w:t>
      </w:r>
    </w:p>
    <w:p w:rsidR="000B2AB7" w:rsidP="002977DE" w:rsidRDefault="005F731A" w14:paraId="34956952" w14:textId="25D15D12">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For professional staff, the estimates are based on actual money spent in FY 201</w:t>
      </w:r>
      <w:r w:rsidR="00284182">
        <w:rPr>
          <w:rFonts w:ascii="Times New Roman" w:hAnsi="Times New Roman"/>
        </w:rPr>
        <w:t>9</w:t>
      </w:r>
      <w:r>
        <w:rPr>
          <w:rFonts w:ascii="Times New Roman" w:hAnsi="Times New Roman"/>
        </w:rPr>
        <w:t xml:space="preserve"> and budgeted “not-to-exceed” amounts for FY </w:t>
      </w:r>
      <w:r w:rsidR="0054555B">
        <w:rPr>
          <w:rFonts w:ascii="Times New Roman" w:hAnsi="Times New Roman"/>
        </w:rPr>
        <w:t>2021.</w:t>
      </w:r>
      <w:r>
        <w:rPr>
          <w:rFonts w:ascii="Times New Roman" w:hAnsi="Times New Roman"/>
        </w:rPr>
        <w:t xml:space="preserve"> Professional </w:t>
      </w:r>
      <w:r>
        <w:rPr>
          <w:rFonts w:ascii="Times New Roman" w:hAnsi="Times New Roman"/>
        </w:rPr>
        <w:lastRenderedPageBreak/>
        <w:t xml:space="preserve">staff include survey methodologists, statisticians, computer programmers and other IT support, communications </w:t>
      </w:r>
      <w:proofErr w:type="gramStart"/>
      <w:r>
        <w:rPr>
          <w:rFonts w:ascii="Times New Roman" w:hAnsi="Times New Roman"/>
        </w:rPr>
        <w:t>specialists</w:t>
      </w:r>
      <w:proofErr w:type="gramEnd"/>
      <w:r>
        <w:rPr>
          <w:rFonts w:ascii="Times New Roman" w:hAnsi="Times New Roman"/>
        </w:rPr>
        <w:t xml:space="preserve"> and managers.</w:t>
      </w:r>
    </w:p>
    <w:p w:rsidR="000B2AB7" w:rsidP="002977DE" w:rsidRDefault="000B2AB7" w14:paraId="62F631FF" w14:textId="77777777">
      <w:pPr>
        <w:pStyle w:val="Level1"/>
        <w:autoSpaceDE/>
        <w:autoSpaceDN/>
        <w:adjustRightInd/>
        <w:ind w:left="1773"/>
        <w:rPr>
          <w:rFonts w:ascii="Times New Roman" w:hAnsi="Times New Roman"/>
        </w:rPr>
      </w:pPr>
    </w:p>
    <w:p w:rsidR="000B2AB7" w:rsidP="002977DE" w:rsidRDefault="005F731A" w14:paraId="19E90138" w14:textId="3449C672">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For field data collection, projected costs reflect “not-to-exceed” amounts. The projected costs are</w:t>
      </w:r>
      <w:r w:rsidR="003C0DCE">
        <w:rPr>
          <w:rFonts w:ascii="Times New Roman" w:hAnsi="Times New Roman"/>
        </w:rPr>
        <w:t xml:space="preserve"> provided by the Census Bureau’s </w:t>
      </w:r>
      <w:r>
        <w:rPr>
          <w:rFonts w:ascii="Times New Roman" w:hAnsi="Times New Roman"/>
        </w:rPr>
        <w:t xml:space="preserve">field case management cost projection </w:t>
      </w:r>
      <w:r w:rsidR="003C0DCE">
        <w:rPr>
          <w:rFonts w:ascii="Times New Roman" w:hAnsi="Times New Roman"/>
        </w:rPr>
        <w:t>model</w:t>
      </w:r>
      <w:r>
        <w:rPr>
          <w:rFonts w:ascii="Times New Roman" w:hAnsi="Times New Roman"/>
        </w:rPr>
        <w:t>. The cost project</w:t>
      </w:r>
      <w:r w:rsidR="003C0DCE">
        <w:rPr>
          <w:rFonts w:ascii="Times New Roman" w:hAnsi="Times New Roman"/>
        </w:rPr>
        <w:t xml:space="preserve">ion model </w:t>
      </w:r>
      <w:r>
        <w:rPr>
          <w:rFonts w:ascii="Times New Roman" w:hAnsi="Times New Roman"/>
        </w:rPr>
        <w:t>uses information on costs from prior surveys</w:t>
      </w:r>
      <w:r w:rsidR="003C0DCE">
        <w:rPr>
          <w:rFonts w:ascii="Times New Roman" w:hAnsi="Times New Roman"/>
        </w:rPr>
        <w:t xml:space="preserve"> (including, but not limited to, the AHS)</w:t>
      </w:r>
      <w:r>
        <w:rPr>
          <w:rFonts w:ascii="Times New Roman" w:hAnsi="Times New Roman"/>
        </w:rPr>
        <w:t xml:space="preserve">, specifications for the current </w:t>
      </w:r>
      <w:r w:rsidR="003C0DCE">
        <w:rPr>
          <w:rFonts w:ascii="Times New Roman" w:hAnsi="Times New Roman"/>
        </w:rPr>
        <w:t>AHS</w:t>
      </w:r>
      <w:r>
        <w:rPr>
          <w:rFonts w:ascii="Times New Roman" w:hAnsi="Times New Roman"/>
        </w:rPr>
        <w:t xml:space="preserve">, and </w:t>
      </w:r>
      <w:r w:rsidR="003C0DCE">
        <w:rPr>
          <w:rFonts w:ascii="Times New Roman" w:hAnsi="Times New Roman"/>
        </w:rPr>
        <w:t xml:space="preserve">current </w:t>
      </w:r>
      <w:r>
        <w:rPr>
          <w:rFonts w:ascii="Times New Roman" w:hAnsi="Times New Roman"/>
        </w:rPr>
        <w:t>local and regional labor rates.</w:t>
      </w:r>
    </w:p>
    <w:p w:rsidR="000B2AB7" w:rsidP="002977DE" w:rsidRDefault="000B2AB7" w14:paraId="1AE0854E" w14:textId="77777777">
      <w:pPr>
        <w:pStyle w:val="Level1"/>
        <w:autoSpaceDE/>
        <w:autoSpaceDN/>
        <w:adjustRightInd/>
        <w:ind w:left="333"/>
        <w:rPr>
          <w:rFonts w:ascii="Times New Roman" w:hAnsi="Times New Roman"/>
        </w:rPr>
      </w:pPr>
    </w:p>
    <w:p w:rsidRPr="000331B0" w:rsidR="000E1934" w:rsidP="000331B0" w:rsidRDefault="005F731A" w14:paraId="30D3EE7E" w14:textId="06654923">
      <w:pPr>
        <w:pStyle w:val="Level1"/>
        <w:numPr>
          <w:ilvl w:val="0"/>
          <w:numId w:val="5"/>
        </w:numPr>
        <w:tabs>
          <w:tab w:val="clear" w:pos="1800"/>
          <w:tab w:val="num" w:pos="2133"/>
        </w:tabs>
        <w:autoSpaceDE/>
        <w:autoSpaceDN/>
        <w:adjustRightInd/>
        <w:ind w:left="2133"/>
        <w:rPr>
          <w:rFonts w:ascii="Times New Roman" w:hAnsi="Times New Roman"/>
        </w:rPr>
      </w:pPr>
      <w:r>
        <w:rPr>
          <w:rFonts w:ascii="Times New Roman" w:hAnsi="Times New Roman"/>
        </w:rPr>
        <w:t xml:space="preserve">Technology costs include purchase and maintenance of laptops. This estimate is provided by </w:t>
      </w:r>
      <w:r w:rsidR="003C0DCE">
        <w:rPr>
          <w:rFonts w:ascii="Times New Roman" w:hAnsi="Times New Roman"/>
        </w:rPr>
        <w:t xml:space="preserve">the </w:t>
      </w:r>
      <w:r>
        <w:rPr>
          <w:rFonts w:ascii="Times New Roman" w:hAnsi="Times New Roman"/>
        </w:rPr>
        <w:t>Census</w:t>
      </w:r>
      <w:r w:rsidR="003C0DCE">
        <w:rPr>
          <w:rFonts w:ascii="Times New Roman" w:hAnsi="Times New Roman"/>
        </w:rPr>
        <w:t xml:space="preserve"> Bureau</w:t>
      </w:r>
      <w:r>
        <w:rPr>
          <w:rFonts w:ascii="Times New Roman" w:hAnsi="Times New Roman"/>
        </w:rPr>
        <w:t xml:space="preserve"> and reflect</w:t>
      </w:r>
      <w:r w:rsidR="003C0DCE">
        <w:rPr>
          <w:rFonts w:ascii="Times New Roman" w:hAnsi="Times New Roman"/>
        </w:rPr>
        <w:t>s</w:t>
      </w:r>
      <w:r>
        <w:rPr>
          <w:rFonts w:ascii="Times New Roman" w:hAnsi="Times New Roman"/>
        </w:rPr>
        <w:t xml:space="preserve"> </w:t>
      </w:r>
      <w:r w:rsidR="003C0DCE">
        <w:rPr>
          <w:rFonts w:ascii="Times New Roman" w:hAnsi="Times New Roman"/>
        </w:rPr>
        <w:t>a cost-sharing portion of the Census Bureau’s</w:t>
      </w:r>
      <w:r>
        <w:rPr>
          <w:rFonts w:ascii="Times New Roman" w:hAnsi="Times New Roman"/>
        </w:rPr>
        <w:t xml:space="preserve"> </w:t>
      </w:r>
      <w:r w:rsidR="003C0DCE">
        <w:rPr>
          <w:rFonts w:ascii="Times New Roman" w:hAnsi="Times New Roman"/>
        </w:rPr>
        <w:t xml:space="preserve">annual </w:t>
      </w:r>
      <w:r>
        <w:rPr>
          <w:rFonts w:ascii="Times New Roman" w:hAnsi="Times New Roman"/>
        </w:rPr>
        <w:t xml:space="preserve">technology costs </w:t>
      </w:r>
      <w:r w:rsidR="003C0DCE">
        <w:rPr>
          <w:rFonts w:ascii="Times New Roman" w:hAnsi="Times New Roman"/>
        </w:rPr>
        <w:t>CAPI-based surveys. All surveys using CAPI share in the cost of technology.</w:t>
      </w:r>
    </w:p>
    <w:p w:rsidR="000B2AB7" w:rsidP="002D5DC1" w:rsidRDefault="000B2AB7" w14:paraId="2D804FB4" w14:textId="77777777">
      <w:pPr>
        <w:pStyle w:val="Level1"/>
        <w:autoSpaceDE/>
        <w:autoSpaceDN/>
        <w:adjustRightInd/>
        <w:rPr>
          <w:rFonts w:ascii="Times New Roman" w:hAnsi="Times New Roman"/>
        </w:rPr>
      </w:pPr>
    </w:p>
    <w:p w:rsidRPr="00DC7D9A" w:rsidR="000B2AB7" w:rsidP="005A6A4A" w:rsidRDefault="000B2AB7" w14:paraId="058FD2D7" w14:textId="77777777">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w:t>
      </w:r>
      <w:r w:rsidRPr="00950C3F">
        <w:rPr>
          <w:rFonts w:ascii="Times New Roman" w:hAnsi="Times New Roman"/>
          <w:b/>
          <w:bCs/>
        </w:rPr>
        <w:t>Reason for Change in Burden</w:t>
      </w:r>
    </w:p>
    <w:p w:rsidRPr="00582A27" w:rsidR="00DC7D9A" w:rsidP="00DC7D9A" w:rsidRDefault="00DC7D9A" w14:paraId="799832BB" w14:textId="77777777">
      <w:pPr>
        <w:pStyle w:val="Level1"/>
        <w:tabs>
          <w:tab w:val="left" w:pos="432"/>
          <w:tab w:val="left" w:pos="720"/>
          <w:tab w:val="left" w:pos="864"/>
          <w:tab w:val="left" w:pos="1022"/>
          <w:tab w:val="left" w:pos="1296"/>
          <w:tab w:val="left" w:pos="1728"/>
          <w:tab w:val="left" w:pos="2160"/>
        </w:tabs>
        <w:ind w:left="1413"/>
        <w:rPr>
          <w:rFonts w:ascii="Times New Roman" w:hAnsi="Times New Roman"/>
        </w:rPr>
      </w:pPr>
    </w:p>
    <w:p w:rsidR="00665CA5" w:rsidP="00665CA5" w:rsidRDefault="000B7AF0" w14:paraId="2AFBC80D" w14:textId="55465ADE">
      <w:pPr>
        <w:pStyle w:val="BodyTextIndent3"/>
        <w:ind w:left="1413"/>
      </w:pPr>
      <w:r>
        <w:t>T</w:t>
      </w:r>
      <w:r w:rsidR="00336722">
        <w:t xml:space="preserve">he </w:t>
      </w:r>
      <w:r>
        <w:t xml:space="preserve">estimated </w:t>
      </w:r>
      <w:r w:rsidR="00336722">
        <w:t xml:space="preserve">respondent burden </w:t>
      </w:r>
      <w:r>
        <w:t xml:space="preserve">for </w:t>
      </w:r>
      <w:r w:rsidR="0054555B">
        <w:t xml:space="preserve">2021 </w:t>
      </w:r>
      <w:r w:rsidR="00AE6856">
        <w:t>(</w:t>
      </w:r>
      <w:r w:rsidR="00A31723">
        <w:t>63,137</w:t>
      </w:r>
      <w:r w:rsidRPr="00AE3B03" w:rsidR="00A31723">
        <w:t xml:space="preserve"> </w:t>
      </w:r>
      <w:r w:rsidR="00AE6856">
        <w:t xml:space="preserve">hours) </w:t>
      </w:r>
      <w:r>
        <w:t xml:space="preserve">is slightly </w:t>
      </w:r>
      <w:r w:rsidR="009C104D">
        <w:t>higher</w:t>
      </w:r>
      <w:r>
        <w:t xml:space="preserve"> than respondent burden </w:t>
      </w:r>
      <w:r w:rsidR="00AE6856">
        <w:t>cited in</w:t>
      </w:r>
      <w:r>
        <w:t xml:space="preserve"> </w:t>
      </w:r>
      <w:r w:rsidR="00AE6856">
        <w:t xml:space="preserve">the </w:t>
      </w:r>
      <w:r w:rsidR="0054555B">
        <w:t xml:space="preserve">2019 </w:t>
      </w:r>
      <w:r w:rsidR="00AE6856">
        <w:t>AHS Supporting Statement</w:t>
      </w:r>
      <w:r w:rsidR="008E07F3">
        <w:t xml:space="preserve">. The reason for this is that </w:t>
      </w:r>
      <w:r>
        <w:t xml:space="preserve">we </w:t>
      </w:r>
      <w:r w:rsidR="009C104D">
        <w:t>increased the size of the s</w:t>
      </w:r>
      <w:r w:rsidRPr="0098291D" w:rsidR="009C104D">
        <w:rPr>
          <w:color w:val="000000" w:themeColor="text1"/>
        </w:rPr>
        <w:t xml:space="preserve">ubsidized renter oversample </w:t>
      </w:r>
      <w:r w:rsidR="00AE6856">
        <w:t>after the</w:t>
      </w:r>
      <w:r>
        <w:t xml:space="preserve"> </w:t>
      </w:r>
      <w:r w:rsidR="0054555B">
        <w:t xml:space="preserve">2019 </w:t>
      </w:r>
      <w:r w:rsidR="009C104D">
        <w:t>AHS</w:t>
      </w:r>
      <w:r>
        <w:t xml:space="preserve">. </w:t>
      </w:r>
      <w:r w:rsidR="00AE6856">
        <w:t xml:space="preserve">Our estimated </w:t>
      </w:r>
      <w:r w:rsidR="0054555B">
        <w:t xml:space="preserve">2021 </w:t>
      </w:r>
      <w:r w:rsidR="00AE6856">
        <w:t xml:space="preserve">AHS response rates are based on what was observed in the </w:t>
      </w:r>
      <w:r w:rsidR="0054555B">
        <w:t xml:space="preserve">2019 </w:t>
      </w:r>
      <w:r w:rsidR="00AE6856">
        <w:t>AHS.</w:t>
      </w:r>
    </w:p>
    <w:p w:rsidR="00665CA5" w:rsidP="00665CA5" w:rsidRDefault="00665CA5" w14:paraId="18365625" w14:textId="77777777">
      <w:pPr>
        <w:pStyle w:val="BodyTextIndent3"/>
        <w:numPr>
          <w:ilvl w:val="0"/>
          <w:numId w:val="0"/>
        </w:numPr>
        <w:ind w:left="1674" w:hanging="261"/>
      </w:pPr>
    </w:p>
    <w:p w:rsidR="00CC3F3F" w:rsidP="0091571E" w:rsidRDefault="00CC3F3F" w14:paraId="57A8ED55" w14:textId="4F6EE598">
      <w:pPr>
        <w:pStyle w:val="BodyTextIndent3"/>
        <w:ind w:left="1413"/>
      </w:pPr>
    </w:p>
    <w:p w:rsidR="000B2AB7" w:rsidP="005A6A4A" w:rsidRDefault="000B2AB7" w14:paraId="4F21E28D" w14:textId="77777777">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rPr>
      </w:pPr>
      <w:r>
        <w:rPr>
          <w:rFonts w:ascii="Times New Roman" w:hAnsi="Times New Roman"/>
          <w:b/>
          <w:bCs/>
        </w:rPr>
        <w:t xml:space="preserve"> Project Schedule</w:t>
      </w:r>
    </w:p>
    <w:p w:rsidR="000B2AB7" w:rsidP="002977DE" w:rsidRDefault="000B2AB7" w14:paraId="61FD12D0" w14:textId="77777777">
      <w:pPr>
        <w:pStyle w:val="BodyTextIndent3"/>
        <w:ind w:left="1053"/>
      </w:pPr>
    </w:p>
    <w:p w:rsidRPr="00CB2792" w:rsidR="00CB2792" w:rsidP="00CB2792" w:rsidRDefault="000B2AB7" w14:paraId="2560B1BB" w14:textId="2163C97D">
      <w:pPr>
        <w:pStyle w:val="BodyTextIndent3"/>
        <w:ind w:left="1440"/>
      </w:pPr>
      <w:bookmarkStart w:name="_Hlk536449745" w:id="2"/>
      <w:r w:rsidRPr="00CB2792">
        <w:t>The Census Bureau has scheduled the</w:t>
      </w:r>
      <w:r w:rsidRPr="00CB2792" w:rsidR="00E91990">
        <w:t xml:space="preserve"> majority of </w:t>
      </w:r>
      <w:r w:rsidR="0054555B">
        <w:t xml:space="preserve">2021 </w:t>
      </w:r>
      <w:r w:rsidRPr="00CB2792">
        <w:t>field enumeration for the AHS survey</w:t>
      </w:r>
      <w:r w:rsidR="008C748E">
        <w:t xml:space="preserve"> </w:t>
      </w:r>
      <w:r w:rsidRPr="00CB2792">
        <w:t xml:space="preserve">to begin </w:t>
      </w:r>
      <w:r w:rsidR="00C94D42">
        <w:t>May</w:t>
      </w:r>
      <w:r w:rsidRPr="00CB2792" w:rsidR="0029682C">
        <w:t xml:space="preserve"> </w:t>
      </w:r>
      <w:r w:rsidR="005B213D">
        <w:t>3</w:t>
      </w:r>
      <w:r w:rsidRPr="00CB2792" w:rsidR="0029682C">
        <w:t xml:space="preserve"> and </w:t>
      </w:r>
      <w:r w:rsidRPr="00CB2792" w:rsidR="00950408">
        <w:t xml:space="preserve">end </w:t>
      </w:r>
      <w:r w:rsidR="00C94D42">
        <w:t>September 1</w:t>
      </w:r>
      <w:r w:rsidR="005B213D">
        <w:t>4</w:t>
      </w:r>
      <w:r w:rsidRPr="00CB2792" w:rsidR="00AF75EA">
        <w:t>,</w:t>
      </w:r>
      <w:r w:rsidRPr="00CB2792" w:rsidR="00751B40">
        <w:t xml:space="preserve"> </w:t>
      </w:r>
      <w:r w:rsidR="0054555B">
        <w:t>2021.</w:t>
      </w:r>
      <w:r w:rsidRPr="00CB2792" w:rsidR="00EB63F5">
        <w:t xml:space="preserve"> The</w:t>
      </w:r>
      <w:r w:rsidRPr="00CB2792" w:rsidR="00F54D33">
        <w:t xml:space="preserve"> entire</w:t>
      </w:r>
      <w:r w:rsidRPr="00CB2792" w:rsidR="00EB63F5">
        <w:t xml:space="preserve"> reinterview data collection will </w:t>
      </w:r>
      <w:r w:rsidRPr="00CB2792" w:rsidR="004A31FA">
        <w:t xml:space="preserve">span </w:t>
      </w:r>
      <w:r w:rsidR="00C94D42">
        <w:t>May</w:t>
      </w:r>
      <w:r w:rsidRPr="00CB2792" w:rsidR="0029682C">
        <w:t xml:space="preserve"> </w:t>
      </w:r>
      <w:r w:rsidR="005B213D">
        <w:t>4</w:t>
      </w:r>
      <w:r w:rsidRPr="00CB2792" w:rsidR="005B213D">
        <w:t xml:space="preserve"> </w:t>
      </w:r>
      <w:r w:rsidRPr="00CB2792" w:rsidR="00AF75EA">
        <w:t>through</w:t>
      </w:r>
      <w:r w:rsidRPr="00CB2792" w:rsidR="00F54D33">
        <w:t xml:space="preserve"> </w:t>
      </w:r>
      <w:r w:rsidR="00C94D42">
        <w:t>September</w:t>
      </w:r>
      <w:r w:rsidRPr="00CB2792" w:rsidR="004E672C">
        <w:t xml:space="preserve"> </w:t>
      </w:r>
      <w:r w:rsidR="005B213D">
        <w:t>21</w:t>
      </w:r>
      <w:r w:rsidRPr="00CB2792" w:rsidR="00BC4D89">
        <w:t xml:space="preserve">, </w:t>
      </w:r>
      <w:r w:rsidR="0054555B">
        <w:t>2021.</w:t>
      </w:r>
      <w:bookmarkEnd w:id="2"/>
      <w:r w:rsidRPr="00CB2792" w:rsidR="00DC7D9A">
        <w:t xml:space="preserve">  </w:t>
      </w:r>
    </w:p>
    <w:p w:rsidRPr="00CB2792" w:rsidR="00CB2792" w:rsidP="00CB2792" w:rsidRDefault="00CB2792" w14:paraId="50266E1B" w14:textId="77777777">
      <w:pPr>
        <w:pStyle w:val="BodyTextIndent3"/>
        <w:ind w:left="1440"/>
      </w:pPr>
    </w:p>
    <w:p w:rsidRPr="00CB2792" w:rsidR="000B2AB7" w:rsidP="00CB2792" w:rsidRDefault="00402799" w14:paraId="44C79C5D" w14:textId="2A34F471">
      <w:pPr>
        <w:pStyle w:val="BodyTextIndent3"/>
        <w:ind w:left="1440"/>
      </w:pPr>
      <w:r w:rsidRPr="00CB2792">
        <w:t xml:space="preserve">The projected release date of the </w:t>
      </w:r>
      <w:r w:rsidRPr="00CB2792" w:rsidR="00B019B2">
        <w:t xml:space="preserve">National </w:t>
      </w:r>
      <w:r w:rsidRPr="00CB2792" w:rsidR="002F6E80">
        <w:t>and Metro</w:t>
      </w:r>
      <w:r w:rsidRPr="00CB2792" w:rsidR="00A508BA">
        <w:t>politan</w:t>
      </w:r>
      <w:r w:rsidRPr="00CB2792" w:rsidR="002F6E80">
        <w:t xml:space="preserve"> </w:t>
      </w:r>
      <w:r w:rsidRPr="00CB2792">
        <w:t>public use file</w:t>
      </w:r>
      <w:r w:rsidRPr="00CB2792" w:rsidR="002F6E80">
        <w:t>s</w:t>
      </w:r>
      <w:r w:rsidRPr="00CB2792" w:rsidR="00B019B2">
        <w:t xml:space="preserve"> (PUF</w:t>
      </w:r>
      <w:r w:rsidRPr="00CB2792" w:rsidR="002F6E80">
        <w:t>s</w:t>
      </w:r>
      <w:r w:rsidRPr="00CB2792" w:rsidR="00B019B2">
        <w:t>)</w:t>
      </w:r>
      <w:r w:rsidRPr="00CB2792">
        <w:t xml:space="preserve"> is</w:t>
      </w:r>
      <w:r w:rsidRPr="00CB2792" w:rsidR="00AF75EA">
        <w:t xml:space="preserve"> </w:t>
      </w:r>
      <w:r w:rsidRPr="00CB2792" w:rsidR="00F76B22">
        <w:t>summer 20</w:t>
      </w:r>
      <w:r w:rsidR="008C748E">
        <w:t>22</w:t>
      </w:r>
      <w:r w:rsidRPr="00CB2792" w:rsidR="00B019B2">
        <w:t>.</w:t>
      </w:r>
      <w:r w:rsidRPr="00CB2792">
        <w:t xml:space="preserve">  </w:t>
      </w:r>
      <w:r w:rsidRPr="00CB2792" w:rsidR="001E6B2D">
        <w:t>When processing the data, t</w:t>
      </w:r>
      <w:r w:rsidRPr="00CB2792" w:rsidR="00200F73">
        <w:t>he Census Bureau usually implements basic data edits to ensure consistency.  In some cases, statistical models are used to allocate for missing values, such as values for income, utility cost, etc.  Allocated values can be identified by analysts with the help of variables that are included in the data set that tag such edits.  We also create new variables by collapsing or combining questions in the survey.</w:t>
      </w:r>
    </w:p>
    <w:p w:rsidRPr="00CB2792" w:rsidR="000B2AB7" w:rsidP="00CB2792" w:rsidRDefault="000B2AB7" w14:paraId="38C67DB8" w14:textId="77777777">
      <w:pPr>
        <w:numPr>
          <w:ilvl w:val="12"/>
          <w:numId w:val="0"/>
        </w:numPr>
        <w:ind w:left="333"/>
      </w:pPr>
    </w:p>
    <w:p w:rsidRPr="00CB2792" w:rsidR="000B2AB7" w:rsidP="00CB2792" w:rsidRDefault="007B4167" w14:paraId="31D1BED5" w14:textId="35AC51C7">
      <w:pPr>
        <w:pStyle w:val="BodyTextIndent3"/>
        <w:ind w:left="1413"/>
      </w:pPr>
      <w:r w:rsidRPr="00CB2792">
        <w:t>HUD and t</w:t>
      </w:r>
      <w:r w:rsidRPr="00CB2792" w:rsidR="000B2AB7">
        <w:t>he Census Bureau will issue product announcements when releasing the PUF</w:t>
      </w:r>
      <w:r w:rsidRPr="00CB2792" w:rsidR="00E74C93">
        <w:t>s</w:t>
      </w:r>
      <w:r w:rsidRPr="00CB2792" w:rsidR="000B2AB7">
        <w:t xml:space="preserve">, as well as </w:t>
      </w:r>
      <w:r w:rsidRPr="00CB2792" w:rsidR="00856251">
        <w:t>the Table Creator tables</w:t>
      </w:r>
      <w:r w:rsidRPr="00CB2792" w:rsidR="000B2AB7">
        <w:t xml:space="preserve"> as agreed upon with </w:t>
      </w:r>
      <w:r w:rsidRPr="00CB2792" w:rsidR="008C6429">
        <w:t>HUD</w:t>
      </w:r>
      <w:r w:rsidRPr="00CB2792" w:rsidR="000B2AB7">
        <w:t xml:space="preserve">.  The Department of Commerce or </w:t>
      </w:r>
      <w:r w:rsidRPr="00CB2792" w:rsidR="008C6429">
        <w:t>HUD</w:t>
      </w:r>
      <w:r w:rsidRPr="00CB2792" w:rsidR="000B2AB7">
        <w:t xml:space="preserve"> may release other publications.</w:t>
      </w:r>
      <w:r w:rsidRPr="00CB2792" w:rsidR="00EB63F5">
        <w:t xml:space="preserve">  </w:t>
      </w:r>
    </w:p>
    <w:p w:rsidRPr="00CB2792" w:rsidR="000B2AB7" w:rsidP="00CB2792" w:rsidRDefault="000B2AB7" w14:paraId="5692B3B0" w14:textId="77777777">
      <w:pPr>
        <w:pStyle w:val="BodyTextIndent3"/>
        <w:ind w:left="1413"/>
      </w:pPr>
    </w:p>
    <w:p w:rsidRPr="00B07327" w:rsidR="00A02D40" w:rsidP="00CB2792" w:rsidRDefault="00A02D40" w14:paraId="4C575D5E" w14:textId="77777777">
      <w:pPr>
        <w:pStyle w:val="BodyTextIndent3"/>
        <w:ind w:left="1413"/>
      </w:pPr>
      <w:r w:rsidRPr="00CB2792">
        <w:lastRenderedPageBreak/>
        <w:t>The data being disseminated and released are not individually identifiable and will have been cleared for release/dissemination by the Census Bureau's Disclosure Review Board.</w:t>
      </w:r>
      <w:r w:rsidRPr="00A02D40">
        <w:t xml:space="preserve">  </w:t>
      </w:r>
    </w:p>
    <w:p w:rsidR="000B2AB7" w:rsidP="002977DE" w:rsidRDefault="000B2AB7" w14:paraId="4EA5B9E3" w14:textId="77777777">
      <w:pPr>
        <w:pStyle w:val="BodyTextIndent3"/>
        <w:ind w:left="1413"/>
      </w:pPr>
    </w:p>
    <w:p w:rsidRPr="00B07327" w:rsidR="000B2AB7" w:rsidP="005A6A4A" w:rsidRDefault="000B2AB7" w14:paraId="55045D9F" w14:textId="77777777">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b/>
        </w:rPr>
      </w:pPr>
      <w:r w:rsidRPr="00B07327">
        <w:rPr>
          <w:rFonts w:ascii="Times New Roman" w:hAnsi="Times New Roman"/>
          <w:bCs/>
        </w:rPr>
        <w:t xml:space="preserve"> </w:t>
      </w:r>
      <w:r w:rsidRPr="00B07327">
        <w:rPr>
          <w:rFonts w:ascii="Times New Roman" w:hAnsi="Times New Roman"/>
          <w:b/>
          <w:bCs/>
        </w:rPr>
        <w:t>Request to Not Display Expiration Date</w:t>
      </w:r>
    </w:p>
    <w:p w:rsidRPr="00B07327" w:rsidR="000B2AB7" w:rsidP="002977DE" w:rsidRDefault="000B2AB7" w14:paraId="2388922D" w14:textId="77777777">
      <w:pPr>
        <w:numPr>
          <w:ilvl w:val="12"/>
          <w:numId w:val="0"/>
        </w:numPr>
        <w:ind w:left="333"/>
      </w:pPr>
    </w:p>
    <w:p w:rsidRPr="00B07327" w:rsidR="000B2AB7" w:rsidP="002977DE" w:rsidRDefault="000B2AB7" w14:paraId="495C9406" w14:textId="782C0917">
      <w:pPr>
        <w:pStyle w:val="BodyTextIndent3"/>
        <w:ind w:left="1413"/>
      </w:pPr>
      <w:r w:rsidRPr="00B07327">
        <w:t xml:space="preserve">The OMB number and expiration date </w:t>
      </w:r>
      <w:r w:rsidR="00D05C34">
        <w:t xml:space="preserve">will be </w:t>
      </w:r>
      <w:r w:rsidRPr="00B07327">
        <w:t xml:space="preserve">included on the AHS-26/66(L)  </w:t>
      </w:r>
    </w:p>
    <w:p w:rsidR="000B2AB7" w:rsidP="002977DE" w:rsidRDefault="000B2AB7" w14:paraId="7FA7958C" w14:textId="77777777">
      <w:pPr>
        <w:pStyle w:val="BodyTextIndent3"/>
        <w:ind w:left="1413"/>
      </w:pPr>
      <w:r w:rsidRPr="00B07327">
        <w:t>Advance Letter.  Because the questionnaire is an automated instrument, the respondent will not see the OMB number and expiration date.</w:t>
      </w:r>
    </w:p>
    <w:p w:rsidR="00B450F7" w:rsidP="002977DE" w:rsidRDefault="00B450F7" w14:paraId="5DD8276A" w14:textId="77777777">
      <w:pPr>
        <w:pStyle w:val="BodyTextIndent3"/>
        <w:ind w:left="1413"/>
      </w:pPr>
    </w:p>
    <w:p w:rsidRPr="00B07327" w:rsidR="000B2AB7" w:rsidP="005A6A4A" w:rsidRDefault="000B2AB7" w14:paraId="21EAB038" w14:textId="77777777">
      <w:pPr>
        <w:pStyle w:val="Level1"/>
        <w:numPr>
          <w:ilvl w:val="0"/>
          <w:numId w:val="1"/>
        </w:numPr>
        <w:tabs>
          <w:tab w:val="left" w:pos="432"/>
          <w:tab w:val="left" w:pos="720"/>
          <w:tab w:val="left" w:pos="864"/>
          <w:tab w:val="left" w:pos="1022"/>
          <w:tab w:val="left" w:pos="1296"/>
          <w:tab w:val="num" w:pos="1413"/>
          <w:tab w:val="left" w:pos="1728"/>
          <w:tab w:val="left" w:pos="2160"/>
        </w:tabs>
        <w:ind w:left="1413"/>
        <w:rPr>
          <w:rFonts w:ascii="Times New Roman" w:hAnsi="Times New Roman"/>
          <w:b/>
        </w:rPr>
      </w:pPr>
      <w:r w:rsidRPr="00B07327">
        <w:rPr>
          <w:rFonts w:ascii="Times New Roman" w:hAnsi="Times New Roman"/>
          <w:bCs/>
        </w:rPr>
        <w:t xml:space="preserve"> </w:t>
      </w:r>
      <w:r w:rsidRPr="00B07327">
        <w:rPr>
          <w:rFonts w:ascii="Times New Roman" w:hAnsi="Times New Roman"/>
          <w:b/>
          <w:bCs/>
        </w:rPr>
        <w:t>Exceptions to the Certificate</w:t>
      </w:r>
    </w:p>
    <w:p w:rsidRPr="00B07327" w:rsidR="000B2AB7" w:rsidP="002977DE" w:rsidRDefault="000B2AB7" w14:paraId="43770725" w14:textId="77777777">
      <w:pPr>
        <w:pStyle w:val="Level1"/>
        <w:numPr>
          <w:ilvl w:val="12"/>
          <w:numId w:val="0"/>
        </w:numPr>
        <w:autoSpaceDE/>
        <w:autoSpaceDN/>
        <w:adjustRightInd/>
        <w:ind w:left="1053"/>
        <w:rPr>
          <w:rFonts w:ascii="Times New Roman" w:hAnsi="Times New Roman"/>
        </w:rPr>
      </w:pPr>
    </w:p>
    <w:p w:rsidR="00DC0535" w:rsidP="00E84473" w:rsidRDefault="000B2AB7" w14:paraId="5788122B" w14:textId="6B6BF1FE">
      <w:pPr>
        <w:pStyle w:val="Level1"/>
        <w:numPr>
          <w:ilvl w:val="12"/>
          <w:numId w:val="0"/>
        </w:numPr>
        <w:autoSpaceDE/>
        <w:autoSpaceDN/>
        <w:adjustRightInd/>
        <w:ind w:left="1413"/>
        <w:rPr>
          <w:b/>
          <w:bCs/>
          <w:color w:val="FF0000"/>
        </w:rPr>
      </w:pPr>
      <w:r w:rsidRPr="00B07327">
        <w:rPr>
          <w:rFonts w:ascii="Times New Roman" w:hAnsi="Times New Roman"/>
        </w:rPr>
        <w:t>There are no exceptions.</w:t>
      </w:r>
    </w:p>
    <w:sectPr w:rsidR="00DC0535" w:rsidSect="00A20FF7">
      <w:headerReference w:type="even" r:id="rId10"/>
      <w:headerReference w:type="default" r:id="rId11"/>
      <w:type w:val="continuous"/>
      <w:pgSz w:w="12240" w:h="15840"/>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06836" w14:textId="77777777" w:rsidR="0048033B" w:rsidRDefault="0048033B">
      <w:r>
        <w:separator/>
      </w:r>
    </w:p>
  </w:endnote>
  <w:endnote w:type="continuationSeparator" w:id="0">
    <w:p w14:paraId="7CF8E749" w14:textId="77777777" w:rsidR="0048033B" w:rsidRDefault="0048033B">
      <w:r>
        <w:continuationSeparator/>
      </w:r>
    </w:p>
  </w:endnote>
  <w:endnote w:type="continuationNotice" w:id="1">
    <w:p w14:paraId="38345F68" w14:textId="77777777" w:rsidR="0048033B" w:rsidRDefault="00480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D459B" w14:textId="77777777" w:rsidR="0048033B" w:rsidRDefault="0048033B">
      <w:r>
        <w:separator/>
      </w:r>
    </w:p>
  </w:footnote>
  <w:footnote w:type="continuationSeparator" w:id="0">
    <w:p w14:paraId="264ACC33" w14:textId="77777777" w:rsidR="0048033B" w:rsidRDefault="0048033B">
      <w:r>
        <w:continuationSeparator/>
      </w:r>
    </w:p>
  </w:footnote>
  <w:footnote w:type="continuationNotice" w:id="1">
    <w:p w14:paraId="792F5E79" w14:textId="77777777" w:rsidR="0048033B" w:rsidRDefault="0048033B"/>
  </w:footnote>
  <w:footnote w:id="2">
    <w:p w14:paraId="0C8E06CC" w14:textId="77777777" w:rsidR="00F4672D" w:rsidRDefault="00F4672D" w:rsidP="00F4672D">
      <w:pPr>
        <w:pStyle w:val="FootnoteText"/>
      </w:pPr>
      <w:r>
        <w:rPr>
          <w:rStyle w:val="FootnoteReference"/>
        </w:rPr>
        <w:footnoteRef/>
      </w:r>
      <w:r>
        <w:t xml:space="preserve"> </w:t>
      </w:r>
      <w:r w:rsidRPr="00375742">
        <w:rPr>
          <w:rFonts w:ascii="Arial" w:hAnsi="Arial" w:cs="Arial"/>
        </w:rPr>
        <w:t>Armstrong, J. S. 1975. “Monetary Incentives in Mail Surveys.” Public Opinion Quarterly 39 (1): 111–16.</w:t>
      </w:r>
    </w:p>
  </w:footnote>
  <w:footnote w:id="3">
    <w:p w14:paraId="3FA78917" w14:textId="77777777" w:rsidR="00F4672D" w:rsidRDefault="00F4672D" w:rsidP="00F4672D">
      <w:pPr>
        <w:pStyle w:val="FootnoteText"/>
      </w:pPr>
      <w:r>
        <w:rPr>
          <w:rStyle w:val="FootnoteReference"/>
        </w:rPr>
        <w:footnoteRef/>
      </w:r>
      <w:r>
        <w:t xml:space="preserve"> </w:t>
      </w:r>
      <w:r>
        <w:rPr>
          <w:rFonts w:ascii="Arial" w:hAnsi="Arial" w:cs="Arial"/>
        </w:rPr>
        <w:t xml:space="preserve">Mercer, Andrew, Andrew </w:t>
      </w:r>
      <w:proofErr w:type="spellStart"/>
      <w:r>
        <w:rPr>
          <w:rFonts w:ascii="Arial" w:hAnsi="Arial" w:cs="Arial"/>
        </w:rPr>
        <w:t>Caporaso</w:t>
      </w:r>
      <w:proofErr w:type="spellEnd"/>
      <w:r>
        <w:rPr>
          <w:rFonts w:ascii="Arial" w:hAnsi="Arial" w:cs="Arial"/>
        </w:rPr>
        <w:t xml:space="preserve">, David Cantor, and </w:t>
      </w:r>
      <w:proofErr w:type="spellStart"/>
      <w:r>
        <w:rPr>
          <w:rFonts w:ascii="Arial" w:hAnsi="Arial" w:cs="Arial"/>
        </w:rPr>
        <w:t>Reanne</w:t>
      </w:r>
      <w:proofErr w:type="spellEnd"/>
      <w:r>
        <w:rPr>
          <w:rFonts w:ascii="Arial" w:hAnsi="Arial" w:cs="Arial"/>
        </w:rPr>
        <w:t xml:space="preserve"> Townsend. "How much gets you how much? Monetary incentives and response rates in household surveys." </w:t>
      </w:r>
      <w:r>
        <w:rPr>
          <w:rFonts w:ascii="Arial" w:hAnsi="Arial" w:cs="Arial"/>
          <w:i/>
          <w:iCs/>
        </w:rPr>
        <w:t>Public Opinion Quarterly</w:t>
      </w:r>
      <w:r>
        <w:rPr>
          <w:rFonts w:ascii="Arial" w:hAnsi="Arial" w:cs="Arial"/>
        </w:rPr>
        <w:t> 79, no. 1 (2015): 105-129.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17E96" w14:textId="77777777" w:rsidR="00D84472" w:rsidRDefault="00D844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421324" w14:textId="77777777" w:rsidR="00D84472" w:rsidRDefault="00D844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F451C" w14:textId="07258FE8" w:rsidR="00D84472" w:rsidRDefault="00D8447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F51">
      <w:rPr>
        <w:rStyle w:val="PageNumber"/>
        <w:noProof/>
      </w:rPr>
      <w:t>15</w:t>
    </w:r>
    <w:r>
      <w:rPr>
        <w:rStyle w:val="PageNumber"/>
      </w:rPr>
      <w:fldChar w:fldCharType="end"/>
    </w:r>
  </w:p>
  <w:p w14:paraId="167B13DF" w14:textId="77777777" w:rsidR="00D84472" w:rsidRDefault="00D84472">
    <w:pPr>
      <w:framePr w:wrap="notBeside" w:hAnchor="text" w:xAlign="right"/>
      <w:ind w:right="360"/>
    </w:pPr>
  </w:p>
  <w:p w14:paraId="0AB61D8B" w14:textId="77777777" w:rsidR="00D84472" w:rsidRDefault="00D844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40C78DA"/>
    <w:lvl w:ilvl="0">
      <w:numFmt w:val="decimal"/>
      <w:lvlText w:val="*"/>
      <w:lvlJc w:val="left"/>
    </w:lvl>
  </w:abstractNum>
  <w:abstractNum w:abstractNumId="1" w15:restartNumberingAfterBreak="0">
    <w:nsid w:val="006C5A4A"/>
    <w:multiLevelType w:val="hybridMultilevel"/>
    <w:tmpl w:val="75AA62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F4754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C54634"/>
    <w:multiLevelType w:val="hybridMultilevel"/>
    <w:tmpl w:val="E94A653E"/>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 w15:restartNumberingAfterBreak="0">
    <w:nsid w:val="154C32EF"/>
    <w:multiLevelType w:val="hybridMultilevel"/>
    <w:tmpl w:val="51E0964C"/>
    <w:lvl w:ilvl="0" w:tplc="52BC5B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77C0B"/>
    <w:multiLevelType w:val="hybridMultilevel"/>
    <w:tmpl w:val="E4DA3D3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 w15:restartNumberingAfterBreak="0">
    <w:nsid w:val="15FD4111"/>
    <w:multiLevelType w:val="hybridMultilevel"/>
    <w:tmpl w:val="58FAF080"/>
    <w:lvl w:ilvl="0" w:tplc="77381D92">
      <w:start w:val="1"/>
      <w:numFmt w:val="decimal"/>
      <w:lvlText w:val="%1."/>
      <w:lvlJc w:val="left"/>
      <w:pPr>
        <w:tabs>
          <w:tab w:val="num" w:pos="1350"/>
        </w:tabs>
        <w:ind w:left="1350" w:hanging="360"/>
      </w:pPr>
      <w:rPr>
        <w:rFonts w:hint="default"/>
        <w:b/>
      </w:rPr>
    </w:lvl>
    <w:lvl w:ilvl="1" w:tplc="0409001B">
      <w:start w:val="1"/>
      <w:numFmt w:val="lowerRoman"/>
      <w:lvlText w:val="%2."/>
      <w:lvlJc w:val="righ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A293A4B"/>
    <w:multiLevelType w:val="hybridMultilevel"/>
    <w:tmpl w:val="48984C7C"/>
    <w:lvl w:ilvl="0" w:tplc="5D88948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A2E037D"/>
    <w:multiLevelType w:val="hybridMultilevel"/>
    <w:tmpl w:val="089A59D2"/>
    <w:lvl w:ilvl="0" w:tplc="04090019">
      <w:start w:val="1"/>
      <w:numFmt w:val="lowerLetter"/>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1CD26017"/>
    <w:multiLevelType w:val="hybridMultilevel"/>
    <w:tmpl w:val="1B56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206"/>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07742F"/>
    <w:multiLevelType w:val="hybridMultilevel"/>
    <w:tmpl w:val="B90EE724"/>
    <w:lvl w:ilvl="0" w:tplc="04090019">
      <w:start w:val="1"/>
      <w:numFmt w:val="lowerLetter"/>
      <w:lvlText w:val="%1."/>
      <w:lvlJc w:val="left"/>
      <w:pPr>
        <w:tabs>
          <w:tab w:val="num" w:pos="1382"/>
        </w:tabs>
        <w:ind w:left="1382" w:hanging="360"/>
      </w:pPr>
    </w:lvl>
    <w:lvl w:ilvl="1" w:tplc="04090019">
      <w:start w:val="1"/>
      <w:numFmt w:val="lowerLetter"/>
      <w:lvlText w:val="%2."/>
      <w:lvlJc w:val="left"/>
      <w:pPr>
        <w:tabs>
          <w:tab w:val="num" w:pos="2102"/>
        </w:tabs>
        <w:ind w:left="2102" w:hanging="360"/>
      </w:pPr>
    </w:lvl>
    <w:lvl w:ilvl="2" w:tplc="0409001B" w:tentative="1">
      <w:start w:val="1"/>
      <w:numFmt w:val="lowerRoman"/>
      <w:lvlText w:val="%3."/>
      <w:lvlJc w:val="right"/>
      <w:pPr>
        <w:tabs>
          <w:tab w:val="num" w:pos="2822"/>
        </w:tabs>
        <w:ind w:left="2822" w:hanging="180"/>
      </w:pPr>
    </w:lvl>
    <w:lvl w:ilvl="3" w:tplc="0409000F" w:tentative="1">
      <w:start w:val="1"/>
      <w:numFmt w:val="decimal"/>
      <w:lvlText w:val="%4."/>
      <w:lvlJc w:val="left"/>
      <w:pPr>
        <w:tabs>
          <w:tab w:val="num" w:pos="3542"/>
        </w:tabs>
        <w:ind w:left="3542" w:hanging="360"/>
      </w:pPr>
    </w:lvl>
    <w:lvl w:ilvl="4" w:tplc="04090019" w:tentative="1">
      <w:start w:val="1"/>
      <w:numFmt w:val="lowerLetter"/>
      <w:lvlText w:val="%5."/>
      <w:lvlJc w:val="left"/>
      <w:pPr>
        <w:tabs>
          <w:tab w:val="num" w:pos="4262"/>
        </w:tabs>
        <w:ind w:left="4262" w:hanging="360"/>
      </w:pPr>
    </w:lvl>
    <w:lvl w:ilvl="5" w:tplc="0409001B" w:tentative="1">
      <w:start w:val="1"/>
      <w:numFmt w:val="lowerRoman"/>
      <w:lvlText w:val="%6."/>
      <w:lvlJc w:val="right"/>
      <w:pPr>
        <w:tabs>
          <w:tab w:val="num" w:pos="4982"/>
        </w:tabs>
        <w:ind w:left="4982" w:hanging="180"/>
      </w:pPr>
    </w:lvl>
    <w:lvl w:ilvl="6" w:tplc="0409000F" w:tentative="1">
      <w:start w:val="1"/>
      <w:numFmt w:val="decimal"/>
      <w:lvlText w:val="%7."/>
      <w:lvlJc w:val="left"/>
      <w:pPr>
        <w:tabs>
          <w:tab w:val="num" w:pos="5702"/>
        </w:tabs>
        <w:ind w:left="5702" w:hanging="360"/>
      </w:pPr>
    </w:lvl>
    <w:lvl w:ilvl="7" w:tplc="04090019" w:tentative="1">
      <w:start w:val="1"/>
      <w:numFmt w:val="lowerLetter"/>
      <w:lvlText w:val="%8."/>
      <w:lvlJc w:val="left"/>
      <w:pPr>
        <w:tabs>
          <w:tab w:val="num" w:pos="6422"/>
        </w:tabs>
        <w:ind w:left="6422" w:hanging="360"/>
      </w:pPr>
    </w:lvl>
    <w:lvl w:ilvl="8" w:tplc="0409001B" w:tentative="1">
      <w:start w:val="1"/>
      <w:numFmt w:val="lowerRoman"/>
      <w:lvlText w:val="%9."/>
      <w:lvlJc w:val="right"/>
      <w:pPr>
        <w:tabs>
          <w:tab w:val="num" w:pos="7142"/>
        </w:tabs>
        <w:ind w:left="7142" w:hanging="180"/>
      </w:pPr>
    </w:lvl>
  </w:abstractNum>
  <w:abstractNum w:abstractNumId="12" w15:restartNumberingAfterBreak="0">
    <w:nsid w:val="1FA35A25"/>
    <w:multiLevelType w:val="hybridMultilevel"/>
    <w:tmpl w:val="0240B4E2"/>
    <w:lvl w:ilvl="0" w:tplc="04090019">
      <w:start w:val="1"/>
      <w:numFmt w:val="lowerLetter"/>
      <w:lvlText w:val="%1."/>
      <w:lvlJc w:val="left"/>
      <w:pPr>
        <w:ind w:left="1728" w:hanging="360"/>
      </w:pPr>
    </w:lvl>
    <w:lvl w:ilvl="1" w:tplc="0409000F">
      <w:start w:val="1"/>
      <w:numFmt w:val="decimal"/>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15:restartNumberingAfterBreak="0">
    <w:nsid w:val="1FFE02FA"/>
    <w:multiLevelType w:val="hybridMultilevel"/>
    <w:tmpl w:val="ACBAFC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B2179A"/>
    <w:multiLevelType w:val="hybridMultilevel"/>
    <w:tmpl w:val="BC8CD2E4"/>
    <w:lvl w:ilvl="0" w:tplc="D52213D2">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7E1793"/>
    <w:multiLevelType w:val="hybridMultilevel"/>
    <w:tmpl w:val="515CCAE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B84417"/>
    <w:multiLevelType w:val="hybridMultilevel"/>
    <w:tmpl w:val="4DEA928A"/>
    <w:lvl w:ilvl="0" w:tplc="6B2A9C58">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7" w15:restartNumberingAfterBreak="0">
    <w:nsid w:val="29AD1BCB"/>
    <w:multiLevelType w:val="hybridMultilevel"/>
    <w:tmpl w:val="C9BCB30A"/>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8" w15:restartNumberingAfterBreak="0">
    <w:nsid w:val="2AB77668"/>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497F21"/>
    <w:multiLevelType w:val="hybridMultilevel"/>
    <w:tmpl w:val="CCEACC6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F614F0A"/>
    <w:multiLevelType w:val="hybridMultilevel"/>
    <w:tmpl w:val="D30ACABC"/>
    <w:lvl w:ilvl="0" w:tplc="7C18228A">
      <w:start w:val="1"/>
      <w:numFmt w:val="lowerLetter"/>
      <w:lvlText w:val="%1."/>
      <w:lvlJc w:val="left"/>
      <w:pPr>
        <w:tabs>
          <w:tab w:val="num" w:pos="1368"/>
        </w:tabs>
        <w:ind w:left="1368" w:hanging="360"/>
      </w:pPr>
      <w:rPr>
        <w:rFonts w:hint="default"/>
      </w:r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1" w15:restartNumberingAfterBreak="0">
    <w:nsid w:val="35442456"/>
    <w:multiLevelType w:val="hybridMultilevel"/>
    <w:tmpl w:val="4DB486C8"/>
    <w:lvl w:ilvl="0" w:tplc="0409001B">
      <w:start w:val="1"/>
      <w:numFmt w:val="lowerRoman"/>
      <w:lvlText w:val="%1."/>
      <w:lvlJc w:val="righ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22" w15:restartNumberingAfterBreak="0">
    <w:nsid w:val="3C0B29A9"/>
    <w:multiLevelType w:val="hybridMultilevel"/>
    <w:tmpl w:val="365E11D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1884622"/>
    <w:multiLevelType w:val="hybridMultilevel"/>
    <w:tmpl w:val="770C623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1C619C6"/>
    <w:multiLevelType w:val="hybridMultilevel"/>
    <w:tmpl w:val="D910B6A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6" w15:restartNumberingAfterBreak="0">
    <w:nsid w:val="42253574"/>
    <w:multiLevelType w:val="hybridMultilevel"/>
    <w:tmpl w:val="6C3EE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F036FB"/>
    <w:multiLevelType w:val="hybridMultilevel"/>
    <w:tmpl w:val="7AD0FCD4"/>
    <w:lvl w:ilvl="0" w:tplc="0409000F">
      <w:start w:val="1"/>
      <w:numFmt w:val="decimal"/>
      <w:lvlText w:val="%1."/>
      <w:lvlJc w:val="left"/>
      <w:pPr>
        <w:ind w:left="2061" w:hanging="360"/>
      </w:p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15:restartNumberingAfterBreak="0">
    <w:nsid w:val="43462436"/>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4CB7576"/>
    <w:multiLevelType w:val="hybridMultilevel"/>
    <w:tmpl w:val="C07AB2D4"/>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6667D37"/>
    <w:multiLevelType w:val="hybridMultilevel"/>
    <w:tmpl w:val="48B246BC"/>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1" w15:restartNumberingAfterBreak="0">
    <w:nsid w:val="4B97357D"/>
    <w:multiLevelType w:val="hybridMultilevel"/>
    <w:tmpl w:val="20967A6C"/>
    <w:lvl w:ilvl="0" w:tplc="B34E558A">
      <w:start w:val="1"/>
      <w:numFmt w:val="decimal"/>
      <w:lvlText w:val="%1."/>
      <w:lvlJc w:val="left"/>
      <w:pPr>
        <w:ind w:left="2061" w:hanging="360"/>
      </w:p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2" w15:restartNumberingAfterBreak="0">
    <w:nsid w:val="4C3B276B"/>
    <w:multiLevelType w:val="hybridMultilevel"/>
    <w:tmpl w:val="66148FB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D0F6FA0"/>
    <w:multiLevelType w:val="hybridMultilevel"/>
    <w:tmpl w:val="4844EE9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25005B7"/>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4783EA7"/>
    <w:multiLevelType w:val="hybridMultilevel"/>
    <w:tmpl w:val="CEBA4C32"/>
    <w:lvl w:ilvl="0" w:tplc="ABCC5ACA">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6" w15:restartNumberingAfterBreak="0">
    <w:nsid w:val="54D7136E"/>
    <w:multiLevelType w:val="hybridMultilevel"/>
    <w:tmpl w:val="151C3E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5EB6FE3"/>
    <w:multiLevelType w:val="hybridMultilevel"/>
    <w:tmpl w:val="3FC6EC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EF18DB"/>
    <w:multiLevelType w:val="hybridMultilevel"/>
    <w:tmpl w:val="7C60CE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9666CDA"/>
    <w:multiLevelType w:val="hybridMultilevel"/>
    <w:tmpl w:val="4B42930A"/>
    <w:lvl w:ilvl="0" w:tplc="0409000F">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15:restartNumberingAfterBreak="0">
    <w:nsid w:val="59F31902"/>
    <w:multiLevelType w:val="hybridMultilevel"/>
    <w:tmpl w:val="49641704"/>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41" w15:restartNumberingAfterBreak="0">
    <w:nsid w:val="5BE6548E"/>
    <w:multiLevelType w:val="hybridMultilevel"/>
    <w:tmpl w:val="1876D79E"/>
    <w:lvl w:ilvl="0" w:tplc="77381D92">
      <w:start w:val="1"/>
      <w:numFmt w:val="decimal"/>
      <w:lvlText w:val="%1."/>
      <w:lvlJc w:val="left"/>
      <w:pPr>
        <w:tabs>
          <w:tab w:val="num" w:pos="1080"/>
        </w:tabs>
        <w:ind w:left="1080" w:hanging="360"/>
      </w:pPr>
      <w:rPr>
        <w:rFonts w:hint="default"/>
        <w:b/>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C0E3EFD"/>
    <w:multiLevelType w:val="hybridMultilevel"/>
    <w:tmpl w:val="4A88DACE"/>
    <w:lvl w:ilvl="0" w:tplc="0409000F">
      <w:start w:val="1"/>
      <w:numFmt w:val="decimal"/>
      <w:lvlText w:val="%1."/>
      <w:lvlJc w:val="left"/>
      <w:pPr>
        <w:ind w:left="2511" w:hanging="360"/>
      </w:pPr>
    </w:lvl>
    <w:lvl w:ilvl="1" w:tplc="0409000F">
      <w:start w:val="1"/>
      <w:numFmt w:val="decimal"/>
      <w:lvlText w:val="%2."/>
      <w:lvlJc w:val="left"/>
      <w:pPr>
        <w:ind w:left="3231" w:hanging="360"/>
      </w:pPr>
    </w:lvl>
    <w:lvl w:ilvl="2" w:tplc="0409001B" w:tentative="1">
      <w:start w:val="1"/>
      <w:numFmt w:val="lowerRoman"/>
      <w:lvlText w:val="%3."/>
      <w:lvlJc w:val="right"/>
      <w:pPr>
        <w:ind w:left="3951" w:hanging="180"/>
      </w:pPr>
    </w:lvl>
    <w:lvl w:ilvl="3" w:tplc="0409000F" w:tentative="1">
      <w:start w:val="1"/>
      <w:numFmt w:val="decimal"/>
      <w:lvlText w:val="%4."/>
      <w:lvlJc w:val="left"/>
      <w:pPr>
        <w:ind w:left="4671" w:hanging="360"/>
      </w:pPr>
    </w:lvl>
    <w:lvl w:ilvl="4" w:tplc="04090019" w:tentative="1">
      <w:start w:val="1"/>
      <w:numFmt w:val="lowerLetter"/>
      <w:lvlText w:val="%5."/>
      <w:lvlJc w:val="left"/>
      <w:pPr>
        <w:ind w:left="5391" w:hanging="360"/>
      </w:pPr>
    </w:lvl>
    <w:lvl w:ilvl="5" w:tplc="0409001B" w:tentative="1">
      <w:start w:val="1"/>
      <w:numFmt w:val="lowerRoman"/>
      <w:lvlText w:val="%6."/>
      <w:lvlJc w:val="right"/>
      <w:pPr>
        <w:ind w:left="6111" w:hanging="180"/>
      </w:pPr>
    </w:lvl>
    <w:lvl w:ilvl="6" w:tplc="0409000F" w:tentative="1">
      <w:start w:val="1"/>
      <w:numFmt w:val="decimal"/>
      <w:lvlText w:val="%7."/>
      <w:lvlJc w:val="left"/>
      <w:pPr>
        <w:ind w:left="6831" w:hanging="360"/>
      </w:pPr>
    </w:lvl>
    <w:lvl w:ilvl="7" w:tplc="04090019" w:tentative="1">
      <w:start w:val="1"/>
      <w:numFmt w:val="lowerLetter"/>
      <w:lvlText w:val="%8."/>
      <w:lvlJc w:val="left"/>
      <w:pPr>
        <w:ind w:left="7551" w:hanging="360"/>
      </w:pPr>
    </w:lvl>
    <w:lvl w:ilvl="8" w:tplc="0409001B" w:tentative="1">
      <w:start w:val="1"/>
      <w:numFmt w:val="lowerRoman"/>
      <w:lvlText w:val="%9."/>
      <w:lvlJc w:val="right"/>
      <w:pPr>
        <w:ind w:left="8271" w:hanging="180"/>
      </w:pPr>
    </w:lvl>
  </w:abstractNum>
  <w:abstractNum w:abstractNumId="43" w15:restartNumberingAfterBreak="0">
    <w:nsid w:val="5D68179A"/>
    <w:multiLevelType w:val="hybridMultilevel"/>
    <w:tmpl w:val="8C481B2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3377319"/>
    <w:multiLevelType w:val="hybridMultilevel"/>
    <w:tmpl w:val="C89472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38357FA"/>
    <w:multiLevelType w:val="hybridMultilevel"/>
    <w:tmpl w:val="4440BB46"/>
    <w:lvl w:ilvl="0" w:tplc="04090019">
      <w:start w:val="1"/>
      <w:numFmt w:val="lowerLetter"/>
      <w:lvlText w:val="%1."/>
      <w:lvlJc w:val="left"/>
      <w:pPr>
        <w:tabs>
          <w:tab w:val="num" w:pos="1773"/>
        </w:tabs>
        <w:ind w:left="1773" w:hanging="360"/>
      </w:pPr>
    </w:lvl>
    <w:lvl w:ilvl="1" w:tplc="04090001">
      <w:start w:val="1"/>
      <w:numFmt w:val="bullet"/>
      <w:lvlText w:val=""/>
      <w:lvlJc w:val="left"/>
      <w:pPr>
        <w:tabs>
          <w:tab w:val="num" w:pos="2493"/>
        </w:tabs>
        <w:ind w:left="2493" w:hanging="360"/>
      </w:pPr>
      <w:rPr>
        <w:rFonts w:ascii="Symbol" w:hAnsi="Symbol" w:hint="default"/>
      </w:rPr>
    </w:lvl>
    <w:lvl w:ilvl="2" w:tplc="0409001B" w:tentative="1">
      <w:start w:val="1"/>
      <w:numFmt w:val="lowerRoman"/>
      <w:lvlText w:val="%3."/>
      <w:lvlJc w:val="right"/>
      <w:pPr>
        <w:tabs>
          <w:tab w:val="num" w:pos="3213"/>
        </w:tabs>
        <w:ind w:left="3213" w:hanging="180"/>
      </w:pPr>
    </w:lvl>
    <w:lvl w:ilvl="3" w:tplc="0409000F" w:tentative="1">
      <w:start w:val="1"/>
      <w:numFmt w:val="decimal"/>
      <w:lvlText w:val="%4."/>
      <w:lvlJc w:val="left"/>
      <w:pPr>
        <w:tabs>
          <w:tab w:val="num" w:pos="3933"/>
        </w:tabs>
        <w:ind w:left="3933" w:hanging="360"/>
      </w:pPr>
    </w:lvl>
    <w:lvl w:ilvl="4" w:tplc="04090019" w:tentative="1">
      <w:start w:val="1"/>
      <w:numFmt w:val="lowerLetter"/>
      <w:lvlText w:val="%5."/>
      <w:lvlJc w:val="left"/>
      <w:pPr>
        <w:tabs>
          <w:tab w:val="num" w:pos="4653"/>
        </w:tabs>
        <w:ind w:left="4653" w:hanging="360"/>
      </w:pPr>
    </w:lvl>
    <w:lvl w:ilvl="5" w:tplc="0409001B" w:tentative="1">
      <w:start w:val="1"/>
      <w:numFmt w:val="lowerRoman"/>
      <w:lvlText w:val="%6."/>
      <w:lvlJc w:val="right"/>
      <w:pPr>
        <w:tabs>
          <w:tab w:val="num" w:pos="5373"/>
        </w:tabs>
        <w:ind w:left="5373" w:hanging="180"/>
      </w:pPr>
    </w:lvl>
    <w:lvl w:ilvl="6" w:tplc="0409000F" w:tentative="1">
      <w:start w:val="1"/>
      <w:numFmt w:val="decimal"/>
      <w:lvlText w:val="%7."/>
      <w:lvlJc w:val="left"/>
      <w:pPr>
        <w:tabs>
          <w:tab w:val="num" w:pos="6093"/>
        </w:tabs>
        <w:ind w:left="6093" w:hanging="360"/>
      </w:pPr>
    </w:lvl>
    <w:lvl w:ilvl="7" w:tplc="04090019" w:tentative="1">
      <w:start w:val="1"/>
      <w:numFmt w:val="lowerLetter"/>
      <w:lvlText w:val="%8."/>
      <w:lvlJc w:val="left"/>
      <w:pPr>
        <w:tabs>
          <w:tab w:val="num" w:pos="6813"/>
        </w:tabs>
        <w:ind w:left="6813" w:hanging="360"/>
      </w:pPr>
    </w:lvl>
    <w:lvl w:ilvl="8" w:tplc="0409001B" w:tentative="1">
      <w:start w:val="1"/>
      <w:numFmt w:val="lowerRoman"/>
      <w:lvlText w:val="%9."/>
      <w:lvlJc w:val="right"/>
      <w:pPr>
        <w:tabs>
          <w:tab w:val="num" w:pos="7533"/>
        </w:tabs>
        <w:ind w:left="7533" w:hanging="180"/>
      </w:pPr>
    </w:lvl>
  </w:abstractNum>
  <w:abstractNum w:abstractNumId="46" w15:restartNumberingAfterBreak="0">
    <w:nsid w:val="64BD7BDD"/>
    <w:multiLevelType w:val="hybridMultilevel"/>
    <w:tmpl w:val="A2CA89D6"/>
    <w:lvl w:ilvl="0" w:tplc="04090019">
      <w:start w:val="1"/>
      <w:numFmt w:val="lowerLetter"/>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47" w15:restartNumberingAfterBreak="0">
    <w:nsid w:val="68137C53"/>
    <w:multiLevelType w:val="hybridMultilevel"/>
    <w:tmpl w:val="6E7AA16C"/>
    <w:lvl w:ilvl="0" w:tplc="2096958A">
      <w:start w:val="1"/>
      <w:numFmt w:val="lowerLetter"/>
      <w:lvlText w:val="%1."/>
      <w:lvlJc w:val="left"/>
      <w:pPr>
        <w:ind w:left="1382" w:hanging="360"/>
      </w:pPr>
      <w:rPr>
        <w:rFonts w:hint="default"/>
      </w:r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48" w15:restartNumberingAfterBreak="0">
    <w:nsid w:val="6A03362A"/>
    <w:multiLevelType w:val="hybridMultilevel"/>
    <w:tmpl w:val="3330239C"/>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6A1F67FE"/>
    <w:multiLevelType w:val="hybridMultilevel"/>
    <w:tmpl w:val="0A8AA13A"/>
    <w:lvl w:ilvl="0" w:tplc="04090019">
      <w:start w:val="1"/>
      <w:numFmt w:val="lowerLetter"/>
      <w:lvlText w:val="%1."/>
      <w:lvlJc w:val="left"/>
      <w:pPr>
        <w:ind w:left="1382" w:hanging="360"/>
      </w:pPr>
    </w:lvl>
    <w:lvl w:ilvl="1" w:tplc="04090019">
      <w:start w:val="1"/>
      <w:numFmt w:val="lowerLetter"/>
      <w:lvlText w:val="%2."/>
      <w:lvlJc w:val="left"/>
      <w:pPr>
        <w:ind w:left="2102" w:hanging="360"/>
      </w:pPr>
    </w:lvl>
    <w:lvl w:ilvl="2" w:tplc="0409001B">
      <w:start w:val="1"/>
      <w:numFmt w:val="lowerRoman"/>
      <w:lvlText w:val="%3."/>
      <w:lvlJc w:val="right"/>
      <w:pPr>
        <w:ind w:left="2822" w:hanging="180"/>
      </w:pPr>
    </w:lvl>
    <w:lvl w:ilvl="3" w:tplc="0409000F">
      <w:start w:val="1"/>
      <w:numFmt w:val="decimal"/>
      <w:lvlText w:val="%4."/>
      <w:lvlJc w:val="left"/>
      <w:pPr>
        <w:ind w:left="3542" w:hanging="360"/>
      </w:pPr>
    </w:lvl>
    <w:lvl w:ilvl="4" w:tplc="04090019">
      <w:start w:val="1"/>
      <w:numFmt w:val="lowerLetter"/>
      <w:lvlText w:val="%5."/>
      <w:lvlJc w:val="left"/>
      <w:pPr>
        <w:ind w:left="4262" w:hanging="360"/>
      </w:pPr>
    </w:lvl>
    <w:lvl w:ilvl="5" w:tplc="0409001B">
      <w:start w:val="1"/>
      <w:numFmt w:val="lowerRoman"/>
      <w:lvlText w:val="%6."/>
      <w:lvlJc w:val="right"/>
      <w:pPr>
        <w:ind w:left="4982" w:hanging="180"/>
      </w:pPr>
    </w:lvl>
    <w:lvl w:ilvl="6" w:tplc="0409000F">
      <w:start w:val="1"/>
      <w:numFmt w:val="decimal"/>
      <w:lvlText w:val="%7."/>
      <w:lvlJc w:val="left"/>
      <w:pPr>
        <w:ind w:left="5702" w:hanging="360"/>
      </w:pPr>
    </w:lvl>
    <w:lvl w:ilvl="7" w:tplc="04090019">
      <w:start w:val="1"/>
      <w:numFmt w:val="lowerLetter"/>
      <w:lvlText w:val="%8."/>
      <w:lvlJc w:val="left"/>
      <w:pPr>
        <w:ind w:left="6422" w:hanging="360"/>
      </w:pPr>
    </w:lvl>
    <w:lvl w:ilvl="8" w:tplc="0409001B">
      <w:start w:val="1"/>
      <w:numFmt w:val="lowerRoman"/>
      <w:lvlText w:val="%9."/>
      <w:lvlJc w:val="right"/>
      <w:pPr>
        <w:ind w:left="7142" w:hanging="180"/>
      </w:pPr>
    </w:lvl>
  </w:abstractNum>
  <w:abstractNum w:abstractNumId="50" w15:restartNumberingAfterBreak="0">
    <w:nsid w:val="6A6911E0"/>
    <w:multiLevelType w:val="hybridMultilevel"/>
    <w:tmpl w:val="A17240B0"/>
    <w:lvl w:ilvl="0" w:tplc="33DC0496">
      <w:start w:val="1"/>
      <w:numFmt w:val="lowerRoman"/>
      <w:lvlText w:val="%1."/>
      <w:lvlJc w:val="right"/>
      <w:pPr>
        <w:ind w:left="2088" w:hanging="360"/>
      </w:pPr>
      <w:rPr>
        <w:b w:val="0"/>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1" w15:restartNumberingAfterBreak="0">
    <w:nsid w:val="6B020947"/>
    <w:multiLevelType w:val="hybridMultilevel"/>
    <w:tmpl w:val="312CAB38"/>
    <w:lvl w:ilvl="0" w:tplc="0409000F">
      <w:start w:val="1"/>
      <w:numFmt w:val="decimal"/>
      <w:lvlText w:val="%1."/>
      <w:lvlJc w:val="left"/>
      <w:pPr>
        <w:ind w:left="172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52" w15:restartNumberingAfterBreak="0">
    <w:nsid w:val="71B15845"/>
    <w:multiLevelType w:val="hybridMultilevel"/>
    <w:tmpl w:val="44CA7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722D7421"/>
    <w:multiLevelType w:val="hybridMultilevel"/>
    <w:tmpl w:val="F09652EE"/>
    <w:lvl w:ilvl="0" w:tplc="E3DA9D4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AF4C7B"/>
    <w:multiLevelType w:val="hybridMultilevel"/>
    <w:tmpl w:val="C19E6D82"/>
    <w:lvl w:ilvl="0" w:tplc="0409001B">
      <w:start w:val="1"/>
      <w:numFmt w:val="lowerRoman"/>
      <w:lvlText w:val="%1."/>
      <w:lvlJc w:val="righ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764225A8"/>
    <w:multiLevelType w:val="hybridMultilevel"/>
    <w:tmpl w:val="F0C0B83A"/>
    <w:lvl w:ilvl="0" w:tplc="04090019">
      <w:start w:val="1"/>
      <w:numFmt w:val="lowerLetter"/>
      <w:lvlText w:val="%1."/>
      <w:lvlJc w:val="left"/>
      <w:pPr>
        <w:tabs>
          <w:tab w:val="num" w:pos="1368"/>
        </w:tabs>
        <w:ind w:left="1368" w:hanging="360"/>
      </w:pPr>
    </w:lvl>
    <w:lvl w:ilvl="1" w:tplc="04090019">
      <w:start w:val="1"/>
      <w:numFmt w:val="lowerLetter"/>
      <w:lvlText w:val="%2."/>
      <w:lvlJc w:val="left"/>
      <w:pPr>
        <w:tabs>
          <w:tab w:val="num" w:pos="2088"/>
        </w:tabs>
        <w:ind w:left="2088" w:hanging="360"/>
      </w:pPr>
    </w:lvl>
    <w:lvl w:ilvl="2" w:tplc="0409001B">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56" w15:restartNumberingAfterBreak="0">
    <w:nsid w:val="78F81036"/>
    <w:multiLevelType w:val="hybridMultilevel"/>
    <w:tmpl w:val="529CB24C"/>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A3D5B2B"/>
    <w:multiLevelType w:val="hybridMultilevel"/>
    <w:tmpl w:val="7AD0FCD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3">
    <w:abstractNumId w:val="11"/>
  </w:num>
  <w:num w:numId="4">
    <w:abstractNumId w:val="55"/>
  </w:num>
  <w:num w:numId="5">
    <w:abstractNumId w:val="23"/>
  </w:num>
  <w:num w:numId="6">
    <w:abstractNumId w:val="45"/>
  </w:num>
  <w:num w:numId="7">
    <w:abstractNumId w:val="14"/>
  </w:num>
  <w:num w:numId="8">
    <w:abstractNumId w:val="13"/>
  </w:num>
  <w:num w:numId="9">
    <w:abstractNumId w:val="38"/>
  </w:num>
  <w:num w:numId="10">
    <w:abstractNumId w:val="24"/>
  </w:num>
  <w:num w:numId="11">
    <w:abstractNumId w:val="32"/>
  </w:num>
  <w:num w:numId="12">
    <w:abstractNumId w:val="37"/>
  </w:num>
  <w:num w:numId="13">
    <w:abstractNumId w:val="4"/>
  </w:num>
  <w:num w:numId="14">
    <w:abstractNumId w:val="1"/>
  </w:num>
  <w:num w:numId="15">
    <w:abstractNumId w:val="20"/>
  </w:num>
  <w:num w:numId="16">
    <w:abstractNumId w:val="2"/>
  </w:num>
  <w:num w:numId="17">
    <w:abstractNumId w:val="10"/>
  </w:num>
  <w:num w:numId="18">
    <w:abstractNumId w:val="21"/>
  </w:num>
  <w:num w:numId="19">
    <w:abstractNumId w:val="52"/>
  </w:num>
  <w:num w:numId="20">
    <w:abstractNumId w:val="50"/>
  </w:num>
  <w:num w:numId="21">
    <w:abstractNumId w:val="35"/>
  </w:num>
  <w:num w:numId="22">
    <w:abstractNumId w:val="28"/>
  </w:num>
  <w:num w:numId="23">
    <w:abstractNumId w:val="43"/>
  </w:num>
  <w:num w:numId="24">
    <w:abstractNumId w:val="34"/>
  </w:num>
  <w:num w:numId="25">
    <w:abstractNumId w:val="54"/>
  </w:num>
  <w:num w:numId="26">
    <w:abstractNumId w:val="48"/>
  </w:num>
  <w:num w:numId="27">
    <w:abstractNumId w:val="56"/>
  </w:num>
  <w:num w:numId="28">
    <w:abstractNumId w:val="25"/>
  </w:num>
  <w:num w:numId="29">
    <w:abstractNumId w:val="44"/>
  </w:num>
  <w:num w:numId="30">
    <w:abstractNumId w:val="49"/>
  </w:num>
  <w:num w:numId="31">
    <w:abstractNumId w:val="41"/>
  </w:num>
  <w:num w:numId="32">
    <w:abstractNumId w:val="30"/>
  </w:num>
  <w:num w:numId="33">
    <w:abstractNumId w:val="33"/>
  </w:num>
  <w:num w:numId="34">
    <w:abstractNumId w:val="57"/>
  </w:num>
  <w:num w:numId="35">
    <w:abstractNumId w:val="15"/>
  </w:num>
  <w:num w:numId="36">
    <w:abstractNumId w:val="8"/>
  </w:num>
  <w:num w:numId="37">
    <w:abstractNumId w:val="12"/>
  </w:num>
  <w:num w:numId="38">
    <w:abstractNumId w:val="42"/>
  </w:num>
  <w:num w:numId="39">
    <w:abstractNumId w:val="53"/>
  </w:num>
  <w:num w:numId="40">
    <w:abstractNumId w:val="51"/>
  </w:num>
  <w:num w:numId="41">
    <w:abstractNumId w:val="17"/>
  </w:num>
  <w:num w:numId="42">
    <w:abstractNumId w:val="3"/>
  </w:num>
  <w:num w:numId="43">
    <w:abstractNumId w:val="40"/>
  </w:num>
  <w:num w:numId="44">
    <w:abstractNumId w:val="5"/>
  </w:num>
  <w:num w:numId="45">
    <w:abstractNumId w:val="47"/>
  </w:num>
  <w:num w:numId="46">
    <w:abstractNumId w:val="16"/>
  </w:num>
  <w:num w:numId="47">
    <w:abstractNumId w:val="18"/>
  </w:num>
  <w:num w:numId="48">
    <w:abstractNumId w:val="36"/>
  </w:num>
  <w:num w:numId="49">
    <w:abstractNumId w:val="39"/>
  </w:num>
  <w:num w:numId="50">
    <w:abstractNumId w:val="29"/>
  </w:num>
  <w:num w:numId="51">
    <w:abstractNumId w:val="7"/>
  </w:num>
  <w:num w:numId="52">
    <w:abstractNumId w:val="31"/>
  </w:num>
  <w:num w:numId="5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54">
    <w:abstractNumId w:val="9"/>
  </w:num>
  <w:num w:numId="55">
    <w:abstractNumId w:val="22"/>
  </w:num>
  <w:num w:numId="56">
    <w:abstractNumId w:val="19"/>
  </w:num>
  <w:num w:numId="57">
    <w:abstractNumId w:val="46"/>
  </w:num>
  <w:num w:numId="58">
    <w:abstractNumId w:val="26"/>
  </w:num>
  <w:num w:numId="59">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5" w:nlCheck="1" w:checkStyle="1"/>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XmlVersion" w:val="Empty"/>
  </w:docVars>
  <w:rsids>
    <w:rsidRoot w:val="003963D9"/>
    <w:rsid w:val="00003FF1"/>
    <w:rsid w:val="00011D45"/>
    <w:rsid w:val="000136CB"/>
    <w:rsid w:val="0001397C"/>
    <w:rsid w:val="0002413F"/>
    <w:rsid w:val="000262C7"/>
    <w:rsid w:val="00026494"/>
    <w:rsid w:val="00031573"/>
    <w:rsid w:val="0003191C"/>
    <w:rsid w:val="00031F86"/>
    <w:rsid w:val="000331B0"/>
    <w:rsid w:val="00033F83"/>
    <w:rsid w:val="0003501B"/>
    <w:rsid w:val="000359C8"/>
    <w:rsid w:val="00035AAC"/>
    <w:rsid w:val="00041E4E"/>
    <w:rsid w:val="00042F1D"/>
    <w:rsid w:val="00044DD4"/>
    <w:rsid w:val="000461B4"/>
    <w:rsid w:val="0004788B"/>
    <w:rsid w:val="000504E0"/>
    <w:rsid w:val="0005229A"/>
    <w:rsid w:val="0005304D"/>
    <w:rsid w:val="000562D0"/>
    <w:rsid w:val="0005657A"/>
    <w:rsid w:val="00056A70"/>
    <w:rsid w:val="00060123"/>
    <w:rsid w:val="00060177"/>
    <w:rsid w:val="000607D3"/>
    <w:rsid w:val="00060842"/>
    <w:rsid w:val="000618A1"/>
    <w:rsid w:val="00061F6F"/>
    <w:rsid w:val="00063617"/>
    <w:rsid w:val="000659AE"/>
    <w:rsid w:val="00065BE3"/>
    <w:rsid w:val="0006627A"/>
    <w:rsid w:val="000664BF"/>
    <w:rsid w:val="00067942"/>
    <w:rsid w:val="00070EC4"/>
    <w:rsid w:val="0007143C"/>
    <w:rsid w:val="00073CD4"/>
    <w:rsid w:val="00074D42"/>
    <w:rsid w:val="0008366A"/>
    <w:rsid w:val="00084A34"/>
    <w:rsid w:val="00086A17"/>
    <w:rsid w:val="00086A20"/>
    <w:rsid w:val="00094323"/>
    <w:rsid w:val="00094B49"/>
    <w:rsid w:val="000952EB"/>
    <w:rsid w:val="00096DCA"/>
    <w:rsid w:val="00097DB7"/>
    <w:rsid w:val="000A07D1"/>
    <w:rsid w:val="000A2524"/>
    <w:rsid w:val="000A3782"/>
    <w:rsid w:val="000A3B0D"/>
    <w:rsid w:val="000A592D"/>
    <w:rsid w:val="000B0B8A"/>
    <w:rsid w:val="000B2AB7"/>
    <w:rsid w:val="000B3210"/>
    <w:rsid w:val="000B53AC"/>
    <w:rsid w:val="000B64A4"/>
    <w:rsid w:val="000B6804"/>
    <w:rsid w:val="000B6908"/>
    <w:rsid w:val="000B7AF0"/>
    <w:rsid w:val="000B7DDF"/>
    <w:rsid w:val="000B7EDF"/>
    <w:rsid w:val="000C1083"/>
    <w:rsid w:val="000C38C8"/>
    <w:rsid w:val="000C4B9C"/>
    <w:rsid w:val="000C4FD5"/>
    <w:rsid w:val="000C684D"/>
    <w:rsid w:val="000C6904"/>
    <w:rsid w:val="000D20AD"/>
    <w:rsid w:val="000D219E"/>
    <w:rsid w:val="000D2551"/>
    <w:rsid w:val="000D2EDB"/>
    <w:rsid w:val="000D5C79"/>
    <w:rsid w:val="000D6B2D"/>
    <w:rsid w:val="000D74FB"/>
    <w:rsid w:val="000E128D"/>
    <w:rsid w:val="000E1934"/>
    <w:rsid w:val="000E31A3"/>
    <w:rsid w:val="000E76E8"/>
    <w:rsid w:val="000F2B7F"/>
    <w:rsid w:val="000F7598"/>
    <w:rsid w:val="000F7840"/>
    <w:rsid w:val="001016CF"/>
    <w:rsid w:val="001024FD"/>
    <w:rsid w:val="00102C72"/>
    <w:rsid w:val="00104BB6"/>
    <w:rsid w:val="00107113"/>
    <w:rsid w:val="0010762A"/>
    <w:rsid w:val="00111C3C"/>
    <w:rsid w:val="001136C0"/>
    <w:rsid w:val="001141E0"/>
    <w:rsid w:val="0011491A"/>
    <w:rsid w:val="00114C22"/>
    <w:rsid w:val="001161A4"/>
    <w:rsid w:val="00116FD7"/>
    <w:rsid w:val="00121CA8"/>
    <w:rsid w:val="00121D7C"/>
    <w:rsid w:val="00122453"/>
    <w:rsid w:val="0012289D"/>
    <w:rsid w:val="00122D55"/>
    <w:rsid w:val="00125548"/>
    <w:rsid w:val="00126420"/>
    <w:rsid w:val="001267E2"/>
    <w:rsid w:val="001326C4"/>
    <w:rsid w:val="00132D01"/>
    <w:rsid w:val="00135868"/>
    <w:rsid w:val="00140D73"/>
    <w:rsid w:val="001430E4"/>
    <w:rsid w:val="00144294"/>
    <w:rsid w:val="00144927"/>
    <w:rsid w:val="00150330"/>
    <w:rsid w:val="001518C1"/>
    <w:rsid w:val="00153171"/>
    <w:rsid w:val="0016075F"/>
    <w:rsid w:val="00161554"/>
    <w:rsid w:val="001620C6"/>
    <w:rsid w:val="001621C7"/>
    <w:rsid w:val="00163329"/>
    <w:rsid w:val="00164C04"/>
    <w:rsid w:val="00164D35"/>
    <w:rsid w:val="00166437"/>
    <w:rsid w:val="00170FF0"/>
    <w:rsid w:val="001727A4"/>
    <w:rsid w:val="001727CA"/>
    <w:rsid w:val="00172AA8"/>
    <w:rsid w:val="001742D5"/>
    <w:rsid w:val="00176B54"/>
    <w:rsid w:val="001775EC"/>
    <w:rsid w:val="001804D8"/>
    <w:rsid w:val="001830CD"/>
    <w:rsid w:val="001839A4"/>
    <w:rsid w:val="00184CCF"/>
    <w:rsid w:val="001879E0"/>
    <w:rsid w:val="0019067F"/>
    <w:rsid w:val="00193902"/>
    <w:rsid w:val="001940B5"/>
    <w:rsid w:val="001954B3"/>
    <w:rsid w:val="00196953"/>
    <w:rsid w:val="00196F31"/>
    <w:rsid w:val="001A1FFF"/>
    <w:rsid w:val="001A45FE"/>
    <w:rsid w:val="001A60E3"/>
    <w:rsid w:val="001A79C0"/>
    <w:rsid w:val="001A7A7B"/>
    <w:rsid w:val="001B0AA6"/>
    <w:rsid w:val="001B668F"/>
    <w:rsid w:val="001C30A2"/>
    <w:rsid w:val="001C549C"/>
    <w:rsid w:val="001C6468"/>
    <w:rsid w:val="001D3F00"/>
    <w:rsid w:val="001E04C4"/>
    <w:rsid w:val="001E1348"/>
    <w:rsid w:val="001E2D41"/>
    <w:rsid w:val="001E5637"/>
    <w:rsid w:val="001E6B2D"/>
    <w:rsid w:val="001F1401"/>
    <w:rsid w:val="001F1481"/>
    <w:rsid w:val="001F158B"/>
    <w:rsid w:val="001F2A21"/>
    <w:rsid w:val="001F4A8E"/>
    <w:rsid w:val="001F5216"/>
    <w:rsid w:val="001F5975"/>
    <w:rsid w:val="001F7BDD"/>
    <w:rsid w:val="00200F73"/>
    <w:rsid w:val="00201BED"/>
    <w:rsid w:val="00202AB3"/>
    <w:rsid w:val="0020395C"/>
    <w:rsid w:val="0020487C"/>
    <w:rsid w:val="00204962"/>
    <w:rsid w:val="0020520A"/>
    <w:rsid w:val="00206114"/>
    <w:rsid w:val="00211830"/>
    <w:rsid w:val="00212F9A"/>
    <w:rsid w:val="00213C8D"/>
    <w:rsid w:val="00215775"/>
    <w:rsid w:val="00215CC8"/>
    <w:rsid w:val="0021735B"/>
    <w:rsid w:val="00220594"/>
    <w:rsid w:val="0022192F"/>
    <w:rsid w:val="00222AC4"/>
    <w:rsid w:val="00226448"/>
    <w:rsid w:val="002272FF"/>
    <w:rsid w:val="00227A5A"/>
    <w:rsid w:val="00231090"/>
    <w:rsid w:val="00233BAB"/>
    <w:rsid w:val="00233FDF"/>
    <w:rsid w:val="002340EF"/>
    <w:rsid w:val="0023728C"/>
    <w:rsid w:val="00237F06"/>
    <w:rsid w:val="00240A5D"/>
    <w:rsid w:val="00241F02"/>
    <w:rsid w:val="002448FC"/>
    <w:rsid w:val="0024595F"/>
    <w:rsid w:val="002460FA"/>
    <w:rsid w:val="00253B0C"/>
    <w:rsid w:val="00264521"/>
    <w:rsid w:val="00265D47"/>
    <w:rsid w:val="0027208C"/>
    <w:rsid w:val="00274CDF"/>
    <w:rsid w:val="0027628A"/>
    <w:rsid w:val="00282D5F"/>
    <w:rsid w:val="00284182"/>
    <w:rsid w:val="002873D9"/>
    <w:rsid w:val="00287C35"/>
    <w:rsid w:val="00287E29"/>
    <w:rsid w:val="00292A88"/>
    <w:rsid w:val="0029353D"/>
    <w:rsid w:val="0029471E"/>
    <w:rsid w:val="00295FBF"/>
    <w:rsid w:val="002964E3"/>
    <w:rsid w:val="0029682C"/>
    <w:rsid w:val="00296A1A"/>
    <w:rsid w:val="00297577"/>
    <w:rsid w:val="002977DE"/>
    <w:rsid w:val="002A1DF3"/>
    <w:rsid w:val="002A3733"/>
    <w:rsid w:val="002A55F4"/>
    <w:rsid w:val="002B0E0C"/>
    <w:rsid w:val="002B0FD0"/>
    <w:rsid w:val="002B186E"/>
    <w:rsid w:val="002B230A"/>
    <w:rsid w:val="002B508A"/>
    <w:rsid w:val="002B5CF6"/>
    <w:rsid w:val="002C242A"/>
    <w:rsid w:val="002C3EC9"/>
    <w:rsid w:val="002C7ED9"/>
    <w:rsid w:val="002D0C3C"/>
    <w:rsid w:val="002D3097"/>
    <w:rsid w:val="002D3F84"/>
    <w:rsid w:val="002D4F6D"/>
    <w:rsid w:val="002D5DC1"/>
    <w:rsid w:val="002D67A7"/>
    <w:rsid w:val="002D6B52"/>
    <w:rsid w:val="002D73BA"/>
    <w:rsid w:val="002E0269"/>
    <w:rsid w:val="002E2683"/>
    <w:rsid w:val="002E31C6"/>
    <w:rsid w:val="002E6728"/>
    <w:rsid w:val="002E75E6"/>
    <w:rsid w:val="002F135E"/>
    <w:rsid w:val="002F5638"/>
    <w:rsid w:val="002F6E80"/>
    <w:rsid w:val="00300480"/>
    <w:rsid w:val="003010BC"/>
    <w:rsid w:val="00301B90"/>
    <w:rsid w:val="00305D0B"/>
    <w:rsid w:val="00306136"/>
    <w:rsid w:val="00310983"/>
    <w:rsid w:val="00312FEF"/>
    <w:rsid w:val="0031581E"/>
    <w:rsid w:val="00321A0B"/>
    <w:rsid w:val="00322299"/>
    <w:rsid w:val="003261D3"/>
    <w:rsid w:val="003264BC"/>
    <w:rsid w:val="00327CF5"/>
    <w:rsid w:val="003307E1"/>
    <w:rsid w:val="00330E5D"/>
    <w:rsid w:val="003315E6"/>
    <w:rsid w:val="00331DFB"/>
    <w:rsid w:val="00332D5C"/>
    <w:rsid w:val="00335178"/>
    <w:rsid w:val="003363A4"/>
    <w:rsid w:val="00336722"/>
    <w:rsid w:val="00336F25"/>
    <w:rsid w:val="003374F1"/>
    <w:rsid w:val="00341DBB"/>
    <w:rsid w:val="00343169"/>
    <w:rsid w:val="00346721"/>
    <w:rsid w:val="00346D6E"/>
    <w:rsid w:val="00350FAB"/>
    <w:rsid w:val="0035438D"/>
    <w:rsid w:val="00354394"/>
    <w:rsid w:val="003549F2"/>
    <w:rsid w:val="00355F7C"/>
    <w:rsid w:val="0035721E"/>
    <w:rsid w:val="00357EB0"/>
    <w:rsid w:val="00364927"/>
    <w:rsid w:val="00365186"/>
    <w:rsid w:val="0036669A"/>
    <w:rsid w:val="00366C4C"/>
    <w:rsid w:val="00367B24"/>
    <w:rsid w:val="00371C42"/>
    <w:rsid w:val="00373E3B"/>
    <w:rsid w:val="00374371"/>
    <w:rsid w:val="003753D0"/>
    <w:rsid w:val="00375915"/>
    <w:rsid w:val="0037695D"/>
    <w:rsid w:val="003812D5"/>
    <w:rsid w:val="003835C1"/>
    <w:rsid w:val="00383742"/>
    <w:rsid w:val="00384A36"/>
    <w:rsid w:val="00386300"/>
    <w:rsid w:val="0038689F"/>
    <w:rsid w:val="00386AB3"/>
    <w:rsid w:val="0038748E"/>
    <w:rsid w:val="00390A2F"/>
    <w:rsid w:val="00394408"/>
    <w:rsid w:val="00394CE6"/>
    <w:rsid w:val="003963D9"/>
    <w:rsid w:val="003967E3"/>
    <w:rsid w:val="003969CB"/>
    <w:rsid w:val="00396B1B"/>
    <w:rsid w:val="003A1247"/>
    <w:rsid w:val="003A2B62"/>
    <w:rsid w:val="003A2F3D"/>
    <w:rsid w:val="003A3A24"/>
    <w:rsid w:val="003A5BD7"/>
    <w:rsid w:val="003A5CB5"/>
    <w:rsid w:val="003A7BBA"/>
    <w:rsid w:val="003A7FF8"/>
    <w:rsid w:val="003B077B"/>
    <w:rsid w:val="003B1844"/>
    <w:rsid w:val="003B2654"/>
    <w:rsid w:val="003B2746"/>
    <w:rsid w:val="003B34C2"/>
    <w:rsid w:val="003B3F1D"/>
    <w:rsid w:val="003B410B"/>
    <w:rsid w:val="003B4DEE"/>
    <w:rsid w:val="003B5868"/>
    <w:rsid w:val="003B6CDB"/>
    <w:rsid w:val="003C0552"/>
    <w:rsid w:val="003C0DCE"/>
    <w:rsid w:val="003C118E"/>
    <w:rsid w:val="003C2B78"/>
    <w:rsid w:val="003C3B79"/>
    <w:rsid w:val="003C3DEE"/>
    <w:rsid w:val="003C3EF8"/>
    <w:rsid w:val="003C42A0"/>
    <w:rsid w:val="003C6324"/>
    <w:rsid w:val="003C7F09"/>
    <w:rsid w:val="003D01E7"/>
    <w:rsid w:val="003D0D36"/>
    <w:rsid w:val="003D1F59"/>
    <w:rsid w:val="003D2BDF"/>
    <w:rsid w:val="003D33C0"/>
    <w:rsid w:val="003D3E22"/>
    <w:rsid w:val="003D4FDB"/>
    <w:rsid w:val="003D6916"/>
    <w:rsid w:val="003D755D"/>
    <w:rsid w:val="003E5A34"/>
    <w:rsid w:val="003F04D1"/>
    <w:rsid w:val="003F0975"/>
    <w:rsid w:val="003F150D"/>
    <w:rsid w:val="003F319D"/>
    <w:rsid w:val="003F6DE5"/>
    <w:rsid w:val="0040089D"/>
    <w:rsid w:val="00402618"/>
    <w:rsid w:val="00402799"/>
    <w:rsid w:val="00402A8B"/>
    <w:rsid w:val="00403A2C"/>
    <w:rsid w:val="0041035A"/>
    <w:rsid w:val="00411559"/>
    <w:rsid w:val="0041232A"/>
    <w:rsid w:val="00412B20"/>
    <w:rsid w:val="0042002F"/>
    <w:rsid w:val="00421228"/>
    <w:rsid w:val="00421BA6"/>
    <w:rsid w:val="00423181"/>
    <w:rsid w:val="00423972"/>
    <w:rsid w:val="00423EFC"/>
    <w:rsid w:val="00427CC0"/>
    <w:rsid w:val="0043125E"/>
    <w:rsid w:val="0043279B"/>
    <w:rsid w:val="004361BD"/>
    <w:rsid w:val="0044035A"/>
    <w:rsid w:val="0044048D"/>
    <w:rsid w:val="004410E8"/>
    <w:rsid w:val="004420BD"/>
    <w:rsid w:val="004432B0"/>
    <w:rsid w:val="0044522B"/>
    <w:rsid w:val="004459E3"/>
    <w:rsid w:val="00446EAF"/>
    <w:rsid w:val="00447671"/>
    <w:rsid w:val="004476E4"/>
    <w:rsid w:val="00447A0B"/>
    <w:rsid w:val="00450352"/>
    <w:rsid w:val="00450DB7"/>
    <w:rsid w:val="00450E7E"/>
    <w:rsid w:val="00452542"/>
    <w:rsid w:val="00454D7D"/>
    <w:rsid w:val="00454E90"/>
    <w:rsid w:val="00455739"/>
    <w:rsid w:val="0045692E"/>
    <w:rsid w:val="0045799B"/>
    <w:rsid w:val="00460730"/>
    <w:rsid w:val="00460883"/>
    <w:rsid w:val="00461248"/>
    <w:rsid w:val="00463659"/>
    <w:rsid w:val="00463B62"/>
    <w:rsid w:val="00466243"/>
    <w:rsid w:val="00466524"/>
    <w:rsid w:val="00466572"/>
    <w:rsid w:val="00470F51"/>
    <w:rsid w:val="004713C2"/>
    <w:rsid w:val="00472B82"/>
    <w:rsid w:val="00475B3F"/>
    <w:rsid w:val="00476121"/>
    <w:rsid w:val="0048033B"/>
    <w:rsid w:val="00484D72"/>
    <w:rsid w:val="0048641A"/>
    <w:rsid w:val="00486F3F"/>
    <w:rsid w:val="00492830"/>
    <w:rsid w:val="004929F5"/>
    <w:rsid w:val="004963EF"/>
    <w:rsid w:val="00496B3B"/>
    <w:rsid w:val="004A31FA"/>
    <w:rsid w:val="004A4C03"/>
    <w:rsid w:val="004A55FA"/>
    <w:rsid w:val="004B1094"/>
    <w:rsid w:val="004B1459"/>
    <w:rsid w:val="004B5B9A"/>
    <w:rsid w:val="004B791A"/>
    <w:rsid w:val="004C103B"/>
    <w:rsid w:val="004C1BBC"/>
    <w:rsid w:val="004C2428"/>
    <w:rsid w:val="004C47C5"/>
    <w:rsid w:val="004C51CA"/>
    <w:rsid w:val="004C5AC3"/>
    <w:rsid w:val="004C75B1"/>
    <w:rsid w:val="004D1567"/>
    <w:rsid w:val="004D163E"/>
    <w:rsid w:val="004D25C2"/>
    <w:rsid w:val="004D2633"/>
    <w:rsid w:val="004D263B"/>
    <w:rsid w:val="004D2D4F"/>
    <w:rsid w:val="004D3591"/>
    <w:rsid w:val="004D7070"/>
    <w:rsid w:val="004E1093"/>
    <w:rsid w:val="004E1F76"/>
    <w:rsid w:val="004E2B1F"/>
    <w:rsid w:val="004E40FE"/>
    <w:rsid w:val="004E4A15"/>
    <w:rsid w:val="004E617C"/>
    <w:rsid w:val="004E672C"/>
    <w:rsid w:val="004F2B1E"/>
    <w:rsid w:val="004F36EC"/>
    <w:rsid w:val="004F4C67"/>
    <w:rsid w:val="004F5561"/>
    <w:rsid w:val="004F6AA0"/>
    <w:rsid w:val="00500534"/>
    <w:rsid w:val="00500B38"/>
    <w:rsid w:val="0050152F"/>
    <w:rsid w:val="00503667"/>
    <w:rsid w:val="00505F03"/>
    <w:rsid w:val="00506E7D"/>
    <w:rsid w:val="00511332"/>
    <w:rsid w:val="00514B0D"/>
    <w:rsid w:val="00514E97"/>
    <w:rsid w:val="005155F8"/>
    <w:rsid w:val="00516AEB"/>
    <w:rsid w:val="0051761D"/>
    <w:rsid w:val="00520430"/>
    <w:rsid w:val="00520571"/>
    <w:rsid w:val="00523146"/>
    <w:rsid w:val="0052396A"/>
    <w:rsid w:val="00523E12"/>
    <w:rsid w:val="00524040"/>
    <w:rsid w:val="005308BA"/>
    <w:rsid w:val="005323A0"/>
    <w:rsid w:val="00534A46"/>
    <w:rsid w:val="0053746E"/>
    <w:rsid w:val="0054555B"/>
    <w:rsid w:val="005457A6"/>
    <w:rsid w:val="00546230"/>
    <w:rsid w:val="005462C7"/>
    <w:rsid w:val="00546F93"/>
    <w:rsid w:val="005472AF"/>
    <w:rsid w:val="00551A24"/>
    <w:rsid w:val="00555AC1"/>
    <w:rsid w:val="0055623E"/>
    <w:rsid w:val="00562BFB"/>
    <w:rsid w:val="00565DFF"/>
    <w:rsid w:val="00566EA2"/>
    <w:rsid w:val="00567999"/>
    <w:rsid w:val="00570D68"/>
    <w:rsid w:val="005714A8"/>
    <w:rsid w:val="00572280"/>
    <w:rsid w:val="00574072"/>
    <w:rsid w:val="0058085A"/>
    <w:rsid w:val="00582A27"/>
    <w:rsid w:val="005859CB"/>
    <w:rsid w:val="00586426"/>
    <w:rsid w:val="00590D83"/>
    <w:rsid w:val="00593B6A"/>
    <w:rsid w:val="00597772"/>
    <w:rsid w:val="005978F1"/>
    <w:rsid w:val="005A0FB2"/>
    <w:rsid w:val="005A132F"/>
    <w:rsid w:val="005A1599"/>
    <w:rsid w:val="005A53AB"/>
    <w:rsid w:val="005A6A4A"/>
    <w:rsid w:val="005A72FF"/>
    <w:rsid w:val="005A7B78"/>
    <w:rsid w:val="005B0A4D"/>
    <w:rsid w:val="005B1189"/>
    <w:rsid w:val="005B1873"/>
    <w:rsid w:val="005B1ABA"/>
    <w:rsid w:val="005B213D"/>
    <w:rsid w:val="005B2F6F"/>
    <w:rsid w:val="005B36E7"/>
    <w:rsid w:val="005B7C68"/>
    <w:rsid w:val="005B7D99"/>
    <w:rsid w:val="005C1F51"/>
    <w:rsid w:val="005C374D"/>
    <w:rsid w:val="005C3FCF"/>
    <w:rsid w:val="005C5370"/>
    <w:rsid w:val="005C68EF"/>
    <w:rsid w:val="005D249C"/>
    <w:rsid w:val="005D5719"/>
    <w:rsid w:val="005D6D02"/>
    <w:rsid w:val="005E0C63"/>
    <w:rsid w:val="005E12E5"/>
    <w:rsid w:val="005E3DC1"/>
    <w:rsid w:val="005E7860"/>
    <w:rsid w:val="005F06A4"/>
    <w:rsid w:val="005F34D2"/>
    <w:rsid w:val="005F450E"/>
    <w:rsid w:val="005F731A"/>
    <w:rsid w:val="0060098C"/>
    <w:rsid w:val="00602281"/>
    <w:rsid w:val="00602B01"/>
    <w:rsid w:val="006039AC"/>
    <w:rsid w:val="00604F52"/>
    <w:rsid w:val="00606211"/>
    <w:rsid w:val="0060670A"/>
    <w:rsid w:val="006073F2"/>
    <w:rsid w:val="00607903"/>
    <w:rsid w:val="006102A4"/>
    <w:rsid w:val="0061193D"/>
    <w:rsid w:val="00612092"/>
    <w:rsid w:val="00612B64"/>
    <w:rsid w:val="00612BE5"/>
    <w:rsid w:val="00612D6B"/>
    <w:rsid w:val="00613901"/>
    <w:rsid w:val="0061424E"/>
    <w:rsid w:val="00614A90"/>
    <w:rsid w:val="00615AE7"/>
    <w:rsid w:val="00617494"/>
    <w:rsid w:val="00620A21"/>
    <w:rsid w:val="0062110C"/>
    <w:rsid w:val="00623ADD"/>
    <w:rsid w:val="00624335"/>
    <w:rsid w:val="0062443E"/>
    <w:rsid w:val="00627D91"/>
    <w:rsid w:val="0063089D"/>
    <w:rsid w:val="00630BBC"/>
    <w:rsid w:val="00631BF7"/>
    <w:rsid w:val="006330B0"/>
    <w:rsid w:val="0063330A"/>
    <w:rsid w:val="00635B2E"/>
    <w:rsid w:val="0063650E"/>
    <w:rsid w:val="00641E2F"/>
    <w:rsid w:val="006432BC"/>
    <w:rsid w:val="006436A8"/>
    <w:rsid w:val="00644011"/>
    <w:rsid w:val="006443BE"/>
    <w:rsid w:val="00647A04"/>
    <w:rsid w:val="00650E94"/>
    <w:rsid w:val="00652B49"/>
    <w:rsid w:val="00653462"/>
    <w:rsid w:val="00653A3D"/>
    <w:rsid w:val="006546D2"/>
    <w:rsid w:val="00655606"/>
    <w:rsid w:val="0065587D"/>
    <w:rsid w:val="00655BA0"/>
    <w:rsid w:val="00655F91"/>
    <w:rsid w:val="00656B47"/>
    <w:rsid w:val="00656D68"/>
    <w:rsid w:val="00657241"/>
    <w:rsid w:val="0065799D"/>
    <w:rsid w:val="00661471"/>
    <w:rsid w:val="00662764"/>
    <w:rsid w:val="00663A34"/>
    <w:rsid w:val="00663ED8"/>
    <w:rsid w:val="006654FC"/>
    <w:rsid w:val="00665CA5"/>
    <w:rsid w:val="00667212"/>
    <w:rsid w:val="00674871"/>
    <w:rsid w:val="00676525"/>
    <w:rsid w:val="0067699F"/>
    <w:rsid w:val="00677B13"/>
    <w:rsid w:val="00682636"/>
    <w:rsid w:val="0068425F"/>
    <w:rsid w:val="006847BB"/>
    <w:rsid w:val="0069130F"/>
    <w:rsid w:val="00691553"/>
    <w:rsid w:val="006918CE"/>
    <w:rsid w:val="0069404E"/>
    <w:rsid w:val="0069433C"/>
    <w:rsid w:val="00694BB4"/>
    <w:rsid w:val="00694C92"/>
    <w:rsid w:val="0069698C"/>
    <w:rsid w:val="00696A06"/>
    <w:rsid w:val="00696B18"/>
    <w:rsid w:val="00696B4B"/>
    <w:rsid w:val="0069737C"/>
    <w:rsid w:val="006A22D1"/>
    <w:rsid w:val="006A24C8"/>
    <w:rsid w:val="006A3886"/>
    <w:rsid w:val="006A5D95"/>
    <w:rsid w:val="006B24E5"/>
    <w:rsid w:val="006B438B"/>
    <w:rsid w:val="006C0CE6"/>
    <w:rsid w:val="006C1B02"/>
    <w:rsid w:val="006D15BF"/>
    <w:rsid w:val="006D310C"/>
    <w:rsid w:val="006D6D5A"/>
    <w:rsid w:val="006D700A"/>
    <w:rsid w:val="006D725E"/>
    <w:rsid w:val="006E1A69"/>
    <w:rsid w:val="006E1AA2"/>
    <w:rsid w:val="006E25B6"/>
    <w:rsid w:val="006E31AC"/>
    <w:rsid w:val="006E3CE5"/>
    <w:rsid w:val="006E6AA5"/>
    <w:rsid w:val="006E7EA3"/>
    <w:rsid w:val="006F1AC1"/>
    <w:rsid w:val="006F31DF"/>
    <w:rsid w:val="006F37DE"/>
    <w:rsid w:val="006F3C8C"/>
    <w:rsid w:val="006F3EC6"/>
    <w:rsid w:val="006F47D9"/>
    <w:rsid w:val="006F4FB5"/>
    <w:rsid w:val="006F61FD"/>
    <w:rsid w:val="006F6729"/>
    <w:rsid w:val="006F6FC8"/>
    <w:rsid w:val="006F7801"/>
    <w:rsid w:val="0070016F"/>
    <w:rsid w:val="00702554"/>
    <w:rsid w:val="007058BC"/>
    <w:rsid w:val="00705EB6"/>
    <w:rsid w:val="00707587"/>
    <w:rsid w:val="007077DC"/>
    <w:rsid w:val="00710429"/>
    <w:rsid w:val="0071299F"/>
    <w:rsid w:val="00712F3F"/>
    <w:rsid w:val="0071461E"/>
    <w:rsid w:val="007162AA"/>
    <w:rsid w:val="0071673A"/>
    <w:rsid w:val="00717760"/>
    <w:rsid w:val="00717CA3"/>
    <w:rsid w:val="00717F1A"/>
    <w:rsid w:val="007208B7"/>
    <w:rsid w:val="00725CF3"/>
    <w:rsid w:val="007270EB"/>
    <w:rsid w:val="007271C1"/>
    <w:rsid w:val="0073096A"/>
    <w:rsid w:val="00731443"/>
    <w:rsid w:val="007342C7"/>
    <w:rsid w:val="00734B8B"/>
    <w:rsid w:val="00735BB0"/>
    <w:rsid w:val="00736908"/>
    <w:rsid w:val="007407A2"/>
    <w:rsid w:val="0074120E"/>
    <w:rsid w:val="00741E3D"/>
    <w:rsid w:val="00743309"/>
    <w:rsid w:val="00743E38"/>
    <w:rsid w:val="007452FA"/>
    <w:rsid w:val="007457C8"/>
    <w:rsid w:val="00746690"/>
    <w:rsid w:val="00747232"/>
    <w:rsid w:val="00750D6C"/>
    <w:rsid w:val="00751B40"/>
    <w:rsid w:val="0075231F"/>
    <w:rsid w:val="00753458"/>
    <w:rsid w:val="0075386C"/>
    <w:rsid w:val="00754D4B"/>
    <w:rsid w:val="00756EDB"/>
    <w:rsid w:val="00761071"/>
    <w:rsid w:val="00764887"/>
    <w:rsid w:val="00765E64"/>
    <w:rsid w:val="00766641"/>
    <w:rsid w:val="00766BEF"/>
    <w:rsid w:val="00767C47"/>
    <w:rsid w:val="00767D32"/>
    <w:rsid w:val="007717C1"/>
    <w:rsid w:val="0077251A"/>
    <w:rsid w:val="00773787"/>
    <w:rsid w:val="00773B62"/>
    <w:rsid w:val="0077509A"/>
    <w:rsid w:val="00776800"/>
    <w:rsid w:val="00776A83"/>
    <w:rsid w:val="00781E24"/>
    <w:rsid w:val="007826D2"/>
    <w:rsid w:val="00783CA5"/>
    <w:rsid w:val="00783DC5"/>
    <w:rsid w:val="00785077"/>
    <w:rsid w:val="00786474"/>
    <w:rsid w:val="007865C5"/>
    <w:rsid w:val="00790768"/>
    <w:rsid w:val="007917FA"/>
    <w:rsid w:val="00796103"/>
    <w:rsid w:val="00796A61"/>
    <w:rsid w:val="00796CB3"/>
    <w:rsid w:val="00797276"/>
    <w:rsid w:val="007A2AB0"/>
    <w:rsid w:val="007A4859"/>
    <w:rsid w:val="007A4892"/>
    <w:rsid w:val="007A5741"/>
    <w:rsid w:val="007A6278"/>
    <w:rsid w:val="007A654B"/>
    <w:rsid w:val="007A7F77"/>
    <w:rsid w:val="007B06B0"/>
    <w:rsid w:val="007B1A2F"/>
    <w:rsid w:val="007B283E"/>
    <w:rsid w:val="007B3C15"/>
    <w:rsid w:val="007B3D17"/>
    <w:rsid w:val="007B4167"/>
    <w:rsid w:val="007B4646"/>
    <w:rsid w:val="007B5C65"/>
    <w:rsid w:val="007B7327"/>
    <w:rsid w:val="007C00DC"/>
    <w:rsid w:val="007C047A"/>
    <w:rsid w:val="007C1AFB"/>
    <w:rsid w:val="007C5E5C"/>
    <w:rsid w:val="007D2A7B"/>
    <w:rsid w:val="007D2D70"/>
    <w:rsid w:val="007D31C2"/>
    <w:rsid w:val="007D3B4A"/>
    <w:rsid w:val="007D416E"/>
    <w:rsid w:val="007D7CAB"/>
    <w:rsid w:val="007E0080"/>
    <w:rsid w:val="007E4652"/>
    <w:rsid w:val="007E6293"/>
    <w:rsid w:val="007E7282"/>
    <w:rsid w:val="007E7381"/>
    <w:rsid w:val="007F04FF"/>
    <w:rsid w:val="007F0F7C"/>
    <w:rsid w:val="007F10FC"/>
    <w:rsid w:val="007F2AA3"/>
    <w:rsid w:val="007F303C"/>
    <w:rsid w:val="007F38BC"/>
    <w:rsid w:val="007F4CD8"/>
    <w:rsid w:val="007F72DD"/>
    <w:rsid w:val="00800081"/>
    <w:rsid w:val="008003EA"/>
    <w:rsid w:val="0080722F"/>
    <w:rsid w:val="00810005"/>
    <w:rsid w:val="00810358"/>
    <w:rsid w:val="00811266"/>
    <w:rsid w:val="00813152"/>
    <w:rsid w:val="00814AC3"/>
    <w:rsid w:val="00816768"/>
    <w:rsid w:val="00820373"/>
    <w:rsid w:val="00823D48"/>
    <w:rsid w:val="008263E8"/>
    <w:rsid w:val="00826D5B"/>
    <w:rsid w:val="00830238"/>
    <w:rsid w:val="00830301"/>
    <w:rsid w:val="00830C57"/>
    <w:rsid w:val="00830C61"/>
    <w:rsid w:val="008326D0"/>
    <w:rsid w:val="00834501"/>
    <w:rsid w:val="00834983"/>
    <w:rsid w:val="00840DA1"/>
    <w:rsid w:val="008425A8"/>
    <w:rsid w:val="00842FD6"/>
    <w:rsid w:val="00846998"/>
    <w:rsid w:val="00847F08"/>
    <w:rsid w:val="00853209"/>
    <w:rsid w:val="00856251"/>
    <w:rsid w:val="00856D33"/>
    <w:rsid w:val="00857306"/>
    <w:rsid w:val="00857C22"/>
    <w:rsid w:val="008600B3"/>
    <w:rsid w:val="00860EDD"/>
    <w:rsid w:val="00862460"/>
    <w:rsid w:val="00863706"/>
    <w:rsid w:val="00863819"/>
    <w:rsid w:val="00863D85"/>
    <w:rsid w:val="00865EBE"/>
    <w:rsid w:val="00866C50"/>
    <w:rsid w:val="00870A25"/>
    <w:rsid w:val="0087282B"/>
    <w:rsid w:val="0087369A"/>
    <w:rsid w:val="0087414E"/>
    <w:rsid w:val="00875075"/>
    <w:rsid w:val="00875F87"/>
    <w:rsid w:val="0088035B"/>
    <w:rsid w:val="00880E7F"/>
    <w:rsid w:val="00883766"/>
    <w:rsid w:val="008848EF"/>
    <w:rsid w:val="00884C6A"/>
    <w:rsid w:val="0088518D"/>
    <w:rsid w:val="00885590"/>
    <w:rsid w:val="008923DF"/>
    <w:rsid w:val="00896EEE"/>
    <w:rsid w:val="008A0223"/>
    <w:rsid w:val="008A2903"/>
    <w:rsid w:val="008A6187"/>
    <w:rsid w:val="008A68EE"/>
    <w:rsid w:val="008A6F41"/>
    <w:rsid w:val="008B033E"/>
    <w:rsid w:val="008B0DF4"/>
    <w:rsid w:val="008B5D1B"/>
    <w:rsid w:val="008B7E97"/>
    <w:rsid w:val="008C3B03"/>
    <w:rsid w:val="008C42B5"/>
    <w:rsid w:val="008C52E7"/>
    <w:rsid w:val="008C545B"/>
    <w:rsid w:val="008C5D0D"/>
    <w:rsid w:val="008C6429"/>
    <w:rsid w:val="008C6A82"/>
    <w:rsid w:val="008C748E"/>
    <w:rsid w:val="008D05FE"/>
    <w:rsid w:val="008D13F8"/>
    <w:rsid w:val="008D1F72"/>
    <w:rsid w:val="008D33C2"/>
    <w:rsid w:val="008D5C4E"/>
    <w:rsid w:val="008D6569"/>
    <w:rsid w:val="008D78F0"/>
    <w:rsid w:val="008E07F3"/>
    <w:rsid w:val="008E233A"/>
    <w:rsid w:val="008E3FB0"/>
    <w:rsid w:val="008F1347"/>
    <w:rsid w:val="008F1808"/>
    <w:rsid w:val="008F2588"/>
    <w:rsid w:val="008F5761"/>
    <w:rsid w:val="008F6B98"/>
    <w:rsid w:val="008F75EE"/>
    <w:rsid w:val="00900D00"/>
    <w:rsid w:val="00902867"/>
    <w:rsid w:val="00903A30"/>
    <w:rsid w:val="00903CD1"/>
    <w:rsid w:val="009059DE"/>
    <w:rsid w:val="00907E4D"/>
    <w:rsid w:val="00910C99"/>
    <w:rsid w:val="0091571E"/>
    <w:rsid w:val="009162CF"/>
    <w:rsid w:val="00916436"/>
    <w:rsid w:val="009168E1"/>
    <w:rsid w:val="0091730E"/>
    <w:rsid w:val="00917954"/>
    <w:rsid w:val="00917B01"/>
    <w:rsid w:val="00917E74"/>
    <w:rsid w:val="009217DB"/>
    <w:rsid w:val="00924430"/>
    <w:rsid w:val="00925735"/>
    <w:rsid w:val="009303B0"/>
    <w:rsid w:val="0093207F"/>
    <w:rsid w:val="00934235"/>
    <w:rsid w:val="009344A5"/>
    <w:rsid w:val="0093532A"/>
    <w:rsid w:val="00940EAE"/>
    <w:rsid w:val="0094467D"/>
    <w:rsid w:val="00944A77"/>
    <w:rsid w:val="00944E84"/>
    <w:rsid w:val="009455FD"/>
    <w:rsid w:val="00946684"/>
    <w:rsid w:val="0094773D"/>
    <w:rsid w:val="00947B47"/>
    <w:rsid w:val="00947C29"/>
    <w:rsid w:val="00950408"/>
    <w:rsid w:val="0095090B"/>
    <w:rsid w:val="00950C3F"/>
    <w:rsid w:val="00951358"/>
    <w:rsid w:val="00951931"/>
    <w:rsid w:val="00954F55"/>
    <w:rsid w:val="0095549E"/>
    <w:rsid w:val="00956468"/>
    <w:rsid w:val="0095658F"/>
    <w:rsid w:val="0096190A"/>
    <w:rsid w:val="00962618"/>
    <w:rsid w:val="009640AF"/>
    <w:rsid w:val="00965F40"/>
    <w:rsid w:val="009664CF"/>
    <w:rsid w:val="00966507"/>
    <w:rsid w:val="009733D8"/>
    <w:rsid w:val="009734DE"/>
    <w:rsid w:val="009739B2"/>
    <w:rsid w:val="00974076"/>
    <w:rsid w:val="00975378"/>
    <w:rsid w:val="00975620"/>
    <w:rsid w:val="0098059B"/>
    <w:rsid w:val="0098291D"/>
    <w:rsid w:val="00983889"/>
    <w:rsid w:val="00984085"/>
    <w:rsid w:val="009844D6"/>
    <w:rsid w:val="0098733B"/>
    <w:rsid w:val="00987D64"/>
    <w:rsid w:val="00991874"/>
    <w:rsid w:val="009919E9"/>
    <w:rsid w:val="0099200D"/>
    <w:rsid w:val="00994EA1"/>
    <w:rsid w:val="009953CE"/>
    <w:rsid w:val="00996671"/>
    <w:rsid w:val="00997FE0"/>
    <w:rsid w:val="009A048E"/>
    <w:rsid w:val="009A0AB6"/>
    <w:rsid w:val="009A23C7"/>
    <w:rsid w:val="009A322D"/>
    <w:rsid w:val="009A4167"/>
    <w:rsid w:val="009A6210"/>
    <w:rsid w:val="009A6462"/>
    <w:rsid w:val="009A7D0F"/>
    <w:rsid w:val="009B2E04"/>
    <w:rsid w:val="009B4E60"/>
    <w:rsid w:val="009B6A16"/>
    <w:rsid w:val="009B72D8"/>
    <w:rsid w:val="009B7F81"/>
    <w:rsid w:val="009C089F"/>
    <w:rsid w:val="009C104D"/>
    <w:rsid w:val="009C2145"/>
    <w:rsid w:val="009C2ED4"/>
    <w:rsid w:val="009C336E"/>
    <w:rsid w:val="009C3403"/>
    <w:rsid w:val="009C4AC6"/>
    <w:rsid w:val="009C4AF8"/>
    <w:rsid w:val="009C5166"/>
    <w:rsid w:val="009C531F"/>
    <w:rsid w:val="009C5958"/>
    <w:rsid w:val="009C5E4E"/>
    <w:rsid w:val="009C7405"/>
    <w:rsid w:val="009D2908"/>
    <w:rsid w:val="009D365F"/>
    <w:rsid w:val="009D386B"/>
    <w:rsid w:val="009D3BF2"/>
    <w:rsid w:val="009D5A2D"/>
    <w:rsid w:val="009D6D28"/>
    <w:rsid w:val="009D75E2"/>
    <w:rsid w:val="009E0483"/>
    <w:rsid w:val="009E0B57"/>
    <w:rsid w:val="009E2D8C"/>
    <w:rsid w:val="009E3012"/>
    <w:rsid w:val="009E3F98"/>
    <w:rsid w:val="009E4522"/>
    <w:rsid w:val="009E4EC4"/>
    <w:rsid w:val="009E52DB"/>
    <w:rsid w:val="009E59BC"/>
    <w:rsid w:val="009E6D69"/>
    <w:rsid w:val="009F3790"/>
    <w:rsid w:val="009F4811"/>
    <w:rsid w:val="009F74CC"/>
    <w:rsid w:val="009F75EC"/>
    <w:rsid w:val="009F7842"/>
    <w:rsid w:val="00A000DB"/>
    <w:rsid w:val="00A00B1B"/>
    <w:rsid w:val="00A02D40"/>
    <w:rsid w:val="00A02D4D"/>
    <w:rsid w:val="00A040AE"/>
    <w:rsid w:val="00A10F9C"/>
    <w:rsid w:val="00A12103"/>
    <w:rsid w:val="00A1213D"/>
    <w:rsid w:val="00A1214D"/>
    <w:rsid w:val="00A13760"/>
    <w:rsid w:val="00A15DB9"/>
    <w:rsid w:val="00A20F5F"/>
    <w:rsid w:val="00A20FF7"/>
    <w:rsid w:val="00A21D8C"/>
    <w:rsid w:val="00A31249"/>
    <w:rsid w:val="00A31723"/>
    <w:rsid w:val="00A32DD9"/>
    <w:rsid w:val="00A35DD9"/>
    <w:rsid w:val="00A40AED"/>
    <w:rsid w:val="00A41956"/>
    <w:rsid w:val="00A420D4"/>
    <w:rsid w:val="00A42538"/>
    <w:rsid w:val="00A427B1"/>
    <w:rsid w:val="00A44218"/>
    <w:rsid w:val="00A445A0"/>
    <w:rsid w:val="00A44CCD"/>
    <w:rsid w:val="00A44FBE"/>
    <w:rsid w:val="00A4743C"/>
    <w:rsid w:val="00A508BA"/>
    <w:rsid w:val="00A51807"/>
    <w:rsid w:val="00A5191E"/>
    <w:rsid w:val="00A54834"/>
    <w:rsid w:val="00A5578D"/>
    <w:rsid w:val="00A55850"/>
    <w:rsid w:val="00A56ED7"/>
    <w:rsid w:val="00A6077B"/>
    <w:rsid w:val="00A60E12"/>
    <w:rsid w:val="00A61127"/>
    <w:rsid w:val="00A614E8"/>
    <w:rsid w:val="00A63971"/>
    <w:rsid w:val="00A65323"/>
    <w:rsid w:val="00A66718"/>
    <w:rsid w:val="00A66836"/>
    <w:rsid w:val="00A66A69"/>
    <w:rsid w:val="00A67F41"/>
    <w:rsid w:val="00A717B2"/>
    <w:rsid w:val="00A75003"/>
    <w:rsid w:val="00A750B4"/>
    <w:rsid w:val="00A76B85"/>
    <w:rsid w:val="00A76C05"/>
    <w:rsid w:val="00A76E39"/>
    <w:rsid w:val="00A80231"/>
    <w:rsid w:val="00A804DF"/>
    <w:rsid w:val="00A831DD"/>
    <w:rsid w:val="00A85329"/>
    <w:rsid w:val="00A85880"/>
    <w:rsid w:val="00A9006E"/>
    <w:rsid w:val="00A94C12"/>
    <w:rsid w:val="00A95BBB"/>
    <w:rsid w:val="00A960DE"/>
    <w:rsid w:val="00A973E4"/>
    <w:rsid w:val="00A97EA4"/>
    <w:rsid w:val="00AA079A"/>
    <w:rsid w:val="00AA0AEB"/>
    <w:rsid w:val="00AA402A"/>
    <w:rsid w:val="00AA4855"/>
    <w:rsid w:val="00AA4EC4"/>
    <w:rsid w:val="00AA762D"/>
    <w:rsid w:val="00AB041D"/>
    <w:rsid w:val="00AB0647"/>
    <w:rsid w:val="00AB0809"/>
    <w:rsid w:val="00AB0B5E"/>
    <w:rsid w:val="00AB1482"/>
    <w:rsid w:val="00AB2CB0"/>
    <w:rsid w:val="00AB3A39"/>
    <w:rsid w:val="00AB43A4"/>
    <w:rsid w:val="00AB7DA3"/>
    <w:rsid w:val="00AB7F8B"/>
    <w:rsid w:val="00AC0084"/>
    <w:rsid w:val="00AC169F"/>
    <w:rsid w:val="00AC249B"/>
    <w:rsid w:val="00AC3301"/>
    <w:rsid w:val="00AC33FB"/>
    <w:rsid w:val="00AC3644"/>
    <w:rsid w:val="00AC5067"/>
    <w:rsid w:val="00AC64EB"/>
    <w:rsid w:val="00AC6F3B"/>
    <w:rsid w:val="00AD042B"/>
    <w:rsid w:val="00AD064F"/>
    <w:rsid w:val="00AD065F"/>
    <w:rsid w:val="00AD105E"/>
    <w:rsid w:val="00AD441A"/>
    <w:rsid w:val="00AD4695"/>
    <w:rsid w:val="00AD5DC5"/>
    <w:rsid w:val="00AD68FC"/>
    <w:rsid w:val="00AE1092"/>
    <w:rsid w:val="00AE20AF"/>
    <w:rsid w:val="00AE2864"/>
    <w:rsid w:val="00AE3015"/>
    <w:rsid w:val="00AE37C6"/>
    <w:rsid w:val="00AE3B03"/>
    <w:rsid w:val="00AE4BBE"/>
    <w:rsid w:val="00AE506A"/>
    <w:rsid w:val="00AE5384"/>
    <w:rsid w:val="00AE6856"/>
    <w:rsid w:val="00AE6B11"/>
    <w:rsid w:val="00AE7B57"/>
    <w:rsid w:val="00AF3ED1"/>
    <w:rsid w:val="00AF42EE"/>
    <w:rsid w:val="00AF55EA"/>
    <w:rsid w:val="00AF6209"/>
    <w:rsid w:val="00AF6F7C"/>
    <w:rsid w:val="00AF745B"/>
    <w:rsid w:val="00AF75EA"/>
    <w:rsid w:val="00AF783C"/>
    <w:rsid w:val="00AF7B28"/>
    <w:rsid w:val="00B019B2"/>
    <w:rsid w:val="00B01C00"/>
    <w:rsid w:val="00B024A2"/>
    <w:rsid w:val="00B030A4"/>
    <w:rsid w:val="00B03271"/>
    <w:rsid w:val="00B07327"/>
    <w:rsid w:val="00B07470"/>
    <w:rsid w:val="00B111A7"/>
    <w:rsid w:val="00B1134D"/>
    <w:rsid w:val="00B120E8"/>
    <w:rsid w:val="00B134AE"/>
    <w:rsid w:val="00B13609"/>
    <w:rsid w:val="00B16767"/>
    <w:rsid w:val="00B17345"/>
    <w:rsid w:val="00B209A1"/>
    <w:rsid w:val="00B214ED"/>
    <w:rsid w:val="00B22246"/>
    <w:rsid w:val="00B25CBF"/>
    <w:rsid w:val="00B2619A"/>
    <w:rsid w:val="00B33DA5"/>
    <w:rsid w:val="00B3506E"/>
    <w:rsid w:val="00B351FE"/>
    <w:rsid w:val="00B352C0"/>
    <w:rsid w:val="00B374EB"/>
    <w:rsid w:val="00B40D54"/>
    <w:rsid w:val="00B42647"/>
    <w:rsid w:val="00B42D12"/>
    <w:rsid w:val="00B4383E"/>
    <w:rsid w:val="00B43B2C"/>
    <w:rsid w:val="00B43CCB"/>
    <w:rsid w:val="00B450F7"/>
    <w:rsid w:val="00B45E7E"/>
    <w:rsid w:val="00B47468"/>
    <w:rsid w:val="00B47BFC"/>
    <w:rsid w:val="00B51F1F"/>
    <w:rsid w:val="00B53CA7"/>
    <w:rsid w:val="00B55301"/>
    <w:rsid w:val="00B63410"/>
    <w:rsid w:val="00B6349E"/>
    <w:rsid w:val="00B67994"/>
    <w:rsid w:val="00B67BA3"/>
    <w:rsid w:val="00B716FC"/>
    <w:rsid w:val="00B73E57"/>
    <w:rsid w:val="00B7562B"/>
    <w:rsid w:val="00B803BF"/>
    <w:rsid w:val="00B83F20"/>
    <w:rsid w:val="00B840CC"/>
    <w:rsid w:val="00B84281"/>
    <w:rsid w:val="00B8429C"/>
    <w:rsid w:val="00B85A78"/>
    <w:rsid w:val="00B85C9F"/>
    <w:rsid w:val="00B862D1"/>
    <w:rsid w:val="00B872DF"/>
    <w:rsid w:val="00B87B0E"/>
    <w:rsid w:val="00B91F18"/>
    <w:rsid w:val="00B92CA4"/>
    <w:rsid w:val="00B94633"/>
    <w:rsid w:val="00B97651"/>
    <w:rsid w:val="00BA1317"/>
    <w:rsid w:val="00BA178E"/>
    <w:rsid w:val="00BA1E4A"/>
    <w:rsid w:val="00BA1EF4"/>
    <w:rsid w:val="00BA2FF7"/>
    <w:rsid w:val="00BA5D9F"/>
    <w:rsid w:val="00BB18F7"/>
    <w:rsid w:val="00BB1F49"/>
    <w:rsid w:val="00BB35C1"/>
    <w:rsid w:val="00BB406A"/>
    <w:rsid w:val="00BB5B0C"/>
    <w:rsid w:val="00BB610A"/>
    <w:rsid w:val="00BB6420"/>
    <w:rsid w:val="00BC0FDB"/>
    <w:rsid w:val="00BC3581"/>
    <w:rsid w:val="00BC373D"/>
    <w:rsid w:val="00BC496D"/>
    <w:rsid w:val="00BC4D89"/>
    <w:rsid w:val="00BC6664"/>
    <w:rsid w:val="00BC6B25"/>
    <w:rsid w:val="00BD1972"/>
    <w:rsid w:val="00BD42A7"/>
    <w:rsid w:val="00BD4D52"/>
    <w:rsid w:val="00BD5857"/>
    <w:rsid w:val="00BD5B56"/>
    <w:rsid w:val="00BD5DC2"/>
    <w:rsid w:val="00BE1959"/>
    <w:rsid w:val="00BE23AE"/>
    <w:rsid w:val="00BE5EB9"/>
    <w:rsid w:val="00BE71B8"/>
    <w:rsid w:val="00BE7771"/>
    <w:rsid w:val="00BE7CBA"/>
    <w:rsid w:val="00BF0088"/>
    <w:rsid w:val="00BF53CC"/>
    <w:rsid w:val="00C02265"/>
    <w:rsid w:val="00C02B16"/>
    <w:rsid w:val="00C02B58"/>
    <w:rsid w:val="00C03054"/>
    <w:rsid w:val="00C03E84"/>
    <w:rsid w:val="00C06CEC"/>
    <w:rsid w:val="00C10CC0"/>
    <w:rsid w:val="00C1183C"/>
    <w:rsid w:val="00C11B85"/>
    <w:rsid w:val="00C1512E"/>
    <w:rsid w:val="00C15ED2"/>
    <w:rsid w:val="00C16C29"/>
    <w:rsid w:val="00C20829"/>
    <w:rsid w:val="00C21FB8"/>
    <w:rsid w:val="00C30E53"/>
    <w:rsid w:val="00C319CB"/>
    <w:rsid w:val="00C3227A"/>
    <w:rsid w:val="00C33D30"/>
    <w:rsid w:val="00C369A8"/>
    <w:rsid w:val="00C37BB6"/>
    <w:rsid w:val="00C4033E"/>
    <w:rsid w:val="00C406A1"/>
    <w:rsid w:val="00C40B9D"/>
    <w:rsid w:val="00C40CD3"/>
    <w:rsid w:val="00C43768"/>
    <w:rsid w:val="00C437DF"/>
    <w:rsid w:val="00C443E2"/>
    <w:rsid w:val="00C465F5"/>
    <w:rsid w:val="00C475AC"/>
    <w:rsid w:val="00C4761A"/>
    <w:rsid w:val="00C47A94"/>
    <w:rsid w:val="00C47B4B"/>
    <w:rsid w:val="00C5121A"/>
    <w:rsid w:val="00C52749"/>
    <w:rsid w:val="00C527A1"/>
    <w:rsid w:val="00C534B9"/>
    <w:rsid w:val="00C540A5"/>
    <w:rsid w:val="00C5475E"/>
    <w:rsid w:val="00C5707F"/>
    <w:rsid w:val="00C604DD"/>
    <w:rsid w:val="00C623A5"/>
    <w:rsid w:val="00C639A0"/>
    <w:rsid w:val="00C64A67"/>
    <w:rsid w:val="00C66DED"/>
    <w:rsid w:val="00C707CF"/>
    <w:rsid w:val="00C70EAE"/>
    <w:rsid w:val="00C7372C"/>
    <w:rsid w:val="00C73CDF"/>
    <w:rsid w:val="00C7542B"/>
    <w:rsid w:val="00C76E6F"/>
    <w:rsid w:val="00C77F3C"/>
    <w:rsid w:val="00C819F5"/>
    <w:rsid w:val="00C850AC"/>
    <w:rsid w:val="00C856CF"/>
    <w:rsid w:val="00C85C0F"/>
    <w:rsid w:val="00C870B1"/>
    <w:rsid w:val="00C87BBB"/>
    <w:rsid w:val="00C9078F"/>
    <w:rsid w:val="00C92026"/>
    <w:rsid w:val="00C94742"/>
    <w:rsid w:val="00C94A36"/>
    <w:rsid w:val="00C94D42"/>
    <w:rsid w:val="00C964DE"/>
    <w:rsid w:val="00C96CBC"/>
    <w:rsid w:val="00C9726F"/>
    <w:rsid w:val="00C9738A"/>
    <w:rsid w:val="00CA0E24"/>
    <w:rsid w:val="00CA7ACD"/>
    <w:rsid w:val="00CB1CF4"/>
    <w:rsid w:val="00CB2792"/>
    <w:rsid w:val="00CB5E4F"/>
    <w:rsid w:val="00CB697F"/>
    <w:rsid w:val="00CB6A7F"/>
    <w:rsid w:val="00CC0383"/>
    <w:rsid w:val="00CC0DB2"/>
    <w:rsid w:val="00CC334F"/>
    <w:rsid w:val="00CC37A9"/>
    <w:rsid w:val="00CC3F3F"/>
    <w:rsid w:val="00CC617F"/>
    <w:rsid w:val="00CD0341"/>
    <w:rsid w:val="00CD244B"/>
    <w:rsid w:val="00CD3C68"/>
    <w:rsid w:val="00CD3EFF"/>
    <w:rsid w:val="00CD5CA3"/>
    <w:rsid w:val="00CD5D03"/>
    <w:rsid w:val="00CD5F8D"/>
    <w:rsid w:val="00CD6F1E"/>
    <w:rsid w:val="00CD7147"/>
    <w:rsid w:val="00CE0C97"/>
    <w:rsid w:val="00CE21D9"/>
    <w:rsid w:val="00CE2B14"/>
    <w:rsid w:val="00CE7517"/>
    <w:rsid w:val="00CF02DC"/>
    <w:rsid w:val="00CF0DE8"/>
    <w:rsid w:val="00CF11E3"/>
    <w:rsid w:val="00CF6311"/>
    <w:rsid w:val="00D033C4"/>
    <w:rsid w:val="00D03ED7"/>
    <w:rsid w:val="00D0412B"/>
    <w:rsid w:val="00D0457C"/>
    <w:rsid w:val="00D04B40"/>
    <w:rsid w:val="00D05C34"/>
    <w:rsid w:val="00D05E0F"/>
    <w:rsid w:val="00D05E62"/>
    <w:rsid w:val="00D10F51"/>
    <w:rsid w:val="00D12FCA"/>
    <w:rsid w:val="00D1514A"/>
    <w:rsid w:val="00D167F0"/>
    <w:rsid w:val="00D16EC3"/>
    <w:rsid w:val="00D1753D"/>
    <w:rsid w:val="00D17F90"/>
    <w:rsid w:val="00D2106D"/>
    <w:rsid w:val="00D21CAA"/>
    <w:rsid w:val="00D21F74"/>
    <w:rsid w:val="00D22EB7"/>
    <w:rsid w:val="00D23DFD"/>
    <w:rsid w:val="00D23F4A"/>
    <w:rsid w:val="00D25900"/>
    <w:rsid w:val="00D25A32"/>
    <w:rsid w:val="00D27ABC"/>
    <w:rsid w:val="00D3119C"/>
    <w:rsid w:val="00D324EC"/>
    <w:rsid w:val="00D35AF0"/>
    <w:rsid w:val="00D35CD8"/>
    <w:rsid w:val="00D37901"/>
    <w:rsid w:val="00D41F95"/>
    <w:rsid w:val="00D43D3C"/>
    <w:rsid w:val="00D46182"/>
    <w:rsid w:val="00D47355"/>
    <w:rsid w:val="00D47E3C"/>
    <w:rsid w:val="00D5086B"/>
    <w:rsid w:val="00D50886"/>
    <w:rsid w:val="00D509D5"/>
    <w:rsid w:val="00D50C61"/>
    <w:rsid w:val="00D514F4"/>
    <w:rsid w:val="00D52C3D"/>
    <w:rsid w:val="00D575FD"/>
    <w:rsid w:val="00D61A83"/>
    <w:rsid w:val="00D626AA"/>
    <w:rsid w:val="00D645FB"/>
    <w:rsid w:val="00D66F2C"/>
    <w:rsid w:val="00D70977"/>
    <w:rsid w:val="00D71117"/>
    <w:rsid w:val="00D71330"/>
    <w:rsid w:val="00D726E9"/>
    <w:rsid w:val="00D81A05"/>
    <w:rsid w:val="00D81FEF"/>
    <w:rsid w:val="00D841D8"/>
    <w:rsid w:val="00D84324"/>
    <w:rsid w:val="00D84472"/>
    <w:rsid w:val="00D85C6D"/>
    <w:rsid w:val="00D871A9"/>
    <w:rsid w:val="00D87439"/>
    <w:rsid w:val="00D90221"/>
    <w:rsid w:val="00D9208C"/>
    <w:rsid w:val="00D93D85"/>
    <w:rsid w:val="00D94E4D"/>
    <w:rsid w:val="00DA1B33"/>
    <w:rsid w:val="00DA2E16"/>
    <w:rsid w:val="00DA3504"/>
    <w:rsid w:val="00DA49DB"/>
    <w:rsid w:val="00DA4A45"/>
    <w:rsid w:val="00DA4F93"/>
    <w:rsid w:val="00DA5873"/>
    <w:rsid w:val="00DA6144"/>
    <w:rsid w:val="00DB0B88"/>
    <w:rsid w:val="00DB1589"/>
    <w:rsid w:val="00DB7941"/>
    <w:rsid w:val="00DC0535"/>
    <w:rsid w:val="00DC1400"/>
    <w:rsid w:val="00DC1CEE"/>
    <w:rsid w:val="00DC28AA"/>
    <w:rsid w:val="00DC29D5"/>
    <w:rsid w:val="00DC5D0B"/>
    <w:rsid w:val="00DC7D9A"/>
    <w:rsid w:val="00DD0C16"/>
    <w:rsid w:val="00DD1E93"/>
    <w:rsid w:val="00DD39E2"/>
    <w:rsid w:val="00DD50DB"/>
    <w:rsid w:val="00DD682A"/>
    <w:rsid w:val="00DD6E3F"/>
    <w:rsid w:val="00DD786B"/>
    <w:rsid w:val="00DE4599"/>
    <w:rsid w:val="00DE588B"/>
    <w:rsid w:val="00DE672B"/>
    <w:rsid w:val="00DE7081"/>
    <w:rsid w:val="00DF1423"/>
    <w:rsid w:val="00DF2D30"/>
    <w:rsid w:val="00DF368A"/>
    <w:rsid w:val="00DF49D2"/>
    <w:rsid w:val="00DF4E3E"/>
    <w:rsid w:val="00DF61CA"/>
    <w:rsid w:val="00DF6E96"/>
    <w:rsid w:val="00DF7D72"/>
    <w:rsid w:val="00DF7DDF"/>
    <w:rsid w:val="00E00F38"/>
    <w:rsid w:val="00E0181E"/>
    <w:rsid w:val="00E0242D"/>
    <w:rsid w:val="00E030BF"/>
    <w:rsid w:val="00E03886"/>
    <w:rsid w:val="00E05777"/>
    <w:rsid w:val="00E05CEF"/>
    <w:rsid w:val="00E061B9"/>
    <w:rsid w:val="00E06ABA"/>
    <w:rsid w:val="00E06E87"/>
    <w:rsid w:val="00E06F13"/>
    <w:rsid w:val="00E1001F"/>
    <w:rsid w:val="00E109D6"/>
    <w:rsid w:val="00E124B1"/>
    <w:rsid w:val="00E13457"/>
    <w:rsid w:val="00E13F9E"/>
    <w:rsid w:val="00E1690B"/>
    <w:rsid w:val="00E17586"/>
    <w:rsid w:val="00E2453B"/>
    <w:rsid w:val="00E2767E"/>
    <w:rsid w:val="00E31473"/>
    <w:rsid w:val="00E3222A"/>
    <w:rsid w:val="00E3348A"/>
    <w:rsid w:val="00E349F9"/>
    <w:rsid w:val="00E357C0"/>
    <w:rsid w:val="00E36251"/>
    <w:rsid w:val="00E40F14"/>
    <w:rsid w:val="00E423EF"/>
    <w:rsid w:val="00E43D1A"/>
    <w:rsid w:val="00E4432F"/>
    <w:rsid w:val="00E45B00"/>
    <w:rsid w:val="00E45BB8"/>
    <w:rsid w:val="00E46784"/>
    <w:rsid w:val="00E46920"/>
    <w:rsid w:val="00E47511"/>
    <w:rsid w:val="00E5050A"/>
    <w:rsid w:val="00E5199F"/>
    <w:rsid w:val="00E52281"/>
    <w:rsid w:val="00E52310"/>
    <w:rsid w:val="00E5258D"/>
    <w:rsid w:val="00E53D5D"/>
    <w:rsid w:val="00E548A3"/>
    <w:rsid w:val="00E54F96"/>
    <w:rsid w:val="00E5505E"/>
    <w:rsid w:val="00E552E7"/>
    <w:rsid w:val="00E56EE7"/>
    <w:rsid w:val="00E57DBD"/>
    <w:rsid w:val="00E57DFB"/>
    <w:rsid w:val="00E61873"/>
    <w:rsid w:val="00E62043"/>
    <w:rsid w:val="00E62569"/>
    <w:rsid w:val="00E62D27"/>
    <w:rsid w:val="00E63437"/>
    <w:rsid w:val="00E64381"/>
    <w:rsid w:val="00E64390"/>
    <w:rsid w:val="00E64610"/>
    <w:rsid w:val="00E650A0"/>
    <w:rsid w:val="00E65304"/>
    <w:rsid w:val="00E66A90"/>
    <w:rsid w:val="00E67CED"/>
    <w:rsid w:val="00E70253"/>
    <w:rsid w:val="00E704A5"/>
    <w:rsid w:val="00E704CF"/>
    <w:rsid w:val="00E70EB9"/>
    <w:rsid w:val="00E716F0"/>
    <w:rsid w:val="00E71F21"/>
    <w:rsid w:val="00E726B7"/>
    <w:rsid w:val="00E734C4"/>
    <w:rsid w:val="00E747AA"/>
    <w:rsid w:val="00E74C93"/>
    <w:rsid w:val="00E757F4"/>
    <w:rsid w:val="00E80BBB"/>
    <w:rsid w:val="00E81432"/>
    <w:rsid w:val="00E81D72"/>
    <w:rsid w:val="00E84473"/>
    <w:rsid w:val="00E84DAE"/>
    <w:rsid w:val="00E870D4"/>
    <w:rsid w:val="00E872BF"/>
    <w:rsid w:val="00E90CAF"/>
    <w:rsid w:val="00E90E99"/>
    <w:rsid w:val="00E910CC"/>
    <w:rsid w:val="00E91990"/>
    <w:rsid w:val="00E920A2"/>
    <w:rsid w:val="00E920DE"/>
    <w:rsid w:val="00E92293"/>
    <w:rsid w:val="00E93708"/>
    <w:rsid w:val="00E979C8"/>
    <w:rsid w:val="00EA1550"/>
    <w:rsid w:val="00EA1C99"/>
    <w:rsid w:val="00EA2B0D"/>
    <w:rsid w:val="00EA55A8"/>
    <w:rsid w:val="00EA6127"/>
    <w:rsid w:val="00EB160A"/>
    <w:rsid w:val="00EB5C63"/>
    <w:rsid w:val="00EB63F5"/>
    <w:rsid w:val="00EC0FE7"/>
    <w:rsid w:val="00EC1FC1"/>
    <w:rsid w:val="00EC3281"/>
    <w:rsid w:val="00EC53FE"/>
    <w:rsid w:val="00EC6F05"/>
    <w:rsid w:val="00ED2D62"/>
    <w:rsid w:val="00ED307F"/>
    <w:rsid w:val="00ED3F8C"/>
    <w:rsid w:val="00ED450F"/>
    <w:rsid w:val="00ED4DEF"/>
    <w:rsid w:val="00EE0573"/>
    <w:rsid w:val="00EE0FDB"/>
    <w:rsid w:val="00EE21C2"/>
    <w:rsid w:val="00EE32AF"/>
    <w:rsid w:val="00EE7C0F"/>
    <w:rsid w:val="00EF1680"/>
    <w:rsid w:val="00EF2804"/>
    <w:rsid w:val="00EF5A7D"/>
    <w:rsid w:val="00EF6C0F"/>
    <w:rsid w:val="00EF7EAA"/>
    <w:rsid w:val="00F02021"/>
    <w:rsid w:val="00F02076"/>
    <w:rsid w:val="00F02DE2"/>
    <w:rsid w:val="00F03515"/>
    <w:rsid w:val="00F05478"/>
    <w:rsid w:val="00F061A3"/>
    <w:rsid w:val="00F0621C"/>
    <w:rsid w:val="00F1092C"/>
    <w:rsid w:val="00F12DA8"/>
    <w:rsid w:val="00F13B55"/>
    <w:rsid w:val="00F144E1"/>
    <w:rsid w:val="00F162F0"/>
    <w:rsid w:val="00F167DD"/>
    <w:rsid w:val="00F2160B"/>
    <w:rsid w:val="00F25A13"/>
    <w:rsid w:val="00F2636C"/>
    <w:rsid w:val="00F27844"/>
    <w:rsid w:val="00F303B1"/>
    <w:rsid w:val="00F33EF6"/>
    <w:rsid w:val="00F3596E"/>
    <w:rsid w:val="00F35C68"/>
    <w:rsid w:val="00F370EC"/>
    <w:rsid w:val="00F3754C"/>
    <w:rsid w:val="00F40CD0"/>
    <w:rsid w:val="00F40EF9"/>
    <w:rsid w:val="00F43B47"/>
    <w:rsid w:val="00F45E89"/>
    <w:rsid w:val="00F4672D"/>
    <w:rsid w:val="00F4674F"/>
    <w:rsid w:val="00F479F2"/>
    <w:rsid w:val="00F50264"/>
    <w:rsid w:val="00F502EC"/>
    <w:rsid w:val="00F5134B"/>
    <w:rsid w:val="00F52A10"/>
    <w:rsid w:val="00F52E79"/>
    <w:rsid w:val="00F54D33"/>
    <w:rsid w:val="00F54F29"/>
    <w:rsid w:val="00F564D4"/>
    <w:rsid w:val="00F565C6"/>
    <w:rsid w:val="00F570F2"/>
    <w:rsid w:val="00F5764F"/>
    <w:rsid w:val="00F57659"/>
    <w:rsid w:val="00F65983"/>
    <w:rsid w:val="00F664F4"/>
    <w:rsid w:val="00F70B4D"/>
    <w:rsid w:val="00F71103"/>
    <w:rsid w:val="00F71F97"/>
    <w:rsid w:val="00F76B22"/>
    <w:rsid w:val="00F7781C"/>
    <w:rsid w:val="00F80582"/>
    <w:rsid w:val="00F84D23"/>
    <w:rsid w:val="00F87851"/>
    <w:rsid w:val="00F87AB0"/>
    <w:rsid w:val="00F87BD4"/>
    <w:rsid w:val="00F9154C"/>
    <w:rsid w:val="00F91E50"/>
    <w:rsid w:val="00F933AA"/>
    <w:rsid w:val="00F97CE3"/>
    <w:rsid w:val="00FA0340"/>
    <w:rsid w:val="00FA2FA2"/>
    <w:rsid w:val="00FA3E35"/>
    <w:rsid w:val="00FA4E21"/>
    <w:rsid w:val="00FA6781"/>
    <w:rsid w:val="00FA69D8"/>
    <w:rsid w:val="00FA6A60"/>
    <w:rsid w:val="00FB14B1"/>
    <w:rsid w:val="00FB4DF6"/>
    <w:rsid w:val="00FB5D24"/>
    <w:rsid w:val="00FB64C7"/>
    <w:rsid w:val="00FB6DC4"/>
    <w:rsid w:val="00FC034F"/>
    <w:rsid w:val="00FC21F8"/>
    <w:rsid w:val="00FC5349"/>
    <w:rsid w:val="00FC5578"/>
    <w:rsid w:val="00FC63AE"/>
    <w:rsid w:val="00FC6D83"/>
    <w:rsid w:val="00FD119E"/>
    <w:rsid w:val="00FD23BE"/>
    <w:rsid w:val="00FD3147"/>
    <w:rsid w:val="00FD70DB"/>
    <w:rsid w:val="00FE056F"/>
    <w:rsid w:val="00FE1EB9"/>
    <w:rsid w:val="00FE342C"/>
    <w:rsid w:val="00FE4177"/>
    <w:rsid w:val="00FF03F6"/>
    <w:rsid w:val="00FF248A"/>
    <w:rsid w:val="00FF34FA"/>
    <w:rsid w:val="00FF37F6"/>
    <w:rsid w:val="00FF3AF0"/>
    <w:rsid w:val="00FF432B"/>
    <w:rsid w:val="00FF4B29"/>
    <w:rsid w:val="00FF4D05"/>
    <w:rsid w:val="00FF6FDA"/>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71343"/>
  <w15:docId w15:val="{FE8B071F-FFA1-4D09-B6CF-6D5C76CE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15"/>
    <w:rPr>
      <w:sz w:val="24"/>
      <w:szCs w:val="24"/>
    </w:rPr>
  </w:style>
  <w:style w:type="paragraph" w:styleId="Heading1">
    <w:name w:val="heading 1"/>
    <w:basedOn w:val="Normal"/>
    <w:next w:val="Normal"/>
    <w:qFormat/>
    <w:rsid w:val="004E4A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4A15"/>
    <w:pPr>
      <w:keepNext/>
      <w:spacing w:before="100" w:after="51"/>
      <w:jc w:val="center"/>
      <w:outlineLvl w:val="1"/>
    </w:pPr>
    <w:rPr>
      <w:b/>
      <w:bCs/>
      <w:sz w:val="16"/>
      <w:szCs w:val="16"/>
    </w:rPr>
  </w:style>
  <w:style w:type="paragraph" w:styleId="Heading3">
    <w:name w:val="heading 3"/>
    <w:basedOn w:val="Normal"/>
    <w:next w:val="Normal"/>
    <w:qFormat/>
    <w:rsid w:val="004E4A15"/>
    <w:pPr>
      <w:keepNext/>
      <w:numPr>
        <w:ilvl w:val="12"/>
      </w:numPr>
      <w:outlineLvl w:val="2"/>
    </w:pPr>
    <w:rPr>
      <w:b/>
      <w:bCs/>
      <w:lang w:val="en-CA"/>
    </w:rPr>
  </w:style>
  <w:style w:type="paragraph" w:styleId="Heading4">
    <w:name w:val="heading 4"/>
    <w:basedOn w:val="Normal"/>
    <w:next w:val="Normal"/>
    <w:qFormat/>
    <w:rsid w:val="004E4A15"/>
    <w:pPr>
      <w:keepNext/>
      <w:outlineLvl w:val="3"/>
    </w:pPr>
    <w:rPr>
      <w:b/>
      <w:bCs/>
      <w:sz w:val="18"/>
    </w:rPr>
  </w:style>
  <w:style w:type="paragraph" w:styleId="Heading5">
    <w:name w:val="heading 5"/>
    <w:basedOn w:val="Normal"/>
    <w:next w:val="Normal"/>
    <w:qFormat/>
    <w:rsid w:val="004E4A15"/>
    <w:pPr>
      <w:keepNext/>
      <w:ind w:left="720"/>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4E4A15"/>
    <w:pPr>
      <w:autoSpaceDE w:val="0"/>
      <w:autoSpaceDN w:val="0"/>
      <w:adjustRightInd w:val="0"/>
      <w:ind w:left="720"/>
    </w:pPr>
    <w:rPr>
      <w:rFonts w:ascii="Courier" w:hAnsi="Courier"/>
      <w:sz w:val="24"/>
      <w:szCs w:val="24"/>
    </w:rPr>
  </w:style>
  <w:style w:type="paragraph" w:styleId="List">
    <w:name w:val="List"/>
    <w:basedOn w:val="Normal"/>
    <w:semiHidden/>
    <w:rsid w:val="004E4A15"/>
    <w:pPr>
      <w:ind w:left="360" w:hanging="360"/>
    </w:pPr>
  </w:style>
  <w:style w:type="paragraph" w:styleId="ListContinue">
    <w:name w:val="List Continue"/>
    <w:basedOn w:val="Normal"/>
    <w:semiHidden/>
    <w:rsid w:val="004E4A15"/>
    <w:pPr>
      <w:spacing w:after="120"/>
      <w:ind w:left="360"/>
    </w:pPr>
  </w:style>
  <w:style w:type="paragraph" w:styleId="Title">
    <w:name w:val="Title"/>
    <w:basedOn w:val="Normal"/>
    <w:qFormat/>
    <w:rsid w:val="004E4A15"/>
    <w:pPr>
      <w:spacing w:before="240" w:after="60"/>
      <w:jc w:val="center"/>
      <w:outlineLvl w:val="0"/>
    </w:pPr>
    <w:rPr>
      <w:rFonts w:ascii="Arial" w:hAnsi="Arial" w:cs="Arial"/>
      <w:b/>
      <w:bCs/>
      <w:kern w:val="28"/>
      <w:sz w:val="32"/>
      <w:szCs w:val="32"/>
    </w:rPr>
  </w:style>
  <w:style w:type="paragraph" w:styleId="BodyText">
    <w:name w:val="Body Text"/>
    <w:basedOn w:val="Normal"/>
    <w:semiHidden/>
    <w:rsid w:val="004E4A15"/>
    <w:pPr>
      <w:spacing w:after="120"/>
    </w:pPr>
  </w:style>
  <w:style w:type="character" w:styleId="Hyperlink">
    <w:name w:val="Hyperlink"/>
    <w:basedOn w:val="DefaultParagraphFont"/>
    <w:semiHidden/>
    <w:rsid w:val="004E4A15"/>
    <w:rPr>
      <w:color w:val="0000FF"/>
      <w:u w:val="single"/>
    </w:rPr>
  </w:style>
  <w:style w:type="paragraph" w:styleId="BodyTextIndent">
    <w:name w:val="Body Text Indent"/>
    <w:basedOn w:val="Normal"/>
    <w:semiHidden/>
    <w:rsid w:val="004E4A15"/>
    <w:pPr>
      <w:numPr>
        <w:ilvl w:val="12"/>
      </w:numPr>
      <w:tabs>
        <w:tab w:val="left" w:pos="432"/>
        <w:tab w:val="left" w:pos="720"/>
        <w:tab w:val="left" w:pos="864"/>
        <w:tab w:val="left" w:pos="1022"/>
        <w:tab w:val="left" w:pos="1296"/>
        <w:tab w:val="left" w:pos="1728"/>
        <w:tab w:val="left" w:pos="2160"/>
      </w:tabs>
      <w:ind w:left="1022"/>
    </w:pPr>
  </w:style>
  <w:style w:type="paragraph" w:styleId="BodyTextIndent2">
    <w:name w:val="Body Text Indent 2"/>
    <w:basedOn w:val="Normal"/>
    <w:semiHidden/>
    <w:rsid w:val="004E4A15"/>
    <w:pPr>
      <w:ind w:left="1008"/>
    </w:pPr>
  </w:style>
  <w:style w:type="paragraph" w:styleId="BodyTextIndent3">
    <w:name w:val="Body Text Indent 3"/>
    <w:basedOn w:val="Normal"/>
    <w:semiHidden/>
    <w:rsid w:val="004E4A15"/>
    <w:pPr>
      <w:numPr>
        <w:ilvl w:val="12"/>
      </w:numPr>
      <w:ind w:left="1080"/>
    </w:pPr>
  </w:style>
  <w:style w:type="paragraph" w:customStyle="1" w:styleId="Level3">
    <w:name w:val="Level 3"/>
    <w:rsid w:val="004E4A15"/>
    <w:pPr>
      <w:autoSpaceDE w:val="0"/>
      <w:autoSpaceDN w:val="0"/>
      <w:adjustRightInd w:val="0"/>
      <w:ind w:left="2160"/>
    </w:pPr>
    <w:rPr>
      <w:rFonts w:ascii="Courier" w:hAnsi="Courier"/>
      <w:sz w:val="24"/>
      <w:szCs w:val="24"/>
    </w:rPr>
  </w:style>
  <w:style w:type="paragraph" w:styleId="PlainText">
    <w:name w:val="Plain Text"/>
    <w:basedOn w:val="Normal"/>
    <w:link w:val="PlainTextChar"/>
    <w:uiPriority w:val="99"/>
    <w:semiHidden/>
    <w:rsid w:val="004E4A15"/>
    <w:rPr>
      <w:rFonts w:ascii="Courier New" w:hAnsi="Courier New" w:cs="Courier New"/>
      <w:sz w:val="20"/>
      <w:szCs w:val="20"/>
    </w:rPr>
  </w:style>
  <w:style w:type="paragraph" w:styleId="Header">
    <w:name w:val="header"/>
    <w:basedOn w:val="Normal"/>
    <w:semiHidden/>
    <w:rsid w:val="004E4A15"/>
    <w:pPr>
      <w:tabs>
        <w:tab w:val="center" w:pos="4320"/>
        <w:tab w:val="right" w:pos="8640"/>
      </w:tabs>
    </w:pPr>
  </w:style>
  <w:style w:type="character" w:styleId="PageNumber">
    <w:name w:val="page number"/>
    <w:basedOn w:val="DefaultParagraphFont"/>
    <w:semiHidden/>
    <w:rsid w:val="004E4A15"/>
  </w:style>
  <w:style w:type="paragraph" w:styleId="Footer">
    <w:name w:val="footer"/>
    <w:basedOn w:val="Normal"/>
    <w:link w:val="FooterChar"/>
    <w:uiPriority w:val="99"/>
    <w:rsid w:val="004E4A15"/>
    <w:pPr>
      <w:tabs>
        <w:tab w:val="center" w:pos="4320"/>
        <w:tab w:val="right" w:pos="8640"/>
      </w:tabs>
    </w:pPr>
  </w:style>
  <w:style w:type="paragraph" w:styleId="BodyText2">
    <w:name w:val="Body Text 2"/>
    <w:basedOn w:val="Normal"/>
    <w:semiHidden/>
    <w:rsid w:val="004E4A15"/>
    <w:pPr>
      <w:jc w:val="right"/>
    </w:pPr>
    <w:rPr>
      <w:b/>
      <w:bCs/>
      <w:color w:val="FF0000"/>
      <w:sz w:val="18"/>
    </w:rPr>
  </w:style>
  <w:style w:type="character" w:styleId="CommentReference">
    <w:name w:val="annotation reference"/>
    <w:basedOn w:val="DefaultParagraphFont"/>
    <w:uiPriority w:val="99"/>
    <w:semiHidden/>
    <w:unhideWhenUsed/>
    <w:rsid w:val="004E1F76"/>
    <w:rPr>
      <w:sz w:val="16"/>
      <w:szCs w:val="16"/>
    </w:rPr>
  </w:style>
  <w:style w:type="paragraph" w:styleId="CommentText">
    <w:name w:val="annotation text"/>
    <w:basedOn w:val="Normal"/>
    <w:link w:val="CommentTextChar"/>
    <w:uiPriority w:val="99"/>
    <w:unhideWhenUsed/>
    <w:rsid w:val="004E1F76"/>
    <w:rPr>
      <w:sz w:val="20"/>
      <w:szCs w:val="20"/>
    </w:rPr>
  </w:style>
  <w:style w:type="character" w:customStyle="1" w:styleId="CommentTextChar">
    <w:name w:val="Comment Text Char"/>
    <w:basedOn w:val="DefaultParagraphFont"/>
    <w:link w:val="CommentText"/>
    <w:uiPriority w:val="99"/>
    <w:rsid w:val="004E1F76"/>
  </w:style>
  <w:style w:type="paragraph" w:styleId="CommentSubject">
    <w:name w:val="annotation subject"/>
    <w:basedOn w:val="CommentText"/>
    <w:next w:val="CommentText"/>
    <w:link w:val="CommentSubjectChar"/>
    <w:uiPriority w:val="99"/>
    <w:semiHidden/>
    <w:unhideWhenUsed/>
    <w:rsid w:val="004E1F76"/>
    <w:rPr>
      <w:b/>
      <w:bCs/>
    </w:rPr>
  </w:style>
  <w:style w:type="character" w:customStyle="1" w:styleId="CommentSubjectChar">
    <w:name w:val="Comment Subject Char"/>
    <w:basedOn w:val="CommentTextChar"/>
    <w:link w:val="CommentSubject"/>
    <w:uiPriority w:val="99"/>
    <w:semiHidden/>
    <w:rsid w:val="004E1F76"/>
    <w:rPr>
      <w:b/>
      <w:bCs/>
    </w:rPr>
  </w:style>
  <w:style w:type="paragraph" w:styleId="BalloonText">
    <w:name w:val="Balloon Text"/>
    <w:basedOn w:val="Normal"/>
    <w:link w:val="BalloonTextChar"/>
    <w:uiPriority w:val="99"/>
    <w:semiHidden/>
    <w:unhideWhenUsed/>
    <w:rsid w:val="004E1F76"/>
    <w:rPr>
      <w:rFonts w:ascii="Tahoma" w:hAnsi="Tahoma" w:cs="Tahoma"/>
      <w:sz w:val="16"/>
      <w:szCs w:val="16"/>
    </w:rPr>
  </w:style>
  <w:style w:type="character" w:customStyle="1" w:styleId="BalloonTextChar">
    <w:name w:val="Balloon Text Char"/>
    <w:basedOn w:val="DefaultParagraphFont"/>
    <w:link w:val="BalloonText"/>
    <w:uiPriority w:val="99"/>
    <w:semiHidden/>
    <w:rsid w:val="004E1F76"/>
    <w:rPr>
      <w:rFonts w:ascii="Tahoma" w:hAnsi="Tahoma" w:cs="Tahoma"/>
      <w:sz w:val="16"/>
      <w:szCs w:val="16"/>
    </w:rPr>
  </w:style>
  <w:style w:type="paragraph" w:styleId="Revision">
    <w:name w:val="Revision"/>
    <w:hidden/>
    <w:uiPriority w:val="99"/>
    <w:semiHidden/>
    <w:rsid w:val="00A5578D"/>
    <w:rPr>
      <w:sz w:val="24"/>
      <w:szCs w:val="24"/>
    </w:rPr>
  </w:style>
  <w:style w:type="character" w:styleId="FollowedHyperlink">
    <w:name w:val="FollowedHyperlink"/>
    <w:basedOn w:val="DefaultParagraphFont"/>
    <w:uiPriority w:val="99"/>
    <w:semiHidden/>
    <w:unhideWhenUsed/>
    <w:rsid w:val="00AA4855"/>
    <w:rPr>
      <w:color w:val="800080" w:themeColor="followedHyperlink"/>
      <w:u w:val="single"/>
    </w:rPr>
  </w:style>
  <w:style w:type="paragraph" w:styleId="ListParagraph">
    <w:name w:val="List Paragraph"/>
    <w:basedOn w:val="Normal"/>
    <w:uiPriority w:val="34"/>
    <w:qFormat/>
    <w:rsid w:val="00E872BF"/>
    <w:pPr>
      <w:ind w:left="720"/>
      <w:contextualSpacing/>
    </w:pPr>
  </w:style>
  <w:style w:type="table" w:styleId="TableGrid">
    <w:name w:val="Table Grid"/>
    <w:basedOn w:val="TableNormal"/>
    <w:uiPriority w:val="59"/>
    <w:rsid w:val="006F1A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inTextChar">
    <w:name w:val="Plain Text Char"/>
    <w:basedOn w:val="DefaultParagraphFont"/>
    <w:link w:val="PlainText"/>
    <w:uiPriority w:val="99"/>
    <w:semiHidden/>
    <w:rsid w:val="001141E0"/>
    <w:rPr>
      <w:rFonts w:ascii="Courier New" w:hAnsi="Courier New" w:cs="Courier New"/>
    </w:rPr>
  </w:style>
  <w:style w:type="paragraph" w:styleId="FootnoteText">
    <w:name w:val="footnote text"/>
    <w:basedOn w:val="Normal"/>
    <w:link w:val="FootnoteTextChar"/>
    <w:uiPriority w:val="99"/>
    <w:semiHidden/>
    <w:unhideWhenUsed/>
    <w:rsid w:val="00447A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7A0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447A0B"/>
    <w:rPr>
      <w:vertAlign w:val="superscript"/>
    </w:rPr>
  </w:style>
  <w:style w:type="paragraph" w:customStyle="1" w:styleId="Default">
    <w:name w:val="Default"/>
    <w:rsid w:val="00630BBC"/>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C85C0F"/>
    <w:rPr>
      <w:sz w:val="24"/>
      <w:szCs w:val="24"/>
    </w:rPr>
  </w:style>
  <w:style w:type="paragraph" w:styleId="NormalWeb">
    <w:name w:val="Normal (Web)"/>
    <w:basedOn w:val="Normal"/>
    <w:uiPriority w:val="99"/>
    <w:unhideWhenUsed/>
    <w:rsid w:val="00B22246"/>
    <w:pPr>
      <w:spacing w:before="100" w:beforeAutospacing="1" w:after="100" w:afterAutospacing="1"/>
    </w:pPr>
  </w:style>
  <w:style w:type="paragraph" w:styleId="NoSpacing">
    <w:name w:val="No Spacing"/>
    <w:uiPriority w:val="1"/>
    <w:qFormat/>
    <w:rsid w:val="00E109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134707">
      <w:bodyDiv w:val="1"/>
      <w:marLeft w:val="0"/>
      <w:marRight w:val="0"/>
      <w:marTop w:val="0"/>
      <w:marBottom w:val="0"/>
      <w:divBdr>
        <w:top w:val="none" w:sz="0" w:space="0" w:color="auto"/>
        <w:left w:val="none" w:sz="0" w:space="0" w:color="auto"/>
        <w:bottom w:val="none" w:sz="0" w:space="0" w:color="auto"/>
        <w:right w:val="none" w:sz="0" w:space="0" w:color="auto"/>
      </w:divBdr>
    </w:div>
    <w:div w:id="326325743">
      <w:bodyDiv w:val="1"/>
      <w:marLeft w:val="0"/>
      <w:marRight w:val="0"/>
      <w:marTop w:val="0"/>
      <w:marBottom w:val="0"/>
      <w:divBdr>
        <w:top w:val="none" w:sz="0" w:space="0" w:color="auto"/>
        <w:left w:val="none" w:sz="0" w:space="0" w:color="auto"/>
        <w:bottom w:val="none" w:sz="0" w:space="0" w:color="auto"/>
        <w:right w:val="none" w:sz="0" w:space="0" w:color="auto"/>
      </w:divBdr>
    </w:div>
    <w:div w:id="406390608">
      <w:bodyDiv w:val="1"/>
      <w:marLeft w:val="0"/>
      <w:marRight w:val="0"/>
      <w:marTop w:val="0"/>
      <w:marBottom w:val="0"/>
      <w:divBdr>
        <w:top w:val="none" w:sz="0" w:space="0" w:color="auto"/>
        <w:left w:val="none" w:sz="0" w:space="0" w:color="auto"/>
        <w:bottom w:val="none" w:sz="0" w:space="0" w:color="auto"/>
        <w:right w:val="none" w:sz="0" w:space="0" w:color="auto"/>
      </w:divBdr>
    </w:div>
    <w:div w:id="418405910">
      <w:bodyDiv w:val="1"/>
      <w:marLeft w:val="0"/>
      <w:marRight w:val="0"/>
      <w:marTop w:val="0"/>
      <w:marBottom w:val="0"/>
      <w:divBdr>
        <w:top w:val="none" w:sz="0" w:space="0" w:color="auto"/>
        <w:left w:val="none" w:sz="0" w:space="0" w:color="auto"/>
        <w:bottom w:val="none" w:sz="0" w:space="0" w:color="auto"/>
        <w:right w:val="none" w:sz="0" w:space="0" w:color="auto"/>
      </w:divBdr>
      <w:divsChild>
        <w:div w:id="976422362">
          <w:marLeft w:val="0"/>
          <w:marRight w:val="0"/>
          <w:marTop w:val="0"/>
          <w:marBottom w:val="0"/>
          <w:divBdr>
            <w:top w:val="none" w:sz="0" w:space="0" w:color="auto"/>
            <w:left w:val="none" w:sz="0" w:space="0" w:color="auto"/>
            <w:bottom w:val="none" w:sz="0" w:space="0" w:color="auto"/>
            <w:right w:val="none" w:sz="0" w:space="0" w:color="auto"/>
          </w:divBdr>
          <w:divsChild>
            <w:div w:id="1717657625">
              <w:marLeft w:val="0"/>
              <w:marRight w:val="0"/>
              <w:marTop w:val="0"/>
              <w:marBottom w:val="0"/>
              <w:divBdr>
                <w:top w:val="none" w:sz="0" w:space="0" w:color="auto"/>
                <w:left w:val="none" w:sz="0" w:space="0" w:color="auto"/>
                <w:bottom w:val="none" w:sz="0" w:space="0" w:color="auto"/>
                <w:right w:val="none" w:sz="0" w:space="0" w:color="auto"/>
              </w:divBdr>
              <w:divsChild>
                <w:div w:id="396248405">
                  <w:marLeft w:val="0"/>
                  <w:marRight w:val="0"/>
                  <w:marTop w:val="0"/>
                  <w:marBottom w:val="0"/>
                  <w:divBdr>
                    <w:top w:val="none" w:sz="0" w:space="0" w:color="auto"/>
                    <w:left w:val="none" w:sz="0" w:space="0" w:color="auto"/>
                    <w:bottom w:val="none" w:sz="0" w:space="0" w:color="auto"/>
                    <w:right w:val="none" w:sz="0" w:space="0" w:color="auto"/>
                  </w:divBdr>
                  <w:divsChild>
                    <w:div w:id="1109660454">
                      <w:marLeft w:val="0"/>
                      <w:marRight w:val="0"/>
                      <w:marTop w:val="0"/>
                      <w:marBottom w:val="0"/>
                      <w:divBdr>
                        <w:top w:val="none" w:sz="0" w:space="0" w:color="auto"/>
                        <w:left w:val="none" w:sz="0" w:space="0" w:color="auto"/>
                        <w:bottom w:val="none" w:sz="0" w:space="0" w:color="auto"/>
                        <w:right w:val="none" w:sz="0" w:space="0" w:color="auto"/>
                      </w:divBdr>
                      <w:divsChild>
                        <w:div w:id="1636717726">
                          <w:marLeft w:val="0"/>
                          <w:marRight w:val="0"/>
                          <w:marTop w:val="0"/>
                          <w:marBottom w:val="0"/>
                          <w:divBdr>
                            <w:top w:val="none" w:sz="0" w:space="0" w:color="auto"/>
                            <w:left w:val="none" w:sz="0" w:space="0" w:color="auto"/>
                            <w:bottom w:val="none" w:sz="0" w:space="0" w:color="auto"/>
                            <w:right w:val="none" w:sz="0" w:space="0" w:color="auto"/>
                          </w:divBdr>
                          <w:divsChild>
                            <w:div w:id="1341354441">
                              <w:marLeft w:val="0"/>
                              <w:marRight w:val="0"/>
                              <w:marTop w:val="0"/>
                              <w:marBottom w:val="0"/>
                              <w:divBdr>
                                <w:top w:val="none" w:sz="0" w:space="0" w:color="auto"/>
                                <w:left w:val="none" w:sz="0" w:space="0" w:color="auto"/>
                                <w:bottom w:val="none" w:sz="0" w:space="0" w:color="auto"/>
                                <w:right w:val="none" w:sz="0" w:space="0" w:color="auto"/>
                              </w:divBdr>
                              <w:divsChild>
                                <w:div w:id="2092576410">
                                  <w:marLeft w:val="0"/>
                                  <w:marRight w:val="0"/>
                                  <w:marTop w:val="0"/>
                                  <w:marBottom w:val="0"/>
                                  <w:divBdr>
                                    <w:top w:val="none" w:sz="0" w:space="0" w:color="auto"/>
                                    <w:left w:val="none" w:sz="0" w:space="0" w:color="auto"/>
                                    <w:bottom w:val="none" w:sz="0" w:space="0" w:color="auto"/>
                                    <w:right w:val="none" w:sz="0" w:space="0" w:color="auto"/>
                                  </w:divBdr>
                                  <w:divsChild>
                                    <w:div w:id="539973034">
                                      <w:marLeft w:val="0"/>
                                      <w:marRight w:val="0"/>
                                      <w:marTop w:val="0"/>
                                      <w:marBottom w:val="0"/>
                                      <w:divBdr>
                                        <w:top w:val="none" w:sz="0" w:space="0" w:color="auto"/>
                                        <w:left w:val="none" w:sz="0" w:space="0" w:color="auto"/>
                                        <w:bottom w:val="none" w:sz="0" w:space="0" w:color="auto"/>
                                        <w:right w:val="none" w:sz="0" w:space="0" w:color="auto"/>
                                      </w:divBdr>
                                      <w:divsChild>
                                        <w:div w:id="1296181395">
                                          <w:marLeft w:val="0"/>
                                          <w:marRight w:val="0"/>
                                          <w:marTop w:val="0"/>
                                          <w:marBottom w:val="0"/>
                                          <w:divBdr>
                                            <w:top w:val="none" w:sz="0" w:space="0" w:color="auto"/>
                                            <w:left w:val="none" w:sz="0" w:space="0" w:color="auto"/>
                                            <w:bottom w:val="none" w:sz="0" w:space="0" w:color="auto"/>
                                            <w:right w:val="none" w:sz="0" w:space="0" w:color="auto"/>
                                          </w:divBdr>
                                          <w:divsChild>
                                            <w:div w:id="1296838124">
                                              <w:marLeft w:val="0"/>
                                              <w:marRight w:val="0"/>
                                              <w:marTop w:val="0"/>
                                              <w:marBottom w:val="0"/>
                                              <w:divBdr>
                                                <w:top w:val="none" w:sz="0" w:space="0" w:color="auto"/>
                                                <w:left w:val="none" w:sz="0" w:space="0" w:color="auto"/>
                                                <w:bottom w:val="none" w:sz="0" w:space="0" w:color="auto"/>
                                                <w:right w:val="none" w:sz="0" w:space="0" w:color="auto"/>
                                              </w:divBdr>
                                              <w:divsChild>
                                                <w:div w:id="1456362073">
                                                  <w:marLeft w:val="0"/>
                                                  <w:marRight w:val="0"/>
                                                  <w:marTop w:val="0"/>
                                                  <w:marBottom w:val="0"/>
                                                  <w:divBdr>
                                                    <w:top w:val="none" w:sz="0" w:space="0" w:color="auto"/>
                                                    <w:left w:val="none" w:sz="0" w:space="0" w:color="auto"/>
                                                    <w:bottom w:val="none" w:sz="0" w:space="0" w:color="auto"/>
                                                    <w:right w:val="none" w:sz="0" w:space="0" w:color="auto"/>
                                                  </w:divBdr>
                                                  <w:divsChild>
                                                    <w:div w:id="2139257733">
                                                      <w:marLeft w:val="0"/>
                                                      <w:marRight w:val="0"/>
                                                      <w:marTop w:val="0"/>
                                                      <w:marBottom w:val="0"/>
                                                      <w:divBdr>
                                                        <w:top w:val="none" w:sz="0" w:space="0" w:color="auto"/>
                                                        <w:left w:val="none" w:sz="0" w:space="0" w:color="auto"/>
                                                        <w:bottom w:val="none" w:sz="0" w:space="0" w:color="auto"/>
                                                        <w:right w:val="none" w:sz="0" w:space="0" w:color="auto"/>
                                                      </w:divBdr>
                                                      <w:divsChild>
                                                        <w:div w:id="1872451593">
                                                          <w:marLeft w:val="0"/>
                                                          <w:marRight w:val="0"/>
                                                          <w:marTop w:val="0"/>
                                                          <w:marBottom w:val="0"/>
                                                          <w:divBdr>
                                                            <w:top w:val="none" w:sz="0" w:space="0" w:color="auto"/>
                                                            <w:left w:val="none" w:sz="0" w:space="0" w:color="auto"/>
                                                            <w:bottom w:val="none" w:sz="0" w:space="0" w:color="auto"/>
                                                            <w:right w:val="none" w:sz="0" w:space="0" w:color="auto"/>
                                                          </w:divBdr>
                                                          <w:divsChild>
                                                            <w:div w:id="435322672">
                                                              <w:marLeft w:val="0"/>
                                                              <w:marRight w:val="0"/>
                                                              <w:marTop w:val="0"/>
                                                              <w:marBottom w:val="0"/>
                                                              <w:divBdr>
                                                                <w:top w:val="none" w:sz="0" w:space="0" w:color="auto"/>
                                                                <w:left w:val="none" w:sz="0" w:space="0" w:color="auto"/>
                                                                <w:bottom w:val="none" w:sz="0" w:space="0" w:color="auto"/>
                                                                <w:right w:val="none" w:sz="0" w:space="0" w:color="auto"/>
                                                              </w:divBdr>
                                                              <w:divsChild>
                                                                <w:div w:id="161480868">
                                                                  <w:marLeft w:val="0"/>
                                                                  <w:marRight w:val="0"/>
                                                                  <w:marTop w:val="0"/>
                                                                  <w:marBottom w:val="0"/>
                                                                  <w:divBdr>
                                                                    <w:top w:val="none" w:sz="0" w:space="0" w:color="auto"/>
                                                                    <w:left w:val="none" w:sz="0" w:space="0" w:color="auto"/>
                                                                    <w:bottom w:val="none" w:sz="0" w:space="0" w:color="auto"/>
                                                                    <w:right w:val="none" w:sz="0" w:space="0" w:color="auto"/>
                                                                  </w:divBdr>
                                                                  <w:divsChild>
                                                                    <w:div w:id="1034503887">
                                                                      <w:marLeft w:val="0"/>
                                                                      <w:marRight w:val="0"/>
                                                                      <w:marTop w:val="0"/>
                                                                      <w:marBottom w:val="0"/>
                                                                      <w:divBdr>
                                                                        <w:top w:val="none" w:sz="0" w:space="0" w:color="auto"/>
                                                                        <w:left w:val="none" w:sz="0" w:space="0" w:color="auto"/>
                                                                        <w:bottom w:val="none" w:sz="0" w:space="0" w:color="auto"/>
                                                                        <w:right w:val="none" w:sz="0" w:space="0" w:color="auto"/>
                                                                      </w:divBdr>
                                                                      <w:divsChild>
                                                                        <w:div w:id="1814520954">
                                                                          <w:marLeft w:val="0"/>
                                                                          <w:marRight w:val="0"/>
                                                                          <w:marTop w:val="0"/>
                                                                          <w:marBottom w:val="0"/>
                                                                          <w:divBdr>
                                                                            <w:top w:val="none" w:sz="0" w:space="0" w:color="auto"/>
                                                                            <w:left w:val="none" w:sz="0" w:space="0" w:color="auto"/>
                                                                            <w:bottom w:val="none" w:sz="0" w:space="0" w:color="auto"/>
                                                                            <w:right w:val="none" w:sz="0" w:space="0" w:color="auto"/>
                                                                          </w:divBdr>
                                                                          <w:divsChild>
                                                                            <w:div w:id="182594015">
                                                                              <w:marLeft w:val="0"/>
                                                                              <w:marRight w:val="0"/>
                                                                              <w:marTop w:val="0"/>
                                                                              <w:marBottom w:val="0"/>
                                                                              <w:divBdr>
                                                                                <w:top w:val="none" w:sz="0" w:space="0" w:color="auto"/>
                                                                                <w:left w:val="none" w:sz="0" w:space="0" w:color="auto"/>
                                                                                <w:bottom w:val="none" w:sz="0" w:space="0" w:color="auto"/>
                                                                                <w:right w:val="none" w:sz="0" w:space="0" w:color="auto"/>
                                                                              </w:divBdr>
                                                                              <w:divsChild>
                                                                                <w:div w:id="1960643905">
                                                                                  <w:marLeft w:val="0"/>
                                                                                  <w:marRight w:val="0"/>
                                                                                  <w:marTop w:val="0"/>
                                                                                  <w:marBottom w:val="0"/>
                                                                                  <w:divBdr>
                                                                                    <w:top w:val="none" w:sz="0" w:space="0" w:color="auto"/>
                                                                                    <w:left w:val="none" w:sz="0" w:space="0" w:color="auto"/>
                                                                                    <w:bottom w:val="none" w:sz="0" w:space="0" w:color="auto"/>
                                                                                    <w:right w:val="none" w:sz="0" w:space="0" w:color="auto"/>
                                                                                  </w:divBdr>
                                                                                  <w:divsChild>
                                                                                    <w:div w:id="463161682">
                                                                                      <w:marLeft w:val="0"/>
                                                                                      <w:marRight w:val="0"/>
                                                                                      <w:marTop w:val="0"/>
                                                                                      <w:marBottom w:val="0"/>
                                                                                      <w:divBdr>
                                                                                        <w:top w:val="single" w:sz="6" w:space="0" w:color="A7B3BD"/>
                                                                                        <w:left w:val="none" w:sz="0" w:space="0" w:color="auto"/>
                                                                                        <w:bottom w:val="none" w:sz="0" w:space="0" w:color="auto"/>
                                                                                        <w:right w:val="none" w:sz="0" w:space="0" w:color="auto"/>
                                                                                      </w:divBdr>
                                                                                      <w:divsChild>
                                                                                        <w:div w:id="1513840772">
                                                                                          <w:marLeft w:val="0"/>
                                                                                          <w:marRight w:val="0"/>
                                                                                          <w:marTop w:val="0"/>
                                                                                          <w:marBottom w:val="0"/>
                                                                                          <w:divBdr>
                                                                                            <w:top w:val="none" w:sz="0" w:space="0" w:color="auto"/>
                                                                                            <w:left w:val="none" w:sz="0" w:space="0" w:color="auto"/>
                                                                                            <w:bottom w:val="none" w:sz="0" w:space="0" w:color="auto"/>
                                                                                            <w:right w:val="none" w:sz="0" w:space="0" w:color="auto"/>
                                                                                          </w:divBdr>
                                                                                        </w:div>
                                                                                        <w:div w:id="1407144890">
                                                                                          <w:marLeft w:val="0"/>
                                                                                          <w:marRight w:val="0"/>
                                                                                          <w:marTop w:val="0"/>
                                                                                          <w:marBottom w:val="0"/>
                                                                                          <w:divBdr>
                                                                                            <w:top w:val="none" w:sz="0" w:space="0" w:color="auto"/>
                                                                                            <w:left w:val="none" w:sz="0" w:space="0" w:color="auto"/>
                                                                                            <w:bottom w:val="none" w:sz="0" w:space="0" w:color="auto"/>
                                                                                            <w:right w:val="none" w:sz="0" w:space="0" w:color="auto"/>
                                                                                          </w:divBdr>
                                                                                        </w:div>
                                                                                        <w:div w:id="5000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17026">
      <w:bodyDiv w:val="1"/>
      <w:marLeft w:val="0"/>
      <w:marRight w:val="0"/>
      <w:marTop w:val="0"/>
      <w:marBottom w:val="0"/>
      <w:divBdr>
        <w:top w:val="none" w:sz="0" w:space="0" w:color="auto"/>
        <w:left w:val="none" w:sz="0" w:space="0" w:color="auto"/>
        <w:bottom w:val="none" w:sz="0" w:space="0" w:color="auto"/>
        <w:right w:val="none" w:sz="0" w:space="0" w:color="auto"/>
      </w:divBdr>
    </w:div>
    <w:div w:id="581838122">
      <w:bodyDiv w:val="1"/>
      <w:marLeft w:val="0"/>
      <w:marRight w:val="0"/>
      <w:marTop w:val="0"/>
      <w:marBottom w:val="0"/>
      <w:divBdr>
        <w:top w:val="none" w:sz="0" w:space="0" w:color="auto"/>
        <w:left w:val="none" w:sz="0" w:space="0" w:color="auto"/>
        <w:bottom w:val="none" w:sz="0" w:space="0" w:color="auto"/>
        <w:right w:val="none" w:sz="0" w:space="0" w:color="auto"/>
      </w:divBdr>
    </w:div>
    <w:div w:id="680549067">
      <w:bodyDiv w:val="1"/>
      <w:marLeft w:val="0"/>
      <w:marRight w:val="0"/>
      <w:marTop w:val="0"/>
      <w:marBottom w:val="0"/>
      <w:divBdr>
        <w:top w:val="none" w:sz="0" w:space="0" w:color="auto"/>
        <w:left w:val="none" w:sz="0" w:space="0" w:color="auto"/>
        <w:bottom w:val="none" w:sz="0" w:space="0" w:color="auto"/>
        <w:right w:val="none" w:sz="0" w:space="0" w:color="auto"/>
      </w:divBdr>
      <w:divsChild>
        <w:div w:id="181558086">
          <w:marLeft w:val="0"/>
          <w:marRight w:val="0"/>
          <w:marTop w:val="0"/>
          <w:marBottom w:val="0"/>
          <w:divBdr>
            <w:top w:val="none" w:sz="0" w:space="0" w:color="auto"/>
            <w:left w:val="none" w:sz="0" w:space="0" w:color="auto"/>
            <w:bottom w:val="none" w:sz="0" w:space="0" w:color="auto"/>
            <w:right w:val="none" w:sz="0" w:space="0" w:color="auto"/>
          </w:divBdr>
          <w:divsChild>
            <w:div w:id="425924660">
              <w:marLeft w:val="0"/>
              <w:marRight w:val="0"/>
              <w:marTop w:val="0"/>
              <w:marBottom w:val="0"/>
              <w:divBdr>
                <w:top w:val="none" w:sz="0" w:space="0" w:color="auto"/>
                <w:left w:val="none" w:sz="0" w:space="0" w:color="auto"/>
                <w:bottom w:val="none" w:sz="0" w:space="0" w:color="auto"/>
                <w:right w:val="none" w:sz="0" w:space="0" w:color="auto"/>
              </w:divBdr>
              <w:divsChild>
                <w:div w:id="298077764">
                  <w:marLeft w:val="0"/>
                  <w:marRight w:val="0"/>
                  <w:marTop w:val="0"/>
                  <w:marBottom w:val="0"/>
                  <w:divBdr>
                    <w:top w:val="none" w:sz="0" w:space="0" w:color="auto"/>
                    <w:left w:val="none" w:sz="0" w:space="0" w:color="auto"/>
                    <w:bottom w:val="none" w:sz="0" w:space="0" w:color="auto"/>
                    <w:right w:val="none" w:sz="0" w:space="0" w:color="auto"/>
                  </w:divBdr>
                  <w:divsChild>
                    <w:div w:id="391269645">
                      <w:marLeft w:val="0"/>
                      <w:marRight w:val="0"/>
                      <w:marTop w:val="0"/>
                      <w:marBottom w:val="0"/>
                      <w:divBdr>
                        <w:top w:val="none" w:sz="0" w:space="0" w:color="auto"/>
                        <w:left w:val="none" w:sz="0" w:space="0" w:color="auto"/>
                        <w:bottom w:val="none" w:sz="0" w:space="0" w:color="auto"/>
                        <w:right w:val="none" w:sz="0" w:space="0" w:color="auto"/>
                      </w:divBdr>
                      <w:divsChild>
                        <w:div w:id="695927602">
                          <w:marLeft w:val="0"/>
                          <w:marRight w:val="0"/>
                          <w:marTop w:val="0"/>
                          <w:marBottom w:val="0"/>
                          <w:divBdr>
                            <w:top w:val="none" w:sz="0" w:space="0" w:color="auto"/>
                            <w:left w:val="none" w:sz="0" w:space="0" w:color="auto"/>
                            <w:bottom w:val="none" w:sz="0" w:space="0" w:color="auto"/>
                            <w:right w:val="none" w:sz="0" w:space="0" w:color="auto"/>
                          </w:divBdr>
                          <w:divsChild>
                            <w:div w:id="546064580">
                              <w:marLeft w:val="0"/>
                              <w:marRight w:val="0"/>
                              <w:marTop w:val="0"/>
                              <w:marBottom w:val="0"/>
                              <w:divBdr>
                                <w:top w:val="none" w:sz="0" w:space="0" w:color="auto"/>
                                <w:left w:val="none" w:sz="0" w:space="0" w:color="auto"/>
                                <w:bottom w:val="none" w:sz="0" w:space="0" w:color="auto"/>
                                <w:right w:val="none" w:sz="0" w:space="0" w:color="auto"/>
                              </w:divBdr>
                              <w:divsChild>
                                <w:div w:id="633019968">
                                  <w:marLeft w:val="0"/>
                                  <w:marRight w:val="0"/>
                                  <w:marTop w:val="0"/>
                                  <w:marBottom w:val="0"/>
                                  <w:divBdr>
                                    <w:top w:val="none" w:sz="0" w:space="0" w:color="auto"/>
                                    <w:left w:val="none" w:sz="0" w:space="0" w:color="auto"/>
                                    <w:bottom w:val="none" w:sz="0" w:space="0" w:color="auto"/>
                                    <w:right w:val="none" w:sz="0" w:space="0" w:color="auto"/>
                                  </w:divBdr>
                                  <w:divsChild>
                                    <w:div w:id="1534805238">
                                      <w:marLeft w:val="0"/>
                                      <w:marRight w:val="0"/>
                                      <w:marTop w:val="0"/>
                                      <w:marBottom w:val="0"/>
                                      <w:divBdr>
                                        <w:top w:val="none" w:sz="0" w:space="0" w:color="auto"/>
                                        <w:left w:val="none" w:sz="0" w:space="0" w:color="auto"/>
                                        <w:bottom w:val="none" w:sz="0" w:space="0" w:color="auto"/>
                                        <w:right w:val="none" w:sz="0" w:space="0" w:color="auto"/>
                                      </w:divBdr>
                                      <w:divsChild>
                                        <w:div w:id="1899048101">
                                          <w:marLeft w:val="0"/>
                                          <w:marRight w:val="0"/>
                                          <w:marTop w:val="0"/>
                                          <w:marBottom w:val="0"/>
                                          <w:divBdr>
                                            <w:top w:val="none" w:sz="0" w:space="0" w:color="auto"/>
                                            <w:left w:val="none" w:sz="0" w:space="0" w:color="auto"/>
                                            <w:bottom w:val="none" w:sz="0" w:space="0" w:color="auto"/>
                                            <w:right w:val="none" w:sz="0" w:space="0" w:color="auto"/>
                                          </w:divBdr>
                                          <w:divsChild>
                                            <w:div w:id="1457795919">
                                              <w:marLeft w:val="0"/>
                                              <w:marRight w:val="0"/>
                                              <w:marTop w:val="0"/>
                                              <w:marBottom w:val="0"/>
                                              <w:divBdr>
                                                <w:top w:val="none" w:sz="0" w:space="0" w:color="auto"/>
                                                <w:left w:val="none" w:sz="0" w:space="0" w:color="auto"/>
                                                <w:bottom w:val="none" w:sz="0" w:space="0" w:color="auto"/>
                                                <w:right w:val="none" w:sz="0" w:space="0" w:color="auto"/>
                                              </w:divBdr>
                                              <w:divsChild>
                                                <w:div w:id="1246769384">
                                                  <w:marLeft w:val="0"/>
                                                  <w:marRight w:val="0"/>
                                                  <w:marTop w:val="0"/>
                                                  <w:marBottom w:val="0"/>
                                                  <w:divBdr>
                                                    <w:top w:val="none" w:sz="0" w:space="0" w:color="auto"/>
                                                    <w:left w:val="none" w:sz="0" w:space="0" w:color="auto"/>
                                                    <w:bottom w:val="none" w:sz="0" w:space="0" w:color="auto"/>
                                                    <w:right w:val="none" w:sz="0" w:space="0" w:color="auto"/>
                                                  </w:divBdr>
                                                  <w:divsChild>
                                                    <w:div w:id="655494040">
                                                      <w:marLeft w:val="0"/>
                                                      <w:marRight w:val="0"/>
                                                      <w:marTop w:val="0"/>
                                                      <w:marBottom w:val="0"/>
                                                      <w:divBdr>
                                                        <w:top w:val="none" w:sz="0" w:space="0" w:color="auto"/>
                                                        <w:left w:val="none" w:sz="0" w:space="0" w:color="auto"/>
                                                        <w:bottom w:val="none" w:sz="0" w:space="0" w:color="auto"/>
                                                        <w:right w:val="none" w:sz="0" w:space="0" w:color="auto"/>
                                                      </w:divBdr>
                                                      <w:divsChild>
                                                        <w:div w:id="236404137">
                                                          <w:marLeft w:val="0"/>
                                                          <w:marRight w:val="0"/>
                                                          <w:marTop w:val="0"/>
                                                          <w:marBottom w:val="0"/>
                                                          <w:divBdr>
                                                            <w:top w:val="none" w:sz="0" w:space="0" w:color="auto"/>
                                                            <w:left w:val="none" w:sz="0" w:space="0" w:color="auto"/>
                                                            <w:bottom w:val="none" w:sz="0" w:space="0" w:color="auto"/>
                                                            <w:right w:val="none" w:sz="0" w:space="0" w:color="auto"/>
                                                          </w:divBdr>
                                                          <w:divsChild>
                                                            <w:div w:id="734624040">
                                                              <w:marLeft w:val="0"/>
                                                              <w:marRight w:val="0"/>
                                                              <w:marTop w:val="0"/>
                                                              <w:marBottom w:val="0"/>
                                                              <w:divBdr>
                                                                <w:top w:val="none" w:sz="0" w:space="0" w:color="auto"/>
                                                                <w:left w:val="none" w:sz="0" w:space="0" w:color="auto"/>
                                                                <w:bottom w:val="none" w:sz="0" w:space="0" w:color="auto"/>
                                                                <w:right w:val="none" w:sz="0" w:space="0" w:color="auto"/>
                                                              </w:divBdr>
                                                              <w:divsChild>
                                                                <w:div w:id="1961572624">
                                                                  <w:marLeft w:val="0"/>
                                                                  <w:marRight w:val="0"/>
                                                                  <w:marTop w:val="0"/>
                                                                  <w:marBottom w:val="0"/>
                                                                  <w:divBdr>
                                                                    <w:top w:val="none" w:sz="0" w:space="0" w:color="auto"/>
                                                                    <w:left w:val="none" w:sz="0" w:space="0" w:color="auto"/>
                                                                    <w:bottom w:val="none" w:sz="0" w:space="0" w:color="auto"/>
                                                                    <w:right w:val="none" w:sz="0" w:space="0" w:color="auto"/>
                                                                  </w:divBdr>
                                                                  <w:divsChild>
                                                                    <w:div w:id="995643631">
                                                                      <w:marLeft w:val="0"/>
                                                                      <w:marRight w:val="0"/>
                                                                      <w:marTop w:val="0"/>
                                                                      <w:marBottom w:val="0"/>
                                                                      <w:divBdr>
                                                                        <w:top w:val="none" w:sz="0" w:space="0" w:color="auto"/>
                                                                        <w:left w:val="none" w:sz="0" w:space="0" w:color="auto"/>
                                                                        <w:bottom w:val="none" w:sz="0" w:space="0" w:color="auto"/>
                                                                        <w:right w:val="none" w:sz="0" w:space="0" w:color="auto"/>
                                                                      </w:divBdr>
                                                                      <w:divsChild>
                                                                        <w:div w:id="876771431">
                                                                          <w:marLeft w:val="0"/>
                                                                          <w:marRight w:val="0"/>
                                                                          <w:marTop w:val="0"/>
                                                                          <w:marBottom w:val="0"/>
                                                                          <w:divBdr>
                                                                            <w:top w:val="none" w:sz="0" w:space="0" w:color="auto"/>
                                                                            <w:left w:val="none" w:sz="0" w:space="0" w:color="auto"/>
                                                                            <w:bottom w:val="none" w:sz="0" w:space="0" w:color="auto"/>
                                                                            <w:right w:val="none" w:sz="0" w:space="0" w:color="auto"/>
                                                                          </w:divBdr>
                                                                          <w:divsChild>
                                                                            <w:div w:id="363554568">
                                                                              <w:marLeft w:val="0"/>
                                                                              <w:marRight w:val="0"/>
                                                                              <w:marTop w:val="0"/>
                                                                              <w:marBottom w:val="0"/>
                                                                              <w:divBdr>
                                                                                <w:top w:val="none" w:sz="0" w:space="0" w:color="auto"/>
                                                                                <w:left w:val="none" w:sz="0" w:space="0" w:color="auto"/>
                                                                                <w:bottom w:val="none" w:sz="0" w:space="0" w:color="auto"/>
                                                                                <w:right w:val="none" w:sz="0" w:space="0" w:color="auto"/>
                                                                              </w:divBdr>
                                                                              <w:divsChild>
                                                                                <w:div w:id="97601428">
                                                                                  <w:marLeft w:val="0"/>
                                                                                  <w:marRight w:val="0"/>
                                                                                  <w:marTop w:val="0"/>
                                                                                  <w:marBottom w:val="0"/>
                                                                                  <w:divBdr>
                                                                                    <w:top w:val="none" w:sz="0" w:space="0" w:color="auto"/>
                                                                                    <w:left w:val="none" w:sz="0" w:space="0" w:color="auto"/>
                                                                                    <w:bottom w:val="none" w:sz="0" w:space="0" w:color="auto"/>
                                                                                    <w:right w:val="none" w:sz="0" w:space="0" w:color="auto"/>
                                                                                  </w:divBdr>
                                                                                  <w:divsChild>
                                                                                    <w:div w:id="1427536855">
                                                                                      <w:marLeft w:val="0"/>
                                                                                      <w:marRight w:val="0"/>
                                                                                      <w:marTop w:val="0"/>
                                                                                      <w:marBottom w:val="0"/>
                                                                                      <w:divBdr>
                                                                                        <w:top w:val="single" w:sz="6" w:space="0" w:color="A7B3BD"/>
                                                                                        <w:left w:val="none" w:sz="0" w:space="0" w:color="auto"/>
                                                                                        <w:bottom w:val="none" w:sz="0" w:space="0" w:color="auto"/>
                                                                                        <w:right w:val="none" w:sz="0" w:space="0" w:color="auto"/>
                                                                                      </w:divBdr>
                                                                                      <w:divsChild>
                                                                                        <w:div w:id="1849707985">
                                                                                          <w:marLeft w:val="0"/>
                                                                                          <w:marRight w:val="0"/>
                                                                                          <w:marTop w:val="0"/>
                                                                                          <w:marBottom w:val="0"/>
                                                                                          <w:divBdr>
                                                                                            <w:top w:val="none" w:sz="0" w:space="0" w:color="auto"/>
                                                                                            <w:left w:val="none" w:sz="0" w:space="0" w:color="auto"/>
                                                                                            <w:bottom w:val="none" w:sz="0" w:space="0" w:color="auto"/>
                                                                                            <w:right w:val="none" w:sz="0" w:space="0" w:color="auto"/>
                                                                                          </w:divBdr>
                                                                                        </w:div>
                                                                                        <w:div w:id="18381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832689">
      <w:bodyDiv w:val="1"/>
      <w:marLeft w:val="0"/>
      <w:marRight w:val="0"/>
      <w:marTop w:val="0"/>
      <w:marBottom w:val="0"/>
      <w:divBdr>
        <w:top w:val="none" w:sz="0" w:space="0" w:color="auto"/>
        <w:left w:val="none" w:sz="0" w:space="0" w:color="auto"/>
        <w:bottom w:val="none" w:sz="0" w:space="0" w:color="auto"/>
        <w:right w:val="none" w:sz="0" w:space="0" w:color="auto"/>
      </w:divBdr>
    </w:div>
    <w:div w:id="1179663945">
      <w:bodyDiv w:val="1"/>
      <w:marLeft w:val="0"/>
      <w:marRight w:val="0"/>
      <w:marTop w:val="0"/>
      <w:marBottom w:val="0"/>
      <w:divBdr>
        <w:top w:val="none" w:sz="0" w:space="0" w:color="auto"/>
        <w:left w:val="none" w:sz="0" w:space="0" w:color="auto"/>
        <w:bottom w:val="none" w:sz="0" w:space="0" w:color="auto"/>
        <w:right w:val="none" w:sz="0" w:space="0" w:color="auto"/>
      </w:divBdr>
    </w:div>
    <w:div w:id="1184247538">
      <w:bodyDiv w:val="1"/>
      <w:marLeft w:val="0"/>
      <w:marRight w:val="0"/>
      <w:marTop w:val="0"/>
      <w:marBottom w:val="0"/>
      <w:divBdr>
        <w:top w:val="none" w:sz="0" w:space="0" w:color="auto"/>
        <w:left w:val="none" w:sz="0" w:space="0" w:color="auto"/>
        <w:bottom w:val="none" w:sz="0" w:space="0" w:color="auto"/>
        <w:right w:val="none" w:sz="0" w:space="0" w:color="auto"/>
      </w:divBdr>
      <w:divsChild>
        <w:div w:id="1782261381">
          <w:marLeft w:val="547"/>
          <w:marRight w:val="0"/>
          <w:marTop w:val="134"/>
          <w:marBottom w:val="0"/>
          <w:divBdr>
            <w:top w:val="none" w:sz="0" w:space="0" w:color="auto"/>
            <w:left w:val="none" w:sz="0" w:space="0" w:color="auto"/>
            <w:bottom w:val="none" w:sz="0" w:space="0" w:color="auto"/>
            <w:right w:val="none" w:sz="0" w:space="0" w:color="auto"/>
          </w:divBdr>
        </w:div>
        <w:div w:id="43679502">
          <w:marLeft w:val="1166"/>
          <w:marRight w:val="0"/>
          <w:marTop w:val="115"/>
          <w:marBottom w:val="0"/>
          <w:divBdr>
            <w:top w:val="none" w:sz="0" w:space="0" w:color="auto"/>
            <w:left w:val="none" w:sz="0" w:space="0" w:color="auto"/>
            <w:bottom w:val="none" w:sz="0" w:space="0" w:color="auto"/>
            <w:right w:val="none" w:sz="0" w:space="0" w:color="auto"/>
          </w:divBdr>
        </w:div>
        <w:div w:id="1075936534">
          <w:marLeft w:val="1166"/>
          <w:marRight w:val="0"/>
          <w:marTop w:val="115"/>
          <w:marBottom w:val="0"/>
          <w:divBdr>
            <w:top w:val="none" w:sz="0" w:space="0" w:color="auto"/>
            <w:left w:val="none" w:sz="0" w:space="0" w:color="auto"/>
            <w:bottom w:val="none" w:sz="0" w:space="0" w:color="auto"/>
            <w:right w:val="none" w:sz="0" w:space="0" w:color="auto"/>
          </w:divBdr>
        </w:div>
        <w:div w:id="1530752386">
          <w:marLeft w:val="1166"/>
          <w:marRight w:val="0"/>
          <w:marTop w:val="115"/>
          <w:marBottom w:val="0"/>
          <w:divBdr>
            <w:top w:val="none" w:sz="0" w:space="0" w:color="auto"/>
            <w:left w:val="none" w:sz="0" w:space="0" w:color="auto"/>
            <w:bottom w:val="none" w:sz="0" w:space="0" w:color="auto"/>
            <w:right w:val="none" w:sz="0" w:space="0" w:color="auto"/>
          </w:divBdr>
        </w:div>
        <w:div w:id="1164081409">
          <w:marLeft w:val="1166"/>
          <w:marRight w:val="0"/>
          <w:marTop w:val="115"/>
          <w:marBottom w:val="0"/>
          <w:divBdr>
            <w:top w:val="none" w:sz="0" w:space="0" w:color="auto"/>
            <w:left w:val="none" w:sz="0" w:space="0" w:color="auto"/>
            <w:bottom w:val="none" w:sz="0" w:space="0" w:color="auto"/>
            <w:right w:val="none" w:sz="0" w:space="0" w:color="auto"/>
          </w:divBdr>
        </w:div>
      </w:divsChild>
    </w:div>
    <w:div w:id="1349723038">
      <w:bodyDiv w:val="1"/>
      <w:marLeft w:val="0"/>
      <w:marRight w:val="0"/>
      <w:marTop w:val="0"/>
      <w:marBottom w:val="0"/>
      <w:divBdr>
        <w:top w:val="none" w:sz="0" w:space="0" w:color="auto"/>
        <w:left w:val="none" w:sz="0" w:space="0" w:color="auto"/>
        <w:bottom w:val="none" w:sz="0" w:space="0" w:color="auto"/>
        <w:right w:val="none" w:sz="0" w:space="0" w:color="auto"/>
      </w:divBdr>
      <w:divsChild>
        <w:div w:id="590747408">
          <w:marLeft w:val="0"/>
          <w:marRight w:val="0"/>
          <w:marTop w:val="0"/>
          <w:marBottom w:val="0"/>
          <w:divBdr>
            <w:top w:val="none" w:sz="0" w:space="0" w:color="auto"/>
            <w:left w:val="none" w:sz="0" w:space="0" w:color="auto"/>
            <w:bottom w:val="none" w:sz="0" w:space="0" w:color="auto"/>
            <w:right w:val="none" w:sz="0" w:space="0" w:color="auto"/>
          </w:divBdr>
          <w:divsChild>
            <w:div w:id="856696609">
              <w:marLeft w:val="0"/>
              <w:marRight w:val="0"/>
              <w:marTop w:val="0"/>
              <w:marBottom w:val="0"/>
              <w:divBdr>
                <w:top w:val="none" w:sz="0" w:space="0" w:color="auto"/>
                <w:left w:val="none" w:sz="0" w:space="0" w:color="auto"/>
                <w:bottom w:val="none" w:sz="0" w:space="0" w:color="auto"/>
                <w:right w:val="none" w:sz="0" w:space="0" w:color="auto"/>
              </w:divBdr>
              <w:divsChild>
                <w:div w:id="1046561718">
                  <w:marLeft w:val="0"/>
                  <w:marRight w:val="0"/>
                  <w:marTop w:val="0"/>
                  <w:marBottom w:val="0"/>
                  <w:divBdr>
                    <w:top w:val="none" w:sz="0" w:space="0" w:color="auto"/>
                    <w:left w:val="none" w:sz="0" w:space="0" w:color="auto"/>
                    <w:bottom w:val="none" w:sz="0" w:space="0" w:color="auto"/>
                    <w:right w:val="none" w:sz="0" w:space="0" w:color="auto"/>
                  </w:divBdr>
                  <w:divsChild>
                    <w:div w:id="961036754">
                      <w:marLeft w:val="0"/>
                      <w:marRight w:val="0"/>
                      <w:marTop w:val="0"/>
                      <w:marBottom w:val="0"/>
                      <w:divBdr>
                        <w:top w:val="none" w:sz="0" w:space="0" w:color="auto"/>
                        <w:left w:val="none" w:sz="0" w:space="0" w:color="auto"/>
                        <w:bottom w:val="none" w:sz="0" w:space="0" w:color="auto"/>
                        <w:right w:val="none" w:sz="0" w:space="0" w:color="auto"/>
                      </w:divBdr>
                      <w:divsChild>
                        <w:div w:id="710105829">
                          <w:marLeft w:val="0"/>
                          <w:marRight w:val="0"/>
                          <w:marTop w:val="0"/>
                          <w:marBottom w:val="0"/>
                          <w:divBdr>
                            <w:top w:val="none" w:sz="0" w:space="0" w:color="auto"/>
                            <w:left w:val="none" w:sz="0" w:space="0" w:color="auto"/>
                            <w:bottom w:val="none" w:sz="0" w:space="0" w:color="auto"/>
                            <w:right w:val="none" w:sz="0" w:space="0" w:color="auto"/>
                          </w:divBdr>
                          <w:divsChild>
                            <w:div w:id="1127891100">
                              <w:marLeft w:val="0"/>
                              <w:marRight w:val="0"/>
                              <w:marTop w:val="0"/>
                              <w:marBottom w:val="0"/>
                              <w:divBdr>
                                <w:top w:val="none" w:sz="0" w:space="0" w:color="auto"/>
                                <w:left w:val="none" w:sz="0" w:space="0" w:color="auto"/>
                                <w:bottom w:val="none" w:sz="0" w:space="0" w:color="auto"/>
                                <w:right w:val="none" w:sz="0" w:space="0" w:color="auto"/>
                              </w:divBdr>
                              <w:divsChild>
                                <w:div w:id="858814824">
                                  <w:marLeft w:val="0"/>
                                  <w:marRight w:val="0"/>
                                  <w:marTop w:val="0"/>
                                  <w:marBottom w:val="0"/>
                                  <w:divBdr>
                                    <w:top w:val="none" w:sz="0" w:space="0" w:color="auto"/>
                                    <w:left w:val="none" w:sz="0" w:space="0" w:color="auto"/>
                                    <w:bottom w:val="none" w:sz="0" w:space="0" w:color="auto"/>
                                    <w:right w:val="single" w:sz="6" w:space="0" w:color="E5E3E3"/>
                                  </w:divBdr>
                                </w:div>
                              </w:divsChild>
                            </w:div>
                          </w:divsChild>
                        </w:div>
                      </w:divsChild>
                    </w:div>
                  </w:divsChild>
                </w:div>
              </w:divsChild>
            </w:div>
          </w:divsChild>
        </w:div>
      </w:divsChild>
    </w:div>
    <w:div w:id="1484810536">
      <w:bodyDiv w:val="1"/>
      <w:marLeft w:val="0"/>
      <w:marRight w:val="0"/>
      <w:marTop w:val="0"/>
      <w:marBottom w:val="0"/>
      <w:divBdr>
        <w:top w:val="none" w:sz="0" w:space="0" w:color="auto"/>
        <w:left w:val="none" w:sz="0" w:space="0" w:color="auto"/>
        <w:bottom w:val="none" w:sz="0" w:space="0" w:color="auto"/>
        <w:right w:val="none" w:sz="0" w:space="0" w:color="auto"/>
      </w:divBdr>
    </w:div>
    <w:div w:id="1590040146">
      <w:bodyDiv w:val="1"/>
      <w:marLeft w:val="0"/>
      <w:marRight w:val="0"/>
      <w:marTop w:val="0"/>
      <w:marBottom w:val="0"/>
      <w:divBdr>
        <w:top w:val="none" w:sz="0" w:space="0" w:color="auto"/>
        <w:left w:val="none" w:sz="0" w:space="0" w:color="auto"/>
        <w:bottom w:val="none" w:sz="0" w:space="0" w:color="auto"/>
        <w:right w:val="none" w:sz="0" w:space="0" w:color="auto"/>
      </w:divBdr>
    </w:div>
    <w:div w:id="1880512211">
      <w:bodyDiv w:val="1"/>
      <w:marLeft w:val="0"/>
      <w:marRight w:val="0"/>
      <w:marTop w:val="0"/>
      <w:marBottom w:val="0"/>
      <w:divBdr>
        <w:top w:val="none" w:sz="0" w:space="0" w:color="auto"/>
        <w:left w:val="none" w:sz="0" w:space="0" w:color="auto"/>
        <w:bottom w:val="none" w:sz="0" w:space="0" w:color="auto"/>
        <w:right w:val="none" w:sz="0" w:space="0" w:color="auto"/>
      </w:divBdr>
    </w:div>
    <w:div w:id="1972321929">
      <w:bodyDiv w:val="1"/>
      <w:marLeft w:val="0"/>
      <w:marRight w:val="0"/>
      <w:marTop w:val="0"/>
      <w:marBottom w:val="0"/>
      <w:divBdr>
        <w:top w:val="none" w:sz="0" w:space="0" w:color="auto"/>
        <w:left w:val="none" w:sz="0" w:space="0" w:color="auto"/>
        <w:bottom w:val="none" w:sz="0" w:space="0" w:color="auto"/>
        <w:right w:val="none" w:sz="0" w:space="0" w:color="auto"/>
      </w:divBdr>
    </w:div>
    <w:div w:id="20305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rograms-surveys/ah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sus.gov/prod/2012pubs/p60-2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40D1-5CFC-4A4F-9F41-E9A48E32A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6135</Words>
  <Characters>34201</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40256</CharactersWithSpaces>
  <SharedDoc>false</SharedDoc>
  <HLinks>
    <vt:vector size="6" baseType="variant">
      <vt:variant>
        <vt:i4>2228343</vt:i4>
      </vt:variant>
      <vt:variant>
        <vt:i4>2</vt:i4>
      </vt:variant>
      <vt:variant>
        <vt:i4>0</vt:i4>
      </vt:variant>
      <vt:variant>
        <vt:i4>5</vt:i4>
      </vt:variant>
      <vt:variant>
        <vt:lpwstr>http://www.census.gov/hhes/www/housing/ahs/bib.html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Bureau of the Census</dc:creator>
  <cp:lastModifiedBy>Anna Guido</cp:lastModifiedBy>
  <cp:revision>2</cp:revision>
  <cp:lastPrinted>2018-07-23T19:50:00Z</cp:lastPrinted>
  <dcterms:created xsi:type="dcterms:W3CDTF">2020-12-03T13:20:00Z</dcterms:created>
  <dcterms:modified xsi:type="dcterms:W3CDTF">2020-12-03T13:20:00Z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