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51139" w:rsidR="00785668" w:rsidP="00CE6EFE" w:rsidRDefault="00CE6EFE" w14:paraId="46F39BCF" w14:textId="1C8872EC">
      <w:pPr>
        <w:pStyle w:val="NoSpacing"/>
        <w:jc w:val="center"/>
        <w:rPr>
          <w:b/>
        </w:rPr>
      </w:pPr>
      <w:r w:rsidRPr="00351139">
        <w:rPr>
          <w:b/>
        </w:rPr>
        <w:t>Supporting Statement for Paperwork Reduction Act Submission</w:t>
      </w:r>
    </w:p>
    <w:p w:rsidRPr="00351139" w:rsidR="00785668" w:rsidP="00CE6EFE" w:rsidRDefault="00785668" w14:paraId="3380C823" w14:textId="7663BAA4">
      <w:pPr>
        <w:pStyle w:val="NoSpacing"/>
        <w:jc w:val="center"/>
        <w:rPr>
          <w:b/>
        </w:rPr>
      </w:pPr>
      <w:r w:rsidRPr="00351139">
        <w:rPr>
          <w:b/>
        </w:rPr>
        <w:t>Rental Housing Finance Survey (RHFS)</w:t>
      </w:r>
    </w:p>
    <w:p w:rsidRPr="00351139" w:rsidR="00351139" w:rsidP="00CE6EFE" w:rsidRDefault="00351139" w14:paraId="6AFC0D20" w14:textId="3B4675B0">
      <w:pPr>
        <w:pStyle w:val="NoSpacing"/>
        <w:jc w:val="center"/>
        <w:rPr>
          <w:b/>
        </w:rPr>
      </w:pPr>
      <w:r w:rsidRPr="00351139">
        <w:rPr>
          <w:b/>
        </w:rPr>
        <w:t>OMB Number: 2528-0276</w:t>
      </w:r>
    </w:p>
    <w:p w:rsidRPr="00785668" w:rsidR="00785668" w:rsidP="00CE6EFE" w:rsidRDefault="00785668" w14:paraId="6E8AC45F" w14:textId="77777777">
      <w:pPr>
        <w:pStyle w:val="NoSpacing"/>
        <w:jc w:val="center"/>
        <w:rPr>
          <w:b/>
        </w:rPr>
      </w:pPr>
    </w:p>
    <w:p w:rsidR="00785668" w:rsidRDefault="00785668" w14:paraId="5C9C72A9" w14:textId="5EDB6F2C">
      <w:pPr>
        <w:rPr>
          <w:b/>
          <w:bCs/>
        </w:rPr>
      </w:pPr>
    </w:p>
    <w:p w:rsidRPr="00785668" w:rsidR="000B2AB7" w:rsidRDefault="00785668" w14:paraId="78E7AADD" w14:textId="77777777">
      <w:r>
        <w:rPr>
          <w:b/>
          <w:bCs/>
        </w:rPr>
        <w:t xml:space="preserve">Part A: </w:t>
      </w:r>
      <w:r>
        <w:rPr>
          <w:b/>
          <w:bCs/>
        </w:rPr>
        <w:tab/>
        <w:t>Justification</w:t>
      </w:r>
    </w:p>
    <w:p w:rsidR="000B2AB7" w:rsidRDefault="000B2AB7" w14:paraId="6A92C895" w14:textId="77777777"/>
    <w:p w:rsidR="0053075F" w:rsidP="0053075F" w:rsidRDefault="000963B9" w14:paraId="1C25F657" w14:textId="77777777">
      <w:pPr>
        <w:numPr>
          <w:ilvl w:val="0"/>
          <w:numId w:val="11"/>
        </w:numPr>
        <w:tabs>
          <w:tab w:val="clear" w:pos="360"/>
          <w:tab w:val="num" w:pos="720"/>
        </w:tabs>
        <w:ind w:left="720" w:hanging="720"/>
        <w:rPr>
          <w:b/>
          <w:u w:val="single"/>
        </w:rPr>
      </w:pPr>
      <w:r>
        <w:rPr>
          <w:b/>
          <w:u w:val="single"/>
        </w:rPr>
        <w:t>Necessity of Information Collection</w:t>
      </w:r>
    </w:p>
    <w:p w:rsidR="0053075F" w:rsidP="0053075F" w:rsidRDefault="0053075F" w14:paraId="776824E5" w14:textId="77777777">
      <w:pPr>
        <w:ind w:left="720"/>
        <w:rPr>
          <w:b/>
          <w:u w:val="single"/>
        </w:rPr>
      </w:pPr>
    </w:p>
    <w:p w:rsidRPr="00C42BEE" w:rsidR="0053075F" w:rsidP="00C42BEE" w:rsidRDefault="002221D8" w14:paraId="36EF5D05" w14:textId="2A4F62DE">
      <w:pPr>
        <w:ind w:left="720"/>
      </w:pPr>
      <w:r>
        <w:t>The U.S. Department of Housing and Urban Development (</w:t>
      </w:r>
      <w:r w:rsidRPr="00C42BEE" w:rsidR="00C42BEE">
        <w:t>HUD</w:t>
      </w:r>
      <w:r>
        <w:t xml:space="preserve">) </w:t>
      </w:r>
      <w:r w:rsidRPr="00C42BEE" w:rsidR="0053075F">
        <w:t>request</w:t>
      </w:r>
      <w:r w:rsidRPr="00C42BEE" w:rsidR="00C42BEE">
        <w:t>s</w:t>
      </w:r>
      <w:r w:rsidRPr="00C42BEE" w:rsidR="0053075F">
        <w:t xml:space="preserve"> clearance for the proposed questions to be used on the 20</w:t>
      </w:r>
      <w:r w:rsidR="00701A1F">
        <w:t>21</w:t>
      </w:r>
      <w:r w:rsidRPr="00C42BEE" w:rsidR="0053075F">
        <w:t xml:space="preserve"> Rental </w:t>
      </w:r>
      <w:r w:rsidRPr="00C42BEE" w:rsidR="00C42BEE">
        <w:t>H</w:t>
      </w:r>
      <w:r w:rsidRPr="00C42BEE" w:rsidR="0053075F">
        <w:t>ousing</w:t>
      </w:r>
      <w:r w:rsidR="00C42BEE">
        <w:t xml:space="preserve"> </w:t>
      </w:r>
      <w:r w:rsidRPr="00C42BEE" w:rsidR="0053075F">
        <w:t xml:space="preserve">Finance Survey (RHFS).  </w:t>
      </w:r>
      <w:r w:rsidR="00C42BEE">
        <w:t>D</w:t>
      </w:r>
      <w:r w:rsidRPr="00C42BEE" w:rsidR="0053075F">
        <w:t xml:space="preserve">ata </w:t>
      </w:r>
      <w:r w:rsidRPr="00C42BEE" w:rsidR="00835766">
        <w:t xml:space="preserve">collection </w:t>
      </w:r>
      <w:r w:rsidR="00C42BEE">
        <w:t xml:space="preserve">will occur </w:t>
      </w:r>
      <w:r w:rsidRPr="00C42BEE" w:rsidR="0053075F">
        <w:t>between</w:t>
      </w:r>
      <w:r w:rsidRPr="00C42BEE" w:rsidR="00D75FDE">
        <w:t xml:space="preserve"> </w:t>
      </w:r>
      <w:r w:rsidR="00F077EA">
        <w:t>June 2</w:t>
      </w:r>
      <w:r w:rsidR="00E472A6">
        <w:t>4</w:t>
      </w:r>
      <w:r w:rsidR="00B95F83">
        <w:t>,</w:t>
      </w:r>
      <w:r w:rsidR="00F077EA">
        <w:t xml:space="preserve"> </w:t>
      </w:r>
      <w:r w:rsidRPr="00E2016F" w:rsidR="00F077EA">
        <w:t>2021</w:t>
      </w:r>
      <w:r w:rsidRPr="00E2016F" w:rsidR="006166BD">
        <w:t xml:space="preserve"> </w:t>
      </w:r>
      <w:r w:rsidRPr="00E2016F" w:rsidR="00D75FDE">
        <w:t>and</w:t>
      </w:r>
      <w:r w:rsidRPr="00E2016F" w:rsidR="001C30D6">
        <w:t xml:space="preserve"> </w:t>
      </w:r>
      <w:r w:rsidRPr="00E2016F" w:rsidR="00AC3EBC">
        <w:t xml:space="preserve">November </w:t>
      </w:r>
      <w:r w:rsidRPr="00E2016F" w:rsidR="00540465">
        <w:t>30, 20</w:t>
      </w:r>
      <w:r w:rsidRPr="00E2016F" w:rsidR="00AC3EBC">
        <w:t>2</w:t>
      </w:r>
      <w:r w:rsidRPr="00E2016F" w:rsidR="00F077EA">
        <w:t>1</w:t>
      </w:r>
      <w:r w:rsidRPr="00E2016F" w:rsidR="0053075F">
        <w:t>.</w:t>
      </w:r>
      <w:r w:rsidRPr="00C42BEE" w:rsidR="0053075F">
        <w:t xml:space="preserve">  </w:t>
      </w:r>
    </w:p>
    <w:p w:rsidRPr="00C42BEE" w:rsidR="0053075F" w:rsidP="00C42BEE" w:rsidRDefault="0053075F" w14:paraId="17D04A3B" w14:textId="77777777">
      <w:pPr>
        <w:ind w:left="720"/>
      </w:pPr>
    </w:p>
    <w:p w:rsidRPr="00C42BEE" w:rsidR="0053075F" w:rsidP="00C42BEE" w:rsidRDefault="0053075F" w14:paraId="2CBC82DD" w14:textId="3718593D">
      <w:pPr>
        <w:ind w:left="720"/>
      </w:pPr>
      <w:r w:rsidRPr="00C42BEE">
        <w:t xml:space="preserve">Estimates derived from the RHFS sample will help public and private stakeholders better understand the financing, operating costs, and property characteristics of the rental housing stock in the United States.  Many of the questions are </w:t>
      </w:r>
      <w:proofErr w:type="gramStart"/>
      <w:r w:rsidRPr="00C42BEE">
        <w:t>similar to</w:t>
      </w:r>
      <w:proofErr w:type="gramEnd"/>
      <w:r w:rsidRPr="00C42BEE">
        <w:t xml:space="preserve"> those found on the 1995 Property Owners and Managers Survey</w:t>
      </w:r>
      <w:r w:rsidRPr="00C42BEE" w:rsidR="00D16B98">
        <w:t>,</w:t>
      </w:r>
      <w:r w:rsidRPr="00C42BEE">
        <w:t xml:space="preserve"> the rental housing portion of the </w:t>
      </w:r>
      <w:r w:rsidRPr="00C42BEE" w:rsidR="00C074AE">
        <w:t>2001</w:t>
      </w:r>
      <w:r w:rsidRPr="00C42BEE">
        <w:t xml:space="preserve"> Residential Finance Survey</w:t>
      </w:r>
      <w:r w:rsidRPr="00C42BEE" w:rsidR="00966FAB">
        <w:t>,</w:t>
      </w:r>
      <w:r w:rsidRPr="00C42BEE" w:rsidR="00D16B98">
        <w:t xml:space="preserve"> and the 2012</w:t>
      </w:r>
      <w:r w:rsidR="006166BD">
        <w:t xml:space="preserve">, </w:t>
      </w:r>
      <w:r w:rsidRPr="00C42BEE" w:rsidR="00540465">
        <w:t>2015</w:t>
      </w:r>
      <w:r w:rsidR="006166BD">
        <w:t>, and 2018</w:t>
      </w:r>
      <w:r w:rsidRPr="00C42BEE" w:rsidR="00540465">
        <w:t xml:space="preserve"> </w:t>
      </w:r>
      <w:r w:rsidR="00D84932">
        <w:t>RHFS</w:t>
      </w:r>
      <w:r w:rsidRPr="00C42BEE" w:rsidR="00D16B98">
        <w:t>.</w:t>
      </w:r>
      <w:r w:rsidRPr="00C42BEE">
        <w:t xml:space="preserve">  </w:t>
      </w:r>
    </w:p>
    <w:p w:rsidRPr="00C42BEE" w:rsidR="0053075F" w:rsidP="00C42BEE" w:rsidRDefault="0053075F" w14:paraId="56F5326C" w14:textId="77777777">
      <w:pPr>
        <w:ind w:left="720"/>
      </w:pPr>
    </w:p>
    <w:p w:rsidR="0053075F" w:rsidP="00C42BEE" w:rsidRDefault="0053075F" w14:paraId="179C46C8" w14:textId="6EF0E35D">
      <w:pPr>
        <w:ind w:left="720"/>
      </w:pPr>
      <w:r w:rsidRPr="00C42BEE">
        <w:t xml:space="preserve">Title 12, United States Code, Sections 1701z-1, 1701z-2(g), and 1701z-10a provide authority to collect this information.  </w:t>
      </w:r>
      <w:r w:rsidRPr="00C42BEE" w:rsidR="00D57D3A">
        <w:t>Title 13, U.S.C., Section 8b provides the U.S. Census Bureau authority to collect this information for HUD.  The collected data will be protected by the confidentiality provisions of Title 13, U.S.C., Section 9.</w:t>
      </w:r>
    </w:p>
    <w:p w:rsidR="00CC7A46" w:rsidP="00C42BEE" w:rsidRDefault="00CC7A46" w14:paraId="44626612" w14:textId="0DF29716">
      <w:pPr>
        <w:ind w:left="720"/>
      </w:pPr>
    </w:p>
    <w:p w:rsidR="00CC7A46" w:rsidP="00C42BEE" w:rsidRDefault="00CC7A46" w14:paraId="2E9AD29A" w14:textId="2C628F01">
      <w:pPr>
        <w:ind w:left="720"/>
      </w:pPr>
      <w:r>
        <w:t>The 20</w:t>
      </w:r>
      <w:r w:rsidR="00AC3EBC">
        <w:t>21</w:t>
      </w:r>
      <w:r>
        <w:t xml:space="preserve"> </w:t>
      </w:r>
      <w:r w:rsidR="001F7CAD">
        <w:t>RHFS</w:t>
      </w:r>
      <w:r>
        <w:t xml:space="preserve"> questionnaire content </w:t>
      </w:r>
      <w:r w:rsidR="001F7CAD">
        <w:t xml:space="preserve">is substantially </w:t>
      </w:r>
      <w:proofErr w:type="gramStart"/>
      <w:r>
        <w:t>similar to</w:t>
      </w:r>
      <w:proofErr w:type="gramEnd"/>
      <w:r>
        <w:t xml:space="preserve"> the 201</w:t>
      </w:r>
      <w:r w:rsidR="00AC3EBC">
        <w:t>8</w:t>
      </w:r>
      <w:r>
        <w:t xml:space="preserve"> </w:t>
      </w:r>
      <w:r w:rsidR="001F7CAD">
        <w:t>RHFS questionnaire,</w:t>
      </w:r>
      <w:r>
        <w:t xml:space="preserve"> with the following </w:t>
      </w:r>
      <w:r w:rsidR="00C812AC">
        <w:t>four</w:t>
      </w:r>
      <w:r w:rsidR="001F7CAD">
        <w:t xml:space="preserve"> </w:t>
      </w:r>
      <w:r>
        <w:t>exceptions:</w:t>
      </w:r>
    </w:p>
    <w:p w:rsidR="001F7CAD" w:rsidP="00C42BEE" w:rsidRDefault="001F7CAD" w14:paraId="1E68CE83" w14:textId="35C73482">
      <w:pPr>
        <w:ind w:left="720"/>
      </w:pPr>
    </w:p>
    <w:p w:rsidR="001F7CAD" w:rsidP="001F7CAD" w:rsidRDefault="001F7CAD" w14:paraId="36362C8E" w14:textId="6C439F08">
      <w:pPr>
        <w:pStyle w:val="ListParagraph"/>
        <w:numPr>
          <w:ilvl w:val="0"/>
          <w:numId w:val="30"/>
        </w:numPr>
      </w:pPr>
      <w:r>
        <w:rPr>
          <w:u w:val="single"/>
        </w:rPr>
        <w:t xml:space="preserve">Addition of </w:t>
      </w:r>
      <w:r w:rsidR="00AC3EBC">
        <w:rPr>
          <w:u w:val="single"/>
        </w:rPr>
        <w:t>one</w:t>
      </w:r>
      <w:r>
        <w:rPr>
          <w:u w:val="single"/>
        </w:rPr>
        <w:t xml:space="preserve"> question about </w:t>
      </w:r>
      <w:r w:rsidR="00AC3EBC">
        <w:rPr>
          <w:u w:val="single"/>
        </w:rPr>
        <w:t>capital reserves</w:t>
      </w:r>
      <w:r w:rsidRPr="001F7CAD">
        <w:rPr>
          <w:u w:val="single"/>
        </w:rPr>
        <w:t>:</w:t>
      </w:r>
      <w:r>
        <w:t xml:space="preserve">  This question will allow HUD to understand the </w:t>
      </w:r>
      <w:r w:rsidR="00AC3EBC">
        <w:t>amount of capital reserves for the rental property</w:t>
      </w:r>
      <w:r>
        <w:t xml:space="preserve">. HUD’s primary motivation for this question was </w:t>
      </w:r>
      <w:r w:rsidR="00AC3EBC">
        <w:t>to better understand the financial health of rental properties</w:t>
      </w:r>
      <w:r>
        <w:t>.</w:t>
      </w:r>
    </w:p>
    <w:p w:rsidR="001F7CAD" w:rsidP="001F7CAD" w:rsidRDefault="00AC3EBC" w14:paraId="4FEC1BA9" w14:textId="2B277F0A">
      <w:pPr>
        <w:pStyle w:val="ListParagraph"/>
        <w:numPr>
          <w:ilvl w:val="0"/>
          <w:numId w:val="30"/>
        </w:numPr>
      </w:pPr>
      <w:r>
        <w:rPr>
          <w:u w:val="single"/>
        </w:rPr>
        <w:t>Addition o</w:t>
      </w:r>
      <w:r w:rsidR="00C812AC">
        <w:rPr>
          <w:u w:val="single"/>
        </w:rPr>
        <w:t>f</w:t>
      </w:r>
      <w:r>
        <w:rPr>
          <w:u w:val="single"/>
        </w:rPr>
        <w:t xml:space="preserve"> one question about acceptance of Housing Choice Vouchers</w:t>
      </w:r>
      <w:r w:rsidRPr="001F7CAD" w:rsidR="001F7CAD">
        <w:rPr>
          <w:u w:val="single"/>
        </w:rPr>
        <w:t>:</w:t>
      </w:r>
      <w:r w:rsidR="001F7CAD">
        <w:t xml:space="preserve">  This question will allow HUD to understand </w:t>
      </w:r>
      <w:r>
        <w:t>if rental properties without tenants with Housing Choice Vouchers are explicitly choosing not to accept Housing Choice Vouchers</w:t>
      </w:r>
      <w:r w:rsidR="001F7CAD">
        <w:t xml:space="preserve">. HUD’s primary motivation for this question was </w:t>
      </w:r>
      <w:r w:rsidR="00FC27D6">
        <w:t xml:space="preserve">to better understand </w:t>
      </w:r>
      <w:r>
        <w:t>the potential supply of rental units willing to accept Housing Choice Vouchers</w:t>
      </w:r>
      <w:r w:rsidR="001F7CAD">
        <w:t>.</w:t>
      </w:r>
    </w:p>
    <w:p w:rsidR="006166BD" w:rsidP="001F7CAD" w:rsidRDefault="006166BD" w14:paraId="15A88BBC" w14:textId="03C63A12">
      <w:pPr>
        <w:pStyle w:val="ListParagraph"/>
        <w:numPr>
          <w:ilvl w:val="0"/>
          <w:numId w:val="30"/>
        </w:numPr>
      </w:pPr>
      <w:r w:rsidRPr="006166BD">
        <w:rPr>
          <w:u w:val="single"/>
        </w:rPr>
        <w:t>Remov</w:t>
      </w:r>
      <w:r>
        <w:rPr>
          <w:u w:val="single"/>
        </w:rPr>
        <w:t>al</w:t>
      </w:r>
      <w:r w:rsidRPr="006166BD">
        <w:rPr>
          <w:u w:val="single"/>
        </w:rPr>
        <w:t xml:space="preserve"> of question about </w:t>
      </w:r>
      <w:proofErr w:type="gramStart"/>
      <w:r w:rsidRPr="006166BD">
        <w:rPr>
          <w:u w:val="single"/>
        </w:rPr>
        <w:t>federally-back</w:t>
      </w:r>
      <w:proofErr w:type="gramEnd"/>
      <w:r w:rsidRPr="006166BD">
        <w:rPr>
          <w:u w:val="single"/>
        </w:rPr>
        <w:t xml:space="preserve"> mortgages</w:t>
      </w:r>
      <w:r>
        <w:t xml:space="preserve">: HUD removed a question about whether mortgages were guaranteed or </w:t>
      </w:r>
      <w:r w:rsidRPr="006166BD">
        <w:t>securitized</w:t>
      </w:r>
      <w:r>
        <w:t xml:space="preserve"> by the federal government. HUD internal analysis revealed these questions were not yielding accurate data.</w:t>
      </w:r>
    </w:p>
    <w:p w:rsidR="006166BD" w:rsidP="001F7CAD" w:rsidRDefault="006166BD" w14:paraId="596B6ED8" w14:textId="12605CFB">
      <w:pPr>
        <w:pStyle w:val="ListParagraph"/>
        <w:numPr>
          <w:ilvl w:val="0"/>
          <w:numId w:val="30"/>
        </w:numPr>
      </w:pPr>
      <w:r w:rsidRPr="00C812AC">
        <w:rPr>
          <w:u w:val="single"/>
        </w:rPr>
        <w:t>Removal of questions about mortgage interest rates</w:t>
      </w:r>
      <w:r>
        <w:t>: HUD removed a short series of questions about mortgage interest rate details. HUD internal analysis revealed respondents often did not know the answers to these questions.</w:t>
      </w:r>
    </w:p>
    <w:p w:rsidR="0053075F" w:rsidP="0053075F" w:rsidRDefault="0053075F" w14:paraId="61542F8F" w14:textId="39A29520">
      <w:pPr>
        <w:ind w:left="720"/>
        <w:rPr>
          <w:b/>
          <w:u w:val="single"/>
        </w:rPr>
      </w:pPr>
    </w:p>
    <w:p w:rsidR="0053075F" w:rsidP="0053075F" w:rsidRDefault="0053075F" w14:paraId="75B17709" w14:textId="77777777">
      <w:pPr>
        <w:numPr>
          <w:ilvl w:val="0"/>
          <w:numId w:val="11"/>
        </w:numPr>
        <w:tabs>
          <w:tab w:val="clear" w:pos="360"/>
          <w:tab w:val="num" w:pos="720"/>
        </w:tabs>
        <w:ind w:left="720" w:hanging="720"/>
        <w:rPr>
          <w:b/>
          <w:u w:val="single"/>
        </w:rPr>
      </w:pPr>
      <w:r>
        <w:rPr>
          <w:b/>
          <w:u w:val="single"/>
        </w:rPr>
        <w:t>Needs and Uses</w:t>
      </w:r>
    </w:p>
    <w:p w:rsidR="0053075F" w:rsidP="0053075F" w:rsidRDefault="0053075F" w14:paraId="3430784D" w14:textId="77777777">
      <w:pPr>
        <w:ind w:left="720"/>
        <w:rPr>
          <w:b/>
          <w:u w:val="single"/>
        </w:rPr>
      </w:pPr>
    </w:p>
    <w:p w:rsidR="0053075F" w:rsidP="0053075F" w:rsidRDefault="00D84932" w14:paraId="4283E855" w14:textId="769A0FE3">
      <w:pPr>
        <w:pStyle w:val="BodyTextIndent"/>
        <w:ind w:left="720"/>
      </w:pPr>
      <w:r>
        <w:t xml:space="preserve">For </w:t>
      </w:r>
      <w:r w:rsidR="0053075F">
        <w:t>RHFS</w:t>
      </w:r>
      <w:r>
        <w:t xml:space="preserve">, the </w:t>
      </w:r>
      <w:r w:rsidRPr="00C42BEE">
        <w:t>Census Bureau</w:t>
      </w:r>
      <w:r w:rsidR="0053075F">
        <w:t xml:space="preserve"> interviews owners and managers of rental properties.  When </w:t>
      </w:r>
      <w:r w:rsidR="00C42BEE">
        <w:t>possible,</w:t>
      </w:r>
      <w:r w:rsidR="0053075F">
        <w:t xml:space="preserve"> </w:t>
      </w:r>
      <w:r>
        <w:t xml:space="preserve">the </w:t>
      </w:r>
      <w:r w:rsidRPr="00C42BEE">
        <w:t>Census Bureau</w:t>
      </w:r>
      <w:r w:rsidR="0053075F">
        <w:t xml:space="preserve"> will </w:t>
      </w:r>
      <w:r w:rsidR="00C42BEE">
        <w:t>attempt</w:t>
      </w:r>
      <w:r w:rsidR="0053075F">
        <w:t xml:space="preserve"> to interview property owners, the entity </w:t>
      </w:r>
      <w:r w:rsidR="0053075F">
        <w:lastRenderedPageBreak/>
        <w:t xml:space="preserve">liable for the financial disposition of properties.  If an owner cannot be identified or reached, </w:t>
      </w:r>
      <w:r>
        <w:t xml:space="preserve">the </w:t>
      </w:r>
      <w:r w:rsidRPr="00C42BEE">
        <w:t>Census Bureau</w:t>
      </w:r>
      <w:r>
        <w:t xml:space="preserve"> </w:t>
      </w:r>
      <w:r w:rsidR="0053075F">
        <w:t xml:space="preserve">will interview the managers. At times, interviews with both owners and managers may have to be conducted </w:t>
      </w:r>
      <w:proofErr w:type="gramStart"/>
      <w:r w:rsidR="0053075F">
        <w:t>in the course of</w:t>
      </w:r>
      <w:proofErr w:type="gramEnd"/>
      <w:r w:rsidR="0053075F">
        <w:t xml:space="preserve"> the survey, as each may possess </w:t>
      </w:r>
      <w:r w:rsidR="00F12BAE">
        <w:t xml:space="preserve">distinct portions of </w:t>
      </w:r>
      <w:r w:rsidR="0053075F">
        <w:t>the necessary information to complete the survey.</w:t>
      </w:r>
    </w:p>
    <w:p w:rsidR="0053075F" w:rsidP="0053075F" w:rsidRDefault="0053075F" w14:paraId="5974CDDC" w14:textId="77777777">
      <w:pPr>
        <w:pStyle w:val="BodyTextIndent"/>
      </w:pPr>
    </w:p>
    <w:p w:rsidR="00C702BA" w:rsidP="00C702BA" w:rsidRDefault="00C702BA" w14:paraId="6D8D029B" w14:textId="77777777">
      <w:pPr>
        <w:pStyle w:val="Level1"/>
        <w:autoSpaceDE/>
        <w:autoSpaceDN/>
        <w:adjustRightInd/>
        <w:rPr>
          <w:rFonts w:ascii="Times New Roman" w:hAnsi="Times New Roman"/>
        </w:rPr>
      </w:pPr>
      <w:r>
        <w:rPr>
          <w:rFonts w:ascii="Times New Roman" w:hAnsi="Times New Roman"/>
        </w:rPr>
        <w:t xml:space="preserve">The Census Bureau’s first contact with the owner/manager will be an advance letter providing them with an overview of the survey, the interview procedure, types of questions covered, and confidentiality.  The Census Bureau anticipates only few respondents will ask for additional time to fill out the questionnaire.  Respondents will complete the survey using the Internet instrument hosted by the Centurion system.  </w:t>
      </w:r>
    </w:p>
    <w:p w:rsidR="00C702BA" w:rsidP="0053075F" w:rsidRDefault="00C702BA" w14:paraId="5C17B6E9" w14:textId="77777777">
      <w:pPr>
        <w:pStyle w:val="BodyTextIndent"/>
        <w:ind w:left="720"/>
      </w:pPr>
    </w:p>
    <w:p w:rsidR="0053075F" w:rsidP="0053075F" w:rsidRDefault="0053075F" w14:paraId="710A479C" w14:textId="2036B790">
      <w:pPr>
        <w:pStyle w:val="BodyTextIndent"/>
        <w:ind w:left="720"/>
      </w:pPr>
      <w:r>
        <w:t>Various stakeholders have great interest in the data that will be</w:t>
      </w:r>
      <w:r w:rsidR="004B3D01">
        <w:t xml:space="preserve"> collected through this survey.</w:t>
      </w:r>
      <w:r w:rsidR="00C533C5">
        <w:t xml:space="preserve"> </w:t>
      </w:r>
      <w:r>
        <w:t xml:space="preserve"> With these data, the survey sponsor</w:t>
      </w:r>
      <w:r>
        <w:rPr>
          <w:lang w:val="en-CA"/>
        </w:rPr>
        <w:t xml:space="preserve"> HUD, can gain a better understanding of </w:t>
      </w:r>
      <w:r w:rsidR="00F12BAE">
        <w:rPr>
          <w:lang w:val="en-CA"/>
        </w:rPr>
        <w:t xml:space="preserve">rental </w:t>
      </w:r>
      <w:r>
        <w:rPr>
          <w:lang w:val="en-CA"/>
        </w:rPr>
        <w:t>loan origination volumes, property characteristics associated with these originations, and operating cost and revenue characteristics for the rental housing stock in the United States.</w:t>
      </w:r>
      <w:r w:rsidR="00870483">
        <w:rPr>
          <w:lang w:val="en-CA"/>
        </w:rPr>
        <w:t xml:space="preserve"> </w:t>
      </w:r>
      <w:r>
        <w:rPr>
          <w:lang w:val="en-CA"/>
        </w:rPr>
        <w:t xml:space="preserve"> </w:t>
      </w:r>
      <w:r>
        <w:t xml:space="preserve">The RHFS will play an important role in enabling </w:t>
      </w:r>
      <w:r w:rsidR="00F12BAE">
        <w:t xml:space="preserve">the Federal Housing Finance Agency </w:t>
      </w:r>
      <w:r>
        <w:t xml:space="preserve">to fulfill its requirements to set affordable housing goals for the </w:t>
      </w:r>
      <w:r w:rsidR="009965B1">
        <w:t>G</w:t>
      </w:r>
      <w:r>
        <w:t>overnment-</w:t>
      </w:r>
      <w:r w:rsidR="002A4D85">
        <w:t>S</w:t>
      </w:r>
      <w:r>
        <w:t xml:space="preserve">ponsored </w:t>
      </w:r>
      <w:r w:rsidR="002A4D85">
        <w:t>E</w:t>
      </w:r>
      <w:r>
        <w:t xml:space="preserve">nterprises (GSEs) and to develop standards for </w:t>
      </w:r>
      <w:r w:rsidR="00E66B3D">
        <w:t>underwriting rental</w:t>
      </w:r>
      <w:r w:rsidR="00DA36C5">
        <w:t xml:space="preserve"> property</w:t>
      </w:r>
      <w:r w:rsidR="00B361CC">
        <w:t xml:space="preserve"> </w:t>
      </w:r>
      <w:r>
        <w:t xml:space="preserve">mortgages.  The RHFS data can be used to provide </w:t>
      </w:r>
      <w:r w:rsidR="000963B9">
        <w:t xml:space="preserve">a </w:t>
      </w:r>
      <w:r>
        <w:t xml:space="preserve">statistically representative picture of </w:t>
      </w:r>
      <w:r w:rsidR="00DA36C5">
        <w:t xml:space="preserve">rental property </w:t>
      </w:r>
      <w:r>
        <w:t>financing and critical components of the national income accounts.</w:t>
      </w:r>
    </w:p>
    <w:p w:rsidR="0053075F" w:rsidP="0053075F" w:rsidRDefault="0053075F" w14:paraId="326A31F2" w14:textId="77777777">
      <w:pPr>
        <w:ind w:left="1008"/>
      </w:pPr>
    </w:p>
    <w:p w:rsidR="0053075F" w:rsidP="0053075F" w:rsidRDefault="0053075F" w14:paraId="2F0AD793" w14:textId="77777777">
      <w:pPr>
        <w:ind w:left="720"/>
      </w:pPr>
      <w:r>
        <w:t xml:space="preserve">National and local policy analysts, program managers, budget analysts, and Congressional staff can use the RHFS data to advise </w:t>
      </w:r>
      <w:r w:rsidR="00EB6EA9">
        <w:t xml:space="preserve">the </w:t>
      </w:r>
      <w:r>
        <w:t>executive and legislative branches about financial characteristics of the rental housing stock in the United States and the suitability of public policy initiatives.</w:t>
      </w:r>
      <w:r w:rsidR="00870483">
        <w:t xml:space="preserve"> </w:t>
      </w:r>
      <w:r>
        <w:t xml:space="preserve"> The data will also help analysts to determine which properties take the most advantage of various government programs, and where changes to programs might be advisable.</w:t>
      </w:r>
    </w:p>
    <w:p w:rsidR="0053075F" w:rsidP="0053075F" w:rsidRDefault="0053075F" w14:paraId="4DFCE0E4" w14:textId="77777777">
      <w:pPr>
        <w:numPr>
          <w:ilvl w:val="12"/>
          <w:numId w:val="0"/>
        </w:numPr>
        <w:tabs>
          <w:tab w:val="left" w:pos="432"/>
          <w:tab w:val="left" w:pos="720"/>
          <w:tab w:val="left" w:pos="864"/>
          <w:tab w:val="left" w:pos="1022"/>
          <w:tab w:val="left" w:pos="1296"/>
          <w:tab w:val="left" w:pos="1728"/>
          <w:tab w:val="left" w:pos="2160"/>
        </w:tabs>
        <w:ind w:left="1022"/>
      </w:pPr>
    </w:p>
    <w:p w:rsidR="0053075F" w:rsidP="0053075F" w:rsidRDefault="0053075F" w14:paraId="794C7765" w14:textId="77777777">
      <w:pPr>
        <w:numPr>
          <w:ilvl w:val="12"/>
          <w:numId w:val="0"/>
        </w:numPr>
        <w:tabs>
          <w:tab w:val="left" w:pos="432"/>
          <w:tab w:val="left" w:pos="720"/>
          <w:tab w:val="left" w:pos="864"/>
          <w:tab w:val="left" w:pos="1022"/>
          <w:tab w:val="left" w:pos="1296"/>
          <w:tab w:val="left" w:pos="1728"/>
          <w:tab w:val="left" w:pos="2160"/>
        </w:tabs>
        <w:ind w:left="720"/>
      </w:pPr>
      <w:r>
        <w:t xml:space="preserve">Academic researchers and private organizations will use the RHFS data in efforts of specific interest and concern to their respective communities.  For example, no national data are available currently on such items such as </w:t>
      </w:r>
      <w:r w:rsidR="004926F4">
        <w:t xml:space="preserve">rent </w:t>
      </w:r>
      <w:r>
        <w:t xml:space="preserve">concessions and </w:t>
      </w:r>
      <w:r w:rsidR="004926F4">
        <w:t>expenses</w:t>
      </w:r>
      <w:r>
        <w:t xml:space="preserve"> on capital improvements. </w:t>
      </w:r>
    </w:p>
    <w:p w:rsidR="0053075F" w:rsidP="0053075F" w:rsidRDefault="0053075F" w14:paraId="058D6577" w14:textId="77777777">
      <w:pPr>
        <w:numPr>
          <w:ilvl w:val="12"/>
          <w:numId w:val="0"/>
        </w:numPr>
        <w:tabs>
          <w:tab w:val="left" w:pos="432"/>
          <w:tab w:val="left" w:pos="720"/>
          <w:tab w:val="left" w:pos="864"/>
          <w:tab w:val="left" w:pos="1022"/>
          <w:tab w:val="left" w:pos="1296"/>
          <w:tab w:val="left" w:pos="1728"/>
          <w:tab w:val="left" w:pos="2160"/>
        </w:tabs>
        <w:ind w:left="1022"/>
      </w:pPr>
    </w:p>
    <w:p w:rsidR="0053075F" w:rsidP="00BA51FB" w:rsidRDefault="0053075F" w14:paraId="1C7A3ECE" w14:textId="77777777">
      <w:pPr>
        <w:numPr>
          <w:ilvl w:val="12"/>
          <w:numId w:val="0"/>
        </w:numPr>
        <w:tabs>
          <w:tab w:val="left" w:pos="432"/>
          <w:tab w:val="left" w:pos="720"/>
          <w:tab w:val="left" w:pos="864"/>
          <w:tab w:val="left" w:pos="1022"/>
          <w:tab w:val="left" w:pos="1296"/>
          <w:tab w:val="left" w:pos="1728"/>
          <w:tab w:val="left" w:pos="2160"/>
        </w:tabs>
        <w:ind w:left="720"/>
      </w:pPr>
      <w:r>
        <w:t xml:space="preserve">The rental </w:t>
      </w:r>
      <w:r w:rsidR="00DA36C5">
        <w:t xml:space="preserve">housing </w:t>
      </w:r>
      <w:r>
        <w:t xml:space="preserve">industry will be able to use the data to benchmark </w:t>
      </w:r>
      <w:r w:rsidR="003F04E9">
        <w:t xml:space="preserve">individual project </w:t>
      </w:r>
      <w:r>
        <w:t xml:space="preserve">performance against national data to help them make better business decisions. </w:t>
      </w:r>
      <w:r w:rsidR="00870483">
        <w:t xml:space="preserve"> </w:t>
      </w:r>
      <w:r w:rsidR="00DA36C5">
        <w:t>R</w:t>
      </w:r>
      <w:r>
        <w:t xml:space="preserve">ental housing is critical to solving the nation’s affordable housing </w:t>
      </w:r>
      <w:r w:rsidR="003F04E9">
        <w:t>problems</w:t>
      </w:r>
      <w:r w:rsidR="00C074AE">
        <w:t xml:space="preserve">, and </w:t>
      </w:r>
      <w:r>
        <w:t xml:space="preserve">potential investors in </w:t>
      </w:r>
      <w:r w:rsidR="00C074AE">
        <w:t xml:space="preserve">the </w:t>
      </w:r>
      <w:r>
        <w:t xml:space="preserve">rental housing </w:t>
      </w:r>
      <w:r w:rsidR="00C074AE">
        <w:t xml:space="preserve">market </w:t>
      </w:r>
      <w:r>
        <w:t xml:space="preserve">will </w:t>
      </w:r>
      <w:r w:rsidR="00C074AE">
        <w:t>gain</w:t>
      </w:r>
      <w:r>
        <w:t xml:space="preserve"> a better </w:t>
      </w:r>
      <w:r w:rsidR="00C074AE">
        <w:t>understanding</w:t>
      </w:r>
      <w:r>
        <w:t xml:space="preserve"> of the ownership </w:t>
      </w:r>
      <w:r w:rsidR="00C074AE">
        <w:t xml:space="preserve">and financing </w:t>
      </w:r>
      <w:r>
        <w:t>structure</w:t>
      </w:r>
      <w:r w:rsidR="00C074AE">
        <w:t>s</w:t>
      </w:r>
      <w:r>
        <w:t xml:space="preserve"> of the industry with these data.</w:t>
      </w:r>
    </w:p>
    <w:p w:rsidR="0053075F" w:rsidP="0053075F" w:rsidRDefault="0053075F" w14:paraId="18C81DA2" w14:textId="77777777">
      <w:pPr>
        <w:numPr>
          <w:ilvl w:val="12"/>
          <w:numId w:val="0"/>
        </w:numPr>
        <w:tabs>
          <w:tab w:val="left" w:pos="432"/>
          <w:tab w:val="left" w:pos="720"/>
          <w:tab w:val="left" w:pos="864"/>
          <w:tab w:val="left" w:pos="1022"/>
          <w:tab w:val="left" w:pos="1296"/>
          <w:tab w:val="left" w:pos="1728"/>
          <w:tab w:val="left" w:pos="2160"/>
        </w:tabs>
        <w:ind w:left="1022"/>
      </w:pPr>
    </w:p>
    <w:p w:rsidRPr="008F6759" w:rsidR="0053075F" w:rsidP="007C6EEC" w:rsidRDefault="0053075F" w14:paraId="2B31C56D" w14:textId="1FF2B527">
      <w:pPr>
        <w:ind w:left="720"/>
        <w:rPr>
          <w:rFonts w:ascii="Shruti" w:hAnsi="Shruti" w:cs="Shruti"/>
        </w:rPr>
      </w:pPr>
      <w:r>
        <w:t>The Bureau of Economic Analysis (BEA) use</w:t>
      </w:r>
      <w:r w:rsidR="00AC3EBC">
        <w:t>s</w:t>
      </w:r>
      <w:r>
        <w:t xml:space="preserve"> the RHFS data in preparing key investment components in the National Income and Product Accounts (NIPAs) and the Fixed Assets Accounts (FAAs).  The specific data that the BEA anticipates </w:t>
      </w:r>
      <w:r w:rsidR="003032F9">
        <w:t xml:space="preserve">using </w:t>
      </w:r>
      <w:r>
        <w:t xml:space="preserve">are capital improvements, legal form of ownership, property types and rent concessions. </w:t>
      </w:r>
    </w:p>
    <w:p w:rsidR="0053075F" w:rsidP="0053075F" w:rsidRDefault="0053075F" w14:paraId="2F6FB307" w14:textId="77777777"/>
    <w:p w:rsidR="0053075F" w:rsidP="0053075F" w:rsidRDefault="0053075F" w14:paraId="6B33D182" w14:textId="09301591">
      <w:pPr>
        <w:ind w:left="720"/>
      </w:pPr>
      <w:r>
        <w:t>Information quality assessment is an integral part of the pre</w:t>
      </w:r>
      <w:r w:rsidR="00D84932">
        <w:t>-</w:t>
      </w:r>
      <w:r>
        <w:t>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53075F" w:rsidP="0053075F" w:rsidRDefault="0053075F" w14:paraId="3DF94A62" w14:textId="77777777">
      <w:pPr>
        <w:ind w:left="720"/>
        <w:rPr>
          <w:b/>
          <w:u w:val="single"/>
        </w:rPr>
      </w:pPr>
    </w:p>
    <w:p w:rsidR="0053075F" w:rsidP="0053075F" w:rsidRDefault="0053075F" w14:paraId="1FA769A5" w14:textId="77777777">
      <w:pPr>
        <w:numPr>
          <w:ilvl w:val="0"/>
          <w:numId w:val="11"/>
        </w:numPr>
        <w:tabs>
          <w:tab w:val="clear" w:pos="360"/>
          <w:tab w:val="num" w:pos="720"/>
        </w:tabs>
        <w:ind w:left="720" w:hanging="720"/>
        <w:rPr>
          <w:b/>
          <w:u w:val="single"/>
        </w:rPr>
      </w:pPr>
      <w:r>
        <w:rPr>
          <w:b/>
          <w:u w:val="single"/>
        </w:rPr>
        <w:t>Use of Information Technology</w:t>
      </w:r>
    </w:p>
    <w:p w:rsidR="00375E89" w:rsidP="00375E89" w:rsidRDefault="00375E89" w14:paraId="748CA2D3" w14:textId="77777777">
      <w:pPr>
        <w:numPr>
          <w:ilvl w:val="12"/>
          <w:numId w:val="0"/>
        </w:numPr>
        <w:tabs>
          <w:tab w:val="right" w:pos="9360"/>
        </w:tabs>
        <w:ind w:left="1022"/>
      </w:pPr>
    </w:p>
    <w:p w:rsidR="00375E89" w:rsidP="00B361CC" w:rsidRDefault="00375E89" w14:paraId="524F6838" w14:textId="77777777">
      <w:pPr>
        <w:numPr>
          <w:ilvl w:val="0"/>
          <w:numId w:val="13"/>
        </w:numPr>
        <w:tabs>
          <w:tab w:val="left" w:pos="432"/>
          <w:tab w:val="left" w:pos="720"/>
          <w:tab w:val="left" w:pos="864"/>
          <w:tab w:val="left" w:pos="1008"/>
          <w:tab w:val="left" w:pos="1296"/>
          <w:tab w:val="left" w:pos="1728"/>
          <w:tab w:val="left" w:pos="2160"/>
        </w:tabs>
      </w:pPr>
      <w:r w:rsidRPr="00411F77">
        <w:t>Data Collection</w:t>
      </w:r>
    </w:p>
    <w:p w:rsidR="00A71ED6" w:rsidP="00375E89" w:rsidRDefault="00A71ED6" w14:paraId="4B5E1804" w14:textId="77777777">
      <w:pPr>
        <w:pStyle w:val="BodyTextIndent2"/>
        <w:tabs>
          <w:tab w:val="left" w:pos="432"/>
          <w:tab w:val="left" w:pos="720"/>
          <w:tab w:val="left" w:pos="864"/>
          <w:tab w:val="left" w:pos="1008"/>
          <w:tab w:val="left" w:pos="1296"/>
          <w:tab w:val="left" w:pos="1368"/>
          <w:tab w:val="left" w:pos="1728"/>
          <w:tab w:val="left" w:pos="2160"/>
        </w:tabs>
      </w:pPr>
    </w:p>
    <w:p w:rsidRPr="00F06AB2" w:rsidR="00A71ED6" w:rsidP="00B361CC" w:rsidRDefault="00A71ED6" w14:paraId="73CC2BF7" w14:textId="29843B21">
      <w:pPr>
        <w:pStyle w:val="P1-StandPara"/>
        <w:spacing w:line="240" w:lineRule="auto"/>
        <w:ind w:left="1008" w:firstLine="0"/>
        <w:jc w:val="left"/>
        <w:rPr>
          <w:sz w:val="24"/>
          <w:szCs w:val="24"/>
        </w:rPr>
      </w:pPr>
      <w:r w:rsidRPr="00F06AB2">
        <w:rPr>
          <w:sz w:val="24"/>
          <w:szCs w:val="24"/>
        </w:rPr>
        <w:t xml:space="preserve">The </w:t>
      </w:r>
      <w:r w:rsidR="00D84932">
        <w:t xml:space="preserve">Census Bureau </w:t>
      </w:r>
      <w:r w:rsidRPr="00F06AB2">
        <w:rPr>
          <w:sz w:val="24"/>
          <w:szCs w:val="24"/>
        </w:rPr>
        <w:t>will collect the 20</w:t>
      </w:r>
      <w:r w:rsidR="00AC3EBC">
        <w:rPr>
          <w:sz w:val="24"/>
          <w:szCs w:val="24"/>
        </w:rPr>
        <w:t>21</w:t>
      </w:r>
      <w:r w:rsidRPr="00F06AB2">
        <w:rPr>
          <w:sz w:val="24"/>
          <w:szCs w:val="24"/>
        </w:rPr>
        <w:t xml:space="preserve"> RHFS data using </w:t>
      </w:r>
      <w:r w:rsidR="00AD513D">
        <w:rPr>
          <w:sz w:val="24"/>
          <w:szCs w:val="24"/>
        </w:rPr>
        <w:t xml:space="preserve">a </w:t>
      </w:r>
      <w:proofErr w:type="gramStart"/>
      <w:r w:rsidRPr="00F06AB2">
        <w:rPr>
          <w:sz w:val="24"/>
          <w:szCs w:val="24"/>
        </w:rPr>
        <w:t>web based</w:t>
      </w:r>
      <w:proofErr w:type="gramEnd"/>
      <w:r w:rsidRPr="00F06AB2">
        <w:rPr>
          <w:sz w:val="24"/>
          <w:szCs w:val="24"/>
        </w:rPr>
        <w:t xml:space="preserve"> application.</w:t>
      </w:r>
    </w:p>
    <w:p w:rsidRPr="00F06AB2" w:rsidR="00A71ED6" w:rsidP="00B361CC" w:rsidRDefault="00A71ED6" w14:paraId="7ABF8CC0" w14:textId="77777777">
      <w:pPr>
        <w:pStyle w:val="P1-StandPara"/>
        <w:spacing w:line="240" w:lineRule="auto"/>
        <w:ind w:firstLine="0"/>
        <w:jc w:val="left"/>
        <w:rPr>
          <w:sz w:val="24"/>
          <w:szCs w:val="24"/>
        </w:rPr>
      </w:pPr>
    </w:p>
    <w:p w:rsidRPr="00F06AB2" w:rsidR="00A71ED6" w:rsidP="00B361CC" w:rsidRDefault="00A71ED6" w14:paraId="103FB004" w14:textId="22747D28">
      <w:pPr>
        <w:pStyle w:val="P1-StandPara"/>
        <w:spacing w:line="240" w:lineRule="auto"/>
        <w:ind w:left="1008" w:firstLine="0"/>
        <w:jc w:val="left"/>
        <w:rPr>
          <w:sz w:val="24"/>
          <w:szCs w:val="24"/>
        </w:rPr>
      </w:pPr>
      <w:r w:rsidRPr="00F06AB2">
        <w:rPr>
          <w:sz w:val="24"/>
          <w:szCs w:val="24"/>
        </w:rPr>
        <w:t>The</w:t>
      </w:r>
      <w:r w:rsidRPr="00F06AB2">
        <w:rPr>
          <w:b/>
          <w:sz w:val="24"/>
          <w:szCs w:val="24"/>
        </w:rPr>
        <w:t xml:space="preserve"> </w:t>
      </w:r>
      <w:r w:rsidRPr="00F06AB2">
        <w:rPr>
          <w:sz w:val="24"/>
          <w:szCs w:val="24"/>
        </w:rPr>
        <w:t xml:space="preserve">Enterprise Internet Solutions (EIS) area of the Application </w:t>
      </w:r>
      <w:r w:rsidR="00D56EA7">
        <w:rPr>
          <w:sz w:val="24"/>
          <w:szCs w:val="24"/>
        </w:rPr>
        <w:t xml:space="preserve">Development and </w:t>
      </w:r>
      <w:r w:rsidRPr="00F06AB2">
        <w:rPr>
          <w:sz w:val="24"/>
          <w:szCs w:val="24"/>
        </w:rPr>
        <w:t>Services Divisions (A</w:t>
      </w:r>
      <w:r w:rsidR="00D56EA7">
        <w:rPr>
          <w:sz w:val="24"/>
          <w:szCs w:val="24"/>
        </w:rPr>
        <w:t>D</w:t>
      </w:r>
      <w:r w:rsidRPr="00F06AB2">
        <w:rPr>
          <w:sz w:val="24"/>
          <w:szCs w:val="24"/>
        </w:rPr>
        <w:t>SD) will host a web</w:t>
      </w:r>
      <w:r w:rsidR="00C86609">
        <w:rPr>
          <w:sz w:val="24"/>
          <w:szCs w:val="24"/>
        </w:rPr>
        <w:t>-</w:t>
      </w:r>
      <w:r w:rsidRPr="00F06AB2">
        <w:rPr>
          <w:sz w:val="24"/>
          <w:szCs w:val="24"/>
        </w:rPr>
        <w:t xml:space="preserve">based instrument.  The web </w:t>
      </w:r>
      <w:r w:rsidR="00E956C1">
        <w:rPr>
          <w:sz w:val="24"/>
          <w:szCs w:val="24"/>
        </w:rPr>
        <w:t>instrument</w:t>
      </w:r>
      <w:r w:rsidRPr="00F06AB2">
        <w:rPr>
          <w:sz w:val="24"/>
          <w:szCs w:val="24"/>
        </w:rPr>
        <w:t xml:space="preserve"> will be hosted on the fully certified and accredited Centurion system (infrastructure, security, and framework).</w:t>
      </w:r>
    </w:p>
    <w:p w:rsidR="00375E89" w:rsidP="00B361CC" w:rsidRDefault="00375E89" w14:paraId="765031D6" w14:textId="77777777">
      <w:pPr>
        <w:tabs>
          <w:tab w:val="left" w:pos="432"/>
          <w:tab w:val="left" w:pos="720"/>
          <w:tab w:val="left" w:pos="864"/>
          <w:tab w:val="left" w:pos="1008"/>
          <w:tab w:val="left" w:pos="1296"/>
          <w:tab w:val="left" w:pos="1728"/>
          <w:tab w:val="left" w:pos="2160"/>
        </w:tabs>
      </w:pPr>
    </w:p>
    <w:p w:rsidR="00375E89" w:rsidP="00375E89" w:rsidRDefault="00375E89" w14:paraId="7D94DB45" w14:textId="77777777">
      <w:pPr>
        <w:numPr>
          <w:ilvl w:val="0"/>
          <w:numId w:val="13"/>
        </w:numPr>
        <w:tabs>
          <w:tab w:val="left" w:pos="432"/>
          <w:tab w:val="left" w:pos="720"/>
          <w:tab w:val="left" w:pos="864"/>
          <w:tab w:val="left" w:pos="1008"/>
          <w:tab w:val="left" w:pos="1296"/>
          <w:tab w:val="left" w:pos="1728"/>
          <w:tab w:val="left" w:pos="2160"/>
        </w:tabs>
      </w:pPr>
      <w:r>
        <w:t>Data Dissemination</w:t>
      </w:r>
    </w:p>
    <w:p w:rsidRPr="00411F77" w:rsidR="00375E89" w:rsidP="00375E89" w:rsidRDefault="00375E89" w14:paraId="52ACE212" w14:textId="77777777">
      <w:pPr>
        <w:tabs>
          <w:tab w:val="left" w:pos="432"/>
          <w:tab w:val="left" w:pos="720"/>
          <w:tab w:val="left" w:pos="864"/>
          <w:tab w:val="left" w:pos="1008"/>
          <w:tab w:val="left" w:pos="1296"/>
          <w:tab w:val="left" w:pos="1728"/>
          <w:tab w:val="left" w:pos="2160"/>
        </w:tabs>
        <w:ind w:left="1080"/>
      </w:pPr>
    </w:p>
    <w:p w:rsidR="00375E89" w:rsidP="00375E89" w:rsidRDefault="003A4753" w14:paraId="4D69BE0E" w14:textId="50DD3715">
      <w:pPr>
        <w:pStyle w:val="BodyTextIndent2"/>
        <w:tabs>
          <w:tab w:val="left" w:pos="432"/>
          <w:tab w:val="left" w:pos="720"/>
          <w:tab w:val="left" w:pos="864"/>
          <w:tab w:val="left" w:pos="1008"/>
          <w:tab w:val="left" w:pos="1296"/>
          <w:tab w:val="left" w:pos="1368"/>
          <w:tab w:val="left" w:pos="1728"/>
          <w:tab w:val="left" w:pos="2160"/>
        </w:tabs>
        <w:ind w:left="990"/>
      </w:pPr>
      <w:r>
        <w:t xml:space="preserve">The </w:t>
      </w:r>
      <w:r w:rsidR="00D56EA7">
        <w:t xml:space="preserve">Census </w:t>
      </w:r>
      <w:r>
        <w:t>Bureau will make</w:t>
      </w:r>
      <w:r w:rsidR="00375E89">
        <w:t xml:space="preserve"> the</w:t>
      </w:r>
      <w:r>
        <w:t xml:space="preserve"> </w:t>
      </w:r>
      <w:r w:rsidR="00375E89">
        <w:t xml:space="preserve">information collected on the RHFS available to the public on </w:t>
      </w:r>
      <w:r>
        <w:t xml:space="preserve">its </w:t>
      </w:r>
      <w:r w:rsidR="007E64C5">
        <w:t>I</w:t>
      </w:r>
      <w:r w:rsidR="00375E89">
        <w:t xml:space="preserve">nternet </w:t>
      </w:r>
      <w:r w:rsidR="000963B9">
        <w:t>w</w:t>
      </w:r>
      <w:r w:rsidR="00375E89">
        <w:t xml:space="preserve">ebsite.  </w:t>
      </w:r>
      <w:r w:rsidR="001B0674">
        <w:t xml:space="preserve">The website will also contain an extensive set of tables for the user’s convenience. </w:t>
      </w:r>
    </w:p>
    <w:p w:rsidR="00AC3EBC" w:rsidP="00375E89" w:rsidRDefault="00AC3EBC" w14:paraId="51970628" w14:textId="77777777">
      <w:pPr>
        <w:pStyle w:val="BodyTextIndent2"/>
        <w:tabs>
          <w:tab w:val="left" w:pos="432"/>
          <w:tab w:val="left" w:pos="720"/>
          <w:tab w:val="left" w:pos="864"/>
          <w:tab w:val="left" w:pos="1008"/>
          <w:tab w:val="left" w:pos="1296"/>
          <w:tab w:val="left" w:pos="1368"/>
          <w:tab w:val="left" w:pos="1728"/>
          <w:tab w:val="left" w:pos="2160"/>
        </w:tabs>
        <w:ind w:left="990"/>
      </w:pPr>
    </w:p>
    <w:p w:rsidR="00375E89" w:rsidP="0053075F" w:rsidRDefault="00375E89" w14:paraId="43E7817C" w14:textId="77777777">
      <w:pPr>
        <w:numPr>
          <w:ilvl w:val="0"/>
          <w:numId w:val="11"/>
        </w:numPr>
        <w:tabs>
          <w:tab w:val="clear" w:pos="360"/>
          <w:tab w:val="num" w:pos="720"/>
        </w:tabs>
        <w:ind w:left="720" w:hanging="720"/>
        <w:rPr>
          <w:b/>
          <w:u w:val="single"/>
        </w:rPr>
      </w:pPr>
      <w:r>
        <w:rPr>
          <w:b/>
          <w:u w:val="single"/>
        </w:rPr>
        <w:t>Efforts to Identify</w:t>
      </w:r>
      <w:r w:rsidR="00D34FE6">
        <w:rPr>
          <w:b/>
          <w:u w:val="single"/>
        </w:rPr>
        <w:t xml:space="preserve"> Duplication</w:t>
      </w:r>
      <w:r>
        <w:rPr>
          <w:b/>
          <w:u w:val="single"/>
        </w:rPr>
        <w:t xml:space="preserve"> </w:t>
      </w:r>
    </w:p>
    <w:p w:rsidR="00D34FE6" w:rsidP="00D34FE6" w:rsidRDefault="00D34FE6" w14:paraId="235F43A5" w14:textId="77777777">
      <w:pPr>
        <w:pStyle w:val="Level1"/>
        <w:autoSpaceDE/>
        <w:autoSpaceDN/>
        <w:adjustRightInd/>
        <w:ind w:left="0"/>
        <w:rPr>
          <w:rFonts w:ascii="Times New Roman" w:hAnsi="Times New Roman"/>
          <w:b/>
          <w:u w:val="single"/>
        </w:rPr>
      </w:pPr>
    </w:p>
    <w:p w:rsidR="00D34FE6" w:rsidP="00D34FE6" w:rsidRDefault="00D34FE6" w14:paraId="18B2E35E" w14:textId="4557D0B0">
      <w:pPr>
        <w:pStyle w:val="Level1"/>
        <w:autoSpaceDE/>
        <w:autoSpaceDN/>
        <w:adjustRightInd/>
        <w:rPr>
          <w:rFonts w:ascii="Times New Roman" w:hAnsi="Times New Roman"/>
        </w:rPr>
      </w:pPr>
      <w:r>
        <w:rPr>
          <w:rFonts w:ascii="Times New Roman" w:hAnsi="Times New Roman"/>
        </w:rPr>
        <w:t xml:space="preserve">HUD consulted with other government agencies and determined that the RHFS is the only data source with detailed information on the mortgage financing of rental properties.  </w:t>
      </w:r>
    </w:p>
    <w:p w:rsidR="00D34FE6" w:rsidP="00D34FE6" w:rsidRDefault="00D34FE6" w14:paraId="21C93922" w14:textId="77777777">
      <w:pPr>
        <w:pStyle w:val="Level1"/>
        <w:autoSpaceDE/>
        <w:autoSpaceDN/>
        <w:adjustRightInd/>
        <w:rPr>
          <w:rFonts w:ascii="Times New Roman" w:hAnsi="Times New Roman"/>
        </w:rPr>
      </w:pPr>
    </w:p>
    <w:p w:rsidR="00AC3EBC" w:rsidP="00D34FE6" w:rsidRDefault="00D34FE6" w14:paraId="46BA5409" w14:textId="77777777">
      <w:pPr>
        <w:pStyle w:val="Level1"/>
        <w:autoSpaceDE/>
        <w:autoSpaceDN/>
        <w:adjustRightInd/>
        <w:rPr>
          <w:rFonts w:ascii="Times New Roman" w:hAnsi="Times New Roman"/>
        </w:rPr>
      </w:pPr>
      <w:r>
        <w:rPr>
          <w:rFonts w:ascii="Times New Roman" w:hAnsi="Times New Roman"/>
        </w:rPr>
        <w:t>Although housing data are collected as part of the American Housing Survey (AHS), American Community Survey (ACS) (Census Bureau), Consumer Expenditure Survey (CES) (Bureau of Labor Statistics), and the Residential Energy Consumption Survey (RECS) (Department of Energy), these surveys provide n</w:t>
      </w:r>
      <w:r w:rsidR="000963B9">
        <w:rPr>
          <w:rFonts w:ascii="Times New Roman" w:hAnsi="Times New Roman"/>
        </w:rPr>
        <w:t>one of</w:t>
      </w:r>
      <w:r>
        <w:rPr>
          <w:rFonts w:ascii="Times New Roman" w:hAnsi="Times New Roman"/>
        </w:rPr>
        <w:t xml:space="preserve"> the extensive level of detailed </w:t>
      </w:r>
      <w:r w:rsidR="000963B9">
        <w:rPr>
          <w:rFonts w:ascii="Times New Roman" w:hAnsi="Times New Roman"/>
        </w:rPr>
        <w:t xml:space="preserve">information </w:t>
      </w:r>
      <w:r w:rsidR="00E66E0C">
        <w:rPr>
          <w:rFonts w:ascii="Times New Roman" w:hAnsi="Times New Roman"/>
        </w:rPr>
        <w:t xml:space="preserve">on rental housing expenses and financing </w:t>
      </w:r>
      <w:r w:rsidR="000963B9">
        <w:rPr>
          <w:rFonts w:ascii="Times New Roman" w:hAnsi="Times New Roman"/>
        </w:rPr>
        <w:t>available from the R</w:t>
      </w:r>
      <w:r>
        <w:rPr>
          <w:rFonts w:ascii="Times New Roman" w:hAnsi="Times New Roman"/>
        </w:rPr>
        <w:t>H</w:t>
      </w:r>
      <w:r w:rsidR="000963B9">
        <w:rPr>
          <w:rFonts w:ascii="Times New Roman" w:hAnsi="Times New Roman"/>
        </w:rPr>
        <w:t>F</w:t>
      </w:r>
      <w:r>
        <w:rPr>
          <w:rFonts w:ascii="Times New Roman" w:hAnsi="Times New Roman"/>
        </w:rPr>
        <w:t>S.</w:t>
      </w:r>
    </w:p>
    <w:p w:rsidR="00AC3EBC" w:rsidP="00D34FE6" w:rsidRDefault="00AC3EBC" w14:paraId="5060503B" w14:textId="77777777">
      <w:pPr>
        <w:pStyle w:val="Level1"/>
        <w:autoSpaceDE/>
        <w:autoSpaceDN/>
        <w:adjustRightInd/>
        <w:rPr>
          <w:rFonts w:ascii="Times New Roman" w:hAnsi="Times New Roman"/>
        </w:rPr>
      </w:pPr>
    </w:p>
    <w:p w:rsidR="00D34FE6" w:rsidP="00D34FE6" w:rsidRDefault="00AC3EBC" w14:paraId="3FA198BB" w14:textId="11CE73F9">
      <w:pPr>
        <w:pStyle w:val="Level1"/>
        <w:autoSpaceDE/>
        <w:autoSpaceDN/>
        <w:adjustRightInd/>
        <w:rPr>
          <w:rFonts w:ascii="Times New Roman" w:hAnsi="Times New Roman"/>
        </w:rPr>
      </w:pPr>
      <w:r>
        <w:rPr>
          <w:rFonts w:ascii="Times New Roman" w:hAnsi="Times New Roman"/>
        </w:rPr>
        <w:t>Fannie Mae and Freddie Mac data sources contain financial information for multifamily rental properties with securitized mortgages. Al</w:t>
      </w:r>
      <w:r w:rsidR="00C812AC">
        <w:rPr>
          <w:rFonts w:ascii="Times New Roman" w:hAnsi="Times New Roman"/>
        </w:rPr>
        <w:t>though</w:t>
      </w:r>
      <w:r>
        <w:rPr>
          <w:rFonts w:ascii="Times New Roman" w:hAnsi="Times New Roman"/>
        </w:rPr>
        <w:t xml:space="preserve"> this information is substantially </w:t>
      </w:r>
      <w:proofErr w:type="gramStart"/>
      <w:r>
        <w:rPr>
          <w:rFonts w:ascii="Times New Roman" w:hAnsi="Times New Roman"/>
        </w:rPr>
        <w:t>similar to</w:t>
      </w:r>
      <w:proofErr w:type="gramEnd"/>
      <w:r>
        <w:rPr>
          <w:rFonts w:ascii="Times New Roman" w:hAnsi="Times New Roman"/>
        </w:rPr>
        <w:t xml:space="preserve"> mortgage information collected in the RHFS, Fannie Mae’s and Freddie Mac’s</w:t>
      </w:r>
      <w:r w:rsidR="00D34FE6">
        <w:rPr>
          <w:rFonts w:ascii="Times New Roman" w:hAnsi="Times New Roman"/>
        </w:rPr>
        <w:t xml:space="preserve"> </w:t>
      </w:r>
      <w:r>
        <w:rPr>
          <w:rFonts w:ascii="Times New Roman" w:hAnsi="Times New Roman"/>
        </w:rPr>
        <w:t>multifamily rental property portfolios are not representative of all multifamily rental properties.</w:t>
      </w:r>
    </w:p>
    <w:p w:rsidR="000963B9" w:rsidP="00D34FE6" w:rsidRDefault="000963B9" w14:paraId="356D0D6F" w14:textId="77777777">
      <w:pPr>
        <w:pStyle w:val="Level1"/>
        <w:autoSpaceDE/>
        <w:autoSpaceDN/>
        <w:adjustRightInd/>
        <w:rPr>
          <w:rFonts w:ascii="Times New Roman" w:hAnsi="Times New Roman"/>
        </w:rPr>
      </w:pPr>
    </w:p>
    <w:p w:rsidR="00D34FE6" w:rsidP="0053075F" w:rsidRDefault="00D34FE6" w14:paraId="33A92A73" w14:textId="77777777">
      <w:pPr>
        <w:numPr>
          <w:ilvl w:val="0"/>
          <w:numId w:val="11"/>
        </w:numPr>
        <w:tabs>
          <w:tab w:val="clear" w:pos="360"/>
          <w:tab w:val="num" w:pos="720"/>
        </w:tabs>
        <w:ind w:left="720" w:hanging="720"/>
        <w:rPr>
          <w:b/>
          <w:u w:val="single"/>
        </w:rPr>
      </w:pPr>
      <w:r>
        <w:rPr>
          <w:b/>
          <w:u w:val="single"/>
        </w:rPr>
        <w:t>Minimizing Burden</w:t>
      </w:r>
    </w:p>
    <w:p w:rsidR="00D34FE6" w:rsidP="00D34FE6" w:rsidRDefault="00D34FE6" w14:paraId="7BCE506C" w14:textId="77777777">
      <w:pPr>
        <w:pStyle w:val="Level1"/>
        <w:autoSpaceDE/>
        <w:autoSpaceDN/>
        <w:adjustRightInd/>
        <w:ind w:left="360"/>
        <w:rPr>
          <w:rFonts w:ascii="Times New Roman" w:hAnsi="Times New Roman"/>
        </w:rPr>
      </w:pPr>
    </w:p>
    <w:p w:rsidR="00F36823" w:rsidP="00F36823" w:rsidRDefault="00D84932" w14:paraId="34F0267D" w14:textId="0FDDAB36">
      <w:pPr>
        <w:pStyle w:val="Level1"/>
        <w:autoSpaceDE/>
        <w:autoSpaceDN/>
        <w:adjustRightInd/>
        <w:rPr>
          <w:rFonts w:ascii="Times New Roman" w:hAnsi="Times New Roman"/>
        </w:rPr>
      </w:pPr>
      <w:r>
        <w:rPr>
          <w:rFonts w:ascii="Times New Roman" w:hAnsi="Times New Roman"/>
        </w:rPr>
        <w:t>HUD and the Census Bureau</w:t>
      </w:r>
      <w:r w:rsidR="00F36823">
        <w:rPr>
          <w:rFonts w:ascii="Times New Roman" w:hAnsi="Times New Roman"/>
        </w:rPr>
        <w:t xml:space="preserve"> designed the RHFS questions to obtain the required information.  </w:t>
      </w:r>
      <w:r w:rsidR="00F0026D">
        <w:rPr>
          <w:rFonts w:ascii="Times New Roman" w:hAnsi="Times New Roman"/>
        </w:rPr>
        <w:t xml:space="preserve">HUD and Census anticipate that many RHFS respondents are small businesses or sole proprietors. </w:t>
      </w:r>
      <w:r w:rsidR="00F36823">
        <w:rPr>
          <w:rFonts w:ascii="Times New Roman" w:hAnsi="Times New Roman"/>
        </w:rPr>
        <w:t>To minimize the response burden</w:t>
      </w:r>
      <w:r w:rsidR="00F0026D">
        <w:rPr>
          <w:rFonts w:ascii="Times New Roman" w:hAnsi="Times New Roman"/>
        </w:rPr>
        <w:t xml:space="preserve"> for small business, sole proprietors, and other business type</w:t>
      </w:r>
      <w:r w:rsidR="00F36823">
        <w:rPr>
          <w:rFonts w:ascii="Times New Roman" w:hAnsi="Times New Roman"/>
        </w:rPr>
        <w:t xml:space="preserve">, </w:t>
      </w:r>
      <w:r>
        <w:rPr>
          <w:rFonts w:ascii="Times New Roman" w:hAnsi="Times New Roman"/>
        </w:rPr>
        <w:t>HUD and the Census Bureau</w:t>
      </w:r>
      <w:r w:rsidR="00F36823">
        <w:rPr>
          <w:rFonts w:ascii="Times New Roman" w:hAnsi="Times New Roman"/>
        </w:rPr>
        <w:t xml:space="preserve"> developed an </w:t>
      </w:r>
      <w:r w:rsidR="007E64C5">
        <w:rPr>
          <w:rFonts w:ascii="Times New Roman" w:hAnsi="Times New Roman"/>
        </w:rPr>
        <w:t>I</w:t>
      </w:r>
      <w:r w:rsidR="00F36823">
        <w:rPr>
          <w:rFonts w:ascii="Times New Roman" w:hAnsi="Times New Roman"/>
        </w:rPr>
        <w:t>nternet instrument to allow respondents</w:t>
      </w:r>
      <w:r>
        <w:rPr>
          <w:rFonts w:ascii="Times New Roman" w:hAnsi="Times New Roman"/>
        </w:rPr>
        <w:t xml:space="preserve"> to self-administer the survey. </w:t>
      </w:r>
    </w:p>
    <w:p w:rsidR="002E5DD9" w:rsidP="00F36823" w:rsidRDefault="002E5DD9" w14:paraId="45FDF302" w14:textId="11943135">
      <w:pPr>
        <w:pStyle w:val="Level1"/>
        <w:autoSpaceDE/>
        <w:autoSpaceDN/>
        <w:adjustRightInd/>
        <w:rPr>
          <w:rFonts w:ascii="Times New Roman" w:hAnsi="Times New Roman"/>
        </w:rPr>
      </w:pPr>
    </w:p>
    <w:p w:rsidR="002E5DD9" w:rsidP="00F36823" w:rsidRDefault="002E5DD9" w14:paraId="7D306716" w14:textId="44EFB6F8">
      <w:pPr>
        <w:pStyle w:val="Level1"/>
        <w:autoSpaceDE/>
        <w:autoSpaceDN/>
        <w:adjustRightInd/>
        <w:rPr>
          <w:rFonts w:ascii="Times New Roman" w:hAnsi="Times New Roman"/>
        </w:rPr>
      </w:pPr>
    </w:p>
    <w:p w:rsidR="002E5DD9" w:rsidP="00F36823" w:rsidRDefault="002E5DD9" w14:paraId="3B4B2B39" w14:textId="4DC60F76">
      <w:pPr>
        <w:pStyle w:val="Level1"/>
        <w:autoSpaceDE/>
        <w:autoSpaceDN/>
        <w:adjustRightInd/>
        <w:rPr>
          <w:rFonts w:ascii="Times New Roman" w:hAnsi="Times New Roman"/>
        </w:rPr>
      </w:pPr>
    </w:p>
    <w:p w:rsidR="002E5DD9" w:rsidP="00F36823" w:rsidRDefault="002E5DD9" w14:paraId="424BEEF8" w14:textId="77777777">
      <w:pPr>
        <w:pStyle w:val="Level1"/>
        <w:autoSpaceDE/>
        <w:autoSpaceDN/>
        <w:adjustRightInd/>
        <w:rPr>
          <w:rFonts w:ascii="Times New Roman" w:hAnsi="Times New Roman"/>
        </w:rPr>
      </w:pPr>
    </w:p>
    <w:p w:rsidR="00D34FE6" w:rsidP="0053075F" w:rsidRDefault="00D34FE6" w14:paraId="0F646369" w14:textId="77777777">
      <w:pPr>
        <w:numPr>
          <w:ilvl w:val="0"/>
          <w:numId w:val="11"/>
        </w:numPr>
        <w:tabs>
          <w:tab w:val="clear" w:pos="360"/>
          <w:tab w:val="num" w:pos="720"/>
        </w:tabs>
        <w:ind w:left="720" w:hanging="720"/>
        <w:rPr>
          <w:b/>
          <w:u w:val="single"/>
        </w:rPr>
      </w:pPr>
      <w:r>
        <w:rPr>
          <w:b/>
          <w:u w:val="single"/>
        </w:rPr>
        <w:t>Consequences of Less Frequent Collection</w:t>
      </w:r>
    </w:p>
    <w:p w:rsidR="00D34FE6" w:rsidP="00D34FE6" w:rsidRDefault="00D34FE6" w14:paraId="19466A5F" w14:textId="77777777">
      <w:pPr>
        <w:pStyle w:val="BodyTextIndent3"/>
        <w:numPr>
          <w:ilvl w:val="0"/>
          <w:numId w:val="0"/>
        </w:numPr>
        <w:ind w:left="360"/>
      </w:pPr>
    </w:p>
    <w:p w:rsidR="00D34FE6" w:rsidP="00D34FE6" w:rsidRDefault="00D84932" w14:paraId="3D6B6CF8" w14:textId="0DF8EB6D">
      <w:pPr>
        <w:pStyle w:val="BodyTextIndent3"/>
        <w:numPr>
          <w:ilvl w:val="0"/>
          <w:numId w:val="0"/>
        </w:numPr>
        <w:ind w:left="720"/>
      </w:pPr>
      <w:r>
        <w:t>The RHFS is conducted every three years</w:t>
      </w:r>
      <w:r w:rsidR="00D34FE6">
        <w:t xml:space="preserve">.  Less frequent enumerations would impair HUD’s ability to monitor GSE goal compliance on a timely basis.  It would also reduce the HUD’s ability to detect changes in severe housing needs.  Without this ability, the Administration and Congress would be </w:t>
      </w:r>
      <w:r w:rsidR="00DF7DE4">
        <w:t xml:space="preserve">less able </w:t>
      </w:r>
      <w:r w:rsidR="00D34FE6">
        <w:t xml:space="preserve">to formulate policy on </w:t>
      </w:r>
      <w:r w:rsidR="00DF7DE4">
        <w:t xml:space="preserve">rental </w:t>
      </w:r>
      <w:r w:rsidR="00D34FE6">
        <w:t xml:space="preserve">housing </w:t>
      </w:r>
      <w:r w:rsidR="00DF7DE4">
        <w:t xml:space="preserve">finance and rental </w:t>
      </w:r>
      <w:r w:rsidR="00D34FE6">
        <w:t>assistance.</w:t>
      </w:r>
    </w:p>
    <w:p w:rsidR="00D34FE6" w:rsidP="00D34FE6" w:rsidRDefault="00D34FE6" w14:paraId="5D40313F" w14:textId="77777777">
      <w:pPr>
        <w:ind w:left="720"/>
        <w:rPr>
          <w:b/>
          <w:u w:val="single"/>
        </w:rPr>
      </w:pPr>
    </w:p>
    <w:p w:rsidR="00D34FE6" w:rsidP="0053075F" w:rsidRDefault="00D34FE6" w14:paraId="02AE1ED9" w14:textId="77777777">
      <w:pPr>
        <w:numPr>
          <w:ilvl w:val="0"/>
          <w:numId w:val="11"/>
        </w:numPr>
        <w:tabs>
          <w:tab w:val="clear" w:pos="360"/>
          <w:tab w:val="num" w:pos="720"/>
        </w:tabs>
        <w:ind w:left="720" w:hanging="720"/>
        <w:rPr>
          <w:b/>
          <w:u w:val="single"/>
        </w:rPr>
      </w:pPr>
      <w:r>
        <w:rPr>
          <w:b/>
          <w:u w:val="single"/>
        </w:rPr>
        <w:t xml:space="preserve">Special </w:t>
      </w:r>
      <w:r w:rsidR="009262C7">
        <w:rPr>
          <w:b/>
          <w:u w:val="single"/>
        </w:rPr>
        <w:t>Circumstances</w:t>
      </w:r>
    </w:p>
    <w:p w:rsidR="009262C7" w:rsidP="009262C7" w:rsidRDefault="009262C7" w14:paraId="6CE21FF4" w14:textId="77777777">
      <w:pPr>
        <w:ind w:left="720"/>
        <w:rPr>
          <w:b/>
          <w:u w:val="single"/>
        </w:rPr>
      </w:pPr>
    </w:p>
    <w:p w:rsidR="00A10099" w:rsidP="003E780F" w:rsidRDefault="009262C7" w14:paraId="39F0CB87" w14:textId="4B7C4F9C">
      <w:pPr>
        <w:pStyle w:val="Level1"/>
        <w:tabs>
          <w:tab w:val="left" w:pos="720"/>
        </w:tabs>
        <w:autoSpaceDE/>
        <w:autoSpaceDN/>
        <w:adjustRightInd/>
        <w:rPr>
          <w:rFonts w:ascii="Times New Roman" w:hAnsi="Times New Roman"/>
        </w:rPr>
      </w:pPr>
      <w:r>
        <w:rPr>
          <w:rFonts w:ascii="Times New Roman" w:hAnsi="Times New Roman"/>
        </w:rPr>
        <w:t>We collect the data in a manner consistent with OMB guidelines, and there are no special circumstances.</w:t>
      </w:r>
    </w:p>
    <w:p w:rsidR="0003353D" w:rsidP="003E780F" w:rsidRDefault="0003353D" w14:paraId="7B06DE4C" w14:textId="44334C26">
      <w:pPr>
        <w:pStyle w:val="Level1"/>
        <w:tabs>
          <w:tab w:val="left" w:pos="720"/>
        </w:tabs>
        <w:autoSpaceDE/>
        <w:autoSpaceDN/>
        <w:adjustRightInd/>
        <w:rPr>
          <w:rFonts w:ascii="Times New Roman" w:hAnsi="Times New Roman"/>
        </w:rPr>
      </w:pPr>
    </w:p>
    <w:p w:rsidR="0003353D" w:rsidP="0003353D" w:rsidRDefault="0003353D" w14:paraId="5EAE7557" w14:textId="77777777">
      <w:pPr>
        <w:numPr>
          <w:ilvl w:val="0"/>
          <w:numId w:val="27"/>
        </w:numPr>
        <w:autoSpaceDE w:val="0"/>
        <w:autoSpaceDN w:val="0"/>
        <w:contextualSpacing/>
      </w:pPr>
      <w:r>
        <w:t xml:space="preserve">Under this ICR, HUD </w:t>
      </w:r>
      <w:r w:rsidRPr="00B95F83">
        <w:rPr>
          <w:b/>
          <w:bCs/>
        </w:rPr>
        <w:t>will not</w:t>
      </w:r>
      <w:r>
        <w:t xml:space="preserve"> conduct any data collection requiring respondents to report information to the agency more often than </w:t>
      </w:r>
      <w:proofErr w:type="gramStart"/>
      <w:r>
        <w:t>quarterly;</w:t>
      </w:r>
      <w:proofErr w:type="gramEnd"/>
    </w:p>
    <w:p w:rsidR="0003353D" w:rsidP="0003353D" w:rsidRDefault="0003353D" w14:paraId="65D863D8" w14:textId="77777777">
      <w:pPr>
        <w:numPr>
          <w:ilvl w:val="0"/>
          <w:numId w:val="27"/>
        </w:numPr>
        <w:autoSpaceDE w:val="0"/>
        <w:autoSpaceDN w:val="0"/>
        <w:contextualSpacing/>
      </w:pPr>
      <w:r>
        <w:t xml:space="preserve">Under this ICR, HUD </w:t>
      </w:r>
      <w:r w:rsidRPr="00B95F83">
        <w:rPr>
          <w:b/>
          <w:bCs/>
        </w:rPr>
        <w:t>will not</w:t>
      </w:r>
      <w:r>
        <w:t xml:space="preserve"> conduct any data collection requiring respondents to prepare a written response to a collection of information in fewer than 30 days after receipt of </w:t>
      </w:r>
      <w:proofErr w:type="gramStart"/>
      <w:r>
        <w:t>it;</w:t>
      </w:r>
      <w:proofErr w:type="gramEnd"/>
    </w:p>
    <w:p w:rsidR="0003353D" w:rsidP="0003353D" w:rsidRDefault="0003353D" w14:paraId="397B3C1F" w14:textId="77777777">
      <w:pPr>
        <w:numPr>
          <w:ilvl w:val="0"/>
          <w:numId w:val="27"/>
        </w:numPr>
        <w:autoSpaceDE w:val="0"/>
        <w:autoSpaceDN w:val="0"/>
        <w:contextualSpacing/>
      </w:pPr>
      <w:r>
        <w:t xml:space="preserve">Under this ICR, HUD </w:t>
      </w:r>
      <w:r w:rsidRPr="00B95F83">
        <w:rPr>
          <w:b/>
          <w:bCs/>
        </w:rPr>
        <w:t>will not</w:t>
      </w:r>
      <w:r>
        <w:t xml:space="preserve"> conduct any data collection requiring respondents to submit more than an original and two copies of any </w:t>
      </w:r>
      <w:proofErr w:type="gramStart"/>
      <w:r>
        <w:t>document;</w:t>
      </w:r>
      <w:proofErr w:type="gramEnd"/>
    </w:p>
    <w:p w:rsidR="0003353D" w:rsidP="0003353D" w:rsidRDefault="0003353D" w14:paraId="47BE4542" w14:textId="77777777">
      <w:pPr>
        <w:numPr>
          <w:ilvl w:val="0"/>
          <w:numId w:val="27"/>
        </w:numPr>
        <w:autoSpaceDE w:val="0"/>
        <w:autoSpaceDN w:val="0"/>
        <w:contextualSpacing/>
      </w:pPr>
      <w:r>
        <w:t xml:space="preserve">Under this ICR, HUD </w:t>
      </w:r>
      <w:r w:rsidRPr="00B95F83">
        <w:rPr>
          <w:b/>
          <w:bCs/>
        </w:rPr>
        <w:t>will not</w:t>
      </w:r>
      <w:r>
        <w:t xml:space="preserve"> conduct any data collection requiring respondents to retain records, other than health, medical, government contract, grant-in-aid, or tax records, for more than three </w:t>
      </w:r>
      <w:proofErr w:type="gramStart"/>
      <w:r>
        <w:t>years;</w:t>
      </w:r>
      <w:proofErr w:type="gramEnd"/>
    </w:p>
    <w:p w:rsidR="0003353D" w:rsidP="0003353D" w:rsidRDefault="0003353D" w14:paraId="6973C034" w14:textId="77777777">
      <w:pPr>
        <w:numPr>
          <w:ilvl w:val="0"/>
          <w:numId w:val="27"/>
        </w:numPr>
        <w:autoSpaceDE w:val="0"/>
        <w:autoSpaceDN w:val="0"/>
        <w:contextualSpacing/>
      </w:pPr>
      <w:r>
        <w:t xml:space="preserve">Under this ICR, HUD </w:t>
      </w:r>
      <w:r w:rsidRPr="00B95F83">
        <w:rPr>
          <w:b/>
          <w:bCs/>
        </w:rPr>
        <w:t>will not</w:t>
      </w:r>
      <w:r>
        <w:t xml:space="preserve"> conduct any data collection in connection with a statistical survey, that is not designed to produce valid and reliable results that can be generalized to the universe of </w:t>
      </w:r>
      <w:proofErr w:type="gramStart"/>
      <w:r>
        <w:t>study;</w:t>
      </w:r>
      <w:proofErr w:type="gramEnd"/>
    </w:p>
    <w:p w:rsidR="0003353D" w:rsidP="0003353D" w:rsidRDefault="0003353D" w14:paraId="18A172D2" w14:textId="77777777">
      <w:pPr>
        <w:numPr>
          <w:ilvl w:val="0"/>
          <w:numId w:val="27"/>
        </w:numPr>
        <w:autoSpaceDE w:val="0"/>
        <w:autoSpaceDN w:val="0"/>
        <w:contextualSpacing/>
      </w:pPr>
      <w:r>
        <w:t xml:space="preserve">Under this ICR, HUD </w:t>
      </w:r>
      <w:r w:rsidRPr="006F07C8">
        <w:rPr>
          <w:b/>
          <w:bCs/>
        </w:rPr>
        <w:t>will not</w:t>
      </w:r>
      <w:r>
        <w:t xml:space="preserve"> conduct any data collection requiring the use of a statistical data classification that has not been reviewed and approved by </w:t>
      </w:r>
      <w:proofErr w:type="gramStart"/>
      <w:r>
        <w:t>OMB;</w:t>
      </w:r>
      <w:proofErr w:type="gramEnd"/>
    </w:p>
    <w:p w:rsidR="0003353D" w:rsidP="0003353D" w:rsidRDefault="0003353D" w14:paraId="04BE934C" w14:textId="77777777">
      <w:pPr>
        <w:numPr>
          <w:ilvl w:val="0"/>
          <w:numId w:val="27"/>
        </w:numPr>
        <w:autoSpaceDE w:val="0"/>
        <w:autoSpaceDN w:val="0"/>
        <w:contextualSpacing/>
      </w:pPr>
      <w:r>
        <w:t xml:space="preserve">Under this ICR, HUD </w:t>
      </w:r>
      <w:r w:rsidRPr="006F07C8">
        <w:rPr>
          <w:b/>
          <w:bCs/>
        </w:rPr>
        <w:t>will not</w:t>
      </w:r>
      <w:r>
        <w:t xml:space="preserve">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3353D" w:rsidP="0003353D" w:rsidRDefault="0003353D" w14:paraId="1E257625" w14:textId="77777777">
      <w:pPr>
        <w:numPr>
          <w:ilvl w:val="0"/>
          <w:numId w:val="27"/>
        </w:numPr>
        <w:autoSpaceDE w:val="0"/>
        <w:autoSpaceDN w:val="0"/>
        <w:contextualSpacing/>
      </w:pPr>
      <w:r>
        <w:t xml:space="preserve">Under this ICR, HUD </w:t>
      </w:r>
      <w:r w:rsidRPr="006F07C8">
        <w:rPr>
          <w:b/>
          <w:bCs/>
        </w:rPr>
        <w:t>will not</w:t>
      </w:r>
      <w:r>
        <w:t xml:space="preserve"> conduct any data collection requiring respondents to submit proprietary trade secrets, or other confidential information unless the agency can demonstrate that it has instituted procedures to protect the information's confidentiality to the extent permitted by law.</w:t>
      </w:r>
    </w:p>
    <w:p w:rsidR="000402C7" w:rsidP="003E780F" w:rsidRDefault="000402C7" w14:paraId="65BCDC92" w14:textId="77777777">
      <w:pPr>
        <w:pStyle w:val="Level1"/>
        <w:tabs>
          <w:tab w:val="left" w:pos="720"/>
        </w:tabs>
        <w:autoSpaceDE/>
        <w:autoSpaceDN/>
        <w:adjustRightInd/>
        <w:rPr>
          <w:rFonts w:ascii="Times New Roman" w:hAnsi="Times New Roman"/>
        </w:rPr>
      </w:pPr>
    </w:p>
    <w:p w:rsidR="009262C7" w:rsidP="0053075F" w:rsidRDefault="009262C7" w14:paraId="1966C7C6" w14:textId="77777777">
      <w:pPr>
        <w:numPr>
          <w:ilvl w:val="0"/>
          <w:numId w:val="11"/>
        </w:numPr>
        <w:tabs>
          <w:tab w:val="clear" w:pos="360"/>
          <w:tab w:val="num" w:pos="720"/>
        </w:tabs>
        <w:ind w:left="720" w:hanging="720"/>
        <w:rPr>
          <w:b/>
          <w:u w:val="single"/>
        </w:rPr>
      </w:pPr>
      <w:r>
        <w:rPr>
          <w:b/>
          <w:u w:val="single"/>
        </w:rPr>
        <w:t xml:space="preserve">Consultations Outside the Agency </w:t>
      </w:r>
    </w:p>
    <w:p w:rsidR="009262C7" w:rsidP="009262C7" w:rsidRDefault="009262C7" w14:paraId="170ABEA4" w14:textId="77777777"/>
    <w:p w:rsidR="009262C7" w:rsidP="000B0FAB" w:rsidRDefault="009262C7" w14:paraId="1240468A" w14:textId="77777777">
      <w:pPr>
        <w:ind w:left="720"/>
      </w:pPr>
      <w:r>
        <w:t xml:space="preserve">Attached is a copy of the </w:t>
      </w:r>
      <w:r>
        <w:rPr>
          <w:i/>
          <w:iCs/>
        </w:rPr>
        <w:t>Federal Register Notice</w:t>
      </w:r>
      <w:r>
        <w:rPr>
          <w:i/>
          <w:iCs/>
          <w:color w:val="FF0000"/>
        </w:rPr>
        <w:t xml:space="preserve"> </w:t>
      </w:r>
      <w:r>
        <w:t xml:space="preserve">required by 5 CFR 1320.8(d).  </w:t>
      </w:r>
    </w:p>
    <w:p w:rsidRPr="00CE66B1" w:rsidR="009262C7" w:rsidP="000B0FAB" w:rsidRDefault="009262C7" w14:paraId="67B81976" w14:textId="77777777">
      <w:pPr>
        <w:ind w:left="1080"/>
      </w:pPr>
    </w:p>
    <w:p w:rsidR="009262C7" w:rsidP="000B0FAB" w:rsidRDefault="008A06D8" w14:paraId="1CB5C14D" w14:textId="33AF2F96">
      <w:pPr>
        <w:pStyle w:val="Level1"/>
        <w:autoSpaceDE/>
        <w:autoSpaceDN/>
        <w:adjustRightInd/>
        <w:rPr>
          <w:rFonts w:ascii="Times New Roman" w:hAnsi="Times New Roman"/>
        </w:rPr>
      </w:pPr>
      <w:r>
        <w:rPr>
          <w:rFonts w:ascii="Times New Roman" w:hAnsi="Times New Roman"/>
        </w:rPr>
        <w:t xml:space="preserve">Approximately 50 prospective data users, </w:t>
      </w:r>
      <w:r w:rsidR="00092C7A">
        <w:rPr>
          <w:rFonts w:ascii="Times New Roman" w:hAnsi="Times New Roman"/>
        </w:rPr>
        <w:t>from</w:t>
      </w:r>
      <w:r>
        <w:rPr>
          <w:rFonts w:ascii="Times New Roman" w:hAnsi="Times New Roman"/>
        </w:rPr>
        <w:t xml:space="preserve"> diverse areas </w:t>
      </w:r>
      <w:r w:rsidR="00092C7A">
        <w:rPr>
          <w:rFonts w:ascii="Times New Roman" w:hAnsi="Times New Roman"/>
        </w:rPr>
        <w:t xml:space="preserve">of </w:t>
      </w:r>
      <w:r>
        <w:rPr>
          <w:rFonts w:ascii="Times New Roman" w:hAnsi="Times New Roman"/>
        </w:rPr>
        <w:t>interest, were consulted while developing the 201</w:t>
      </w:r>
      <w:r w:rsidR="00C42BEE">
        <w:rPr>
          <w:rFonts w:ascii="Times New Roman" w:hAnsi="Times New Roman"/>
        </w:rPr>
        <w:t>2</w:t>
      </w:r>
      <w:r w:rsidRPr="00CE66B1" w:rsidR="009262C7">
        <w:rPr>
          <w:rFonts w:ascii="Times New Roman" w:hAnsi="Times New Roman"/>
        </w:rPr>
        <w:t xml:space="preserve"> RHFS questionnaire.  Responses received from these data users had considerable effect on the content</w:t>
      </w:r>
      <w:r w:rsidR="00C42BEE">
        <w:rPr>
          <w:rFonts w:ascii="Times New Roman" w:hAnsi="Times New Roman"/>
        </w:rPr>
        <w:t xml:space="preserve"> on the 2012 </w:t>
      </w:r>
      <w:r w:rsidR="00D84932">
        <w:rPr>
          <w:rFonts w:ascii="Times New Roman" w:hAnsi="Times New Roman"/>
        </w:rPr>
        <w:t>RHFS</w:t>
      </w:r>
      <w:r w:rsidR="00AC3EBC">
        <w:rPr>
          <w:rFonts w:ascii="Times New Roman" w:hAnsi="Times New Roman"/>
        </w:rPr>
        <w:t xml:space="preserve">, </w:t>
      </w:r>
      <w:r w:rsidR="00C42BEE">
        <w:rPr>
          <w:rFonts w:ascii="Times New Roman" w:hAnsi="Times New Roman"/>
        </w:rPr>
        <w:t>2015 RHFS</w:t>
      </w:r>
      <w:r w:rsidR="00AC3EBC">
        <w:rPr>
          <w:rFonts w:ascii="Times New Roman" w:hAnsi="Times New Roman"/>
        </w:rPr>
        <w:t>, and 2018 RHFS</w:t>
      </w:r>
      <w:r w:rsidRPr="00CE66B1" w:rsidR="009262C7">
        <w:rPr>
          <w:rFonts w:ascii="Times New Roman" w:hAnsi="Times New Roman"/>
        </w:rPr>
        <w:t>.  There were no major problems that could not be resolved during consultation.</w:t>
      </w:r>
    </w:p>
    <w:p w:rsidR="009262C7" w:rsidP="009262C7" w:rsidRDefault="009262C7" w14:paraId="03C55D00" w14:textId="77777777">
      <w:pPr>
        <w:pStyle w:val="Level1"/>
        <w:autoSpaceDE/>
        <w:autoSpaceDN/>
        <w:adjustRightInd/>
        <w:ind w:left="0"/>
        <w:rPr>
          <w:rFonts w:ascii="Times New Roman" w:hAnsi="Times New Roman"/>
        </w:rPr>
      </w:pPr>
    </w:p>
    <w:p w:rsidR="00F77CCA" w:rsidP="000B0FAB" w:rsidRDefault="00D80828" w14:paraId="58B34F86" w14:textId="2A193B81">
      <w:pPr>
        <w:pStyle w:val="Level1"/>
        <w:autoSpaceDE/>
        <w:autoSpaceDN/>
        <w:adjustRightInd/>
        <w:rPr>
          <w:rFonts w:ascii="Times New Roman" w:hAnsi="Times New Roman"/>
        </w:rPr>
      </w:pPr>
      <w:r>
        <w:rPr>
          <w:rFonts w:ascii="Times New Roman" w:hAnsi="Times New Roman"/>
        </w:rPr>
        <w:t xml:space="preserve">The 60-day Federal Register Notice was published on </w:t>
      </w:r>
      <w:r w:rsidR="00AC3EBC">
        <w:rPr>
          <w:rFonts w:ascii="Times New Roman" w:hAnsi="Times New Roman"/>
        </w:rPr>
        <w:t>June 4</w:t>
      </w:r>
      <w:r>
        <w:rPr>
          <w:rFonts w:ascii="Times New Roman" w:hAnsi="Times New Roman"/>
        </w:rPr>
        <w:t>, 20</w:t>
      </w:r>
      <w:r w:rsidR="00AC3EBC">
        <w:rPr>
          <w:rFonts w:ascii="Times New Roman" w:hAnsi="Times New Roman"/>
        </w:rPr>
        <w:t>20</w:t>
      </w:r>
      <w:r>
        <w:rPr>
          <w:rFonts w:ascii="Times New Roman" w:hAnsi="Times New Roman"/>
        </w:rPr>
        <w:t xml:space="preserve">.  </w:t>
      </w:r>
      <w:r w:rsidR="00F77CCA">
        <w:rPr>
          <w:rFonts w:ascii="Times New Roman" w:hAnsi="Times New Roman"/>
        </w:rPr>
        <w:t>During the 60-day Federal Register Notice review period, HUD received the following inquires:</w:t>
      </w:r>
    </w:p>
    <w:p w:rsidR="00F77CCA" w:rsidP="000B0FAB" w:rsidRDefault="00F77CCA" w14:paraId="2BBB11FB" w14:textId="7D8F9FB0">
      <w:pPr>
        <w:pStyle w:val="Level1"/>
        <w:autoSpaceDE/>
        <w:autoSpaceDN/>
        <w:adjustRightInd/>
        <w:rPr>
          <w:rFonts w:ascii="Times New Roman" w:hAnsi="Times New Roman"/>
        </w:rPr>
      </w:pPr>
    </w:p>
    <w:p w:rsidR="00F77CCA" w:rsidP="00F77CCA" w:rsidRDefault="00F77CCA" w14:paraId="09EE2B29" w14:textId="71F41D7D">
      <w:pPr>
        <w:pStyle w:val="Level1"/>
        <w:numPr>
          <w:ilvl w:val="0"/>
          <w:numId w:val="26"/>
        </w:numPr>
        <w:autoSpaceDE/>
        <w:autoSpaceDN/>
        <w:adjustRightInd/>
        <w:rPr>
          <w:rFonts w:ascii="Times New Roman" w:hAnsi="Times New Roman"/>
        </w:rPr>
      </w:pPr>
      <w:r w:rsidRPr="00F77CCA">
        <w:rPr>
          <w:rFonts w:ascii="Times New Roman" w:hAnsi="Times New Roman"/>
        </w:rPr>
        <w:t>Andrew Reamer</w:t>
      </w:r>
      <w:r>
        <w:rPr>
          <w:rFonts w:ascii="Times New Roman" w:hAnsi="Times New Roman"/>
        </w:rPr>
        <w:t xml:space="preserve"> of </w:t>
      </w:r>
      <w:r w:rsidR="00AC3EBC">
        <w:rPr>
          <w:rFonts w:ascii="Times New Roman" w:hAnsi="Times New Roman"/>
        </w:rPr>
        <w:t>George Washington University</w:t>
      </w:r>
      <w:r>
        <w:rPr>
          <w:rFonts w:ascii="Times New Roman" w:hAnsi="Times New Roman"/>
        </w:rPr>
        <w:t xml:space="preserve"> requested a copy of the draft Supporting Statement and the draft web instrument (in paper format).</w:t>
      </w:r>
    </w:p>
    <w:p w:rsidR="00F77CCA" w:rsidP="000B0FAB" w:rsidRDefault="00F77CCA" w14:paraId="63F26455" w14:textId="77777777">
      <w:pPr>
        <w:pStyle w:val="Level1"/>
        <w:autoSpaceDE/>
        <w:autoSpaceDN/>
        <w:adjustRightInd/>
        <w:rPr>
          <w:rFonts w:ascii="Times New Roman" w:hAnsi="Times New Roman"/>
        </w:rPr>
      </w:pPr>
    </w:p>
    <w:p w:rsidR="009262C7" w:rsidP="0053075F" w:rsidRDefault="000B0FAB" w14:paraId="789D7EBD" w14:textId="77777777">
      <w:pPr>
        <w:numPr>
          <w:ilvl w:val="0"/>
          <w:numId w:val="11"/>
        </w:numPr>
        <w:tabs>
          <w:tab w:val="clear" w:pos="360"/>
          <w:tab w:val="num" w:pos="720"/>
        </w:tabs>
        <w:ind w:left="720" w:hanging="720"/>
        <w:rPr>
          <w:b/>
          <w:u w:val="single"/>
        </w:rPr>
      </w:pPr>
      <w:r>
        <w:rPr>
          <w:b/>
          <w:u w:val="single"/>
        </w:rPr>
        <w:t>Paying Respondents</w:t>
      </w:r>
    </w:p>
    <w:p w:rsidR="000B0FAB" w:rsidP="000B0FAB" w:rsidRDefault="000B0FAB" w14:paraId="4D140621" w14:textId="77777777">
      <w:pPr>
        <w:pStyle w:val="BodyTextIndent3"/>
        <w:numPr>
          <w:ilvl w:val="0"/>
          <w:numId w:val="0"/>
        </w:numPr>
        <w:ind w:left="630"/>
      </w:pPr>
    </w:p>
    <w:p w:rsidR="000B0FAB" w:rsidP="000B0FAB" w:rsidRDefault="00D84932" w14:paraId="143C085E" w14:textId="20B1F9A6">
      <w:pPr>
        <w:pStyle w:val="BodyTextIndent3"/>
        <w:numPr>
          <w:ilvl w:val="0"/>
          <w:numId w:val="0"/>
        </w:numPr>
        <w:ind w:left="720"/>
      </w:pPr>
      <w:r>
        <w:t xml:space="preserve">HUD and the Census Bureau do not </w:t>
      </w:r>
      <w:r w:rsidR="000B0FAB">
        <w:t xml:space="preserve">give </w:t>
      </w:r>
      <w:r>
        <w:t xml:space="preserve">RHFS </w:t>
      </w:r>
      <w:r w:rsidR="000B0FAB">
        <w:t>respondents payments or gifts.</w:t>
      </w:r>
    </w:p>
    <w:p w:rsidR="000963B9" w:rsidP="000B0FAB" w:rsidRDefault="000963B9" w14:paraId="5E19B299" w14:textId="77777777">
      <w:pPr>
        <w:ind w:left="720"/>
        <w:rPr>
          <w:b/>
          <w:u w:val="single"/>
        </w:rPr>
      </w:pPr>
    </w:p>
    <w:p w:rsidR="000B0FAB" w:rsidP="000B0FAB" w:rsidRDefault="000B0FAB" w14:paraId="1AE5771E" w14:textId="77777777">
      <w:pPr>
        <w:numPr>
          <w:ilvl w:val="0"/>
          <w:numId w:val="11"/>
        </w:numPr>
        <w:tabs>
          <w:tab w:val="clear" w:pos="360"/>
          <w:tab w:val="num" w:pos="720"/>
        </w:tabs>
        <w:ind w:left="720" w:hanging="720"/>
        <w:rPr>
          <w:b/>
          <w:u w:val="single"/>
        </w:rPr>
      </w:pPr>
      <w:r>
        <w:rPr>
          <w:b/>
          <w:u w:val="single"/>
        </w:rPr>
        <w:t>Assurance of Confidentiality</w:t>
      </w:r>
    </w:p>
    <w:p w:rsidR="000B0FAB" w:rsidP="000B0FAB" w:rsidRDefault="000B0FAB" w14:paraId="70178413" w14:textId="77777777">
      <w:pPr>
        <w:rPr>
          <w:b/>
          <w:u w:val="single"/>
        </w:rPr>
      </w:pPr>
    </w:p>
    <w:p w:rsidR="00746B85" w:rsidP="00DE7233" w:rsidRDefault="00DE7233" w14:paraId="518FD9F2" w14:textId="03AFA836">
      <w:pPr>
        <w:pStyle w:val="Level1"/>
        <w:autoSpaceDE/>
        <w:autoSpaceDN/>
        <w:adjustRightInd/>
        <w:rPr>
          <w:rFonts w:ascii="Times New Roman" w:hAnsi="Times New Roman"/>
        </w:rPr>
      </w:pPr>
      <w:r>
        <w:rPr>
          <w:rFonts w:ascii="Times New Roman" w:hAnsi="Times New Roman"/>
        </w:rPr>
        <w:t xml:space="preserve">The Census Bureau collects these data in compliance with the Privacy Act of 1974 and OMB Circular A-108.  The Census Bureau will </w:t>
      </w:r>
      <w:proofErr w:type="gramStart"/>
      <w:r>
        <w:rPr>
          <w:rFonts w:ascii="Times New Roman" w:hAnsi="Times New Roman"/>
        </w:rPr>
        <w:t>make an attempt</w:t>
      </w:r>
      <w:proofErr w:type="gramEnd"/>
      <w:r>
        <w:rPr>
          <w:rFonts w:ascii="Times New Roman" w:hAnsi="Times New Roman"/>
        </w:rPr>
        <w:t xml:space="preserve"> to identify property owners and/or managers</w:t>
      </w:r>
      <w:r w:rsidR="000C5293">
        <w:rPr>
          <w:rFonts w:ascii="Times New Roman" w:hAnsi="Times New Roman"/>
        </w:rPr>
        <w:t xml:space="preserve"> prior to data collection by conducting an address matching operation and Internet research</w:t>
      </w:r>
      <w:r w:rsidRPr="00B27D48">
        <w:rPr>
          <w:rFonts w:ascii="Times New Roman" w:hAnsi="Times New Roman"/>
        </w:rPr>
        <w:t>.</w:t>
      </w:r>
      <w:r w:rsidRPr="00B27D48" w:rsidR="000C68A3">
        <w:rPr>
          <w:rFonts w:ascii="Times New Roman" w:hAnsi="Times New Roman"/>
        </w:rPr>
        <w:t xml:space="preserve"> </w:t>
      </w:r>
      <w:r w:rsidR="00D05A07">
        <w:rPr>
          <w:rFonts w:ascii="Times New Roman" w:hAnsi="Times New Roman"/>
        </w:rPr>
        <w:t>T</w:t>
      </w:r>
      <w:r>
        <w:rPr>
          <w:rFonts w:ascii="Times New Roman" w:hAnsi="Times New Roman"/>
        </w:rPr>
        <w:t>he Census Bureau will send each RHFS respondent a</w:t>
      </w:r>
      <w:r w:rsidR="001526FD">
        <w:rPr>
          <w:rFonts w:ascii="Times New Roman" w:hAnsi="Times New Roman"/>
        </w:rPr>
        <w:t>n advance</w:t>
      </w:r>
      <w:r>
        <w:rPr>
          <w:rFonts w:ascii="Times New Roman" w:hAnsi="Times New Roman"/>
        </w:rPr>
        <w:t xml:space="preserve"> letter (RHFS-03(L)).  </w:t>
      </w:r>
      <w:r w:rsidR="00D05A07">
        <w:rPr>
          <w:rFonts w:ascii="Times New Roman" w:hAnsi="Times New Roman"/>
        </w:rPr>
        <w:t>The</w:t>
      </w:r>
      <w:r>
        <w:rPr>
          <w:rFonts w:ascii="Times New Roman" w:hAnsi="Times New Roman"/>
        </w:rPr>
        <w:t xml:space="preserve"> advance letter will contain the information required by this act.</w:t>
      </w:r>
    </w:p>
    <w:p w:rsidR="00DE7233" w:rsidP="00DE7233" w:rsidRDefault="00DE7233" w14:paraId="23F0A232" w14:textId="04D4CC34">
      <w:pPr>
        <w:pStyle w:val="Level1"/>
        <w:autoSpaceDE/>
        <w:autoSpaceDN/>
        <w:adjustRightInd/>
        <w:rPr>
          <w:rFonts w:ascii="Times New Roman" w:hAnsi="Times New Roman"/>
        </w:rPr>
      </w:pPr>
      <w:r>
        <w:rPr>
          <w:rFonts w:ascii="Times New Roman" w:hAnsi="Times New Roman"/>
        </w:rPr>
        <w:t xml:space="preserve"> </w:t>
      </w:r>
    </w:p>
    <w:p w:rsidR="00DE7233" w:rsidP="00DE7233" w:rsidRDefault="00DE7233" w14:paraId="618B2BC8" w14:textId="209B487E">
      <w:pPr>
        <w:pStyle w:val="Level1"/>
        <w:autoSpaceDE/>
        <w:autoSpaceDN/>
        <w:adjustRightInd/>
        <w:rPr>
          <w:rFonts w:ascii="Times New Roman" w:hAnsi="Times New Roman"/>
        </w:rPr>
      </w:pPr>
      <w:r>
        <w:rPr>
          <w:rFonts w:ascii="Times New Roman" w:hAnsi="Times New Roman"/>
        </w:rPr>
        <w:t>The letter inform</w:t>
      </w:r>
      <w:r w:rsidR="00D05A07">
        <w:rPr>
          <w:rFonts w:ascii="Times New Roman" w:hAnsi="Times New Roman"/>
        </w:rPr>
        <w:t>s</w:t>
      </w:r>
      <w:r>
        <w:rPr>
          <w:rFonts w:ascii="Times New Roman" w:hAnsi="Times New Roman"/>
        </w:rPr>
        <w:t xml:space="preserve"> the respondents of the voluntary nature of this survey and states there are no penalties for failure to answer any question.  The letter will explain why the information is being collected, how it will be used, and how to respond to the survey.  The letter will display the OMB control number and date of expiration. </w:t>
      </w:r>
    </w:p>
    <w:p w:rsidR="00DE7233" w:rsidP="00DE7233" w:rsidRDefault="00DE7233" w14:paraId="331B8CC5" w14:textId="77777777">
      <w:pPr>
        <w:pStyle w:val="Level1"/>
        <w:autoSpaceDE/>
        <w:autoSpaceDN/>
        <w:adjustRightInd/>
        <w:rPr>
          <w:rFonts w:ascii="Times New Roman" w:hAnsi="Times New Roman"/>
        </w:rPr>
      </w:pPr>
    </w:p>
    <w:p w:rsidR="00DE7233" w:rsidP="00DE7233" w:rsidRDefault="00DE7233" w14:paraId="42F437BC" w14:textId="4787B50F">
      <w:pPr>
        <w:pStyle w:val="Level1"/>
        <w:autoSpaceDE/>
        <w:autoSpaceDN/>
        <w:adjustRightInd/>
        <w:rPr>
          <w:rFonts w:ascii="Times New Roman" w:hAnsi="Times New Roman"/>
        </w:rPr>
      </w:pPr>
      <w:r>
        <w:rPr>
          <w:rFonts w:ascii="Times New Roman" w:hAnsi="Times New Roman"/>
        </w:rPr>
        <w:t xml:space="preserve">For interviews conducted by telephone, if the respondents inquire as to the purpose of the survey, the </w:t>
      </w:r>
      <w:r w:rsidR="00E82362">
        <w:rPr>
          <w:rFonts w:ascii="Times New Roman" w:hAnsi="Times New Roman"/>
        </w:rPr>
        <w:t xml:space="preserve">Census Bureau </w:t>
      </w:r>
      <w:r w:rsidR="007156DB">
        <w:rPr>
          <w:rFonts w:ascii="Times New Roman" w:hAnsi="Times New Roman"/>
        </w:rPr>
        <w:t xml:space="preserve">field staff </w:t>
      </w:r>
      <w:r>
        <w:rPr>
          <w:rFonts w:ascii="Times New Roman" w:hAnsi="Times New Roman"/>
        </w:rPr>
        <w:t xml:space="preserve">will provide a </w:t>
      </w:r>
      <w:r w:rsidR="00CA0F26">
        <w:rPr>
          <w:rFonts w:ascii="Times New Roman" w:hAnsi="Times New Roman"/>
        </w:rPr>
        <w:t>verbal</w:t>
      </w:r>
      <w:r>
        <w:rPr>
          <w:rFonts w:ascii="Times New Roman" w:hAnsi="Times New Roman"/>
        </w:rPr>
        <w:t xml:space="preserve"> explanation that includes the information required by the Privacy Act.</w:t>
      </w:r>
    </w:p>
    <w:p w:rsidR="00DE7233" w:rsidP="00DE7233" w:rsidRDefault="00DE7233" w14:paraId="2E0AFCCB" w14:textId="77777777">
      <w:pPr>
        <w:pStyle w:val="Level1"/>
        <w:autoSpaceDE/>
        <w:autoSpaceDN/>
        <w:adjustRightInd/>
        <w:rPr>
          <w:rFonts w:ascii="Times New Roman" w:hAnsi="Times New Roman"/>
        </w:rPr>
      </w:pPr>
    </w:p>
    <w:p w:rsidR="00DE7233" w:rsidP="00DE7233" w:rsidRDefault="00DE7233" w14:paraId="7690B4E2" w14:textId="5D88A734">
      <w:pPr>
        <w:pStyle w:val="Level1"/>
        <w:autoSpaceDE/>
        <w:autoSpaceDN/>
        <w:adjustRightInd/>
        <w:rPr>
          <w:rFonts w:ascii="Times New Roman" w:hAnsi="Times New Roman"/>
        </w:rPr>
      </w:pPr>
      <w:r>
        <w:rPr>
          <w:rFonts w:ascii="Times New Roman" w:hAnsi="Times New Roman"/>
        </w:rPr>
        <w:t>The advance letter state</w:t>
      </w:r>
      <w:r w:rsidR="00CA0F26">
        <w:rPr>
          <w:rFonts w:ascii="Times New Roman" w:hAnsi="Times New Roman"/>
        </w:rPr>
        <w:t>s</w:t>
      </w:r>
      <w:r>
        <w:rPr>
          <w:rFonts w:ascii="Times New Roman" w:hAnsi="Times New Roman"/>
        </w:rPr>
        <w:t xml:space="preserve"> that all information respondents give to the Census Bureau employees is held in strict confidence by Title 13, United States Code. </w:t>
      </w:r>
      <w:r w:rsidR="00B27D48">
        <w:rPr>
          <w:rFonts w:ascii="Times New Roman" w:hAnsi="Times New Roman"/>
        </w:rPr>
        <w:t xml:space="preserve"> </w:t>
      </w:r>
      <w:r>
        <w:rPr>
          <w:rFonts w:ascii="Times New Roman" w:hAnsi="Times New Roman"/>
        </w:rPr>
        <w:t xml:space="preserve">Each employee has taken an oath to this effect and is subject to a jail term, fine or both, if he/she discloses any information given to him/her. </w:t>
      </w:r>
    </w:p>
    <w:p w:rsidR="000B0FAB" w:rsidP="000B0FAB" w:rsidRDefault="000B0FAB" w14:paraId="28784AB3" w14:textId="77777777">
      <w:pPr>
        <w:ind w:left="720"/>
      </w:pPr>
    </w:p>
    <w:p w:rsidR="00A90AE3" w:rsidP="000B0FAB" w:rsidRDefault="00A90AE3" w14:paraId="6B79C244" w14:textId="25D533C0">
      <w:pPr>
        <w:ind w:left="720"/>
      </w:pPr>
      <w:r>
        <w:t>The introductory screen to the Internet instrument contains the OMB control number and date of expiration, the citation of authority to collect the data, and the respondent burden statement.</w:t>
      </w:r>
    </w:p>
    <w:p w:rsidR="00A90AE3" w:rsidP="000B0FAB" w:rsidRDefault="00A90AE3" w14:paraId="5CED32CE" w14:textId="77777777">
      <w:pPr>
        <w:ind w:left="720"/>
      </w:pPr>
    </w:p>
    <w:p w:rsidR="000B0FAB" w:rsidP="000B0FAB" w:rsidRDefault="000B0FAB" w14:paraId="29D66D9A" w14:textId="6ACD3167">
      <w:pPr>
        <w:ind w:left="720"/>
      </w:pPr>
      <w:r>
        <w:t xml:space="preserve">The data collected under this agreement are confidential under Title 13, U.S.C., Section 9.  Should the HUD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w:t>
      </w:r>
      <w:proofErr w:type="gramStart"/>
      <w:r>
        <w:t>clearance</w:t>
      </w:r>
      <w:proofErr w:type="gramEnd"/>
      <w:r>
        <w:t xml:space="preserve"> and they must take </w:t>
      </w:r>
      <w:r w:rsidR="000963B9">
        <w:t>Data Stewardship</w:t>
      </w:r>
      <w:r>
        <w:t xml:space="preserve"> Awareness Training.</w:t>
      </w:r>
    </w:p>
    <w:p w:rsidR="000B0FAB" w:rsidP="000B0FAB" w:rsidRDefault="000B0FAB" w14:paraId="223765BE" w14:textId="77777777">
      <w:pPr>
        <w:ind w:left="720"/>
      </w:pPr>
    </w:p>
    <w:p w:rsidR="000B0FAB" w:rsidP="000B0FAB" w:rsidRDefault="000B0FAB" w14:paraId="4246F7B9" w14:textId="4A4CB4B7">
      <w:pPr>
        <w:ind w:left="720"/>
      </w:pPr>
      <w:r>
        <w:t>Any access to Title 13 data at HUD is subject to prior approval by the Census Bureau's Data Stewardship Executive Policy Committee upon assurance that the HUD facility and information technology security meet Census Bureau requirements.</w:t>
      </w:r>
    </w:p>
    <w:p w:rsidR="000B0FAB" w:rsidP="0053075F" w:rsidRDefault="000B0FAB" w14:paraId="37C4BC1B" w14:textId="77777777">
      <w:pPr>
        <w:numPr>
          <w:ilvl w:val="0"/>
          <w:numId w:val="11"/>
        </w:numPr>
        <w:tabs>
          <w:tab w:val="clear" w:pos="360"/>
          <w:tab w:val="num" w:pos="720"/>
        </w:tabs>
        <w:ind w:left="720" w:hanging="720"/>
        <w:rPr>
          <w:b/>
          <w:u w:val="single"/>
        </w:rPr>
      </w:pPr>
      <w:r>
        <w:rPr>
          <w:b/>
          <w:u w:val="single"/>
        </w:rPr>
        <w:t>Justification for Sensitive Questions</w:t>
      </w:r>
    </w:p>
    <w:p w:rsidR="000B0704" w:rsidP="000B0FAB" w:rsidRDefault="000B0704" w14:paraId="11713612" w14:textId="77777777">
      <w:pPr>
        <w:pStyle w:val="List"/>
        <w:ind w:left="990"/>
      </w:pPr>
    </w:p>
    <w:p w:rsidR="002C5E73" w:rsidP="00733385" w:rsidRDefault="000B0FAB" w14:paraId="3F341759" w14:textId="275E4EAA">
      <w:pPr>
        <w:ind w:left="720"/>
      </w:pPr>
      <w:r>
        <w:t xml:space="preserve">The </w:t>
      </w:r>
      <w:r w:rsidR="00E82362">
        <w:t>20</w:t>
      </w:r>
      <w:r w:rsidR="00AC3EBC">
        <w:t>21</w:t>
      </w:r>
      <w:r w:rsidR="00E82362">
        <w:t xml:space="preserve"> RHFS</w:t>
      </w:r>
      <w:r>
        <w:t xml:space="preserve"> does not include any questions of a sensitive nature.</w:t>
      </w:r>
    </w:p>
    <w:p w:rsidR="00733385" w:rsidP="00733385" w:rsidRDefault="00733385" w14:paraId="4C707DC2" w14:textId="77777777">
      <w:pPr>
        <w:ind w:left="720"/>
        <w:rPr>
          <w:b/>
          <w:u w:val="single"/>
        </w:rPr>
      </w:pPr>
    </w:p>
    <w:p w:rsidR="000B0FAB" w:rsidP="0053075F" w:rsidRDefault="000B0FAB" w14:paraId="12955FCF" w14:textId="77777777">
      <w:pPr>
        <w:numPr>
          <w:ilvl w:val="0"/>
          <w:numId w:val="11"/>
        </w:numPr>
        <w:tabs>
          <w:tab w:val="clear" w:pos="360"/>
          <w:tab w:val="num" w:pos="720"/>
        </w:tabs>
        <w:ind w:left="720" w:hanging="720"/>
        <w:rPr>
          <w:b/>
          <w:u w:val="single"/>
        </w:rPr>
      </w:pPr>
      <w:r>
        <w:rPr>
          <w:b/>
          <w:u w:val="single"/>
        </w:rPr>
        <w:t>Estimate of Hour Burden</w:t>
      </w:r>
    </w:p>
    <w:p w:rsidR="000B0FAB" w:rsidP="000B0FAB" w:rsidRDefault="000B0FAB" w14:paraId="078943FF" w14:textId="77777777">
      <w:pPr>
        <w:pStyle w:val="BodyTextIndent3"/>
        <w:ind w:left="0"/>
        <w:rPr>
          <w:b/>
          <w:u w:val="single"/>
        </w:rPr>
      </w:pPr>
    </w:p>
    <w:p w:rsidRPr="00E2016F" w:rsidR="00E82362" w:rsidP="00250CEC" w:rsidRDefault="00E82362" w14:paraId="44093543" w14:textId="5BAC322C">
      <w:pPr>
        <w:pStyle w:val="BodyTextIndent3"/>
        <w:ind w:left="720"/>
      </w:pPr>
      <w:r>
        <w:t xml:space="preserve">HUD and </w:t>
      </w:r>
      <w:r w:rsidRPr="00E2016F">
        <w:t xml:space="preserve">the Census Bureau </w:t>
      </w:r>
      <w:r w:rsidRPr="00E2016F" w:rsidR="0006260C">
        <w:t xml:space="preserve">estimate that the average time to complete the </w:t>
      </w:r>
      <w:r w:rsidRPr="00E2016F">
        <w:t>20</w:t>
      </w:r>
      <w:r w:rsidRPr="00E2016F" w:rsidR="00AC3EBC">
        <w:t>21</w:t>
      </w:r>
      <w:r w:rsidRPr="00E2016F">
        <w:t xml:space="preserve"> RHFS</w:t>
      </w:r>
      <w:r w:rsidRPr="00E2016F" w:rsidR="0006260C">
        <w:t xml:space="preserve"> is 60 minutes. </w:t>
      </w:r>
      <w:r w:rsidRPr="00E2016F" w:rsidR="004D03BF">
        <w:t xml:space="preserve">The final sample size has not been </w:t>
      </w:r>
      <w:proofErr w:type="gramStart"/>
      <w:r w:rsidRPr="00E2016F" w:rsidR="004D03BF">
        <w:t>determined, but</w:t>
      </w:r>
      <w:proofErr w:type="gramEnd"/>
      <w:r w:rsidRPr="00E2016F" w:rsidR="004D03BF">
        <w:t xml:space="preserve"> will not exceed 1</w:t>
      </w:r>
      <w:r w:rsidRPr="00E2016F" w:rsidR="00553348">
        <w:t>1</w:t>
      </w:r>
      <w:r w:rsidRPr="00E2016F" w:rsidR="004D03BF">
        <w:t>,</w:t>
      </w:r>
      <w:r w:rsidR="00201F72">
        <w:t>5</w:t>
      </w:r>
      <w:r w:rsidRPr="00E2016F">
        <w:t>00</w:t>
      </w:r>
      <w:r w:rsidRPr="00E2016F" w:rsidR="004D03BF">
        <w:t xml:space="preserve"> rental properties. </w:t>
      </w:r>
      <w:r w:rsidRPr="00E2016F">
        <w:t>HUD and Census Bureau anticipate some properties selected for the 2018 RHFS sample will be determined to be ineligible for an interview. The determination of ineligibility is typically made during the pre-interview operations. As such, there is typically no respondent burden for ineligible interviews.</w:t>
      </w:r>
    </w:p>
    <w:p w:rsidRPr="00E2016F" w:rsidR="00E82362" w:rsidP="00250CEC" w:rsidRDefault="00E82362" w14:paraId="41CF7FE2" w14:textId="77777777">
      <w:pPr>
        <w:pStyle w:val="BodyTextIndent3"/>
        <w:ind w:left="720"/>
      </w:pPr>
    </w:p>
    <w:p w:rsidRPr="00E2016F" w:rsidR="004D03BF" w:rsidP="00250CEC" w:rsidRDefault="00E82362" w14:paraId="66E06965" w14:textId="1E559EDE">
      <w:pPr>
        <w:pStyle w:val="BodyTextIndent3"/>
        <w:ind w:left="720"/>
      </w:pPr>
      <w:r w:rsidRPr="00E2016F">
        <w:t xml:space="preserve">HUD and the Census Bureau estimate the actual number of eligible RHFS respondents to be 10,000. </w:t>
      </w:r>
      <w:r w:rsidRPr="00E2016F" w:rsidR="004D03BF">
        <w:t>See the table below.</w:t>
      </w:r>
    </w:p>
    <w:p w:rsidRPr="00E2016F" w:rsidR="00336B6A" w:rsidP="004D03BF" w:rsidRDefault="00336B6A" w14:paraId="5D3277C8" w14:textId="77777777">
      <w:pPr>
        <w:pStyle w:val="BodyTextIndent3"/>
        <w:ind w:left="1413"/>
        <w:rPr>
          <w:b/>
          <w:color w:val="FF0000"/>
        </w:rPr>
      </w:pPr>
    </w:p>
    <w:p w:rsidR="00733385" w:rsidP="00DA356D" w:rsidRDefault="00733385" w14:paraId="3A45078D" w14:textId="749C5F92">
      <w:pPr>
        <w:pStyle w:val="BodyTextIndent3"/>
        <w:ind w:left="720"/>
        <w:rPr>
          <w:b/>
          <w:u w:val="single"/>
        </w:rPr>
      </w:pPr>
    </w:p>
    <w:tbl>
      <w:tblPr>
        <w:tblW w:w="9910" w:type="dxa"/>
        <w:jc w:val="center"/>
        <w:tblLayout w:type="fixed"/>
        <w:tblCellMar>
          <w:left w:w="0" w:type="dxa"/>
          <w:right w:w="0" w:type="dxa"/>
        </w:tblCellMar>
        <w:tblLook w:val="04A0" w:firstRow="1" w:lastRow="0" w:firstColumn="1" w:lastColumn="0" w:noHBand="0" w:noVBand="1"/>
      </w:tblPr>
      <w:tblGrid>
        <w:gridCol w:w="1430"/>
        <w:gridCol w:w="1440"/>
        <w:gridCol w:w="1260"/>
        <w:gridCol w:w="1260"/>
        <w:gridCol w:w="1170"/>
        <w:gridCol w:w="1170"/>
        <w:gridCol w:w="1350"/>
        <w:gridCol w:w="830"/>
      </w:tblGrid>
      <w:tr w:rsidRPr="006F07C8" w:rsidR="002221D8" w:rsidTr="002E5DD9" w14:paraId="54D64DB0" w14:textId="77777777">
        <w:trPr>
          <w:trHeight w:val="979"/>
          <w:jc w:val="center"/>
        </w:trPr>
        <w:tc>
          <w:tcPr>
            <w:tcW w:w="143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6F07C8" w:rsidR="006F07C8" w:rsidP="006F07C8" w:rsidRDefault="006F07C8" w14:paraId="464C207F" w14:textId="77777777">
            <w:pPr>
              <w:overflowPunct w:val="0"/>
              <w:autoSpaceDE w:val="0"/>
              <w:autoSpaceDN w:val="0"/>
              <w:jc w:val="center"/>
              <w:rPr>
                <w:b/>
                <w:color w:val="000000"/>
                <w:sz w:val="22"/>
                <w:szCs w:val="22"/>
              </w:rPr>
            </w:pPr>
            <w:r w:rsidRPr="006F07C8">
              <w:rPr>
                <w:rFonts w:eastAsiaTheme="minorHAnsi"/>
                <w:bCs/>
              </w:rPr>
              <w:br w:type="page"/>
            </w:r>
            <w:r w:rsidRPr="006F07C8">
              <w:rPr>
                <w:b/>
                <w:color w:val="000000"/>
                <w:sz w:val="22"/>
                <w:szCs w:val="22"/>
              </w:rPr>
              <w:t>Information Collection</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F07C8" w:rsidR="006F07C8" w:rsidP="006F07C8" w:rsidRDefault="006F07C8" w14:paraId="71877FE0" w14:textId="77777777">
            <w:pPr>
              <w:overflowPunct w:val="0"/>
              <w:autoSpaceDE w:val="0"/>
              <w:autoSpaceDN w:val="0"/>
              <w:jc w:val="center"/>
              <w:rPr>
                <w:b/>
                <w:color w:val="000000"/>
                <w:sz w:val="22"/>
                <w:szCs w:val="22"/>
              </w:rPr>
            </w:pPr>
            <w:r w:rsidRPr="006F07C8">
              <w:rPr>
                <w:b/>
                <w:color w:val="000000"/>
                <w:sz w:val="22"/>
                <w:szCs w:val="22"/>
              </w:rPr>
              <w:t>Number of Respondents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F07C8" w:rsidR="006F07C8" w:rsidP="006F07C8" w:rsidRDefault="006F07C8" w14:paraId="7641A91C" w14:textId="77777777">
            <w:pPr>
              <w:overflowPunct w:val="0"/>
              <w:autoSpaceDE w:val="0"/>
              <w:autoSpaceDN w:val="0"/>
              <w:jc w:val="center"/>
              <w:rPr>
                <w:b/>
                <w:color w:val="000000"/>
                <w:sz w:val="22"/>
                <w:szCs w:val="22"/>
              </w:rPr>
            </w:pPr>
            <w:r w:rsidRPr="006F07C8">
              <w:rPr>
                <w:b/>
                <w:color w:val="000000"/>
                <w:sz w:val="22"/>
                <w:szCs w:val="22"/>
              </w:rPr>
              <w:t>Frequency of Response</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F07C8" w:rsidR="006F07C8" w:rsidP="006F07C8" w:rsidRDefault="006F07C8" w14:paraId="50019760" w14:textId="77777777">
            <w:pPr>
              <w:jc w:val="center"/>
              <w:rPr>
                <w:b/>
                <w:color w:val="000000"/>
                <w:sz w:val="22"/>
                <w:szCs w:val="22"/>
              </w:rPr>
            </w:pPr>
            <w:r w:rsidRPr="006F07C8">
              <w:rPr>
                <w:b/>
                <w:color w:val="000000"/>
                <w:sz w:val="22"/>
                <w:szCs w:val="22"/>
              </w:rPr>
              <w:t>Responses</w:t>
            </w:r>
          </w:p>
          <w:p w:rsidRPr="006F07C8" w:rsidR="006F07C8" w:rsidP="006F07C8" w:rsidRDefault="006F07C8" w14:paraId="68190F9F" w14:textId="77777777">
            <w:pPr>
              <w:overflowPunct w:val="0"/>
              <w:autoSpaceDE w:val="0"/>
              <w:autoSpaceDN w:val="0"/>
              <w:jc w:val="center"/>
              <w:rPr>
                <w:b/>
                <w:color w:val="000000"/>
                <w:sz w:val="22"/>
                <w:szCs w:val="22"/>
              </w:rPr>
            </w:pPr>
            <w:r w:rsidRPr="006F07C8">
              <w:rPr>
                <w:b/>
                <w:color w:val="000000"/>
                <w:sz w:val="22"/>
                <w:szCs w:val="22"/>
              </w:rPr>
              <w:t>Per Annum</w:t>
            </w:r>
          </w:p>
          <w:p w:rsidRPr="006F07C8" w:rsidR="006F07C8" w:rsidP="006F07C8" w:rsidRDefault="006F07C8" w14:paraId="2479271F" w14:textId="77777777">
            <w:pPr>
              <w:overflowPunct w:val="0"/>
              <w:autoSpaceDE w:val="0"/>
              <w:autoSpaceDN w:val="0"/>
              <w:jc w:val="center"/>
              <w:rPr>
                <w:b/>
                <w:color w:val="FF0000"/>
                <w:sz w:val="22"/>
                <w:szCs w:val="22"/>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F07C8" w:rsidR="006F07C8" w:rsidP="006F07C8" w:rsidRDefault="006F07C8" w14:paraId="56DE9A5D" w14:textId="77777777">
            <w:pPr>
              <w:overflowPunct w:val="0"/>
              <w:autoSpaceDE w:val="0"/>
              <w:autoSpaceDN w:val="0"/>
              <w:jc w:val="center"/>
              <w:rPr>
                <w:b/>
                <w:color w:val="000000"/>
                <w:sz w:val="22"/>
                <w:szCs w:val="22"/>
              </w:rPr>
            </w:pPr>
            <w:r w:rsidRPr="006F07C8">
              <w:rPr>
                <w:b/>
                <w:color w:val="000000"/>
                <w:sz w:val="22"/>
                <w:szCs w:val="22"/>
              </w:rPr>
              <w:t>Burden Hour Per Response</w:t>
            </w:r>
          </w:p>
          <w:p w:rsidRPr="006F07C8" w:rsidR="006F07C8" w:rsidP="006F07C8" w:rsidRDefault="006F07C8" w14:paraId="34D4D447" w14:textId="77777777">
            <w:pPr>
              <w:overflowPunct w:val="0"/>
              <w:autoSpaceDE w:val="0"/>
              <w:autoSpaceDN w:val="0"/>
              <w:jc w:val="center"/>
              <w:rPr>
                <w:b/>
                <w:color w:val="FF0000"/>
                <w:sz w:val="22"/>
                <w:szCs w:val="22"/>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F07C8" w:rsidR="006F07C8" w:rsidP="006F07C8" w:rsidRDefault="006F07C8" w14:paraId="63E0703F" w14:textId="77777777">
            <w:pPr>
              <w:overflowPunct w:val="0"/>
              <w:autoSpaceDE w:val="0"/>
              <w:autoSpaceDN w:val="0"/>
              <w:jc w:val="center"/>
              <w:rPr>
                <w:b/>
                <w:color w:val="000000"/>
                <w:sz w:val="22"/>
                <w:szCs w:val="22"/>
              </w:rPr>
            </w:pPr>
            <w:r w:rsidRPr="006F07C8">
              <w:rPr>
                <w:b/>
                <w:color w:val="000000"/>
                <w:sz w:val="22"/>
                <w:szCs w:val="22"/>
              </w:rPr>
              <w:t>Annual Burden Hours</w:t>
            </w:r>
          </w:p>
          <w:p w:rsidRPr="006F07C8" w:rsidR="006F07C8" w:rsidP="006F07C8" w:rsidRDefault="006F07C8" w14:paraId="343F1387" w14:textId="77777777">
            <w:pPr>
              <w:overflowPunct w:val="0"/>
              <w:autoSpaceDE w:val="0"/>
              <w:autoSpaceDN w:val="0"/>
              <w:jc w:val="center"/>
              <w:rPr>
                <w:b/>
                <w:color w:val="FF0000"/>
                <w:sz w:val="22"/>
                <w:szCs w:val="22"/>
              </w:rPr>
            </w:pP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6F07C8" w:rsidR="006F07C8" w:rsidP="006F07C8" w:rsidRDefault="006F07C8" w14:paraId="72DCF86F" w14:textId="77777777">
            <w:pPr>
              <w:overflowPunct w:val="0"/>
              <w:autoSpaceDE w:val="0"/>
              <w:autoSpaceDN w:val="0"/>
              <w:jc w:val="center"/>
              <w:rPr>
                <w:b/>
                <w:color w:val="000000"/>
                <w:sz w:val="22"/>
                <w:szCs w:val="22"/>
              </w:rPr>
            </w:pPr>
            <w:r w:rsidRPr="006F07C8">
              <w:rPr>
                <w:b/>
                <w:color w:val="000000"/>
                <w:sz w:val="22"/>
                <w:szCs w:val="22"/>
              </w:rPr>
              <w:t>Hourly Cost Per Response</w:t>
            </w:r>
          </w:p>
        </w:tc>
        <w:tc>
          <w:tcPr>
            <w:tcW w:w="83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F07C8" w:rsidR="006F07C8" w:rsidP="006F07C8" w:rsidRDefault="006F07C8" w14:paraId="2233A4B9" w14:textId="77777777">
            <w:pPr>
              <w:jc w:val="center"/>
              <w:rPr>
                <w:b/>
                <w:color w:val="000000"/>
                <w:sz w:val="22"/>
                <w:szCs w:val="22"/>
              </w:rPr>
            </w:pPr>
            <w:r w:rsidRPr="006F07C8">
              <w:rPr>
                <w:b/>
                <w:color w:val="000000"/>
                <w:sz w:val="22"/>
                <w:szCs w:val="22"/>
              </w:rPr>
              <w:t>Cost</w:t>
            </w:r>
          </w:p>
          <w:p w:rsidRPr="006F07C8" w:rsidR="006F07C8" w:rsidP="006F07C8" w:rsidRDefault="006F07C8" w14:paraId="3243245A" w14:textId="77777777">
            <w:pPr>
              <w:overflowPunct w:val="0"/>
              <w:autoSpaceDE w:val="0"/>
              <w:autoSpaceDN w:val="0"/>
              <w:jc w:val="center"/>
              <w:rPr>
                <w:b/>
                <w:color w:val="FF0000"/>
                <w:sz w:val="22"/>
                <w:szCs w:val="22"/>
              </w:rPr>
            </w:pPr>
          </w:p>
        </w:tc>
      </w:tr>
      <w:tr w:rsidRPr="006F07C8" w:rsidR="002221D8" w:rsidTr="002E5DD9" w14:paraId="59274FDC" w14:textId="77777777">
        <w:trPr>
          <w:jc w:val="center"/>
        </w:trPr>
        <w:tc>
          <w:tcPr>
            <w:tcW w:w="143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6F07C8" w:rsidR="002221D8" w:rsidP="002E5DD9" w:rsidRDefault="002221D8" w14:paraId="1B4DD766" w14:textId="297431AA">
            <w:pPr>
              <w:overflowPunct w:val="0"/>
              <w:autoSpaceDE w:val="0"/>
              <w:autoSpaceDN w:val="0"/>
              <w:rPr>
                <w:rFonts w:eastAsiaTheme="minorHAnsi"/>
                <w:bCs/>
              </w:rPr>
            </w:pPr>
            <w:r>
              <w:rPr>
                <w:rFonts w:eastAsiaTheme="minorHAnsi"/>
                <w:bCs/>
              </w:rPr>
              <w:t>Rental Properties</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F07C8" w:rsidR="002221D8" w:rsidP="006F07C8" w:rsidRDefault="002221D8" w14:paraId="144D2638" w14:textId="03D3F114">
            <w:pPr>
              <w:overflowPunct w:val="0"/>
              <w:autoSpaceDE w:val="0"/>
              <w:autoSpaceDN w:val="0"/>
              <w:jc w:val="center"/>
              <w:rPr>
                <w:b/>
                <w:color w:val="000000"/>
                <w:sz w:val="22"/>
                <w:szCs w:val="22"/>
              </w:rPr>
            </w:pPr>
            <w:r>
              <w:rPr>
                <w:b/>
                <w:color w:val="000000"/>
                <w:sz w:val="22"/>
                <w:szCs w:val="22"/>
              </w:rPr>
              <w:t>10,000.00</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F07C8" w:rsidR="002221D8" w:rsidP="006F07C8" w:rsidRDefault="002221D8" w14:paraId="6EBFF4BA" w14:textId="44AA5065">
            <w:pPr>
              <w:overflowPunct w:val="0"/>
              <w:autoSpaceDE w:val="0"/>
              <w:autoSpaceDN w:val="0"/>
              <w:jc w:val="center"/>
              <w:rPr>
                <w:b/>
                <w:color w:val="000000"/>
                <w:sz w:val="22"/>
                <w:szCs w:val="22"/>
              </w:rPr>
            </w:pPr>
            <w:r>
              <w:rPr>
                <w:b/>
                <w:color w:val="000000"/>
                <w:sz w:val="22"/>
                <w:szCs w:val="22"/>
              </w:rPr>
              <w:t>1.00</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F07C8" w:rsidR="002221D8" w:rsidP="006F07C8" w:rsidRDefault="002221D8" w14:paraId="551C8139" w14:textId="14D77CE1">
            <w:pPr>
              <w:jc w:val="center"/>
              <w:rPr>
                <w:b/>
                <w:color w:val="000000"/>
                <w:sz w:val="22"/>
                <w:szCs w:val="22"/>
              </w:rPr>
            </w:pPr>
            <w:r>
              <w:rPr>
                <w:b/>
                <w:color w:val="000000"/>
                <w:sz w:val="22"/>
                <w:szCs w:val="22"/>
              </w:rPr>
              <w:t>1</w:t>
            </w:r>
            <w:r w:rsidR="00DE075C">
              <w:rPr>
                <w:b/>
                <w:color w:val="000000"/>
                <w:sz w:val="22"/>
                <w:szCs w:val="22"/>
              </w:rPr>
              <w:t>0,000</w:t>
            </w:r>
            <w:r>
              <w:rPr>
                <w:b/>
                <w:color w:val="000000"/>
                <w:sz w:val="22"/>
                <w:szCs w:val="22"/>
              </w:rPr>
              <w:t>.</w:t>
            </w:r>
            <w:r w:rsidR="00DE075C">
              <w:rPr>
                <w:b/>
                <w:color w:val="000000"/>
                <w:sz w:val="22"/>
                <w:szCs w:val="22"/>
              </w:rPr>
              <w:t>0</w:t>
            </w:r>
            <w:r>
              <w:rPr>
                <w:b/>
                <w:color w:val="000000"/>
                <w:sz w:val="22"/>
                <w:szCs w:val="22"/>
              </w:rPr>
              <w:t>0</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F07C8" w:rsidR="002221D8" w:rsidP="006F07C8" w:rsidRDefault="002221D8" w14:paraId="41965913" w14:textId="496DC110">
            <w:pPr>
              <w:overflowPunct w:val="0"/>
              <w:autoSpaceDE w:val="0"/>
              <w:autoSpaceDN w:val="0"/>
              <w:jc w:val="center"/>
              <w:rPr>
                <w:b/>
                <w:color w:val="000000"/>
                <w:sz w:val="22"/>
                <w:szCs w:val="22"/>
              </w:rPr>
            </w:pPr>
            <w:r>
              <w:rPr>
                <w:b/>
                <w:color w:val="000000"/>
                <w:sz w:val="22"/>
                <w:szCs w:val="22"/>
              </w:rPr>
              <w:t>1.00</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F07C8" w:rsidR="002221D8" w:rsidP="006F07C8" w:rsidRDefault="002221D8" w14:paraId="3FE400EC" w14:textId="22B39984">
            <w:pPr>
              <w:overflowPunct w:val="0"/>
              <w:autoSpaceDE w:val="0"/>
              <w:autoSpaceDN w:val="0"/>
              <w:jc w:val="center"/>
              <w:rPr>
                <w:b/>
                <w:color w:val="000000"/>
                <w:sz w:val="22"/>
                <w:szCs w:val="22"/>
              </w:rPr>
            </w:pPr>
            <w:r>
              <w:rPr>
                <w:b/>
                <w:color w:val="000000"/>
                <w:sz w:val="22"/>
                <w:szCs w:val="22"/>
              </w:rPr>
              <w:t>10,000.0</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F07C8" w:rsidR="002221D8" w:rsidP="006F07C8" w:rsidRDefault="002221D8" w14:paraId="29044177" w14:textId="4F760883">
            <w:pPr>
              <w:overflowPunct w:val="0"/>
              <w:autoSpaceDE w:val="0"/>
              <w:autoSpaceDN w:val="0"/>
              <w:jc w:val="center"/>
              <w:rPr>
                <w:b/>
                <w:color w:val="000000"/>
                <w:sz w:val="22"/>
                <w:szCs w:val="22"/>
              </w:rPr>
            </w:pPr>
            <w:r>
              <w:rPr>
                <w:b/>
                <w:color w:val="000000"/>
                <w:sz w:val="22"/>
                <w:szCs w:val="22"/>
              </w:rPr>
              <w:t>$0.00</w:t>
            </w:r>
          </w:p>
        </w:tc>
        <w:tc>
          <w:tcPr>
            <w:tcW w:w="83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6F07C8" w:rsidR="002221D8" w:rsidP="006F07C8" w:rsidRDefault="002221D8" w14:paraId="23504301" w14:textId="65199D47">
            <w:pPr>
              <w:jc w:val="center"/>
              <w:rPr>
                <w:b/>
                <w:color w:val="000000"/>
                <w:sz w:val="22"/>
                <w:szCs w:val="22"/>
              </w:rPr>
            </w:pPr>
            <w:r>
              <w:rPr>
                <w:b/>
                <w:color w:val="000000"/>
                <w:sz w:val="22"/>
                <w:szCs w:val="22"/>
              </w:rPr>
              <w:t>$0.00</w:t>
            </w:r>
          </w:p>
        </w:tc>
      </w:tr>
      <w:tr w:rsidRPr="006F07C8" w:rsidR="002221D8" w:rsidTr="002E5DD9" w14:paraId="45C24901" w14:textId="77777777">
        <w:trPr>
          <w:jc w:val="center"/>
        </w:trPr>
        <w:tc>
          <w:tcPr>
            <w:tcW w:w="14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F07C8" w:rsidR="006F07C8" w:rsidP="006F07C8" w:rsidRDefault="006F07C8" w14:paraId="3C6F2D3B" w14:textId="77777777">
            <w:pPr>
              <w:overflowPunct w:val="0"/>
              <w:autoSpaceDE w:val="0"/>
              <w:autoSpaceDN w:val="0"/>
              <w:jc w:val="center"/>
              <w:rPr>
                <w:b/>
                <w:bCs/>
                <w:color w:val="000000"/>
                <w:sz w:val="22"/>
                <w:szCs w:val="22"/>
              </w:rPr>
            </w:pPr>
          </w:p>
          <w:p w:rsidRPr="006F07C8" w:rsidR="006F07C8" w:rsidP="006F07C8" w:rsidRDefault="006F07C8" w14:paraId="1027178A" w14:textId="77777777">
            <w:pPr>
              <w:overflowPunct w:val="0"/>
              <w:autoSpaceDE w:val="0"/>
              <w:autoSpaceDN w:val="0"/>
              <w:jc w:val="center"/>
              <w:rPr>
                <w:b/>
                <w:bCs/>
                <w:color w:val="000000"/>
                <w:sz w:val="22"/>
                <w:szCs w:val="22"/>
              </w:rPr>
            </w:pPr>
            <w:r w:rsidRPr="006F07C8">
              <w:rPr>
                <w:b/>
                <w:bCs/>
                <w:color w:val="000000"/>
                <w:sz w:val="22"/>
                <w:szCs w:val="22"/>
              </w:rPr>
              <w:t>Total</w:t>
            </w:r>
          </w:p>
          <w:p w:rsidRPr="006F07C8" w:rsidR="006F07C8" w:rsidP="006F07C8" w:rsidRDefault="006F07C8" w14:paraId="46BEBA36" w14:textId="77777777">
            <w:pPr>
              <w:overflowPunct w:val="0"/>
              <w:autoSpaceDE w:val="0"/>
              <w:autoSpaceDN w:val="0"/>
              <w:jc w:val="center"/>
              <w:rPr>
                <w:rFonts w:eastAsiaTheme="minorHAnsi"/>
              </w:rPr>
            </w:pPr>
          </w:p>
        </w:tc>
        <w:tc>
          <w:tcPr>
            <w:tcW w:w="14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F07C8" w:rsidR="006F07C8" w:rsidP="006F07C8" w:rsidRDefault="002221D8" w14:paraId="1DFA827C" w14:textId="6039DC2C">
            <w:pPr>
              <w:overflowPunct w:val="0"/>
              <w:autoSpaceDE w:val="0"/>
              <w:autoSpaceDN w:val="0"/>
              <w:jc w:val="center"/>
              <w:rPr>
                <w:color w:val="000000"/>
              </w:rPr>
            </w:pPr>
            <w:r>
              <w:rPr>
                <w:color w:val="000000"/>
              </w:rPr>
              <w:t>10,000.00</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F07C8" w:rsidR="006F07C8" w:rsidP="006F07C8" w:rsidRDefault="002221D8" w14:paraId="2E6C92DC" w14:textId="482612E5">
            <w:pPr>
              <w:overflowPunct w:val="0"/>
              <w:autoSpaceDE w:val="0"/>
              <w:autoSpaceDN w:val="0"/>
              <w:jc w:val="center"/>
              <w:rPr>
                <w:color w:val="000000"/>
              </w:rPr>
            </w:pPr>
            <w:r>
              <w:rPr>
                <w:color w:val="000000"/>
              </w:rPr>
              <w:t>1.00</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F07C8" w:rsidR="006F07C8" w:rsidP="006F07C8" w:rsidRDefault="002221D8" w14:paraId="164AC429" w14:textId="01CEBF79">
            <w:pPr>
              <w:jc w:val="center"/>
              <w:rPr>
                <w:color w:val="000000"/>
              </w:rPr>
            </w:pPr>
            <w:r>
              <w:rPr>
                <w:color w:val="000000"/>
              </w:rPr>
              <w:t>1</w:t>
            </w:r>
            <w:r w:rsidR="00DE075C">
              <w:rPr>
                <w:color w:val="000000"/>
              </w:rPr>
              <w:t>0,000</w:t>
            </w:r>
            <w:r>
              <w:rPr>
                <w:color w:val="000000"/>
              </w:rPr>
              <w:t>.0</w:t>
            </w:r>
            <w:r w:rsidR="00DE075C">
              <w:rPr>
                <w:color w:val="000000"/>
              </w:rPr>
              <w:t>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F07C8" w:rsidR="006F07C8" w:rsidP="006F07C8" w:rsidRDefault="002221D8" w14:paraId="4D542240" w14:textId="0A5B14A9">
            <w:pPr>
              <w:overflowPunct w:val="0"/>
              <w:autoSpaceDE w:val="0"/>
              <w:autoSpaceDN w:val="0"/>
              <w:jc w:val="center"/>
              <w:rPr>
                <w:color w:val="000000"/>
              </w:rPr>
            </w:pPr>
            <w:r>
              <w:rPr>
                <w:color w:val="000000"/>
              </w:rPr>
              <w:t>1.00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F07C8" w:rsidR="006F07C8" w:rsidP="006F07C8" w:rsidRDefault="002221D8" w14:paraId="2FB2C46C" w14:textId="5F1525EF">
            <w:pPr>
              <w:overflowPunct w:val="0"/>
              <w:autoSpaceDE w:val="0"/>
              <w:autoSpaceDN w:val="0"/>
              <w:jc w:val="center"/>
              <w:rPr>
                <w:color w:val="000000"/>
              </w:rPr>
            </w:pPr>
            <w:r>
              <w:rPr>
                <w:color w:val="000000"/>
              </w:rPr>
              <w:t>10,000.0</w:t>
            </w:r>
          </w:p>
        </w:tc>
        <w:tc>
          <w:tcPr>
            <w:tcW w:w="1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F07C8" w:rsidR="006F07C8" w:rsidP="006F07C8" w:rsidRDefault="002221D8" w14:paraId="78262E89" w14:textId="46C8CE3C">
            <w:pPr>
              <w:overflowPunct w:val="0"/>
              <w:autoSpaceDE w:val="0"/>
              <w:autoSpaceDN w:val="0"/>
              <w:jc w:val="center"/>
              <w:rPr>
                <w:color w:val="000000"/>
              </w:rPr>
            </w:pPr>
            <w:r>
              <w:rPr>
                <w:color w:val="000000"/>
              </w:rPr>
              <w:t>$0.00</w:t>
            </w:r>
          </w:p>
        </w:tc>
        <w:tc>
          <w:tcPr>
            <w:tcW w:w="8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6F07C8" w:rsidR="006F07C8" w:rsidP="006F07C8" w:rsidRDefault="002221D8" w14:paraId="6BD42CA9" w14:textId="40DC5855">
            <w:pPr>
              <w:jc w:val="center"/>
              <w:rPr>
                <w:color w:val="000000"/>
              </w:rPr>
            </w:pPr>
            <w:r>
              <w:rPr>
                <w:color w:val="000000"/>
              </w:rPr>
              <w:t>$0.00</w:t>
            </w:r>
          </w:p>
        </w:tc>
      </w:tr>
    </w:tbl>
    <w:p w:rsidR="006F07C8" w:rsidP="00DA356D" w:rsidRDefault="006F07C8" w14:paraId="2E0B5555" w14:textId="03D569EF">
      <w:pPr>
        <w:pStyle w:val="BodyTextIndent3"/>
        <w:ind w:left="720"/>
        <w:rPr>
          <w:b/>
          <w:u w:val="single"/>
        </w:rPr>
      </w:pPr>
    </w:p>
    <w:p w:rsidR="006F07C8" w:rsidP="00DA356D" w:rsidRDefault="006F07C8" w14:paraId="2D4DB750" w14:textId="77777777">
      <w:pPr>
        <w:pStyle w:val="BodyTextIndent3"/>
        <w:ind w:left="720"/>
        <w:rPr>
          <w:b/>
          <w:u w:val="single"/>
        </w:rPr>
      </w:pPr>
    </w:p>
    <w:p w:rsidR="000B0FAB" w:rsidP="0053075F" w:rsidRDefault="000B0FAB" w14:paraId="053F756E" w14:textId="54F9E040">
      <w:pPr>
        <w:numPr>
          <w:ilvl w:val="0"/>
          <w:numId w:val="11"/>
        </w:numPr>
        <w:tabs>
          <w:tab w:val="clear" w:pos="360"/>
          <w:tab w:val="num" w:pos="720"/>
        </w:tabs>
        <w:ind w:left="720" w:hanging="720"/>
        <w:rPr>
          <w:b/>
          <w:u w:val="single"/>
        </w:rPr>
      </w:pPr>
      <w:r>
        <w:rPr>
          <w:b/>
          <w:u w:val="single"/>
        </w:rPr>
        <w:t>Estimate of Cost Burden</w:t>
      </w:r>
    </w:p>
    <w:p w:rsidR="00733385" w:rsidP="00733385" w:rsidRDefault="00733385" w14:paraId="6E88C231" w14:textId="4746102D">
      <w:pPr>
        <w:ind w:left="720"/>
        <w:rPr>
          <w:b/>
          <w:u w:val="single"/>
        </w:rPr>
      </w:pPr>
    </w:p>
    <w:p w:rsidR="00E0213B" w:rsidP="00C14DE3" w:rsidRDefault="00E0213B" w14:paraId="6C503203" w14:textId="630F5A10">
      <w:pPr>
        <w:pStyle w:val="List"/>
        <w:ind w:left="720" w:firstLine="0"/>
      </w:pPr>
      <w:r>
        <w:t>We do not expect respondents to incur any costs other than that of their time to respond.  The information requested is the type and scope normally carried in office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F51D63" w:rsidP="00C14DE3" w:rsidRDefault="00F51D63" w14:paraId="5EFEF5C5" w14:textId="76277E39">
      <w:pPr>
        <w:pStyle w:val="List"/>
        <w:ind w:left="720" w:firstLine="0"/>
      </w:pPr>
    </w:p>
    <w:p w:rsidR="000B0FAB" w:rsidP="000B0FAB" w:rsidRDefault="000B0FAB" w14:paraId="7429CCF8" w14:textId="77777777">
      <w:pPr>
        <w:ind w:left="720"/>
        <w:rPr>
          <w:b/>
          <w:u w:val="single"/>
        </w:rPr>
      </w:pPr>
    </w:p>
    <w:p w:rsidR="000B0FAB" w:rsidP="0053075F" w:rsidRDefault="00D96714" w14:paraId="02A94DB8" w14:textId="77777777">
      <w:pPr>
        <w:numPr>
          <w:ilvl w:val="0"/>
          <w:numId w:val="11"/>
        </w:numPr>
        <w:tabs>
          <w:tab w:val="clear" w:pos="360"/>
          <w:tab w:val="num" w:pos="720"/>
        </w:tabs>
        <w:ind w:left="720" w:hanging="720"/>
        <w:rPr>
          <w:b/>
          <w:u w:val="single"/>
        </w:rPr>
      </w:pPr>
      <w:r>
        <w:rPr>
          <w:b/>
          <w:u w:val="single"/>
        </w:rPr>
        <w:t>Cost to Federal Government</w:t>
      </w:r>
    </w:p>
    <w:p w:rsidR="00D96714" w:rsidP="00D96714" w:rsidRDefault="00D96714" w14:paraId="341736A1" w14:textId="77777777">
      <w:pPr>
        <w:pStyle w:val="Level1"/>
        <w:numPr>
          <w:ilvl w:val="12"/>
          <w:numId w:val="0"/>
        </w:numPr>
        <w:autoSpaceDE/>
        <w:autoSpaceDN/>
        <w:adjustRightInd/>
        <w:rPr>
          <w:rFonts w:ascii="Times New Roman" w:hAnsi="Times New Roman"/>
          <w:b/>
          <w:u w:val="single"/>
        </w:rPr>
      </w:pPr>
    </w:p>
    <w:p w:rsidR="00FA7BBE" w:rsidP="00FA7BBE" w:rsidRDefault="0063126F" w14:paraId="4E84D620" w14:textId="6FE3ED93">
      <w:pPr>
        <w:pStyle w:val="Level1"/>
        <w:numPr>
          <w:ilvl w:val="12"/>
          <w:numId w:val="0"/>
        </w:numPr>
        <w:autoSpaceDE/>
        <w:autoSpaceDN/>
        <w:adjustRightInd/>
        <w:ind w:left="720"/>
        <w:rPr>
          <w:rFonts w:ascii="Times New Roman" w:hAnsi="Times New Roman"/>
        </w:rPr>
      </w:pPr>
      <w:r>
        <w:rPr>
          <w:rFonts w:ascii="Times New Roman" w:hAnsi="Times New Roman"/>
        </w:rPr>
        <w:t>20</w:t>
      </w:r>
      <w:r w:rsidR="006166BD">
        <w:rPr>
          <w:rFonts w:ascii="Times New Roman" w:hAnsi="Times New Roman"/>
        </w:rPr>
        <w:t>21</w:t>
      </w:r>
      <w:r>
        <w:rPr>
          <w:rFonts w:ascii="Times New Roman" w:hAnsi="Times New Roman"/>
        </w:rPr>
        <w:t xml:space="preserve"> RHFS operations span three fiscal years (</w:t>
      </w:r>
      <w:r w:rsidR="006166BD">
        <w:rPr>
          <w:rFonts w:ascii="Times New Roman" w:hAnsi="Times New Roman"/>
        </w:rPr>
        <w:t>2020, 2021, and 2022</w:t>
      </w:r>
      <w:r>
        <w:rPr>
          <w:rFonts w:ascii="Times New Roman" w:hAnsi="Times New Roman"/>
        </w:rPr>
        <w:t>). Across all three fiscal years, t</w:t>
      </w:r>
      <w:r w:rsidRPr="001C30D6" w:rsidR="00FA7BBE">
        <w:rPr>
          <w:rFonts w:ascii="Times New Roman" w:hAnsi="Times New Roman"/>
        </w:rPr>
        <w:t>he Census Bureau and HUD estimate the cost to the government for the 20</w:t>
      </w:r>
      <w:r w:rsidR="006166BD">
        <w:rPr>
          <w:rFonts w:ascii="Times New Roman" w:hAnsi="Times New Roman"/>
        </w:rPr>
        <w:t>21</w:t>
      </w:r>
      <w:r w:rsidRPr="001C30D6" w:rsidR="00FA7BBE">
        <w:rPr>
          <w:rFonts w:ascii="Times New Roman" w:hAnsi="Times New Roman"/>
        </w:rPr>
        <w:t xml:space="preserve"> RHFS program to be about $</w:t>
      </w:r>
      <w:r w:rsidR="006166BD">
        <w:rPr>
          <w:rFonts w:ascii="Times New Roman" w:hAnsi="Times New Roman"/>
        </w:rPr>
        <w:t>6</w:t>
      </w:r>
      <w:r w:rsidRPr="001C30D6" w:rsidR="00FA7BBE">
        <w:rPr>
          <w:rFonts w:ascii="Times New Roman" w:hAnsi="Times New Roman"/>
        </w:rPr>
        <w:t>.</w:t>
      </w:r>
      <w:r w:rsidR="006166BD">
        <w:rPr>
          <w:rFonts w:ascii="Times New Roman" w:hAnsi="Times New Roman"/>
        </w:rPr>
        <w:t>0</w:t>
      </w:r>
      <w:r w:rsidRPr="001C30D6" w:rsidR="00FA7BBE">
        <w:rPr>
          <w:rFonts w:ascii="Times New Roman" w:hAnsi="Times New Roman"/>
        </w:rPr>
        <w:t xml:space="preserve"> million, all borne by HUD.  The figure provided </w:t>
      </w:r>
      <w:r w:rsidR="00FA7BBE">
        <w:rPr>
          <w:rFonts w:ascii="Times New Roman" w:hAnsi="Times New Roman"/>
        </w:rPr>
        <w:t>represents the total cost of a t</w:t>
      </w:r>
      <w:r w:rsidR="004B1F33">
        <w:rPr>
          <w:rFonts w:ascii="Times New Roman" w:hAnsi="Times New Roman"/>
        </w:rPr>
        <w:t>hree-</w:t>
      </w:r>
      <w:r w:rsidR="00FA7BBE">
        <w:rPr>
          <w:rFonts w:ascii="Times New Roman" w:hAnsi="Times New Roman"/>
        </w:rPr>
        <w:t>year cycle</w:t>
      </w:r>
      <w:r w:rsidR="004B1F33">
        <w:rPr>
          <w:rFonts w:ascii="Times New Roman" w:hAnsi="Times New Roman"/>
        </w:rPr>
        <w:t xml:space="preserve"> </w:t>
      </w:r>
      <w:r w:rsidR="00FA7BBE">
        <w:rPr>
          <w:rFonts w:ascii="Times New Roman" w:hAnsi="Times New Roman"/>
        </w:rPr>
        <w:t>consisting of data collection preparation, data collection, data review, and creation and release of data products.</w:t>
      </w:r>
    </w:p>
    <w:p w:rsidR="003427BE" w:rsidP="00FA7BBE" w:rsidRDefault="003427BE" w14:paraId="3151D835" w14:textId="3A0F88ED">
      <w:pPr>
        <w:pStyle w:val="Level1"/>
        <w:numPr>
          <w:ilvl w:val="12"/>
          <w:numId w:val="0"/>
        </w:numPr>
        <w:autoSpaceDE/>
        <w:autoSpaceDN/>
        <w:adjustRightInd/>
        <w:ind w:left="720"/>
        <w:rPr>
          <w:rFonts w:ascii="Times New Roman" w:hAnsi="Times New Roman"/>
        </w:rPr>
      </w:pPr>
    </w:p>
    <w:tbl>
      <w:tblPr>
        <w:tblStyle w:val="TableGrid1"/>
        <w:tblW w:w="9764" w:type="dxa"/>
        <w:tblInd w:w="625" w:type="dxa"/>
        <w:tblLook w:val="04A0" w:firstRow="1" w:lastRow="0" w:firstColumn="1" w:lastColumn="0" w:noHBand="0" w:noVBand="1"/>
      </w:tblPr>
      <w:tblGrid>
        <w:gridCol w:w="3269"/>
        <w:gridCol w:w="1252"/>
        <w:gridCol w:w="1433"/>
        <w:gridCol w:w="1421"/>
        <w:gridCol w:w="2389"/>
      </w:tblGrid>
      <w:tr w:rsidRPr="00F63C58" w:rsidR="006618DB" w:rsidTr="00A51A0B" w14:paraId="7FC935FA" w14:textId="77777777">
        <w:trPr>
          <w:trHeight w:val="323"/>
        </w:trPr>
        <w:tc>
          <w:tcPr>
            <w:tcW w:w="3269" w:type="dxa"/>
            <w:noWrap/>
            <w:hideMark/>
          </w:tcPr>
          <w:p w:rsidRPr="00CA0382" w:rsidR="00E463BE" w:rsidP="00576008" w:rsidRDefault="00E463BE" w14:paraId="2D75F923" w14:textId="330D4DA6">
            <w:pPr>
              <w:rPr>
                <w:rFonts w:ascii="Segoe UI" w:hAnsi="Segoe UI" w:cs="Segoe UI"/>
                <w:b/>
                <w:color w:val="212121"/>
                <w:sz w:val="20"/>
                <w:szCs w:val="20"/>
              </w:rPr>
            </w:pPr>
          </w:p>
        </w:tc>
        <w:tc>
          <w:tcPr>
            <w:tcW w:w="1252" w:type="dxa"/>
            <w:noWrap/>
            <w:hideMark/>
          </w:tcPr>
          <w:p w:rsidRPr="00CA0382" w:rsidR="00E463BE" w:rsidP="00576008" w:rsidRDefault="00E463BE" w14:paraId="21E3847D" w14:textId="445CAAF9">
            <w:pPr>
              <w:jc w:val="center"/>
              <w:rPr>
                <w:rFonts w:ascii="Segoe UI" w:hAnsi="Segoe UI" w:cs="Segoe UI"/>
                <w:b/>
                <w:color w:val="212121"/>
                <w:sz w:val="20"/>
                <w:szCs w:val="20"/>
              </w:rPr>
            </w:pPr>
            <w:r w:rsidRPr="00CA0382">
              <w:rPr>
                <w:b/>
                <w:color w:val="000000"/>
                <w:sz w:val="20"/>
                <w:szCs w:val="20"/>
              </w:rPr>
              <w:t>FY 20</w:t>
            </w:r>
            <w:r w:rsidRPr="00CA0382" w:rsidR="006166BD">
              <w:rPr>
                <w:b/>
                <w:color w:val="000000"/>
                <w:sz w:val="20"/>
                <w:szCs w:val="20"/>
              </w:rPr>
              <w:t>20</w:t>
            </w:r>
          </w:p>
        </w:tc>
        <w:tc>
          <w:tcPr>
            <w:tcW w:w="1433" w:type="dxa"/>
            <w:hideMark/>
          </w:tcPr>
          <w:p w:rsidRPr="00CA0382" w:rsidR="00E463BE" w:rsidP="00576008" w:rsidRDefault="00E463BE" w14:paraId="305E81E8" w14:textId="0C95272F">
            <w:pPr>
              <w:jc w:val="center"/>
              <w:rPr>
                <w:rFonts w:ascii="Segoe UI" w:hAnsi="Segoe UI" w:cs="Segoe UI"/>
                <w:b/>
                <w:color w:val="212121"/>
                <w:sz w:val="20"/>
                <w:szCs w:val="20"/>
              </w:rPr>
            </w:pPr>
            <w:r w:rsidRPr="00CA0382">
              <w:rPr>
                <w:b/>
                <w:color w:val="000000"/>
                <w:sz w:val="20"/>
                <w:szCs w:val="20"/>
              </w:rPr>
              <w:t>FY 20</w:t>
            </w:r>
            <w:r w:rsidRPr="00CA0382" w:rsidR="006166BD">
              <w:rPr>
                <w:b/>
                <w:color w:val="000000"/>
                <w:sz w:val="20"/>
                <w:szCs w:val="20"/>
              </w:rPr>
              <w:t>21</w:t>
            </w:r>
          </w:p>
        </w:tc>
        <w:tc>
          <w:tcPr>
            <w:tcW w:w="1421" w:type="dxa"/>
          </w:tcPr>
          <w:p w:rsidRPr="00CA0382" w:rsidR="00E463BE" w:rsidP="00576008" w:rsidRDefault="00E463BE" w14:paraId="34AA7A99" w14:textId="535E29A8">
            <w:pPr>
              <w:jc w:val="center"/>
              <w:rPr>
                <w:b/>
                <w:color w:val="000000"/>
                <w:sz w:val="20"/>
                <w:szCs w:val="20"/>
              </w:rPr>
            </w:pPr>
            <w:r w:rsidRPr="00CA0382">
              <w:rPr>
                <w:b/>
                <w:color w:val="000000"/>
                <w:sz w:val="20"/>
                <w:szCs w:val="20"/>
              </w:rPr>
              <w:t>FY 20</w:t>
            </w:r>
            <w:r w:rsidRPr="00CA0382" w:rsidR="006166BD">
              <w:rPr>
                <w:b/>
                <w:color w:val="000000"/>
                <w:sz w:val="20"/>
                <w:szCs w:val="20"/>
              </w:rPr>
              <w:t>22</w:t>
            </w:r>
          </w:p>
        </w:tc>
        <w:tc>
          <w:tcPr>
            <w:tcW w:w="2389" w:type="dxa"/>
            <w:hideMark/>
          </w:tcPr>
          <w:p w:rsidRPr="00CA0382" w:rsidR="00E463BE" w:rsidP="00576008" w:rsidRDefault="00E463BE" w14:paraId="0B2E06D8" w14:textId="77777777">
            <w:pPr>
              <w:jc w:val="center"/>
              <w:rPr>
                <w:rFonts w:ascii="Segoe UI" w:hAnsi="Segoe UI" w:cs="Segoe UI"/>
                <w:b/>
                <w:color w:val="212121"/>
                <w:sz w:val="20"/>
                <w:szCs w:val="20"/>
              </w:rPr>
            </w:pPr>
            <w:r w:rsidRPr="00CA0382">
              <w:rPr>
                <w:b/>
                <w:color w:val="000000"/>
                <w:sz w:val="20"/>
                <w:szCs w:val="20"/>
              </w:rPr>
              <w:t>Total</w:t>
            </w:r>
          </w:p>
        </w:tc>
      </w:tr>
      <w:tr w:rsidRPr="00F63C58" w:rsidR="00A51A0B" w:rsidTr="00E33B66" w14:paraId="36C16D0B" w14:textId="77777777">
        <w:trPr>
          <w:trHeight w:val="323"/>
        </w:trPr>
        <w:tc>
          <w:tcPr>
            <w:tcW w:w="9764" w:type="dxa"/>
            <w:gridSpan w:val="5"/>
            <w:noWrap/>
          </w:tcPr>
          <w:p w:rsidRPr="00CA0382" w:rsidR="00A51A0B" w:rsidP="00A51A0B" w:rsidRDefault="00A51A0B" w14:paraId="3E5AA6E5" w14:textId="70BB918F">
            <w:pPr>
              <w:rPr>
                <w:b/>
                <w:color w:val="000000"/>
                <w:sz w:val="20"/>
                <w:szCs w:val="20"/>
              </w:rPr>
            </w:pPr>
            <w:r w:rsidRPr="00CA0382">
              <w:rPr>
                <w:b/>
                <w:color w:val="000000"/>
                <w:sz w:val="20"/>
                <w:szCs w:val="20"/>
              </w:rPr>
              <w:t>Estimated Labor Cost by Functional Area</w:t>
            </w:r>
          </w:p>
        </w:tc>
      </w:tr>
      <w:tr w:rsidRPr="00F63C58" w:rsidR="006618DB" w:rsidTr="00A51A0B" w14:paraId="5001E9B4" w14:textId="77777777">
        <w:trPr>
          <w:trHeight w:val="300"/>
        </w:trPr>
        <w:tc>
          <w:tcPr>
            <w:tcW w:w="3269" w:type="dxa"/>
            <w:noWrap/>
            <w:hideMark/>
          </w:tcPr>
          <w:p w:rsidRPr="00CA0382" w:rsidR="00E463BE" w:rsidP="00A51A0B" w:rsidRDefault="00E463BE" w14:paraId="6528A9C9" w14:textId="77777777">
            <w:pPr>
              <w:ind w:left="156"/>
              <w:rPr>
                <w:color w:val="000000"/>
                <w:sz w:val="20"/>
                <w:szCs w:val="20"/>
              </w:rPr>
            </w:pPr>
            <w:r w:rsidRPr="00CA0382">
              <w:rPr>
                <w:color w:val="000000"/>
                <w:sz w:val="20"/>
                <w:szCs w:val="20"/>
              </w:rPr>
              <w:t>Survey management, requirements, analysis</w:t>
            </w:r>
          </w:p>
        </w:tc>
        <w:tc>
          <w:tcPr>
            <w:tcW w:w="1252" w:type="dxa"/>
            <w:noWrap/>
            <w:hideMark/>
          </w:tcPr>
          <w:p w:rsidRPr="00CA0382" w:rsidR="00E463BE" w:rsidP="007D62E6" w:rsidRDefault="00E463BE" w14:paraId="6406687F" w14:textId="1906C8D6">
            <w:pPr>
              <w:jc w:val="right"/>
              <w:rPr>
                <w:color w:val="000000"/>
                <w:sz w:val="20"/>
                <w:szCs w:val="20"/>
              </w:rPr>
            </w:pPr>
            <w:r w:rsidRPr="00CA0382">
              <w:rPr>
                <w:color w:val="000000"/>
                <w:sz w:val="20"/>
                <w:szCs w:val="20"/>
              </w:rPr>
              <w:t>$</w:t>
            </w:r>
            <w:r w:rsidRPr="00CA0382" w:rsidR="002A44FC">
              <w:rPr>
                <w:color w:val="000000"/>
                <w:sz w:val="20"/>
                <w:szCs w:val="20"/>
              </w:rPr>
              <w:t>42</w:t>
            </w:r>
            <w:r w:rsidR="007D62E6">
              <w:rPr>
                <w:color w:val="000000"/>
                <w:sz w:val="20"/>
                <w:szCs w:val="20"/>
              </w:rPr>
              <w:t>4</w:t>
            </w:r>
            <w:r w:rsidRPr="00CA0382" w:rsidR="002A44FC">
              <w:rPr>
                <w:color w:val="000000"/>
                <w:sz w:val="20"/>
                <w:szCs w:val="20"/>
              </w:rPr>
              <w:t>,</w:t>
            </w:r>
            <w:r w:rsidR="007D62E6">
              <w:rPr>
                <w:color w:val="000000"/>
                <w:sz w:val="20"/>
                <w:szCs w:val="20"/>
              </w:rPr>
              <w:t>5</w:t>
            </w:r>
            <w:r w:rsidRPr="00CA0382">
              <w:rPr>
                <w:color w:val="000000"/>
                <w:sz w:val="20"/>
                <w:szCs w:val="20"/>
              </w:rPr>
              <w:t>00</w:t>
            </w:r>
            <w:r w:rsidRPr="00CA0382" w:rsidR="00F63C58">
              <w:rPr>
                <w:color w:val="000000"/>
                <w:sz w:val="20"/>
                <w:szCs w:val="20"/>
              </w:rPr>
              <w:t>.00</w:t>
            </w:r>
          </w:p>
        </w:tc>
        <w:tc>
          <w:tcPr>
            <w:tcW w:w="1433" w:type="dxa"/>
            <w:noWrap/>
            <w:hideMark/>
          </w:tcPr>
          <w:p w:rsidRPr="00CA0382" w:rsidR="00E463BE" w:rsidP="007D62E6" w:rsidRDefault="00E463BE" w14:paraId="64E3C03A" w14:textId="2A4AF2A4">
            <w:pPr>
              <w:jc w:val="right"/>
              <w:rPr>
                <w:color w:val="000000"/>
                <w:sz w:val="20"/>
                <w:szCs w:val="20"/>
              </w:rPr>
            </w:pPr>
            <w:r w:rsidRPr="00CA0382">
              <w:rPr>
                <w:color w:val="000000"/>
                <w:sz w:val="20"/>
                <w:szCs w:val="20"/>
              </w:rPr>
              <w:t>$4</w:t>
            </w:r>
            <w:r w:rsidRPr="00CA0382" w:rsidR="002A44FC">
              <w:rPr>
                <w:color w:val="000000"/>
                <w:sz w:val="20"/>
                <w:szCs w:val="20"/>
              </w:rPr>
              <w:t>7</w:t>
            </w:r>
            <w:r w:rsidR="007D62E6">
              <w:rPr>
                <w:color w:val="000000"/>
                <w:sz w:val="20"/>
                <w:szCs w:val="20"/>
              </w:rPr>
              <w:t>0</w:t>
            </w:r>
            <w:r w:rsidRPr="00CA0382" w:rsidR="002A44FC">
              <w:rPr>
                <w:color w:val="000000"/>
                <w:sz w:val="20"/>
                <w:szCs w:val="20"/>
              </w:rPr>
              <w:t>,</w:t>
            </w:r>
            <w:r w:rsidR="007D62E6">
              <w:rPr>
                <w:color w:val="000000"/>
                <w:sz w:val="20"/>
                <w:szCs w:val="20"/>
              </w:rPr>
              <w:t>9</w:t>
            </w:r>
            <w:r w:rsidRPr="00CA0382" w:rsidR="002A44FC">
              <w:rPr>
                <w:color w:val="000000"/>
                <w:sz w:val="20"/>
                <w:szCs w:val="20"/>
              </w:rPr>
              <w:t>0</w:t>
            </w:r>
            <w:r w:rsidRPr="00CA0382">
              <w:rPr>
                <w:color w:val="000000"/>
                <w:sz w:val="20"/>
                <w:szCs w:val="20"/>
              </w:rPr>
              <w:t>0</w:t>
            </w:r>
            <w:r w:rsidRPr="00CA0382" w:rsidR="00F63C58">
              <w:rPr>
                <w:color w:val="000000"/>
                <w:sz w:val="20"/>
                <w:szCs w:val="20"/>
              </w:rPr>
              <w:t>.00</w:t>
            </w:r>
          </w:p>
        </w:tc>
        <w:tc>
          <w:tcPr>
            <w:tcW w:w="1421" w:type="dxa"/>
            <w:noWrap/>
            <w:hideMark/>
          </w:tcPr>
          <w:p w:rsidRPr="00CA0382" w:rsidR="00E463BE" w:rsidP="002A44FC" w:rsidRDefault="00E463BE" w14:paraId="10526716" w14:textId="7087CE9F">
            <w:pPr>
              <w:jc w:val="right"/>
              <w:rPr>
                <w:color w:val="000000"/>
                <w:sz w:val="20"/>
                <w:szCs w:val="20"/>
              </w:rPr>
            </w:pPr>
            <w:r w:rsidRPr="00CA0382">
              <w:rPr>
                <w:color w:val="000000"/>
                <w:sz w:val="20"/>
                <w:szCs w:val="20"/>
              </w:rPr>
              <w:t>$</w:t>
            </w:r>
            <w:r w:rsidRPr="00CA0382" w:rsidR="002A44FC">
              <w:rPr>
                <w:color w:val="000000"/>
                <w:sz w:val="20"/>
                <w:szCs w:val="20"/>
              </w:rPr>
              <w:t>506,5</w:t>
            </w:r>
            <w:r w:rsidRPr="00CA0382">
              <w:rPr>
                <w:color w:val="000000"/>
                <w:sz w:val="20"/>
                <w:szCs w:val="20"/>
              </w:rPr>
              <w:t>00</w:t>
            </w:r>
            <w:r w:rsidRPr="00CA0382" w:rsidR="00F63C58">
              <w:rPr>
                <w:color w:val="000000"/>
                <w:sz w:val="20"/>
                <w:szCs w:val="20"/>
              </w:rPr>
              <w:t>.00</w:t>
            </w:r>
          </w:p>
        </w:tc>
        <w:tc>
          <w:tcPr>
            <w:tcW w:w="2389" w:type="dxa"/>
            <w:noWrap/>
            <w:hideMark/>
          </w:tcPr>
          <w:p w:rsidRPr="00CA0382" w:rsidR="00E463BE" w:rsidP="007D62E6" w:rsidRDefault="00E463BE" w14:paraId="44496DB1" w14:textId="327DC866">
            <w:pPr>
              <w:jc w:val="right"/>
              <w:rPr>
                <w:color w:val="000000"/>
                <w:sz w:val="20"/>
                <w:szCs w:val="20"/>
              </w:rPr>
            </w:pPr>
            <w:r w:rsidRPr="00CA0382">
              <w:rPr>
                <w:color w:val="000000"/>
                <w:sz w:val="20"/>
                <w:szCs w:val="20"/>
              </w:rPr>
              <w:t>$</w:t>
            </w:r>
            <w:r w:rsidRPr="00CA0382" w:rsidR="002A44FC">
              <w:rPr>
                <w:color w:val="000000"/>
                <w:sz w:val="20"/>
                <w:szCs w:val="20"/>
              </w:rPr>
              <w:t>1,40</w:t>
            </w:r>
            <w:r w:rsidR="007D62E6">
              <w:rPr>
                <w:color w:val="000000"/>
                <w:sz w:val="20"/>
                <w:szCs w:val="20"/>
              </w:rPr>
              <w:t>1</w:t>
            </w:r>
            <w:r w:rsidRPr="00CA0382" w:rsidR="002A44FC">
              <w:rPr>
                <w:color w:val="000000"/>
                <w:sz w:val="20"/>
                <w:szCs w:val="20"/>
              </w:rPr>
              <w:t>,</w:t>
            </w:r>
            <w:r w:rsidR="007D62E6">
              <w:rPr>
                <w:color w:val="000000"/>
                <w:sz w:val="20"/>
                <w:szCs w:val="20"/>
              </w:rPr>
              <w:t>9</w:t>
            </w:r>
            <w:r w:rsidRPr="00CA0382" w:rsidR="002A44FC">
              <w:rPr>
                <w:color w:val="000000"/>
                <w:sz w:val="20"/>
                <w:szCs w:val="20"/>
              </w:rPr>
              <w:t>0</w:t>
            </w:r>
            <w:r w:rsidRPr="00CA0382">
              <w:rPr>
                <w:color w:val="000000"/>
                <w:sz w:val="20"/>
                <w:szCs w:val="20"/>
              </w:rPr>
              <w:t>0</w:t>
            </w:r>
            <w:r w:rsidRPr="00CA0382" w:rsidR="00F63C58">
              <w:rPr>
                <w:color w:val="000000"/>
                <w:sz w:val="20"/>
                <w:szCs w:val="20"/>
              </w:rPr>
              <w:t>.00</w:t>
            </w:r>
          </w:p>
        </w:tc>
      </w:tr>
      <w:tr w:rsidRPr="00F63C58" w:rsidR="006618DB" w:rsidTr="00A51A0B" w14:paraId="1D05B730" w14:textId="77777777">
        <w:trPr>
          <w:trHeight w:val="300"/>
        </w:trPr>
        <w:tc>
          <w:tcPr>
            <w:tcW w:w="3269" w:type="dxa"/>
            <w:noWrap/>
            <w:hideMark/>
          </w:tcPr>
          <w:p w:rsidRPr="00CA0382" w:rsidR="00E463BE" w:rsidP="00A51A0B" w:rsidRDefault="00E463BE" w14:paraId="746F8663" w14:textId="77777777">
            <w:pPr>
              <w:ind w:left="156"/>
              <w:rPr>
                <w:color w:val="000000"/>
                <w:sz w:val="20"/>
                <w:szCs w:val="20"/>
              </w:rPr>
            </w:pPr>
            <w:r w:rsidRPr="00CA0382">
              <w:rPr>
                <w:color w:val="000000"/>
                <w:sz w:val="20"/>
                <w:szCs w:val="20"/>
              </w:rPr>
              <w:t>Project management and coordination</w:t>
            </w:r>
          </w:p>
        </w:tc>
        <w:tc>
          <w:tcPr>
            <w:tcW w:w="1252" w:type="dxa"/>
            <w:noWrap/>
            <w:hideMark/>
          </w:tcPr>
          <w:p w:rsidRPr="00CA0382" w:rsidR="00E463BE" w:rsidP="002A44FC" w:rsidRDefault="00E463BE" w14:paraId="758388A9" w14:textId="3F990274">
            <w:pPr>
              <w:jc w:val="right"/>
              <w:rPr>
                <w:color w:val="000000"/>
                <w:sz w:val="20"/>
                <w:szCs w:val="20"/>
              </w:rPr>
            </w:pPr>
            <w:r w:rsidRPr="00CA0382">
              <w:rPr>
                <w:color w:val="000000"/>
                <w:sz w:val="20"/>
                <w:szCs w:val="20"/>
              </w:rPr>
              <w:t>$</w:t>
            </w:r>
            <w:r w:rsidRPr="00CA0382" w:rsidR="002A44FC">
              <w:rPr>
                <w:color w:val="000000"/>
                <w:sz w:val="20"/>
                <w:szCs w:val="20"/>
              </w:rPr>
              <w:t>23</w:t>
            </w:r>
            <w:r w:rsidRPr="00CA0382">
              <w:rPr>
                <w:color w:val="000000"/>
                <w:sz w:val="20"/>
                <w:szCs w:val="20"/>
              </w:rPr>
              <w:t>,000</w:t>
            </w:r>
            <w:r w:rsidRPr="00CA0382" w:rsidR="00F63C58">
              <w:rPr>
                <w:color w:val="000000"/>
                <w:sz w:val="20"/>
                <w:szCs w:val="20"/>
              </w:rPr>
              <w:t>.00</w:t>
            </w:r>
          </w:p>
        </w:tc>
        <w:tc>
          <w:tcPr>
            <w:tcW w:w="1433" w:type="dxa"/>
            <w:noWrap/>
            <w:hideMark/>
          </w:tcPr>
          <w:p w:rsidRPr="00CA0382" w:rsidR="00E463BE" w:rsidP="002A44FC" w:rsidRDefault="00E463BE" w14:paraId="521EAF9C" w14:textId="156EAFA5">
            <w:pPr>
              <w:jc w:val="right"/>
              <w:rPr>
                <w:color w:val="000000"/>
                <w:sz w:val="20"/>
                <w:szCs w:val="20"/>
              </w:rPr>
            </w:pPr>
            <w:r w:rsidRPr="00CA0382">
              <w:rPr>
                <w:color w:val="000000"/>
                <w:sz w:val="20"/>
                <w:szCs w:val="20"/>
              </w:rPr>
              <w:t>$</w:t>
            </w:r>
            <w:r w:rsidRPr="00CA0382" w:rsidR="002A44FC">
              <w:rPr>
                <w:color w:val="000000"/>
                <w:sz w:val="20"/>
                <w:szCs w:val="20"/>
              </w:rPr>
              <w:t>58</w:t>
            </w:r>
            <w:r w:rsidRPr="00CA0382">
              <w:rPr>
                <w:color w:val="000000"/>
                <w:sz w:val="20"/>
                <w:szCs w:val="20"/>
              </w:rPr>
              <w:t>,</w:t>
            </w:r>
            <w:r w:rsidRPr="00CA0382" w:rsidR="002A44FC">
              <w:rPr>
                <w:color w:val="000000"/>
                <w:sz w:val="20"/>
                <w:szCs w:val="20"/>
              </w:rPr>
              <w:t>2</w:t>
            </w:r>
            <w:r w:rsidRPr="00CA0382">
              <w:rPr>
                <w:color w:val="000000"/>
                <w:sz w:val="20"/>
                <w:szCs w:val="20"/>
              </w:rPr>
              <w:t>00</w:t>
            </w:r>
            <w:r w:rsidRPr="00CA0382" w:rsidR="00F63C58">
              <w:rPr>
                <w:color w:val="000000"/>
                <w:sz w:val="20"/>
                <w:szCs w:val="20"/>
              </w:rPr>
              <w:t>.00</w:t>
            </w:r>
          </w:p>
        </w:tc>
        <w:tc>
          <w:tcPr>
            <w:tcW w:w="1421" w:type="dxa"/>
            <w:noWrap/>
            <w:hideMark/>
          </w:tcPr>
          <w:p w:rsidRPr="00CA0382" w:rsidR="00E463BE" w:rsidP="002A44FC" w:rsidRDefault="00E463BE" w14:paraId="7E43C304" w14:textId="322E2448">
            <w:pPr>
              <w:jc w:val="right"/>
              <w:rPr>
                <w:color w:val="000000"/>
                <w:sz w:val="20"/>
                <w:szCs w:val="20"/>
              </w:rPr>
            </w:pPr>
            <w:r w:rsidRPr="00CA0382">
              <w:rPr>
                <w:color w:val="000000"/>
                <w:sz w:val="20"/>
                <w:szCs w:val="20"/>
              </w:rPr>
              <w:t>$</w:t>
            </w:r>
            <w:r w:rsidRPr="00CA0382" w:rsidR="002A44FC">
              <w:rPr>
                <w:color w:val="000000"/>
                <w:sz w:val="20"/>
                <w:szCs w:val="20"/>
              </w:rPr>
              <w:t>6</w:t>
            </w:r>
            <w:r w:rsidRPr="00CA0382">
              <w:rPr>
                <w:color w:val="000000"/>
                <w:sz w:val="20"/>
                <w:szCs w:val="20"/>
              </w:rPr>
              <w:t>0,000</w:t>
            </w:r>
            <w:r w:rsidRPr="00CA0382" w:rsidR="00F63C58">
              <w:rPr>
                <w:color w:val="000000"/>
                <w:sz w:val="20"/>
                <w:szCs w:val="20"/>
              </w:rPr>
              <w:t>.00</w:t>
            </w:r>
          </w:p>
        </w:tc>
        <w:tc>
          <w:tcPr>
            <w:tcW w:w="2389" w:type="dxa"/>
            <w:noWrap/>
            <w:hideMark/>
          </w:tcPr>
          <w:p w:rsidRPr="00CA0382" w:rsidR="00E463BE" w:rsidP="002A44FC" w:rsidRDefault="00E463BE" w14:paraId="089D7E5F" w14:textId="00527C8F">
            <w:pPr>
              <w:jc w:val="right"/>
              <w:rPr>
                <w:color w:val="000000"/>
                <w:sz w:val="20"/>
                <w:szCs w:val="20"/>
              </w:rPr>
            </w:pPr>
            <w:r w:rsidRPr="00CA0382">
              <w:rPr>
                <w:color w:val="000000"/>
                <w:sz w:val="20"/>
                <w:szCs w:val="20"/>
              </w:rPr>
              <w:t>$1</w:t>
            </w:r>
            <w:r w:rsidRPr="00CA0382" w:rsidR="002A44FC">
              <w:rPr>
                <w:color w:val="000000"/>
                <w:sz w:val="20"/>
                <w:szCs w:val="20"/>
              </w:rPr>
              <w:t>41</w:t>
            </w:r>
            <w:r w:rsidRPr="00CA0382">
              <w:rPr>
                <w:color w:val="000000"/>
                <w:sz w:val="20"/>
                <w:szCs w:val="20"/>
              </w:rPr>
              <w:t>,</w:t>
            </w:r>
            <w:r w:rsidRPr="00CA0382" w:rsidR="002A44FC">
              <w:rPr>
                <w:color w:val="000000"/>
                <w:sz w:val="20"/>
                <w:szCs w:val="20"/>
              </w:rPr>
              <w:t>2</w:t>
            </w:r>
            <w:r w:rsidRPr="00CA0382">
              <w:rPr>
                <w:color w:val="000000"/>
                <w:sz w:val="20"/>
                <w:szCs w:val="20"/>
              </w:rPr>
              <w:t>00</w:t>
            </w:r>
            <w:r w:rsidRPr="00CA0382" w:rsidR="00F63C58">
              <w:rPr>
                <w:color w:val="000000"/>
                <w:sz w:val="20"/>
                <w:szCs w:val="20"/>
              </w:rPr>
              <w:t>.00</w:t>
            </w:r>
          </w:p>
        </w:tc>
      </w:tr>
      <w:tr w:rsidRPr="00F63C58" w:rsidR="006618DB" w:rsidTr="00A51A0B" w14:paraId="7091FA76" w14:textId="77777777">
        <w:trPr>
          <w:trHeight w:val="300"/>
        </w:trPr>
        <w:tc>
          <w:tcPr>
            <w:tcW w:w="3269" w:type="dxa"/>
            <w:noWrap/>
            <w:hideMark/>
          </w:tcPr>
          <w:p w:rsidRPr="00CA0382" w:rsidR="00E463BE" w:rsidP="00A51A0B" w:rsidRDefault="00E463BE" w14:paraId="7F517A82" w14:textId="77777777">
            <w:pPr>
              <w:ind w:left="156"/>
              <w:rPr>
                <w:color w:val="000000"/>
                <w:sz w:val="20"/>
                <w:szCs w:val="20"/>
              </w:rPr>
            </w:pPr>
            <w:r w:rsidRPr="00CA0382">
              <w:rPr>
                <w:color w:val="000000"/>
                <w:sz w:val="20"/>
                <w:szCs w:val="20"/>
              </w:rPr>
              <w:t>Methodology</w:t>
            </w:r>
          </w:p>
        </w:tc>
        <w:tc>
          <w:tcPr>
            <w:tcW w:w="1252" w:type="dxa"/>
            <w:noWrap/>
            <w:hideMark/>
          </w:tcPr>
          <w:p w:rsidRPr="00CA0382" w:rsidR="00E463BE" w:rsidP="002A44FC" w:rsidRDefault="00E463BE" w14:paraId="73D5D7C4" w14:textId="42098D1F">
            <w:pPr>
              <w:jc w:val="right"/>
              <w:rPr>
                <w:color w:val="000000"/>
                <w:sz w:val="20"/>
                <w:szCs w:val="20"/>
              </w:rPr>
            </w:pPr>
            <w:r w:rsidRPr="00CA0382">
              <w:rPr>
                <w:color w:val="000000"/>
                <w:sz w:val="20"/>
                <w:szCs w:val="20"/>
              </w:rPr>
              <w:t>$</w:t>
            </w:r>
            <w:r w:rsidRPr="00CA0382" w:rsidR="002A44FC">
              <w:rPr>
                <w:color w:val="000000"/>
                <w:sz w:val="20"/>
                <w:szCs w:val="20"/>
              </w:rPr>
              <w:t>208</w:t>
            </w:r>
            <w:r w:rsidRPr="00CA0382">
              <w:rPr>
                <w:color w:val="000000"/>
                <w:sz w:val="20"/>
                <w:szCs w:val="20"/>
              </w:rPr>
              <w:t>,</w:t>
            </w:r>
            <w:r w:rsidRPr="00CA0382" w:rsidR="002A44FC">
              <w:rPr>
                <w:color w:val="000000"/>
                <w:sz w:val="20"/>
                <w:szCs w:val="20"/>
              </w:rPr>
              <w:t>3</w:t>
            </w:r>
            <w:r w:rsidRPr="00CA0382">
              <w:rPr>
                <w:color w:val="000000"/>
                <w:sz w:val="20"/>
                <w:szCs w:val="20"/>
              </w:rPr>
              <w:t>00</w:t>
            </w:r>
            <w:r w:rsidRPr="00CA0382" w:rsidR="00F63C58">
              <w:rPr>
                <w:color w:val="000000"/>
                <w:sz w:val="20"/>
                <w:szCs w:val="20"/>
              </w:rPr>
              <w:t>.00</w:t>
            </w:r>
          </w:p>
        </w:tc>
        <w:tc>
          <w:tcPr>
            <w:tcW w:w="1433" w:type="dxa"/>
            <w:noWrap/>
            <w:hideMark/>
          </w:tcPr>
          <w:p w:rsidRPr="00CA0382" w:rsidR="00E463BE" w:rsidP="007D62E6" w:rsidRDefault="00E463BE" w14:paraId="6DC374DC" w14:textId="39245AB4">
            <w:pPr>
              <w:jc w:val="right"/>
              <w:rPr>
                <w:color w:val="000000"/>
                <w:sz w:val="20"/>
                <w:szCs w:val="20"/>
              </w:rPr>
            </w:pPr>
            <w:r w:rsidRPr="00CA0382">
              <w:rPr>
                <w:color w:val="000000"/>
                <w:sz w:val="20"/>
                <w:szCs w:val="20"/>
              </w:rPr>
              <w:t>$</w:t>
            </w:r>
            <w:r w:rsidRPr="00CA0382" w:rsidR="002A44FC">
              <w:rPr>
                <w:color w:val="000000"/>
                <w:sz w:val="20"/>
                <w:szCs w:val="20"/>
              </w:rPr>
              <w:t>3</w:t>
            </w:r>
            <w:r w:rsidR="007D62E6">
              <w:rPr>
                <w:color w:val="000000"/>
                <w:sz w:val="20"/>
                <w:szCs w:val="20"/>
              </w:rPr>
              <w:t>78</w:t>
            </w:r>
            <w:r w:rsidRPr="00CA0382">
              <w:rPr>
                <w:color w:val="000000"/>
                <w:sz w:val="20"/>
                <w:szCs w:val="20"/>
              </w:rPr>
              <w:t>,</w:t>
            </w:r>
            <w:r w:rsidR="007D62E6">
              <w:rPr>
                <w:color w:val="000000"/>
                <w:sz w:val="20"/>
                <w:szCs w:val="20"/>
              </w:rPr>
              <w:t>0</w:t>
            </w:r>
            <w:r w:rsidRPr="00CA0382">
              <w:rPr>
                <w:color w:val="000000"/>
                <w:sz w:val="20"/>
                <w:szCs w:val="20"/>
              </w:rPr>
              <w:t>00</w:t>
            </w:r>
            <w:r w:rsidRPr="00CA0382" w:rsidR="00F63C58">
              <w:rPr>
                <w:color w:val="000000"/>
                <w:sz w:val="20"/>
                <w:szCs w:val="20"/>
              </w:rPr>
              <w:t>.00</w:t>
            </w:r>
          </w:p>
        </w:tc>
        <w:tc>
          <w:tcPr>
            <w:tcW w:w="1421" w:type="dxa"/>
            <w:noWrap/>
            <w:hideMark/>
          </w:tcPr>
          <w:p w:rsidRPr="00CA0382" w:rsidR="00E463BE" w:rsidP="00576008" w:rsidRDefault="00E463BE" w14:paraId="7E670318" w14:textId="6BBD95BD">
            <w:pPr>
              <w:jc w:val="right"/>
              <w:rPr>
                <w:color w:val="000000"/>
                <w:sz w:val="20"/>
                <w:szCs w:val="20"/>
              </w:rPr>
            </w:pPr>
            <w:r w:rsidRPr="00CA0382">
              <w:rPr>
                <w:color w:val="000000"/>
                <w:sz w:val="20"/>
                <w:szCs w:val="20"/>
              </w:rPr>
              <w:t>$386,000</w:t>
            </w:r>
            <w:r w:rsidRPr="00CA0382" w:rsidR="00F63C58">
              <w:rPr>
                <w:color w:val="000000"/>
                <w:sz w:val="20"/>
                <w:szCs w:val="20"/>
              </w:rPr>
              <w:t>.00</w:t>
            </w:r>
          </w:p>
        </w:tc>
        <w:tc>
          <w:tcPr>
            <w:tcW w:w="2389" w:type="dxa"/>
            <w:noWrap/>
            <w:hideMark/>
          </w:tcPr>
          <w:p w:rsidRPr="00CA0382" w:rsidR="00E463BE" w:rsidP="007D62E6" w:rsidRDefault="00E463BE" w14:paraId="50EEB491" w14:textId="30E3AE16">
            <w:pPr>
              <w:jc w:val="right"/>
              <w:rPr>
                <w:color w:val="000000"/>
                <w:sz w:val="20"/>
                <w:szCs w:val="20"/>
              </w:rPr>
            </w:pPr>
            <w:r w:rsidRPr="00CA0382">
              <w:rPr>
                <w:color w:val="000000"/>
                <w:sz w:val="20"/>
                <w:szCs w:val="20"/>
              </w:rPr>
              <w:t>$9</w:t>
            </w:r>
            <w:r w:rsidR="007D62E6">
              <w:rPr>
                <w:color w:val="000000"/>
                <w:sz w:val="20"/>
                <w:szCs w:val="20"/>
              </w:rPr>
              <w:t>72</w:t>
            </w:r>
            <w:r w:rsidRPr="00CA0382">
              <w:rPr>
                <w:color w:val="000000"/>
                <w:sz w:val="20"/>
                <w:szCs w:val="20"/>
              </w:rPr>
              <w:t>,</w:t>
            </w:r>
            <w:r w:rsidR="007D62E6">
              <w:rPr>
                <w:color w:val="000000"/>
                <w:sz w:val="20"/>
                <w:szCs w:val="20"/>
              </w:rPr>
              <w:t>3</w:t>
            </w:r>
            <w:r w:rsidRPr="00CA0382">
              <w:rPr>
                <w:color w:val="000000"/>
                <w:sz w:val="20"/>
                <w:szCs w:val="20"/>
              </w:rPr>
              <w:t>00</w:t>
            </w:r>
            <w:r w:rsidRPr="00CA0382" w:rsidR="00F63C58">
              <w:rPr>
                <w:color w:val="000000"/>
                <w:sz w:val="20"/>
                <w:szCs w:val="20"/>
              </w:rPr>
              <w:t>.00</w:t>
            </w:r>
          </w:p>
        </w:tc>
      </w:tr>
      <w:tr w:rsidRPr="00F63C58" w:rsidR="006618DB" w:rsidTr="00A51A0B" w14:paraId="10B1F107" w14:textId="77777777">
        <w:trPr>
          <w:trHeight w:val="300"/>
        </w:trPr>
        <w:tc>
          <w:tcPr>
            <w:tcW w:w="3269" w:type="dxa"/>
            <w:noWrap/>
            <w:hideMark/>
          </w:tcPr>
          <w:p w:rsidRPr="00CA0382" w:rsidR="00E463BE" w:rsidP="00A51A0B" w:rsidRDefault="00E463BE" w14:paraId="2B426E44" w14:textId="335B88F3">
            <w:pPr>
              <w:ind w:left="156"/>
              <w:rPr>
                <w:color w:val="000000"/>
                <w:sz w:val="20"/>
                <w:szCs w:val="20"/>
              </w:rPr>
            </w:pPr>
            <w:r w:rsidRPr="00CA0382">
              <w:rPr>
                <w:color w:val="000000"/>
                <w:sz w:val="20"/>
                <w:szCs w:val="20"/>
              </w:rPr>
              <w:t xml:space="preserve">Centurion instrument </w:t>
            </w:r>
          </w:p>
        </w:tc>
        <w:tc>
          <w:tcPr>
            <w:tcW w:w="1252" w:type="dxa"/>
            <w:noWrap/>
            <w:hideMark/>
          </w:tcPr>
          <w:p w:rsidRPr="00CA0382" w:rsidR="00E463BE" w:rsidP="00122CBE" w:rsidRDefault="00E463BE" w14:paraId="2E8CE1AC" w14:textId="13A83AD4">
            <w:pPr>
              <w:jc w:val="right"/>
              <w:rPr>
                <w:color w:val="000000"/>
                <w:sz w:val="20"/>
                <w:szCs w:val="20"/>
              </w:rPr>
            </w:pPr>
            <w:r w:rsidRPr="00CA0382">
              <w:rPr>
                <w:color w:val="000000"/>
                <w:sz w:val="20"/>
                <w:szCs w:val="20"/>
              </w:rPr>
              <w:t>$0</w:t>
            </w:r>
            <w:r w:rsidRPr="00CA0382" w:rsidR="00F63C58">
              <w:rPr>
                <w:color w:val="000000"/>
                <w:sz w:val="20"/>
                <w:szCs w:val="20"/>
              </w:rPr>
              <w:t>.00</w:t>
            </w:r>
          </w:p>
        </w:tc>
        <w:tc>
          <w:tcPr>
            <w:tcW w:w="1433" w:type="dxa"/>
            <w:noWrap/>
            <w:hideMark/>
          </w:tcPr>
          <w:p w:rsidRPr="00CA0382" w:rsidR="00E463BE" w:rsidP="00122CBE" w:rsidRDefault="00E463BE" w14:paraId="6DBA5B73" w14:textId="39549594">
            <w:pPr>
              <w:jc w:val="right"/>
              <w:rPr>
                <w:color w:val="000000"/>
                <w:sz w:val="20"/>
                <w:szCs w:val="20"/>
              </w:rPr>
            </w:pPr>
            <w:r w:rsidRPr="00CA0382">
              <w:rPr>
                <w:color w:val="000000"/>
                <w:sz w:val="20"/>
                <w:szCs w:val="20"/>
              </w:rPr>
              <w:t>$</w:t>
            </w:r>
            <w:r w:rsidRPr="00CA0382" w:rsidR="00122CBE">
              <w:rPr>
                <w:color w:val="000000"/>
                <w:sz w:val="20"/>
                <w:szCs w:val="20"/>
              </w:rPr>
              <w:t>110</w:t>
            </w:r>
            <w:r w:rsidRPr="00CA0382">
              <w:rPr>
                <w:color w:val="000000"/>
                <w:sz w:val="20"/>
                <w:szCs w:val="20"/>
              </w:rPr>
              <w:t>,000</w:t>
            </w:r>
            <w:r w:rsidRPr="00CA0382" w:rsidR="00F63C58">
              <w:rPr>
                <w:color w:val="000000"/>
                <w:sz w:val="20"/>
                <w:szCs w:val="20"/>
              </w:rPr>
              <w:t>.00</w:t>
            </w:r>
          </w:p>
        </w:tc>
        <w:tc>
          <w:tcPr>
            <w:tcW w:w="1421" w:type="dxa"/>
            <w:noWrap/>
            <w:hideMark/>
          </w:tcPr>
          <w:p w:rsidRPr="00CA0382" w:rsidR="00E463BE" w:rsidP="00576008" w:rsidRDefault="00122CBE" w14:paraId="21532E0F" w14:textId="7E5E19EA">
            <w:pPr>
              <w:jc w:val="right"/>
              <w:rPr>
                <w:color w:val="000000"/>
                <w:sz w:val="20"/>
                <w:szCs w:val="20"/>
              </w:rPr>
            </w:pPr>
            <w:r w:rsidRPr="00CA0382">
              <w:rPr>
                <w:color w:val="000000"/>
                <w:sz w:val="20"/>
                <w:szCs w:val="20"/>
              </w:rPr>
              <w:t>$20,000.00</w:t>
            </w:r>
          </w:p>
        </w:tc>
        <w:tc>
          <w:tcPr>
            <w:tcW w:w="2389" w:type="dxa"/>
            <w:noWrap/>
            <w:hideMark/>
          </w:tcPr>
          <w:p w:rsidRPr="00CA0382" w:rsidR="00E463BE" w:rsidP="00576008" w:rsidRDefault="00122CBE" w14:paraId="0F1AC2DA" w14:textId="26921950">
            <w:pPr>
              <w:jc w:val="right"/>
              <w:rPr>
                <w:color w:val="000000"/>
                <w:sz w:val="20"/>
                <w:szCs w:val="20"/>
              </w:rPr>
            </w:pPr>
            <w:r w:rsidRPr="00CA0382">
              <w:rPr>
                <w:color w:val="000000"/>
                <w:sz w:val="20"/>
                <w:szCs w:val="20"/>
              </w:rPr>
              <w:t>$130,000.00</w:t>
            </w:r>
          </w:p>
        </w:tc>
      </w:tr>
      <w:tr w:rsidRPr="00F63C58" w:rsidR="006618DB" w:rsidTr="00A51A0B" w14:paraId="2FF0E33E" w14:textId="77777777">
        <w:trPr>
          <w:trHeight w:val="300"/>
        </w:trPr>
        <w:tc>
          <w:tcPr>
            <w:tcW w:w="3269" w:type="dxa"/>
            <w:noWrap/>
            <w:hideMark/>
          </w:tcPr>
          <w:p w:rsidRPr="00CA0382" w:rsidR="00E463BE" w:rsidP="00A51A0B" w:rsidRDefault="00122CBE" w14:paraId="15784621" w14:textId="4A8AFB39">
            <w:pPr>
              <w:ind w:left="156"/>
              <w:rPr>
                <w:color w:val="000000"/>
                <w:sz w:val="20"/>
                <w:szCs w:val="20"/>
              </w:rPr>
            </w:pPr>
            <w:r w:rsidRPr="00CA0382">
              <w:rPr>
                <w:color w:val="000000"/>
                <w:sz w:val="20"/>
                <w:szCs w:val="20"/>
              </w:rPr>
              <w:t>Field c</w:t>
            </w:r>
            <w:r w:rsidRPr="00CA0382" w:rsidR="00E463BE">
              <w:rPr>
                <w:color w:val="000000"/>
                <w:sz w:val="20"/>
                <w:szCs w:val="20"/>
              </w:rPr>
              <w:t xml:space="preserve">ase management </w:t>
            </w:r>
            <w:r w:rsidRPr="00CA0382">
              <w:rPr>
                <w:color w:val="000000"/>
                <w:sz w:val="20"/>
                <w:szCs w:val="20"/>
              </w:rPr>
              <w:t>system</w:t>
            </w:r>
          </w:p>
        </w:tc>
        <w:tc>
          <w:tcPr>
            <w:tcW w:w="1252" w:type="dxa"/>
            <w:noWrap/>
            <w:hideMark/>
          </w:tcPr>
          <w:p w:rsidRPr="00CA0382" w:rsidR="00E463BE" w:rsidP="00576008" w:rsidRDefault="00E463BE" w14:paraId="42271663" w14:textId="2C114E86">
            <w:pPr>
              <w:jc w:val="right"/>
              <w:rPr>
                <w:color w:val="000000"/>
                <w:sz w:val="20"/>
                <w:szCs w:val="20"/>
              </w:rPr>
            </w:pPr>
            <w:r w:rsidRPr="00CA0382">
              <w:rPr>
                <w:color w:val="000000"/>
                <w:sz w:val="20"/>
                <w:szCs w:val="20"/>
              </w:rPr>
              <w:t>$0</w:t>
            </w:r>
            <w:r w:rsidRPr="00CA0382" w:rsidR="00F63C58">
              <w:rPr>
                <w:color w:val="000000"/>
                <w:sz w:val="20"/>
                <w:szCs w:val="20"/>
              </w:rPr>
              <w:t>.00</w:t>
            </w:r>
          </w:p>
        </w:tc>
        <w:tc>
          <w:tcPr>
            <w:tcW w:w="1433" w:type="dxa"/>
            <w:noWrap/>
            <w:hideMark/>
          </w:tcPr>
          <w:p w:rsidRPr="00CA0382" w:rsidR="00E463BE" w:rsidP="00122CBE" w:rsidRDefault="00E463BE" w14:paraId="7092A8DB" w14:textId="53D5B951">
            <w:pPr>
              <w:jc w:val="right"/>
              <w:rPr>
                <w:color w:val="000000"/>
                <w:sz w:val="20"/>
                <w:szCs w:val="20"/>
              </w:rPr>
            </w:pPr>
            <w:r w:rsidRPr="00CA0382">
              <w:rPr>
                <w:color w:val="000000"/>
                <w:sz w:val="20"/>
                <w:szCs w:val="20"/>
              </w:rPr>
              <w:t>$15</w:t>
            </w:r>
            <w:r w:rsidRPr="00CA0382" w:rsidR="00122CBE">
              <w:rPr>
                <w:color w:val="000000"/>
                <w:sz w:val="20"/>
                <w:szCs w:val="20"/>
              </w:rPr>
              <w:t>5</w:t>
            </w:r>
            <w:r w:rsidRPr="00CA0382">
              <w:rPr>
                <w:color w:val="000000"/>
                <w:sz w:val="20"/>
                <w:szCs w:val="20"/>
              </w:rPr>
              <w:t>,000</w:t>
            </w:r>
            <w:r w:rsidRPr="00CA0382" w:rsidR="00F63C58">
              <w:rPr>
                <w:color w:val="000000"/>
                <w:sz w:val="20"/>
                <w:szCs w:val="20"/>
              </w:rPr>
              <w:t>.00</w:t>
            </w:r>
          </w:p>
        </w:tc>
        <w:tc>
          <w:tcPr>
            <w:tcW w:w="1421" w:type="dxa"/>
            <w:noWrap/>
            <w:hideMark/>
          </w:tcPr>
          <w:p w:rsidRPr="00CA0382" w:rsidR="00E463BE" w:rsidP="00576008" w:rsidRDefault="00E463BE" w14:paraId="4564D20B" w14:textId="78D06CB9">
            <w:pPr>
              <w:jc w:val="right"/>
              <w:rPr>
                <w:color w:val="000000"/>
                <w:sz w:val="20"/>
                <w:szCs w:val="20"/>
              </w:rPr>
            </w:pPr>
            <w:r w:rsidRPr="00CA0382">
              <w:rPr>
                <w:color w:val="000000"/>
                <w:sz w:val="20"/>
                <w:szCs w:val="20"/>
              </w:rPr>
              <w:t>$</w:t>
            </w:r>
            <w:r w:rsidRPr="00CA0382" w:rsidR="00122CBE">
              <w:rPr>
                <w:color w:val="000000"/>
                <w:sz w:val="20"/>
                <w:szCs w:val="20"/>
              </w:rPr>
              <w:t>25,00</w:t>
            </w:r>
            <w:r w:rsidRPr="00CA0382">
              <w:rPr>
                <w:color w:val="000000"/>
                <w:sz w:val="20"/>
                <w:szCs w:val="20"/>
              </w:rPr>
              <w:t>0</w:t>
            </w:r>
            <w:r w:rsidRPr="00CA0382" w:rsidR="00F63C58">
              <w:rPr>
                <w:color w:val="000000"/>
                <w:sz w:val="20"/>
                <w:szCs w:val="20"/>
              </w:rPr>
              <w:t>.00</w:t>
            </w:r>
          </w:p>
        </w:tc>
        <w:tc>
          <w:tcPr>
            <w:tcW w:w="2389" w:type="dxa"/>
            <w:noWrap/>
            <w:hideMark/>
          </w:tcPr>
          <w:p w:rsidRPr="00CA0382" w:rsidR="00E463BE" w:rsidP="00122CBE" w:rsidRDefault="00E463BE" w14:paraId="47DACCD5" w14:textId="69C0DA49">
            <w:pPr>
              <w:jc w:val="right"/>
              <w:rPr>
                <w:color w:val="000000"/>
                <w:sz w:val="20"/>
                <w:szCs w:val="20"/>
              </w:rPr>
            </w:pPr>
            <w:r w:rsidRPr="00CA0382">
              <w:rPr>
                <w:color w:val="000000"/>
                <w:sz w:val="20"/>
                <w:szCs w:val="20"/>
              </w:rPr>
              <w:t>$</w:t>
            </w:r>
            <w:r w:rsidRPr="00CA0382" w:rsidR="00122CBE">
              <w:rPr>
                <w:color w:val="000000"/>
                <w:sz w:val="20"/>
                <w:szCs w:val="20"/>
              </w:rPr>
              <w:t>180</w:t>
            </w:r>
            <w:r w:rsidRPr="00CA0382">
              <w:rPr>
                <w:color w:val="000000"/>
                <w:sz w:val="20"/>
                <w:szCs w:val="20"/>
              </w:rPr>
              <w:t>,000</w:t>
            </w:r>
            <w:r w:rsidRPr="00CA0382" w:rsidR="00F63C58">
              <w:rPr>
                <w:color w:val="000000"/>
                <w:sz w:val="20"/>
                <w:szCs w:val="20"/>
              </w:rPr>
              <w:t>.00</w:t>
            </w:r>
          </w:p>
        </w:tc>
      </w:tr>
      <w:tr w:rsidRPr="00F63C58" w:rsidR="006618DB" w:rsidTr="00A51A0B" w14:paraId="2E9ECAE3" w14:textId="77777777">
        <w:trPr>
          <w:trHeight w:val="300"/>
        </w:trPr>
        <w:tc>
          <w:tcPr>
            <w:tcW w:w="3269" w:type="dxa"/>
            <w:noWrap/>
            <w:hideMark/>
          </w:tcPr>
          <w:p w:rsidRPr="00CA0382" w:rsidR="00E463BE" w:rsidP="00A51A0B" w:rsidRDefault="00E463BE" w14:paraId="474A8F86" w14:textId="50E1C03C">
            <w:pPr>
              <w:ind w:left="156"/>
              <w:rPr>
                <w:color w:val="000000"/>
                <w:sz w:val="20"/>
                <w:szCs w:val="20"/>
              </w:rPr>
            </w:pPr>
            <w:r w:rsidRPr="00CA0382">
              <w:rPr>
                <w:color w:val="000000"/>
                <w:sz w:val="20"/>
                <w:szCs w:val="20"/>
              </w:rPr>
              <w:t>Printing</w:t>
            </w:r>
            <w:r w:rsidR="00E456A8">
              <w:rPr>
                <w:color w:val="000000"/>
                <w:sz w:val="20"/>
                <w:szCs w:val="20"/>
              </w:rPr>
              <w:t xml:space="preserve">, </w:t>
            </w:r>
            <w:r w:rsidRPr="00CA0382">
              <w:rPr>
                <w:color w:val="000000"/>
                <w:sz w:val="20"/>
                <w:szCs w:val="20"/>
              </w:rPr>
              <w:t>mailout</w:t>
            </w:r>
            <w:r w:rsidR="00E456A8">
              <w:rPr>
                <w:color w:val="000000"/>
                <w:sz w:val="20"/>
                <w:szCs w:val="20"/>
              </w:rPr>
              <w:t>, respondent inquiries</w:t>
            </w:r>
          </w:p>
        </w:tc>
        <w:tc>
          <w:tcPr>
            <w:tcW w:w="1252" w:type="dxa"/>
            <w:noWrap/>
            <w:hideMark/>
          </w:tcPr>
          <w:p w:rsidRPr="00CA0382" w:rsidR="00E463BE" w:rsidP="00576008" w:rsidRDefault="00E463BE" w14:paraId="1270E4E5" w14:textId="218D9144">
            <w:pPr>
              <w:jc w:val="right"/>
              <w:rPr>
                <w:color w:val="000000"/>
                <w:sz w:val="20"/>
                <w:szCs w:val="20"/>
              </w:rPr>
            </w:pPr>
            <w:r w:rsidRPr="00CA0382">
              <w:rPr>
                <w:color w:val="000000"/>
                <w:sz w:val="20"/>
                <w:szCs w:val="20"/>
              </w:rPr>
              <w:t>$0</w:t>
            </w:r>
            <w:r w:rsidRPr="00CA0382" w:rsidR="00F63C58">
              <w:rPr>
                <w:color w:val="000000"/>
                <w:sz w:val="20"/>
                <w:szCs w:val="20"/>
              </w:rPr>
              <w:t>.00</w:t>
            </w:r>
          </w:p>
        </w:tc>
        <w:tc>
          <w:tcPr>
            <w:tcW w:w="1433" w:type="dxa"/>
            <w:noWrap/>
            <w:hideMark/>
          </w:tcPr>
          <w:p w:rsidRPr="00CA0382" w:rsidR="00E463BE" w:rsidP="007D62E6" w:rsidRDefault="00E463BE" w14:paraId="1009D72C" w14:textId="18B46146">
            <w:pPr>
              <w:jc w:val="right"/>
              <w:rPr>
                <w:color w:val="000000"/>
                <w:sz w:val="20"/>
                <w:szCs w:val="20"/>
              </w:rPr>
            </w:pPr>
            <w:r w:rsidRPr="00CA0382">
              <w:rPr>
                <w:color w:val="000000"/>
                <w:sz w:val="20"/>
                <w:szCs w:val="20"/>
              </w:rPr>
              <w:t>$</w:t>
            </w:r>
            <w:r w:rsidR="007D62E6">
              <w:rPr>
                <w:color w:val="000000"/>
                <w:sz w:val="20"/>
                <w:szCs w:val="20"/>
              </w:rPr>
              <w:t>30</w:t>
            </w:r>
            <w:r w:rsidRPr="00CA0382" w:rsidR="00122CBE">
              <w:rPr>
                <w:color w:val="000000"/>
                <w:sz w:val="20"/>
                <w:szCs w:val="20"/>
              </w:rPr>
              <w:t>,</w:t>
            </w:r>
            <w:r w:rsidR="007D62E6">
              <w:rPr>
                <w:color w:val="000000"/>
                <w:sz w:val="20"/>
                <w:szCs w:val="20"/>
              </w:rPr>
              <w:t>0</w:t>
            </w:r>
            <w:r w:rsidRPr="00CA0382" w:rsidR="00122CBE">
              <w:rPr>
                <w:color w:val="000000"/>
                <w:sz w:val="20"/>
                <w:szCs w:val="20"/>
              </w:rPr>
              <w:t>0</w:t>
            </w:r>
            <w:r w:rsidRPr="00CA0382">
              <w:rPr>
                <w:color w:val="000000"/>
                <w:sz w:val="20"/>
                <w:szCs w:val="20"/>
              </w:rPr>
              <w:t>0</w:t>
            </w:r>
            <w:r w:rsidRPr="00CA0382" w:rsidR="00F63C58">
              <w:rPr>
                <w:color w:val="000000"/>
                <w:sz w:val="20"/>
                <w:szCs w:val="20"/>
              </w:rPr>
              <w:t>.00</w:t>
            </w:r>
          </w:p>
        </w:tc>
        <w:tc>
          <w:tcPr>
            <w:tcW w:w="1421" w:type="dxa"/>
            <w:noWrap/>
            <w:hideMark/>
          </w:tcPr>
          <w:p w:rsidRPr="00CA0382" w:rsidR="00E463BE" w:rsidP="00576008" w:rsidRDefault="00E463BE" w14:paraId="64906C61" w14:textId="4399D486">
            <w:pPr>
              <w:jc w:val="right"/>
              <w:rPr>
                <w:color w:val="000000"/>
                <w:sz w:val="20"/>
                <w:szCs w:val="20"/>
              </w:rPr>
            </w:pPr>
            <w:r w:rsidRPr="00CA0382">
              <w:rPr>
                <w:color w:val="000000"/>
                <w:sz w:val="20"/>
                <w:szCs w:val="20"/>
              </w:rPr>
              <w:t>$0</w:t>
            </w:r>
            <w:r w:rsidRPr="00CA0382" w:rsidR="00F63C58">
              <w:rPr>
                <w:color w:val="000000"/>
                <w:sz w:val="20"/>
                <w:szCs w:val="20"/>
              </w:rPr>
              <w:t>.00</w:t>
            </w:r>
          </w:p>
        </w:tc>
        <w:tc>
          <w:tcPr>
            <w:tcW w:w="2389" w:type="dxa"/>
            <w:noWrap/>
            <w:hideMark/>
          </w:tcPr>
          <w:p w:rsidRPr="00CA0382" w:rsidR="00E463BE" w:rsidP="007D62E6" w:rsidRDefault="00E463BE" w14:paraId="139AA453" w14:textId="4F7A4C18">
            <w:pPr>
              <w:jc w:val="right"/>
              <w:rPr>
                <w:color w:val="000000"/>
                <w:sz w:val="20"/>
                <w:szCs w:val="20"/>
              </w:rPr>
            </w:pPr>
            <w:r w:rsidRPr="00CA0382">
              <w:rPr>
                <w:color w:val="000000"/>
                <w:sz w:val="20"/>
                <w:szCs w:val="20"/>
              </w:rPr>
              <w:t>$</w:t>
            </w:r>
            <w:r w:rsidR="007D62E6">
              <w:rPr>
                <w:color w:val="000000"/>
                <w:sz w:val="20"/>
                <w:szCs w:val="20"/>
              </w:rPr>
              <w:t>30</w:t>
            </w:r>
            <w:r w:rsidRPr="00CA0382" w:rsidR="003A1A5A">
              <w:rPr>
                <w:color w:val="000000"/>
                <w:sz w:val="20"/>
                <w:szCs w:val="20"/>
              </w:rPr>
              <w:t>,</w:t>
            </w:r>
            <w:r w:rsidR="007D62E6">
              <w:rPr>
                <w:color w:val="000000"/>
                <w:sz w:val="20"/>
                <w:szCs w:val="20"/>
              </w:rPr>
              <w:t>0</w:t>
            </w:r>
            <w:r w:rsidRPr="00CA0382" w:rsidR="003A1A5A">
              <w:rPr>
                <w:color w:val="000000"/>
                <w:sz w:val="20"/>
                <w:szCs w:val="20"/>
              </w:rPr>
              <w:t>0</w:t>
            </w:r>
            <w:r w:rsidRPr="00CA0382">
              <w:rPr>
                <w:color w:val="000000"/>
                <w:sz w:val="20"/>
                <w:szCs w:val="20"/>
              </w:rPr>
              <w:t>0</w:t>
            </w:r>
            <w:r w:rsidRPr="00CA0382" w:rsidR="00F63C58">
              <w:rPr>
                <w:color w:val="000000"/>
                <w:sz w:val="20"/>
                <w:szCs w:val="20"/>
              </w:rPr>
              <w:t>.00</w:t>
            </w:r>
          </w:p>
        </w:tc>
      </w:tr>
      <w:tr w:rsidRPr="00F63C58" w:rsidR="006618DB" w:rsidTr="00A51A0B" w14:paraId="51735C8A" w14:textId="77777777">
        <w:trPr>
          <w:trHeight w:val="300"/>
        </w:trPr>
        <w:tc>
          <w:tcPr>
            <w:tcW w:w="3269" w:type="dxa"/>
            <w:noWrap/>
            <w:hideMark/>
          </w:tcPr>
          <w:p w:rsidRPr="00CA0382" w:rsidR="00E463BE" w:rsidP="00A51A0B" w:rsidRDefault="00E463BE" w14:paraId="2AE8EDA8" w14:textId="77777777">
            <w:pPr>
              <w:ind w:left="156"/>
              <w:rPr>
                <w:color w:val="000000"/>
                <w:sz w:val="20"/>
                <w:szCs w:val="20"/>
              </w:rPr>
            </w:pPr>
            <w:r w:rsidRPr="00CA0382">
              <w:rPr>
                <w:color w:val="000000"/>
                <w:sz w:val="20"/>
                <w:szCs w:val="20"/>
              </w:rPr>
              <w:t>Centurion output data processing</w:t>
            </w:r>
          </w:p>
        </w:tc>
        <w:tc>
          <w:tcPr>
            <w:tcW w:w="1252" w:type="dxa"/>
            <w:noWrap/>
            <w:hideMark/>
          </w:tcPr>
          <w:p w:rsidRPr="00CA0382" w:rsidR="00E463BE" w:rsidP="00576008" w:rsidRDefault="00E463BE" w14:paraId="44F20366" w14:textId="11D359CE">
            <w:pPr>
              <w:jc w:val="right"/>
              <w:rPr>
                <w:color w:val="000000"/>
                <w:sz w:val="20"/>
                <w:szCs w:val="20"/>
              </w:rPr>
            </w:pPr>
            <w:r w:rsidRPr="00CA0382">
              <w:rPr>
                <w:color w:val="000000"/>
                <w:sz w:val="20"/>
                <w:szCs w:val="20"/>
              </w:rPr>
              <w:t>$0</w:t>
            </w:r>
            <w:r w:rsidRPr="00CA0382" w:rsidR="00F63C58">
              <w:rPr>
                <w:color w:val="000000"/>
                <w:sz w:val="20"/>
                <w:szCs w:val="20"/>
              </w:rPr>
              <w:t>.00</w:t>
            </w:r>
          </w:p>
        </w:tc>
        <w:tc>
          <w:tcPr>
            <w:tcW w:w="1433" w:type="dxa"/>
            <w:noWrap/>
            <w:hideMark/>
          </w:tcPr>
          <w:p w:rsidRPr="00CA0382" w:rsidR="00E463BE" w:rsidP="003A1A5A" w:rsidRDefault="00E463BE" w14:paraId="137930D5" w14:textId="6EBF9DE3">
            <w:pPr>
              <w:jc w:val="right"/>
              <w:rPr>
                <w:color w:val="000000"/>
                <w:sz w:val="20"/>
                <w:szCs w:val="20"/>
              </w:rPr>
            </w:pPr>
            <w:r w:rsidRPr="00CA0382">
              <w:rPr>
                <w:color w:val="000000"/>
                <w:sz w:val="20"/>
                <w:szCs w:val="20"/>
              </w:rPr>
              <w:t>$</w:t>
            </w:r>
            <w:r w:rsidRPr="00CA0382" w:rsidR="003A1A5A">
              <w:rPr>
                <w:color w:val="000000"/>
                <w:sz w:val="20"/>
                <w:szCs w:val="20"/>
              </w:rPr>
              <w:t>40</w:t>
            </w:r>
            <w:r w:rsidRPr="00CA0382">
              <w:rPr>
                <w:color w:val="000000"/>
                <w:sz w:val="20"/>
                <w:szCs w:val="20"/>
              </w:rPr>
              <w:t>,000</w:t>
            </w:r>
            <w:r w:rsidRPr="00CA0382" w:rsidR="00F63C58">
              <w:rPr>
                <w:color w:val="000000"/>
                <w:sz w:val="20"/>
                <w:szCs w:val="20"/>
              </w:rPr>
              <w:t>.00</w:t>
            </w:r>
          </w:p>
        </w:tc>
        <w:tc>
          <w:tcPr>
            <w:tcW w:w="1421" w:type="dxa"/>
            <w:noWrap/>
            <w:hideMark/>
          </w:tcPr>
          <w:p w:rsidRPr="00CA0382" w:rsidR="00E463BE" w:rsidP="003A1A5A" w:rsidRDefault="00E463BE" w14:paraId="2B530783" w14:textId="5D7793ED">
            <w:pPr>
              <w:jc w:val="right"/>
              <w:rPr>
                <w:color w:val="000000"/>
                <w:sz w:val="20"/>
                <w:szCs w:val="20"/>
              </w:rPr>
            </w:pPr>
            <w:r w:rsidRPr="00CA0382">
              <w:rPr>
                <w:color w:val="000000"/>
                <w:sz w:val="20"/>
                <w:szCs w:val="20"/>
              </w:rPr>
              <w:t>$</w:t>
            </w:r>
            <w:r w:rsidRPr="00CA0382" w:rsidR="003A1A5A">
              <w:rPr>
                <w:color w:val="000000"/>
                <w:sz w:val="20"/>
                <w:szCs w:val="20"/>
              </w:rPr>
              <w:t>6,5</w:t>
            </w:r>
            <w:r w:rsidRPr="00CA0382">
              <w:rPr>
                <w:color w:val="000000"/>
                <w:sz w:val="20"/>
                <w:szCs w:val="20"/>
              </w:rPr>
              <w:t>00</w:t>
            </w:r>
            <w:r w:rsidRPr="00CA0382" w:rsidR="00F63C58">
              <w:rPr>
                <w:color w:val="000000"/>
                <w:sz w:val="20"/>
                <w:szCs w:val="20"/>
              </w:rPr>
              <w:t>.00</w:t>
            </w:r>
          </w:p>
        </w:tc>
        <w:tc>
          <w:tcPr>
            <w:tcW w:w="2389" w:type="dxa"/>
            <w:noWrap/>
            <w:hideMark/>
          </w:tcPr>
          <w:p w:rsidRPr="00CA0382" w:rsidR="00E463BE" w:rsidP="003A1A5A" w:rsidRDefault="00E463BE" w14:paraId="2B5405E8" w14:textId="186FA224">
            <w:pPr>
              <w:jc w:val="right"/>
              <w:rPr>
                <w:color w:val="000000"/>
                <w:sz w:val="20"/>
                <w:szCs w:val="20"/>
              </w:rPr>
            </w:pPr>
            <w:r w:rsidRPr="00CA0382">
              <w:rPr>
                <w:color w:val="000000"/>
                <w:sz w:val="20"/>
                <w:szCs w:val="20"/>
              </w:rPr>
              <w:t>$</w:t>
            </w:r>
            <w:r w:rsidRPr="00CA0382" w:rsidR="003A1A5A">
              <w:rPr>
                <w:color w:val="000000"/>
                <w:sz w:val="20"/>
                <w:szCs w:val="20"/>
              </w:rPr>
              <w:t>46,500</w:t>
            </w:r>
            <w:r w:rsidRPr="00CA0382" w:rsidR="00F63C58">
              <w:rPr>
                <w:color w:val="000000"/>
                <w:sz w:val="20"/>
                <w:szCs w:val="20"/>
              </w:rPr>
              <w:t>.00</w:t>
            </w:r>
          </w:p>
        </w:tc>
      </w:tr>
      <w:tr w:rsidRPr="00F63C58" w:rsidR="006618DB" w:rsidTr="00A51A0B" w14:paraId="1D65CBD8" w14:textId="77777777">
        <w:trPr>
          <w:trHeight w:val="300"/>
        </w:trPr>
        <w:tc>
          <w:tcPr>
            <w:tcW w:w="3269" w:type="dxa"/>
            <w:noWrap/>
            <w:hideMark/>
          </w:tcPr>
          <w:p w:rsidRPr="00CA0382" w:rsidR="00E463BE" w:rsidP="00A51A0B" w:rsidRDefault="00E463BE" w14:paraId="51B1EA01" w14:textId="77777777">
            <w:pPr>
              <w:ind w:left="156"/>
              <w:rPr>
                <w:color w:val="000000"/>
                <w:sz w:val="20"/>
                <w:szCs w:val="20"/>
              </w:rPr>
            </w:pPr>
            <w:r w:rsidRPr="00CA0382">
              <w:rPr>
                <w:color w:val="000000"/>
                <w:sz w:val="20"/>
                <w:szCs w:val="20"/>
              </w:rPr>
              <w:t>Other data processing</w:t>
            </w:r>
          </w:p>
        </w:tc>
        <w:tc>
          <w:tcPr>
            <w:tcW w:w="1252" w:type="dxa"/>
            <w:noWrap/>
            <w:hideMark/>
          </w:tcPr>
          <w:p w:rsidRPr="00CA0382" w:rsidR="00E463BE" w:rsidP="003A1A5A" w:rsidRDefault="00E463BE" w14:paraId="316B1A55" w14:textId="390B08E3">
            <w:pPr>
              <w:jc w:val="right"/>
              <w:rPr>
                <w:color w:val="000000"/>
                <w:sz w:val="20"/>
                <w:szCs w:val="20"/>
              </w:rPr>
            </w:pPr>
            <w:r w:rsidRPr="00CA0382">
              <w:rPr>
                <w:color w:val="000000"/>
                <w:sz w:val="20"/>
                <w:szCs w:val="20"/>
              </w:rPr>
              <w:t>$</w:t>
            </w:r>
            <w:r w:rsidRPr="00CA0382" w:rsidR="003A1A5A">
              <w:rPr>
                <w:color w:val="000000"/>
                <w:sz w:val="20"/>
                <w:szCs w:val="20"/>
              </w:rPr>
              <w:t>13,000</w:t>
            </w:r>
            <w:r w:rsidRPr="00CA0382" w:rsidR="00F63C58">
              <w:rPr>
                <w:color w:val="000000"/>
                <w:sz w:val="20"/>
                <w:szCs w:val="20"/>
              </w:rPr>
              <w:t>.00</w:t>
            </w:r>
          </w:p>
        </w:tc>
        <w:tc>
          <w:tcPr>
            <w:tcW w:w="1433" w:type="dxa"/>
            <w:noWrap/>
            <w:hideMark/>
          </w:tcPr>
          <w:p w:rsidRPr="00CA0382" w:rsidR="00E463BE" w:rsidP="003A1A5A" w:rsidRDefault="00E463BE" w14:paraId="74DDECEB" w14:textId="7A28703D">
            <w:pPr>
              <w:jc w:val="right"/>
              <w:rPr>
                <w:color w:val="000000"/>
                <w:sz w:val="20"/>
                <w:szCs w:val="20"/>
              </w:rPr>
            </w:pPr>
            <w:r w:rsidRPr="00CA0382">
              <w:rPr>
                <w:color w:val="000000"/>
                <w:sz w:val="20"/>
                <w:szCs w:val="20"/>
              </w:rPr>
              <w:t>$3</w:t>
            </w:r>
            <w:r w:rsidRPr="00CA0382" w:rsidR="003A1A5A">
              <w:rPr>
                <w:color w:val="000000"/>
                <w:sz w:val="20"/>
                <w:szCs w:val="20"/>
              </w:rPr>
              <w:t>0</w:t>
            </w:r>
            <w:r w:rsidRPr="00CA0382">
              <w:rPr>
                <w:color w:val="000000"/>
                <w:sz w:val="20"/>
                <w:szCs w:val="20"/>
              </w:rPr>
              <w:t>,000</w:t>
            </w:r>
            <w:r w:rsidRPr="00CA0382" w:rsidR="00F63C58">
              <w:rPr>
                <w:color w:val="000000"/>
                <w:sz w:val="20"/>
                <w:szCs w:val="20"/>
              </w:rPr>
              <w:t>.00</w:t>
            </w:r>
          </w:p>
        </w:tc>
        <w:tc>
          <w:tcPr>
            <w:tcW w:w="1421" w:type="dxa"/>
            <w:noWrap/>
            <w:hideMark/>
          </w:tcPr>
          <w:p w:rsidRPr="00CA0382" w:rsidR="00E463BE" w:rsidP="003A1A5A" w:rsidRDefault="00E463BE" w14:paraId="00D6DC80" w14:textId="350AA487">
            <w:pPr>
              <w:jc w:val="right"/>
              <w:rPr>
                <w:color w:val="000000"/>
                <w:sz w:val="20"/>
                <w:szCs w:val="20"/>
              </w:rPr>
            </w:pPr>
            <w:r w:rsidRPr="00CA0382">
              <w:rPr>
                <w:color w:val="000000"/>
                <w:sz w:val="20"/>
                <w:szCs w:val="20"/>
              </w:rPr>
              <w:t>$</w:t>
            </w:r>
            <w:r w:rsidRPr="00CA0382" w:rsidR="003A1A5A">
              <w:rPr>
                <w:color w:val="000000"/>
                <w:sz w:val="20"/>
                <w:szCs w:val="20"/>
              </w:rPr>
              <w:t>9</w:t>
            </w:r>
            <w:r w:rsidRPr="00CA0382">
              <w:rPr>
                <w:color w:val="000000"/>
                <w:sz w:val="20"/>
                <w:szCs w:val="20"/>
              </w:rPr>
              <w:t>,000</w:t>
            </w:r>
            <w:r w:rsidRPr="00CA0382" w:rsidR="00F63C58">
              <w:rPr>
                <w:color w:val="000000"/>
                <w:sz w:val="20"/>
                <w:szCs w:val="20"/>
              </w:rPr>
              <w:t>.00</w:t>
            </w:r>
          </w:p>
        </w:tc>
        <w:tc>
          <w:tcPr>
            <w:tcW w:w="2389" w:type="dxa"/>
            <w:noWrap/>
            <w:hideMark/>
          </w:tcPr>
          <w:p w:rsidRPr="00CA0382" w:rsidR="00E463BE" w:rsidP="003A1A5A" w:rsidRDefault="00E463BE" w14:paraId="4DD5C7FB" w14:textId="14773052">
            <w:pPr>
              <w:jc w:val="right"/>
              <w:rPr>
                <w:color w:val="000000"/>
                <w:sz w:val="20"/>
                <w:szCs w:val="20"/>
              </w:rPr>
            </w:pPr>
            <w:r w:rsidRPr="00CA0382">
              <w:rPr>
                <w:color w:val="000000"/>
                <w:sz w:val="20"/>
                <w:szCs w:val="20"/>
              </w:rPr>
              <w:t>$5</w:t>
            </w:r>
            <w:r w:rsidRPr="00CA0382" w:rsidR="003A1A5A">
              <w:rPr>
                <w:color w:val="000000"/>
                <w:sz w:val="20"/>
                <w:szCs w:val="20"/>
              </w:rPr>
              <w:t>2</w:t>
            </w:r>
            <w:r w:rsidRPr="00CA0382">
              <w:rPr>
                <w:color w:val="000000"/>
                <w:sz w:val="20"/>
                <w:szCs w:val="20"/>
              </w:rPr>
              <w:t>,</w:t>
            </w:r>
            <w:r w:rsidRPr="00CA0382" w:rsidR="003A1A5A">
              <w:rPr>
                <w:color w:val="000000"/>
                <w:sz w:val="20"/>
                <w:szCs w:val="20"/>
              </w:rPr>
              <w:t>0</w:t>
            </w:r>
            <w:r w:rsidRPr="00CA0382">
              <w:rPr>
                <w:color w:val="000000"/>
                <w:sz w:val="20"/>
                <w:szCs w:val="20"/>
              </w:rPr>
              <w:t>00</w:t>
            </w:r>
            <w:r w:rsidRPr="00CA0382" w:rsidR="00F63C58">
              <w:rPr>
                <w:color w:val="000000"/>
                <w:sz w:val="20"/>
                <w:szCs w:val="20"/>
              </w:rPr>
              <w:t>.00</w:t>
            </w:r>
          </w:p>
        </w:tc>
      </w:tr>
      <w:tr w:rsidRPr="00F63C58" w:rsidR="006618DB" w:rsidTr="00A51A0B" w14:paraId="0E422BC1" w14:textId="77777777">
        <w:trPr>
          <w:trHeight w:val="300"/>
        </w:trPr>
        <w:tc>
          <w:tcPr>
            <w:tcW w:w="3269" w:type="dxa"/>
            <w:noWrap/>
            <w:hideMark/>
          </w:tcPr>
          <w:p w:rsidRPr="00CA0382" w:rsidR="00E463BE" w:rsidP="00A51A0B" w:rsidRDefault="00E463BE" w14:paraId="6549CC5F" w14:textId="77777777">
            <w:pPr>
              <w:ind w:left="156"/>
              <w:rPr>
                <w:color w:val="000000"/>
                <w:sz w:val="20"/>
                <w:szCs w:val="20"/>
              </w:rPr>
            </w:pPr>
            <w:r w:rsidRPr="00CA0382">
              <w:rPr>
                <w:color w:val="000000"/>
                <w:sz w:val="20"/>
                <w:szCs w:val="20"/>
              </w:rPr>
              <w:t>Table Creator maintenance</w:t>
            </w:r>
          </w:p>
        </w:tc>
        <w:tc>
          <w:tcPr>
            <w:tcW w:w="1252" w:type="dxa"/>
            <w:noWrap/>
            <w:hideMark/>
          </w:tcPr>
          <w:p w:rsidRPr="00CA0382" w:rsidR="00E463BE" w:rsidP="000C6AF7" w:rsidRDefault="00E463BE" w14:paraId="5B324D79" w14:textId="3CFFE6BF">
            <w:pPr>
              <w:jc w:val="right"/>
              <w:rPr>
                <w:color w:val="000000"/>
                <w:sz w:val="20"/>
                <w:szCs w:val="20"/>
              </w:rPr>
            </w:pPr>
            <w:r w:rsidRPr="00CA0382">
              <w:rPr>
                <w:color w:val="000000"/>
                <w:sz w:val="20"/>
                <w:szCs w:val="20"/>
              </w:rPr>
              <w:t>$</w:t>
            </w:r>
            <w:r w:rsidRPr="00CA0382" w:rsidR="000C6AF7">
              <w:rPr>
                <w:color w:val="000000"/>
                <w:sz w:val="20"/>
                <w:szCs w:val="20"/>
              </w:rPr>
              <w:t>28,100</w:t>
            </w:r>
            <w:r w:rsidRPr="00CA0382" w:rsidR="00F63C58">
              <w:rPr>
                <w:color w:val="000000"/>
                <w:sz w:val="20"/>
                <w:szCs w:val="20"/>
              </w:rPr>
              <w:t>.00</w:t>
            </w:r>
          </w:p>
        </w:tc>
        <w:tc>
          <w:tcPr>
            <w:tcW w:w="1433" w:type="dxa"/>
            <w:noWrap/>
            <w:hideMark/>
          </w:tcPr>
          <w:p w:rsidRPr="00CA0382" w:rsidR="00E463BE" w:rsidP="00E456A8" w:rsidRDefault="00E463BE" w14:paraId="33D3098D" w14:textId="6F9E2E44">
            <w:pPr>
              <w:jc w:val="right"/>
              <w:rPr>
                <w:color w:val="000000"/>
                <w:sz w:val="20"/>
                <w:szCs w:val="20"/>
              </w:rPr>
            </w:pPr>
            <w:r w:rsidRPr="00CA0382">
              <w:rPr>
                <w:color w:val="000000"/>
                <w:sz w:val="20"/>
                <w:szCs w:val="20"/>
              </w:rPr>
              <w:t>$</w:t>
            </w:r>
            <w:r w:rsidR="00E456A8">
              <w:rPr>
                <w:color w:val="000000"/>
                <w:sz w:val="20"/>
                <w:szCs w:val="20"/>
              </w:rPr>
              <w:t>44</w:t>
            </w:r>
            <w:r w:rsidRPr="00CA0382">
              <w:rPr>
                <w:color w:val="000000"/>
                <w:sz w:val="20"/>
                <w:szCs w:val="20"/>
              </w:rPr>
              <w:t>,000</w:t>
            </w:r>
            <w:r w:rsidRPr="00CA0382" w:rsidR="00F63C58">
              <w:rPr>
                <w:color w:val="000000"/>
                <w:sz w:val="20"/>
                <w:szCs w:val="20"/>
              </w:rPr>
              <w:t>.00</w:t>
            </w:r>
          </w:p>
        </w:tc>
        <w:tc>
          <w:tcPr>
            <w:tcW w:w="1421" w:type="dxa"/>
            <w:noWrap/>
            <w:hideMark/>
          </w:tcPr>
          <w:p w:rsidRPr="00CA0382" w:rsidR="00E463BE" w:rsidP="000C6AF7" w:rsidRDefault="00E463BE" w14:paraId="422243F5" w14:textId="3E2A3D88">
            <w:pPr>
              <w:jc w:val="right"/>
              <w:rPr>
                <w:color w:val="000000"/>
                <w:sz w:val="20"/>
                <w:szCs w:val="20"/>
              </w:rPr>
            </w:pPr>
            <w:r w:rsidRPr="00CA0382">
              <w:rPr>
                <w:color w:val="000000"/>
                <w:sz w:val="20"/>
                <w:szCs w:val="20"/>
              </w:rPr>
              <w:t>$</w:t>
            </w:r>
            <w:r w:rsidRPr="00CA0382" w:rsidR="000C6AF7">
              <w:rPr>
                <w:color w:val="000000"/>
                <w:sz w:val="20"/>
                <w:szCs w:val="20"/>
              </w:rPr>
              <w:t>54</w:t>
            </w:r>
            <w:r w:rsidRPr="00CA0382">
              <w:rPr>
                <w:color w:val="000000"/>
                <w:sz w:val="20"/>
                <w:szCs w:val="20"/>
              </w:rPr>
              <w:t>,000</w:t>
            </w:r>
            <w:r w:rsidRPr="00CA0382" w:rsidR="00F63C58">
              <w:rPr>
                <w:color w:val="000000"/>
                <w:sz w:val="20"/>
                <w:szCs w:val="20"/>
              </w:rPr>
              <w:t>.00</w:t>
            </w:r>
          </w:p>
        </w:tc>
        <w:tc>
          <w:tcPr>
            <w:tcW w:w="2389" w:type="dxa"/>
            <w:noWrap/>
            <w:hideMark/>
          </w:tcPr>
          <w:p w:rsidRPr="00CA0382" w:rsidR="00E463BE" w:rsidP="00E456A8" w:rsidRDefault="00E463BE" w14:paraId="3795F0C3" w14:textId="452A658C">
            <w:pPr>
              <w:jc w:val="right"/>
              <w:rPr>
                <w:color w:val="000000"/>
                <w:sz w:val="20"/>
                <w:szCs w:val="20"/>
              </w:rPr>
            </w:pPr>
            <w:r w:rsidRPr="00CA0382">
              <w:rPr>
                <w:color w:val="000000"/>
                <w:sz w:val="20"/>
                <w:szCs w:val="20"/>
              </w:rPr>
              <w:t>$</w:t>
            </w:r>
            <w:r w:rsidRPr="00CA0382" w:rsidR="000C6AF7">
              <w:rPr>
                <w:color w:val="000000"/>
                <w:sz w:val="20"/>
                <w:szCs w:val="20"/>
              </w:rPr>
              <w:t>1</w:t>
            </w:r>
            <w:r w:rsidR="00E456A8">
              <w:rPr>
                <w:color w:val="000000"/>
                <w:sz w:val="20"/>
                <w:szCs w:val="20"/>
              </w:rPr>
              <w:t>26</w:t>
            </w:r>
            <w:r w:rsidRPr="00CA0382">
              <w:rPr>
                <w:color w:val="000000"/>
                <w:sz w:val="20"/>
                <w:szCs w:val="20"/>
              </w:rPr>
              <w:t>,</w:t>
            </w:r>
            <w:r w:rsidRPr="00CA0382" w:rsidR="000C6AF7">
              <w:rPr>
                <w:color w:val="000000"/>
                <w:sz w:val="20"/>
                <w:szCs w:val="20"/>
              </w:rPr>
              <w:t>1</w:t>
            </w:r>
            <w:r w:rsidRPr="00CA0382">
              <w:rPr>
                <w:color w:val="000000"/>
                <w:sz w:val="20"/>
                <w:szCs w:val="20"/>
              </w:rPr>
              <w:t>00</w:t>
            </w:r>
            <w:r w:rsidRPr="00CA0382" w:rsidR="00F63C58">
              <w:rPr>
                <w:color w:val="000000"/>
                <w:sz w:val="20"/>
                <w:szCs w:val="20"/>
              </w:rPr>
              <w:t>.00</w:t>
            </w:r>
          </w:p>
        </w:tc>
      </w:tr>
      <w:tr w:rsidRPr="00F63C58" w:rsidR="006618DB" w:rsidTr="00A51A0B" w14:paraId="14113BFA" w14:textId="77777777">
        <w:trPr>
          <w:trHeight w:val="315"/>
        </w:trPr>
        <w:tc>
          <w:tcPr>
            <w:tcW w:w="3269" w:type="dxa"/>
            <w:noWrap/>
          </w:tcPr>
          <w:p w:rsidRPr="00CA0382" w:rsidR="00E463BE" w:rsidP="00576008" w:rsidRDefault="00E463BE" w14:paraId="1B954676" w14:textId="5F412984">
            <w:pPr>
              <w:rPr>
                <w:b/>
                <w:color w:val="000000"/>
                <w:sz w:val="20"/>
                <w:szCs w:val="20"/>
              </w:rPr>
            </w:pPr>
            <w:r w:rsidRPr="00CA0382">
              <w:rPr>
                <w:b/>
                <w:color w:val="000000"/>
                <w:sz w:val="20"/>
                <w:szCs w:val="20"/>
              </w:rPr>
              <w:t>Total Labor Cost</w:t>
            </w:r>
            <w:r w:rsidRPr="00CA0382" w:rsidR="006618DB">
              <w:rPr>
                <w:b/>
                <w:color w:val="000000"/>
                <w:sz w:val="20"/>
                <w:szCs w:val="20"/>
              </w:rPr>
              <w:t xml:space="preserve"> (excluding field operations)</w:t>
            </w:r>
          </w:p>
        </w:tc>
        <w:tc>
          <w:tcPr>
            <w:tcW w:w="1252" w:type="dxa"/>
            <w:noWrap/>
          </w:tcPr>
          <w:p w:rsidRPr="00CA0382" w:rsidR="00E463BE" w:rsidP="00E456A8" w:rsidRDefault="00E463BE" w14:paraId="48BCCAF3" w14:textId="65B64650">
            <w:pPr>
              <w:jc w:val="right"/>
              <w:rPr>
                <w:b/>
                <w:color w:val="000000"/>
                <w:sz w:val="20"/>
                <w:szCs w:val="20"/>
              </w:rPr>
            </w:pPr>
            <w:r w:rsidRPr="00CA0382">
              <w:rPr>
                <w:b/>
                <w:color w:val="000000"/>
                <w:sz w:val="20"/>
                <w:szCs w:val="20"/>
              </w:rPr>
              <w:t>$</w:t>
            </w:r>
            <w:r w:rsidR="00E456A8">
              <w:rPr>
                <w:b/>
                <w:color w:val="000000"/>
                <w:sz w:val="20"/>
                <w:szCs w:val="20"/>
              </w:rPr>
              <w:t>696</w:t>
            </w:r>
            <w:r w:rsidRPr="00CA0382" w:rsidR="006618DB">
              <w:rPr>
                <w:b/>
                <w:color w:val="000000"/>
                <w:sz w:val="20"/>
                <w:szCs w:val="20"/>
              </w:rPr>
              <w:t>,</w:t>
            </w:r>
            <w:r w:rsidR="00E456A8">
              <w:rPr>
                <w:b/>
                <w:color w:val="000000"/>
                <w:sz w:val="20"/>
                <w:szCs w:val="20"/>
              </w:rPr>
              <w:t>9</w:t>
            </w:r>
            <w:r w:rsidRPr="00CA0382" w:rsidR="006618DB">
              <w:rPr>
                <w:b/>
                <w:color w:val="000000"/>
                <w:sz w:val="20"/>
                <w:szCs w:val="20"/>
              </w:rPr>
              <w:t>00</w:t>
            </w:r>
            <w:r w:rsidRPr="00CA0382" w:rsidR="00F63C58">
              <w:rPr>
                <w:b/>
                <w:color w:val="000000"/>
                <w:sz w:val="20"/>
                <w:szCs w:val="20"/>
              </w:rPr>
              <w:t>.00</w:t>
            </w:r>
          </w:p>
        </w:tc>
        <w:tc>
          <w:tcPr>
            <w:tcW w:w="1433" w:type="dxa"/>
            <w:noWrap/>
          </w:tcPr>
          <w:p w:rsidRPr="00CA0382" w:rsidR="00E463BE" w:rsidP="00E456A8" w:rsidRDefault="00E463BE" w14:paraId="0DC29AF5" w14:textId="485B83C4">
            <w:pPr>
              <w:jc w:val="right"/>
              <w:rPr>
                <w:b/>
                <w:color w:val="000000"/>
                <w:sz w:val="20"/>
                <w:szCs w:val="20"/>
              </w:rPr>
            </w:pPr>
            <w:r w:rsidRPr="00CA0382">
              <w:rPr>
                <w:b/>
                <w:color w:val="000000"/>
                <w:sz w:val="20"/>
                <w:szCs w:val="20"/>
              </w:rPr>
              <w:t>$</w:t>
            </w:r>
            <w:r w:rsidRPr="00CA0382" w:rsidR="006618DB">
              <w:rPr>
                <w:b/>
                <w:color w:val="000000"/>
                <w:sz w:val="20"/>
                <w:szCs w:val="20"/>
              </w:rPr>
              <w:t>1</w:t>
            </w:r>
            <w:r w:rsidRPr="00CA0382">
              <w:rPr>
                <w:b/>
                <w:color w:val="000000"/>
                <w:sz w:val="20"/>
                <w:szCs w:val="20"/>
              </w:rPr>
              <w:t>,</w:t>
            </w:r>
            <w:r w:rsidRPr="00CA0382" w:rsidR="006618DB">
              <w:rPr>
                <w:b/>
                <w:color w:val="000000"/>
                <w:sz w:val="20"/>
                <w:szCs w:val="20"/>
              </w:rPr>
              <w:t>31</w:t>
            </w:r>
            <w:r w:rsidR="00E456A8">
              <w:rPr>
                <w:b/>
                <w:color w:val="000000"/>
                <w:sz w:val="20"/>
                <w:szCs w:val="20"/>
              </w:rPr>
              <w:t>6</w:t>
            </w:r>
            <w:r w:rsidRPr="00CA0382">
              <w:rPr>
                <w:b/>
                <w:color w:val="000000"/>
                <w:sz w:val="20"/>
                <w:szCs w:val="20"/>
              </w:rPr>
              <w:t>,</w:t>
            </w:r>
            <w:r w:rsidRPr="00CA0382" w:rsidR="006618DB">
              <w:rPr>
                <w:b/>
                <w:color w:val="000000"/>
                <w:sz w:val="20"/>
                <w:szCs w:val="20"/>
              </w:rPr>
              <w:t>100</w:t>
            </w:r>
            <w:r w:rsidRPr="00CA0382" w:rsidR="00F63C58">
              <w:rPr>
                <w:b/>
                <w:color w:val="000000"/>
                <w:sz w:val="20"/>
                <w:szCs w:val="20"/>
              </w:rPr>
              <w:t>.00</w:t>
            </w:r>
          </w:p>
        </w:tc>
        <w:tc>
          <w:tcPr>
            <w:tcW w:w="1421" w:type="dxa"/>
          </w:tcPr>
          <w:p w:rsidRPr="00CA0382" w:rsidR="00E463BE" w:rsidP="006618DB" w:rsidRDefault="00E463BE" w14:paraId="7DBF51D6" w14:textId="10E266B7">
            <w:pPr>
              <w:jc w:val="right"/>
              <w:rPr>
                <w:b/>
                <w:color w:val="000000"/>
                <w:sz w:val="20"/>
                <w:szCs w:val="20"/>
              </w:rPr>
            </w:pPr>
            <w:r w:rsidRPr="00CA0382">
              <w:rPr>
                <w:b/>
                <w:color w:val="000000"/>
                <w:sz w:val="20"/>
                <w:szCs w:val="20"/>
              </w:rPr>
              <w:t>$1,</w:t>
            </w:r>
            <w:r w:rsidRPr="00CA0382" w:rsidR="006618DB">
              <w:rPr>
                <w:b/>
                <w:color w:val="000000"/>
                <w:sz w:val="20"/>
                <w:szCs w:val="20"/>
              </w:rPr>
              <w:t>067</w:t>
            </w:r>
            <w:r w:rsidRPr="00CA0382">
              <w:rPr>
                <w:b/>
                <w:color w:val="000000"/>
                <w:sz w:val="20"/>
                <w:szCs w:val="20"/>
              </w:rPr>
              <w:t>,</w:t>
            </w:r>
            <w:r w:rsidRPr="00CA0382" w:rsidR="006618DB">
              <w:rPr>
                <w:b/>
                <w:color w:val="000000"/>
                <w:sz w:val="20"/>
                <w:szCs w:val="20"/>
              </w:rPr>
              <w:t>000</w:t>
            </w:r>
            <w:r w:rsidRPr="00CA0382" w:rsidR="00F63C58">
              <w:rPr>
                <w:b/>
                <w:color w:val="000000"/>
                <w:sz w:val="20"/>
                <w:szCs w:val="20"/>
              </w:rPr>
              <w:t>.00</w:t>
            </w:r>
          </w:p>
        </w:tc>
        <w:tc>
          <w:tcPr>
            <w:tcW w:w="2389" w:type="dxa"/>
            <w:noWrap/>
          </w:tcPr>
          <w:p w:rsidRPr="00CA0382" w:rsidR="00E463BE" w:rsidP="00E456A8" w:rsidRDefault="00E463BE" w14:paraId="2FB37EB9" w14:textId="7ED853E4">
            <w:pPr>
              <w:jc w:val="right"/>
              <w:rPr>
                <w:b/>
                <w:color w:val="000000"/>
                <w:sz w:val="20"/>
                <w:szCs w:val="20"/>
              </w:rPr>
            </w:pPr>
            <w:r w:rsidRPr="00CA0382">
              <w:rPr>
                <w:b/>
                <w:color w:val="000000"/>
                <w:sz w:val="20"/>
                <w:szCs w:val="20"/>
              </w:rPr>
              <w:t>$</w:t>
            </w:r>
            <w:r w:rsidRPr="00CA0382" w:rsidR="006618DB">
              <w:rPr>
                <w:b/>
                <w:color w:val="000000"/>
                <w:sz w:val="20"/>
                <w:szCs w:val="20"/>
              </w:rPr>
              <w:t>3</w:t>
            </w:r>
            <w:r w:rsidRPr="00CA0382">
              <w:rPr>
                <w:b/>
                <w:color w:val="000000"/>
                <w:sz w:val="20"/>
                <w:szCs w:val="20"/>
              </w:rPr>
              <w:t>,</w:t>
            </w:r>
            <w:r w:rsidRPr="00CA0382" w:rsidR="006618DB">
              <w:rPr>
                <w:b/>
                <w:color w:val="000000"/>
                <w:sz w:val="20"/>
                <w:szCs w:val="20"/>
              </w:rPr>
              <w:t>080</w:t>
            </w:r>
            <w:r w:rsidRPr="00CA0382">
              <w:rPr>
                <w:b/>
                <w:color w:val="000000"/>
                <w:sz w:val="20"/>
                <w:szCs w:val="20"/>
              </w:rPr>
              <w:t>,</w:t>
            </w:r>
            <w:r w:rsidR="00E456A8">
              <w:rPr>
                <w:b/>
                <w:color w:val="000000"/>
                <w:sz w:val="20"/>
                <w:szCs w:val="20"/>
              </w:rPr>
              <w:t>0</w:t>
            </w:r>
            <w:r w:rsidRPr="00CA0382">
              <w:rPr>
                <w:b/>
                <w:color w:val="000000"/>
                <w:sz w:val="20"/>
                <w:szCs w:val="20"/>
              </w:rPr>
              <w:t>00</w:t>
            </w:r>
            <w:r w:rsidRPr="00CA0382" w:rsidR="00F63C58">
              <w:rPr>
                <w:b/>
                <w:color w:val="000000"/>
                <w:sz w:val="20"/>
                <w:szCs w:val="20"/>
              </w:rPr>
              <w:t>.00</w:t>
            </w:r>
          </w:p>
        </w:tc>
      </w:tr>
      <w:tr w:rsidRPr="00F63C58" w:rsidR="00A51A0B" w:rsidTr="00A51A0B" w14:paraId="627A2EF0" w14:textId="77777777">
        <w:trPr>
          <w:trHeight w:val="315"/>
        </w:trPr>
        <w:tc>
          <w:tcPr>
            <w:tcW w:w="9764" w:type="dxa"/>
            <w:gridSpan w:val="5"/>
            <w:noWrap/>
          </w:tcPr>
          <w:p w:rsidRPr="00CA0382" w:rsidR="00A51A0B" w:rsidP="00A51A0B" w:rsidRDefault="00A51A0B" w14:paraId="68DC3215" w14:textId="316A6013">
            <w:pPr>
              <w:rPr>
                <w:b/>
                <w:color w:val="000000"/>
                <w:sz w:val="20"/>
                <w:szCs w:val="20"/>
              </w:rPr>
            </w:pPr>
            <w:r>
              <w:rPr>
                <w:b/>
                <w:color w:val="000000"/>
                <w:sz w:val="20"/>
                <w:szCs w:val="20"/>
              </w:rPr>
              <w:t>Field Operations Costs</w:t>
            </w:r>
          </w:p>
        </w:tc>
      </w:tr>
      <w:tr w:rsidRPr="00F63C58" w:rsidR="00ED04F2" w:rsidTr="00A51A0B" w14:paraId="42D32520" w14:textId="77777777">
        <w:trPr>
          <w:trHeight w:val="315"/>
        </w:trPr>
        <w:tc>
          <w:tcPr>
            <w:tcW w:w="3269" w:type="dxa"/>
          </w:tcPr>
          <w:p w:rsidRPr="00CA0382" w:rsidR="00ED04F2" w:rsidP="00A51A0B" w:rsidRDefault="00ED04F2" w14:paraId="0BF5F76F" w14:textId="1087260C">
            <w:pPr>
              <w:ind w:left="156"/>
              <w:rPr>
                <w:color w:val="000000"/>
                <w:sz w:val="20"/>
                <w:szCs w:val="20"/>
              </w:rPr>
            </w:pPr>
            <w:r w:rsidRPr="00CA0382">
              <w:rPr>
                <w:color w:val="000000"/>
                <w:sz w:val="20"/>
                <w:szCs w:val="20"/>
              </w:rPr>
              <w:t>Field Staff Training (includes labor, travel, etc.)</w:t>
            </w:r>
          </w:p>
        </w:tc>
        <w:tc>
          <w:tcPr>
            <w:tcW w:w="1252" w:type="dxa"/>
          </w:tcPr>
          <w:p w:rsidRPr="00CA0382" w:rsidR="00ED04F2" w:rsidP="00CA0382" w:rsidRDefault="00ED04F2" w14:paraId="762221E1" w14:textId="7C44638C">
            <w:pPr>
              <w:jc w:val="right"/>
              <w:rPr>
                <w:color w:val="000000"/>
                <w:sz w:val="20"/>
                <w:szCs w:val="20"/>
              </w:rPr>
            </w:pPr>
            <w:r w:rsidRPr="00CA0382">
              <w:rPr>
                <w:color w:val="000000"/>
                <w:sz w:val="20"/>
                <w:szCs w:val="20"/>
              </w:rPr>
              <w:t>$0.00</w:t>
            </w:r>
          </w:p>
        </w:tc>
        <w:tc>
          <w:tcPr>
            <w:tcW w:w="1433" w:type="dxa"/>
          </w:tcPr>
          <w:p w:rsidRPr="00CA0382" w:rsidR="00ED04F2" w:rsidP="00CA0382" w:rsidRDefault="00ED04F2" w14:paraId="167ABCA9" w14:textId="6788DD03">
            <w:pPr>
              <w:jc w:val="right"/>
              <w:rPr>
                <w:color w:val="000000"/>
                <w:sz w:val="20"/>
                <w:szCs w:val="20"/>
              </w:rPr>
            </w:pPr>
            <w:r w:rsidRPr="00CA0382">
              <w:rPr>
                <w:color w:val="000000"/>
                <w:sz w:val="20"/>
                <w:szCs w:val="20"/>
              </w:rPr>
              <w:t>$500,</w:t>
            </w:r>
            <w:r w:rsidRPr="00CA0382" w:rsidR="00CA0382">
              <w:rPr>
                <w:color w:val="000000"/>
                <w:sz w:val="20"/>
                <w:szCs w:val="20"/>
              </w:rPr>
              <w:t>0</w:t>
            </w:r>
            <w:r w:rsidRPr="00CA0382">
              <w:rPr>
                <w:color w:val="000000"/>
                <w:sz w:val="20"/>
                <w:szCs w:val="20"/>
              </w:rPr>
              <w:t>00.00</w:t>
            </w:r>
          </w:p>
        </w:tc>
        <w:tc>
          <w:tcPr>
            <w:tcW w:w="1421" w:type="dxa"/>
          </w:tcPr>
          <w:p w:rsidRPr="00CA0382" w:rsidR="00ED04F2" w:rsidP="00CA0382" w:rsidRDefault="00ED04F2" w14:paraId="7DA4660C" w14:textId="21D94723">
            <w:pPr>
              <w:jc w:val="right"/>
              <w:rPr>
                <w:color w:val="000000"/>
                <w:sz w:val="20"/>
                <w:szCs w:val="20"/>
              </w:rPr>
            </w:pPr>
            <w:r w:rsidRPr="00CA0382">
              <w:rPr>
                <w:color w:val="000000"/>
                <w:sz w:val="20"/>
                <w:szCs w:val="20"/>
              </w:rPr>
              <w:t>$0.00</w:t>
            </w:r>
          </w:p>
        </w:tc>
        <w:tc>
          <w:tcPr>
            <w:tcW w:w="2389" w:type="dxa"/>
          </w:tcPr>
          <w:p w:rsidRPr="00CA0382" w:rsidR="00ED04F2" w:rsidP="00CA0382" w:rsidRDefault="00ED04F2" w14:paraId="26EBE594" w14:textId="20DAB8E4">
            <w:pPr>
              <w:jc w:val="right"/>
              <w:rPr>
                <w:color w:val="000000"/>
                <w:sz w:val="20"/>
                <w:szCs w:val="20"/>
              </w:rPr>
            </w:pPr>
            <w:r w:rsidRPr="00CA0382">
              <w:rPr>
                <w:color w:val="000000"/>
                <w:sz w:val="20"/>
                <w:szCs w:val="20"/>
              </w:rPr>
              <w:t>$500,000.00</w:t>
            </w:r>
          </w:p>
        </w:tc>
      </w:tr>
      <w:tr w:rsidRPr="00F63C58" w:rsidR="006618DB" w:rsidTr="00A51A0B" w14:paraId="66F725EE" w14:textId="77777777">
        <w:trPr>
          <w:trHeight w:val="315"/>
        </w:trPr>
        <w:tc>
          <w:tcPr>
            <w:tcW w:w="3269" w:type="dxa"/>
          </w:tcPr>
          <w:p w:rsidRPr="00CA0382" w:rsidR="006618DB" w:rsidP="00A51A0B" w:rsidRDefault="00ED04F2" w14:paraId="51CDC8CF" w14:textId="1329E1B1">
            <w:pPr>
              <w:ind w:left="156"/>
              <w:rPr>
                <w:color w:val="000000"/>
                <w:sz w:val="20"/>
                <w:szCs w:val="20"/>
              </w:rPr>
            </w:pPr>
            <w:r w:rsidRPr="00CA0382">
              <w:rPr>
                <w:color w:val="000000"/>
                <w:sz w:val="20"/>
                <w:szCs w:val="20"/>
              </w:rPr>
              <w:t>Field Data Collection (includes labor, travel, etc.)</w:t>
            </w:r>
          </w:p>
        </w:tc>
        <w:tc>
          <w:tcPr>
            <w:tcW w:w="1252" w:type="dxa"/>
          </w:tcPr>
          <w:p w:rsidRPr="00CA0382" w:rsidR="006618DB" w:rsidP="00CA0382" w:rsidRDefault="00ED04F2" w14:paraId="5E9D81DE" w14:textId="3D2DBD41">
            <w:pPr>
              <w:jc w:val="right"/>
              <w:rPr>
                <w:color w:val="000000"/>
                <w:sz w:val="20"/>
                <w:szCs w:val="20"/>
              </w:rPr>
            </w:pPr>
            <w:r w:rsidRPr="00CA0382">
              <w:rPr>
                <w:color w:val="000000"/>
                <w:sz w:val="20"/>
                <w:szCs w:val="20"/>
              </w:rPr>
              <w:t>$0.00</w:t>
            </w:r>
          </w:p>
        </w:tc>
        <w:tc>
          <w:tcPr>
            <w:tcW w:w="1433" w:type="dxa"/>
          </w:tcPr>
          <w:p w:rsidRPr="00CA0382" w:rsidR="006618DB" w:rsidP="00CA0382" w:rsidRDefault="00ED04F2" w14:paraId="5B8C053A" w14:textId="6AEA9244">
            <w:pPr>
              <w:jc w:val="right"/>
              <w:rPr>
                <w:color w:val="000000"/>
                <w:sz w:val="20"/>
                <w:szCs w:val="20"/>
              </w:rPr>
            </w:pPr>
            <w:r w:rsidRPr="00CA0382">
              <w:rPr>
                <w:color w:val="000000"/>
                <w:sz w:val="20"/>
                <w:szCs w:val="20"/>
              </w:rPr>
              <w:t>$1,600,000.00</w:t>
            </w:r>
          </w:p>
        </w:tc>
        <w:tc>
          <w:tcPr>
            <w:tcW w:w="1421" w:type="dxa"/>
          </w:tcPr>
          <w:p w:rsidRPr="00CA0382" w:rsidR="006618DB" w:rsidP="00CA0382" w:rsidRDefault="00ED04F2" w14:paraId="25B16B46" w14:textId="3984DCA9">
            <w:pPr>
              <w:jc w:val="right"/>
              <w:rPr>
                <w:color w:val="000000"/>
                <w:sz w:val="20"/>
                <w:szCs w:val="20"/>
              </w:rPr>
            </w:pPr>
            <w:r w:rsidRPr="00CA0382">
              <w:rPr>
                <w:color w:val="000000"/>
                <w:sz w:val="20"/>
                <w:szCs w:val="20"/>
              </w:rPr>
              <w:t>$800,0</w:t>
            </w:r>
            <w:r w:rsidRPr="00CA0382" w:rsidR="00CA0382">
              <w:rPr>
                <w:color w:val="000000"/>
                <w:sz w:val="20"/>
                <w:szCs w:val="20"/>
              </w:rPr>
              <w:t>0</w:t>
            </w:r>
            <w:r w:rsidRPr="00CA0382">
              <w:rPr>
                <w:color w:val="000000"/>
                <w:sz w:val="20"/>
                <w:szCs w:val="20"/>
              </w:rPr>
              <w:t>0.00</w:t>
            </w:r>
          </w:p>
        </w:tc>
        <w:tc>
          <w:tcPr>
            <w:tcW w:w="2389" w:type="dxa"/>
          </w:tcPr>
          <w:p w:rsidRPr="00CA0382" w:rsidR="006618DB" w:rsidP="00CA0382" w:rsidRDefault="00ED04F2" w14:paraId="6020D779" w14:textId="51A45547">
            <w:pPr>
              <w:jc w:val="right"/>
              <w:rPr>
                <w:color w:val="000000"/>
                <w:sz w:val="20"/>
                <w:szCs w:val="20"/>
              </w:rPr>
            </w:pPr>
            <w:r w:rsidRPr="00CA0382">
              <w:rPr>
                <w:color w:val="000000"/>
                <w:sz w:val="20"/>
                <w:szCs w:val="20"/>
              </w:rPr>
              <w:t>$2,400,000.00</w:t>
            </w:r>
          </w:p>
        </w:tc>
      </w:tr>
      <w:tr w:rsidRPr="00F63C58" w:rsidR="00A51A0B" w:rsidTr="00A51A0B" w14:paraId="21DEF697" w14:textId="77777777">
        <w:trPr>
          <w:trHeight w:val="315"/>
        </w:trPr>
        <w:tc>
          <w:tcPr>
            <w:tcW w:w="3269" w:type="dxa"/>
          </w:tcPr>
          <w:p w:rsidRPr="00A51A0B" w:rsidR="00A51A0B" w:rsidP="00576008" w:rsidRDefault="00A51A0B" w14:paraId="2C9C7B1C" w14:textId="01D26963">
            <w:pPr>
              <w:rPr>
                <w:b/>
                <w:bCs/>
                <w:color w:val="000000"/>
                <w:sz w:val="20"/>
                <w:szCs w:val="20"/>
              </w:rPr>
            </w:pPr>
            <w:r w:rsidRPr="00A51A0B">
              <w:rPr>
                <w:b/>
                <w:bCs/>
                <w:color w:val="000000"/>
                <w:sz w:val="20"/>
                <w:szCs w:val="20"/>
              </w:rPr>
              <w:t>Total Field Operations Costs</w:t>
            </w:r>
          </w:p>
        </w:tc>
        <w:tc>
          <w:tcPr>
            <w:tcW w:w="1252" w:type="dxa"/>
          </w:tcPr>
          <w:p w:rsidRPr="00A51A0B" w:rsidR="00A51A0B" w:rsidP="00CA0382" w:rsidRDefault="00A51A0B" w14:paraId="0A2B9B05" w14:textId="5E15E44F">
            <w:pPr>
              <w:jc w:val="right"/>
              <w:rPr>
                <w:b/>
                <w:bCs/>
                <w:color w:val="000000"/>
                <w:sz w:val="20"/>
                <w:szCs w:val="20"/>
              </w:rPr>
            </w:pPr>
            <w:r w:rsidRPr="00A51A0B">
              <w:rPr>
                <w:b/>
                <w:bCs/>
                <w:color w:val="000000"/>
                <w:sz w:val="20"/>
                <w:szCs w:val="20"/>
              </w:rPr>
              <w:t>$0.00</w:t>
            </w:r>
          </w:p>
        </w:tc>
        <w:tc>
          <w:tcPr>
            <w:tcW w:w="1433" w:type="dxa"/>
          </w:tcPr>
          <w:p w:rsidRPr="00A51A0B" w:rsidR="00A51A0B" w:rsidP="00CA0382" w:rsidRDefault="00A51A0B" w14:paraId="45E6CAFC" w14:textId="4EEAA476">
            <w:pPr>
              <w:jc w:val="right"/>
              <w:rPr>
                <w:b/>
                <w:bCs/>
                <w:color w:val="000000"/>
                <w:sz w:val="20"/>
                <w:szCs w:val="20"/>
              </w:rPr>
            </w:pPr>
            <w:r w:rsidRPr="00A51A0B">
              <w:rPr>
                <w:b/>
                <w:bCs/>
                <w:color w:val="000000"/>
                <w:sz w:val="20"/>
                <w:szCs w:val="20"/>
              </w:rPr>
              <w:t>$2,100,000.00</w:t>
            </w:r>
          </w:p>
        </w:tc>
        <w:tc>
          <w:tcPr>
            <w:tcW w:w="1421" w:type="dxa"/>
          </w:tcPr>
          <w:p w:rsidRPr="00A51A0B" w:rsidR="00A51A0B" w:rsidP="00CA0382" w:rsidRDefault="00A51A0B" w14:paraId="4205F9EB" w14:textId="5961AB8F">
            <w:pPr>
              <w:jc w:val="right"/>
              <w:rPr>
                <w:b/>
                <w:bCs/>
                <w:color w:val="000000"/>
                <w:sz w:val="20"/>
                <w:szCs w:val="20"/>
              </w:rPr>
            </w:pPr>
            <w:r w:rsidRPr="00A51A0B">
              <w:rPr>
                <w:b/>
                <w:bCs/>
                <w:color w:val="000000"/>
                <w:sz w:val="20"/>
                <w:szCs w:val="20"/>
              </w:rPr>
              <w:t>$800,000.00</w:t>
            </w:r>
          </w:p>
        </w:tc>
        <w:tc>
          <w:tcPr>
            <w:tcW w:w="2389" w:type="dxa"/>
          </w:tcPr>
          <w:p w:rsidRPr="00A51A0B" w:rsidR="00A51A0B" w:rsidP="00CA0382" w:rsidRDefault="00A51A0B" w14:paraId="7A517413" w14:textId="6A0869A2">
            <w:pPr>
              <w:jc w:val="right"/>
              <w:rPr>
                <w:b/>
                <w:bCs/>
                <w:color w:val="000000"/>
                <w:sz w:val="20"/>
                <w:szCs w:val="20"/>
              </w:rPr>
            </w:pPr>
            <w:r w:rsidRPr="00A51A0B">
              <w:rPr>
                <w:b/>
                <w:bCs/>
                <w:color w:val="000000"/>
                <w:sz w:val="20"/>
                <w:szCs w:val="20"/>
              </w:rPr>
              <w:t>$2,900,000.00</w:t>
            </w:r>
          </w:p>
        </w:tc>
      </w:tr>
      <w:tr w:rsidRPr="00F63C58" w:rsidR="006618DB" w:rsidTr="00A51A0B" w14:paraId="6F6CD5B7" w14:textId="77777777">
        <w:trPr>
          <w:trHeight w:val="315"/>
        </w:trPr>
        <w:tc>
          <w:tcPr>
            <w:tcW w:w="9764" w:type="dxa"/>
            <w:gridSpan w:val="5"/>
          </w:tcPr>
          <w:p w:rsidRPr="00CA0382" w:rsidR="00E463BE" w:rsidP="00576008" w:rsidRDefault="00E463BE" w14:paraId="7436A535" w14:textId="77777777">
            <w:pPr>
              <w:rPr>
                <w:b/>
                <w:color w:val="212121"/>
                <w:sz w:val="20"/>
                <w:szCs w:val="20"/>
              </w:rPr>
            </w:pPr>
            <w:r w:rsidRPr="00CA0382">
              <w:rPr>
                <w:b/>
                <w:color w:val="000000"/>
                <w:sz w:val="20"/>
                <w:szCs w:val="20"/>
              </w:rPr>
              <w:t>Other Direct Costs</w:t>
            </w:r>
          </w:p>
        </w:tc>
      </w:tr>
      <w:tr w:rsidRPr="00F63C58" w:rsidR="006618DB" w:rsidTr="00A51A0B" w14:paraId="7B7F95A2" w14:textId="77777777">
        <w:trPr>
          <w:trHeight w:val="300"/>
        </w:trPr>
        <w:tc>
          <w:tcPr>
            <w:tcW w:w="3269" w:type="dxa"/>
            <w:noWrap/>
            <w:hideMark/>
          </w:tcPr>
          <w:p w:rsidRPr="00CA0382" w:rsidR="00E463BE" w:rsidP="00A51A0B" w:rsidRDefault="00E463BE" w14:paraId="3D4FCA3D" w14:textId="77777777">
            <w:pPr>
              <w:ind w:left="156"/>
              <w:rPr>
                <w:color w:val="000000"/>
                <w:sz w:val="20"/>
                <w:szCs w:val="20"/>
              </w:rPr>
            </w:pPr>
            <w:r w:rsidRPr="00CA0382">
              <w:rPr>
                <w:color w:val="000000"/>
                <w:sz w:val="20"/>
                <w:szCs w:val="20"/>
              </w:rPr>
              <w:t>Postage</w:t>
            </w:r>
          </w:p>
        </w:tc>
        <w:tc>
          <w:tcPr>
            <w:tcW w:w="1252" w:type="dxa"/>
            <w:noWrap/>
            <w:hideMark/>
          </w:tcPr>
          <w:p w:rsidRPr="00CA0382" w:rsidR="00E463BE" w:rsidP="00576008" w:rsidRDefault="00E463BE" w14:paraId="390E4A45" w14:textId="537437F8">
            <w:pPr>
              <w:jc w:val="right"/>
              <w:rPr>
                <w:color w:val="000000"/>
                <w:sz w:val="20"/>
                <w:szCs w:val="20"/>
              </w:rPr>
            </w:pPr>
            <w:r w:rsidRPr="00CA0382">
              <w:rPr>
                <w:color w:val="000000"/>
                <w:sz w:val="20"/>
                <w:szCs w:val="20"/>
              </w:rPr>
              <w:t>$0</w:t>
            </w:r>
            <w:r w:rsidRPr="00CA0382" w:rsidR="00F63C58">
              <w:rPr>
                <w:color w:val="000000"/>
                <w:sz w:val="20"/>
                <w:szCs w:val="20"/>
              </w:rPr>
              <w:t>.00</w:t>
            </w:r>
          </w:p>
        </w:tc>
        <w:tc>
          <w:tcPr>
            <w:tcW w:w="1433" w:type="dxa"/>
            <w:noWrap/>
            <w:hideMark/>
          </w:tcPr>
          <w:p w:rsidRPr="00CA0382" w:rsidR="00E463BE" w:rsidP="00E456A8" w:rsidRDefault="00E463BE" w14:paraId="7444172C" w14:textId="4DE000DE">
            <w:pPr>
              <w:jc w:val="right"/>
              <w:rPr>
                <w:color w:val="000000"/>
                <w:sz w:val="20"/>
                <w:szCs w:val="20"/>
              </w:rPr>
            </w:pPr>
            <w:r w:rsidRPr="00CA0382">
              <w:rPr>
                <w:color w:val="000000"/>
                <w:sz w:val="20"/>
                <w:szCs w:val="20"/>
              </w:rPr>
              <w:t>$</w:t>
            </w:r>
            <w:r w:rsidRPr="00CA0382" w:rsidR="00ED04F2">
              <w:rPr>
                <w:color w:val="000000"/>
                <w:sz w:val="20"/>
                <w:szCs w:val="20"/>
              </w:rPr>
              <w:t>8,</w:t>
            </w:r>
            <w:r w:rsidR="00E456A8">
              <w:rPr>
                <w:color w:val="000000"/>
                <w:sz w:val="20"/>
                <w:szCs w:val="20"/>
              </w:rPr>
              <w:t>800</w:t>
            </w:r>
            <w:r w:rsidRPr="00CA0382" w:rsidR="00F63C58">
              <w:rPr>
                <w:color w:val="000000"/>
                <w:sz w:val="20"/>
                <w:szCs w:val="20"/>
              </w:rPr>
              <w:t>.00</w:t>
            </w:r>
          </w:p>
        </w:tc>
        <w:tc>
          <w:tcPr>
            <w:tcW w:w="1421" w:type="dxa"/>
            <w:noWrap/>
            <w:hideMark/>
          </w:tcPr>
          <w:p w:rsidRPr="00CA0382" w:rsidR="00E463BE" w:rsidP="00576008" w:rsidRDefault="00E463BE" w14:paraId="7339F894" w14:textId="386A6141">
            <w:pPr>
              <w:jc w:val="right"/>
              <w:rPr>
                <w:color w:val="000000"/>
                <w:sz w:val="20"/>
                <w:szCs w:val="20"/>
              </w:rPr>
            </w:pPr>
            <w:r w:rsidRPr="00CA0382">
              <w:rPr>
                <w:color w:val="000000"/>
                <w:sz w:val="20"/>
                <w:szCs w:val="20"/>
              </w:rPr>
              <w:t>$0</w:t>
            </w:r>
            <w:r w:rsidRPr="00CA0382" w:rsidR="00F63C58">
              <w:rPr>
                <w:color w:val="000000"/>
                <w:sz w:val="20"/>
                <w:szCs w:val="20"/>
              </w:rPr>
              <w:t>.00</w:t>
            </w:r>
          </w:p>
        </w:tc>
        <w:tc>
          <w:tcPr>
            <w:tcW w:w="2389" w:type="dxa"/>
            <w:noWrap/>
            <w:hideMark/>
          </w:tcPr>
          <w:p w:rsidRPr="00CA0382" w:rsidR="00E463BE" w:rsidP="00E456A8" w:rsidRDefault="00E463BE" w14:paraId="120240E0" w14:textId="6BF66E74">
            <w:pPr>
              <w:jc w:val="right"/>
              <w:rPr>
                <w:color w:val="000000"/>
                <w:sz w:val="20"/>
                <w:szCs w:val="20"/>
              </w:rPr>
            </w:pPr>
            <w:r w:rsidRPr="00CA0382">
              <w:rPr>
                <w:color w:val="000000"/>
                <w:sz w:val="20"/>
                <w:szCs w:val="20"/>
              </w:rPr>
              <w:t>$</w:t>
            </w:r>
            <w:r w:rsidRPr="00CA0382" w:rsidR="00ED04F2">
              <w:rPr>
                <w:color w:val="000000"/>
                <w:sz w:val="20"/>
                <w:szCs w:val="20"/>
              </w:rPr>
              <w:t>8,</w:t>
            </w:r>
            <w:r w:rsidR="00E456A8">
              <w:rPr>
                <w:color w:val="000000"/>
                <w:sz w:val="20"/>
                <w:szCs w:val="20"/>
              </w:rPr>
              <w:t>80</w:t>
            </w:r>
            <w:r w:rsidRPr="00CA0382" w:rsidR="00ED04F2">
              <w:rPr>
                <w:color w:val="000000"/>
                <w:sz w:val="20"/>
                <w:szCs w:val="20"/>
              </w:rPr>
              <w:t>0</w:t>
            </w:r>
            <w:r w:rsidRPr="00CA0382" w:rsidR="00F63C58">
              <w:rPr>
                <w:color w:val="000000"/>
                <w:sz w:val="20"/>
                <w:szCs w:val="20"/>
              </w:rPr>
              <w:t>.00</w:t>
            </w:r>
          </w:p>
        </w:tc>
      </w:tr>
      <w:tr w:rsidRPr="00F63C58" w:rsidR="006618DB" w:rsidTr="00A51A0B" w14:paraId="53E6D2BE" w14:textId="77777777">
        <w:trPr>
          <w:trHeight w:val="300"/>
        </w:trPr>
        <w:tc>
          <w:tcPr>
            <w:tcW w:w="3269" w:type="dxa"/>
            <w:noWrap/>
            <w:hideMark/>
          </w:tcPr>
          <w:p w:rsidRPr="00CA0382" w:rsidR="00E463BE" w:rsidP="00A51A0B" w:rsidRDefault="00E463BE" w14:paraId="689C53E5" w14:textId="11B5CB09">
            <w:pPr>
              <w:ind w:left="156"/>
              <w:rPr>
                <w:color w:val="000000"/>
                <w:sz w:val="20"/>
                <w:szCs w:val="20"/>
              </w:rPr>
            </w:pPr>
            <w:r w:rsidRPr="00CA0382">
              <w:rPr>
                <w:color w:val="000000"/>
                <w:sz w:val="20"/>
                <w:szCs w:val="20"/>
              </w:rPr>
              <w:t xml:space="preserve">Printing </w:t>
            </w:r>
          </w:p>
        </w:tc>
        <w:tc>
          <w:tcPr>
            <w:tcW w:w="1252" w:type="dxa"/>
            <w:noWrap/>
            <w:hideMark/>
          </w:tcPr>
          <w:p w:rsidRPr="00CA0382" w:rsidR="00E463BE" w:rsidP="00576008" w:rsidRDefault="00E463BE" w14:paraId="504B75B2" w14:textId="1AB82F27">
            <w:pPr>
              <w:jc w:val="right"/>
              <w:rPr>
                <w:color w:val="000000"/>
                <w:sz w:val="20"/>
                <w:szCs w:val="20"/>
              </w:rPr>
            </w:pPr>
            <w:r w:rsidRPr="00CA0382">
              <w:rPr>
                <w:color w:val="000000"/>
                <w:sz w:val="20"/>
                <w:szCs w:val="20"/>
              </w:rPr>
              <w:t>$0</w:t>
            </w:r>
            <w:r w:rsidRPr="00CA0382" w:rsidR="00F63C58">
              <w:rPr>
                <w:color w:val="000000"/>
                <w:sz w:val="20"/>
                <w:szCs w:val="20"/>
              </w:rPr>
              <w:t>.00</w:t>
            </w:r>
          </w:p>
        </w:tc>
        <w:tc>
          <w:tcPr>
            <w:tcW w:w="1433" w:type="dxa"/>
            <w:noWrap/>
            <w:hideMark/>
          </w:tcPr>
          <w:p w:rsidRPr="00CA0382" w:rsidR="00E463BE" w:rsidP="00E456A8" w:rsidRDefault="00E463BE" w14:paraId="79EF1104" w14:textId="1742F63D">
            <w:pPr>
              <w:jc w:val="right"/>
              <w:rPr>
                <w:color w:val="000000"/>
                <w:sz w:val="20"/>
                <w:szCs w:val="20"/>
              </w:rPr>
            </w:pPr>
            <w:r w:rsidRPr="00CA0382">
              <w:rPr>
                <w:color w:val="000000"/>
                <w:sz w:val="20"/>
                <w:szCs w:val="20"/>
              </w:rPr>
              <w:t>$5,</w:t>
            </w:r>
            <w:r w:rsidR="00E456A8">
              <w:rPr>
                <w:color w:val="000000"/>
                <w:sz w:val="20"/>
                <w:szCs w:val="20"/>
              </w:rPr>
              <w:t>20</w:t>
            </w:r>
            <w:r w:rsidRPr="00CA0382" w:rsidR="00ED04F2">
              <w:rPr>
                <w:color w:val="000000"/>
                <w:sz w:val="20"/>
                <w:szCs w:val="20"/>
              </w:rPr>
              <w:t>0</w:t>
            </w:r>
            <w:r w:rsidRPr="00CA0382" w:rsidR="00F63C58">
              <w:rPr>
                <w:color w:val="000000"/>
                <w:sz w:val="20"/>
                <w:szCs w:val="20"/>
              </w:rPr>
              <w:t>.00</w:t>
            </w:r>
          </w:p>
        </w:tc>
        <w:tc>
          <w:tcPr>
            <w:tcW w:w="1421" w:type="dxa"/>
            <w:noWrap/>
            <w:hideMark/>
          </w:tcPr>
          <w:p w:rsidRPr="00CA0382" w:rsidR="00E463BE" w:rsidP="00576008" w:rsidRDefault="00E463BE" w14:paraId="636CC11C" w14:textId="6D2C87CC">
            <w:pPr>
              <w:jc w:val="right"/>
              <w:rPr>
                <w:color w:val="000000"/>
                <w:sz w:val="20"/>
                <w:szCs w:val="20"/>
              </w:rPr>
            </w:pPr>
            <w:r w:rsidRPr="00CA0382">
              <w:rPr>
                <w:color w:val="000000"/>
                <w:sz w:val="20"/>
                <w:szCs w:val="20"/>
              </w:rPr>
              <w:t>$</w:t>
            </w:r>
            <w:r w:rsidRPr="00CA0382" w:rsidR="00ED04F2">
              <w:rPr>
                <w:color w:val="000000"/>
                <w:sz w:val="20"/>
                <w:szCs w:val="20"/>
              </w:rPr>
              <w:t>6,00</w:t>
            </w:r>
            <w:r w:rsidRPr="00CA0382">
              <w:rPr>
                <w:color w:val="000000"/>
                <w:sz w:val="20"/>
                <w:szCs w:val="20"/>
              </w:rPr>
              <w:t>0</w:t>
            </w:r>
            <w:r w:rsidRPr="00CA0382" w:rsidR="00F63C58">
              <w:rPr>
                <w:color w:val="000000"/>
                <w:sz w:val="20"/>
                <w:szCs w:val="20"/>
              </w:rPr>
              <w:t>.00</w:t>
            </w:r>
          </w:p>
        </w:tc>
        <w:tc>
          <w:tcPr>
            <w:tcW w:w="2389" w:type="dxa"/>
            <w:noWrap/>
            <w:hideMark/>
          </w:tcPr>
          <w:p w:rsidRPr="00CA0382" w:rsidR="00E463BE" w:rsidP="00E456A8" w:rsidRDefault="00E463BE" w14:paraId="5E393659" w14:textId="38952BBC">
            <w:pPr>
              <w:jc w:val="right"/>
              <w:rPr>
                <w:color w:val="000000"/>
                <w:sz w:val="20"/>
                <w:szCs w:val="20"/>
              </w:rPr>
            </w:pPr>
            <w:r w:rsidRPr="00CA0382">
              <w:rPr>
                <w:color w:val="000000"/>
                <w:sz w:val="20"/>
                <w:szCs w:val="20"/>
              </w:rPr>
              <w:t>$</w:t>
            </w:r>
            <w:r w:rsidRPr="00CA0382" w:rsidR="00ED04F2">
              <w:rPr>
                <w:color w:val="000000"/>
                <w:sz w:val="20"/>
                <w:szCs w:val="20"/>
              </w:rPr>
              <w:t>11</w:t>
            </w:r>
            <w:r w:rsidRPr="00CA0382">
              <w:rPr>
                <w:color w:val="000000"/>
                <w:sz w:val="20"/>
                <w:szCs w:val="20"/>
              </w:rPr>
              <w:t>,</w:t>
            </w:r>
            <w:r w:rsidR="00E456A8">
              <w:rPr>
                <w:color w:val="000000"/>
                <w:sz w:val="20"/>
                <w:szCs w:val="20"/>
              </w:rPr>
              <w:t>200</w:t>
            </w:r>
            <w:r w:rsidRPr="00CA0382" w:rsidR="00F63C58">
              <w:rPr>
                <w:color w:val="000000"/>
                <w:sz w:val="20"/>
                <w:szCs w:val="20"/>
              </w:rPr>
              <w:t>.00</w:t>
            </w:r>
          </w:p>
        </w:tc>
      </w:tr>
      <w:tr w:rsidRPr="00F63C58" w:rsidR="00A51A0B" w:rsidTr="00A51A0B" w14:paraId="69A9A26B" w14:textId="77777777">
        <w:trPr>
          <w:trHeight w:val="300"/>
        </w:trPr>
        <w:tc>
          <w:tcPr>
            <w:tcW w:w="3269" w:type="dxa"/>
            <w:noWrap/>
          </w:tcPr>
          <w:p w:rsidRPr="00A51A0B" w:rsidR="00A51A0B" w:rsidP="00ED04F2" w:rsidRDefault="00A51A0B" w14:paraId="4523F551" w14:textId="0E26E1F9">
            <w:pPr>
              <w:rPr>
                <w:b/>
                <w:bCs/>
                <w:color w:val="000000"/>
                <w:sz w:val="20"/>
                <w:szCs w:val="20"/>
              </w:rPr>
            </w:pPr>
            <w:r w:rsidRPr="00A51A0B">
              <w:rPr>
                <w:b/>
                <w:bCs/>
                <w:color w:val="000000"/>
                <w:sz w:val="20"/>
                <w:szCs w:val="20"/>
              </w:rPr>
              <w:t>Total Other Direct Costs</w:t>
            </w:r>
          </w:p>
        </w:tc>
        <w:tc>
          <w:tcPr>
            <w:tcW w:w="1252" w:type="dxa"/>
            <w:noWrap/>
          </w:tcPr>
          <w:p w:rsidRPr="00A51A0B" w:rsidR="00A51A0B" w:rsidP="00576008" w:rsidRDefault="00A51A0B" w14:paraId="0F870B4E" w14:textId="05DBC5A9">
            <w:pPr>
              <w:jc w:val="right"/>
              <w:rPr>
                <w:b/>
                <w:bCs/>
                <w:color w:val="000000"/>
                <w:sz w:val="20"/>
                <w:szCs w:val="20"/>
              </w:rPr>
            </w:pPr>
            <w:r w:rsidRPr="00A51A0B">
              <w:rPr>
                <w:b/>
                <w:bCs/>
                <w:color w:val="000000"/>
                <w:sz w:val="20"/>
                <w:szCs w:val="20"/>
              </w:rPr>
              <w:t>$0.00</w:t>
            </w:r>
          </w:p>
        </w:tc>
        <w:tc>
          <w:tcPr>
            <w:tcW w:w="1433" w:type="dxa"/>
            <w:noWrap/>
          </w:tcPr>
          <w:p w:rsidRPr="00A51A0B" w:rsidR="00A51A0B" w:rsidP="00E456A8" w:rsidRDefault="00A51A0B" w14:paraId="4AC971DF" w14:textId="3A34BC7F">
            <w:pPr>
              <w:jc w:val="right"/>
              <w:rPr>
                <w:b/>
                <w:bCs/>
                <w:color w:val="000000"/>
                <w:sz w:val="20"/>
                <w:szCs w:val="20"/>
              </w:rPr>
            </w:pPr>
            <w:r w:rsidRPr="00A51A0B">
              <w:rPr>
                <w:b/>
                <w:bCs/>
                <w:color w:val="000000"/>
                <w:sz w:val="20"/>
                <w:szCs w:val="20"/>
              </w:rPr>
              <w:t>$14,000.00</w:t>
            </w:r>
          </w:p>
        </w:tc>
        <w:tc>
          <w:tcPr>
            <w:tcW w:w="1421" w:type="dxa"/>
            <w:noWrap/>
          </w:tcPr>
          <w:p w:rsidRPr="00A51A0B" w:rsidR="00A51A0B" w:rsidP="00576008" w:rsidRDefault="00A51A0B" w14:paraId="2D225D3E" w14:textId="6F2B1FDE">
            <w:pPr>
              <w:jc w:val="right"/>
              <w:rPr>
                <w:b/>
                <w:bCs/>
                <w:color w:val="000000"/>
                <w:sz w:val="20"/>
                <w:szCs w:val="20"/>
              </w:rPr>
            </w:pPr>
            <w:r w:rsidRPr="00A51A0B">
              <w:rPr>
                <w:b/>
                <w:bCs/>
                <w:color w:val="000000"/>
                <w:sz w:val="20"/>
                <w:szCs w:val="20"/>
              </w:rPr>
              <w:t>$6,000.00</w:t>
            </w:r>
          </w:p>
        </w:tc>
        <w:tc>
          <w:tcPr>
            <w:tcW w:w="2389" w:type="dxa"/>
            <w:noWrap/>
          </w:tcPr>
          <w:p w:rsidRPr="00A51A0B" w:rsidR="00A51A0B" w:rsidP="00E456A8" w:rsidRDefault="00A51A0B" w14:paraId="1A5FD636" w14:textId="6AFFCAA5">
            <w:pPr>
              <w:jc w:val="right"/>
              <w:rPr>
                <w:b/>
                <w:bCs/>
                <w:color w:val="000000"/>
                <w:sz w:val="20"/>
                <w:szCs w:val="20"/>
              </w:rPr>
            </w:pPr>
            <w:r w:rsidRPr="00A51A0B">
              <w:rPr>
                <w:b/>
                <w:bCs/>
                <w:color w:val="000000"/>
                <w:sz w:val="20"/>
                <w:szCs w:val="20"/>
              </w:rPr>
              <w:t>$20,000.00</w:t>
            </w:r>
          </w:p>
        </w:tc>
      </w:tr>
      <w:tr w:rsidRPr="00F63C58" w:rsidR="006618DB" w:rsidTr="00A51A0B" w14:paraId="67027CB7" w14:textId="77777777">
        <w:trPr>
          <w:trHeight w:val="300"/>
        </w:trPr>
        <w:tc>
          <w:tcPr>
            <w:tcW w:w="3269" w:type="dxa"/>
            <w:noWrap/>
            <w:hideMark/>
          </w:tcPr>
          <w:p w:rsidRPr="00CA0382" w:rsidR="00E463BE" w:rsidP="00576008" w:rsidRDefault="00E463BE" w14:paraId="7A3ADF52" w14:textId="77777777">
            <w:pPr>
              <w:rPr>
                <w:b/>
                <w:color w:val="000000"/>
                <w:sz w:val="20"/>
                <w:szCs w:val="20"/>
              </w:rPr>
            </w:pPr>
            <w:r w:rsidRPr="00CA0382">
              <w:rPr>
                <w:b/>
                <w:color w:val="000000"/>
                <w:sz w:val="20"/>
                <w:szCs w:val="20"/>
              </w:rPr>
              <w:t>Overall Total Cost</w:t>
            </w:r>
          </w:p>
        </w:tc>
        <w:tc>
          <w:tcPr>
            <w:tcW w:w="1252" w:type="dxa"/>
            <w:noWrap/>
            <w:hideMark/>
          </w:tcPr>
          <w:p w:rsidRPr="00CA0382" w:rsidR="00E463BE" w:rsidP="00E456A8" w:rsidRDefault="00E463BE" w14:paraId="3F964FC4" w14:textId="4E5E5705">
            <w:pPr>
              <w:jc w:val="right"/>
              <w:rPr>
                <w:b/>
                <w:color w:val="000000"/>
                <w:sz w:val="20"/>
                <w:szCs w:val="20"/>
              </w:rPr>
            </w:pPr>
            <w:r w:rsidRPr="00CA0382">
              <w:rPr>
                <w:b/>
                <w:color w:val="000000"/>
                <w:sz w:val="20"/>
                <w:szCs w:val="20"/>
              </w:rPr>
              <w:t>$</w:t>
            </w:r>
            <w:r w:rsidR="00E456A8">
              <w:rPr>
                <w:b/>
                <w:color w:val="000000"/>
                <w:sz w:val="20"/>
                <w:szCs w:val="20"/>
              </w:rPr>
              <w:t>696</w:t>
            </w:r>
            <w:r w:rsidRPr="00CA0382">
              <w:rPr>
                <w:b/>
                <w:color w:val="000000"/>
                <w:sz w:val="20"/>
                <w:szCs w:val="20"/>
              </w:rPr>
              <w:t>,</w:t>
            </w:r>
            <w:r w:rsidR="00E456A8">
              <w:rPr>
                <w:b/>
                <w:color w:val="000000"/>
                <w:sz w:val="20"/>
                <w:szCs w:val="20"/>
              </w:rPr>
              <w:t>9</w:t>
            </w:r>
            <w:r w:rsidRPr="00CA0382">
              <w:rPr>
                <w:b/>
                <w:color w:val="000000"/>
                <w:sz w:val="20"/>
                <w:szCs w:val="20"/>
              </w:rPr>
              <w:t>00</w:t>
            </w:r>
            <w:r w:rsidRPr="00CA0382" w:rsidR="00F63C58">
              <w:rPr>
                <w:b/>
                <w:color w:val="000000"/>
                <w:sz w:val="20"/>
                <w:szCs w:val="20"/>
              </w:rPr>
              <w:t>.00</w:t>
            </w:r>
          </w:p>
        </w:tc>
        <w:tc>
          <w:tcPr>
            <w:tcW w:w="1433" w:type="dxa"/>
            <w:noWrap/>
            <w:hideMark/>
          </w:tcPr>
          <w:p w:rsidRPr="00CA0382" w:rsidR="00E463BE" w:rsidP="00E456A8" w:rsidRDefault="00E463BE" w14:paraId="047ED92A" w14:textId="3475B6ED">
            <w:pPr>
              <w:jc w:val="right"/>
              <w:rPr>
                <w:b/>
                <w:color w:val="000000"/>
                <w:sz w:val="20"/>
                <w:szCs w:val="20"/>
              </w:rPr>
            </w:pPr>
            <w:r w:rsidRPr="00CA0382">
              <w:rPr>
                <w:b/>
                <w:color w:val="000000"/>
                <w:sz w:val="20"/>
                <w:szCs w:val="20"/>
              </w:rPr>
              <w:t>$</w:t>
            </w:r>
            <w:r w:rsidRPr="00CA0382" w:rsidR="00674A0C">
              <w:rPr>
                <w:b/>
                <w:color w:val="000000"/>
                <w:sz w:val="20"/>
                <w:szCs w:val="20"/>
              </w:rPr>
              <w:t>3,4</w:t>
            </w:r>
            <w:r w:rsidR="00E456A8">
              <w:rPr>
                <w:b/>
                <w:color w:val="000000"/>
                <w:sz w:val="20"/>
                <w:szCs w:val="20"/>
              </w:rPr>
              <w:t>30</w:t>
            </w:r>
            <w:r w:rsidRPr="00CA0382">
              <w:rPr>
                <w:b/>
                <w:color w:val="000000"/>
                <w:sz w:val="20"/>
                <w:szCs w:val="20"/>
              </w:rPr>
              <w:t>,</w:t>
            </w:r>
            <w:r w:rsidR="00E456A8">
              <w:rPr>
                <w:b/>
                <w:color w:val="000000"/>
                <w:sz w:val="20"/>
                <w:szCs w:val="20"/>
              </w:rPr>
              <w:t>1</w:t>
            </w:r>
            <w:r w:rsidRPr="00CA0382" w:rsidR="00674A0C">
              <w:rPr>
                <w:b/>
                <w:color w:val="000000"/>
                <w:sz w:val="20"/>
                <w:szCs w:val="20"/>
              </w:rPr>
              <w:t>00</w:t>
            </w:r>
            <w:r w:rsidRPr="00CA0382" w:rsidR="00F63C58">
              <w:rPr>
                <w:b/>
                <w:color w:val="000000"/>
                <w:sz w:val="20"/>
                <w:szCs w:val="20"/>
              </w:rPr>
              <w:t>.00</w:t>
            </w:r>
          </w:p>
        </w:tc>
        <w:tc>
          <w:tcPr>
            <w:tcW w:w="1421" w:type="dxa"/>
            <w:noWrap/>
            <w:hideMark/>
          </w:tcPr>
          <w:p w:rsidRPr="00CA0382" w:rsidR="00E463BE" w:rsidP="00674A0C" w:rsidRDefault="00E463BE" w14:paraId="115DD443" w14:textId="05B6DEFC">
            <w:pPr>
              <w:jc w:val="right"/>
              <w:rPr>
                <w:b/>
                <w:color w:val="000000"/>
                <w:sz w:val="20"/>
                <w:szCs w:val="20"/>
              </w:rPr>
            </w:pPr>
            <w:r w:rsidRPr="00CA0382">
              <w:rPr>
                <w:b/>
                <w:color w:val="000000"/>
                <w:sz w:val="20"/>
                <w:szCs w:val="20"/>
              </w:rPr>
              <w:t>$1,</w:t>
            </w:r>
            <w:r w:rsidRPr="00CA0382" w:rsidR="00674A0C">
              <w:rPr>
                <w:b/>
                <w:color w:val="000000"/>
                <w:sz w:val="20"/>
                <w:szCs w:val="20"/>
              </w:rPr>
              <w:t>873</w:t>
            </w:r>
            <w:r w:rsidRPr="00CA0382">
              <w:rPr>
                <w:b/>
                <w:color w:val="000000"/>
                <w:sz w:val="20"/>
                <w:szCs w:val="20"/>
              </w:rPr>
              <w:t>,</w:t>
            </w:r>
            <w:r w:rsidRPr="00CA0382" w:rsidR="00674A0C">
              <w:rPr>
                <w:b/>
                <w:color w:val="000000"/>
                <w:sz w:val="20"/>
                <w:szCs w:val="20"/>
              </w:rPr>
              <w:t>000</w:t>
            </w:r>
            <w:r w:rsidRPr="00CA0382" w:rsidR="00F63C58">
              <w:rPr>
                <w:b/>
                <w:color w:val="000000"/>
                <w:sz w:val="20"/>
                <w:szCs w:val="20"/>
              </w:rPr>
              <w:t>.00</w:t>
            </w:r>
          </w:p>
        </w:tc>
        <w:tc>
          <w:tcPr>
            <w:tcW w:w="2389" w:type="dxa"/>
            <w:noWrap/>
            <w:hideMark/>
          </w:tcPr>
          <w:p w:rsidRPr="00CA0382" w:rsidR="00E463BE" w:rsidP="00674A0C" w:rsidRDefault="00E463BE" w14:paraId="57A4C410" w14:textId="691E3832">
            <w:pPr>
              <w:jc w:val="right"/>
              <w:rPr>
                <w:b/>
                <w:color w:val="000000"/>
                <w:sz w:val="20"/>
                <w:szCs w:val="20"/>
              </w:rPr>
            </w:pPr>
            <w:r w:rsidRPr="00CA0382">
              <w:rPr>
                <w:b/>
                <w:color w:val="000000"/>
                <w:sz w:val="20"/>
                <w:szCs w:val="20"/>
              </w:rPr>
              <w:t>$</w:t>
            </w:r>
            <w:r w:rsidRPr="00CA0382" w:rsidR="00674A0C">
              <w:rPr>
                <w:b/>
                <w:color w:val="000000"/>
                <w:sz w:val="20"/>
                <w:szCs w:val="20"/>
              </w:rPr>
              <w:t>6</w:t>
            </w:r>
            <w:r w:rsidRPr="00CA0382">
              <w:rPr>
                <w:b/>
                <w:color w:val="000000"/>
                <w:sz w:val="20"/>
                <w:szCs w:val="20"/>
              </w:rPr>
              <w:t>,</w:t>
            </w:r>
            <w:r w:rsidRPr="00CA0382" w:rsidR="00674A0C">
              <w:rPr>
                <w:b/>
                <w:color w:val="000000"/>
                <w:sz w:val="20"/>
                <w:szCs w:val="20"/>
              </w:rPr>
              <w:t>0</w:t>
            </w:r>
            <w:r w:rsidRPr="00CA0382">
              <w:rPr>
                <w:b/>
                <w:color w:val="000000"/>
                <w:sz w:val="20"/>
                <w:szCs w:val="20"/>
              </w:rPr>
              <w:t>00,000</w:t>
            </w:r>
            <w:r w:rsidRPr="00CA0382" w:rsidR="00F63C58">
              <w:rPr>
                <w:b/>
                <w:color w:val="000000"/>
                <w:sz w:val="20"/>
                <w:szCs w:val="20"/>
              </w:rPr>
              <w:t>.00</w:t>
            </w:r>
          </w:p>
        </w:tc>
      </w:tr>
    </w:tbl>
    <w:p w:rsidRPr="004D03BF" w:rsidR="004D03BF" w:rsidP="004D03BF" w:rsidRDefault="004D03BF" w14:paraId="59A567BC" w14:textId="77777777">
      <w:pPr>
        <w:ind w:left="1413"/>
      </w:pPr>
    </w:p>
    <w:p w:rsidR="00D96714" w:rsidP="0053075F" w:rsidRDefault="00DE17C1" w14:paraId="66EAA555" w14:textId="44A9D1A1">
      <w:pPr>
        <w:numPr>
          <w:ilvl w:val="0"/>
          <w:numId w:val="11"/>
        </w:numPr>
        <w:tabs>
          <w:tab w:val="clear" w:pos="360"/>
          <w:tab w:val="num" w:pos="720"/>
        </w:tabs>
        <w:ind w:left="720" w:hanging="720"/>
        <w:rPr>
          <w:b/>
          <w:u w:val="single"/>
        </w:rPr>
      </w:pPr>
      <w:r>
        <w:rPr>
          <w:b/>
          <w:u w:val="single"/>
        </w:rPr>
        <w:t>Reason for Change in Burden</w:t>
      </w:r>
    </w:p>
    <w:p w:rsidR="00D96714" w:rsidP="00D96714" w:rsidRDefault="00D96714" w14:paraId="52D58E29" w14:textId="77777777">
      <w:pPr>
        <w:pStyle w:val="List"/>
      </w:pPr>
    </w:p>
    <w:p w:rsidR="0076730A" w:rsidP="0076730A" w:rsidRDefault="00CE5F91" w14:paraId="35978CDD" w14:textId="4A3C9166">
      <w:pPr>
        <w:pStyle w:val="Level1"/>
        <w:autoSpaceDE/>
        <w:autoSpaceDN/>
        <w:adjustRightInd/>
        <w:rPr>
          <w:rFonts w:ascii="Times New Roman" w:hAnsi="Times New Roman"/>
        </w:rPr>
      </w:pPr>
      <w:r>
        <w:rPr>
          <w:rFonts w:ascii="Times New Roman" w:hAnsi="Times New Roman"/>
        </w:rPr>
        <w:t>T</w:t>
      </w:r>
      <w:r w:rsidRPr="006166BD" w:rsidR="0076730A">
        <w:rPr>
          <w:rFonts w:ascii="Times New Roman" w:hAnsi="Times New Roman"/>
        </w:rPr>
        <w:t>he 20</w:t>
      </w:r>
      <w:r w:rsidRPr="006166BD" w:rsidR="006166BD">
        <w:rPr>
          <w:rFonts w:ascii="Times New Roman" w:hAnsi="Times New Roman"/>
        </w:rPr>
        <w:t>21</w:t>
      </w:r>
      <w:r w:rsidRPr="006166BD" w:rsidR="0076730A">
        <w:rPr>
          <w:rFonts w:ascii="Times New Roman" w:hAnsi="Times New Roman"/>
        </w:rPr>
        <w:t xml:space="preserve"> RHFS questionnaire does not contain significant changes from the 201</w:t>
      </w:r>
      <w:r w:rsidRPr="006166BD" w:rsidR="006166BD">
        <w:rPr>
          <w:rFonts w:ascii="Times New Roman" w:hAnsi="Times New Roman"/>
        </w:rPr>
        <w:t>8</w:t>
      </w:r>
      <w:r w:rsidRPr="006166BD" w:rsidR="0076730A">
        <w:rPr>
          <w:rFonts w:ascii="Times New Roman" w:hAnsi="Times New Roman"/>
        </w:rPr>
        <w:t xml:space="preserve"> version</w:t>
      </w:r>
      <w:r w:rsidR="006166BD">
        <w:rPr>
          <w:rFonts w:ascii="Times New Roman" w:hAnsi="Times New Roman"/>
        </w:rPr>
        <w:t>. While two questions were added, a small number of questions were removed. As such</w:t>
      </w:r>
      <w:r w:rsidRPr="006166BD" w:rsidR="0076730A">
        <w:rPr>
          <w:rFonts w:ascii="Times New Roman" w:hAnsi="Times New Roman"/>
        </w:rPr>
        <w:t xml:space="preserve">, there is no expected net increase in burden </w:t>
      </w:r>
      <w:r>
        <w:rPr>
          <w:rFonts w:ascii="Times New Roman" w:hAnsi="Times New Roman"/>
        </w:rPr>
        <w:t>from the 2018 RHFS</w:t>
      </w:r>
      <w:r w:rsidRPr="006166BD" w:rsidR="0076730A">
        <w:rPr>
          <w:rFonts w:ascii="Times New Roman" w:hAnsi="Times New Roman"/>
        </w:rPr>
        <w:t>.</w:t>
      </w:r>
      <w:r w:rsidR="0076730A">
        <w:rPr>
          <w:rFonts w:ascii="Times New Roman" w:hAnsi="Times New Roman"/>
        </w:rPr>
        <w:t xml:space="preserve"> </w:t>
      </w:r>
    </w:p>
    <w:p w:rsidR="0076730A" w:rsidP="00C702BA" w:rsidRDefault="0076730A" w14:paraId="7984EBBB" w14:textId="77777777">
      <w:pPr>
        <w:pStyle w:val="List"/>
        <w:ind w:left="720" w:firstLine="0"/>
      </w:pPr>
    </w:p>
    <w:p w:rsidRPr="0026580E" w:rsidR="00D8374C" w:rsidP="00791217" w:rsidRDefault="00DE17C1" w14:paraId="11F7F3F3" w14:textId="5DE3DEDF">
      <w:pPr>
        <w:numPr>
          <w:ilvl w:val="0"/>
          <w:numId w:val="11"/>
        </w:numPr>
        <w:tabs>
          <w:tab w:val="clear" w:pos="360"/>
          <w:tab w:val="num" w:pos="720"/>
        </w:tabs>
        <w:ind w:left="720" w:hanging="720"/>
        <w:rPr>
          <w:b/>
          <w:u w:val="single"/>
        </w:rPr>
      </w:pPr>
      <w:r w:rsidRPr="0026580E">
        <w:rPr>
          <w:b/>
          <w:u w:val="single"/>
        </w:rPr>
        <w:t>Project Schedule</w:t>
      </w:r>
    </w:p>
    <w:p w:rsidRPr="0026580E" w:rsidR="0026580E" w:rsidP="0026580E" w:rsidRDefault="0026580E" w14:paraId="1895206A" w14:textId="77777777">
      <w:pPr>
        <w:ind w:left="720"/>
        <w:rPr>
          <w:b/>
          <w:u w:val="single"/>
        </w:rPr>
      </w:pPr>
    </w:p>
    <w:p w:rsidR="00DE17C1" w:rsidP="00DE17C1" w:rsidRDefault="00DE17C1" w14:paraId="7A315553" w14:textId="5E7F7FB2">
      <w:pPr>
        <w:pStyle w:val="List"/>
        <w:ind w:left="720" w:firstLine="0"/>
      </w:pPr>
      <w:r>
        <w:t xml:space="preserve">The </w:t>
      </w:r>
      <w:r w:rsidR="00701A1F">
        <w:t xml:space="preserve">2021 </w:t>
      </w:r>
      <w:r>
        <w:t xml:space="preserve">RHFS data collection is scheduled to begin in </w:t>
      </w:r>
      <w:r w:rsidR="007826C0">
        <w:t>June</w:t>
      </w:r>
      <w:r>
        <w:t xml:space="preserve"> 20</w:t>
      </w:r>
      <w:r w:rsidR="006166BD">
        <w:t>21</w:t>
      </w:r>
      <w:r>
        <w:t xml:space="preserve"> and continue through </w:t>
      </w:r>
      <w:r w:rsidR="006166BD">
        <w:t>November 2021</w:t>
      </w:r>
      <w:r>
        <w:t>.</w:t>
      </w:r>
      <w:r w:rsidR="0063126F">
        <w:t xml:space="preserve"> Following data collection, Census</w:t>
      </w:r>
      <w:r w:rsidR="0026580E">
        <w:t xml:space="preserve"> will conduct quality control, statistical </w:t>
      </w:r>
      <w:proofErr w:type="gramStart"/>
      <w:r w:rsidR="0026580E">
        <w:t>weighting</w:t>
      </w:r>
      <w:proofErr w:type="gramEnd"/>
      <w:r w:rsidR="0026580E">
        <w:t xml:space="preserve"> and data preparation</w:t>
      </w:r>
      <w:r w:rsidR="0063126F">
        <w:t xml:space="preserve"> </w:t>
      </w:r>
      <w:r w:rsidR="0026580E">
        <w:t xml:space="preserve">from </w:t>
      </w:r>
      <w:r w:rsidR="006166BD">
        <w:t>December</w:t>
      </w:r>
      <w:r w:rsidR="0026580E">
        <w:t xml:space="preserve"> 20</w:t>
      </w:r>
      <w:r w:rsidR="006166BD">
        <w:t>21</w:t>
      </w:r>
      <w:r w:rsidR="0026580E">
        <w:t xml:space="preserve"> through </w:t>
      </w:r>
      <w:r w:rsidR="00965327">
        <w:t>May 2023</w:t>
      </w:r>
      <w:r w:rsidR="0026580E">
        <w:t xml:space="preserve">. </w:t>
      </w:r>
    </w:p>
    <w:p w:rsidR="00DE17C1" w:rsidP="00DE17C1" w:rsidRDefault="00DE17C1" w14:paraId="51A35361" w14:textId="77777777">
      <w:pPr>
        <w:pStyle w:val="List"/>
        <w:ind w:left="1080"/>
      </w:pPr>
    </w:p>
    <w:p w:rsidR="0026580E" w:rsidP="0026580E" w:rsidRDefault="0026580E" w14:paraId="6B56BA47" w14:textId="2A2CA96D">
      <w:pPr>
        <w:pStyle w:val="List"/>
        <w:ind w:left="720" w:firstLine="0"/>
      </w:pPr>
      <w:r>
        <w:t>After these processes are complete, the Census Bureau will produce four products. The products and their release data are as follows:</w:t>
      </w:r>
    </w:p>
    <w:p w:rsidR="0026580E" w:rsidP="0026580E" w:rsidRDefault="0026580E" w14:paraId="01E4492F" w14:textId="77777777">
      <w:pPr>
        <w:pStyle w:val="List"/>
        <w:ind w:left="720" w:firstLine="0"/>
      </w:pPr>
    </w:p>
    <w:tbl>
      <w:tblPr>
        <w:tblStyle w:val="TableGrid"/>
        <w:tblW w:w="0" w:type="auto"/>
        <w:tblInd w:w="720" w:type="dxa"/>
        <w:tblLook w:val="04A0" w:firstRow="1" w:lastRow="0" w:firstColumn="1" w:lastColumn="0" w:noHBand="0" w:noVBand="1"/>
      </w:tblPr>
      <w:tblGrid>
        <w:gridCol w:w="4338"/>
        <w:gridCol w:w="2767"/>
      </w:tblGrid>
      <w:tr w:rsidRPr="006166BD" w:rsidR="0026580E" w:rsidTr="00F63C58" w14:paraId="09431C8C" w14:textId="77777777">
        <w:tc>
          <w:tcPr>
            <w:tcW w:w="4338" w:type="dxa"/>
          </w:tcPr>
          <w:p w:rsidRPr="00965327" w:rsidR="0026580E" w:rsidP="0026580E" w:rsidRDefault="0026580E" w14:paraId="620206A8" w14:textId="6D23BC91">
            <w:pPr>
              <w:pStyle w:val="List"/>
              <w:ind w:left="0" w:firstLine="0"/>
              <w:rPr>
                <w:b/>
              </w:rPr>
            </w:pPr>
            <w:r w:rsidRPr="00965327">
              <w:rPr>
                <w:b/>
              </w:rPr>
              <w:t>Product</w:t>
            </w:r>
          </w:p>
        </w:tc>
        <w:tc>
          <w:tcPr>
            <w:tcW w:w="2767" w:type="dxa"/>
          </w:tcPr>
          <w:p w:rsidRPr="00965327" w:rsidR="0026580E" w:rsidP="0026580E" w:rsidRDefault="0026580E" w14:paraId="02C63746" w14:textId="07189FBB">
            <w:pPr>
              <w:pStyle w:val="List"/>
              <w:ind w:left="0" w:firstLine="0"/>
              <w:rPr>
                <w:b/>
              </w:rPr>
            </w:pPr>
            <w:r w:rsidRPr="00965327">
              <w:rPr>
                <w:b/>
              </w:rPr>
              <w:t>Release Date</w:t>
            </w:r>
          </w:p>
        </w:tc>
      </w:tr>
      <w:tr w:rsidRPr="006166BD" w:rsidR="0026580E" w:rsidTr="00F63C58" w14:paraId="6E5839EC" w14:textId="77777777">
        <w:tc>
          <w:tcPr>
            <w:tcW w:w="4338" w:type="dxa"/>
          </w:tcPr>
          <w:p w:rsidRPr="00965327" w:rsidR="0026580E" w:rsidP="0026580E" w:rsidRDefault="0026580E" w14:paraId="6EAAEF77" w14:textId="705F0967">
            <w:pPr>
              <w:pStyle w:val="List"/>
              <w:ind w:left="0" w:firstLine="0"/>
            </w:pPr>
            <w:r w:rsidRPr="00965327">
              <w:t>RHFS Internal Use File</w:t>
            </w:r>
          </w:p>
        </w:tc>
        <w:tc>
          <w:tcPr>
            <w:tcW w:w="2767" w:type="dxa"/>
          </w:tcPr>
          <w:p w:rsidRPr="00965327" w:rsidR="0026580E" w:rsidP="00CE5F91" w:rsidRDefault="00CE5F91" w14:paraId="2EB19970" w14:textId="56B3DA0B">
            <w:pPr>
              <w:pStyle w:val="List"/>
              <w:ind w:left="0" w:firstLine="0"/>
            </w:pPr>
            <w:r w:rsidRPr="00965327">
              <w:t>December 16, 2022</w:t>
            </w:r>
          </w:p>
        </w:tc>
      </w:tr>
      <w:tr w:rsidRPr="006166BD" w:rsidR="0026580E" w:rsidTr="00F63C58" w14:paraId="6B1C8F77" w14:textId="77777777">
        <w:tc>
          <w:tcPr>
            <w:tcW w:w="4338" w:type="dxa"/>
          </w:tcPr>
          <w:p w:rsidRPr="00965327" w:rsidR="0026580E" w:rsidP="0026580E" w:rsidRDefault="0026580E" w14:paraId="49B30393" w14:textId="28F4FEAF">
            <w:pPr>
              <w:pStyle w:val="List"/>
              <w:ind w:left="0" w:firstLine="0"/>
            </w:pPr>
            <w:r w:rsidRPr="00965327">
              <w:t>RHFS summary table estimates</w:t>
            </w:r>
          </w:p>
        </w:tc>
        <w:tc>
          <w:tcPr>
            <w:tcW w:w="2767" w:type="dxa"/>
          </w:tcPr>
          <w:p w:rsidRPr="00965327" w:rsidR="0026580E" w:rsidP="00CE5F91" w:rsidRDefault="00CE5F91" w14:paraId="739D0D85" w14:textId="1AF25163">
            <w:pPr>
              <w:pStyle w:val="List"/>
              <w:ind w:left="0" w:firstLine="0"/>
            </w:pPr>
            <w:r w:rsidRPr="00965327">
              <w:t>December 16, 2022</w:t>
            </w:r>
          </w:p>
        </w:tc>
      </w:tr>
      <w:tr w:rsidRPr="006166BD" w:rsidR="0026580E" w:rsidTr="00F63C58" w14:paraId="591A8BC3" w14:textId="77777777">
        <w:tc>
          <w:tcPr>
            <w:tcW w:w="4338" w:type="dxa"/>
          </w:tcPr>
          <w:p w:rsidRPr="00965327" w:rsidR="0026580E" w:rsidP="0026580E" w:rsidRDefault="0026580E" w14:paraId="41B8B4A7" w14:textId="18E08A32">
            <w:pPr>
              <w:pStyle w:val="List"/>
              <w:ind w:left="0" w:firstLine="0"/>
            </w:pPr>
            <w:r w:rsidRPr="00965327">
              <w:t>RHFS sample design and miscellaneous user documentation</w:t>
            </w:r>
          </w:p>
        </w:tc>
        <w:tc>
          <w:tcPr>
            <w:tcW w:w="2767" w:type="dxa"/>
          </w:tcPr>
          <w:p w:rsidRPr="00965327" w:rsidR="0026580E" w:rsidP="007826C0" w:rsidRDefault="007826C0" w14:paraId="65F73E36" w14:textId="37A0990E">
            <w:pPr>
              <w:pStyle w:val="List"/>
              <w:ind w:left="0" w:firstLine="0"/>
            </w:pPr>
            <w:r w:rsidRPr="00965327">
              <w:t>December 16, 2022</w:t>
            </w:r>
          </w:p>
        </w:tc>
      </w:tr>
      <w:tr w:rsidR="0026580E" w:rsidTr="00F63C58" w14:paraId="303CDFD6" w14:textId="77777777">
        <w:tc>
          <w:tcPr>
            <w:tcW w:w="4338" w:type="dxa"/>
          </w:tcPr>
          <w:p w:rsidRPr="00965327" w:rsidR="0026580E" w:rsidP="0026580E" w:rsidRDefault="0026580E" w14:paraId="6A709220" w14:textId="1E8F70C2">
            <w:pPr>
              <w:pStyle w:val="List"/>
              <w:ind w:left="0" w:firstLine="0"/>
            </w:pPr>
            <w:r w:rsidRPr="00965327">
              <w:t>RHFS Public Use File</w:t>
            </w:r>
          </w:p>
        </w:tc>
        <w:tc>
          <w:tcPr>
            <w:tcW w:w="2767" w:type="dxa"/>
          </w:tcPr>
          <w:p w:rsidRPr="00965327" w:rsidR="0026580E" w:rsidP="007826C0" w:rsidRDefault="007826C0" w14:paraId="7BA2D11A" w14:textId="37ED6C8A">
            <w:pPr>
              <w:pStyle w:val="List"/>
              <w:ind w:left="0" w:firstLine="0"/>
            </w:pPr>
            <w:r w:rsidRPr="00965327">
              <w:t>May 31, 2023</w:t>
            </w:r>
          </w:p>
        </w:tc>
      </w:tr>
    </w:tbl>
    <w:p w:rsidR="00D96714" w:rsidP="00D96714" w:rsidRDefault="00D96714" w14:paraId="570591C1" w14:textId="761B7668">
      <w:pPr>
        <w:ind w:left="720"/>
        <w:rPr>
          <w:b/>
          <w:u w:val="single"/>
        </w:rPr>
      </w:pPr>
    </w:p>
    <w:p w:rsidR="002E5DD9" w:rsidP="00D96714" w:rsidRDefault="002E5DD9" w14:paraId="169A7D94" w14:textId="77777777">
      <w:pPr>
        <w:ind w:left="720"/>
        <w:rPr>
          <w:b/>
          <w:u w:val="single"/>
        </w:rPr>
      </w:pPr>
    </w:p>
    <w:p w:rsidR="00DE17C1" w:rsidP="0053075F" w:rsidRDefault="00DE17C1" w14:paraId="130842B1" w14:textId="77777777">
      <w:pPr>
        <w:numPr>
          <w:ilvl w:val="0"/>
          <w:numId w:val="11"/>
        </w:numPr>
        <w:tabs>
          <w:tab w:val="clear" w:pos="360"/>
          <w:tab w:val="num" w:pos="720"/>
        </w:tabs>
        <w:ind w:left="720" w:hanging="720"/>
        <w:rPr>
          <w:b/>
          <w:u w:val="single"/>
        </w:rPr>
      </w:pPr>
      <w:r>
        <w:rPr>
          <w:b/>
          <w:u w:val="single"/>
        </w:rPr>
        <w:t>Request to Not display Expiration Date</w:t>
      </w:r>
    </w:p>
    <w:p w:rsidR="00DE17C1" w:rsidP="00DE17C1" w:rsidRDefault="00DE17C1" w14:paraId="6B51D2CF" w14:textId="77777777">
      <w:pPr>
        <w:pStyle w:val="List"/>
        <w:ind w:left="720" w:firstLine="0"/>
      </w:pPr>
    </w:p>
    <w:p w:rsidR="00DE17C1" w:rsidP="00DE17C1" w:rsidRDefault="00D96714" w14:paraId="1EF4D200" w14:textId="4D6320F7">
      <w:pPr>
        <w:pStyle w:val="List"/>
        <w:ind w:left="720" w:firstLine="0"/>
      </w:pPr>
      <w:r>
        <w:t xml:space="preserve">There are no </w:t>
      </w:r>
      <w:r w:rsidR="00DE17C1">
        <w:t>requests.</w:t>
      </w:r>
    </w:p>
    <w:p w:rsidR="00DE17C1" w:rsidP="00DE17C1" w:rsidRDefault="00DE17C1" w14:paraId="33F8A4FE" w14:textId="45A37BF6">
      <w:pPr>
        <w:pStyle w:val="List"/>
        <w:ind w:left="1080"/>
        <w:rPr>
          <w:b/>
          <w:u w:val="single"/>
        </w:rPr>
      </w:pPr>
      <w:r>
        <w:t xml:space="preserve"> </w:t>
      </w:r>
    </w:p>
    <w:p w:rsidR="00DE17C1" w:rsidP="00DE17C1" w:rsidRDefault="00DE17C1" w14:paraId="64DE617D" w14:textId="77777777">
      <w:pPr>
        <w:numPr>
          <w:ilvl w:val="0"/>
          <w:numId w:val="11"/>
        </w:numPr>
        <w:tabs>
          <w:tab w:val="clear" w:pos="360"/>
          <w:tab w:val="num" w:pos="720"/>
        </w:tabs>
        <w:ind w:left="720" w:hanging="720"/>
        <w:rPr>
          <w:b/>
          <w:u w:val="single"/>
        </w:rPr>
      </w:pPr>
      <w:r>
        <w:rPr>
          <w:b/>
          <w:u w:val="single"/>
        </w:rPr>
        <w:t>Exceptions to the Certificate</w:t>
      </w:r>
    </w:p>
    <w:p w:rsidR="00DE17C1" w:rsidP="00DE17C1" w:rsidRDefault="00DE17C1" w14:paraId="424EE19C" w14:textId="77777777">
      <w:pPr>
        <w:pStyle w:val="List"/>
      </w:pPr>
    </w:p>
    <w:p w:rsidR="001C30D6" w:rsidP="008349A2" w:rsidRDefault="00DE17C1" w14:paraId="244C15C5" w14:textId="3771D57B">
      <w:pPr>
        <w:pStyle w:val="List"/>
        <w:ind w:left="1080"/>
      </w:pPr>
      <w:r>
        <w:t>There are no exceptions.</w:t>
      </w:r>
    </w:p>
    <w:sectPr w:rsidR="001C30D6" w:rsidSect="00792DCD">
      <w:headerReference w:type="even" r:id="rId9"/>
      <w:headerReference w:type="default" r:id="rId10"/>
      <w:pgSz w:w="12240" w:h="15840" w:code="1"/>
      <w:pgMar w:top="1440"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3CC79" w14:textId="77777777" w:rsidR="00C02647" w:rsidRDefault="00C02647">
      <w:r>
        <w:separator/>
      </w:r>
    </w:p>
  </w:endnote>
  <w:endnote w:type="continuationSeparator" w:id="0">
    <w:p w14:paraId="57EA1E31" w14:textId="77777777" w:rsidR="00C02647" w:rsidRDefault="00C0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hruti">
    <w:altName w:val="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18C0A" w14:textId="77777777" w:rsidR="00C02647" w:rsidRDefault="00C02647">
      <w:r>
        <w:separator/>
      </w:r>
    </w:p>
  </w:footnote>
  <w:footnote w:type="continuationSeparator" w:id="0">
    <w:p w14:paraId="7A3274D4" w14:textId="77777777" w:rsidR="00C02647" w:rsidRDefault="00C02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A293" w14:textId="77777777" w:rsidR="00903EFF" w:rsidRDefault="00903E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2BAD15" w14:textId="77777777" w:rsidR="00903EFF" w:rsidRDefault="00903E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D2937" w14:textId="53F81609" w:rsidR="00903EFF" w:rsidRDefault="00903E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2FF2">
      <w:rPr>
        <w:rStyle w:val="PageNumber"/>
        <w:noProof/>
      </w:rPr>
      <w:t>5</w:t>
    </w:r>
    <w:r>
      <w:rPr>
        <w:rStyle w:val="PageNumber"/>
      </w:rPr>
      <w:fldChar w:fldCharType="end"/>
    </w:r>
  </w:p>
  <w:p w14:paraId="57131D7D" w14:textId="77777777" w:rsidR="00903EFF" w:rsidRDefault="00903E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40C78DA"/>
    <w:lvl w:ilvl="0">
      <w:numFmt w:val="decimal"/>
      <w:lvlText w:val="*"/>
      <w:lvlJc w:val="left"/>
    </w:lvl>
  </w:abstractNum>
  <w:abstractNum w:abstractNumId="1" w15:restartNumberingAfterBreak="0">
    <w:nsid w:val="0117105B"/>
    <w:multiLevelType w:val="hybridMultilevel"/>
    <w:tmpl w:val="A70C0B6E"/>
    <w:lvl w:ilvl="0" w:tplc="0988E11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047688"/>
    <w:multiLevelType w:val="hybridMultilevel"/>
    <w:tmpl w:val="15ACB1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1A51F8"/>
    <w:multiLevelType w:val="hybridMultilevel"/>
    <w:tmpl w:val="9D18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2B38"/>
    <w:multiLevelType w:val="hybridMultilevel"/>
    <w:tmpl w:val="6CB8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701B2"/>
    <w:multiLevelType w:val="hybridMultilevel"/>
    <w:tmpl w:val="49AA602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5FD4111"/>
    <w:multiLevelType w:val="hybridMultilevel"/>
    <w:tmpl w:val="638C4B2C"/>
    <w:lvl w:ilvl="0" w:tplc="77381D92">
      <w:start w:val="1"/>
      <w:numFmt w:val="decimal"/>
      <w:lvlText w:val="%1."/>
      <w:lvlJc w:val="left"/>
      <w:pPr>
        <w:tabs>
          <w:tab w:val="num" w:pos="990"/>
        </w:tabs>
        <w:ind w:left="990" w:hanging="360"/>
      </w:pPr>
      <w:rPr>
        <w:rFonts w:hint="default"/>
        <w:b/>
      </w:rPr>
    </w:lvl>
    <w:lvl w:ilvl="1" w:tplc="04090019">
      <w:start w:val="1"/>
      <w:numFmt w:val="lowerLetter"/>
      <w:lvlText w:val="%2."/>
      <w:lvlJc w:val="left"/>
      <w:pPr>
        <w:tabs>
          <w:tab w:val="num" w:pos="1800"/>
        </w:tabs>
        <w:ind w:left="1800" w:hanging="360"/>
      </w:pPr>
    </w:lvl>
    <w:lvl w:ilvl="2" w:tplc="3E2C6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07742F"/>
    <w:multiLevelType w:val="hybridMultilevel"/>
    <w:tmpl w:val="EB6AD450"/>
    <w:lvl w:ilvl="0" w:tplc="04090011">
      <w:start w:val="1"/>
      <w:numFmt w:val="decimal"/>
      <w:lvlText w:val="%1)"/>
      <w:lvlJc w:val="left"/>
      <w:pPr>
        <w:tabs>
          <w:tab w:val="num" w:pos="1656"/>
        </w:tabs>
        <w:ind w:left="1656" w:hanging="360"/>
      </w:pPr>
    </w:lvl>
    <w:lvl w:ilvl="1" w:tplc="04090019">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8" w15:restartNumberingAfterBreak="0">
    <w:nsid w:val="1FFE02FA"/>
    <w:multiLevelType w:val="hybridMultilevel"/>
    <w:tmpl w:val="CB6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2179A"/>
    <w:multiLevelType w:val="hybridMultilevel"/>
    <w:tmpl w:val="DC8C7096"/>
    <w:lvl w:ilvl="0" w:tplc="04090011">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10" w15:restartNumberingAfterBreak="0">
    <w:nsid w:val="24D240F4"/>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5C6274"/>
    <w:multiLevelType w:val="hybridMultilevel"/>
    <w:tmpl w:val="758E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5216D"/>
    <w:multiLevelType w:val="hybridMultilevel"/>
    <w:tmpl w:val="F560FE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2309F"/>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A59C3"/>
    <w:multiLevelType w:val="hybridMultilevel"/>
    <w:tmpl w:val="944CCF74"/>
    <w:lvl w:ilvl="0" w:tplc="04090001">
      <w:start w:val="1"/>
      <w:numFmt w:val="bullet"/>
      <w:lvlText w:val=""/>
      <w:lvlJc w:val="left"/>
      <w:pPr>
        <w:tabs>
          <w:tab w:val="num" w:pos="468"/>
        </w:tabs>
        <w:ind w:left="468" w:hanging="360"/>
      </w:pPr>
      <w:rPr>
        <w:rFonts w:ascii="Symbol" w:hAnsi="Symbol" w:hint="default"/>
      </w:rPr>
    </w:lvl>
    <w:lvl w:ilvl="1" w:tplc="04090003" w:tentative="1">
      <w:start w:val="1"/>
      <w:numFmt w:val="bullet"/>
      <w:lvlText w:val="o"/>
      <w:lvlJc w:val="left"/>
      <w:pPr>
        <w:tabs>
          <w:tab w:val="num" w:pos="1188"/>
        </w:tabs>
        <w:ind w:left="1188" w:hanging="360"/>
      </w:pPr>
      <w:rPr>
        <w:rFonts w:ascii="Courier New" w:hAnsi="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15" w15:restartNumberingAfterBreak="0">
    <w:nsid w:val="46336191"/>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00D49"/>
    <w:multiLevelType w:val="hybridMultilevel"/>
    <w:tmpl w:val="BB3A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71DF1"/>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0B7012"/>
    <w:multiLevelType w:val="hybridMultilevel"/>
    <w:tmpl w:val="E7E4C372"/>
    <w:lvl w:ilvl="0" w:tplc="A61E7026">
      <w:start w:val="1"/>
      <w:numFmt w:val="decimal"/>
      <w:lvlText w:val="%1."/>
      <w:lvlJc w:val="left"/>
      <w:pPr>
        <w:tabs>
          <w:tab w:val="num" w:pos="1080"/>
        </w:tabs>
        <w:ind w:left="792" w:hanging="7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2E0117D"/>
    <w:multiLevelType w:val="hybridMultilevel"/>
    <w:tmpl w:val="2E504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0762D6"/>
    <w:multiLevelType w:val="hybridMultilevel"/>
    <w:tmpl w:val="D846AD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22" w15:restartNumberingAfterBreak="0">
    <w:nsid w:val="64530F3B"/>
    <w:multiLevelType w:val="multilevel"/>
    <w:tmpl w:val="A93840A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670207DD"/>
    <w:multiLevelType w:val="hybridMultilevel"/>
    <w:tmpl w:val="DB5AC8EA"/>
    <w:lvl w:ilvl="0" w:tplc="04090001">
      <w:start w:val="1"/>
      <w:numFmt w:val="bullet"/>
      <w:lvlText w:val=""/>
      <w:lvlJc w:val="left"/>
      <w:pPr>
        <w:ind w:left="1080" w:hanging="360"/>
      </w:pPr>
      <w:rPr>
        <w:rFonts w:ascii="Symbol" w:hAnsi="Symbol" w:hint="default"/>
      </w:rPr>
    </w:lvl>
    <w:lvl w:ilvl="1" w:tplc="4C4A435A">
      <w:numFmt w:val="bullet"/>
      <w:lvlText w:val="•"/>
      <w:lvlJc w:val="left"/>
      <w:pPr>
        <w:ind w:left="2160" w:hanging="72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F7E11D6"/>
    <w:multiLevelType w:val="hybridMultilevel"/>
    <w:tmpl w:val="E2462AF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0AC4FD5"/>
    <w:multiLevelType w:val="hybridMultilevel"/>
    <w:tmpl w:val="CB5C2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64225A8"/>
    <w:multiLevelType w:val="hybridMultilevel"/>
    <w:tmpl w:val="BB2C1678"/>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8" w15:restartNumberingAfterBreak="0">
    <w:nsid w:val="778738DB"/>
    <w:multiLevelType w:val="hybridMultilevel"/>
    <w:tmpl w:val="E4785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C4635"/>
    <w:multiLevelType w:val="hybridMultilevel"/>
    <w:tmpl w:val="2724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7"/>
  </w:num>
  <w:num w:numId="4">
    <w:abstractNumId w:val="27"/>
  </w:num>
  <w:num w:numId="5">
    <w:abstractNumId w:val="14"/>
  </w:num>
  <w:num w:numId="6">
    <w:abstractNumId w:val="21"/>
  </w:num>
  <w:num w:numId="7">
    <w:abstractNumId w:val="9"/>
  </w:num>
  <w:num w:numId="8">
    <w:abstractNumId w:val="8"/>
  </w:num>
  <w:num w:numId="9">
    <w:abstractNumId w:val="13"/>
  </w:num>
  <w:num w:numId="10">
    <w:abstractNumId w:val="15"/>
  </w:num>
  <w:num w:numId="11">
    <w:abstractNumId w:val="5"/>
  </w:num>
  <w:num w:numId="12">
    <w:abstractNumId w:val="10"/>
  </w:num>
  <w:num w:numId="13">
    <w:abstractNumId w:val="22"/>
  </w:num>
  <w:num w:numId="14">
    <w:abstractNumId w:val="16"/>
  </w:num>
  <w:num w:numId="15">
    <w:abstractNumId w:val="24"/>
  </w:num>
  <w:num w:numId="16">
    <w:abstractNumId w:val="3"/>
  </w:num>
  <w:num w:numId="17">
    <w:abstractNumId w:val="29"/>
  </w:num>
  <w:num w:numId="18">
    <w:abstractNumId w:val="11"/>
  </w:num>
  <w:num w:numId="19">
    <w:abstractNumId w:val="28"/>
  </w:num>
  <w:num w:numId="20">
    <w:abstractNumId w:val="20"/>
  </w:num>
  <w:num w:numId="21">
    <w:abstractNumId w:val="4"/>
  </w:num>
  <w:num w:numId="22">
    <w:abstractNumId w:val="18"/>
  </w:num>
  <w:num w:numId="23">
    <w:abstractNumId w:val="1"/>
  </w:num>
  <w:num w:numId="24">
    <w:abstractNumId w:val="26"/>
  </w:num>
  <w:num w:numId="25">
    <w:abstractNumId w:val="17"/>
  </w:num>
  <w:num w:numId="26">
    <w:abstractNumId w:val="25"/>
  </w:num>
  <w:num w:numId="27">
    <w:abstractNumId w:val="23"/>
  </w:num>
  <w:num w:numId="2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9">
    <w:abstractNumId w:val="19"/>
  </w:num>
  <w:num w:numId="30">
    <w:abstractNumId w:val="12"/>
  </w:num>
  <w:num w:numId="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CA" w:vendorID="64" w:dllVersion="5" w:nlCheck="1" w:checkStyle="1"/>
  <w:activeWritingStyle w:appName="MSWord" w:lang="en-US" w:vendorID="64" w:dllVersion="5"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3963D9"/>
    <w:rsid w:val="00001E15"/>
    <w:rsid w:val="00003F94"/>
    <w:rsid w:val="00021C60"/>
    <w:rsid w:val="000233D9"/>
    <w:rsid w:val="000262C7"/>
    <w:rsid w:val="0003353D"/>
    <w:rsid w:val="000402C7"/>
    <w:rsid w:val="00041E4E"/>
    <w:rsid w:val="0004272D"/>
    <w:rsid w:val="000504E0"/>
    <w:rsid w:val="00060842"/>
    <w:rsid w:val="00061F6F"/>
    <w:rsid w:val="0006260C"/>
    <w:rsid w:val="00062ABD"/>
    <w:rsid w:val="0006627A"/>
    <w:rsid w:val="000664BF"/>
    <w:rsid w:val="000667C2"/>
    <w:rsid w:val="000727CF"/>
    <w:rsid w:val="00073CD4"/>
    <w:rsid w:val="00084A34"/>
    <w:rsid w:val="00092C7A"/>
    <w:rsid w:val="0009412E"/>
    <w:rsid w:val="0009454F"/>
    <w:rsid w:val="00094B49"/>
    <w:rsid w:val="000963B9"/>
    <w:rsid w:val="000A0452"/>
    <w:rsid w:val="000A07D1"/>
    <w:rsid w:val="000A4738"/>
    <w:rsid w:val="000A592D"/>
    <w:rsid w:val="000B0704"/>
    <w:rsid w:val="000B0FAB"/>
    <w:rsid w:val="000B2AB7"/>
    <w:rsid w:val="000B3210"/>
    <w:rsid w:val="000B35B9"/>
    <w:rsid w:val="000B7DDF"/>
    <w:rsid w:val="000C0BF2"/>
    <w:rsid w:val="000C4FD5"/>
    <w:rsid w:val="000C5293"/>
    <w:rsid w:val="000C636C"/>
    <w:rsid w:val="000C684D"/>
    <w:rsid w:val="000C68A3"/>
    <w:rsid w:val="000C6AF7"/>
    <w:rsid w:val="000D11B2"/>
    <w:rsid w:val="000D20AD"/>
    <w:rsid w:val="000D41B9"/>
    <w:rsid w:val="000D5AE7"/>
    <w:rsid w:val="000E128D"/>
    <w:rsid w:val="000F4861"/>
    <w:rsid w:val="00104BB6"/>
    <w:rsid w:val="00111837"/>
    <w:rsid w:val="0011509C"/>
    <w:rsid w:val="001150E0"/>
    <w:rsid w:val="00117EAF"/>
    <w:rsid w:val="00121CA8"/>
    <w:rsid w:val="00122CBE"/>
    <w:rsid w:val="00125F9B"/>
    <w:rsid w:val="00126841"/>
    <w:rsid w:val="00132D01"/>
    <w:rsid w:val="00140D73"/>
    <w:rsid w:val="00146781"/>
    <w:rsid w:val="001526FD"/>
    <w:rsid w:val="00153AAC"/>
    <w:rsid w:val="00154E5B"/>
    <w:rsid w:val="00161554"/>
    <w:rsid w:val="0016565A"/>
    <w:rsid w:val="00170E5C"/>
    <w:rsid w:val="00171257"/>
    <w:rsid w:val="00172AA8"/>
    <w:rsid w:val="0017563E"/>
    <w:rsid w:val="001804D8"/>
    <w:rsid w:val="00181818"/>
    <w:rsid w:val="00182660"/>
    <w:rsid w:val="0019099D"/>
    <w:rsid w:val="001A64A9"/>
    <w:rsid w:val="001B0674"/>
    <w:rsid w:val="001B0AA6"/>
    <w:rsid w:val="001B4D0A"/>
    <w:rsid w:val="001B668F"/>
    <w:rsid w:val="001C0299"/>
    <w:rsid w:val="001C04AE"/>
    <w:rsid w:val="001C30D6"/>
    <w:rsid w:val="001C3612"/>
    <w:rsid w:val="001C7B59"/>
    <w:rsid w:val="001D4C75"/>
    <w:rsid w:val="001E7D8B"/>
    <w:rsid w:val="001F0EE1"/>
    <w:rsid w:val="001F32B0"/>
    <w:rsid w:val="001F4A8E"/>
    <w:rsid w:val="001F76BB"/>
    <w:rsid w:val="001F7CAD"/>
    <w:rsid w:val="00201F72"/>
    <w:rsid w:val="00205075"/>
    <w:rsid w:val="00206995"/>
    <w:rsid w:val="002221D8"/>
    <w:rsid w:val="00222AC4"/>
    <w:rsid w:val="002272FF"/>
    <w:rsid w:val="00227BA8"/>
    <w:rsid w:val="00231090"/>
    <w:rsid w:val="00242F23"/>
    <w:rsid w:val="00244C45"/>
    <w:rsid w:val="00250CEC"/>
    <w:rsid w:val="00251F69"/>
    <w:rsid w:val="00252753"/>
    <w:rsid w:val="00256DB7"/>
    <w:rsid w:val="00262B12"/>
    <w:rsid w:val="002639F5"/>
    <w:rsid w:val="002643EF"/>
    <w:rsid w:val="0026580E"/>
    <w:rsid w:val="00271F7E"/>
    <w:rsid w:val="002801A1"/>
    <w:rsid w:val="00284266"/>
    <w:rsid w:val="00287E29"/>
    <w:rsid w:val="00290806"/>
    <w:rsid w:val="002913EC"/>
    <w:rsid w:val="00291898"/>
    <w:rsid w:val="00292A88"/>
    <w:rsid w:val="00296596"/>
    <w:rsid w:val="002A2F13"/>
    <w:rsid w:val="002A44FC"/>
    <w:rsid w:val="002A4D85"/>
    <w:rsid w:val="002B0E0C"/>
    <w:rsid w:val="002B5CF6"/>
    <w:rsid w:val="002C141B"/>
    <w:rsid w:val="002C5E73"/>
    <w:rsid w:val="002D25D8"/>
    <w:rsid w:val="002D3F44"/>
    <w:rsid w:val="002D67A7"/>
    <w:rsid w:val="002E57E8"/>
    <w:rsid w:val="002E5B08"/>
    <w:rsid w:val="002E5DD9"/>
    <w:rsid w:val="002F5638"/>
    <w:rsid w:val="003011DD"/>
    <w:rsid w:val="00301B90"/>
    <w:rsid w:val="0030232E"/>
    <w:rsid w:val="003032F9"/>
    <w:rsid w:val="003037EB"/>
    <w:rsid w:val="0030506F"/>
    <w:rsid w:val="003051AC"/>
    <w:rsid w:val="00310311"/>
    <w:rsid w:val="00311105"/>
    <w:rsid w:val="00325E50"/>
    <w:rsid w:val="003314E6"/>
    <w:rsid w:val="00336B6A"/>
    <w:rsid w:val="003427BE"/>
    <w:rsid w:val="00344D9A"/>
    <w:rsid w:val="00346721"/>
    <w:rsid w:val="00350C5C"/>
    <w:rsid w:val="00351139"/>
    <w:rsid w:val="00357EB0"/>
    <w:rsid w:val="003606CC"/>
    <w:rsid w:val="003652AB"/>
    <w:rsid w:val="00365502"/>
    <w:rsid w:val="0037466A"/>
    <w:rsid w:val="00375E89"/>
    <w:rsid w:val="00382272"/>
    <w:rsid w:val="003833D4"/>
    <w:rsid w:val="00390A2F"/>
    <w:rsid w:val="00392AB0"/>
    <w:rsid w:val="00394252"/>
    <w:rsid w:val="0039517B"/>
    <w:rsid w:val="003963D9"/>
    <w:rsid w:val="003A1A5A"/>
    <w:rsid w:val="003A4753"/>
    <w:rsid w:val="003A6D77"/>
    <w:rsid w:val="003B2654"/>
    <w:rsid w:val="003B34C2"/>
    <w:rsid w:val="003B40FA"/>
    <w:rsid w:val="003C04C6"/>
    <w:rsid w:val="003C0552"/>
    <w:rsid w:val="003C408B"/>
    <w:rsid w:val="003D20DC"/>
    <w:rsid w:val="003D246B"/>
    <w:rsid w:val="003D2F4E"/>
    <w:rsid w:val="003D6916"/>
    <w:rsid w:val="003D755D"/>
    <w:rsid w:val="003E1346"/>
    <w:rsid w:val="003E1DB8"/>
    <w:rsid w:val="003E3B97"/>
    <w:rsid w:val="003E5802"/>
    <w:rsid w:val="003E5A34"/>
    <w:rsid w:val="003E780F"/>
    <w:rsid w:val="003F04E9"/>
    <w:rsid w:val="003F7CBF"/>
    <w:rsid w:val="0040166C"/>
    <w:rsid w:val="00402799"/>
    <w:rsid w:val="004047F8"/>
    <w:rsid w:val="00411F77"/>
    <w:rsid w:val="00412B20"/>
    <w:rsid w:val="00416D0A"/>
    <w:rsid w:val="00425431"/>
    <w:rsid w:val="00427CC0"/>
    <w:rsid w:val="0043543A"/>
    <w:rsid w:val="00446D41"/>
    <w:rsid w:val="0045167F"/>
    <w:rsid w:val="00452039"/>
    <w:rsid w:val="00454D7D"/>
    <w:rsid w:val="004555E0"/>
    <w:rsid w:val="00461248"/>
    <w:rsid w:val="004633ED"/>
    <w:rsid w:val="00466524"/>
    <w:rsid w:val="004679C2"/>
    <w:rsid w:val="00470F51"/>
    <w:rsid w:val="00481CA2"/>
    <w:rsid w:val="004844D5"/>
    <w:rsid w:val="0048610B"/>
    <w:rsid w:val="00486612"/>
    <w:rsid w:val="00487DBD"/>
    <w:rsid w:val="004926F4"/>
    <w:rsid w:val="004942B6"/>
    <w:rsid w:val="004B1459"/>
    <w:rsid w:val="004B1F33"/>
    <w:rsid w:val="004B3D01"/>
    <w:rsid w:val="004C2B26"/>
    <w:rsid w:val="004C47C5"/>
    <w:rsid w:val="004D03BF"/>
    <w:rsid w:val="004D2C43"/>
    <w:rsid w:val="004D2D4F"/>
    <w:rsid w:val="004D7070"/>
    <w:rsid w:val="004E1F76"/>
    <w:rsid w:val="004E30C4"/>
    <w:rsid w:val="004E4A15"/>
    <w:rsid w:val="004F7747"/>
    <w:rsid w:val="00500B38"/>
    <w:rsid w:val="00502F50"/>
    <w:rsid w:val="005067AE"/>
    <w:rsid w:val="0052283D"/>
    <w:rsid w:val="0053075F"/>
    <w:rsid w:val="005308BA"/>
    <w:rsid w:val="00536A90"/>
    <w:rsid w:val="0053746E"/>
    <w:rsid w:val="00540465"/>
    <w:rsid w:val="00547744"/>
    <w:rsid w:val="00550E6F"/>
    <w:rsid w:val="00553348"/>
    <w:rsid w:val="005545C2"/>
    <w:rsid w:val="00554A79"/>
    <w:rsid w:val="00554E25"/>
    <w:rsid w:val="00555AC1"/>
    <w:rsid w:val="005572EA"/>
    <w:rsid w:val="00567CB1"/>
    <w:rsid w:val="00575FE1"/>
    <w:rsid w:val="00593B6A"/>
    <w:rsid w:val="005963BF"/>
    <w:rsid w:val="005A04C5"/>
    <w:rsid w:val="005A0522"/>
    <w:rsid w:val="005A3E4D"/>
    <w:rsid w:val="005A3F8B"/>
    <w:rsid w:val="005A6CE5"/>
    <w:rsid w:val="005A72FF"/>
    <w:rsid w:val="005B0A4D"/>
    <w:rsid w:val="005B1ABA"/>
    <w:rsid w:val="005B6887"/>
    <w:rsid w:val="005C186D"/>
    <w:rsid w:val="005C310A"/>
    <w:rsid w:val="005C374D"/>
    <w:rsid w:val="005C642B"/>
    <w:rsid w:val="005C7584"/>
    <w:rsid w:val="005D15C8"/>
    <w:rsid w:val="005E5590"/>
    <w:rsid w:val="005E5D0E"/>
    <w:rsid w:val="005E6ED6"/>
    <w:rsid w:val="005F2D02"/>
    <w:rsid w:val="005F34D2"/>
    <w:rsid w:val="005F5D78"/>
    <w:rsid w:val="00600212"/>
    <w:rsid w:val="0060116F"/>
    <w:rsid w:val="0060454B"/>
    <w:rsid w:val="00612092"/>
    <w:rsid w:val="00612BE5"/>
    <w:rsid w:val="00614A90"/>
    <w:rsid w:val="006166BD"/>
    <w:rsid w:val="00623A16"/>
    <w:rsid w:val="0063126F"/>
    <w:rsid w:val="00634E41"/>
    <w:rsid w:val="00634F45"/>
    <w:rsid w:val="00635B2E"/>
    <w:rsid w:val="00641770"/>
    <w:rsid w:val="006432BC"/>
    <w:rsid w:val="00652844"/>
    <w:rsid w:val="006546AB"/>
    <w:rsid w:val="00657241"/>
    <w:rsid w:val="0065799D"/>
    <w:rsid w:val="006618DB"/>
    <w:rsid w:val="0066533A"/>
    <w:rsid w:val="00667212"/>
    <w:rsid w:val="00667C56"/>
    <w:rsid w:val="0067046B"/>
    <w:rsid w:val="00672613"/>
    <w:rsid w:val="00674A0C"/>
    <w:rsid w:val="0068425F"/>
    <w:rsid w:val="00684406"/>
    <w:rsid w:val="006A09C4"/>
    <w:rsid w:val="006A22D1"/>
    <w:rsid w:val="006A24C8"/>
    <w:rsid w:val="006A3039"/>
    <w:rsid w:val="006B438B"/>
    <w:rsid w:val="006B4746"/>
    <w:rsid w:val="006B5398"/>
    <w:rsid w:val="006B5844"/>
    <w:rsid w:val="006B60C1"/>
    <w:rsid w:val="006C584D"/>
    <w:rsid w:val="006C5C34"/>
    <w:rsid w:val="006D3E38"/>
    <w:rsid w:val="006D6D5A"/>
    <w:rsid w:val="006D700A"/>
    <w:rsid w:val="006D7B03"/>
    <w:rsid w:val="006E1A69"/>
    <w:rsid w:val="006E31AC"/>
    <w:rsid w:val="006E3CE5"/>
    <w:rsid w:val="006F07C8"/>
    <w:rsid w:val="006F1AC1"/>
    <w:rsid w:val="006F61FD"/>
    <w:rsid w:val="00701A1F"/>
    <w:rsid w:val="00705EB6"/>
    <w:rsid w:val="00707783"/>
    <w:rsid w:val="007077DC"/>
    <w:rsid w:val="00707F64"/>
    <w:rsid w:val="0071367C"/>
    <w:rsid w:val="007156DB"/>
    <w:rsid w:val="00717F1A"/>
    <w:rsid w:val="007208B7"/>
    <w:rsid w:val="0072277A"/>
    <w:rsid w:val="00725D44"/>
    <w:rsid w:val="00731A44"/>
    <w:rsid w:val="00733385"/>
    <w:rsid w:val="00741428"/>
    <w:rsid w:val="00741BC5"/>
    <w:rsid w:val="00746B85"/>
    <w:rsid w:val="00750D6C"/>
    <w:rsid w:val="00756EDB"/>
    <w:rsid w:val="00764983"/>
    <w:rsid w:val="00766BEF"/>
    <w:rsid w:val="0076730A"/>
    <w:rsid w:val="00767D32"/>
    <w:rsid w:val="00773B62"/>
    <w:rsid w:val="007804BE"/>
    <w:rsid w:val="007826C0"/>
    <w:rsid w:val="007826D2"/>
    <w:rsid w:val="00785668"/>
    <w:rsid w:val="00785FD1"/>
    <w:rsid w:val="00790768"/>
    <w:rsid w:val="00792DCD"/>
    <w:rsid w:val="00794227"/>
    <w:rsid w:val="00794FE1"/>
    <w:rsid w:val="00795BAC"/>
    <w:rsid w:val="00796103"/>
    <w:rsid w:val="00796B71"/>
    <w:rsid w:val="00796CB3"/>
    <w:rsid w:val="00796EC0"/>
    <w:rsid w:val="007A654B"/>
    <w:rsid w:val="007A6883"/>
    <w:rsid w:val="007B5C65"/>
    <w:rsid w:val="007B700F"/>
    <w:rsid w:val="007C406C"/>
    <w:rsid w:val="007C4A55"/>
    <w:rsid w:val="007C6141"/>
    <w:rsid w:val="007C61F9"/>
    <w:rsid w:val="007C6EEC"/>
    <w:rsid w:val="007C7E97"/>
    <w:rsid w:val="007D1ADE"/>
    <w:rsid w:val="007D3B4A"/>
    <w:rsid w:val="007D416E"/>
    <w:rsid w:val="007D4D9E"/>
    <w:rsid w:val="007D62E6"/>
    <w:rsid w:val="007E1947"/>
    <w:rsid w:val="007E2FC0"/>
    <w:rsid w:val="007E2FF2"/>
    <w:rsid w:val="007E6293"/>
    <w:rsid w:val="007E64C5"/>
    <w:rsid w:val="007E7282"/>
    <w:rsid w:val="007F140C"/>
    <w:rsid w:val="007F38BC"/>
    <w:rsid w:val="00800081"/>
    <w:rsid w:val="00801028"/>
    <w:rsid w:val="00806FCB"/>
    <w:rsid w:val="00811266"/>
    <w:rsid w:val="008135DD"/>
    <w:rsid w:val="00813DFB"/>
    <w:rsid w:val="0082315E"/>
    <w:rsid w:val="00825009"/>
    <w:rsid w:val="00830301"/>
    <w:rsid w:val="00833317"/>
    <w:rsid w:val="00834762"/>
    <w:rsid w:val="008349A2"/>
    <w:rsid w:val="00835766"/>
    <w:rsid w:val="00836A56"/>
    <w:rsid w:val="0084022A"/>
    <w:rsid w:val="008403C0"/>
    <w:rsid w:val="0084289E"/>
    <w:rsid w:val="00844ACB"/>
    <w:rsid w:val="00844BCD"/>
    <w:rsid w:val="00844DC8"/>
    <w:rsid w:val="008525F5"/>
    <w:rsid w:val="0085577A"/>
    <w:rsid w:val="00857306"/>
    <w:rsid w:val="008618C5"/>
    <w:rsid w:val="00861EBE"/>
    <w:rsid w:val="00870483"/>
    <w:rsid w:val="00875F87"/>
    <w:rsid w:val="00883766"/>
    <w:rsid w:val="00884C6A"/>
    <w:rsid w:val="00885590"/>
    <w:rsid w:val="00897973"/>
    <w:rsid w:val="008A06D8"/>
    <w:rsid w:val="008A33AA"/>
    <w:rsid w:val="008A68EE"/>
    <w:rsid w:val="008B033E"/>
    <w:rsid w:val="008B618E"/>
    <w:rsid w:val="008C0E66"/>
    <w:rsid w:val="008C29B8"/>
    <w:rsid w:val="008C52E7"/>
    <w:rsid w:val="008C532C"/>
    <w:rsid w:val="008C69D9"/>
    <w:rsid w:val="008C6C1E"/>
    <w:rsid w:val="008D07AA"/>
    <w:rsid w:val="008D0AF6"/>
    <w:rsid w:val="008D33C2"/>
    <w:rsid w:val="008E2009"/>
    <w:rsid w:val="008F1808"/>
    <w:rsid w:val="008F3F62"/>
    <w:rsid w:val="008F4228"/>
    <w:rsid w:val="008F4391"/>
    <w:rsid w:val="008F6759"/>
    <w:rsid w:val="008F75EE"/>
    <w:rsid w:val="009010BB"/>
    <w:rsid w:val="00902867"/>
    <w:rsid w:val="00903A30"/>
    <w:rsid w:val="00903CD1"/>
    <w:rsid w:val="00903EFF"/>
    <w:rsid w:val="00910C99"/>
    <w:rsid w:val="00913E2F"/>
    <w:rsid w:val="00917B01"/>
    <w:rsid w:val="009213B2"/>
    <w:rsid w:val="009217DB"/>
    <w:rsid w:val="0092363D"/>
    <w:rsid w:val="009262C7"/>
    <w:rsid w:val="00934235"/>
    <w:rsid w:val="009344A5"/>
    <w:rsid w:val="00936CCC"/>
    <w:rsid w:val="0093752D"/>
    <w:rsid w:val="00937929"/>
    <w:rsid w:val="009455FD"/>
    <w:rsid w:val="0095090B"/>
    <w:rsid w:val="0096105D"/>
    <w:rsid w:val="00963C98"/>
    <w:rsid w:val="00965327"/>
    <w:rsid w:val="009664CF"/>
    <w:rsid w:val="00966FAB"/>
    <w:rsid w:val="0097180B"/>
    <w:rsid w:val="00972661"/>
    <w:rsid w:val="00974076"/>
    <w:rsid w:val="00975378"/>
    <w:rsid w:val="00975620"/>
    <w:rsid w:val="00976143"/>
    <w:rsid w:val="00976583"/>
    <w:rsid w:val="009831AA"/>
    <w:rsid w:val="0098439E"/>
    <w:rsid w:val="00984E08"/>
    <w:rsid w:val="0098733B"/>
    <w:rsid w:val="00987D64"/>
    <w:rsid w:val="0099007D"/>
    <w:rsid w:val="00991874"/>
    <w:rsid w:val="009930F3"/>
    <w:rsid w:val="009965B1"/>
    <w:rsid w:val="00996671"/>
    <w:rsid w:val="009A53B4"/>
    <w:rsid w:val="009A5508"/>
    <w:rsid w:val="009A55C3"/>
    <w:rsid w:val="009B0C25"/>
    <w:rsid w:val="009B2E04"/>
    <w:rsid w:val="009B5066"/>
    <w:rsid w:val="009B54B7"/>
    <w:rsid w:val="009C1A86"/>
    <w:rsid w:val="009C5166"/>
    <w:rsid w:val="009D7E74"/>
    <w:rsid w:val="009E0B57"/>
    <w:rsid w:val="009E3012"/>
    <w:rsid w:val="009E50BA"/>
    <w:rsid w:val="009E52DB"/>
    <w:rsid w:val="009E5B70"/>
    <w:rsid w:val="00A00FAD"/>
    <w:rsid w:val="00A038C9"/>
    <w:rsid w:val="00A040AE"/>
    <w:rsid w:val="00A07508"/>
    <w:rsid w:val="00A10099"/>
    <w:rsid w:val="00A12103"/>
    <w:rsid w:val="00A1214D"/>
    <w:rsid w:val="00A165C5"/>
    <w:rsid w:val="00A24241"/>
    <w:rsid w:val="00A35EBA"/>
    <w:rsid w:val="00A420D4"/>
    <w:rsid w:val="00A42538"/>
    <w:rsid w:val="00A4278C"/>
    <w:rsid w:val="00A427B1"/>
    <w:rsid w:val="00A44CCD"/>
    <w:rsid w:val="00A51A0B"/>
    <w:rsid w:val="00A530EE"/>
    <w:rsid w:val="00A5578D"/>
    <w:rsid w:val="00A55850"/>
    <w:rsid w:val="00A56182"/>
    <w:rsid w:val="00A61110"/>
    <w:rsid w:val="00A614E8"/>
    <w:rsid w:val="00A62A28"/>
    <w:rsid w:val="00A62D6E"/>
    <w:rsid w:val="00A67AB3"/>
    <w:rsid w:val="00A70886"/>
    <w:rsid w:val="00A70B4B"/>
    <w:rsid w:val="00A70C40"/>
    <w:rsid w:val="00A71ED6"/>
    <w:rsid w:val="00A75003"/>
    <w:rsid w:val="00A750B4"/>
    <w:rsid w:val="00A75313"/>
    <w:rsid w:val="00A76B85"/>
    <w:rsid w:val="00A85092"/>
    <w:rsid w:val="00A90AE3"/>
    <w:rsid w:val="00A91881"/>
    <w:rsid w:val="00A973E4"/>
    <w:rsid w:val="00AA0AEB"/>
    <w:rsid w:val="00AA4855"/>
    <w:rsid w:val="00AB1482"/>
    <w:rsid w:val="00AC3EBC"/>
    <w:rsid w:val="00AD23A9"/>
    <w:rsid w:val="00AD513D"/>
    <w:rsid w:val="00AD77C6"/>
    <w:rsid w:val="00AE1092"/>
    <w:rsid w:val="00AE2864"/>
    <w:rsid w:val="00AE7B57"/>
    <w:rsid w:val="00AF0E6F"/>
    <w:rsid w:val="00AF6209"/>
    <w:rsid w:val="00AF6F7C"/>
    <w:rsid w:val="00B174CC"/>
    <w:rsid w:val="00B209A1"/>
    <w:rsid w:val="00B214ED"/>
    <w:rsid w:val="00B2301D"/>
    <w:rsid w:val="00B231A7"/>
    <w:rsid w:val="00B27D48"/>
    <w:rsid w:val="00B33D1F"/>
    <w:rsid w:val="00B361CC"/>
    <w:rsid w:val="00B43B2C"/>
    <w:rsid w:val="00B50AE5"/>
    <w:rsid w:val="00B54601"/>
    <w:rsid w:val="00B55276"/>
    <w:rsid w:val="00B6074A"/>
    <w:rsid w:val="00B623F6"/>
    <w:rsid w:val="00B649F9"/>
    <w:rsid w:val="00B64ACD"/>
    <w:rsid w:val="00B65D63"/>
    <w:rsid w:val="00B66A7B"/>
    <w:rsid w:val="00B716FC"/>
    <w:rsid w:val="00B74B52"/>
    <w:rsid w:val="00B7562B"/>
    <w:rsid w:val="00B803BF"/>
    <w:rsid w:val="00B83F20"/>
    <w:rsid w:val="00B8429C"/>
    <w:rsid w:val="00B90637"/>
    <w:rsid w:val="00B91F18"/>
    <w:rsid w:val="00B92A9F"/>
    <w:rsid w:val="00B94633"/>
    <w:rsid w:val="00B955D0"/>
    <w:rsid w:val="00B95F83"/>
    <w:rsid w:val="00BA1317"/>
    <w:rsid w:val="00BA2E60"/>
    <w:rsid w:val="00BA51FB"/>
    <w:rsid w:val="00BA6C30"/>
    <w:rsid w:val="00BC022E"/>
    <w:rsid w:val="00BC0C18"/>
    <w:rsid w:val="00BC0DBF"/>
    <w:rsid w:val="00BC121A"/>
    <w:rsid w:val="00BC3581"/>
    <w:rsid w:val="00BC39C0"/>
    <w:rsid w:val="00BC6227"/>
    <w:rsid w:val="00BD13BE"/>
    <w:rsid w:val="00BD42A7"/>
    <w:rsid w:val="00BD5857"/>
    <w:rsid w:val="00BD5DA5"/>
    <w:rsid w:val="00BD7E7D"/>
    <w:rsid w:val="00BE2AF7"/>
    <w:rsid w:val="00BE6A52"/>
    <w:rsid w:val="00BE7CBA"/>
    <w:rsid w:val="00BF0984"/>
    <w:rsid w:val="00C02265"/>
    <w:rsid w:val="00C02647"/>
    <w:rsid w:val="00C030BA"/>
    <w:rsid w:val="00C03EEA"/>
    <w:rsid w:val="00C074AE"/>
    <w:rsid w:val="00C1286B"/>
    <w:rsid w:val="00C14DE3"/>
    <w:rsid w:val="00C1512E"/>
    <w:rsid w:val="00C15ED2"/>
    <w:rsid w:val="00C16566"/>
    <w:rsid w:val="00C17B85"/>
    <w:rsid w:val="00C17F9E"/>
    <w:rsid w:val="00C20829"/>
    <w:rsid w:val="00C219DE"/>
    <w:rsid w:val="00C21BB2"/>
    <w:rsid w:val="00C30E53"/>
    <w:rsid w:val="00C33D30"/>
    <w:rsid w:val="00C342E8"/>
    <w:rsid w:val="00C369A8"/>
    <w:rsid w:val="00C37BB6"/>
    <w:rsid w:val="00C40B9D"/>
    <w:rsid w:val="00C42BEE"/>
    <w:rsid w:val="00C5181C"/>
    <w:rsid w:val="00C533C5"/>
    <w:rsid w:val="00C534B9"/>
    <w:rsid w:val="00C53E22"/>
    <w:rsid w:val="00C540A5"/>
    <w:rsid w:val="00C579B4"/>
    <w:rsid w:val="00C702BA"/>
    <w:rsid w:val="00C707CF"/>
    <w:rsid w:val="00C73BE6"/>
    <w:rsid w:val="00C73CDF"/>
    <w:rsid w:val="00C75FD0"/>
    <w:rsid w:val="00C812AC"/>
    <w:rsid w:val="00C83754"/>
    <w:rsid w:val="00C84D4A"/>
    <w:rsid w:val="00C86609"/>
    <w:rsid w:val="00C86F35"/>
    <w:rsid w:val="00C92026"/>
    <w:rsid w:val="00C927B9"/>
    <w:rsid w:val="00CA0382"/>
    <w:rsid w:val="00CA0F26"/>
    <w:rsid w:val="00CA1DC3"/>
    <w:rsid w:val="00CA31F3"/>
    <w:rsid w:val="00CA7A97"/>
    <w:rsid w:val="00CB6A7F"/>
    <w:rsid w:val="00CC4500"/>
    <w:rsid w:val="00CC6CF3"/>
    <w:rsid w:val="00CC7A46"/>
    <w:rsid w:val="00CD5055"/>
    <w:rsid w:val="00CD5CA3"/>
    <w:rsid w:val="00CD6F1E"/>
    <w:rsid w:val="00CE21D9"/>
    <w:rsid w:val="00CE5F91"/>
    <w:rsid w:val="00CE66B1"/>
    <w:rsid w:val="00CE6EFE"/>
    <w:rsid w:val="00CE7517"/>
    <w:rsid w:val="00CF0DE8"/>
    <w:rsid w:val="00CF199A"/>
    <w:rsid w:val="00CF486E"/>
    <w:rsid w:val="00CF4FB0"/>
    <w:rsid w:val="00D033C4"/>
    <w:rsid w:val="00D0412B"/>
    <w:rsid w:val="00D0457C"/>
    <w:rsid w:val="00D05A07"/>
    <w:rsid w:val="00D079ED"/>
    <w:rsid w:val="00D12FCA"/>
    <w:rsid w:val="00D13670"/>
    <w:rsid w:val="00D14004"/>
    <w:rsid w:val="00D16B98"/>
    <w:rsid w:val="00D30E2B"/>
    <w:rsid w:val="00D3119C"/>
    <w:rsid w:val="00D340C9"/>
    <w:rsid w:val="00D34FE6"/>
    <w:rsid w:val="00D35045"/>
    <w:rsid w:val="00D40D42"/>
    <w:rsid w:val="00D457DA"/>
    <w:rsid w:val="00D5323D"/>
    <w:rsid w:val="00D56EA7"/>
    <w:rsid w:val="00D57D3A"/>
    <w:rsid w:val="00D66F2C"/>
    <w:rsid w:val="00D71117"/>
    <w:rsid w:val="00D75FDE"/>
    <w:rsid w:val="00D769BD"/>
    <w:rsid w:val="00D800B3"/>
    <w:rsid w:val="00D80828"/>
    <w:rsid w:val="00D8374C"/>
    <w:rsid w:val="00D8397F"/>
    <w:rsid w:val="00D841D8"/>
    <w:rsid w:val="00D84932"/>
    <w:rsid w:val="00D90DEA"/>
    <w:rsid w:val="00D94710"/>
    <w:rsid w:val="00D9613C"/>
    <w:rsid w:val="00D96714"/>
    <w:rsid w:val="00D96AB0"/>
    <w:rsid w:val="00DA011A"/>
    <w:rsid w:val="00DA0986"/>
    <w:rsid w:val="00DA356D"/>
    <w:rsid w:val="00DA36C5"/>
    <w:rsid w:val="00DA4316"/>
    <w:rsid w:val="00DA4A45"/>
    <w:rsid w:val="00DA4F93"/>
    <w:rsid w:val="00DB0B88"/>
    <w:rsid w:val="00DB24E3"/>
    <w:rsid w:val="00DC5098"/>
    <w:rsid w:val="00DD5D4A"/>
    <w:rsid w:val="00DD63E6"/>
    <w:rsid w:val="00DD682A"/>
    <w:rsid w:val="00DD786B"/>
    <w:rsid w:val="00DE075C"/>
    <w:rsid w:val="00DE08F2"/>
    <w:rsid w:val="00DE17C1"/>
    <w:rsid w:val="00DE7233"/>
    <w:rsid w:val="00DF49D2"/>
    <w:rsid w:val="00DF564F"/>
    <w:rsid w:val="00DF7DE4"/>
    <w:rsid w:val="00E0213B"/>
    <w:rsid w:val="00E05777"/>
    <w:rsid w:val="00E05ADE"/>
    <w:rsid w:val="00E12308"/>
    <w:rsid w:val="00E1690B"/>
    <w:rsid w:val="00E2016F"/>
    <w:rsid w:val="00E36251"/>
    <w:rsid w:val="00E456A8"/>
    <w:rsid w:val="00E463BE"/>
    <w:rsid w:val="00E472A6"/>
    <w:rsid w:val="00E52281"/>
    <w:rsid w:val="00E5258D"/>
    <w:rsid w:val="00E53B5D"/>
    <w:rsid w:val="00E548A3"/>
    <w:rsid w:val="00E61C74"/>
    <w:rsid w:val="00E650A0"/>
    <w:rsid w:val="00E66B3D"/>
    <w:rsid w:val="00E66E0C"/>
    <w:rsid w:val="00E716F0"/>
    <w:rsid w:val="00E751BB"/>
    <w:rsid w:val="00E80551"/>
    <w:rsid w:val="00E82362"/>
    <w:rsid w:val="00E832C0"/>
    <w:rsid w:val="00E870D4"/>
    <w:rsid w:val="00E87100"/>
    <w:rsid w:val="00E872BF"/>
    <w:rsid w:val="00E910CC"/>
    <w:rsid w:val="00E924AE"/>
    <w:rsid w:val="00E93708"/>
    <w:rsid w:val="00E956C1"/>
    <w:rsid w:val="00EA1CFE"/>
    <w:rsid w:val="00EA3C92"/>
    <w:rsid w:val="00EA7311"/>
    <w:rsid w:val="00EB1E3D"/>
    <w:rsid w:val="00EB3A54"/>
    <w:rsid w:val="00EB6EA9"/>
    <w:rsid w:val="00EC5E53"/>
    <w:rsid w:val="00EC7544"/>
    <w:rsid w:val="00ED04F2"/>
    <w:rsid w:val="00ED3F8C"/>
    <w:rsid w:val="00ED7505"/>
    <w:rsid w:val="00EE0398"/>
    <w:rsid w:val="00EE2E62"/>
    <w:rsid w:val="00EF2370"/>
    <w:rsid w:val="00EF2972"/>
    <w:rsid w:val="00EF4C5E"/>
    <w:rsid w:val="00F0026D"/>
    <w:rsid w:val="00F03515"/>
    <w:rsid w:val="00F0621C"/>
    <w:rsid w:val="00F077EA"/>
    <w:rsid w:val="00F117BA"/>
    <w:rsid w:val="00F12BAE"/>
    <w:rsid w:val="00F12DA8"/>
    <w:rsid w:val="00F303B1"/>
    <w:rsid w:val="00F333C5"/>
    <w:rsid w:val="00F34E97"/>
    <w:rsid w:val="00F35298"/>
    <w:rsid w:val="00F36823"/>
    <w:rsid w:val="00F37B6D"/>
    <w:rsid w:val="00F37FC7"/>
    <w:rsid w:val="00F41FD7"/>
    <w:rsid w:val="00F45600"/>
    <w:rsid w:val="00F45E89"/>
    <w:rsid w:val="00F4674F"/>
    <w:rsid w:val="00F479F2"/>
    <w:rsid w:val="00F47E58"/>
    <w:rsid w:val="00F50264"/>
    <w:rsid w:val="00F502EC"/>
    <w:rsid w:val="00F51D63"/>
    <w:rsid w:val="00F5255A"/>
    <w:rsid w:val="00F6008C"/>
    <w:rsid w:val="00F63C58"/>
    <w:rsid w:val="00F71103"/>
    <w:rsid w:val="00F77CCA"/>
    <w:rsid w:val="00F80582"/>
    <w:rsid w:val="00F9089D"/>
    <w:rsid w:val="00F90D2D"/>
    <w:rsid w:val="00F9154C"/>
    <w:rsid w:val="00FA55AB"/>
    <w:rsid w:val="00FA6781"/>
    <w:rsid w:val="00FA7BBE"/>
    <w:rsid w:val="00FB2D87"/>
    <w:rsid w:val="00FB6DC4"/>
    <w:rsid w:val="00FC032A"/>
    <w:rsid w:val="00FC22F3"/>
    <w:rsid w:val="00FC27D6"/>
    <w:rsid w:val="00FC3A3B"/>
    <w:rsid w:val="00FC5349"/>
    <w:rsid w:val="00FD073D"/>
    <w:rsid w:val="00FD0B36"/>
    <w:rsid w:val="00FD119E"/>
    <w:rsid w:val="00FD3147"/>
    <w:rsid w:val="00FE2E8A"/>
    <w:rsid w:val="00FE666A"/>
    <w:rsid w:val="00FF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99C18"/>
  <w15:docId w15:val="{6D339456-C232-4A24-B1F7-4173A7CE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uiPriority w:val="99"/>
    <w:rsid w:val="00A71ED6"/>
    <w:pPr>
      <w:spacing w:line="360" w:lineRule="atLeast"/>
      <w:ind w:firstLine="1152"/>
      <w:jc w:val="both"/>
    </w:pPr>
    <w:rPr>
      <w:sz w:val="22"/>
    </w:rPr>
  </w:style>
  <w:style w:type="table" w:customStyle="1" w:styleId="TableGrid1">
    <w:name w:val="Table Grid1"/>
    <w:basedOn w:val="TableNormal"/>
    <w:next w:val="TableGrid"/>
    <w:uiPriority w:val="59"/>
    <w:rsid w:val="004D0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82362"/>
    <w:rPr>
      <w:i/>
      <w:iCs/>
    </w:rPr>
  </w:style>
  <w:style w:type="paragraph" w:styleId="NoSpacing">
    <w:name w:val="No Spacing"/>
    <w:uiPriority w:val="1"/>
    <w:qFormat/>
    <w:rsid w:val="00CE6EFE"/>
    <w:rPr>
      <w:sz w:val="24"/>
      <w:szCs w:val="24"/>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6F07C8"/>
    <w:rPr>
      <w:rFonts w:eastAsia="Calibri"/>
      <w:sz w:val="20"/>
      <w:szCs w:val="20"/>
    </w:rPr>
  </w:style>
  <w:style w:type="character" w:customStyle="1" w:styleId="FootnoteTextChar">
    <w:name w:val="Footnote Text Char"/>
    <w:basedOn w:val="DefaultParagraphFont"/>
    <w:uiPriority w:val="99"/>
    <w:semiHidden/>
    <w:rsid w:val="006F07C8"/>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6F07C8"/>
    <w:rPr>
      <w:rFonts w:eastAsia="Calibri"/>
    </w:rPr>
  </w:style>
  <w:style w:type="character" w:styleId="FootnoteReference">
    <w:name w:val="footnote reference"/>
    <w:aliases w:val="*Footnote Reference"/>
    <w:rsid w:val="006F0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897472">
      <w:bodyDiv w:val="1"/>
      <w:marLeft w:val="0"/>
      <w:marRight w:val="0"/>
      <w:marTop w:val="0"/>
      <w:marBottom w:val="0"/>
      <w:divBdr>
        <w:top w:val="none" w:sz="0" w:space="0" w:color="auto"/>
        <w:left w:val="none" w:sz="0" w:space="0" w:color="auto"/>
        <w:bottom w:val="none" w:sz="0" w:space="0" w:color="auto"/>
        <w:right w:val="none" w:sz="0" w:space="0" w:color="auto"/>
      </w:divBdr>
    </w:div>
    <w:div w:id="400911008">
      <w:bodyDiv w:val="1"/>
      <w:marLeft w:val="0"/>
      <w:marRight w:val="0"/>
      <w:marTop w:val="0"/>
      <w:marBottom w:val="0"/>
      <w:divBdr>
        <w:top w:val="none" w:sz="0" w:space="0" w:color="auto"/>
        <w:left w:val="none" w:sz="0" w:space="0" w:color="auto"/>
        <w:bottom w:val="none" w:sz="0" w:space="0" w:color="auto"/>
        <w:right w:val="none" w:sz="0" w:space="0" w:color="auto"/>
      </w:divBdr>
    </w:div>
    <w:div w:id="555043235">
      <w:bodyDiv w:val="1"/>
      <w:marLeft w:val="0"/>
      <w:marRight w:val="0"/>
      <w:marTop w:val="0"/>
      <w:marBottom w:val="0"/>
      <w:divBdr>
        <w:top w:val="none" w:sz="0" w:space="0" w:color="auto"/>
        <w:left w:val="none" w:sz="0" w:space="0" w:color="auto"/>
        <w:bottom w:val="none" w:sz="0" w:space="0" w:color="auto"/>
        <w:right w:val="none" w:sz="0" w:space="0" w:color="auto"/>
      </w:divBdr>
    </w:div>
    <w:div w:id="619725433">
      <w:bodyDiv w:val="1"/>
      <w:marLeft w:val="0"/>
      <w:marRight w:val="0"/>
      <w:marTop w:val="0"/>
      <w:marBottom w:val="0"/>
      <w:divBdr>
        <w:top w:val="none" w:sz="0" w:space="0" w:color="auto"/>
        <w:left w:val="none" w:sz="0" w:space="0" w:color="auto"/>
        <w:bottom w:val="none" w:sz="0" w:space="0" w:color="auto"/>
        <w:right w:val="none" w:sz="0" w:space="0" w:color="auto"/>
      </w:divBdr>
    </w:div>
    <w:div w:id="853958533">
      <w:bodyDiv w:val="1"/>
      <w:marLeft w:val="0"/>
      <w:marRight w:val="0"/>
      <w:marTop w:val="0"/>
      <w:marBottom w:val="0"/>
      <w:divBdr>
        <w:top w:val="none" w:sz="0" w:space="0" w:color="auto"/>
        <w:left w:val="none" w:sz="0" w:space="0" w:color="auto"/>
        <w:bottom w:val="none" w:sz="0" w:space="0" w:color="auto"/>
        <w:right w:val="none" w:sz="0" w:space="0" w:color="auto"/>
      </w:divBdr>
    </w:div>
    <w:div w:id="214067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48FCD-E835-4E2D-8404-38D3EDC0D4B7}">
  <ds:schemaRefs>
    <ds:schemaRef ds:uri="http://schemas.openxmlformats.org/officeDocument/2006/bibliography"/>
  </ds:schemaRefs>
</ds:datastoreItem>
</file>

<file path=customXml/itemProps2.xml><?xml version="1.0" encoding="utf-8"?>
<ds:datastoreItem xmlns:ds="http://schemas.openxmlformats.org/officeDocument/2006/customXml" ds:itemID="{C41461BA-AE25-4B0B-A319-D8A90CA5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17910</CharactersWithSpaces>
  <SharedDoc>false</SharedDoc>
  <HLinks>
    <vt:vector size="36" baseType="variant">
      <vt:variant>
        <vt:i4>1245217</vt:i4>
      </vt:variant>
      <vt:variant>
        <vt:i4>15</vt:i4>
      </vt:variant>
      <vt:variant>
        <vt:i4>0</vt:i4>
      </vt:variant>
      <vt:variant>
        <vt:i4>5</vt:i4>
      </vt:variant>
      <vt:variant>
        <vt:lpwstr>mailto:Joseph.John.Huesman@census.gov</vt:lpwstr>
      </vt:variant>
      <vt:variant>
        <vt:lpwstr/>
      </vt:variant>
      <vt:variant>
        <vt:i4>5963814</vt:i4>
      </vt:variant>
      <vt:variant>
        <vt:i4>12</vt:i4>
      </vt:variant>
      <vt:variant>
        <vt:i4>0</vt:i4>
      </vt:variant>
      <vt:variant>
        <vt:i4>5</vt:i4>
      </vt:variant>
      <vt:variant>
        <vt:lpwstr>mailto:Robert%20R.%20Callis@census.gov</vt:lpwstr>
      </vt:variant>
      <vt:variant>
        <vt:lpwstr/>
      </vt:variant>
      <vt:variant>
        <vt:i4>3538962</vt:i4>
      </vt:variant>
      <vt:variant>
        <vt:i4>9</vt:i4>
      </vt:variant>
      <vt:variant>
        <vt:i4>0</vt:i4>
      </vt:variant>
      <vt:variant>
        <vt:i4>5</vt:i4>
      </vt:variant>
      <vt:variant>
        <vt:lpwstr>mailto:Aref.N.Dajani@census.gov</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4653154</vt:i4>
      </vt:variant>
      <vt:variant>
        <vt:i4>3</vt:i4>
      </vt:variant>
      <vt:variant>
        <vt:i4>0</vt:i4>
      </vt:variant>
      <vt:variant>
        <vt:i4>5</vt:i4>
      </vt:variant>
      <vt:variant>
        <vt:lpwstr>mailto:Robert.R.Callis@census.gov</vt:lpwstr>
      </vt:variant>
      <vt:variant>
        <vt:lpwstr/>
      </vt:variant>
      <vt:variant>
        <vt:i4>3538962</vt:i4>
      </vt:variant>
      <vt:variant>
        <vt:i4>0</vt:i4>
      </vt:variant>
      <vt:variant>
        <vt:i4>0</vt:i4>
      </vt:variant>
      <vt:variant>
        <vt:i4>5</vt:i4>
      </vt:variant>
      <vt:variant>
        <vt:lpwstr>mailto:Aref.N.Dajani@census.gov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Hill, Ronald M</cp:lastModifiedBy>
  <cp:revision>2</cp:revision>
  <cp:lastPrinted>2017-11-06T19:06:00Z</cp:lastPrinted>
  <dcterms:created xsi:type="dcterms:W3CDTF">2020-12-14T17:58:00Z</dcterms:created>
  <dcterms:modified xsi:type="dcterms:W3CDTF">2020-12-14T17:58:00Z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