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0155" w:rsidR="00835065" w:rsidP="00B40155" w:rsidRDefault="003E0555" w14:paraId="61D1B095" w14:textId="03E9FC04">
      <w:pPr>
        <w:rPr>
          <w:rFonts w:cstheme="minorHAnsi"/>
        </w:rPr>
      </w:pPr>
      <w:r>
        <w:rPr>
          <w:rFonts w:cstheme="minorHAnsi"/>
        </w:rPr>
        <w:t>Sample Recordkeeping Checklist to Identify Flexibilities and/or Waivers Granted by HUD to Public Housing Agencies (PHAs) in Response to an Emergency (e.g., a future Major Disaster Declaration)</w:t>
      </w:r>
    </w:p>
    <w:p w:rsidRPr="00B40155" w:rsidR="00835065" w:rsidP="00B40155" w:rsidRDefault="00835065" w14:paraId="1E3FED7D" w14:textId="77777777">
      <w:pPr>
        <w:rPr>
          <w:rFonts w:cstheme="minorHAnsi"/>
        </w:rPr>
      </w:pPr>
    </w:p>
    <w:p w:rsidRPr="00B40155" w:rsidR="00FB7755" w:rsidP="00B40155" w:rsidRDefault="00FB7755" w14:paraId="3C7A68D4" w14:textId="44FDA166">
      <w:pPr>
        <w:rPr>
          <w:rFonts w:cstheme="minorHAnsi"/>
        </w:rPr>
      </w:pPr>
      <w:r w:rsidRPr="00B40155">
        <w:rPr>
          <w:rFonts w:cstheme="minorHAnsi"/>
        </w:rPr>
        <w:t>T</w:t>
      </w:r>
      <w:r w:rsidRPr="00B40155" w:rsidR="00893D0F">
        <w:rPr>
          <w:rFonts w:cstheme="minorHAnsi"/>
        </w:rPr>
        <w:t>his</w:t>
      </w:r>
      <w:r w:rsidRPr="00B40155" w:rsidR="00777065">
        <w:rPr>
          <w:rFonts w:cstheme="minorHAnsi"/>
        </w:rPr>
        <w:t xml:space="preserve"> is a SAMPLE</w:t>
      </w:r>
      <w:r w:rsidRPr="00B40155" w:rsidR="00893D0F">
        <w:rPr>
          <w:rFonts w:cstheme="minorHAnsi"/>
        </w:rPr>
        <w:t xml:space="preserve"> checklist </w:t>
      </w:r>
      <w:r w:rsidRPr="00B40155" w:rsidR="00777065">
        <w:rPr>
          <w:rFonts w:cstheme="minorHAnsi"/>
        </w:rPr>
        <w:t xml:space="preserve">to be used for </w:t>
      </w:r>
      <w:r w:rsidRPr="00B40155" w:rsidR="00533DC6">
        <w:rPr>
          <w:rFonts w:cstheme="minorHAnsi"/>
        </w:rPr>
        <w:t>f</w:t>
      </w:r>
      <w:r w:rsidRPr="00B40155" w:rsidR="00777065">
        <w:rPr>
          <w:rFonts w:cstheme="minorHAnsi"/>
        </w:rPr>
        <w:t xml:space="preserve">uture </w:t>
      </w:r>
      <w:r w:rsidRPr="00B40155" w:rsidR="00533DC6">
        <w:rPr>
          <w:rFonts w:cstheme="minorHAnsi"/>
        </w:rPr>
        <w:t>p</w:t>
      </w:r>
      <w:r w:rsidRPr="00B40155" w:rsidR="00835065">
        <w:rPr>
          <w:rFonts w:cstheme="minorHAnsi"/>
        </w:rPr>
        <w:t xml:space="preserve">residentially </w:t>
      </w:r>
      <w:r w:rsidRPr="00B40155" w:rsidR="00533DC6">
        <w:rPr>
          <w:rFonts w:cstheme="minorHAnsi"/>
        </w:rPr>
        <w:t>d</w:t>
      </w:r>
      <w:r w:rsidRPr="00B40155" w:rsidR="00835065">
        <w:rPr>
          <w:rFonts w:cstheme="minorHAnsi"/>
        </w:rPr>
        <w:t>eclared</w:t>
      </w:r>
      <w:r w:rsidRPr="00B40155" w:rsidR="00777065">
        <w:rPr>
          <w:rFonts w:cstheme="minorHAnsi"/>
        </w:rPr>
        <w:t xml:space="preserve"> </w:t>
      </w:r>
      <w:r w:rsidRPr="00B40155" w:rsidR="009F71A3">
        <w:rPr>
          <w:rFonts w:cstheme="minorHAnsi"/>
        </w:rPr>
        <w:t xml:space="preserve">Major Disaster Declarations </w:t>
      </w:r>
      <w:r w:rsidRPr="00B40155" w:rsidR="00533DC6">
        <w:rPr>
          <w:rFonts w:cstheme="minorHAnsi"/>
        </w:rPr>
        <w:t xml:space="preserve">(MDDs) </w:t>
      </w:r>
      <w:r w:rsidRPr="00B40155" w:rsidR="009F71A3">
        <w:rPr>
          <w:rFonts w:cstheme="minorHAnsi"/>
        </w:rPr>
        <w:t xml:space="preserve">or </w:t>
      </w:r>
      <w:r w:rsidR="00B36D20">
        <w:rPr>
          <w:rFonts w:cstheme="minorHAnsi"/>
        </w:rPr>
        <w:t>other</w:t>
      </w:r>
      <w:r w:rsidRPr="00B40155" w:rsidR="00B36D20">
        <w:rPr>
          <w:rFonts w:cstheme="minorHAnsi"/>
        </w:rPr>
        <w:t xml:space="preserve"> </w:t>
      </w:r>
      <w:r w:rsidRPr="00B40155" w:rsidR="009F71A3">
        <w:rPr>
          <w:rFonts w:cstheme="minorHAnsi"/>
        </w:rPr>
        <w:t>emergencies</w:t>
      </w:r>
      <w:r w:rsidR="00B36D20">
        <w:rPr>
          <w:rFonts w:cstheme="minorHAnsi"/>
        </w:rPr>
        <w:t>, as specified by HUD</w:t>
      </w:r>
      <w:r w:rsidRPr="00B40155" w:rsidR="00D41095">
        <w:rPr>
          <w:rFonts w:cstheme="minorHAnsi"/>
        </w:rPr>
        <w:t xml:space="preserve">. </w:t>
      </w:r>
      <w:r w:rsidRPr="00B40155" w:rsidR="009F71A3">
        <w:rPr>
          <w:rFonts w:cstheme="minorHAnsi"/>
        </w:rPr>
        <w:t>The authorizing notice presenting the specific waivers will be cited here</w:t>
      </w:r>
      <w:r w:rsidRPr="00B40155">
        <w:rPr>
          <w:rFonts w:cstheme="minorHAnsi"/>
        </w:rPr>
        <w:t xml:space="preserve">: (XXXXXXXXXXX) with the date of publication: (XXXXXX) </w:t>
      </w:r>
    </w:p>
    <w:p w:rsidRPr="00B40155" w:rsidR="00DD267A" w:rsidP="00DE1CA3" w:rsidRDefault="00FB7755" w14:paraId="5033FB84" w14:textId="642FEAD5">
      <w:pPr>
        <w:ind w:left="30"/>
        <w:rPr>
          <w:rFonts w:cstheme="minorHAnsi"/>
        </w:rPr>
      </w:pPr>
      <w:r w:rsidRPr="00B40155">
        <w:rPr>
          <w:rFonts w:cstheme="minorHAnsi"/>
        </w:rPr>
        <w:t>Use this checklist</w:t>
      </w:r>
      <w:r w:rsidRPr="00B40155" w:rsidR="00835065">
        <w:rPr>
          <w:rFonts w:cstheme="minorHAnsi"/>
        </w:rPr>
        <w:t xml:space="preserve"> to identify</w:t>
      </w:r>
      <w:r w:rsidRPr="00B40155" w:rsidR="00893D0F">
        <w:rPr>
          <w:rFonts w:cstheme="minorHAnsi"/>
        </w:rPr>
        <w:t xml:space="preserve"> the </w:t>
      </w:r>
      <w:r w:rsidR="00F43C0E">
        <w:rPr>
          <w:rFonts w:cstheme="minorHAnsi"/>
        </w:rPr>
        <w:t xml:space="preserve">start </w:t>
      </w:r>
      <w:r w:rsidRPr="00B40155" w:rsidR="00893D0F">
        <w:rPr>
          <w:rFonts w:cstheme="minorHAnsi"/>
        </w:rPr>
        <w:t xml:space="preserve">date </w:t>
      </w:r>
      <w:r w:rsidR="00F43C0E">
        <w:rPr>
          <w:rFonts w:cstheme="minorHAnsi"/>
        </w:rPr>
        <w:t xml:space="preserve">for when </w:t>
      </w:r>
      <w:r w:rsidRPr="00B40155" w:rsidR="00893D0F">
        <w:rPr>
          <w:rFonts w:cstheme="minorHAnsi"/>
        </w:rPr>
        <w:t>the</w:t>
      </w:r>
      <w:r w:rsidRPr="00B40155" w:rsidR="002711A8">
        <w:rPr>
          <w:rFonts w:cstheme="minorHAnsi"/>
        </w:rPr>
        <w:t xml:space="preserve"> waiver was first </w:t>
      </w:r>
      <w:r w:rsidR="00F43C0E">
        <w:rPr>
          <w:rFonts w:cstheme="minorHAnsi"/>
        </w:rPr>
        <w:t>used</w:t>
      </w:r>
      <w:r w:rsidRPr="00B40155" w:rsidR="002711A8">
        <w:rPr>
          <w:rFonts w:cstheme="minorHAnsi"/>
        </w:rPr>
        <w:t>.  For assistance, contact your local Public Housing Field Office</w:t>
      </w:r>
      <w:r w:rsidRPr="00B40155" w:rsidR="000430FF">
        <w:rPr>
          <w:rFonts w:cstheme="minorHAnsi"/>
        </w:rPr>
        <w:t>.</w:t>
      </w:r>
    </w:p>
    <w:p w:rsidRPr="00B40155" w:rsidR="00A127B2" w:rsidP="00DE1CA3" w:rsidRDefault="00A127B2" w14:paraId="6342D53B" w14:textId="6D0027D8">
      <w:pPr>
        <w:pStyle w:val="BlockText"/>
        <w:spacing w:after="0" w:line="240" w:lineRule="auto"/>
        <w:ind w:left="0" w:right="-72"/>
        <w:rPr>
          <w:rFonts w:asciiTheme="minorHAnsi" w:hAnsiTheme="minorHAnsi" w:cstheme="minorHAnsi"/>
          <w:sz w:val="22"/>
          <w:szCs w:val="22"/>
        </w:rPr>
      </w:pPr>
      <w:r w:rsidRPr="00B40155">
        <w:rPr>
          <w:rFonts w:asciiTheme="minorHAnsi" w:hAnsiTheme="minorHAnsi" w:cstheme="minorHAnsi"/>
          <w:spacing w:val="-2"/>
          <w:sz w:val="22"/>
          <w:szCs w:val="22"/>
        </w:rPr>
        <w:t xml:space="preserve">Public reporting burden for this collection of information is estimated to average </w:t>
      </w:r>
      <w:r w:rsidRPr="00B40155" w:rsidR="00777065">
        <w:rPr>
          <w:rFonts w:asciiTheme="minorHAnsi" w:hAnsiTheme="minorHAnsi" w:cstheme="minorHAnsi"/>
          <w:spacing w:val="-2"/>
          <w:sz w:val="22"/>
          <w:szCs w:val="22"/>
        </w:rPr>
        <w:t>one hour</w:t>
      </w:r>
      <w:r w:rsidRPr="00B40155">
        <w:rPr>
          <w:rFonts w:asciiTheme="minorHAnsi" w:hAnsiTheme="minorHAnsi" w:cstheme="minorHAnsi"/>
          <w:spacing w:val="-2"/>
          <w:sz w:val="22"/>
          <w:szCs w:val="22"/>
        </w:rPr>
        <w:t xml:space="preserve">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w:t>
      </w:r>
      <w:r w:rsidRPr="00B40155">
        <w:rPr>
          <w:rFonts w:asciiTheme="minorHAnsi" w:hAnsiTheme="minorHAnsi" w:cstheme="minorHAnsi"/>
          <w:sz w:val="22"/>
          <w:szCs w:val="22"/>
        </w:rPr>
        <w:t xml:space="preserve">.  Under HUD’s discretionary authority in Section 106 of the Department of Housing and Urban Development Reform Act of 1989 and consistent with 24 CFR 5.110, specific statutory and regulatory </w:t>
      </w:r>
      <w:r w:rsidRPr="00B40155" w:rsidR="00D41095">
        <w:rPr>
          <w:rFonts w:asciiTheme="minorHAnsi" w:hAnsiTheme="minorHAnsi" w:cstheme="minorHAnsi"/>
          <w:sz w:val="22"/>
          <w:szCs w:val="22"/>
        </w:rPr>
        <w:t>waivers,</w:t>
      </w:r>
      <w:r w:rsidRPr="00B40155">
        <w:rPr>
          <w:rFonts w:asciiTheme="minorHAnsi" w:hAnsiTheme="minorHAnsi" w:cstheme="minorHAnsi"/>
          <w:sz w:val="22"/>
          <w:szCs w:val="22"/>
        </w:rPr>
        <w:t xml:space="preserve"> and alternative requirements for Public Housing Agencies (PHAs) </w:t>
      </w:r>
      <w:r w:rsidR="00ED4A8E">
        <w:rPr>
          <w:rFonts w:asciiTheme="minorHAnsi" w:hAnsiTheme="minorHAnsi" w:cstheme="minorHAnsi"/>
          <w:sz w:val="22"/>
          <w:szCs w:val="22"/>
        </w:rPr>
        <w:t>may</w:t>
      </w:r>
      <w:r w:rsidRPr="00B40155" w:rsidR="00ED4A8E">
        <w:rPr>
          <w:rFonts w:asciiTheme="minorHAnsi" w:hAnsiTheme="minorHAnsi" w:cstheme="minorHAnsi"/>
          <w:sz w:val="22"/>
          <w:szCs w:val="22"/>
        </w:rPr>
        <w:t xml:space="preserve"> </w:t>
      </w:r>
      <w:r w:rsidRPr="00B40155">
        <w:rPr>
          <w:rFonts w:asciiTheme="minorHAnsi" w:hAnsiTheme="minorHAnsi" w:cstheme="minorHAnsi"/>
          <w:sz w:val="22"/>
          <w:szCs w:val="22"/>
        </w:rPr>
        <w:t>be made available</w:t>
      </w:r>
      <w:r w:rsidRPr="00B40155" w:rsidR="00D41095">
        <w:rPr>
          <w:rFonts w:asciiTheme="minorHAnsi" w:hAnsiTheme="minorHAnsi" w:cstheme="minorHAnsi"/>
          <w:sz w:val="22"/>
          <w:szCs w:val="22"/>
        </w:rPr>
        <w:t xml:space="preserve">. </w:t>
      </w:r>
      <w:r w:rsidR="00A746DE">
        <w:rPr>
          <w:rFonts w:ascii="Times New Roman" w:hAnsi="Times New Roman"/>
          <w:sz w:val="24"/>
          <w:szCs w:val="24"/>
        </w:rPr>
        <w:t xml:space="preserve">PHAs benefit from using these waivers to relieve administrative and regulatory burdens during </w:t>
      </w:r>
      <w:r w:rsidR="00D41095">
        <w:rPr>
          <w:rFonts w:ascii="Times New Roman" w:hAnsi="Times New Roman"/>
          <w:sz w:val="24"/>
          <w:szCs w:val="24"/>
        </w:rPr>
        <w:t>(INSERT SPECIFIED EMERGENCY)</w:t>
      </w:r>
      <w:r w:rsidR="00A746DE">
        <w:rPr>
          <w:rFonts w:ascii="Times New Roman" w:hAnsi="Times New Roman"/>
          <w:sz w:val="24"/>
          <w:szCs w:val="24"/>
        </w:rPr>
        <w:t xml:space="preserve">. </w:t>
      </w:r>
      <w:r w:rsidRPr="004D21D8" w:rsidR="00A746DE">
        <w:rPr>
          <w:rFonts w:ascii="Times New Roman" w:hAnsi="Times New Roman"/>
          <w:sz w:val="24"/>
          <w:szCs w:val="24"/>
        </w:rPr>
        <w:t>HUD use</w:t>
      </w:r>
      <w:r w:rsidR="00A746DE">
        <w:rPr>
          <w:rFonts w:ascii="Times New Roman" w:hAnsi="Times New Roman"/>
          <w:sz w:val="24"/>
          <w:szCs w:val="24"/>
        </w:rPr>
        <w:t>s</w:t>
      </w:r>
      <w:r w:rsidRPr="004D21D8" w:rsidR="00A746DE">
        <w:rPr>
          <w:rFonts w:ascii="Times New Roman" w:hAnsi="Times New Roman"/>
          <w:sz w:val="24"/>
          <w:szCs w:val="24"/>
        </w:rPr>
        <w:t xml:space="preserve"> the information to inform responses to future emergencies. </w:t>
      </w:r>
      <w:r w:rsidRPr="00B40155">
        <w:rPr>
          <w:rFonts w:asciiTheme="minorHAnsi" w:hAnsiTheme="minorHAnsi" w:cstheme="minorHAnsi"/>
          <w:sz w:val="22"/>
          <w:szCs w:val="22"/>
        </w:rPr>
        <w:t>HUD will use the information to analyze the use of waiver authority to inform responses to future emergencies.  This information is required to obtain a</w:t>
      </w:r>
      <w:r w:rsidR="00ED4A8E">
        <w:rPr>
          <w:rFonts w:asciiTheme="minorHAnsi" w:hAnsiTheme="minorHAnsi" w:cstheme="minorHAnsi"/>
          <w:sz w:val="22"/>
          <w:szCs w:val="22"/>
        </w:rPr>
        <w:t>ny</w:t>
      </w:r>
      <w:r w:rsidRPr="00B40155">
        <w:rPr>
          <w:rFonts w:asciiTheme="minorHAnsi" w:hAnsiTheme="minorHAnsi" w:cstheme="minorHAnsi"/>
          <w:sz w:val="22"/>
          <w:szCs w:val="22"/>
        </w:rPr>
        <w:t xml:space="preserve"> benefit</w:t>
      </w:r>
      <w:r w:rsidRPr="00B40155" w:rsidR="00D41095">
        <w:rPr>
          <w:rFonts w:asciiTheme="minorHAnsi" w:hAnsiTheme="minorHAnsi" w:cstheme="minorHAnsi"/>
          <w:sz w:val="22"/>
          <w:szCs w:val="22"/>
        </w:rPr>
        <w:t xml:space="preserve">. </w:t>
      </w:r>
    </w:p>
    <w:p w:rsidR="00A127B2" w:rsidP="00DE1CA3" w:rsidRDefault="00A127B2" w14:paraId="4DFE1E63" w14:textId="5E041A58">
      <w:pPr>
        <w:ind w:left="30"/>
      </w:pPr>
    </w:p>
    <w:p w:rsidR="00533DC6" w:rsidRDefault="00533DC6" w14:paraId="5E7391C3" w14:textId="25E29EC6">
      <w:r>
        <w:t>Name of PHA:</w:t>
      </w:r>
    </w:p>
    <w:p w:rsidR="00533DC6" w:rsidRDefault="00533DC6" w14:paraId="01F1EB06" w14:textId="52D6DDD9">
      <w:r>
        <w:t>PHA Number:</w:t>
      </w:r>
    </w:p>
    <w:p w:rsidR="003E0555" w:rsidP="003E0555" w:rsidRDefault="003E0555" w14:paraId="350DD183" w14:textId="3AAA075E">
      <w:pPr>
        <w:rPr>
          <w:rFonts w:cstheme="minorHAnsi"/>
        </w:rPr>
      </w:pPr>
      <w:r w:rsidRPr="00B40155">
        <w:rPr>
          <w:rFonts w:cstheme="minorHAnsi"/>
        </w:rPr>
        <w:t>Emergenc</w:t>
      </w:r>
      <w:r>
        <w:rPr>
          <w:rFonts w:cstheme="minorHAnsi"/>
        </w:rPr>
        <w:t>y</w:t>
      </w:r>
      <w:r w:rsidRPr="00B40155">
        <w:rPr>
          <w:rFonts w:cstheme="minorHAnsi"/>
        </w:rPr>
        <w:t>: TO BE SPECIFIED</w:t>
      </w:r>
      <w:r w:rsidR="00215DF7">
        <w:rPr>
          <w:rFonts w:cstheme="minorHAnsi"/>
        </w:rPr>
        <w:t xml:space="preserve"> WITHIN THE FUTURE NOTICE PRESENTING WAIVERS</w:t>
      </w:r>
    </w:p>
    <w:p w:rsidR="00533DC6" w:rsidRDefault="00533DC6" w14:paraId="221FCF0E" w14:textId="094C0CA3"/>
    <w:tbl>
      <w:tblPr>
        <w:tblStyle w:val="TableGrid"/>
        <w:tblW w:w="9895" w:type="dxa"/>
        <w:tblLook w:val="04A0" w:firstRow="1" w:lastRow="0" w:firstColumn="1" w:lastColumn="0" w:noHBand="0" w:noVBand="1"/>
      </w:tblPr>
      <w:tblGrid>
        <w:gridCol w:w="812"/>
        <w:gridCol w:w="7283"/>
        <w:gridCol w:w="1800"/>
      </w:tblGrid>
      <w:tr w:rsidR="00B263EF" w:rsidTr="00533DC6" w14:paraId="4023EE73" w14:textId="77777777">
        <w:tc>
          <w:tcPr>
            <w:tcW w:w="812" w:type="dxa"/>
          </w:tcPr>
          <w:p w:rsidR="00B263EF" w:rsidP="00987A3A" w:rsidRDefault="00B263EF" w14:paraId="7B6E9492" w14:textId="3A300C35">
            <w:pPr>
              <w:jc w:val="center"/>
            </w:pPr>
            <w:bookmarkStart w:name="_Hlk37741875" w:id="0"/>
            <w:r>
              <w:t>Check:</w:t>
            </w:r>
          </w:p>
        </w:tc>
        <w:tc>
          <w:tcPr>
            <w:tcW w:w="7283" w:type="dxa"/>
          </w:tcPr>
          <w:p w:rsidR="00B263EF" w:rsidP="00987A3A" w:rsidRDefault="00B263EF" w14:paraId="1B66A27B" w14:textId="5ABCC086">
            <w:pPr>
              <w:jc w:val="center"/>
            </w:pPr>
            <w:r>
              <w:t>Regulatory Citation</w:t>
            </w:r>
            <w:r w:rsidR="00F43C0E">
              <w:t xml:space="preserve"> (THE FOLLOWING ARE POSSIBLE WAIVER OPTIONS</w:t>
            </w:r>
            <w:r w:rsidR="008F6CCE">
              <w:t xml:space="preserve"> and are subject to change for specific future emergencies</w:t>
            </w:r>
            <w:r w:rsidR="00F43C0E">
              <w:t>)</w:t>
            </w:r>
          </w:p>
        </w:tc>
        <w:tc>
          <w:tcPr>
            <w:tcW w:w="1800" w:type="dxa"/>
          </w:tcPr>
          <w:p w:rsidR="00B263EF" w:rsidP="00F43C0E" w:rsidRDefault="00F43C0E" w14:paraId="4B741A5B" w14:textId="196E2993">
            <w:pPr>
              <w:jc w:val="center"/>
            </w:pPr>
            <w:r>
              <w:t xml:space="preserve">Start </w:t>
            </w:r>
            <w:r w:rsidR="00B263EF">
              <w:t>Date</w:t>
            </w:r>
          </w:p>
        </w:tc>
      </w:tr>
      <w:tr w:rsidR="00B263EF" w:rsidTr="00533DC6" w14:paraId="35FF767F" w14:textId="77777777">
        <w:tc>
          <w:tcPr>
            <w:tcW w:w="812" w:type="dxa"/>
          </w:tcPr>
          <w:p w:rsidR="00B263EF" w:rsidP="002B1A5B" w:rsidRDefault="00B263EF" w14:paraId="3D7F8001" w14:textId="77777777"/>
        </w:tc>
        <w:tc>
          <w:tcPr>
            <w:tcW w:w="7283" w:type="dxa"/>
          </w:tcPr>
          <w:p w:rsidRPr="00CB3734" w:rsidR="00B263EF" w:rsidP="002B1A5B" w:rsidRDefault="00B263EF" w14:paraId="454CB4E0" w14:textId="6D13FBB3">
            <w:r w:rsidRPr="00CB3734">
              <w:t>24 CFR 905.306 (Extension of deadline for obligation and expenditure of Capital Funds).  (Office of Capital Improvements)</w:t>
            </w:r>
          </w:p>
        </w:tc>
        <w:tc>
          <w:tcPr>
            <w:tcW w:w="1800" w:type="dxa"/>
          </w:tcPr>
          <w:p w:rsidR="00B263EF" w:rsidP="002B1A5B" w:rsidRDefault="00B263EF" w14:paraId="2AC3D642" w14:textId="77777777"/>
        </w:tc>
      </w:tr>
      <w:tr w:rsidR="00B263EF" w:rsidTr="00533DC6" w14:paraId="1E808323" w14:textId="77777777">
        <w:tc>
          <w:tcPr>
            <w:tcW w:w="812" w:type="dxa"/>
          </w:tcPr>
          <w:p w:rsidR="00B263EF" w:rsidP="002B1A5B" w:rsidRDefault="00B263EF" w14:paraId="2471BBC8" w14:textId="77777777"/>
        </w:tc>
        <w:tc>
          <w:tcPr>
            <w:tcW w:w="7283" w:type="dxa"/>
          </w:tcPr>
          <w:p w:rsidRPr="00CB3734" w:rsidR="00B263EF" w:rsidP="002B1A5B" w:rsidRDefault="00B263EF" w14:paraId="6BFEB049" w14:textId="150E14DF">
            <w:r w:rsidRPr="00CB3734">
              <w:t>24 CFR 984.105 (Family Self-Sufficiency minimum program size).  (Housing Voucher Management and Operations; Public Housing Management and Occupancy)</w:t>
            </w:r>
          </w:p>
        </w:tc>
        <w:tc>
          <w:tcPr>
            <w:tcW w:w="1800" w:type="dxa"/>
          </w:tcPr>
          <w:p w:rsidR="00B263EF" w:rsidP="002B1A5B" w:rsidRDefault="00B263EF" w14:paraId="24BDC021" w14:textId="77777777"/>
        </w:tc>
      </w:tr>
      <w:tr w:rsidR="00B263EF" w:rsidTr="00533DC6" w14:paraId="2736BA54" w14:textId="77777777">
        <w:tc>
          <w:tcPr>
            <w:tcW w:w="812" w:type="dxa"/>
          </w:tcPr>
          <w:p w:rsidR="00B263EF" w:rsidP="002B1A5B" w:rsidRDefault="00B263EF" w14:paraId="67B9DE08" w14:textId="77777777"/>
        </w:tc>
        <w:tc>
          <w:tcPr>
            <w:tcW w:w="7283" w:type="dxa"/>
          </w:tcPr>
          <w:p w:rsidRPr="00CB3734" w:rsidR="00B263EF" w:rsidP="002B1A5B" w:rsidRDefault="00B263EF" w14:paraId="54EBEC80" w14:textId="52306BC4">
            <w:r w:rsidRPr="00CB3734">
              <w:t>24 CFR 5.801(c) and 5.801(d)(1) (Uniform financial reporting standards; Filing of financial reports; Reporting compliance dates).  (Real Estate Assessment Center)</w:t>
            </w:r>
          </w:p>
        </w:tc>
        <w:tc>
          <w:tcPr>
            <w:tcW w:w="1800" w:type="dxa"/>
          </w:tcPr>
          <w:p w:rsidR="00B263EF" w:rsidP="002B1A5B" w:rsidRDefault="00B263EF" w14:paraId="79DCD079" w14:textId="77777777"/>
        </w:tc>
      </w:tr>
      <w:tr w:rsidR="00B263EF" w:rsidTr="00533DC6" w14:paraId="06CA518D" w14:textId="77777777">
        <w:tc>
          <w:tcPr>
            <w:tcW w:w="812" w:type="dxa"/>
          </w:tcPr>
          <w:p w:rsidR="00B263EF" w:rsidP="002B1A5B" w:rsidRDefault="00B263EF" w14:paraId="7996F277" w14:textId="77777777"/>
        </w:tc>
        <w:tc>
          <w:tcPr>
            <w:tcW w:w="7283" w:type="dxa"/>
          </w:tcPr>
          <w:p w:rsidRPr="00CB3734" w:rsidR="00B263EF" w:rsidP="002B1A5B" w:rsidRDefault="00B263EF" w14:paraId="00B7E4A8" w14:textId="49BFE0B0">
            <w:r w:rsidRPr="00CB3734">
              <w:t>24 CFR part 902 (Public Housing Assessment System).  (Real Estate Assessment Center)</w:t>
            </w:r>
          </w:p>
        </w:tc>
        <w:tc>
          <w:tcPr>
            <w:tcW w:w="1800" w:type="dxa"/>
          </w:tcPr>
          <w:p w:rsidR="00B263EF" w:rsidP="002B1A5B" w:rsidRDefault="00B263EF" w14:paraId="29CBB422" w14:textId="77777777"/>
        </w:tc>
      </w:tr>
      <w:tr w:rsidR="00B263EF" w:rsidTr="00533DC6" w14:paraId="34F4AB4F" w14:textId="77777777">
        <w:tc>
          <w:tcPr>
            <w:tcW w:w="812" w:type="dxa"/>
          </w:tcPr>
          <w:p w:rsidR="00B263EF" w:rsidP="002B1A5B" w:rsidRDefault="00B263EF" w14:paraId="1AA73AFF" w14:textId="77777777"/>
        </w:tc>
        <w:tc>
          <w:tcPr>
            <w:tcW w:w="7283" w:type="dxa"/>
          </w:tcPr>
          <w:p w:rsidRPr="00CB3734" w:rsidR="00B263EF" w:rsidP="002B1A5B" w:rsidRDefault="00B263EF" w14:paraId="34974434" w14:textId="17F04285">
            <w:r w:rsidRPr="00CB3734">
              <w:t>24 CFR 905.322(b) (Fiscal closeout).  (Office of Capital Improvements)</w:t>
            </w:r>
          </w:p>
        </w:tc>
        <w:tc>
          <w:tcPr>
            <w:tcW w:w="1800" w:type="dxa"/>
          </w:tcPr>
          <w:p w:rsidR="00B263EF" w:rsidP="002B1A5B" w:rsidRDefault="00B263EF" w14:paraId="2A2051F3" w14:textId="77777777"/>
        </w:tc>
      </w:tr>
      <w:tr w:rsidR="00B263EF" w:rsidTr="00533DC6" w14:paraId="2B662477" w14:textId="77777777">
        <w:tc>
          <w:tcPr>
            <w:tcW w:w="812" w:type="dxa"/>
          </w:tcPr>
          <w:p w:rsidR="00B263EF" w:rsidP="002B1A5B" w:rsidRDefault="00B263EF" w14:paraId="295CD798" w14:textId="77777777"/>
        </w:tc>
        <w:tc>
          <w:tcPr>
            <w:tcW w:w="7283" w:type="dxa"/>
          </w:tcPr>
          <w:p w:rsidRPr="00CB3734" w:rsidR="00B263EF" w:rsidP="002B1A5B" w:rsidRDefault="00B263EF" w14:paraId="2D73D979" w14:textId="44B8D721">
            <w:r w:rsidRPr="00CB3734">
              <w:t>24 CFR 905.314(c) (Cost and other limitations; Maximum project cost; TDC limit).  (Office of Capital Improvements)</w:t>
            </w:r>
          </w:p>
        </w:tc>
        <w:tc>
          <w:tcPr>
            <w:tcW w:w="1800" w:type="dxa"/>
          </w:tcPr>
          <w:p w:rsidR="00B263EF" w:rsidP="002B1A5B" w:rsidRDefault="00B263EF" w14:paraId="506AC721" w14:textId="77777777"/>
        </w:tc>
      </w:tr>
      <w:bookmarkEnd w:id="0"/>
      <w:tr w:rsidR="00B263EF" w:rsidTr="00533DC6" w14:paraId="546E583E" w14:textId="77777777">
        <w:tc>
          <w:tcPr>
            <w:tcW w:w="812" w:type="dxa"/>
          </w:tcPr>
          <w:p w:rsidR="00B263EF" w:rsidP="002B1A5B" w:rsidRDefault="00B263EF" w14:paraId="0891BD27" w14:textId="77777777"/>
        </w:tc>
        <w:tc>
          <w:tcPr>
            <w:tcW w:w="7283" w:type="dxa"/>
          </w:tcPr>
          <w:p w:rsidRPr="00CB3734" w:rsidR="00B263EF" w:rsidP="002B1A5B" w:rsidRDefault="00B263EF" w14:paraId="09FE52A6" w14:textId="26908BEA">
            <w:r w:rsidRPr="00CB3734">
              <w:t>24 CFR 905.314(j) (Cost and other limitations; Types of labor).  (Office of Capital Improvements)</w:t>
            </w:r>
          </w:p>
        </w:tc>
        <w:tc>
          <w:tcPr>
            <w:tcW w:w="1800" w:type="dxa"/>
          </w:tcPr>
          <w:p w:rsidR="00B263EF" w:rsidP="002B1A5B" w:rsidRDefault="00B263EF" w14:paraId="7CB55AEE" w14:textId="77777777"/>
        </w:tc>
      </w:tr>
      <w:tr w:rsidR="00B263EF" w:rsidTr="00533DC6" w14:paraId="41F72733" w14:textId="77777777">
        <w:tc>
          <w:tcPr>
            <w:tcW w:w="812" w:type="dxa"/>
          </w:tcPr>
          <w:p w:rsidR="00B263EF" w:rsidP="002B1A5B" w:rsidRDefault="00B263EF" w14:paraId="546DEBBC" w14:textId="77777777"/>
        </w:tc>
        <w:tc>
          <w:tcPr>
            <w:tcW w:w="7283" w:type="dxa"/>
          </w:tcPr>
          <w:p w:rsidRPr="00CB3734" w:rsidR="00B263EF" w:rsidP="002B1A5B" w:rsidRDefault="00B263EF" w14:paraId="55538544" w14:textId="4B5824A0">
            <w:r w:rsidRPr="00CB3734">
              <w:t>24 CFR 960.202</w:t>
            </w:r>
            <w:r>
              <w:t>(c)</w:t>
            </w:r>
            <w:r w:rsidRPr="00CB3734">
              <w:t>(1) (Tenant selection policies) and 24 CFR 982.54(a) (Administrative plan).  (Housing Voucher Management and Operations; Public Housing Management and Occupancy)</w:t>
            </w:r>
          </w:p>
        </w:tc>
        <w:tc>
          <w:tcPr>
            <w:tcW w:w="1800" w:type="dxa"/>
          </w:tcPr>
          <w:p w:rsidR="00B263EF" w:rsidP="002B1A5B" w:rsidRDefault="00B263EF" w14:paraId="002C63A3" w14:textId="77777777"/>
        </w:tc>
      </w:tr>
      <w:tr w:rsidR="00B263EF" w:rsidTr="00533DC6" w14:paraId="73BD206E" w14:textId="77777777">
        <w:tc>
          <w:tcPr>
            <w:tcW w:w="812" w:type="dxa"/>
          </w:tcPr>
          <w:p w:rsidR="00B263EF" w:rsidP="002B1A5B" w:rsidRDefault="00B263EF" w14:paraId="41A7B834" w14:textId="77777777"/>
        </w:tc>
        <w:tc>
          <w:tcPr>
            <w:tcW w:w="7283" w:type="dxa"/>
          </w:tcPr>
          <w:p w:rsidRPr="00CB3734" w:rsidR="00B263EF" w:rsidP="002B1A5B" w:rsidRDefault="00B263EF" w14:paraId="2A42BB33" w14:textId="184977BA">
            <w:r w:rsidRPr="00CB3734">
              <w:t>24 CFR 982.206(a)(2) (Waiting List; Opening and closing; Public notice).  (Housing Voucher Management and Operations)</w:t>
            </w:r>
          </w:p>
        </w:tc>
        <w:tc>
          <w:tcPr>
            <w:tcW w:w="1800" w:type="dxa"/>
          </w:tcPr>
          <w:p w:rsidR="00B263EF" w:rsidP="002B1A5B" w:rsidRDefault="00B263EF" w14:paraId="5D146D97" w14:textId="77777777"/>
        </w:tc>
      </w:tr>
      <w:tr w:rsidR="00B263EF" w:rsidTr="00533DC6" w14:paraId="06C256E4" w14:textId="77777777">
        <w:tc>
          <w:tcPr>
            <w:tcW w:w="812" w:type="dxa"/>
          </w:tcPr>
          <w:p w:rsidR="00B263EF" w:rsidP="002B1A5B" w:rsidRDefault="00B263EF" w14:paraId="39920F5A" w14:textId="77777777"/>
        </w:tc>
        <w:tc>
          <w:tcPr>
            <w:tcW w:w="7283" w:type="dxa"/>
          </w:tcPr>
          <w:p w:rsidRPr="00CB3734" w:rsidR="00B263EF" w:rsidP="002B1A5B" w:rsidRDefault="00B263EF" w14:paraId="14A4F08D" w14:textId="46230FCF">
            <w:r w:rsidRPr="00CB3734">
              <w:t>24 CFR 982.503(c) (</w:t>
            </w:r>
            <w:r w:rsidRPr="00CB3734">
              <w:rPr>
                <w:color w:val="000000" w:themeColor="text1"/>
              </w:rPr>
              <w:t>HUD approval of exception payment standard amount</w:t>
            </w:r>
            <w:r w:rsidRPr="00CB3734">
              <w:t>).  (Housing Voucher Management and Operations)</w:t>
            </w:r>
          </w:p>
        </w:tc>
        <w:tc>
          <w:tcPr>
            <w:tcW w:w="1800" w:type="dxa"/>
          </w:tcPr>
          <w:p w:rsidR="00B263EF" w:rsidP="002B1A5B" w:rsidRDefault="00B263EF" w14:paraId="16AD05C0" w14:textId="77777777"/>
        </w:tc>
      </w:tr>
      <w:tr w:rsidR="00B263EF" w:rsidTr="00533DC6" w14:paraId="46AB6FE3" w14:textId="77777777">
        <w:tc>
          <w:tcPr>
            <w:tcW w:w="812" w:type="dxa"/>
          </w:tcPr>
          <w:p w:rsidR="00B263EF" w:rsidP="002B1A5B" w:rsidRDefault="00B263EF" w14:paraId="688C2EE2" w14:textId="77777777"/>
        </w:tc>
        <w:tc>
          <w:tcPr>
            <w:tcW w:w="7283" w:type="dxa"/>
          </w:tcPr>
          <w:p w:rsidRPr="00CB3734" w:rsidR="00B263EF" w:rsidP="002B1A5B" w:rsidRDefault="00B263EF" w14:paraId="5524F100" w14:textId="1BFF188C">
            <w:r w:rsidRPr="00CB3734">
              <w:rPr>
                <w:color w:val="000000" w:themeColor="text1"/>
              </w:rPr>
              <w:t>24 CFR 982.401(d) (Housing quality standards; Space and security).  (Housing Voucher Management and Operations)</w:t>
            </w:r>
          </w:p>
        </w:tc>
        <w:tc>
          <w:tcPr>
            <w:tcW w:w="1800" w:type="dxa"/>
          </w:tcPr>
          <w:p w:rsidR="00B263EF" w:rsidP="002B1A5B" w:rsidRDefault="00B263EF" w14:paraId="053E6B6A" w14:textId="77777777"/>
        </w:tc>
      </w:tr>
      <w:tr w:rsidR="00B263EF" w:rsidTr="00533DC6" w14:paraId="781E8CA9" w14:textId="77777777">
        <w:tc>
          <w:tcPr>
            <w:tcW w:w="812" w:type="dxa"/>
          </w:tcPr>
          <w:p w:rsidR="00B263EF" w:rsidP="002B1A5B" w:rsidRDefault="00B263EF" w14:paraId="39F04203" w14:textId="77777777"/>
        </w:tc>
        <w:tc>
          <w:tcPr>
            <w:tcW w:w="7283" w:type="dxa"/>
          </w:tcPr>
          <w:p w:rsidRPr="00CB3734" w:rsidR="00B263EF" w:rsidP="002B1A5B" w:rsidRDefault="00B263EF" w14:paraId="065A16BD" w14:textId="453E8ED9">
            <w:r w:rsidRPr="00CB3734">
              <w:rPr>
                <w:color w:val="000000" w:themeColor="text1"/>
              </w:rPr>
              <w:t>24 CFR 982.633(a) (Occupancy of home).  (Housing Voucher Management and Operations)</w:t>
            </w:r>
          </w:p>
        </w:tc>
        <w:tc>
          <w:tcPr>
            <w:tcW w:w="1800" w:type="dxa"/>
          </w:tcPr>
          <w:p w:rsidR="00B263EF" w:rsidP="002B1A5B" w:rsidRDefault="00B263EF" w14:paraId="4926FF57" w14:textId="77777777"/>
        </w:tc>
      </w:tr>
      <w:tr w:rsidR="00B263EF" w:rsidTr="00533DC6" w14:paraId="4C4A25FB" w14:textId="77777777">
        <w:tc>
          <w:tcPr>
            <w:tcW w:w="812" w:type="dxa"/>
          </w:tcPr>
          <w:p w:rsidR="00B263EF" w:rsidP="002B1A5B" w:rsidRDefault="00B263EF" w14:paraId="47072A5A" w14:textId="77777777">
            <w:bookmarkStart w:name="_Hlk37742806" w:id="1"/>
          </w:p>
        </w:tc>
        <w:tc>
          <w:tcPr>
            <w:tcW w:w="7283" w:type="dxa"/>
          </w:tcPr>
          <w:p w:rsidRPr="00CB3734" w:rsidR="00B263EF" w:rsidP="002B1A5B" w:rsidRDefault="00B263EF" w14:paraId="4185CC87" w14:textId="219AB0F8">
            <w:r w:rsidRPr="00CB3734">
              <w:t>24 CFR 984.303(d) (Contract of participation; contract extension).  (Public Housing Management and Occupancy; Housing Voucher Management and Operations)</w:t>
            </w:r>
          </w:p>
        </w:tc>
        <w:tc>
          <w:tcPr>
            <w:tcW w:w="1800" w:type="dxa"/>
          </w:tcPr>
          <w:p w:rsidR="00B263EF" w:rsidP="002B1A5B" w:rsidRDefault="00B263EF" w14:paraId="45042D49" w14:textId="77777777"/>
        </w:tc>
      </w:tr>
      <w:tr w:rsidR="00B263EF" w:rsidTr="00533DC6" w14:paraId="14A85293" w14:textId="77777777">
        <w:tc>
          <w:tcPr>
            <w:tcW w:w="812" w:type="dxa"/>
          </w:tcPr>
          <w:p w:rsidR="00B263EF" w:rsidP="002B1A5B" w:rsidRDefault="00B263EF" w14:paraId="72E3CC88" w14:textId="77777777"/>
        </w:tc>
        <w:tc>
          <w:tcPr>
            <w:tcW w:w="7283" w:type="dxa"/>
          </w:tcPr>
          <w:p w:rsidRPr="00CB3734" w:rsidR="00B263EF" w:rsidP="002B1A5B" w:rsidRDefault="00B263EF" w14:paraId="7D3388AE" w14:textId="1EB8B3B7">
            <w:r w:rsidRPr="00CB3734">
              <w:t>24 CFR 985.101(a) (Section 8 Management Assessment Program (SEMAP)).  (Housing Voucher Management and Operations)</w:t>
            </w:r>
          </w:p>
        </w:tc>
        <w:tc>
          <w:tcPr>
            <w:tcW w:w="1800" w:type="dxa"/>
          </w:tcPr>
          <w:p w:rsidR="00B263EF" w:rsidP="002B1A5B" w:rsidRDefault="00B263EF" w14:paraId="3D0F727F" w14:textId="77777777"/>
        </w:tc>
      </w:tr>
      <w:tr w:rsidR="00B263EF" w:rsidTr="00533DC6" w14:paraId="57D19766" w14:textId="77777777">
        <w:tc>
          <w:tcPr>
            <w:tcW w:w="812" w:type="dxa"/>
          </w:tcPr>
          <w:p w:rsidR="00B263EF" w:rsidP="002B1A5B" w:rsidRDefault="00B263EF" w14:paraId="615B9914" w14:textId="77777777"/>
        </w:tc>
        <w:tc>
          <w:tcPr>
            <w:tcW w:w="7283" w:type="dxa"/>
          </w:tcPr>
          <w:p w:rsidRPr="00CB3734" w:rsidR="00B263EF" w:rsidP="002B1A5B" w:rsidRDefault="00B263EF" w14:paraId="071317FF" w14:textId="591A734A">
            <w:r w:rsidRPr="00CB3734">
              <w:t>Notice PIH 2012–10, Section 8(c) (Verification of the Social Security Number (SSN)).  (Real Estate Assessment Center)</w:t>
            </w:r>
          </w:p>
        </w:tc>
        <w:tc>
          <w:tcPr>
            <w:tcW w:w="1800" w:type="dxa"/>
          </w:tcPr>
          <w:p w:rsidR="00B263EF" w:rsidP="002B1A5B" w:rsidRDefault="00B263EF" w14:paraId="028C34C8" w14:textId="77777777"/>
        </w:tc>
      </w:tr>
      <w:bookmarkEnd w:id="1"/>
    </w:tbl>
    <w:p w:rsidR="00377598" w:rsidP="00377598" w:rsidRDefault="00377598" w14:paraId="13D1B0B4" w14:textId="77777777"/>
    <w:p w:rsidR="00533DC6" w:rsidP="00533DC6" w:rsidRDefault="00533DC6" w14:paraId="7981B4B0" w14:textId="77777777"/>
    <w:p w:rsidRPr="009E6666" w:rsidR="00533DC6" w:rsidP="00533DC6" w:rsidRDefault="00533DC6" w14:paraId="41BCD478" w14:textId="77777777">
      <w:pPr>
        <w:rPr>
          <w:rFonts w:ascii="Times New Roman" w:hAnsi="Times New Roman" w:cs="Times New Roman"/>
          <w:sz w:val="24"/>
          <w:szCs w:val="24"/>
        </w:rPr>
      </w:pPr>
    </w:p>
    <w:p w:rsidRPr="009E6666" w:rsidR="00533DC6" w:rsidP="00533DC6" w:rsidRDefault="00533DC6" w14:paraId="042FD04C" w14:textId="77777777">
      <w:pPr>
        <w:pBdr>
          <w:bottom w:val="single" w:color="auto" w:sz="12" w:space="1"/>
        </w:pBdr>
        <w:rPr>
          <w:rFonts w:ascii="Times New Roman" w:hAnsi="Times New Roman" w:cs="Times New Roman"/>
          <w:sz w:val="24"/>
          <w:szCs w:val="24"/>
        </w:rPr>
      </w:pPr>
    </w:p>
    <w:p w:rsidRPr="009E6666" w:rsidR="00533DC6" w:rsidP="00533DC6" w:rsidRDefault="00533DC6" w14:paraId="395698C6" w14:textId="77777777">
      <w:pPr>
        <w:rPr>
          <w:rFonts w:ascii="Times New Roman" w:hAnsi="Times New Roman" w:cs="Times New Roman"/>
          <w:sz w:val="24"/>
          <w:szCs w:val="24"/>
        </w:rPr>
      </w:pPr>
      <w:r w:rsidRPr="009E6666">
        <w:rPr>
          <w:rFonts w:ascii="Times New Roman" w:hAnsi="Times New Roman" w:cs="Times New Roman"/>
          <w:sz w:val="24"/>
          <w:szCs w:val="24"/>
        </w:rPr>
        <w:t>Signature of Authorized Official</w:t>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r>
      <w:r w:rsidRPr="009E6666">
        <w:rPr>
          <w:rFonts w:ascii="Times New Roman" w:hAnsi="Times New Roman" w:cs="Times New Roman"/>
          <w:sz w:val="24"/>
          <w:szCs w:val="24"/>
        </w:rPr>
        <w:tab/>
        <w:t>Date</w:t>
      </w:r>
    </w:p>
    <w:p w:rsidRPr="009E6666" w:rsidR="00533DC6" w:rsidP="00533DC6" w:rsidRDefault="00533DC6" w14:paraId="4A2FC15D" w14:textId="77777777">
      <w:pPr>
        <w:rPr>
          <w:rFonts w:ascii="Times New Roman" w:hAnsi="Times New Roman" w:cs="Times New Roman"/>
          <w:sz w:val="24"/>
          <w:szCs w:val="24"/>
        </w:rPr>
      </w:pPr>
      <w:r w:rsidRPr="009E6666">
        <w:rPr>
          <w:rFonts w:ascii="Times New Roman" w:hAnsi="Times New Roman" w:cs="Times New Roman"/>
          <w:sz w:val="24"/>
          <w:szCs w:val="24"/>
        </w:rPr>
        <w:t>Email:</w:t>
      </w:r>
    </w:p>
    <w:p w:rsidRPr="009E6666" w:rsidR="00533DC6" w:rsidP="00533DC6" w:rsidRDefault="00533DC6" w14:paraId="2519FA08" w14:textId="77777777">
      <w:pPr>
        <w:rPr>
          <w:rFonts w:ascii="Times New Roman" w:hAnsi="Times New Roman" w:cs="Times New Roman"/>
          <w:sz w:val="24"/>
          <w:szCs w:val="24"/>
        </w:rPr>
      </w:pPr>
      <w:r w:rsidRPr="009E6666">
        <w:rPr>
          <w:rFonts w:ascii="Times New Roman" w:hAnsi="Times New Roman" w:cs="Times New Roman"/>
          <w:sz w:val="24"/>
          <w:szCs w:val="24"/>
        </w:rPr>
        <w:t>Phone:</w:t>
      </w:r>
    </w:p>
    <w:p w:rsidR="000430FF" w:rsidRDefault="000430FF" w14:paraId="3EFEF89E" w14:textId="77777777"/>
    <w:sectPr w:rsidR="000430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6475" w14:textId="77777777" w:rsidR="00231CBC" w:rsidRDefault="00231CBC" w:rsidP="00BD0E93">
      <w:pPr>
        <w:spacing w:after="0" w:line="240" w:lineRule="auto"/>
      </w:pPr>
      <w:r>
        <w:separator/>
      </w:r>
    </w:p>
  </w:endnote>
  <w:endnote w:type="continuationSeparator" w:id="0">
    <w:p w14:paraId="23C43473" w14:textId="77777777" w:rsidR="00231CBC" w:rsidRDefault="00231CBC" w:rsidP="00BD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FB1CF" w14:textId="35A97FCD" w:rsidR="009F0DF7" w:rsidRDefault="009F0DF7" w:rsidP="009F0DF7">
    <w:pPr>
      <w:pStyle w:val="Footer"/>
      <w:jc w:val="right"/>
      <w:rPr>
        <w:rFonts w:ascii="Times New Roman" w:hAnsi="Times New Roman" w:cs="Times New Roman"/>
        <w:sz w:val="20"/>
        <w:szCs w:val="20"/>
      </w:rPr>
    </w:pPr>
    <w:r>
      <w:rPr>
        <w:rFonts w:ascii="Times New Roman" w:hAnsi="Times New Roman" w:cs="Times New Roman"/>
        <w:sz w:val="20"/>
        <w:szCs w:val="20"/>
      </w:rPr>
      <w:t>form HUD-5885</w:t>
    </w:r>
  </w:p>
  <w:p w14:paraId="4E447FBB" w14:textId="081E29E4" w:rsidR="009F0DF7" w:rsidRDefault="009F0DF7">
    <w:pPr>
      <w:pStyle w:val="Footer"/>
    </w:pPr>
  </w:p>
  <w:p w14:paraId="070ACF07" w14:textId="77777777" w:rsidR="009F0DF7" w:rsidRDefault="009F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D0568" w14:textId="77777777" w:rsidR="00231CBC" w:rsidRDefault="00231CBC" w:rsidP="00BD0E93">
      <w:pPr>
        <w:spacing w:after="0" w:line="240" w:lineRule="auto"/>
      </w:pPr>
      <w:r>
        <w:separator/>
      </w:r>
    </w:p>
  </w:footnote>
  <w:footnote w:type="continuationSeparator" w:id="0">
    <w:p w14:paraId="0CEFEAD1" w14:textId="77777777" w:rsidR="00231CBC" w:rsidRDefault="00231CBC" w:rsidP="00BD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00472" w14:textId="77777777" w:rsidR="009F0DF7" w:rsidRDefault="009F0DF7" w:rsidP="009F0DF7">
    <w:pPr>
      <w:pStyle w:val="Header"/>
      <w:jc w:val="right"/>
      <w:rPr>
        <w:rFonts w:ascii="Times New Roman" w:hAnsi="Times New Roman" w:cs="Times New Roman"/>
        <w:sz w:val="18"/>
        <w:szCs w:val="18"/>
      </w:rPr>
    </w:pPr>
    <w:r>
      <w:rPr>
        <w:rFonts w:ascii="Times New Roman" w:hAnsi="Times New Roman" w:cs="Times New Roman"/>
        <w:sz w:val="18"/>
        <w:szCs w:val="18"/>
      </w:rPr>
      <w:t>OMB Approval No. 2577-0292</w:t>
    </w:r>
  </w:p>
  <w:p w14:paraId="72261F96" w14:textId="6B4A7B2B" w:rsidR="009F0DF7" w:rsidRPr="009F0DF7" w:rsidRDefault="009F0DF7" w:rsidP="009F0DF7">
    <w:pPr>
      <w:pStyle w:val="Header"/>
      <w:jc w:val="right"/>
      <w:rPr>
        <w:rFonts w:ascii="Times New Roman" w:hAnsi="Times New Roman" w:cs="Times New Roman"/>
        <w:sz w:val="18"/>
        <w:szCs w:val="18"/>
      </w:rPr>
    </w:pPr>
    <w:r>
      <w:rPr>
        <w:rFonts w:ascii="Times New Roman" w:hAnsi="Times New Roman" w:cs="Times New Roman"/>
        <w:sz w:val="18"/>
        <w:szCs w:val="18"/>
      </w:rPr>
      <w:t>Expiration Date 12/31/2020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67EAB"/>
    <w:multiLevelType w:val="hybridMultilevel"/>
    <w:tmpl w:val="8E8AB90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7A"/>
    <w:rsid w:val="00010FE1"/>
    <w:rsid w:val="00014EE2"/>
    <w:rsid w:val="00021A96"/>
    <w:rsid w:val="000430FF"/>
    <w:rsid w:val="0006183B"/>
    <w:rsid w:val="00083345"/>
    <w:rsid w:val="000B634D"/>
    <w:rsid w:val="000C17DC"/>
    <w:rsid w:val="00115426"/>
    <w:rsid w:val="001A519E"/>
    <w:rsid w:val="001D4DC9"/>
    <w:rsid w:val="001E2DA9"/>
    <w:rsid w:val="00215DF7"/>
    <w:rsid w:val="002318EA"/>
    <w:rsid w:val="00231CBC"/>
    <w:rsid w:val="002568B9"/>
    <w:rsid w:val="00267F94"/>
    <w:rsid w:val="002711A8"/>
    <w:rsid w:val="0027637F"/>
    <w:rsid w:val="00282782"/>
    <w:rsid w:val="002C260B"/>
    <w:rsid w:val="002D2F4D"/>
    <w:rsid w:val="002F4F6D"/>
    <w:rsid w:val="0032005C"/>
    <w:rsid w:val="00325B5E"/>
    <w:rsid w:val="0033432C"/>
    <w:rsid w:val="00377598"/>
    <w:rsid w:val="003805D7"/>
    <w:rsid w:val="003B31D4"/>
    <w:rsid w:val="003E0555"/>
    <w:rsid w:val="004F279F"/>
    <w:rsid w:val="00504A9D"/>
    <w:rsid w:val="00511995"/>
    <w:rsid w:val="00523328"/>
    <w:rsid w:val="00533DC6"/>
    <w:rsid w:val="0055342B"/>
    <w:rsid w:val="00576E9B"/>
    <w:rsid w:val="005A053C"/>
    <w:rsid w:val="005C0EFA"/>
    <w:rsid w:val="005E340B"/>
    <w:rsid w:val="005E4041"/>
    <w:rsid w:val="0064256A"/>
    <w:rsid w:val="00652917"/>
    <w:rsid w:val="00673280"/>
    <w:rsid w:val="006E3132"/>
    <w:rsid w:val="006E79C2"/>
    <w:rsid w:val="007563BF"/>
    <w:rsid w:val="00777065"/>
    <w:rsid w:val="00780C11"/>
    <w:rsid w:val="007B5FFA"/>
    <w:rsid w:val="007D2D77"/>
    <w:rsid w:val="007D69CC"/>
    <w:rsid w:val="00830D7C"/>
    <w:rsid w:val="00835065"/>
    <w:rsid w:val="0086229A"/>
    <w:rsid w:val="008678D5"/>
    <w:rsid w:val="00893D0F"/>
    <w:rsid w:val="00897824"/>
    <w:rsid w:val="008B3ED3"/>
    <w:rsid w:val="008E3002"/>
    <w:rsid w:val="008F6CCE"/>
    <w:rsid w:val="00975360"/>
    <w:rsid w:val="00987A3A"/>
    <w:rsid w:val="009F0DF7"/>
    <w:rsid w:val="009F71A3"/>
    <w:rsid w:val="00A127B2"/>
    <w:rsid w:val="00A13C16"/>
    <w:rsid w:val="00A22920"/>
    <w:rsid w:val="00A24B1E"/>
    <w:rsid w:val="00A55CD0"/>
    <w:rsid w:val="00A60B96"/>
    <w:rsid w:val="00A746DE"/>
    <w:rsid w:val="00AC438C"/>
    <w:rsid w:val="00AD2F90"/>
    <w:rsid w:val="00B14DF1"/>
    <w:rsid w:val="00B263EF"/>
    <w:rsid w:val="00B36D20"/>
    <w:rsid w:val="00B40155"/>
    <w:rsid w:val="00B55C7E"/>
    <w:rsid w:val="00BD0E93"/>
    <w:rsid w:val="00C66B63"/>
    <w:rsid w:val="00C71F38"/>
    <w:rsid w:val="00CB3734"/>
    <w:rsid w:val="00CB4708"/>
    <w:rsid w:val="00CF7669"/>
    <w:rsid w:val="00D1239D"/>
    <w:rsid w:val="00D41095"/>
    <w:rsid w:val="00D550A0"/>
    <w:rsid w:val="00D62655"/>
    <w:rsid w:val="00D936C0"/>
    <w:rsid w:val="00DC0370"/>
    <w:rsid w:val="00DD267A"/>
    <w:rsid w:val="00DE1CA3"/>
    <w:rsid w:val="00DE5EDA"/>
    <w:rsid w:val="00E73E01"/>
    <w:rsid w:val="00EA226F"/>
    <w:rsid w:val="00EA5D39"/>
    <w:rsid w:val="00EA723F"/>
    <w:rsid w:val="00ED4A8E"/>
    <w:rsid w:val="00EF0C65"/>
    <w:rsid w:val="00EF0E09"/>
    <w:rsid w:val="00EF5888"/>
    <w:rsid w:val="00F43C0E"/>
    <w:rsid w:val="00F56A46"/>
    <w:rsid w:val="00F82DAE"/>
    <w:rsid w:val="00FA143F"/>
    <w:rsid w:val="00FB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31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93"/>
  </w:style>
  <w:style w:type="paragraph" w:styleId="Footer">
    <w:name w:val="footer"/>
    <w:basedOn w:val="Normal"/>
    <w:link w:val="FooterChar"/>
    <w:uiPriority w:val="99"/>
    <w:unhideWhenUsed/>
    <w:rsid w:val="00BD0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93"/>
  </w:style>
  <w:style w:type="paragraph" w:styleId="BalloonText">
    <w:name w:val="Balloon Text"/>
    <w:basedOn w:val="Normal"/>
    <w:link w:val="BalloonTextChar"/>
    <w:uiPriority w:val="99"/>
    <w:semiHidden/>
    <w:unhideWhenUsed/>
    <w:rsid w:val="00A5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D0"/>
    <w:rPr>
      <w:rFonts w:ascii="Segoe UI" w:hAnsi="Segoe UI" w:cs="Segoe UI"/>
      <w:sz w:val="18"/>
      <w:szCs w:val="18"/>
    </w:rPr>
  </w:style>
  <w:style w:type="character" w:styleId="Hyperlink">
    <w:name w:val="Hyperlink"/>
    <w:basedOn w:val="DefaultParagraphFont"/>
    <w:uiPriority w:val="99"/>
    <w:unhideWhenUsed/>
    <w:rsid w:val="007D2D77"/>
    <w:rPr>
      <w:color w:val="0563C1" w:themeColor="hyperlink"/>
      <w:u w:val="single"/>
    </w:rPr>
  </w:style>
  <w:style w:type="character" w:styleId="UnresolvedMention">
    <w:name w:val="Unresolved Mention"/>
    <w:basedOn w:val="DefaultParagraphFont"/>
    <w:uiPriority w:val="99"/>
    <w:semiHidden/>
    <w:unhideWhenUsed/>
    <w:rsid w:val="007D2D77"/>
    <w:rPr>
      <w:color w:val="605E5C"/>
      <w:shd w:val="clear" w:color="auto" w:fill="E1DFDD"/>
    </w:rPr>
  </w:style>
  <w:style w:type="paragraph" w:styleId="ListParagraph">
    <w:name w:val="List Paragraph"/>
    <w:basedOn w:val="Normal"/>
    <w:uiPriority w:val="34"/>
    <w:qFormat/>
    <w:rsid w:val="00AC438C"/>
    <w:pPr>
      <w:ind w:left="720"/>
      <w:contextualSpacing/>
    </w:pPr>
  </w:style>
  <w:style w:type="paragraph" w:styleId="Revision">
    <w:name w:val="Revision"/>
    <w:hidden/>
    <w:uiPriority w:val="99"/>
    <w:semiHidden/>
    <w:rsid w:val="00D62655"/>
    <w:pPr>
      <w:spacing w:after="0" w:line="240" w:lineRule="auto"/>
    </w:pPr>
  </w:style>
  <w:style w:type="character" w:styleId="CommentReference">
    <w:name w:val="annotation reference"/>
    <w:basedOn w:val="DefaultParagraphFont"/>
    <w:uiPriority w:val="99"/>
    <w:semiHidden/>
    <w:unhideWhenUsed/>
    <w:rsid w:val="00D62655"/>
    <w:rPr>
      <w:sz w:val="16"/>
      <w:szCs w:val="16"/>
    </w:rPr>
  </w:style>
  <w:style w:type="paragraph" w:styleId="CommentText">
    <w:name w:val="annotation text"/>
    <w:basedOn w:val="Normal"/>
    <w:link w:val="CommentTextChar"/>
    <w:uiPriority w:val="99"/>
    <w:semiHidden/>
    <w:unhideWhenUsed/>
    <w:rsid w:val="00D62655"/>
    <w:pPr>
      <w:spacing w:line="240" w:lineRule="auto"/>
    </w:pPr>
    <w:rPr>
      <w:sz w:val="20"/>
      <w:szCs w:val="20"/>
    </w:rPr>
  </w:style>
  <w:style w:type="character" w:customStyle="1" w:styleId="CommentTextChar">
    <w:name w:val="Comment Text Char"/>
    <w:basedOn w:val="DefaultParagraphFont"/>
    <w:link w:val="CommentText"/>
    <w:uiPriority w:val="99"/>
    <w:semiHidden/>
    <w:rsid w:val="00D62655"/>
    <w:rPr>
      <w:sz w:val="20"/>
      <w:szCs w:val="20"/>
    </w:rPr>
  </w:style>
  <w:style w:type="paragraph" w:styleId="CommentSubject">
    <w:name w:val="annotation subject"/>
    <w:basedOn w:val="CommentText"/>
    <w:next w:val="CommentText"/>
    <w:link w:val="CommentSubjectChar"/>
    <w:uiPriority w:val="99"/>
    <w:semiHidden/>
    <w:unhideWhenUsed/>
    <w:rsid w:val="00D62655"/>
    <w:rPr>
      <w:b/>
      <w:bCs/>
    </w:rPr>
  </w:style>
  <w:style w:type="character" w:customStyle="1" w:styleId="CommentSubjectChar">
    <w:name w:val="Comment Subject Char"/>
    <w:basedOn w:val="CommentTextChar"/>
    <w:link w:val="CommentSubject"/>
    <w:uiPriority w:val="99"/>
    <w:semiHidden/>
    <w:rsid w:val="00D62655"/>
    <w:rPr>
      <w:b/>
      <w:bCs/>
      <w:sz w:val="20"/>
      <w:szCs w:val="20"/>
    </w:rPr>
  </w:style>
  <w:style w:type="paragraph" w:styleId="BlockText">
    <w:name w:val="Block Text"/>
    <w:basedOn w:val="Normal"/>
    <w:rsid w:val="00F56A46"/>
    <w:pPr>
      <w:overflowPunct w:val="0"/>
      <w:autoSpaceDE w:val="0"/>
      <w:autoSpaceDN w:val="0"/>
      <w:adjustRightInd w:val="0"/>
      <w:spacing w:after="60" w:line="180" w:lineRule="exact"/>
      <w:ind w:left="-115" w:right="-115"/>
      <w:jc w:val="both"/>
      <w:textAlignment w:val="baseline"/>
    </w:pPr>
    <w:rPr>
      <w:rFonts w:ascii="Arial" w:eastAsia="Times New Roman" w:hAnsi="Arial" w:cs="Times New Roman"/>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065383">
      <w:bodyDiv w:val="1"/>
      <w:marLeft w:val="0"/>
      <w:marRight w:val="0"/>
      <w:marTop w:val="0"/>
      <w:marBottom w:val="0"/>
      <w:divBdr>
        <w:top w:val="none" w:sz="0" w:space="0" w:color="auto"/>
        <w:left w:val="none" w:sz="0" w:space="0" w:color="auto"/>
        <w:bottom w:val="none" w:sz="0" w:space="0" w:color="auto"/>
        <w:right w:val="none" w:sz="0" w:space="0" w:color="auto"/>
      </w:divBdr>
    </w:div>
    <w:div w:id="452793835">
      <w:bodyDiv w:val="1"/>
      <w:marLeft w:val="0"/>
      <w:marRight w:val="0"/>
      <w:marTop w:val="0"/>
      <w:marBottom w:val="0"/>
      <w:divBdr>
        <w:top w:val="none" w:sz="0" w:space="0" w:color="auto"/>
        <w:left w:val="none" w:sz="0" w:space="0" w:color="auto"/>
        <w:bottom w:val="none" w:sz="0" w:space="0" w:color="auto"/>
        <w:right w:val="none" w:sz="0" w:space="0" w:color="auto"/>
      </w:divBdr>
    </w:div>
    <w:div w:id="485126488">
      <w:bodyDiv w:val="1"/>
      <w:marLeft w:val="0"/>
      <w:marRight w:val="0"/>
      <w:marTop w:val="0"/>
      <w:marBottom w:val="0"/>
      <w:divBdr>
        <w:top w:val="none" w:sz="0" w:space="0" w:color="auto"/>
        <w:left w:val="none" w:sz="0" w:space="0" w:color="auto"/>
        <w:bottom w:val="none" w:sz="0" w:space="0" w:color="auto"/>
        <w:right w:val="none" w:sz="0" w:space="0" w:color="auto"/>
      </w:divBdr>
    </w:div>
    <w:div w:id="11522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C6BB-B081-6F4E-B105-B8F53EAA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2020-09-09T12:46:00Z</dcterms:created>
  <dcterms:modified xsi:type="dcterms:W3CDTF">2020-12-10T12:57:00Z</dcterms:modified>
</cp:coreProperties>
</file>