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8E9" w:rsidRDefault="002F68E9" w14:paraId="403893D9" w14:textId="77777777">
      <w:pPr>
        <w:tabs>
          <w:tab w:val="left" w:pos="480"/>
          <w:tab w:val="right" w:pos="8640"/>
        </w:tabs>
        <w:ind w:right="684"/>
      </w:pPr>
    </w:p>
    <w:p w:rsidR="00A23DF4" w:rsidP="00637051" w:rsidRDefault="002F68E9" w14:paraId="215985B3" w14:textId="530399A6">
      <w:pPr>
        <w:tabs>
          <w:tab w:val="left" w:pos="480"/>
          <w:tab w:val="right" w:pos="8640"/>
        </w:tabs>
        <w:ind w:right="684"/>
        <w:rPr>
          <w:u w:val="single"/>
        </w:rPr>
      </w:pPr>
      <w:r>
        <w:t xml:space="preserve">A.  </w:t>
      </w:r>
      <w:r>
        <w:rPr>
          <w:u w:val="single"/>
        </w:rPr>
        <w:t>Justification</w:t>
      </w:r>
    </w:p>
    <w:p w:rsidR="00637051" w:rsidP="00637051" w:rsidRDefault="00637051" w14:paraId="4C2A4E65" w14:textId="77777777">
      <w:pPr>
        <w:tabs>
          <w:tab w:val="left" w:pos="480"/>
          <w:tab w:val="right" w:pos="8640"/>
        </w:tabs>
        <w:ind w:right="684"/>
      </w:pPr>
    </w:p>
    <w:p w:rsidRPr="00B473A0" w:rsidR="00A23DF4" w:rsidP="00F85A8B" w:rsidRDefault="00A23DF4" w14:paraId="6B5B1C4C" w14:textId="77777777">
      <w:pPr>
        <w:pStyle w:val="Heading2"/>
        <w:jc w:val="both"/>
      </w:pPr>
      <w:r w:rsidRPr="00981B90">
        <w:t>1</w:t>
      </w:r>
      <w:r w:rsidRPr="00B473A0">
        <w:t>.</w:t>
      </w:r>
      <w:r w:rsidRPr="00B473A0">
        <w:tab/>
        <w:t>Explain the circumstances that make the collection of information necessary.  Identify legal or administrative requirements that necessitate the collection of information.</w:t>
      </w:r>
    </w:p>
    <w:p w:rsidRPr="005C7AC4" w:rsidR="005C7AC4" w:rsidP="005C7AC4" w:rsidRDefault="005C7AC4" w14:paraId="685B314B" w14:textId="77777777">
      <w:pPr>
        <w:rPr>
          <w:szCs w:val="24"/>
        </w:rPr>
      </w:pPr>
      <w:r w:rsidRPr="005C7AC4">
        <w:rPr>
          <w:szCs w:val="24"/>
        </w:rPr>
        <w:t xml:space="preserve">VA Form 26-1852 is completed by builders in Specially Adapted Housing (SAH) projects involving construction as authorized under Title 38, U.S.C., section 2101 (a), section 2101 (b), and the Temporary Residence Adaptations (TRA) grant under Title 38, U.S.C., section 2102A.  This form is also completed by builders who propose to construct homes to be purchased by veterans using their VA Home Loan benefit as granted in Title 38 U.S.C., section 3710(a)(1). SAH field staff review the data furnished on the form for completeness and it is essential to determine the acceptability of the construction materials to be used.  In cases of new home construction, a technically qualified individual, not VA staff, is required to review the list of materials and certify they meet or exceed general residential construction material requirements, as specified by the International Residential Code and residential building codes adopted by local building authorities, and are in substantial conformity with VA Minimum Property requirements. </w:t>
      </w:r>
    </w:p>
    <w:p w:rsidRPr="005C7AC4" w:rsidR="005C7AC4" w:rsidP="005C7AC4" w:rsidRDefault="005C7AC4" w14:paraId="0D7EFB2B" w14:textId="77777777">
      <w:pPr>
        <w:rPr>
          <w:szCs w:val="24"/>
        </w:rPr>
      </w:pPr>
    </w:p>
    <w:p w:rsidRPr="005C7AC4" w:rsidR="005C7AC4" w:rsidP="005C7AC4" w:rsidRDefault="005C7AC4" w14:paraId="5B7649D5" w14:textId="77777777">
      <w:pPr>
        <w:rPr>
          <w:szCs w:val="24"/>
        </w:rPr>
      </w:pPr>
      <w:r w:rsidRPr="005C7AC4">
        <w:rPr>
          <w:szCs w:val="24"/>
        </w:rPr>
        <w:t xml:space="preserve">The information collected on the form documents the materials that will be used in the construction of the housing </w:t>
      </w:r>
      <w:proofErr w:type="gramStart"/>
      <w:r w:rsidRPr="005C7AC4">
        <w:rPr>
          <w:szCs w:val="24"/>
        </w:rPr>
        <w:t>unit, and</w:t>
      </w:r>
      <w:proofErr w:type="gramEnd"/>
      <w:r w:rsidRPr="005C7AC4">
        <w:rPr>
          <w:szCs w:val="24"/>
        </w:rPr>
        <w:t xml:space="preserve"> provides a basis for cost and value estimates. The Description of Materials data is now also being accepted by VA in any other format the builder prefers, </w:t>
      </w:r>
      <w:proofErr w:type="gramStart"/>
      <w:r w:rsidRPr="005C7AC4">
        <w:rPr>
          <w:szCs w:val="24"/>
        </w:rPr>
        <w:t>as long as</w:t>
      </w:r>
      <w:proofErr w:type="gramEnd"/>
      <w:r w:rsidRPr="005C7AC4">
        <w:rPr>
          <w:szCs w:val="24"/>
        </w:rPr>
        <w:t xml:space="preserve"> it includes enough detail so that it may be relied upon for compliance inspections and mediating potential construction complaints.  The information required is determined by the contract agreed upon between the Veteran and the builder. RLC staff determined that builders already have the means to adequately meet this requirement, making the form duplicative and causing potential delays in project completion.</w:t>
      </w:r>
    </w:p>
    <w:p w:rsidRPr="005C7AC4" w:rsidR="005C7AC4" w:rsidP="005C7AC4" w:rsidRDefault="005C7AC4" w14:paraId="63FB4678" w14:textId="77777777">
      <w:pPr>
        <w:rPr>
          <w:szCs w:val="24"/>
        </w:rPr>
      </w:pPr>
    </w:p>
    <w:p w:rsidR="005C7AC4" w:rsidP="005C7AC4" w:rsidRDefault="005C7AC4" w14:paraId="39CB5E7C" w14:textId="32EE5DF8">
      <w:pPr>
        <w:rPr>
          <w:szCs w:val="24"/>
        </w:rPr>
      </w:pPr>
      <w:r w:rsidRPr="005C7AC4">
        <w:rPr>
          <w:szCs w:val="24"/>
        </w:rPr>
        <w:t>The information collected under this collection is completed by builders or cost estimators seeking an appraisal so that a veteran may purchase the property before it is constructed as well as assist VA management in administering the SAH grant program to determine market price, as needed, for SAH construction projects.  If the information is not collected a “Proposed Construction” appraisal and the approval of an SAH grant cannot be completed, and the veteran or servicemember would be denied the benefit to purchase a property to be constructed granted in Title 38 U.S.C., section 3710(a)(1) as well as veterans and servicemembers with service connected disabilities would not have access to a barrier-free living environment as required by Title 38, chapter 21.</w:t>
      </w:r>
    </w:p>
    <w:p w:rsidRPr="005C7AC4" w:rsidR="005C7AC4" w:rsidP="005C7AC4" w:rsidRDefault="005C7AC4" w14:paraId="7D97B986" w14:textId="77777777">
      <w:pPr>
        <w:rPr>
          <w:szCs w:val="24"/>
        </w:rPr>
      </w:pPr>
    </w:p>
    <w:p w:rsidRPr="00B473A0" w:rsidR="00A23DF4" w:rsidP="00F85A8B" w:rsidRDefault="00A23DF4" w14:paraId="52A1F350" w14:textId="552099B5">
      <w:pPr>
        <w:pStyle w:val="Heading2"/>
        <w:jc w:val="both"/>
      </w:pPr>
      <w:r w:rsidRPr="00B473A0">
        <w:t>2.</w:t>
      </w:r>
      <w:r w:rsidRPr="00B473A0">
        <w:tab/>
        <w:t>Indicate how, by whom, and for what purposes the information is to be used; indicate actual use the agency has made of the information received from current collection.</w:t>
      </w:r>
    </w:p>
    <w:p w:rsidRPr="005C7AC4" w:rsidR="005C7AC4" w:rsidP="005C7AC4" w:rsidRDefault="005C7AC4" w14:paraId="0464C5EC" w14:textId="77777777">
      <w:r w:rsidRPr="005C7AC4">
        <w:t xml:space="preserve">The description of materials list will be used by the builder as documentation of the name, number, size, model, grade, type, weight, thickness, width, spacing, gage, or color of the materials to be used in the construction of the dwelling or SAH project.  The information may be used by the builder to obtain construction financing.  The information is used in part by SAH </w:t>
      </w:r>
      <w:r w:rsidRPr="005C7AC4">
        <w:lastRenderedPageBreak/>
        <w:t>agents and VA appraiser in establishing the value and or cost of adaptations for the property before it is constructed.</w:t>
      </w:r>
    </w:p>
    <w:p w:rsidRPr="00B473A0" w:rsidR="00F233C4" w:rsidP="00F85A8B" w:rsidRDefault="00F233C4" w14:paraId="0CE4D7D1" w14:textId="77777777">
      <w:pPr>
        <w:pStyle w:val="BodyText2"/>
        <w:jc w:val="both"/>
        <w:rPr>
          <w:rFonts w:ascii="Times New Roman" w:hAnsi="Times New Roman"/>
        </w:rPr>
      </w:pPr>
    </w:p>
    <w:p w:rsidRPr="00B473A0" w:rsidR="00A23DF4" w:rsidP="00F85A8B" w:rsidRDefault="00A23DF4" w14:paraId="642A1F46" w14:textId="77777777">
      <w:pPr>
        <w:pStyle w:val="Heading2"/>
        <w:jc w:val="both"/>
      </w:pPr>
      <w:r w:rsidRPr="00B473A0">
        <w:t>3.</w:t>
      </w:r>
      <w:r w:rsidRPr="00B473A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C7AC4" w:rsidR="005C7AC4" w:rsidP="005C7AC4" w:rsidRDefault="00F233C4" w14:paraId="049B9141" w14:textId="77777777">
      <w:pPr>
        <w:rPr>
          <w:szCs w:val="24"/>
        </w:rPr>
      </w:pPr>
      <w:r w:rsidRPr="00B473A0">
        <w:t xml:space="preserve">This form is available in a fillable electronic format on the One VA forms website at </w:t>
      </w:r>
      <w:hyperlink w:history="1" r:id="rId8">
        <w:r w:rsidRPr="00B473A0">
          <w:rPr>
            <w:rStyle w:val="Hyperlink"/>
          </w:rPr>
          <w:t>http://www.va.gov/vaforms</w:t>
        </w:r>
      </w:hyperlink>
      <w:r w:rsidRPr="00B473A0">
        <w:t xml:space="preserve">.  </w:t>
      </w:r>
      <w:r w:rsidRPr="005C7AC4" w:rsidR="005C7AC4">
        <w:rPr>
          <w:szCs w:val="24"/>
        </w:rPr>
        <w:t>VA has not developed an information technology solution for receiving this form because in new construction cases this form is transmitted directly to an appraiser, not VA, or its staff, and the cost to the government for creating such a system for SAH cases is not economically justifiable.</w:t>
      </w:r>
    </w:p>
    <w:p w:rsidRPr="00B473A0" w:rsidR="00F233C4" w:rsidP="00F85A8B" w:rsidRDefault="00F233C4" w14:paraId="495E21DA" w14:textId="5F201B2A">
      <w:pPr>
        <w:tabs>
          <w:tab w:val="left" w:pos="480"/>
          <w:tab w:val="right" w:pos="8640"/>
        </w:tabs>
        <w:ind w:right="684"/>
        <w:jc w:val="both"/>
      </w:pPr>
    </w:p>
    <w:p w:rsidRPr="00B473A0" w:rsidR="00A23DF4" w:rsidP="00F85A8B" w:rsidRDefault="00A23DF4" w14:paraId="4BD533AE" w14:textId="77777777">
      <w:pPr>
        <w:pStyle w:val="Heading2"/>
        <w:jc w:val="both"/>
      </w:pPr>
      <w:r w:rsidRPr="00B473A0">
        <w:t>4.</w:t>
      </w:r>
      <w:r w:rsidRPr="00B473A0">
        <w:tab/>
        <w:t>Describe efforts to identify duplication.  Show specifically why any similar information already available cannot be used or modified for use for the purposes described in Item 2 above.</w:t>
      </w:r>
    </w:p>
    <w:p w:rsidRPr="005C7AC4" w:rsidR="005C7AC4" w:rsidP="005C7AC4" w:rsidRDefault="005C7AC4" w14:paraId="298D10D4" w14:textId="77777777">
      <w:r w:rsidRPr="005C7AC4">
        <w:t>The information collected on VA Form 26-1852, or preferred builder format, is unique to VA and is not duplicated in other agencies’ records or in other VA records.</w:t>
      </w:r>
    </w:p>
    <w:p w:rsidRPr="00B473A0" w:rsidR="00F233C4" w:rsidP="00F85A8B" w:rsidRDefault="00F233C4" w14:paraId="6B57FDC2" w14:textId="77777777">
      <w:pPr>
        <w:tabs>
          <w:tab w:val="left" w:pos="480"/>
          <w:tab w:val="right" w:pos="8640"/>
        </w:tabs>
        <w:ind w:right="684"/>
        <w:jc w:val="both"/>
      </w:pPr>
    </w:p>
    <w:p w:rsidRPr="00B473A0" w:rsidR="00A23DF4" w:rsidP="00F85A8B" w:rsidRDefault="00A23DF4" w14:paraId="18B97139" w14:textId="77777777">
      <w:pPr>
        <w:pStyle w:val="Heading2"/>
        <w:jc w:val="both"/>
      </w:pPr>
      <w:r w:rsidRPr="00B473A0">
        <w:t>5.</w:t>
      </w:r>
      <w:r w:rsidRPr="00B473A0">
        <w:tab/>
        <w:t>If the collection of information impacts small businesses or other small entities, describe any methods used to minimize burden.</w:t>
      </w:r>
    </w:p>
    <w:p w:rsidRPr="005C7AC4" w:rsidR="005C7AC4" w:rsidP="005C7AC4" w:rsidRDefault="005C7AC4" w14:paraId="74459C95" w14:textId="041A8976">
      <w:pPr>
        <w:rPr>
          <w:szCs w:val="24"/>
        </w:rPr>
      </w:pPr>
      <w:r w:rsidRPr="005C7AC4">
        <w:rPr>
          <w:szCs w:val="24"/>
        </w:rPr>
        <w:t>The collection of information does involve small business organizations</w:t>
      </w:r>
      <w:r>
        <w:rPr>
          <w:szCs w:val="24"/>
        </w:rPr>
        <w:t xml:space="preserve">, </w:t>
      </w:r>
      <w:r w:rsidRPr="005C7AC4">
        <w:rPr>
          <w:szCs w:val="24"/>
        </w:rPr>
        <w:t>but collection of the information is the same for large businesses and no method to minimize the burden has been recognized.</w:t>
      </w:r>
    </w:p>
    <w:p w:rsidRPr="00B473A0" w:rsidR="00271073" w:rsidP="00F85A8B" w:rsidRDefault="00271073" w14:paraId="0172D58D" w14:textId="77777777">
      <w:pPr>
        <w:pStyle w:val="ListParagraph"/>
        <w:jc w:val="both"/>
      </w:pPr>
    </w:p>
    <w:p w:rsidRPr="00B473A0" w:rsidR="00A23DF4" w:rsidP="00F85A8B" w:rsidRDefault="00A23DF4" w14:paraId="7E8B58A3" w14:textId="77777777">
      <w:pPr>
        <w:pStyle w:val="Heading2"/>
        <w:jc w:val="both"/>
      </w:pPr>
      <w:r w:rsidRPr="00B473A0">
        <w:t>6.</w:t>
      </w:r>
      <w:r w:rsidRPr="00B473A0">
        <w:tab/>
        <w:t>Describe the consequences to Federal program or policy activities if the collection is not conducted or is conducted less frequently as well as any technical or legal obstacles to reducing burden.</w:t>
      </w:r>
    </w:p>
    <w:p w:rsidRPr="005C7AC4" w:rsidR="005C7AC4" w:rsidP="005C7AC4" w:rsidRDefault="005C7AC4" w14:paraId="7E25F296" w14:textId="77777777">
      <w:pPr>
        <w:rPr>
          <w:szCs w:val="24"/>
        </w:rPr>
      </w:pPr>
      <w:r w:rsidRPr="005C7AC4">
        <w:rPr>
          <w:szCs w:val="24"/>
        </w:rPr>
        <w:t>This information collection is not a recurring or repetitive report.  It is accomplished on a one-time basis per individual applicant.</w:t>
      </w:r>
    </w:p>
    <w:p w:rsidRPr="00B473A0" w:rsidR="00A23DF4" w:rsidP="00F85A8B" w:rsidRDefault="002F68E9" w14:paraId="0CCF3E2F" w14:textId="2030169C">
      <w:r w:rsidRPr="00B473A0">
        <w:t xml:space="preserve">  </w:t>
      </w:r>
    </w:p>
    <w:p w:rsidRPr="00B473A0" w:rsidR="00A23DF4" w:rsidP="00A23DF4" w:rsidRDefault="00A23DF4" w14:paraId="059144DB" w14:textId="77777777">
      <w:pPr>
        <w:pStyle w:val="Heading2"/>
      </w:pPr>
      <w:r w:rsidRPr="00B473A0">
        <w:t>7.</w:t>
      </w:r>
      <w:r w:rsidRPr="00B473A0">
        <w:tab/>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w:t>
      </w:r>
      <w:r w:rsidRPr="00B473A0">
        <w:lastRenderedPageBreak/>
        <w:t>be generalized to the universe of study and require the use of a statistical data classification that has not been reviewed and approved by OMB.</w:t>
      </w:r>
    </w:p>
    <w:p w:rsidRPr="00B473A0" w:rsidR="002F68E9" w:rsidP="00A23DF4" w:rsidRDefault="002F68E9" w14:paraId="34A6FA40" w14:textId="791160F5">
      <w:pPr>
        <w:tabs>
          <w:tab w:val="left" w:pos="480"/>
          <w:tab w:val="right" w:pos="8640"/>
        </w:tabs>
        <w:ind w:right="684"/>
      </w:pPr>
      <w:r w:rsidRPr="00B473A0">
        <w:t>There is no special circumstance requiring collection in a manner inconsistent with 5 CFR 1320.6 guidelines.</w:t>
      </w:r>
    </w:p>
    <w:p w:rsidRPr="00B473A0" w:rsidR="00271073" w:rsidP="00271073" w:rsidRDefault="00271073" w14:paraId="3D2F01F8" w14:textId="77777777"/>
    <w:p w:rsidRPr="00B473A0" w:rsidR="00A23DF4" w:rsidP="00A23DF4" w:rsidRDefault="00A23DF4" w14:paraId="49255E49" w14:textId="77777777">
      <w:pPr>
        <w:pStyle w:val="Heading2"/>
      </w:pPr>
      <w:r w:rsidRPr="00B473A0">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473A0" w:rsidR="00A23DF4" w:rsidP="00CE0610" w:rsidRDefault="00A23DF4" w14:paraId="399F032B" w14:textId="18295D7D">
      <w:pPr>
        <w:ind w:right="90"/>
        <w:jc w:val="both"/>
        <w:rPr>
          <w:szCs w:val="24"/>
        </w:rPr>
      </w:pPr>
      <w:r w:rsidRPr="00B473A0">
        <w:rPr>
          <w:szCs w:val="24"/>
        </w:rPr>
        <w:t>The Department notice was publis</w:t>
      </w:r>
      <w:r w:rsidRPr="00B473A0" w:rsidR="00357670">
        <w:rPr>
          <w:szCs w:val="24"/>
        </w:rPr>
        <w:t xml:space="preserve">hed in the Federal Register on </w:t>
      </w:r>
      <w:r w:rsidR="00AC50C8">
        <w:rPr>
          <w:szCs w:val="24"/>
        </w:rPr>
        <w:t>January 19, 2021</w:t>
      </w:r>
      <w:r w:rsidRPr="00B473A0" w:rsidR="00357670">
        <w:rPr>
          <w:szCs w:val="24"/>
        </w:rPr>
        <w:t>,</w:t>
      </w:r>
      <w:r w:rsidRPr="00B473A0" w:rsidR="00484F79">
        <w:rPr>
          <w:szCs w:val="24"/>
        </w:rPr>
        <w:t xml:space="preserve"> </w:t>
      </w:r>
      <w:r w:rsidRPr="00B473A0" w:rsidR="00357670">
        <w:rPr>
          <w:szCs w:val="24"/>
        </w:rPr>
        <w:t xml:space="preserve">Volume </w:t>
      </w:r>
      <w:r w:rsidR="00AC50C8">
        <w:rPr>
          <w:szCs w:val="24"/>
        </w:rPr>
        <w:t>86</w:t>
      </w:r>
      <w:r w:rsidRPr="00B473A0" w:rsidR="00357670">
        <w:rPr>
          <w:szCs w:val="24"/>
        </w:rPr>
        <w:t xml:space="preserve">, No, </w:t>
      </w:r>
      <w:proofErr w:type="gramStart"/>
      <w:r w:rsidR="00AC50C8">
        <w:rPr>
          <w:szCs w:val="24"/>
        </w:rPr>
        <w:t>11</w:t>
      </w:r>
      <w:r w:rsidRPr="00B473A0" w:rsidR="00357670">
        <w:rPr>
          <w:szCs w:val="24"/>
        </w:rPr>
        <w:t xml:space="preserve">, </w:t>
      </w:r>
      <w:r w:rsidRPr="00B473A0">
        <w:rPr>
          <w:szCs w:val="24"/>
        </w:rPr>
        <w:t xml:space="preserve"> </w:t>
      </w:r>
      <w:r w:rsidRPr="00B473A0" w:rsidR="00357670">
        <w:rPr>
          <w:szCs w:val="24"/>
        </w:rPr>
        <w:t>page</w:t>
      </w:r>
      <w:proofErr w:type="gramEnd"/>
      <w:r w:rsidRPr="00B473A0" w:rsidR="00357670">
        <w:rPr>
          <w:szCs w:val="24"/>
        </w:rPr>
        <w:t xml:space="preserve"> </w:t>
      </w:r>
      <w:r w:rsidR="00AC50C8">
        <w:rPr>
          <w:szCs w:val="24"/>
        </w:rPr>
        <w:t>5319</w:t>
      </w:r>
      <w:bookmarkStart w:name="_GoBack" w:id="0"/>
      <w:bookmarkEnd w:id="0"/>
      <w:r w:rsidRPr="00B473A0" w:rsidR="00357670">
        <w:rPr>
          <w:szCs w:val="24"/>
        </w:rPr>
        <w:t>.</w:t>
      </w:r>
      <w:r w:rsidRPr="00B473A0" w:rsidR="00B66D93">
        <w:rPr>
          <w:szCs w:val="24"/>
        </w:rPr>
        <w:t xml:space="preserve">  No </w:t>
      </w:r>
      <w:r w:rsidRPr="00B473A0">
        <w:rPr>
          <w:szCs w:val="24"/>
        </w:rPr>
        <w:t>comments were received in response to this notice.</w:t>
      </w:r>
    </w:p>
    <w:p w:rsidRPr="00B473A0" w:rsidR="00A23DF4" w:rsidP="00CE0610" w:rsidRDefault="00A23DF4" w14:paraId="18F9FB2B" w14:textId="77777777">
      <w:pPr>
        <w:ind w:right="90"/>
      </w:pPr>
    </w:p>
    <w:p w:rsidRPr="00B473A0" w:rsidR="00A23DF4" w:rsidP="00CE0610" w:rsidRDefault="00A23DF4" w14:paraId="2287B486" w14:textId="77777777">
      <w:pPr>
        <w:pStyle w:val="Heading2"/>
        <w:ind w:right="90"/>
      </w:pPr>
      <w:r w:rsidRPr="00B473A0">
        <w:t>9.</w:t>
      </w:r>
      <w:r w:rsidRPr="00B473A0">
        <w:tab/>
        <w:t>Explain any decision to provide any payment or gift to respondents, other than remuneration of contractors or grantees.</w:t>
      </w:r>
    </w:p>
    <w:p w:rsidRPr="00B473A0" w:rsidR="002F68E9" w:rsidP="00CE0610" w:rsidRDefault="002F68E9" w14:paraId="2805C3DD" w14:textId="7DDF9A84">
      <w:pPr>
        <w:tabs>
          <w:tab w:val="left" w:pos="480"/>
          <w:tab w:val="right" w:pos="8640"/>
        </w:tabs>
        <w:ind w:right="90"/>
      </w:pPr>
      <w:r w:rsidRPr="00B473A0">
        <w:t>No payments or gifts to respondents have been made under this collection of information.</w:t>
      </w:r>
    </w:p>
    <w:p w:rsidRPr="00B473A0" w:rsidR="002F68E9" w:rsidP="00CE0610" w:rsidRDefault="002F68E9" w14:paraId="0037B2F5" w14:textId="77777777">
      <w:pPr>
        <w:tabs>
          <w:tab w:val="left" w:pos="480"/>
          <w:tab w:val="right" w:pos="8640"/>
        </w:tabs>
        <w:ind w:right="90"/>
      </w:pPr>
    </w:p>
    <w:p w:rsidRPr="00B473A0" w:rsidR="00A23DF4" w:rsidP="00CE0610" w:rsidRDefault="00A23DF4" w14:paraId="2C124AE6" w14:textId="1296326B">
      <w:pPr>
        <w:ind w:right="90"/>
        <w:rPr>
          <w:b/>
          <w:szCs w:val="24"/>
        </w:rPr>
      </w:pPr>
      <w:r w:rsidRPr="00B473A0">
        <w:rPr>
          <w:b/>
        </w:rPr>
        <w:t>10.</w:t>
      </w:r>
      <w:r w:rsidRPr="00B473A0">
        <w:rPr>
          <w:b/>
        </w:rPr>
        <w:tab/>
        <w:t>Describe any assurance of privacy to the extent permitted by law provided to respondents and the basis for the assurance in statute, regulation, or agency policy.</w:t>
      </w:r>
      <w:r w:rsidRPr="00B473A0">
        <w:rPr>
          <w:b/>
          <w:szCs w:val="24"/>
        </w:rPr>
        <w:t xml:space="preserve"> </w:t>
      </w:r>
    </w:p>
    <w:p w:rsidRPr="00B473A0" w:rsidR="00A23DF4" w:rsidP="00A23DF4" w:rsidRDefault="00A23DF4" w14:paraId="4F9E9A67" w14:textId="77777777">
      <w:pPr>
        <w:rPr>
          <w:szCs w:val="24"/>
        </w:rPr>
      </w:pPr>
    </w:p>
    <w:p w:rsidRPr="005C7AC4" w:rsidR="00637051" w:rsidP="005C7AC4" w:rsidRDefault="00F233C4" w14:paraId="4ECDC932" w14:textId="3350D066">
      <w:pPr>
        <w:tabs>
          <w:tab w:val="left" w:pos="360"/>
        </w:tabs>
        <w:ind w:right="-540"/>
        <w:rPr>
          <w:u w:val="single"/>
        </w:rPr>
      </w:pPr>
      <w:r w:rsidRPr="00B473A0">
        <w:rPr>
          <w:u w:val="single"/>
        </w:rPr>
        <w:t>Loan Guaranty Home, Condominium and Manufactured Home Loan Applicant Records</w:t>
      </w:r>
      <w:r>
        <w:rPr>
          <w:u w:val="single"/>
        </w:rPr>
        <w:t>, Specially Adapted Housing Applicant Records, and Vendee Loan Applicant Records - VA (55VA26)</w:t>
      </w:r>
      <w:r>
        <w:t xml:space="preserve"> contained in the Privacy Act Issuances, 201</w:t>
      </w:r>
      <w:r w:rsidR="00553CA7">
        <w:t>4</w:t>
      </w:r>
      <w:r>
        <w:t xml:space="preserve"> Compilation.</w:t>
      </w:r>
    </w:p>
    <w:p w:rsidR="00637051" w:rsidP="00CE0610" w:rsidRDefault="00637051" w14:paraId="38B860AD" w14:textId="146194EF">
      <w:pPr>
        <w:jc w:val="both"/>
      </w:pPr>
    </w:p>
    <w:p w:rsidR="00637051" w:rsidP="00CE0610" w:rsidRDefault="00637051" w14:paraId="7E9B3E42" w14:textId="77777777">
      <w:pPr>
        <w:jc w:val="both"/>
      </w:pPr>
    </w:p>
    <w:p w:rsidRPr="00636107" w:rsidR="00A23DF4" w:rsidP="00CE0610" w:rsidRDefault="00A23DF4" w14:paraId="3229FB0A" w14:textId="37598D4C">
      <w:pPr>
        <w:pStyle w:val="Heading2"/>
        <w:jc w:val="both"/>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960C51" w:rsidR="002F68E9" w:rsidP="00A23DF4" w:rsidRDefault="002F68E9" w14:paraId="505F8972" w14:textId="58FE473D">
      <w:pPr>
        <w:tabs>
          <w:tab w:val="left" w:pos="480"/>
          <w:tab w:val="right" w:pos="8640"/>
        </w:tabs>
        <w:ind w:right="684"/>
      </w:pPr>
      <w:r w:rsidRPr="00960C51">
        <w:t>There are no questions of a sensitive nature.</w:t>
      </w:r>
    </w:p>
    <w:p w:rsidR="002F68E9" w:rsidRDefault="002F68E9" w14:paraId="7C28BC1E" w14:textId="77777777">
      <w:pPr>
        <w:tabs>
          <w:tab w:val="left" w:pos="480"/>
          <w:tab w:val="right" w:pos="8640"/>
        </w:tabs>
        <w:ind w:right="684"/>
      </w:pPr>
    </w:p>
    <w:p w:rsidRPr="00637051" w:rsidR="00A23DF4" w:rsidP="00A23DF4" w:rsidRDefault="00A23DF4" w14:paraId="231F8E69" w14:textId="77777777">
      <w:pPr>
        <w:pStyle w:val="Heading2"/>
      </w:pPr>
      <w:r w:rsidRPr="00637051">
        <w:t>12. Estimate of the hour burden of the collection of information:</w:t>
      </w:r>
    </w:p>
    <w:p w:rsidR="00B2507D" w:rsidP="005C7AC4" w:rsidRDefault="002F68E9" w14:paraId="32E92D1F" w14:textId="188D4987">
      <w:pPr>
        <w:pStyle w:val="ListParagraph"/>
        <w:numPr>
          <w:ilvl w:val="0"/>
          <w:numId w:val="14"/>
        </w:numPr>
        <w:tabs>
          <w:tab w:val="left" w:pos="480"/>
          <w:tab w:val="right" w:pos="8640"/>
        </w:tabs>
        <w:ind w:left="360" w:right="684"/>
      </w:pPr>
      <w:r w:rsidRPr="00637051">
        <w:t xml:space="preserve">Number of </w:t>
      </w:r>
      <w:r w:rsidRPr="00637051" w:rsidR="00974DF6">
        <w:t xml:space="preserve">yearly </w:t>
      </w:r>
      <w:proofErr w:type="gramStart"/>
      <w:r w:rsidRPr="00637051" w:rsidR="00974DF6">
        <w:t>r</w:t>
      </w:r>
      <w:r w:rsidRPr="00637051">
        <w:t>espondents</w:t>
      </w:r>
      <w:proofErr w:type="gramEnd"/>
      <w:r w:rsidRPr="00637051">
        <w:t xml:space="preserve"> </w:t>
      </w:r>
      <w:r w:rsidRPr="00637051" w:rsidR="00974DF6">
        <w:t xml:space="preserve">totals = </w:t>
      </w:r>
      <w:r w:rsidRPr="005C7AC4" w:rsidR="005C7AC4">
        <w:t>16,950 per year and for SAH cases it is 2</w:t>
      </w:r>
      <w:r w:rsidR="0018571D">
        <w:t>,</w:t>
      </w:r>
      <w:r w:rsidRPr="005C7AC4" w:rsidR="005C7AC4">
        <w:t>0</w:t>
      </w:r>
      <w:r w:rsidR="00771B80">
        <w:t xml:space="preserve">86 </w:t>
      </w:r>
      <w:r w:rsidRPr="005C7AC4" w:rsidR="005C7AC4">
        <w:t>per year</w:t>
      </w:r>
    </w:p>
    <w:p w:rsidRPr="00637051" w:rsidR="005C7AC4" w:rsidP="005C7AC4" w:rsidRDefault="005C7AC4" w14:paraId="510FC0A6" w14:textId="77777777">
      <w:pPr>
        <w:pStyle w:val="ListParagraph"/>
        <w:tabs>
          <w:tab w:val="left" w:pos="480"/>
          <w:tab w:val="right" w:pos="8640"/>
        </w:tabs>
        <w:ind w:left="360" w:right="684"/>
      </w:pPr>
    </w:p>
    <w:p w:rsidRPr="00637051" w:rsidR="00B2507D" w:rsidP="00B2507D" w:rsidRDefault="005C7AC4" w14:paraId="76787D62" w14:textId="788ECFDF">
      <w:pPr>
        <w:pStyle w:val="ListParagraph"/>
        <w:numPr>
          <w:ilvl w:val="0"/>
          <w:numId w:val="14"/>
        </w:numPr>
        <w:tabs>
          <w:tab w:val="left" w:pos="480"/>
          <w:tab w:val="right" w:pos="8640"/>
        </w:tabs>
        <w:ind w:left="360" w:right="684"/>
      </w:pPr>
      <w:r w:rsidRPr="005C7AC4">
        <w:rPr>
          <w:szCs w:val="24"/>
        </w:rPr>
        <w:t>Frequency of response is one-time.</w:t>
      </w:r>
    </w:p>
    <w:p w:rsidRPr="00637051" w:rsidR="00B2507D" w:rsidP="00B2507D" w:rsidRDefault="00B2507D" w14:paraId="3674BE07" w14:textId="215B1342">
      <w:pPr>
        <w:pStyle w:val="ListParagraph"/>
        <w:tabs>
          <w:tab w:val="left" w:pos="480"/>
          <w:tab w:val="right" w:pos="8640"/>
        </w:tabs>
        <w:ind w:left="360" w:right="684"/>
      </w:pPr>
    </w:p>
    <w:p w:rsidRPr="00637051" w:rsidR="00B2507D" w:rsidP="00B2507D" w:rsidRDefault="002F68E9" w14:paraId="100EC2C9" w14:textId="5FCBCF08">
      <w:pPr>
        <w:pStyle w:val="ListParagraph"/>
        <w:numPr>
          <w:ilvl w:val="0"/>
          <w:numId w:val="14"/>
        </w:numPr>
        <w:tabs>
          <w:tab w:val="left" w:pos="480"/>
          <w:tab w:val="right" w:pos="8640"/>
        </w:tabs>
        <w:ind w:left="360" w:right="684"/>
      </w:pPr>
      <w:r w:rsidRPr="00637051">
        <w:lastRenderedPageBreak/>
        <w:t xml:space="preserve">Annual burden </w:t>
      </w:r>
      <w:r w:rsidRPr="00637051" w:rsidR="00974DF6">
        <w:t xml:space="preserve">total = </w:t>
      </w:r>
      <w:r w:rsidRPr="005C7AC4" w:rsidR="005C7AC4">
        <w:rPr>
          <w:szCs w:val="24"/>
        </w:rPr>
        <w:t>9,</w:t>
      </w:r>
      <w:r w:rsidR="00853B01">
        <w:rPr>
          <w:szCs w:val="24"/>
        </w:rPr>
        <w:t>518</w:t>
      </w:r>
      <w:r w:rsidRPr="005C7AC4" w:rsidR="005C7AC4">
        <w:rPr>
          <w:szCs w:val="24"/>
        </w:rPr>
        <w:t xml:space="preserve"> hours.</w:t>
      </w:r>
    </w:p>
    <w:p w:rsidRPr="00637051" w:rsidR="00B2507D" w:rsidP="00B2507D" w:rsidRDefault="00B2507D" w14:paraId="30CB7957" w14:textId="77777777">
      <w:pPr>
        <w:pStyle w:val="ListParagraph"/>
        <w:tabs>
          <w:tab w:val="left" w:pos="480"/>
          <w:tab w:val="right" w:pos="8640"/>
        </w:tabs>
        <w:ind w:left="360" w:right="684"/>
      </w:pPr>
    </w:p>
    <w:p w:rsidRPr="00637051" w:rsidR="00B2507D" w:rsidP="00B2507D" w:rsidRDefault="002F68E9" w14:paraId="3A721406" w14:textId="357D2D0E">
      <w:pPr>
        <w:pStyle w:val="ListParagraph"/>
        <w:numPr>
          <w:ilvl w:val="0"/>
          <w:numId w:val="14"/>
        </w:numPr>
        <w:tabs>
          <w:tab w:val="left" w:pos="480"/>
          <w:tab w:val="right" w:pos="8640"/>
        </w:tabs>
        <w:ind w:left="360" w:right="684"/>
      </w:pPr>
      <w:r w:rsidRPr="00637051">
        <w:t xml:space="preserve">The estimated completion time </w:t>
      </w:r>
      <w:r w:rsidRPr="00637051" w:rsidR="000747F0">
        <w:t xml:space="preserve">is </w:t>
      </w:r>
      <w:r w:rsidR="005C7AC4">
        <w:t xml:space="preserve">30 </w:t>
      </w:r>
      <w:r w:rsidRPr="00637051">
        <w:t>minutes</w:t>
      </w:r>
      <w:r w:rsidRPr="00637051" w:rsidR="000747F0">
        <w:t>.</w:t>
      </w:r>
      <w:r w:rsidRPr="00637051">
        <w:t xml:space="preserve"> </w:t>
      </w:r>
    </w:p>
    <w:p w:rsidRPr="00637051" w:rsidR="00B2507D" w:rsidP="00786FEA" w:rsidRDefault="00B2507D" w14:paraId="0DE6DC4D" w14:textId="77777777">
      <w:pPr>
        <w:pStyle w:val="ListParagraph"/>
        <w:tabs>
          <w:tab w:val="left" w:pos="480"/>
          <w:tab w:val="right" w:pos="8640"/>
        </w:tabs>
        <w:ind w:left="360" w:right="684"/>
        <w:jc w:val="both"/>
      </w:pPr>
    </w:p>
    <w:p w:rsidRPr="00637051" w:rsidR="00A23DF4" w:rsidP="00786FEA" w:rsidRDefault="00A23DF4" w14:paraId="4AB239FD" w14:textId="28D2461E">
      <w:pPr>
        <w:pStyle w:val="ListParagraph"/>
        <w:numPr>
          <w:ilvl w:val="0"/>
          <w:numId w:val="14"/>
        </w:numPr>
        <w:tabs>
          <w:tab w:val="left" w:pos="480"/>
          <w:tab w:val="right" w:pos="8640"/>
        </w:tabs>
        <w:ind w:left="360" w:right="684"/>
        <w:jc w:val="both"/>
      </w:pPr>
      <w:r w:rsidRPr="00637051">
        <w:rPr>
          <w:szCs w:val="24"/>
        </w:rPr>
        <w:t>The respondent population for VA Form</w:t>
      </w:r>
      <w:r w:rsidRPr="00637051" w:rsidR="000747F0">
        <w:rPr>
          <w:szCs w:val="24"/>
        </w:rPr>
        <w:t xml:space="preserve"> </w:t>
      </w:r>
      <w:r w:rsidR="005C7AC4">
        <w:t>26-1852</w:t>
      </w:r>
      <w:r w:rsidRPr="00637051" w:rsidR="00E85B8D">
        <w:t xml:space="preserve"> </w:t>
      </w:r>
      <w:r w:rsidR="005C7AC4">
        <w:t>is composed of</w:t>
      </w:r>
      <w:r w:rsidRPr="00637051" w:rsidR="00E85B8D">
        <w:t xml:space="preserve"> </w:t>
      </w:r>
      <w:r w:rsidRPr="005C7AC4" w:rsidR="005C7AC4">
        <w:rPr>
          <w:szCs w:val="24"/>
        </w:rPr>
        <w:t xml:space="preserve">builders </w:t>
      </w:r>
      <w:r w:rsidR="005C7AC4">
        <w:rPr>
          <w:szCs w:val="24"/>
        </w:rPr>
        <w:t xml:space="preserve">and </w:t>
      </w:r>
      <w:r w:rsidRPr="005C7AC4" w:rsidR="005C7AC4">
        <w:rPr>
          <w:szCs w:val="24"/>
        </w:rPr>
        <w:t>cost estimators</w:t>
      </w:r>
      <w:r w:rsidRPr="00637051" w:rsidR="00F233C4">
        <w:t>.</w:t>
      </w:r>
      <w:r w:rsidRPr="00637051" w:rsidR="000747F0">
        <w:rPr>
          <w:color w:val="000000"/>
        </w:rPr>
        <w:t xml:space="preserve">  </w:t>
      </w:r>
      <w:r w:rsidRPr="00637051">
        <w:rPr>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A23DF4" w:rsidR="00A23DF4" w:rsidP="00786FEA" w:rsidRDefault="00A23DF4" w14:paraId="476D8577" w14:textId="77777777">
      <w:pPr>
        <w:pStyle w:val="ListParagraph"/>
        <w:jc w:val="both"/>
        <w:rPr>
          <w:szCs w:val="24"/>
        </w:rPr>
      </w:pPr>
    </w:p>
    <w:p w:rsidR="00B2507D" w:rsidP="00B473A0" w:rsidRDefault="00A23DF4" w14:paraId="6CD2A8ED" w14:textId="2EB94AD8">
      <w:pPr>
        <w:tabs>
          <w:tab w:val="left" w:pos="480"/>
          <w:tab w:val="right" w:pos="8640"/>
        </w:tabs>
        <w:ind w:left="360" w:right="684"/>
        <w:rPr>
          <w:szCs w:val="24"/>
        </w:rPr>
      </w:pPr>
      <w:r w:rsidRPr="00B2507D">
        <w:rPr>
          <w:szCs w:val="24"/>
        </w:rPr>
        <w:t xml:space="preserve">The Bureau of Labor Statistics (BLS) gathers information on full-time wage and salary workers.  According to the latest </w:t>
      </w:r>
      <w:r w:rsidRPr="00CB79A6">
        <w:rPr>
          <w:color w:val="000000" w:themeColor="text1"/>
          <w:szCs w:val="24"/>
        </w:rPr>
        <w:t>available BLS data, the me</w:t>
      </w:r>
      <w:r w:rsidRPr="00CB79A6" w:rsidR="00B473A0">
        <w:rPr>
          <w:color w:val="000000" w:themeColor="text1"/>
          <w:szCs w:val="24"/>
        </w:rPr>
        <w:t>an</w:t>
      </w:r>
      <w:r w:rsidRPr="00CB79A6">
        <w:rPr>
          <w:color w:val="000000" w:themeColor="text1"/>
          <w:szCs w:val="24"/>
        </w:rPr>
        <w:t xml:space="preserve"> weekly earnings of full-time wage and salary wor</w:t>
      </w:r>
      <w:r w:rsidRPr="00CB79A6" w:rsidR="00455492">
        <w:rPr>
          <w:color w:val="000000" w:themeColor="text1"/>
          <w:szCs w:val="24"/>
        </w:rPr>
        <w:t>kers are $</w:t>
      </w:r>
      <w:r w:rsidR="0054253E">
        <w:rPr>
          <w:color w:val="000000" w:themeColor="text1"/>
          <w:szCs w:val="24"/>
        </w:rPr>
        <w:t>1,274</w:t>
      </w:r>
      <w:r w:rsidRPr="00CB79A6">
        <w:rPr>
          <w:color w:val="000000" w:themeColor="text1"/>
          <w:szCs w:val="24"/>
        </w:rPr>
        <w:t xml:space="preserve">  Assuming a forty (40) hour work week, </w:t>
      </w:r>
      <w:r w:rsidRPr="00CB79A6" w:rsidR="00455492">
        <w:rPr>
          <w:color w:val="000000" w:themeColor="text1"/>
          <w:szCs w:val="24"/>
        </w:rPr>
        <w:t>the me</w:t>
      </w:r>
      <w:r w:rsidRPr="00CB79A6" w:rsidR="00B473A0">
        <w:rPr>
          <w:color w:val="000000" w:themeColor="text1"/>
          <w:szCs w:val="24"/>
        </w:rPr>
        <w:t xml:space="preserve">an </w:t>
      </w:r>
      <w:r w:rsidRPr="00CB79A6" w:rsidR="00455492">
        <w:rPr>
          <w:color w:val="000000" w:themeColor="text1"/>
          <w:szCs w:val="24"/>
        </w:rPr>
        <w:t xml:space="preserve">hourly wage is </w:t>
      </w:r>
      <w:r w:rsidRPr="00CB79A6" w:rsidR="00F2100A">
        <w:rPr>
          <w:color w:val="000000" w:themeColor="text1"/>
          <w:szCs w:val="24"/>
        </w:rPr>
        <w:t>$</w:t>
      </w:r>
      <w:r w:rsidR="0054253E">
        <w:rPr>
          <w:color w:val="000000" w:themeColor="text1"/>
          <w:szCs w:val="24"/>
        </w:rPr>
        <w:t>34.35</w:t>
      </w:r>
      <w:r w:rsidRPr="00CB79A6" w:rsidR="00F2100A">
        <w:rPr>
          <w:color w:val="000000" w:themeColor="text1"/>
          <w:szCs w:val="24"/>
        </w:rPr>
        <w:t xml:space="preserve"> </w:t>
      </w:r>
      <w:r w:rsidRPr="00CB79A6">
        <w:rPr>
          <w:color w:val="000000" w:themeColor="text1"/>
          <w:szCs w:val="24"/>
        </w:rPr>
        <w:t>based on the BLS wage code – “</w:t>
      </w:r>
      <w:r w:rsidR="0054253E">
        <w:rPr>
          <w:color w:val="000000" w:themeColor="text1"/>
          <w:szCs w:val="24"/>
        </w:rPr>
        <w:t>47</w:t>
      </w:r>
      <w:r w:rsidRPr="00CB79A6">
        <w:rPr>
          <w:color w:val="000000" w:themeColor="text1"/>
          <w:szCs w:val="24"/>
        </w:rPr>
        <w:t>-</w:t>
      </w:r>
      <w:r w:rsidR="0054253E">
        <w:rPr>
          <w:color w:val="000000" w:themeColor="text1"/>
          <w:szCs w:val="24"/>
        </w:rPr>
        <w:t>1011</w:t>
      </w:r>
      <w:r w:rsidRPr="00CB79A6">
        <w:rPr>
          <w:color w:val="000000" w:themeColor="text1"/>
          <w:szCs w:val="24"/>
        </w:rPr>
        <w:t xml:space="preserve"> </w:t>
      </w:r>
      <w:r w:rsidRPr="0054253E" w:rsidR="0054253E">
        <w:rPr>
          <w:color w:val="000000" w:themeColor="text1"/>
          <w:szCs w:val="24"/>
        </w:rPr>
        <w:t>First- Line Supervisors of Construction Trades</w:t>
      </w:r>
      <w:r w:rsidRPr="00CB79A6">
        <w:rPr>
          <w:color w:val="000000" w:themeColor="text1"/>
          <w:szCs w:val="24"/>
        </w:rPr>
        <w:t xml:space="preserve">”.  This information </w:t>
      </w:r>
      <w:r w:rsidRPr="00B2507D">
        <w:rPr>
          <w:szCs w:val="24"/>
        </w:rPr>
        <w:t xml:space="preserve">is taken from the following website: </w:t>
      </w:r>
      <w:r w:rsidRPr="00636107">
        <w:t xml:space="preserve"> (</w:t>
      </w:r>
      <w:hyperlink w:history="1" r:id="rId9">
        <w:r w:rsidRPr="00B06FCD" w:rsidR="004A4A83">
          <w:rPr>
            <w:rStyle w:val="Hyperlink"/>
            <w:szCs w:val="24"/>
          </w:rPr>
          <w:t>http://www.bls.gov/oes/current/oes_nat.htm</w:t>
        </w:r>
      </w:hyperlink>
      <w:r w:rsidR="004A4A83">
        <w:rPr>
          <w:szCs w:val="24"/>
        </w:rPr>
        <w:t>, May 201</w:t>
      </w:r>
      <w:r w:rsidR="009604A6">
        <w:rPr>
          <w:szCs w:val="24"/>
        </w:rPr>
        <w:t>9</w:t>
      </w:r>
      <w:r w:rsidRPr="00B2507D">
        <w:rPr>
          <w:szCs w:val="24"/>
        </w:rPr>
        <w:t>).</w:t>
      </w:r>
    </w:p>
    <w:p w:rsidR="00B2507D" w:rsidP="00786FEA" w:rsidRDefault="00B2507D" w14:paraId="7C1AB608" w14:textId="77777777">
      <w:pPr>
        <w:tabs>
          <w:tab w:val="left" w:pos="480"/>
          <w:tab w:val="right" w:pos="8640"/>
        </w:tabs>
        <w:ind w:right="684"/>
        <w:jc w:val="both"/>
        <w:rPr>
          <w:szCs w:val="24"/>
        </w:rPr>
      </w:pPr>
    </w:p>
    <w:p w:rsidRPr="00B2507D" w:rsidR="00A23DF4" w:rsidP="00B473A0" w:rsidRDefault="00A23DF4" w14:paraId="6814E3FC" w14:textId="2A5E2D2E">
      <w:pPr>
        <w:tabs>
          <w:tab w:val="left" w:pos="480"/>
          <w:tab w:val="right" w:pos="8640"/>
        </w:tabs>
        <w:ind w:left="360" w:right="684"/>
        <w:rPr>
          <w:szCs w:val="24"/>
        </w:rPr>
      </w:pPr>
      <w:r w:rsidRPr="00636107">
        <w:t xml:space="preserve">Legally, respondents may not pay a person or business for assistance in completing </w:t>
      </w:r>
      <w:r w:rsidRPr="00CD2798">
        <w:t>the information collection. Therefore, there are no expected overhead costs for completing the information collection.  VBA estimates the total cost to all respondents to be $</w:t>
      </w:r>
      <w:r w:rsidR="0054253E">
        <w:t xml:space="preserve">326,943 </w:t>
      </w:r>
      <w:r w:rsidRPr="00CD2798">
        <w:t>(</w:t>
      </w:r>
      <w:r w:rsidR="005C7AC4">
        <w:rPr>
          <w:szCs w:val="24"/>
        </w:rPr>
        <w:t>9,</w:t>
      </w:r>
      <w:r w:rsidR="00853B01">
        <w:rPr>
          <w:szCs w:val="24"/>
        </w:rPr>
        <w:t>518</w:t>
      </w:r>
      <w:r w:rsidRPr="00637051">
        <w:t xml:space="preserve"> burden hours x </w:t>
      </w:r>
      <w:r w:rsidRPr="00637051" w:rsidR="00F2100A">
        <w:t>$</w:t>
      </w:r>
      <w:r w:rsidR="005C7AC4">
        <w:t>3</w:t>
      </w:r>
      <w:r w:rsidR="0054253E">
        <w:t>4</w:t>
      </w:r>
      <w:r w:rsidR="005C7AC4">
        <w:t>.</w:t>
      </w:r>
      <w:r w:rsidR="0054253E">
        <w:t>35</w:t>
      </w:r>
      <w:r w:rsidRPr="00637051" w:rsidR="00F2100A">
        <w:t xml:space="preserve"> </w:t>
      </w:r>
      <w:r w:rsidRPr="00CD2798">
        <w:t>per hour).</w:t>
      </w:r>
    </w:p>
    <w:p w:rsidR="002F68E9" w:rsidRDefault="002F68E9" w14:paraId="37CF392E" w14:textId="77777777">
      <w:pPr>
        <w:tabs>
          <w:tab w:val="left" w:pos="480"/>
          <w:tab w:val="right" w:pos="8640"/>
        </w:tabs>
        <w:ind w:right="684"/>
      </w:pPr>
    </w:p>
    <w:p w:rsidR="00A23DF4" w:rsidP="00786FEA" w:rsidRDefault="00A23DF4" w14:paraId="6F735EEB" w14:textId="58495D07">
      <w:pPr>
        <w:pStyle w:val="Heading2"/>
        <w:jc w:val="both"/>
      </w:pPr>
      <w:r w:rsidRPr="00636107">
        <w:t>13.</w:t>
      </w:r>
      <w:r w:rsidRPr="00636107">
        <w:tab/>
        <w:t>Provide an estimate of the total annual cost burden to respondents or record-keepers resulting from the collection of information.  (Do not include the cost of any hour burden shown in Items 12 and 14).</w:t>
      </w:r>
    </w:p>
    <w:p w:rsidR="00A23DF4" w:rsidP="00786FEA" w:rsidRDefault="00A23DF4" w14:paraId="53D0476C" w14:textId="77777777">
      <w:pPr>
        <w:tabs>
          <w:tab w:val="left" w:pos="480"/>
          <w:tab w:val="right" w:pos="8640"/>
        </w:tabs>
        <w:ind w:right="684"/>
        <w:jc w:val="both"/>
      </w:pPr>
      <w:r w:rsidRPr="00E87398">
        <w:t>This submission does not involve any recordkeeping costs.</w:t>
      </w:r>
    </w:p>
    <w:p w:rsidRPr="00A23DF4" w:rsidR="00A23DF4" w:rsidP="00786FEA" w:rsidRDefault="00A23DF4" w14:paraId="39D8F8DF" w14:textId="77777777">
      <w:pPr>
        <w:jc w:val="both"/>
      </w:pPr>
    </w:p>
    <w:p w:rsidRPr="00636107" w:rsidR="00A23DF4" w:rsidP="00786FEA" w:rsidRDefault="00A23DF4" w14:paraId="0F9ABC07" w14:textId="77777777">
      <w:pPr>
        <w:pStyle w:val="Heading2"/>
        <w:jc w:val="both"/>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8571D" w:rsidP="00637051" w:rsidRDefault="0018571D" w14:paraId="12B7397C" w14:textId="77777777">
      <w:pPr>
        <w:tabs>
          <w:tab w:val="left" w:pos="480"/>
          <w:tab w:val="right" w:pos="8640"/>
        </w:tabs>
        <w:ind w:right="684"/>
      </w:pPr>
    </w:p>
    <w:p w:rsidRPr="0018571D" w:rsidR="0018571D" w:rsidP="0054253E" w:rsidRDefault="0054253E" w14:paraId="23E3074F" w14:textId="237BC59C">
      <w:pPr>
        <w:tabs>
          <w:tab w:val="left" w:pos="480"/>
          <w:tab w:val="right" w:pos="8640"/>
        </w:tabs>
        <w:ind w:right="684"/>
      </w:pPr>
      <w:r>
        <w:t>The</w:t>
      </w:r>
      <w:r w:rsidRPr="0054253E">
        <w:t xml:space="preserve"> form is sent to the lender</w:t>
      </w:r>
      <w:r>
        <w:t>s</w:t>
      </w:r>
      <w:r w:rsidRPr="0054253E">
        <w:t xml:space="preserve"> for construction cases and VA audits those cases with high risk.  </w:t>
      </w:r>
      <w:r w:rsidR="00CB79A6">
        <w:t xml:space="preserve">VA </w:t>
      </w:r>
      <w:r>
        <w:t xml:space="preserve">reviews </w:t>
      </w:r>
      <w:r w:rsidR="00CB79A6">
        <w:t>100% of SAH cases.</w:t>
      </w:r>
    </w:p>
    <w:p w:rsidR="0018571D" w:rsidP="0018571D" w:rsidRDefault="0018571D" w14:paraId="338BF8CF" w14:textId="77777777">
      <w:pPr>
        <w:tabs>
          <w:tab w:val="left" w:pos="480"/>
          <w:tab w:val="right" w:pos="8640"/>
        </w:tabs>
        <w:ind w:right="684"/>
      </w:pPr>
    </w:p>
    <w:p w:rsidR="0018571D" w:rsidP="0018571D" w:rsidRDefault="0018571D" w14:paraId="298634DA" w14:textId="36F01A6F">
      <w:pPr>
        <w:tabs>
          <w:tab w:val="left" w:pos="480"/>
          <w:tab w:val="right" w:pos="8640"/>
        </w:tabs>
        <w:ind w:right="684"/>
      </w:pPr>
      <w:r w:rsidRPr="00786FEA">
        <w:t>Estimated Costs to the Federal Government</w:t>
      </w:r>
      <w:r>
        <w:t xml:space="preserve"> for the audited construction cases in FY 20:</w:t>
      </w:r>
    </w:p>
    <w:p w:rsidRPr="00637051" w:rsidR="00637051" w:rsidP="00637051" w:rsidRDefault="00637051" w14:paraId="3D4742C1" w14:textId="77777777">
      <w:pPr>
        <w:tabs>
          <w:tab w:val="left" w:pos="480"/>
          <w:tab w:val="right" w:pos="8640"/>
        </w:tabs>
        <w:ind w:right="684"/>
      </w:pPr>
    </w:p>
    <w:tbl>
      <w:tblPr>
        <w:tblpPr w:leftFromText="180" w:rightFromText="180" w:vertAnchor="text" w:horzAnchor="page" w:tblpX="493" w:tblpY="-129"/>
        <w:tblW w:w="10314" w:type="dxa"/>
        <w:tblLook w:val="04A0" w:firstRow="1" w:lastRow="0" w:firstColumn="1" w:lastColumn="0" w:noHBand="0" w:noVBand="1"/>
      </w:tblPr>
      <w:tblGrid>
        <w:gridCol w:w="2055"/>
        <w:gridCol w:w="656"/>
        <w:gridCol w:w="537"/>
        <w:gridCol w:w="913"/>
        <w:gridCol w:w="1166"/>
        <w:gridCol w:w="1460"/>
        <w:gridCol w:w="1597"/>
        <w:gridCol w:w="1930"/>
      </w:tblGrid>
      <w:tr w:rsidRPr="00A25B55" w:rsidR="0018571D" w:rsidTr="0018571D" w14:paraId="0C8489BB" w14:textId="77777777">
        <w:trPr>
          <w:trHeight w:val="492"/>
        </w:trPr>
        <w:tc>
          <w:tcPr>
            <w:tcW w:w="2090" w:type="dxa"/>
            <w:tcBorders>
              <w:top w:val="single" w:color="auto" w:sz="4" w:space="0"/>
              <w:left w:val="single" w:color="auto" w:sz="4" w:space="0"/>
              <w:bottom w:val="single" w:color="auto" w:sz="4" w:space="0"/>
              <w:right w:val="single" w:color="auto" w:sz="4" w:space="0"/>
            </w:tcBorders>
          </w:tcPr>
          <w:p w:rsidRPr="00A25B55" w:rsidR="0018571D" w:rsidP="0018571D" w:rsidRDefault="0018571D" w14:paraId="1593D99D" w14:textId="77777777">
            <w:pPr>
              <w:jc w:val="center"/>
              <w:rPr>
                <w:color w:val="000000"/>
                <w:sz w:val="18"/>
                <w:szCs w:val="18"/>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25B55" w:rsidR="0018571D" w:rsidP="0018571D" w:rsidRDefault="0018571D" w14:paraId="58CEFF8D" w14:textId="07279BE2">
            <w:pPr>
              <w:jc w:val="center"/>
              <w:rPr>
                <w:color w:val="000000"/>
                <w:sz w:val="18"/>
                <w:szCs w:val="18"/>
              </w:rPr>
            </w:pPr>
            <w:r w:rsidRPr="00A25B55">
              <w:rPr>
                <w:color w:val="000000"/>
                <w:sz w:val="18"/>
                <w:szCs w:val="18"/>
              </w:rPr>
              <w:t>Grade</w:t>
            </w:r>
          </w:p>
        </w:tc>
        <w:tc>
          <w:tcPr>
            <w:tcW w:w="537" w:type="dxa"/>
            <w:tcBorders>
              <w:top w:val="single" w:color="auto" w:sz="4" w:space="0"/>
              <w:left w:val="nil"/>
              <w:bottom w:val="single" w:color="auto" w:sz="4" w:space="0"/>
              <w:right w:val="single" w:color="auto" w:sz="4" w:space="0"/>
            </w:tcBorders>
            <w:shd w:val="clear" w:color="auto" w:fill="auto"/>
            <w:vAlign w:val="bottom"/>
            <w:hideMark/>
          </w:tcPr>
          <w:p w:rsidRPr="00A25B55" w:rsidR="0018571D" w:rsidP="0018571D" w:rsidRDefault="0018571D" w14:paraId="182EA6C2" w14:textId="77777777">
            <w:pPr>
              <w:jc w:val="center"/>
              <w:rPr>
                <w:color w:val="000000"/>
                <w:sz w:val="18"/>
                <w:szCs w:val="18"/>
              </w:rPr>
            </w:pPr>
            <w:r w:rsidRPr="00A25B55">
              <w:rPr>
                <w:color w:val="000000"/>
                <w:sz w:val="18"/>
                <w:szCs w:val="18"/>
              </w:rPr>
              <w:t>Step</w:t>
            </w:r>
          </w:p>
        </w:tc>
        <w:tc>
          <w:tcPr>
            <w:tcW w:w="746" w:type="dxa"/>
            <w:tcBorders>
              <w:top w:val="single" w:color="auto" w:sz="4" w:space="0"/>
              <w:left w:val="nil"/>
              <w:bottom w:val="single" w:color="auto" w:sz="4" w:space="0"/>
              <w:right w:val="single" w:color="auto" w:sz="4" w:space="0"/>
            </w:tcBorders>
            <w:shd w:val="clear" w:color="auto" w:fill="auto"/>
            <w:vAlign w:val="bottom"/>
            <w:hideMark/>
          </w:tcPr>
          <w:p w:rsidRPr="00A25B55" w:rsidR="0018571D" w:rsidP="0018571D" w:rsidRDefault="0018571D" w14:paraId="50C00E7B" w14:textId="77777777">
            <w:pPr>
              <w:jc w:val="center"/>
              <w:rPr>
                <w:color w:val="000000"/>
                <w:sz w:val="18"/>
                <w:szCs w:val="18"/>
              </w:rPr>
            </w:pPr>
            <w:r w:rsidRPr="00A25B55">
              <w:rPr>
                <w:color w:val="000000"/>
                <w:sz w:val="18"/>
                <w:szCs w:val="18"/>
              </w:rPr>
              <w:t>Burden Time</w:t>
            </w:r>
          </w:p>
        </w:tc>
        <w:tc>
          <w:tcPr>
            <w:tcW w:w="1183" w:type="dxa"/>
            <w:tcBorders>
              <w:top w:val="single" w:color="auto" w:sz="4" w:space="0"/>
              <w:left w:val="nil"/>
              <w:bottom w:val="single" w:color="auto" w:sz="4" w:space="0"/>
              <w:right w:val="single" w:color="auto" w:sz="4" w:space="0"/>
            </w:tcBorders>
            <w:shd w:val="clear" w:color="auto" w:fill="auto"/>
            <w:vAlign w:val="bottom"/>
            <w:hideMark/>
          </w:tcPr>
          <w:p w:rsidRPr="00A25B55" w:rsidR="0018571D" w:rsidP="0018571D" w:rsidRDefault="0018571D" w14:paraId="72F872C0" w14:textId="77777777">
            <w:pPr>
              <w:jc w:val="center"/>
              <w:rPr>
                <w:color w:val="000000"/>
                <w:sz w:val="18"/>
                <w:szCs w:val="18"/>
              </w:rPr>
            </w:pPr>
            <w:r w:rsidRPr="00A25B55">
              <w:rPr>
                <w:color w:val="000000"/>
                <w:sz w:val="18"/>
                <w:szCs w:val="18"/>
              </w:rPr>
              <w:t>Hourly Rate</w:t>
            </w:r>
          </w:p>
        </w:tc>
        <w:tc>
          <w:tcPr>
            <w:tcW w:w="1488" w:type="dxa"/>
            <w:tcBorders>
              <w:top w:val="single" w:color="auto" w:sz="4" w:space="0"/>
              <w:left w:val="nil"/>
              <w:bottom w:val="single" w:color="auto" w:sz="4" w:space="0"/>
              <w:right w:val="single" w:color="auto" w:sz="4" w:space="0"/>
            </w:tcBorders>
            <w:shd w:val="clear" w:color="auto" w:fill="auto"/>
            <w:vAlign w:val="bottom"/>
            <w:hideMark/>
          </w:tcPr>
          <w:p w:rsidRPr="00A25B55" w:rsidR="0018571D" w:rsidP="0018571D" w:rsidRDefault="0018571D" w14:paraId="4057296F" w14:textId="77777777">
            <w:pPr>
              <w:jc w:val="center"/>
              <w:rPr>
                <w:color w:val="000000"/>
                <w:sz w:val="18"/>
                <w:szCs w:val="18"/>
              </w:rPr>
            </w:pPr>
            <w:r w:rsidRPr="00A25B55">
              <w:rPr>
                <w:color w:val="000000"/>
                <w:sz w:val="18"/>
                <w:szCs w:val="18"/>
              </w:rPr>
              <w:t xml:space="preserve"> Cost Per Response </w:t>
            </w:r>
          </w:p>
        </w:tc>
        <w:tc>
          <w:tcPr>
            <w:tcW w:w="1628" w:type="dxa"/>
            <w:tcBorders>
              <w:top w:val="single" w:color="auto" w:sz="4" w:space="0"/>
              <w:left w:val="nil"/>
              <w:bottom w:val="single" w:color="auto" w:sz="4" w:space="0"/>
              <w:right w:val="single" w:color="auto" w:sz="4" w:space="0"/>
            </w:tcBorders>
            <w:shd w:val="clear" w:color="auto" w:fill="auto"/>
            <w:vAlign w:val="bottom"/>
            <w:hideMark/>
          </w:tcPr>
          <w:p w:rsidRPr="00A25B55" w:rsidR="0018571D" w:rsidP="0018571D" w:rsidRDefault="0018571D" w14:paraId="6ADD6090" w14:textId="77777777">
            <w:pPr>
              <w:jc w:val="center"/>
              <w:rPr>
                <w:color w:val="000000"/>
                <w:sz w:val="18"/>
                <w:szCs w:val="18"/>
              </w:rPr>
            </w:pPr>
            <w:r w:rsidRPr="00A25B55">
              <w:rPr>
                <w:color w:val="000000"/>
                <w:sz w:val="18"/>
                <w:szCs w:val="18"/>
              </w:rPr>
              <w:t>Total Responses</w:t>
            </w:r>
          </w:p>
        </w:tc>
        <w:tc>
          <w:tcPr>
            <w:tcW w:w="1986" w:type="dxa"/>
            <w:tcBorders>
              <w:top w:val="single" w:color="auto" w:sz="4" w:space="0"/>
              <w:left w:val="nil"/>
              <w:bottom w:val="single" w:color="auto" w:sz="4" w:space="0"/>
              <w:right w:val="single" w:color="auto" w:sz="4" w:space="0"/>
            </w:tcBorders>
            <w:shd w:val="clear" w:color="auto" w:fill="auto"/>
            <w:vAlign w:val="bottom"/>
            <w:hideMark/>
          </w:tcPr>
          <w:p w:rsidRPr="00A25B55" w:rsidR="0018571D" w:rsidP="0018571D" w:rsidRDefault="0018571D" w14:paraId="49CE5AF7" w14:textId="77777777">
            <w:pPr>
              <w:jc w:val="center"/>
              <w:rPr>
                <w:color w:val="000000"/>
                <w:sz w:val="18"/>
                <w:szCs w:val="18"/>
              </w:rPr>
            </w:pPr>
            <w:r w:rsidRPr="00A25B55">
              <w:rPr>
                <w:color w:val="000000"/>
                <w:sz w:val="18"/>
                <w:szCs w:val="18"/>
              </w:rPr>
              <w:t>Total</w:t>
            </w:r>
          </w:p>
        </w:tc>
      </w:tr>
      <w:tr w:rsidRPr="00A25B55" w:rsidR="0018571D" w:rsidTr="0018571D" w14:paraId="52003B03" w14:textId="77777777">
        <w:trPr>
          <w:trHeight w:val="288"/>
        </w:trPr>
        <w:tc>
          <w:tcPr>
            <w:tcW w:w="2090" w:type="dxa"/>
            <w:tcBorders>
              <w:top w:val="nil"/>
              <w:left w:val="single" w:color="auto" w:sz="4" w:space="0"/>
              <w:bottom w:val="single" w:color="auto" w:sz="4" w:space="0"/>
              <w:right w:val="single" w:color="auto" w:sz="4" w:space="0"/>
            </w:tcBorders>
          </w:tcPr>
          <w:p w:rsidR="0018571D" w:rsidP="0018571D" w:rsidRDefault="0018571D" w14:paraId="5694AD3F" w14:textId="086F2FB3">
            <w:pPr>
              <w:rPr>
                <w:color w:val="000000"/>
                <w:sz w:val="22"/>
                <w:szCs w:val="22"/>
              </w:rPr>
            </w:pPr>
            <w:r>
              <w:rPr>
                <w:color w:val="000000"/>
                <w:sz w:val="22"/>
                <w:szCs w:val="22"/>
              </w:rPr>
              <w:t>Construction Cases</w:t>
            </w:r>
          </w:p>
        </w:tc>
        <w:tc>
          <w:tcPr>
            <w:tcW w:w="656" w:type="dxa"/>
            <w:tcBorders>
              <w:top w:val="nil"/>
              <w:left w:val="single" w:color="auto" w:sz="4" w:space="0"/>
              <w:bottom w:val="single" w:color="auto" w:sz="4" w:space="0"/>
              <w:right w:val="single" w:color="auto" w:sz="4" w:space="0"/>
            </w:tcBorders>
            <w:shd w:val="clear" w:color="auto" w:fill="auto"/>
            <w:vAlign w:val="bottom"/>
            <w:hideMark/>
          </w:tcPr>
          <w:p w:rsidRPr="00A25B55" w:rsidR="0018571D" w:rsidP="0018571D" w:rsidRDefault="0018571D" w14:paraId="53A46FCC" w14:textId="64100B77">
            <w:pPr>
              <w:jc w:val="center"/>
              <w:rPr>
                <w:color w:val="000000"/>
                <w:sz w:val="22"/>
                <w:szCs w:val="22"/>
              </w:rPr>
            </w:pPr>
            <w:r>
              <w:rPr>
                <w:color w:val="000000"/>
                <w:sz w:val="22"/>
                <w:szCs w:val="22"/>
              </w:rPr>
              <w:t>12</w:t>
            </w:r>
          </w:p>
        </w:tc>
        <w:tc>
          <w:tcPr>
            <w:tcW w:w="537"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6661CD08" w14:textId="39D29419">
            <w:pPr>
              <w:jc w:val="center"/>
              <w:rPr>
                <w:color w:val="000000"/>
                <w:sz w:val="22"/>
                <w:szCs w:val="22"/>
              </w:rPr>
            </w:pPr>
            <w:r>
              <w:rPr>
                <w:color w:val="000000"/>
                <w:sz w:val="22"/>
                <w:szCs w:val="22"/>
              </w:rPr>
              <w:t>1</w:t>
            </w:r>
          </w:p>
        </w:tc>
        <w:tc>
          <w:tcPr>
            <w:tcW w:w="746"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5103A9A3" w14:textId="233ADF60">
            <w:pPr>
              <w:jc w:val="center"/>
              <w:rPr>
                <w:color w:val="000000"/>
                <w:sz w:val="22"/>
                <w:szCs w:val="22"/>
              </w:rPr>
            </w:pPr>
            <w:r>
              <w:rPr>
                <w:color w:val="000000"/>
                <w:sz w:val="22"/>
                <w:szCs w:val="22"/>
              </w:rPr>
              <w:t>10</w:t>
            </w:r>
            <w:r w:rsidR="00CB79A6">
              <w:rPr>
                <w:color w:val="000000"/>
                <w:sz w:val="22"/>
                <w:szCs w:val="22"/>
              </w:rPr>
              <w:t xml:space="preserve"> minutes</w:t>
            </w:r>
          </w:p>
        </w:tc>
        <w:tc>
          <w:tcPr>
            <w:tcW w:w="1183"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148FA41D" w14:textId="74C91274">
            <w:pPr>
              <w:jc w:val="center"/>
              <w:rPr>
                <w:color w:val="000000"/>
                <w:sz w:val="22"/>
                <w:szCs w:val="22"/>
              </w:rPr>
            </w:pPr>
            <w:r>
              <w:rPr>
                <w:color w:val="000000"/>
                <w:sz w:val="22"/>
                <w:szCs w:val="22"/>
              </w:rPr>
              <w:t xml:space="preserve"> $36.76</w:t>
            </w:r>
          </w:p>
        </w:tc>
        <w:tc>
          <w:tcPr>
            <w:tcW w:w="1488"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6597B477" w14:textId="263E4308">
            <w:pPr>
              <w:jc w:val="center"/>
              <w:rPr>
                <w:color w:val="000000"/>
                <w:sz w:val="22"/>
                <w:szCs w:val="22"/>
              </w:rPr>
            </w:pPr>
            <w:r w:rsidRPr="00A25B55">
              <w:rPr>
                <w:color w:val="000000"/>
                <w:sz w:val="22"/>
                <w:szCs w:val="22"/>
              </w:rPr>
              <w:t xml:space="preserve"> </w:t>
            </w:r>
            <w:r>
              <w:rPr>
                <w:color w:val="000000"/>
                <w:sz w:val="22"/>
                <w:szCs w:val="22"/>
              </w:rPr>
              <w:t>$6.13</w:t>
            </w:r>
          </w:p>
        </w:tc>
        <w:tc>
          <w:tcPr>
            <w:tcW w:w="1628"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07F32176" w14:textId="45D97B10">
            <w:pPr>
              <w:jc w:val="center"/>
              <w:rPr>
                <w:color w:val="000000"/>
                <w:sz w:val="22"/>
                <w:szCs w:val="22"/>
              </w:rPr>
            </w:pPr>
            <w:r>
              <w:rPr>
                <w:color w:val="000000"/>
                <w:sz w:val="22"/>
                <w:szCs w:val="22"/>
              </w:rPr>
              <w:t xml:space="preserve">2,400 </w:t>
            </w:r>
            <w:r w:rsidR="00CB79A6">
              <w:rPr>
                <w:color w:val="000000"/>
                <w:sz w:val="22"/>
                <w:szCs w:val="22"/>
              </w:rPr>
              <w:t>(audited cases)</w:t>
            </w:r>
          </w:p>
        </w:tc>
        <w:tc>
          <w:tcPr>
            <w:tcW w:w="1986"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15575262" w14:textId="1168C649">
            <w:pPr>
              <w:jc w:val="center"/>
              <w:rPr>
                <w:color w:val="000000"/>
                <w:sz w:val="22"/>
                <w:szCs w:val="22"/>
              </w:rPr>
            </w:pPr>
            <w:r w:rsidRPr="00A25B55">
              <w:rPr>
                <w:color w:val="000000"/>
                <w:sz w:val="22"/>
                <w:szCs w:val="22"/>
              </w:rPr>
              <w:t xml:space="preserve"> $   </w:t>
            </w:r>
            <w:r>
              <w:rPr>
                <w:color w:val="000000"/>
                <w:sz w:val="22"/>
                <w:szCs w:val="22"/>
              </w:rPr>
              <w:t>14,712</w:t>
            </w:r>
          </w:p>
        </w:tc>
      </w:tr>
      <w:tr w:rsidRPr="00A25B55" w:rsidR="0018571D" w:rsidTr="0018571D" w14:paraId="39FAD31F" w14:textId="77777777">
        <w:trPr>
          <w:trHeight w:val="288"/>
        </w:trPr>
        <w:tc>
          <w:tcPr>
            <w:tcW w:w="2090" w:type="dxa"/>
            <w:tcBorders>
              <w:top w:val="nil"/>
              <w:left w:val="single" w:color="auto" w:sz="4" w:space="0"/>
              <w:bottom w:val="single" w:color="auto" w:sz="4" w:space="0"/>
              <w:right w:val="single" w:color="auto" w:sz="4" w:space="0"/>
            </w:tcBorders>
          </w:tcPr>
          <w:p w:rsidR="0018571D" w:rsidP="0018571D" w:rsidRDefault="0018571D" w14:paraId="117BF636" w14:textId="419F8361">
            <w:pPr>
              <w:rPr>
                <w:color w:val="000000"/>
                <w:sz w:val="22"/>
                <w:szCs w:val="22"/>
              </w:rPr>
            </w:pPr>
            <w:r>
              <w:rPr>
                <w:color w:val="000000"/>
                <w:sz w:val="22"/>
                <w:szCs w:val="22"/>
              </w:rPr>
              <w:t>SAH Cases</w:t>
            </w:r>
          </w:p>
        </w:tc>
        <w:tc>
          <w:tcPr>
            <w:tcW w:w="656" w:type="dxa"/>
            <w:tcBorders>
              <w:top w:val="nil"/>
              <w:left w:val="single" w:color="auto" w:sz="4" w:space="0"/>
              <w:bottom w:val="single" w:color="auto" w:sz="4" w:space="0"/>
              <w:right w:val="single" w:color="auto" w:sz="4" w:space="0"/>
            </w:tcBorders>
            <w:shd w:val="clear" w:color="auto" w:fill="auto"/>
            <w:vAlign w:val="bottom"/>
          </w:tcPr>
          <w:p w:rsidR="0018571D" w:rsidP="0018571D" w:rsidRDefault="0018571D" w14:paraId="2BA6A939" w14:textId="20C71BA3">
            <w:pPr>
              <w:jc w:val="center"/>
              <w:rPr>
                <w:color w:val="000000"/>
                <w:sz w:val="22"/>
                <w:szCs w:val="22"/>
              </w:rPr>
            </w:pPr>
            <w:r>
              <w:rPr>
                <w:color w:val="000000"/>
                <w:sz w:val="22"/>
                <w:szCs w:val="22"/>
              </w:rPr>
              <w:t>12</w:t>
            </w:r>
          </w:p>
        </w:tc>
        <w:tc>
          <w:tcPr>
            <w:tcW w:w="537" w:type="dxa"/>
            <w:tcBorders>
              <w:top w:val="nil"/>
              <w:left w:val="nil"/>
              <w:bottom w:val="single" w:color="auto" w:sz="4" w:space="0"/>
              <w:right w:val="single" w:color="auto" w:sz="4" w:space="0"/>
            </w:tcBorders>
            <w:shd w:val="clear" w:color="auto" w:fill="auto"/>
            <w:vAlign w:val="bottom"/>
          </w:tcPr>
          <w:p w:rsidR="0018571D" w:rsidP="0018571D" w:rsidRDefault="0018571D" w14:paraId="33B6AA74" w14:textId="2C007863">
            <w:pPr>
              <w:jc w:val="center"/>
              <w:rPr>
                <w:color w:val="000000"/>
                <w:sz w:val="22"/>
                <w:szCs w:val="22"/>
              </w:rPr>
            </w:pPr>
            <w:r>
              <w:rPr>
                <w:color w:val="000000"/>
                <w:sz w:val="22"/>
                <w:szCs w:val="22"/>
              </w:rPr>
              <w:t>1</w:t>
            </w:r>
          </w:p>
        </w:tc>
        <w:tc>
          <w:tcPr>
            <w:tcW w:w="746" w:type="dxa"/>
            <w:tcBorders>
              <w:top w:val="nil"/>
              <w:left w:val="nil"/>
              <w:bottom w:val="single" w:color="auto" w:sz="4" w:space="0"/>
              <w:right w:val="single" w:color="auto" w:sz="4" w:space="0"/>
            </w:tcBorders>
            <w:shd w:val="clear" w:color="auto" w:fill="auto"/>
            <w:vAlign w:val="bottom"/>
          </w:tcPr>
          <w:p w:rsidR="0018571D" w:rsidP="0018571D" w:rsidRDefault="0018571D" w14:paraId="01B5E735" w14:textId="4624A937">
            <w:pPr>
              <w:jc w:val="center"/>
              <w:rPr>
                <w:color w:val="000000"/>
                <w:sz w:val="22"/>
                <w:szCs w:val="22"/>
              </w:rPr>
            </w:pPr>
            <w:r>
              <w:rPr>
                <w:color w:val="000000"/>
                <w:sz w:val="22"/>
                <w:szCs w:val="22"/>
              </w:rPr>
              <w:t>10</w:t>
            </w:r>
            <w:r w:rsidR="00CB79A6">
              <w:rPr>
                <w:color w:val="000000"/>
                <w:sz w:val="22"/>
                <w:szCs w:val="22"/>
              </w:rPr>
              <w:t xml:space="preserve"> minutes</w:t>
            </w:r>
          </w:p>
        </w:tc>
        <w:tc>
          <w:tcPr>
            <w:tcW w:w="1183" w:type="dxa"/>
            <w:tcBorders>
              <w:top w:val="nil"/>
              <w:left w:val="nil"/>
              <w:bottom w:val="single" w:color="auto" w:sz="4" w:space="0"/>
              <w:right w:val="single" w:color="auto" w:sz="4" w:space="0"/>
            </w:tcBorders>
            <w:shd w:val="clear" w:color="auto" w:fill="auto"/>
            <w:vAlign w:val="bottom"/>
          </w:tcPr>
          <w:p w:rsidR="0018571D" w:rsidP="0018571D" w:rsidRDefault="0018571D" w14:paraId="3A737F2C" w14:textId="5F20B02B">
            <w:pPr>
              <w:jc w:val="center"/>
              <w:rPr>
                <w:color w:val="000000"/>
                <w:sz w:val="22"/>
                <w:szCs w:val="22"/>
              </w:rPr>
            </w:pPr>
            <w:r>
              <w:rPr>
                <w:color w:val="000000"/>
                <w:sz w:val="22"/>
                <w:szCs w:val="22"/>
              </w:rPr>
              <w:t>$36.76</w:t>
            </w:r>
          </w:p>
        </w:tc>
        <w:tc>
          <w:tcPr>
            <w:tcW w:w="1488" w:type="dxa"/>
            <w:tcBorders>
              <w:top w:val="nil"/>
              <w:left w:val="nil"/>
              <w:bottom w:val="single" w:color="auto" w:sz="4" w:space="0"/>
              <w:right w:val="single" w:color="auto" w:sz="4" w:space="0"/>
            </w:tcBorders>
            <w:shd w:val="clear" w:color="auto" w:fill="auto"/>
            <w:vAlign w:val="bottom"/>
          </w:tcPr>
          <w:p w:rsidRPr="00A25B55" w:rsidR="0018571D" w:rsidP="0018571D" w:rsidRDefault="0018571D" w14:paraId="7BE2872F" w14:textId="4A988AE2">
            <w:pPr>
              <w:jc w:val="center"/>
              <w:rPr>
                <w:color w:val="000000"/>
                <w:sz w:val="22"/>
                <w:szCs w:val="22"/>
              </w:rPr>
            </w:pPr>
            <w:r>
              <w:rPr>
                <w:color w:val="000000"/>
                <w:sz w:val="22"/>
                <w:szCs w:val="22"/>
              </w:rPr>
              <w:t>$6.13</w:t>
            </w:r>
          </w:p>
        </w:tc>
        <w:tc>
          <w:tcPr>
            <w:tcW w:w="1628" w:type="dxa"/>
            <w:tcBorders>
              <w:top w:val="nil"/>
              <w:left w:val="nil"/>
              <w:bottom w:val="single" w:color="auto" w:sz="4" w:space="0"/>
              <w:right w:val="single" w:color="auto" w:sz="4" w:space="0"/>
            </w:tcBorders>
            <w:shd w:val="clear" w:color="auto" w:fill="auto"/>
            <w:vAlign w:val="bottom"/>
          </w:tcPr>
          <w:p w:rsidR="0018571D" w:rsidP="0018571D" w:rsidRDefault="00E22134" w14:paraId="3C6922DD" w14:textId="3CE23B90">
            <w:pPr>
              <w:jc w:val="center"/>
              <w:rPr>
                <w:color w:val="000000"/>
                <w:sz w:val="22"/>
                <w:szCs w:val="22"/>
              </w:rPr>
            </w:pPr>
            <w:r>
              <w:rPr>
                <w:color w:val="000000"/>
                <w:sz w:val="22"/>
                <w:szCs w:val="22"/>
              </w:rPr>
              <w:t>2,086</w:t>
            </w:r>
          </w:p>
        </w:tc>
        <w:tc>
          <w:tcPr>
            <w:tcW w:w="1986" w:type="dxa"/>
            <w:tcBorders>
              <w:top w:val="nil"/>
              <w:left w:val="nil"/>
              <w:bottom w:val="single" w:color="auto" w:sz="4" w:space="0"/>
              <w:right w:val="single" w:color="auto" w:sz="4" w:space="0"/>
            </w:tcBorders>
            <w:shd w:val="clear" w:color="auto" w:fill="auto"/>
            <w:vAlign w:val="bottom"/>
          </w:tcPr>
          <w:p w:rsidRPr="00A25B55" w:rsidR="0018571D" w:rsidP="0018571D" w:rsidRDefault="00E22134" w14:paraId="286B5DD1" w14:textId="318FDEBB">
            <w:pPr>
              <w:jc w:val="center"/>
              <w:rPr>
                <w:color w:val="000000"/>
                <w:sz w:val="22"/>
                <w:szCs w:val="22"/>
              </w:rPr>
            </w:pPr>
            <w:r>
              <w:rPr>
                <w:color w:val="000000"/>
                <w:sz w:val="22"/>
                <w:szCs w:val="22"/>
              </w:rPr>
              <w:t>$     12,787</w:t>
            </w:r>
          </w:p>
        </w:tc>
      </w:tr>
      <w:tr w:rsidRPr="00A25B55" w:rsidR="0018571D" w:rsidTr="00DD0CE4" w14:paraId="105402C9" w14:textId="77777777">
        <w:trPr>
          <w:trHeight w:val="288"/>
        </w:trPr>
        <w:tc>
          <w:tcPr>
            <w:tcW w:w="8328" w:type="dxa"/>
            <w:gridSpan w:val="7"/>
            <w:tcBorders>
              <w:top w:val="single" w:color="auto" w:sz="4" w:space="0"/>
              <w:left w:val="single" w:color="auto" w:sz="4" w:space="0"/>
              <w:bottom w:val="single" w:color="auto" w:sz="4" w:space="0"/>
              <w:right w:val="single" w:color="auto" w:sz="4" w:space="0"/>
            </w:tcBorders>
          </w:tcPr>
          <w:p w:rsidRPr="00A25B55" w:rsidR="0018571D" w:rsidP="0018571D" w:rsidRDefault="0018571D" w14:paraId="6DE4D1E1" w14:textId="5BA13FB8">
            <w:pPr>
              <w:rPr>
                <w:color w:val="000000"/>
                <w:sz w:val="22"/>
                <w:szCs w:val="22"/>
              </w:rPr>
            </w:pPr>
            <w:r w:rsidRPr="00A25B55">
              <w:rPr>
                <w:color w:val="000000"/>
                <w:sz w:val="22"/>
                <w:szCs w:val="22"/>
              </w:rPr>
              <w:t>Overhead at 100% Salary</w:t>
            </w:r>
          </w:p>
        </w:tc>
        <w:tc>
          <w:tcPr>
            <w:tcW w:w="1986"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7E54A53D" w14:textId="475CA9CA">
            <w:pPr>
              <w:jc w:val="center"/>
              <w:rPr>
                <w:color w:val="000000"/>
                <w:sz w:val="22"/>
                <w:szCs w:val="22"/>
              </w:rPr>
            </w:pPr>
            <w:r w:rsidRPr="00A25B55">
              <w:rPr>
                <w:color w:val="000000"/>
                <w:sz w:val="22"/>
                <w:szCs w:val="22"/>
              </w:rPr>
              <w:t xml:space="preserve"> </w:t>
            </w:r>
            <w:r w:rsidRPr="00A23AC2">
              <w:rPr>
                <w:color w:val="000000"/>
                <w:sz w:val="22"/>
                <w:szCs w:val="22"/>
              </w:rPr>
              <w:t xml:space="preserve">$   </w:t>
            </w:r>
            <w:r w:rsidR="00E22134">
              <w:rPr>
                <w:color w:val="000000"/>
                <w:sz w:val="22"/>
                <w:szCs w:val="22"/>
              </w:rPr>
              <w:t>27,499</w:t>
            </w:r>
          </w:p>
        </w:tc>
      </w:tr>
      <w:tr w:rsidRPr="00A25B55" w:rsidR="0018571D" w:rsidTr="005C562B" w14:paraId="4DDB66CE" w14:textId="77777777">
        <w:trPr>
          <w:trHeight w:val="587"/>
        </w:trPr>
        <w:tc>
          <w:tcPr>
            <w:tcW w:w="8328" w:type="dxa"/>
            <w:gridSpan w:val="7"/>
            <w:tcBorders>
              <w:top w:val="single" w:color="auto" w:sz="4" w:space="0"/>
              <w:left w:val="single" w:color="auto" w:sz="4" w:space="0"/>
              <w:bottom w:val="single" w:color="auto" w:sz="4" w:space="0"/>
              <w:right w:val="single" w:color="auto" w:sz="4" w:space="0"/>
            </w:tcBorders>
          </w:tcPr>
          <w:p w:rsidRPr="00A25B55" w:rsidR="0018571D" w:rsidP="0018571D" w:rsidRDefault="0018571D" w14:paraId="557ADB21" w14:textId="7AAD73B2">
            <w:pPr>
              <w:tabs>
                <w:tab w:val="left" w:pos="480"/>
                <w:tab w:val="right" w:pos="4680"/>
                <w:tab w:val="right" w:pos="8640"/>
              </w:tabs>
              <w:ind w:right="35"/>
              <w:jc w:val="center"/>
              <w:rPr>
                <w:b/>
                <w:sz w:val="20"/>
              </w:rPr>
            </w:pPr>
            <w:r w:rsidRPr="00412ECD">
              <w:rPr>
                <w:b/>
                <w:sz w:val="20"/>
              </w:rPr>
              <w:t xml:space="preserve">Overhead costs are 100% of salary and are </w:t>
            </w:r>
            <w:r>
              <w:rPr>
                <w:b/>
                <w:sz w:val="20"/>
              </w:rPr>
              <w:t xml:space="preserve">the </w:t>
            </w:r>
            <w:r w:rsidRPr="00412ECD">
              <w:rPr>
                <w:b/>
                <w:sz w:val="20"/>
              </w:rPr>
              <w:t>same as the wage listed above and the amounts are included in the total.</w:t>
            </w:r>
          </w:p>
        </w:tc>
        <w:tc>
          <w:tcPr>
            <w:tcW w:w="1986"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65356E75" w14:textId="77777777">
            <w:pPr>
              <w:jc w:val="center"/>
              <w:rPr>
                <w:color w:val="000000"/>
                <w:sz w:val="22"/>
                <w:szCs w:val="22"/>
              </w:rPr>
            </w:pPr>
            <w:r w:rsidRPr="00A25B55">
              <w:rPr>
                <w:color w:val="000000"/>
                <w:sz w:val="22"/>
                <w:szCs w:val="22"/>
              </w:rPr>
              <w:t> </w:t>
            </w:r>
          </w:p>
        </w:tc>
      </w:tr>
      <w:tr w:rsidRPr="00A25B55" w:rsidR="0018571D" w:rsidTr="005E714F" w14:paraId="258B2C74" w14:textId="77777777">
        <w:trPr>
          <w:trHeight w:val="288"/>
        </w:trPr>
        <w:tc>
          <w:tcPr>
            <w:tcW w:w="8328" w:type="dxa"/>
            <w:gridSpan w:val="7"/>
            <w:tcBorders>
              <w:top w:val="single" w:color="auto" w:sz="4" w:space="0"/>
              <w:left w:val="single" w:color="auto" w:sz="4" w:space="0"/>
              <w:bottom w:val="single" w:color="auto" w:sz="4" w:space="0"/>
              <w:right w:val="single" w:color="auto" w:sz="4" w:space="0"/>
            </w:tcBorders>
          </w:tcPr>
          <w:p w:rsidRPr="00A25B55" w:rsidR="0018571D" w:rsidP="0018571D" w:rsidRDefault="0018571D" w14:paraId="7503C0AE" w14:textId="072D94E2">
            <w:pPr>
              <w:rPr>
                <w:color w:val="000000"/>
                <w:sz w:val="22"/>
                <w:szCs w:val="22"/>
              </w:rPr>
            </w:pPr>
            <w:r w:rsidRPr="00A25B55">
              <w:rPr>
                <w:color w:val="000000"/>
                <w:sz w:val="22"/>
                <w:szCs w:val="22"/>
              </w:rPr>
              <w:t>Processing / Analyzing Costs</w:t>
            </w:r>
          </w:p>
        </w:tc>
        <w:tc>
          <w:tcPr>
            <w:tcW w:w="1986"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2C03B6DE" w14:textId="0982B357">
            <w:pPr>
              <w:jc w:val="center"/>
              <w:rPr>
                <w:color w:val="000000"/>
                <w:sz w:val="22"/>
                <w:szCs w:val="22"/>
              </w:rPr>
            </w:pPr>
            <w:r w:rsidRPr="00A25B55">
              <w:rPr>
                <w:color w:val="000000"/>
                <w:sz w:val="22"/>
                <w:szCs w:val="22"/>
              </w:rPr>
              <w:t xml:space="preserve"> $</w:t>
            </w:r>
            <w:r>
              <w:rPr>
                <w:color w:val="000000"/>
                <w:sz w:val="22"/>
                <w:szCs w:val="22"/>
              </w:rPr>
              <w:t>0</w:t>
            </w:r>
            <w:r w:rsidRPr="00A25B55">
              <w:rPr>
                <w:color w:val="000000"/>
                <w:sz w:val="22"/>
                <w:szCs w:val="22"/>
              </w:rPr>
              <w:t xml:space="preserve"> </w:t>
            </w:r>
          </w:p>
        </w:tc>
      </w:tr>
      <w:tr w:rsidRPr="00A25B55" w:rsidR="0018571D" w:rsidTr="008D5A8D" w14:paraId="4E6306A6" w14:textId="77777777">
        <w:trPr>
          <w:trHeight w:val="288"/>
        </w:trPr>
        <w:tc>
          <w:tcPr>
            <w:tcW w:w="8328" w:type="dxa"/>
            <w:gridSpan w:val="7"/>
            <w:tcBorders>
              <w:top w:val="single" w:color="auto" w:sz="4" w:space="0"/>
              <w:left w:val="single" w:color="auto" w:sz="4" w:space="0"/>
              <w:bottom w:val="single" w:color="auto" w:sz="4" w:space="0"/>
              <w:right w:val="single" w:color="auto" w:sz="4" w:space="0"/>
            </w:tcBorders>
          </w:tcPr>
          <w:p w:rsidRPr="00A25B55" w:rsidR="0018571D" w:rsidP="0018571D" w:rsidRDefault="0018571D" w14:paraId="673534C1" w14:textId="1875EDE4">
            <w:pPr>
              <w:rPr>
                <w:color w:val="000000"/>
                <w:sz w:val="22"/>
                <w:szCs w:val="22"/>
              </w:rPr>
            </w:pPr>
            <w:r w:rsidRPr="00A25B55">
              <w:rPr>
                <w:color w:val="000000"/>
                <w:sz w:val="22"/>
                <w:szCs w:val="22"/>
              </w:rPr>
              <w:t>Printing and Production Cost</w:t>
            </w:r>
          </w:p>
        </w:tc>
        <w:tc>
          <w:tcPr>
            <w:tcW w:w="1986"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7F35CF6A" w14:textId="60AEAEA0">
            <w:pPr>
              <w:jc w:val="center"/>
              <w:rPr>
                <w:color w:val="000000"/>
                <w:sz w:val="22"/>
                <w:szCs w:val="22"/>
              </w:rPr>
            </w:pPr>
            <w:r>
              <w:rPr>
                <w:color w:val="000000"/>
                <w:sz w:val="22"/>
                <w:szCs w:val="22"/>
              </w:rPr>
              <w:t xml:space="preserve"> $0</w:t>
            </w:r>
            <w:r w:rsidRPr="00A25B55">
              <w:rPr>
                <w:color w:val="000000"/>
                <w:sz w:val="22"/>
                <w:szCs w:val="22"/>
              </w:rPr>
              <w:t xml:space="preserve"> </w:t>
            </w:r>
          </w:p>
        </w:tc>
      </w:tr>
      <w:tr w:rsidRPr="00A25B55" w:rsidR="0018571D" w:rsidTr="0031212E" w14:paraId="1D29DF67" w14:textId="77777777">
        <w:trPr>
          <w:trHeight w:val="288"/>
        </w:trPr>
        <w:tc>
          <w:tcPr>
            <w:tcW w:w="8328" w:type="dxa"/>
            <w:gridSpan w:val="7"/>
            <w:tcBorders>
              <w:top w:val="single" w:color="auto" w:sz="4" w:space="0"/>
              <w:left w:val="single" w:color="auto" w:sz="4" w:space="0"/>
              <w:bottom w:val="single" w:color="auto" w:sz="4" w:space="0"/>
              <w:right w:val="single" w:color="auto" w:sz="4" w:space="0"/>
            </w:tcBorders>
          </w:tcPr>
          <w:p w:rsidRPr="00A25B55" w:rsidR="0018571D" w:rsidP="0018571D" w:rsidRDefault="0018571D" w14:paraId="4802F2C9" w14:textId="0894B226">
            <w:pPr>
              <w:rPr>
                <w:color w:val="000000"/>
                <w:sz w:val="22"/>
                <w:szCs w:val="22"/>
              </w:rPr>
            </w:pPr>
            <w:r w:rsidRPr="00A25B55">
              <w:rPr>
                <w:color w:val="000000"/>
                <w:sz w:val="22"/>
                <w:szCs w:val="22"/>
              </w:rPr>
              <w:t>Total Cost to Government</w:t>
            </w:r>
          </w:p>
        </w:tc>
        <w:tc>
          <w:tcPr>
            <w:tcW w:w="1986" w:type="dxa"/>
            <w:tcBorders>
              <w:top w:val="nil"/>
              <w:left w:val="nil"/>
              <w:bottom w:val="single" w:color="auto" w:sz="4" w:space="0"/>
              <w:right w:val="single" w:color="auto" w:sz="4" w:space="0"/>
            </w:tcBorders>
            <w:shd w:val="clear" w:color="auto" w:fill="auto"/>
            <w:vAlign w:val="bottom"/>
            <w:hideMark/>
          </w:tcPr>
          <w:p w:rsidRPr="00A25B55" w:rsidR="0018571D" w:rsidP="0018571D" w:rsidRDefault="0018571D" w14:paraId="3428D2C0" w14:textId="172BA4E0">
            <w:pPr>
              <w:jc w:val="center"/>
              <w:rPr>
                <w:color w:val="000000"/>
                <w:sz w:val="22"/>
                <w:szCs w:val="22"/>
              </w:rPr>
            </w:pPr>
            <w:r w:rsidRPr="00A25B55">
              <w:rPr>
                <w:color w:val="000000"/>
                <w:sz w:val="22"/>
                <w:szCs w:val="22"/>
              </w:rPr>
              <w:t xml:space="preserve"> </w:t>
            </w:r>
            <w:r w:rsidRPr="00A23AC2">
              <w:rPr>
                <w:color w:val="000000"/>
                <w:sz w:val="22"/>
                <w:szCs w:val="22"/>
              </w:rPr>
              <w:t xml:space="preserve">$   </w:t>
            </w:r>
            <w:r w:rsidR="00E22134">
              <w:rPr>
                <w:color w:val="000000"/>
                <w:sz w:val="22"/>
                <w:szCs w:val="22"/>
              </w:rPr>
              <w:t>27,499</w:t>
            </w:r>
          </w:p>
        </w:tc>
      </w:tr>
    </w:tbl>
    <w:p w:rsidR="005C7AC4" w:rsidP="00B473A0" w:rsidRDefault="005C7AC4" w14:paraId="7C4D2576" w14:textId="77777777">
      <w:pPr>
        <w:rPr>
          <w:szCs w:val="24"/>
        </w:rPr>
      </w:pPr>
    </w:p>
    <w:p w:rsidR="005C7AC4" w:rsidP="00B473A0" w:rsidRDefault="005C7AC4" w14:paraId="6F89A264" w14:textId="77777777">
      <w:pPr>
        <w:rPr>
          <w:szCs w:val="24"/>
        </w:rPr>
      </w:pPr>
    </w:p>
    <w:p w:rsidRPr="00636107" w:rsidR="00A23DF4" w:rsidP="00B473A0" w:rsidRDefault="00A23DF4" w14:paraId="05BCFCCB" w14:textId="3BF2E00A">
      <w:pPr>
        <w:rPr>
          <w:szCs w:val="24"/>
        </w:rPr>
      </w:pPr>
      <w:r w:rsidRPr="00636107">
        <w:rPr>
          <w:szCs w:val="24"/>
        </w:rPr>
        <w:t>Note: the hourly wage information a</w:t>
      </w:r>
      <w:r w:rsidR="00F233C4">
        <w:rPr>
          <w:szCs w:val="24"/>
        </w:rPr>
        <w:t>bove is based on the hourly 20</w:t>
      </w:r>
      <w:r w:rsidR="00F2100A">
        <w:rPr>
          <w:szCs w:val="24"/>
        </w:rPr>
        <w:t>20</w:t>
      </w:r>
      <w:r w:rsidR="00C17846">
        <w:rPr>
          <w:szCs w:val="24"/>
        </w:rPr>
        <w:t xml:space="preserve"> General Schedule (Base)</w:t>
      </w:r>
      <w:r w:rsidR="00F2100A">
        <w:rPr>
          <w:szCs w:val="24"/>
        </w:rPr>
        <w:t xml:space="preserve"> Pay (</w:t>
      </w:r>
      <w:hyperlink w:history="1" r:id="rId10">
        <w:r w:rsidRPr="00DA6A70" w:rsidR="00B473A0">
          <w:rPr>
            <w:rStyle w:val="Hyperlink"/>
          </w:rPr>
          <w:t>https://www.opm.gov/policy-data-oversight/pay-leave/salaries-wages/salary-tables/pdf/2020/GS_h.pdf</w:t>
        </w:r>
      </w:hyperlink>
      <w:r w:rsidR="00B473A0">
        <w:t>).</w:t>
      </w:r>
      <w:r w:rsidRPr="00636107">
        <w:rPr>
          <w:szCs w:val="24"/>
        </w:rPr>
        <w:t xml:space="preserve"> This rate does not include any locality adjustment as applicable. </w:t>
      </w:r>
    </w:p>
    <w:p w:rsidR="005C7AC4" w:rsidP="00786FEA" w:rsidRDefault="005C7AC4" w14:paraId="044CE81E" w14:textId="77777777">
      <w:pPr>
        <w:pStyle w:val="Heading2"/>
        <w:jc w:val="both"/>
      </w:pPr>
    </w:p>
    <w:p w:rsidR="00E22134" w:rsidP="00E22134" w:rsidRDefault="004E3BE8" w14:paraId="5146C112" w14:textId="77777777">
      <w:pPr>
        <w:pStyle w:val="Heading2"/>
        <w:jc w:val="both"/>
      </w:pPr>
      <w:r w:rsidRPr="00637051">
        <w:t>15.</w:t>
      </w:r>
      <w:r w:rsidRPr="00637051">
        <w:tab/>
        <w:t>Explain the reason for any burden hour changes since the last submission.</w:t>
      </w:r>
    </w:p>
    <w:p w:rsidR="00CB79A6" w:rsidP="00CB79A6" w:rsidRDefault="00CB79A6" w14:paraId="579FD0CC" w14:textId="4FA955DE">
      <w:pPr>
        <w:rPr>
          <w:szCs w:val="24"/>
        </w:rPr>
      </w:pPr>
      <w:r w:rsidRPr="00CB79A6">
        <w:rPr>
          <w:szCs w:val="24"/>
        </w:rPr>
        <w:t>The number of SAH grants increased. Therefore, burden hours to the public has increased.</w:t>
      </w:r>
    </w:p>
    <w:p w:rsidRPr="00CB79A6" w:rsidR="00CB79A6" w:rsidP="00CB79A6" w:rsidRDefault="00CB79A6" w14:paraId="2E500928" w14:textId="77777777">
      <w:pPr>
        <w:rPr>
          <w:szCs w:val="24"/>
        </w:rPr>
      </w:pPr>
    </w:p>
    <w:p w:rsidRPr="00981B90" w:rsidR="004E3BE8" w:rsidP="00786FEA" w:rsidRDefault="004E3BE8" w14:paraId="5AE19958" w14:textId="77777777">
      <w:pPr>
        <w:pStyle w:val="Heading2"/>
        <w:jc w:val="both"/>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81B90" w:rsidR="004E3BE8" w:rsidP="00786FEA" w:rsidRDefault="004E3BE8" w14:paraId="64ECF040" w14:textId="77777777">
      <w:pPr>
        <w:tabs>
          <w:tab w:val="left" w:pos="480"/>
          <w:tab w:val="right" w:pos="8640"/>
        </w:tabs>
        <w:ind w:right="684"/>
        <w:jc w:val="both"/>
      </w:pPr>
      <w:r w:rsidRPr="00981B90">
        <w:t>The information collection is not for publication or tabulation use.</w:t>
      </w:r>
    </w:p>
    <w:p w:rsidR="002F68E9" w:rsidP="00786FEA" w:rsidRDefault="002F68E9" w14:paraId="0123627B" w14:textId="77777777">
      <w:pPr>
        <w:tabs>
          <w:tab w:val="left" w:pos="480"/>
          <w:tab w:val="right" w:pos="8640"/>
        </w:tabs>
        <w:ind w:right="684"/>
        <w:jc w:val="both"/>
      </w:pPr>
    </w:p>
    <w:p w:rsidRPr="00981B90" w:rsidR="004E3BE8" w:rsidP="00786FEA" w:rsidRDefault="004E3BE8" w14:paraId="6D7AD43A" w14:textId="77777777">
      <w:pPr>
        <w:pStyle w:val="Heading2"/>
        <w:jc w:val="both"/>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rsidR="00637051" w:rsidP="00637051" w:rsidRDefault="00A478FF" w14:paraId="29F5DDC3" w14:textId="1BB8BCFC">
      <w:pPr>
        <w:tabs>
          <w:tab w:val="left" w:pos="480"/>
          <w:tab w:val="right" w:pos="8640"/>
        </w:tabs>
        <w:ind w:right="504"/>
        <w:jc w:val="both"/>
      </w:pPr>
      <w:r w:rsidRPr="00960C51">
        <w:t>We are not seeking approval to omit the expiration date for OMB approval.</w:t>
      </w:r>
    </w:p>
    <w:p w:rsidR="00637051" w:rsidP="00637051" w:rsidRDefault="00637051" w14:paraId="1936D1F0" w14:textId="77777777">
      <w:pPr>
        <w:tabs>
          <w:tab w:val="left" w:pos="480"/>
          <w:tab w:val="right" w:pos="8640"/>
        </w:tabs>
        <w:ind w:right="504"/>
        <w:jc w:val="both"/>
      </w:pPr>
    </w:p>
    <w:p w:rsidR="002F68E9" w:rsidP="00786FEA" w:rsidRDefault="004E3BE8" w14:paraId="25F2CCC3" w14:textId="559E036A">
      <w:pPr>
        <w:pStyle w:val="Heading2"/>
        <w:jc w:val="both"/>
      </w:pPr>
      <w:r w:rsidRPr="00981B90">
        <w:t>18.</w:t>
      </w:r>
      <w:r w:rsidRPr="00981B90">
        <w:tab/>
        <w:t>Explain each exception to the certification statement identified in Item 19, “Certification for Paperwork Reduction Act Submissions,” of OMB 83-I.</w:t>
      </w:r>
    </w:p>
    <w:p w:rsidRPr="00960C51" w:rsidR="002F68E9" w:rsidP="00786FEA" w:rsidRDefault="002F68E9" w14:paraId="6EA6295B" w14:textId="311F1FF7">
      <w:pPr>
        <w:tabs>
          <w:tab w:val="left" w:pos="480"/>
          <w:tab w:val="right" w:pos="8640"/>
        </w:tabs>
        <w:ind w:right="684"/>
        <w:jc w:val="both"/>
      </w:pPr>
      <w:r w:rsidRPr="00960C51">
        <w:t>This submission does not contain any exceptions to the certification statement.</w:t>
      </w:r>
    </w:p>
    <w:p w:rsidR="002F68E9" w:rsidP="00786FEA" w:rsidRDefault="002F68E9" w14:paraId="778D8410" w14:textId="77777777">
      <w:pPr>
        <w:tabs>
          <w:tab w:val="left" w:pos="480"/>
          <w:tab w:val="right" w:pos="8640"/>
        </w:tabs>
        <w:ind w:right="684"/>
        <w:jc w:val="both"/>
      </w:pPr>
    </w:p>
    <w:p w:rsidRPr="00637051" w:rsidR="00637051" w:rsidP="00786FEA" w:rsidRDefault="002F68E9" w14:paraId="67E05291" w14:textId="23CC7299">
      <w:pPr>
        <w:autoSpaceDE w:val="0"/>
        <w:autoSpaceDN w:val="0"/>
        <w:adjustRightInd w:val="0"/>
        <w:jc w:val="both"/>
        <w:rPr>
          <w:szCs w:val="24"/>
          <w:u w:val="single"/>
        </w:rPr>
      </w:pPr>
      <w:r>
        <w:rPr>
          <w:szCs w:val="24"/>
        </w:rPr>
        <w:t xml:space="preserve">B.  </w:t>
      </w:r>
      <w:r>
        <w:rPr>
          <w:szCs w:val="24"/>
          <w:u w:val="single"/>
        </w:rPr>
        <w:t>Collection of Information Employing Statistical Methods</w:t>
      </w:r>
    </w:p>
    <w:p w:rsidRPr="00637051" w:rsidR="002F68E9" w:rsidP="00637051" w:rsidRDefault="00CC27D5" w14:paraId="1CF71FD4" w14:textId="59485B06">
      <w:pPr>
        <w:autoSpaceDE w:val="0"/>
        <w:autoSpaceDN w:val="0"/>
        <w:adjustRightInd w:val="0"/>
        <w:jc w:val="both"/>
        <w:rPr>
          <w:szCs w:val="24"/>
        </w:rPr>
      </w:pPr>
      <w:r>
        <w:rPr>
          <w:szCs w:val="24"/>
        </w:rPr>
        <w:t xml:space="preserve">The data collection does not employ statistical methods.  </w:t>
      </w:r>
    </w:p>
    <w:sectPr w:rsidRPr="00637051" w:rsidR="002F68E9" w:rsidSect="00E118C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DE99D" w14:textId="77777777" w:rsidR="00241336" w:rsidRDefault="00241336" w:rsidP="00A23DF4">
      <w:r>
        <w:separator/>
      </w:r>
    </w:p>
  </w:endnote>
  <w:endnote w:type="continuationSeparator" w:id="0">
    <w:p w14:paraId="4F75FE22" w14:textId="77777777" w:rsidR="00241336" w:rsidRDefault="00241336"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B66D93">
          <w:rPr>
            <w:noProof/>
            <w:sz w:val="16"/>
            <w:szCs w:val="16"/>
          </w:rPr>
          <w:t>4</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6513" w14:textId="77777777" w:rsidR="00241336" w:rsidRDefault="00241336" w:rsidP="00A23DF4">
      <w:r>
        <w:separator/>
      </w:r>
    </w:p>
  </w:footnote>
  <w:footnote w:type="continuationSeparator" w:id="0">
    <w:p w14:paraId="031BF91B" w14:textId="77777777" w:rsidR="00241336" w:rsidRDefault="00241336" w:rsidP="00A2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1233" w14:textId="44F673A5" w:rsidR="00F233C4" w:rsidRPr="00F233C4" w:rsidRDefault="00A23DF4" w:rsidP="00F233C4">
    <w:pPr>
      <w:pStyle w:val="Title"/>
      <w:rPr>
        <w:b/>
      </w:rPr>
    </w:pPr>
    <w:r w:rsidRPr="00F233C4">
      <w:rPr>
        <w:b/>
      </w:rPr>
      <w:t xml:space="preserve">Supporting Statement for </w:t>
    </w:r>
    <w:r w:rsidR="00F233C4" w:rsidRPr="00F233C4">
      <w:rPr>
        <w:b/>
      </w:rPr>
      <w:t>VA FORM 26-</w:t>
    </w:r>
    <w:r w:rsidR="005C7AC4">
      <w:rPr>
        <w:b/>
      </w:rPr>
      <w:t>1852</w:t>
    </w:r>
  </w:p>
  <w:p w14:paraId="4B7B8B95" w14:textId="77777777" w:rsidR="005C7AC4" w:rsidRPr="005C7AC4" w:rsidRDefault="005C7AC4" w:rsidP="005C7AC4">
    <w:pPr>
      <w:jc w:val="center"/>
      <w:rPr>
        <w:b/>
        <w:bCs/>
        <w:szCs w:val="24"/>
      </w:rPr>
    </w:pPr>
    <w:r w:rsidRPr="005C7AC4">
      <w:rPr>
        <w:b/>
        <w:bCs/>
      </w:rPr>
      <w:t>DESCRIPTION OF MATERIALS</w:t>
    </w:r>
    <w:r w:rsidRPr="005C7AC4">
      <w:rPr>
        <w:b/>
        <w:bCs/>
        <w:szCs w:val="24"/>
      </w:rPr>
      <w:t xml:space="preserve"> </w:t>
    </w:r>
  </w:p>
  <w:p w14:paraId="5DA6B057" w14:textId="77777777" w:rsidR="005C7AC4" w:rsidRPr="005C7AC4" w:rsidRDefault="005C7AC4" w:rsidP="005C7AC4">
    <w:pPr>
      <w:jc w:val="center"/>
      <w:rPr>
        <w:b/>
        <w:bCs/>
        <w:szCs w:val="24"/>
      </w:rPr>
    </w:pPr>
    <w:r w:rsidRPr="005C7AC4">
      <w:rPr>
        <w:b/>
        <w:bCs/>
        <w:szCs w:val="24"/>
      </w:rPr>
      <w:t>(2900-0788)</w:t>
    </w:r>
  </w:p>
  <w:p w14:paraId="3E3A938F" w14:textId="629A1098" w:rsidR="00A25B55" w:rsidRPr="00F233C4" w:rsidRDefault="00A25B55" w:rsidP="005C7AC4">
    <w:pPr>
      <w:pStyle w:val="Tit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15:restartNumberingAfterBreak="0">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15:restartNumberingAfterBreak="0">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CB"/>
    <w:rsid w:val="000314B4"/>
    <w:rsid w:val="000747F0"/>
    <w:rsid w:val="000B2228"/>
    <w:rsid w:val="000B2D1C"/>
    <w:rsid w:val="00143842"/>
    <w:rsid w:val="0018571D"/>
    <w:rsid w:val="001971A7"/>
    <w:rsid w:val="001D7582"/>
    <w:rsid w:val="002111E4"/>
    <w:rsid w:val="0023216F"/>
    <w:rsid w:val="00241336"/>
    <w:rsid w:val="00271073"/>
    <w:rsid w:val="002E18FE"/>
    <w:rsid w:val="002F68E9"/>
    <w:rsid w:val="0035205C"/>
    <w:rsid w:val="00357670"/>
    <w:rsid w:val="00357723"/>
    <w:rsid w:val="00384766"/>
    <w:rsid w:val="00392E7A"/>
    <w:rsid w:val="003A6529"/>
    <w:rsid w:val="003A7613"/>
    <w:rsid w:val="00412ECD"/>
    <w:rsid w:val="00455492"/>
    <w:rsid w:val="0045743D"/>
    <w:rsid w:val="00484F79"/>
    <w:rsid w:val="004A4A83"/>
    <w:rsid w:val="004E3BE8"/>
    <w:rsid w:val="0054253E"/>
    <w:rsid w:val="00553CA7"/>
    <w:rsid w:val="0057572F"/>
    <w:rsid w:val="00575FC2"/>
    <w:rsid w:val="005B0B02"/>
    <w:rsid w:val="005B0E7E"/>
    <w:rsid w:val="005C7AC4"/>
    <w:rsid w:val="00637051"/>
    <w:rsid w:val="006C1BC4"/>
    <w:rsid w:val="006E1925"/>
    <w:rsid w:val="00706DD3"/>
    <w:rsid w:val="007372D0"/>
    <w:rsid w:val="00750AE7"/>
    <w:rsid w:val="00771B80"/>
    <w:rsid w:val="00786FEA"/>
    <w:rsid w:val="007C6E0D"/>
    <w:rsid w:val="00853B01"/>
    <w:rsid w:val="0085512D"/>
    <w:rsid w:val="00872119"/>
    <w:rsid w:val="008A14E8"/>
    <w:rsid w:val="008E7BB7"/>
    <w:rsid w:val="00930F4A"/>
    <w:rsid w:val="009604A6"/>
    <w:rsid w:val="00960C51"/>
    <w:rsid w:val="00974DF6"/>
    <w:rsid w:val="00A23AC2"/>
    <w:rsid w:val="00A23DF4"/>
    <w:rsid w:val="00A25B55"/>
    <w:rsid w:val="00A478FF"/>
    <w:rsid w:val="00A62221"/>
    <w:rsid w:val="00A840D4"/>
    <w:rsid w:val="00A91EA6"/>
    <w:rsid w:val="00A92A26"/>
    <w:rsid w:val="00AB5420"/>
    <w:rsid w:val="00AC50C8"/>
    <w:rsid w:val="00B16789"/>
    <w:rsid w:val="00B2507D"/>
    <w:rsid w:val="00B34B32"/>
    <w:rsid w:val="00B473A0"/>
    <w:rsid w:val="00B66D93"/>
    <w:rsid w:val="00BA415B"/>
    <w:rsid w:val="00BB3630"/>
    <w:rsid w:val="00C17846"/>
    <w:rsid w:val="00C87ADD"/>
    <w:rsid w:val="00CB79A6"/>
    <w:rsid w:val="00CC27D5"/>
    <w:rsid w:val="00CD2798"/>
    <w:rsid w:val="00CE0610"/>
    <w:rsid w:val="00D3124B"/>
    <w:rsid w:val="00DD2ABF"/>
    <w:rsid w:val="00E118CB"/>
    <w:rsid w:val="00E22134"/>
    <w:rsid w:val="00E67D96"/>
    <w:rsid w:val="00E85B8D"/>
    <w:rsid w:val="00E934EE"/>
    <w:rsid w:val="00EB7A81"/>
    <w:rsid w:val="00F2100A"/>
    <w:rsid w:val="00F233C4"/>
    <w:rsid w:val="00F37A74"/>
    <w:rsid w:val="00F66C95"/>
    <w:rsid w:val="00F85A8B"/>
    <w:rsid w:val="00FC0928"/>
    <w:rsid w:val="00FE4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15:docId w15:val="{4551BCEE-4FD2-4434-B833-16B61075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UnresolvedMention">
    <w:name w:val="Unresolved Mention"/>
    <w:basedOn w:val="DefaultParagraphFont"/>
    <w:uiPriority w:val="99"/>
    <w:semiHidden/>
    <w:unhideWhenUsed/>
    <w:rsid w:val="00B4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va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GS_h.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2EFF-3A83-46B6-80FE-7AD3BDBC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Kessinger, Nancy J., VBAVACO</cp:lastModifiedBy>
  <cp:revision>3</cp:revision>
  <cp:lastPrinted>1998-10-28T12:05:00Z</cp:lastPrinted>
  <dcterms:created xsi:type="dcterms:W3CDTF">2021-02-02T19:31:00Z</dcterms:created>
  <dcterms:modified xsi:type="dcterms:W3CDTF">2021-02-02T19:32:00Z</dcterms:modified>
</cp:coreProperties>
</file>