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B6A" w:rsidP="004F2D09" w:rsidRDefault="00130C80" w14:paraId="38E4D99B" w14:textId="77777777">
      <w:pPr>
        <w:tabs>
          <w:tab w:val="left" w:pos="720"/>
        </w:tabs>
        <w:suppressAutoHyphens/>
        <w:jc w:val="center"/>
        <w:rPr>
          <w:rFonts w:eastAsia="Times New Roman" w:cs="Times New Roman"/>
          <w:b/>
          <w:szCs w:val="24"/>
        </w:rPr>
      </w:pPr>
      <w:bookmarkStart w:name="_GoBack" w:id="0"/>
      <w:bookmarkEnd w:id="0"/>
      <w:r>
        <w:rPr>
          <w:rFonts w:eastAsia="Times New Roman" w:cs="Times New Roman"/>
          <w:b/>
          <w:szCs w:val="24"/>
        </w:rPr>
        <w:t xml:space="preserve">CONSOLIDATED </w:t>
      </w:r>
      <w:r w:rsidRPr="00642B6A" w:rsidR="00642B6A">
        <w:rPr>
          <w:rFonts w:eastAsia="Times New Roman" w:cs="Times New Roman"/>
          <w:b/>
          <w:szCs w:val="24"/>
        </w:rPr>
        <w:t xml:space="preserve">SUPPORTING STATEMENT FOR </w:t>
      </w:r>
      <w:r>
        <w:rPr>
          <w:rFonts w:eastAsia="Times New Roman" w:cs="Times New Roman"/>
          <w:b/>
          <w:szCs w:val="24"/>
        </w:rPr>
        <w:t xml:space="preserve">AMENDED </w:t>
      </w:r>
      <w:r w:rsidRPr="00642B6A" w:rsidR="00642B6A">
        <w:rPr>
          <w:rFonts w:eastAsia="Times New Roman" w:cs="Times New Roman"/>
          <w:b/>
          <w:szCs w:val="24"/>
        </w:rPr>
        <w:t xml:space="preserve">INFORMATION </w:t>
      </w:r>
      <w:r>
        <w:rPr>
          <w:rFonts w:eastAsia="Times New Roman" w:cs="Times New Roman"/>
          <w:b/>
          <w:szCs w:val="24"/>
        </w:rPr>
        <w:t xml:space="preserve">COLLECTIONS BY </w:t>
      </w:r>
      <w:r w:rsidR="00250C4A">
        <w:rPr>
          <w:rFonts w:eastAsia="Times New Roman" w:cs="Times New Roman"/>
          <w:b/>
          <w:szCs w:val="24"/>
        </w:rPr>
        <w:t xml:space="preserve">FINAL </w:t>
      </w:r>
      <w:r>
        <w:rPr>
          <w:rFonts w:eastAsia="Times New Roman" w:cs="Times New Roman"/>
          <w:b/>
          <w:szCs w:val="24"/>
        </w:rPr>
        <w:t>RULE</w:t>
      </w:r>
      <w:r w:rsidRPr="00642B6A">
        <w:rPr>
          <w:rFonts w:eastAsia="Times New Roman" w:cs="Times New Roman"/>
          <w:b/>
          <w:szCs w:val="24"/>
        </w:rPr>
        <w:t xml:space="preserve"> </w:t>
      </w:r>
      <w:r w:rsidRPr="00642B6A" w:rsidR="00642B6A">
        <w:rPr>
          <w:rFonts w:eastAsia="Times New Roman" w:cs="Times New Roman"/>
          <w:b/>
          <w:szCs w:val="24"/>
        </w:rPr>
        <w:t>COLLECTIONS</w:t>
      </w:r>
    </w:p>
    <w:p w:rsidRPr="00642B6A" w:rsidR="00130C80" w:rsidP="00130C80" w:rsidRDefault="00130C80" w14:paraId="3E7CD25F" w14:textId="77777777">
      <w:pPr>
        <w:suppressAutoHyphens/>
        <w:jc w:val="center"/>
        <w:rPr>
          <w:rFonts w:eastAsia="Times New Roman" w:cs="Times New Roman"/>
          <w:b/>
          <w:szCs w:val="24"/>
        </w:rPr>
      </w:pPr>
    </w:p>
    <w:p w:rsidR="00642B6A" w:rsidP="00642B6A" w:rsidRDefault="00642B6A" w14:paraId="559F4FCA" w14:textId="77777777">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130C80">
        <w:rPr>
          <w:rFonts w:eastAsia="Times New Roman" w:cs="Times New Roman"/>
          <w:b/>
          <w:szCs w:val="24"/>
        </w:rPr>
        <w:t>0009</w:t>
      </w:r>
    </w:p>
    <w:p w:rsidR="00130C80" w:rsidP="00130C80" w:rsidRDefault="00130C80" w14:paraId="5BC4EAF2" w14:textId="77777777">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Pr>
          <w:rFonts w:eastAsia="Times New Roman" w:cs="Times New Roman"/>
          <w:b/>
          <w:szCs w:val="24"/>
        </w:rPr>
        <w:t>0013</w:t>
      </w:r>
    </w:p>
    <w:p w:rsidR="00CC21E6" w:rsidP="00130C80" w:rsidRDefault="00CC21E6" w14:paraId="2C763BB4" w14:textId="77777777">
      <w:pPr>
        <w:tabs>
          <w:tab w:val="center" w:pos="4680"/>
        </w:tabs>
        <w:suppressAutoHyphens/>
        <w:spacing w:after="240"/>
        <w:jc w:val="center"/>
        <w:rPr>
          <w:rFonts w:eastAsia="Times New Roman" w:cs="Times New Roman"/>
          <w:b/>
          <w:szCs w:val="24"/>
        </w:rPr>
      </w:pPr>
      <w:r w:rsidRPr="00CC21E6">
        <w:rPr>
          <w:rFonts w:eastAsia="Times New Roman" w:cs="Times New Roman"/>
          <w:b/>
          <w:szCs w:val="24"/>
        </w:rPr>
        <w:t>OMB CONTROL NUMBER 3038-0093</w:t>
      </w:r>
    </w:p>
    <w:p w:rsidRPr="00424E59" w:rsidR="00642B6A" w:rsidP="00642B6A" w:rsidRDefault="00642B6A" w14:paraId="4EDD308C" w14:textId="77777777">
      <w:pPr>
        <w:spacing w:after="240"/>
        <w:outlineLvl w:val="0"/>
        <w:rPr>
          <w:rFonts w:eastAsia="Times New Roman" w:cs="Times New Roman"/>
          <w:b/>
          <w:szCs w:val="24"/>
        </w:rPr>
      </w:pPr>
      <w:r w:rsidRPr="00424E59">
        <w:rPr>
          <w:rFonts w:eastAsia="Times New Roman" w:cs="Times New Roman"/>
          <w:b/>
          <w:szCs w:val="24"/>
        </w:rPr>
        <w:t>Justification</w:t>
      </w:r>
    </w:p>
    <w:p w:rsidRPr="00424E59" w:rsidR="00642B6A" w:rsidP="00D945B5" w:rsidRDefault="00642B6A" w14:paraId="169C41A1" w14:textId="77777777">
      <w:pPr>
        <w:tabs>
          <w:tab w:val="left" w:pos="-720"/>
          <w:tab w:val="left" w:pos="0"/>
        </w:tabs>
        <w:spacing w:after="240"/>
        <w:ind w:left="720" w:hanging="720"/>
        <w:jc w:val="both"/>
        <w:rPr>
          <w:rFonts w:eastAsia="Times New Roman" w:cs="Times New Roman"/>
          <w:szCs w:val="24"/>
        </w:rPr>
      </w:pPr>
      <w:r w:rsidRPr="00424E59">
        <w:rPr>
          <w:rFonts w:eastAsia="Times New Roman" w:cs="Times New Roman"/>
          <w:b/>
          <w:szCs w:val="24"/>
        </w:rPr>
        <w:t>1.</w:t>
      </w:r>
      <w:r w:rsidRPr="00424E59">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07C5F" w:rsidP="004F2D09" w:rsidRDefault="00BE67DF" w14:paraId="038E7E01" w14:textId="77777777">
      <w:pPr>
        <w:autoSpaceDE w:val="0"/>
        <w:autoSpaceDN w:val="0"/>
        <w:adjustRightInd w:val="0"/>
        <w:ind w:firstLine="720"/>
        <w:jc w:val="both"/>
        <w:rPr>
          <w:rFonts w:eastAsia="Times New Roman" w:cs="Times New Roman"/>
          <w:color w:val="000000"/>
          <w:szCs w:val="24"/>
        </w:rPr>
      </w:pPr>
      <w:r w:rsidRPr="00424E59">
        <w:rPr>
          <w:rFonts w:eastAsia="Times New Roman" w:cs="Times New Roman"/>
          <w:color w:val="000000"/>
          <w:szCs w:val="24"/>
        </w:rPr>
        <w:t>On July 21, 2010, the Dodd-Frank Wall Street Reform and Consumer Protection Act (“Dodd-</w:t>
      </w:r>
      <w:r w:rsidRPr="00424E59" w:rsidR="00130C80">
        <w:rPr>
          <w:rFonts w:eastAsia="Times New Roman" w:cs="Times New Roman"/>
          <w:color w:val="000000"/>
          <w:szCs w:val="24"/>
        </w:rPr>
        <w:t xml:space="preserve">Frank Act”) went into effect.  </w:t>
      </w:r>
      <w:r w:rsidR="006F7E00">
        <w:rPr>
          <w:rFonts w:eastAsia="Times New Roman" w:cs="Times New Roman"/>
          <w:color w:val="000000"/>
          <w:szCs w:val="24"/>
        </w:rPr>
        <w:t>Section 737</w:t>
      </w:r>
      <w:r w:rsidRPr="00424E59">
        <w:rPr>
          <w:rFonts w:eastAsia="Times New Roman" w:cs="Times New Roman"/>
          <w:color w:val="000000"/>
          <w:szCs w:val="24"/>
        </w:rPr>
        <w:t xml:space="preserve"> of the Dodd-Frank Act amend</w:t>
      </w:r>
      <w:r w:rsidR="006F7E00">
        <w:rPr>
          <w:rFonts w:eastAsia="Times New Roman" w:cs="Times New Roman"/>
          <w:color w:val="000000"/>
          <w:szCs w:val="24"/>
        </w:rPr>
        <w:t>ed</w:t>
      </w:r>
      <w:r w:rsidRPr="00424E59">
        <w:rPr>
          <w:rFonts w:eastAsia="Times New Roman" w:cs="Times New Roman"/>
          <w:color w:val="000000"/>
          <w:szCs w:val="24"/>
        </w:rPr>
        <w:t xml:space="preserve"> </w:t>
      </w:r>
      <w:r w:rsidR="006F7E00">
        <w:rPr>
          <w:rFonts w:eastAsia="Times New Roman" w:cs="Times New Roman"/>
          <w:color w:val="000000"/>
          <w:szCs w:val="24"/>
        </w:rPr>
        <w:t xml:space="preserve">section 4a of </w:t>
      </w:r>
      <w:r w:rsidRPr="00424E59">
        <w:rPr>
          <w:rFonts w:eastAsia="Times New Roman" w:cs="Times New Roman"/>
          <w:color w:val="000000"/>
          <w:szCs w:val="24"/>
        </w:rPr>
        <w:t>the Commodity</w:t>
      </w:r>
      <w:r w:rsidRPr="00424E59" w:rsidR="00305637">
        <w:rPr>
          <w:rFonts w:eastAsia="Times New Roman" w:cs="Times New Roman"/>
          <w:color w:val="000000"/>
          <w:szCs w:val="24"/>
        </w:rPr>
        <w:t xml:space="preserve"> Exchange Act (“CEA” or “Act”) </w:t>
      </w:r>
      <w:r w:rsidR="006F7E00">
        <w:rPr>
          <w:rFonts w:eastAsia="Times New Roman" w:cs="Times New Roman"/>
          <w:color w:val="000000"/>
          <w:szCs w:val="24"/>
        </w:rPr>
        <w:t xml:space="preserve">and specifically directed the </w:t>
      </w:r>
      <w:r w:rsidRPr="00424E59">
        <w:rPr>
          <w:rFonts w:eastAsia="Times New Roman" w:cs="Times New Roman"/>
          <w:color w:val="000000"/>
          <w:szCs w:val="24"/>
        </w:rPr>
        <w:t>Commodity Futures Trading Commission (“C</w:t>
      </w:r>
      <w:r w:rsidR="00AC4DF9">
        <w:rPr>
          <w:rFonts w:eastAsia="Times New Roman" w:cs="Times New Roman"/>
          <w:color w:val="000000"/>
          <w:szCs w:val="24"/>
        </w:rPr>
        <w:t>ommission</w:t>
      </w:r>
      <w:r w:rsidRPr="00424E59">
        <w:rPr>
          <w:rFonts w:eastAsia="Times New Roman" w:cs="Times New Roman"/>
          <w:color w:val="000000"/>
          <w:szCs w:val="24"/>
        </w:rPr>
        <w:t xml:space="preserve">”) </w:t>
      </w:r>
      <w:r w:rsidR="006F7E00">
        <w:rPr>
          <w:rFonts w:eastAsia="Times New Roman" w:cs="Times New Roman"/>
          <w:color w:val="000000"/>
          <w:szCs w:val="24"/>
        </w:rPr>
        <w:t xml:space="preserve">to </w:t>
      </w:r>
      <w:r w:rsidRPr="00424E59">
        <w:rPr>
          <w:rFonts w:eastAsia="Times New Roman" w:cs="Times New Roman"/>
          <w:color w:val="000000"/>
          <w:szCs w:val="24"/>
        </w:rPr>
        <w:t xml:space="preserve">establish </w:t>
      </w:r>
      <w:r w:rsidR="00D94060">
        <w:rPr>
          <w:rFonts w:eastAsia="Times New Roman" w:cs="Times New Roman"/>
          <w:color w:val="000000"/>
          <w:szCs w:val="24"/>
        </w:rPr>
        <w:t xml:space="preserve">limits on </w:t>
      </w:r>
      <w:r w:rsidRPr="00424E59">
        <w:rPr>
          <w:rFonts w:eastAsia="Times New Roman" w:cs="Times New Roman"/>
          <w:color w:val="000000"/>
          <w:szCs w:val="24"/>
        </w:rPr>
        <w:t>position</w:t>
      </w:r>
      <w:r w:rsidR="009E317C">
        <w:rPr>
          <w:rFonts w:eastAsia="Times New Roman" w:cs="Times New Roman"/>
          <w:color w:val="000000"/>
          <w:szCs w:val="24"/>
        </w:rPr>
        <w:t>s</w:t>
      </w:r>
      <w:r w:rsidR="00036389">
        <w:rPr>
          <w:rFonts w:eastAsia="Times New Roman" w:cs="Times New Roman"/>
          <w:color w:val="000000"/>
          <w:szCs w:val="24"/>
        </w:rPr>
        <w:t>, as the Commission determines to be necessary,</w:t>
      </w:r>
      <w:r w:rsidRPr="00424E59">
        <w:rPr>
          <w:rFonts w:eastAsia="Times New Roman" w:cs="Times New Roman"/>
          <w:color w:val="000000"/>
          <w:szCs w:val="24"/>
        </w:rPr>
        <w:t xml:space="preserve"> </w:t>
      </w:r>
      <w:r w:rsidR="006F7E00">
        <w:rPr>
          <w:rFonts w:eastAsia="Times New Roman" w:cs="Times New Roman"/>
          <w:color w:val="000000"/>
          <w:szCs w:val="24"/>
        </w:rPr>
        <w:t>for exchange traded futures</w:t>
      </w:r>
      <w:r w:rsidR="00DB0099">
        <w:rPr>
          <w:rFonts w:eastAsia="Times New Roman" w:cs="Times New Roman"/>
          <w:color w:val="000000"/>
          <w:szCs w:val="24"/>
        </w:rPr>
        <w:t>, including any</w:t>
      </w:r>
      <w:r w:rsidR="006F7E00">
        <w:rPr>
          <w:rFonts w:eastAsia="Times New Roman" w:cs="Times New Roman"/>
          <w:color w:val="000000"/>
          <w:szCs w:val="24"/>
        </w:rPr>
        <w:t xml:space="preserve"> option contract thereon</w:t>
      </w:r>
      <w:r w:rsidR="00DB0099">
        <w:rPr>
          <w:rFonts w:eastAsia="Times New Roman" w:cs="Times New Roman"/>
          <w:color w:val="000000"/>
          <w:szCs w:val="24"/>
        </w:rPr>
        <w:t>,</w:t>
      </w:r>
      <w:r w:rsidR="006F7E00">
        <w:rPr>
          <w:rFonts w:eastAsia="Times New Roman" w:cs="Times New Roman"/>
          <w:color w:val="000000"/>
          <w:szCs w:val="24"/>
        </w:rPr>
        <w:t xml:space="preserve"> </w:t>
      </w:r>
      <w:r w:rsidRPr="00424E59">
        <w:rPr>
          <w:rFonts w:eastAsia="Times New Roman" w:cs="Times New Roman"/>
          <w:color w:val="000000"/>
          <w:szCs w:val="24"/>
        </w:rPr>
        <w:t xml:space="preserve"> and swaps that are economically equivalent to </w:t>
      </w:r>
      <w:r w:rsidR="006F7E00">
        <w:rPr>
          <w:rFonts w:eastAsia="Times New Roman" w:cs="Times New Roman"/>
          <w:color w:val="000000"/>
          <w:szCs w:val="24"/>
        </w:rPr>
        <w:t>those</w:t>
      </w:r>
      <w:r w:rsidR="008F5C89">
        <w:rPr>
          <w:rFonts w:eastAsia="Times New Roman" w:cs="Times New Roman"/>
          <w:color w:val="000000"/>
          <w:szCs w:val="24"/>
        </w:rPr>
        <w:t xml:space="preserve"> contracts</w:t>
      </w:r>
      <w:r w:rsidR="006F7E00">
        <w:rPr>
          <w:rFonts w:eastAsia="Times New Roman" w:cs="Times New Roman"/>
          <w:color w:val="000000"/>
          <w:szCs w:val="24"/>
        </w:rPr>
        <w:t xml:space="preserve"> for physical commodities</w:t>
      </w:r>
      <w:r w:rsidR="008E3891">
        <w:rPr>
          <w:rFonts w:eastAsia="Times New Roman" w:cs="Times New Roman"/>
          <w:color w:val="000000"/>
          <w:szCs w:val="24"/>
        </w:rPr>
        <w:t xml:space="preserve"> other than excluded commodities</w:t>
      </w:r>
      <w:r w:rsidR="00DB0099">
        <w:rPr>
          <w:rFonts w:eastAsia="Times New Roman" w:cs="Times New Roman"/>
          <w:color w:val="000000"/>
          <w:szCs w:val="24"/>
        </w:rPr>
        <w:t>, as appropriate</w:t>
      </w:r>
      <w:r w:rsidR="008F5C89">
        <w:rPr>
          <w:rFonts w:eastAsia="Times New Roman" w:cs="Times New Roman"/>
          <w:color w:val="000000"/>
          <w:szCs w:val="24"/>
        </w:rPr>
        <w:t>.</w:t>
      </w:r>
      <w:r w:rsidR="00DB0099">
        <w:rPr>
          <w:rStyle w:val="FootnoteReference"/>
          <w:rFonts w:eastAsia="Times New Roman" w:cs="Times New Roman"/>
          <w:color w:val="000000"/>
          <w:szCs w:val="24"/>
        </w:rPr>
        <w:footnoteReference w:id="2"/>
      </w:r>
      <w:r w:rsidR="008F5C89">
        <w:rPr>
          <w:rFonts w:eastAsia="Times New Roman" w:cs="Times New Roman"/>
          <w:color w:val="000000"/>
          <w:szCs w:val="24"/>
        </w:rPr>
        <w:t xml:space="preserve">  </w:t>
      </w:r>
      <w:r w:rsidR="00107C5F">
        <w:rPr>
          <w:rFonts w:eastAsia="Times New Roman" w:cs="Times New Roman"/>
          <w:color w:val="000000"/>
          <w:szCs w:val="24"/>
        </w:rPr>
        <w:t xml:space="preserve">CEA </w:t>
      </w:r>
      <w:r w:rsidR="00107C5F">
        <w:rPr>
          <w:rFonts w:eastAsia="Calibri" w:cs="Times New Roman"/>
          <w:szCs w:val="24"/>
        </w:rPr>
        <w:t>s</w:t>
      </w:r>
      <w:r w:rsidRPr="00424E59" w:rsidR="00107C5F">
        <w:rPr>
          <w:rFonts w:eastAsia="Calibri" w:cs="Times New Roman"/>
          <w:szCs w:val="24"/>
        </w:rPr>
        <w:t>ection 4a</w:t>
      </w:r>
      <w:r w:rsidR="00107C5F">
        <w:rPr>
          <w:rFonts w:eastAsia="Calibri" w:cs="Times New Roman"/>
          <w:szCs w:val="24"/>
        </w:rPr>
        <w:t xml:space="preserve"> directs</w:t>
      </w:r>
      <w:r w:rsidRPr="00424E59" w:rsidR="00107C5F">
        <w:rPr>
          <w:rFonts w:eastAsia="Calibri" w:cs="Times New Roman"/>
          <w:szCs w:val="24"/>
        </w:rPr>
        <w:t xml:space="preserve"> </w:t>
      </w:r>
      <w:r w:rsidR="00107C5F">
        <w:rPr>
          <w:rFonts w:eastAsia="Calibri" w:cs="Times New Roman"/>
          <w:szCs w:val="24"/>
        </w:rPr>
        <w:t>the Commission to establish limits on speculative positions</w:t>
      </w:r>
      <w:r w:rsidR="00D876AD">
        <w:rPr>
          <w:rFonts w:eastAsia="Calibri" w:cs="Times New Roman"/>
          <w:szCs w:val="24"/>
        </w:rPr>
        <w:t>,</w:t>
      </w:r>
      <w:r w:rsidR="00CA3865">
        <w:rPr>
          <w:rFonts w:eastAsia="Calibri" w:cs="Times New Roman"/>
          <w:szCs w:val="24"/>
        </w:rPr>
        <w:t xml:space="preserve"> as </w:t>
      </w:r>
      <w:r w:rsidR="00036389">
        <w:rPr>
          <w:rFonts w:eastAsia="Calibri" w:cs="Times New Roman"/>
          <w:szCs w:val="24"/>
        </w:rPr>
        <w:t>the Commission determines to be necessary</w:t>
      </w:r>
      <w:r w:rsidR="00D876AD">
        <w:rPr>
          <w:rFonts w:eastAsia="Calibri" w:cs="Times New Roman"/>
          <w:szCs w:val="24"/>
        </w:rPr>
        <w:t>,</w:t>
      </w:r>
      <w:r w:rsidR="00107C5F">
        <w:rPr>
          <w:rFonts w:eastAsia="Calibri" w:cs="Times New Roman"/>
          <w:szCs w:val="24"/>
        </w:rPr>
        <w:t xml:space="preserve"> </w:t>
      </w:r>
      <w:r w:rsidRPr="00424E59" w:rsidR="00107C5F">
        <w:rPr>
          <w:rFonts w:eastAsia="Calibri" w:cs="Times New Roman"/>
          <w:szCs w:val="24"/>
        </w:rPr>
        <w:t xml:space="preserve">to prevent </w:t>
      </w:r>
      <w:r w:rsidR="00107C5F">
        <w:rPr>
          <w:rFonts w:eastAsia="Calibri" w:cs="Times New Roman"/>
          <w:szCs w:val="24"/>
        </w:rPr>
        <w:t xml:space="preserve">the harms caused by </w:t>
      </w:r>
      <w:r w:rsidRPr="00424E59" w:rsidR="00107C5F">
        <w:rPr>
          <w:rFonts w:eastAsia="Calibri" w:cs="Times New Roman"/>
          <w:szCs w:val="24"/>
        </w:rPr>
        <w:t>excessive speculation.</w:t>
      </w:r>
    </w:p>
    <w:p w:rsidR="00107C5F" w:rsidP="00AB00BD" w:rsidRDefault="00107C5F" w14:paraId="0C84AEE7" w14:textId="77777777">
      <w:pPr>
        <w:autoSpaceDE w:val="0"/>
        <w:autoSpaceDN w:val="0"/>
        <w:adjustRightInd w:val="0"/>
        <w:jc w:val="both"/>
        <w:rPr>
          <w:rFonts w:eastAsia="Times New Roman" w:cs="Times New Roman"/>
          <w:color w:val="000000"/>
          <w:szCs w:val="24"/>
        </w:rPr>
      </w:pPr>
    </w:p>
    <w:p w:rsidRPr="00424E59" w:rsidR="00642B6A" w:rsidP="00107C5F" w:rsidRDefault="008F5C89" w14:paraId="593692C8" w14:textId="77777777">
      <w:pPr>
        <w:autoSpaceDE w:val="0"/>
        <w:autoSpaceDN w:val="0"/>
        <w:adjustRightInd w:val="0"/>
        <w:ind w:firstLine="720"/>
        <w:jc w:val="both"/>
        <w:rPr>
          <w:rFonts w:eastAsia="Times New Roman" w:cs="Times New Roman"/>
          <w:color w:val="000000"/>
          <w:szCs w:val="24"/>
        </w:rPr>
      </w:pPr>
      <w:r>
        <w:rPr>
          <w:rFonts w:eastAsia="Times New Roman" w:cs="Times New Roman"/>
          <w:color w:val="000000"/>
          <w:szCs w:val="24"/>
        </w:rPr>
        <w:t>On January 30</w:t>
      </w:r>
      <w:r w:rsidRPr="00424E59" w:rsidR="00BE67DF">
        <w:rPr>
          <w:rFonts w:eastAsia="Times New Roman" w:cs="Times New Roman"/>
          <w:color w:val="000000"/>
          <w:szCs w:val="24"/>
        </w:rPr>
        <w:t xml:space="preserve">, 2020, the Commission approved a proposed </w:t>
      </w:r>
      <w:r w:rsidRPr="00424E59" w:rsidR="00305637">
        <w:rPr>
          <w:rFonts w:eastAsia="Times New Roman" w:cs="Times New Roman"/>
          <w:color w:val="000000"/>
          <w:szCs w:val="24"/>
        </w:rPr>
        <w:t xml:space="preserve">rulemaking </w:t>
      </w:r>
      <w:r w:rsidR="005528B9">
        <w:rPr>
          <w:rFonts w:eastAsia="Times New Roman" w:cs="Times New Roman"/>
          <w:color w:val="000000"/>
          <w:szCs w:val="24"/>
        </w:rPr>
        <w:t xml:space="preserve">on speculative position limits </w:t>
      </w:r>
      <w:r w:rsidRPr="00424E59" w:rsidR="00BE67DF">
        <w:rPr>
          <w:rFonts w:eastAsia="Times New Roman" w:cs="Times New Roman"/>
          <w:color w:val="000000"/>
          <w:szCs w:val="24"/>
        </w:rPr>
        <w:t xml:space="preserve">to conform to </w:t>
      </w:r>
      <w:r w:rsidR="00186D4A">
        <w:rPr>
          <w:rFonts w:eastAsia="Times New Roman" w:cs="Times New Roman"/>
          <w:color w:val="000000"/>
          <w:szCs w:val="24"/>
        </w:rPr>
        <w:t xml:space="preserve">the Dodd-Frank Act </w:t>
      </w:r>
      <w:r w:rsidRPr="00424E59" w:rsidR="00130C80">
        <w:rPr>
          <w:rFonts w:eastAsia="Times New Roman" w:cs="Times New Roman"/>
          <w:color w:val="000000"/>
          <w:szCs w:val="24"/>
        </w:rPr>
        <w:t xml:space="preserve">amendments to </w:t>
      </w:r>
      <w:r w:rsidR="00E37C3C">
        <w:rPr>
          <w:rFonts w:eastAsia="Times New Roman" w:cs="Times New Roman"/>
          <w:color w:val="000000"/>
          <w:szCs w:val="24"/>
        </w:rPr>
        <w:t>CEA section 4a</w:t>
      </w:r>
      <w:r w:rsidRPr="00424E59" w:rsidR="007F23A7">
        <w:rPr>
          <w:rFonts w:eastAsia="Times New Roman" w:cs="Times New Roman"/>
          <w:color w:val="000000"/>
          <w:szCs w:val="24"/>
        </w:rPr>
        <w:t xml:space="preserve"> (“2020 Proposal”)</w:t>
      </w:r>
      <w:r w:rsidRPr="00424E59" w:rsidR="00130C80">
        <w:rPr>
          <w:rFonts w:eastAsia="Times New Roman" w:cs="Times New Roman"/>
          <w:color w:val="000000"/>
          <w:szCs w:val="24"/>
        </w:rPr>
        <w:t>.</w:t>
      </w:r>
      <w:r w:rsidRPr="00424E59" w:rsidR="00C95B82">
        <w:rPr>
          <w:rStyle w:val="FootnoteReference"/>
          <w:rFonts w:eastAsia="Times New Roman" w:cs="Times New Roman"/>
          <w:color w:val="000000"/>
          <w:szCs w:val="24"/>
        </w:rPr>
        <w:footnoteReference w:id="3"/>
      </w:r>
      <w:r w:rsidR="000E106C">
        <w:rPr>
          <w:rFonts w:eastAsia="Times New Roman" w:cs="Times New Roman"/>
          <w:color w:val="000000"/>
          <w:szCs w:val="24"/>
        </w:rPr>
        <w:t xml:space="preserve"> </w:t>
      </w:r>
      <w:r w:rsidR="00F56D6E">
        <w:rPr>
          <w:rFonts w:eastAsia="Times New Roman" w:cs="Times New Roman"/>
          <w:color w:val="000000"/>
          <w:szCs w:val="24"/>
        </w:rPr>
        <w:t xml:space="preserve"> On October 15</w:t>
      </w:r>
      <w:r w:rsidR="000E106C">
        <w:rPr>
          <w:rFonts w:eastAsia="Times New Roman" w:cs="Times New Roman"/>
          <w:color w:val="000000"/>
          <w:szCs w:val="24"/>
        </w:rPr>
        <w:t xml:space="preserve">, 2020, the Commission </w:t>
      </w:r>
      <w:r w:rsidR="00F56D6E">
        <w:rPr>
          <w:rFonts w:eastAsia="Times New Roman" w:cs="Times New Roman"/>
          <w:color w:val="000000"/>
          <w:szCs w:val="24"/>
        </w:rPr>
        <w:t xml:space="preserve">voted 3-2 to adopt </w:t>
      </w:r>
      <w:r w:rsidR="009B0077">
        <w:rPr>
          <w:rFonts w:eastAsia="Times New Roman" w:cs="Times New Roman"/>
          <w:color w:val="000000"/>
          <w:szCs w:val="24"/>
        </w:rPr>
        <w:t>the 2020 Proposal with certain amendments</w:t>
      </w:r>
      <w:r w:rsidR="00F56D6E">
        <w:rPr>
          <w:rFonts w:eastAsia="Times New Roman" w:cs="Times New Roman"/>
          <w:color w:val="000000"/>
          <w:szCs w:val="24"/>
        </w:rPr>
        <w:t xml:space="preserve"> (“Final Rule”)</w:t>
      </w:r>
      <w:r w:rsidR="00107C5F">
        <w:rPr>
          <w:rFonts w:eastAsia="Times New Roman" w:cs="Times New Roman"/>
          <w:color w:val="000000"/>
          <w:szCs w:val="24"/>
        </w:rPr>
        <w:t>, completing the Commission’s major rulemakings related to implementation of the Dodd-Frank Act</w:t>
      </w:r>
      <w:r w:rsidR="00F56D6E">
        <w:rPr>
          <w:rFonts w:eastAsia="Times New Roman" w:cs="Times New Roman"/>
          <w:color w:val="000000"/>
          <w:szCs w:val="24"/>
        </w:rPr>
        <w:t>.</w:t>
      </w:r>
    </w:p>
    <w:p w:rsidRPr="00424E59" w:rsidR="00BD4B81" w:rsidP="003A2611" w:rsidRDefault="00BD4B81" w14:paraId="1DA9EBB5" w14:textId="77777777">
      <w:pPr>
        <w:autoSpaceDE w:val="0"/>
        <w:autoSpaceDN w:val="0"/>
        <w:adjustRightInd w:val="0"/>
        <w:ind w:firstLine="720"/>
        <w:jc w:val="both"/>
        <w:rPr>
          <w:rFonts w:eastAsia="Calibri" w:cs="Times New Roman"/>
          <w:szCs w:val="24"/>
        </w:rPr>
      </w:pPr>
    </w:p>
    <w:p w:rsidRPr="00424E59" w:rsidR="00130C80" w:rsidP="00130C80" w:rsidRDefault="00130C80" w14:paraId="1AC44B8F" w14:textId="77777777">
      <w:pPr>
        <w:autoSpaceDE w:val="0"/>
        <w:autoSpaceDN w:val="0"/>
        <w:adjustRightInd w:val="0"/>
        <w:ind w:firstLine="720"/>
        <w:jc w:val="both"/>
        <w:rPr>
          <w:szCs w:val="24"/>
        </w:rPr>
      </w:pPr>
      <w:r w:rsidRPr="00424E59">
        <w:rPr>
          <w:szCs w:val="24"/>
        </w:rPr>
        <w:t xml:space="preserve">The </w:t>
      </w:r>
      <w:r w:rsidR="00CE4D2E">
        <w:rPr>
          <w:szCs w:val="24"/>
        </w:rPr>
        <w:t>F</w:t>
      </w:r>
      <w:r w:rsidR="00C02297">
        <w:rPr>
          <w:szCs w:val="24"/>
        </w:rPr>
        <w:t>inal</w:t>
      </w:r>
      <w:r w:rsidRPr="00424E59" w:rsidR="00C02297">
        <w:rPr>
          <w:szCs w:val="24"/>
        </w:rPr>
        <w:t xml:space="preserve"> </w:t>
      </w:r>
      <w:r w:rsidR="00CE4D2E">
        <w:rPr>
          <w:szCs w:val="24"/>
        </w:rPr>
        <w:t>R</w:t>
      </w:r>
      <w:r w:rsidRPr="00424E59">
        <w:rPr>
          <w:szCs w:val="24"/>
        </w:rPr>
        <w:t>ule result</w:t>
      </w:r>
      <w:r w:rsidR="001A51FD">
        <w:rPr>
          <w:szCs w:val="24"/>
        </w:rPr>
        <w:t>s</w:t>
      </w:r>
      <w:r w:rsidRPr="00424E59">
        <w:rPr>
          <w:szCs w:val="24"/>
        </w:rPr>
        <w:t xml:space="preserve"> in modified collections of information </w:t>
      </w:r>
      <w:r w:rsidRPr="00424E59" w:rsidR="00BD4B81">
        <w:rPr>
          <w:szCs w:val="24"/>
        </w:rPr>
        <w:t>currently approved by OMB</w:t>
      </w:r>
      <w:r w:rsidRPr="00424E59" w:rsidR="00C94789">
        <w:rPr>
          <w:szCs w:val="24"/>
        </w:rPr>
        <w:t xml:space="preserve"> in</w:t>
      </w:r>
      <w:r w:rsidRPr="00424E59" w:rsidR="00BD4B81">
        <w:rPr>
          <w:szCs w:val="24"/>
        </w:rPr>
        <w:t xml:space="preserve"> </w:t>
      </w:r>
      <w:r w:rsidRPr="00424E59">
        <w:rPr>
          <w:szCs w:val="24"/>
        </w:rPr>
        <w:t xml:space="preserve">OMB </w:t>
      </w:r>
      <w:r w:rsidR="002C7D81">
        <w:rPr>
          <w:szCs w:val="24"/>
        </w:rPr>
        <w:t>c</w:t>
      </w:r>
      <w:r w:rsidRPr="00424E59" w:rsidR="002C7D81">
        <w:rPr>
          <w:szCs w:val="24"/>
        </w:rPr>
        <w:t xml:space="preserve">ontrol </w:t>
      </w:r>
      <w:r w:rsidR="002C7D81">
        <w:rPr>
          <w:szCs w:val="24"/>
        </w:rPr>
        <w:t>n</w:t>
      </w:r>
      <w:r w:rsidRPr="00424E59" w:rsidR="002C7D81">
        <w:rPr>
          <w:szCs w:val="24"/>
        </w:rPr>
        <w:t>umbers</w:t>
      </w:r>
      <w:r w:rsidRPr="00424E59">
        <w:rPr>
          <w:szCs w:val="24"/>
        </w:rPr>
        <w:t>: (</w:t>
      </w:r>
      <w:proofErr w:type="spellStart"/>
      <w:r w:rsidRPr="00424E59">
        <w:rPr>
          <w:szCs w:val="24"/>
        </w:rPr>
        <w:t>i</w:t>
      </w:r>
      <w:proofErr w:type="spellEnd"/>
      <w:r w:rsidRPr="00424E59">
        <w:rPr>
          <w:szCs w:val="24"/>
        </w:rPr>
        <w:t>) 3038-0009</w:t>
      </w:r>
      <w:r w:rsidR="00CC21E6">
        <w:rPr>
          <w:szCs w:val="24"/>
        </w:rPr>
        <w:t xml:space="preserve">, </w:t>
      </w:r>
      <w:r w:rsidRPr="00424E59">
        <w:rPr>
          <w:szCs w:val="24"/>
        </w:rPr>
        <w:t>(ii) 3038-0013</w:t>
      </w:r>
      <w:r w:rsidR="00CE4D2E">
        <w:rPr>
          <w:szCs w:val="24"/>
        </w:rPr>
        <w:t>,</w:t>
      </w:r>
      <w:r w:rsidR="00CC21E6">
        <w:rPr>
          <w:szCs w:val="24"/>
        </w:rPr>
        <w:t xml:space="preserve"> and (iii) 3038-0093</w:t>
      </w:r>
      <w:r w:rsidRPr="00424E59">
        <w:rPr>
          <w:szCs w:val="24"/>
        </w:rPr>
        <w:t>.</w:t>
      </w:r>
    </w:p>
    <w:p w:rsidRPr="00424E59" w:rsidR="00BD4B81" w:rsidP="00130C80" w:rsidRDefault="00BD4B81" w14:paraId="77936764" w14:textId="77777777">
      <w:pPr>
        <w:autoSpaceDE w:val="0"/>
        <w:autoSpaceDN w:val="0"/>
        <w:adjustRightInd w:val="0"/>
        <w:ind w:firstLine="720"/>
        <w:jc w:val="both"/>
        <w:rPr>
          <w:szCs w:val="24"/>
        </w:rPr>
      </w:pPr>
    </w:p>
    <w:p w:rsidRPr="00424E59" w:rsidR="00BD4B81" w:rsidP="00BD4B81" w:rsidRDefault="00BD4B81" w14:paraId="6CF25B3D" w14:textId="77777777">
      <w:pPr>
        <w:autoSpaceDE w:val="0"/>
        <w:autoSpaceDN w:val="0"/>
        <w:adjustRightInd w:val="0"/>
        <w:ind w:firstLine="720"/>
        <w:jc w:val="both"/>
        <w:rPr>
          <w:szCs w:val="24"/>
        </w:rPr>
      </w:pPr>
      <w:r w:rsidRPr="00424E59">
        <w:rPr>
          <w:szCs w:val="24"/>
        </w:rPr>
        <w:t>Furthermore, the Commission is reorganiz</w:t>
      </w:r>
      <w:r w:rsidR="00920905">
        <w:rPr>
          <w:szCs w:val="24"/>
        </w:rPr>
        <w:t>ing</w:t>
      </w:r>
      <w:r w:rsidRPr="00424E59">
        <w:rPr>
          <w:szCs w:val="24"/>
        </w:rPr>
        <w:t xml:space="preserve"> the information found in the OMB </w:t>
      </w:r>
      <w:r w:rsidR="008F45F8">
        <w:rPr>
          <w:szCs w:val="24"/>
        </w:rPr>
        <w:t>control</w:t>
      </w:r>
      <w:r w:rsidRPr="00424E59" w:rsidR="008F45F8">
        <w:rPr>
          <w:szCs w:val="24"/>
        </w:rPr>
        <w:t xml:space="preserve"> </w:t>
      </w:r>
      <w:r w:rsidR="008F45F8">
        <w:rPr>
          <w:szCs w:val="24"/>
        </w:rPr>
        <w:t>n</w:t>
      </w:r>
      <w:r w:rsidRPr="00424E59">
        <w:rPr>
          <w:szCs w:val="24"/>
        </w:rPr>
        <w:t xml:space="preserve">umbers associated with its position limits regulations. </w:t>
      </w:r>
      <w:r w:rsidR="00CE4D2E">
        <w:rPr>
          <w:szCs w:val="24"/>
        </w:rPr>
        <w:t xml:space="preserve"> </w:t>
      </w:r>
      <w:r w:rsidRPr="00424E59">
        <w:rPr>
          <w:szCs w:val="24"/>
        </w:rPr>
        <w:t xml:space="preserve">In particular, the Commission </w:t>
      </w:r>
      <w:r w:rsidR="00920905">
        <w:rPr>
          <w:szCs w:val="24"/>
        </w:rPr>
        <w:t>is</w:t>
      </w:r>
      <w:r w:rsidRPr="00424E59" w:rsidR="000709B0">
        <w:rPr>
          <w:szCs w:val="24"/>
        </w:rPr>
        <w:t xml:space="preserve"> mov</w:t>
      </w:r>
      <w:r w:rsidR="00920905">
        <w:rPr>
          <w:szCs w:val="24"/>
        </w:rPr>
        <w:t>ing</w:t>
      </w:r>
      <w:r w:rsidRPr="00424E59" w:rsidR="000709B0">
        <w:rPr>
          <w:szCs w:val="24"/>
        </w:rPr>
        <w:t xml:space="preserve"> from OMB control number 3038-0009 to OMB control number 3038-0013 </w:t>
      </w:r>
      <w:r w:rsidRPr="00424E59">
        <w:rPr>
          <w:szCs w:val="24"/>
        </w:rPr>
        <w:t xml:space="preserve">the burdens related to collections of information under part 19 (Reports by Persons Holding Bona Fide Hedge Positions and By Merchants and Dealers in Cotton) related to position limit requirements. </w:t>
      </w:r>
    </w:p>
    <w:p w:rsidRPr="00424E59" w:rsidR="00FB3538" w:rsidP="00BD4B81" w:rsidRDefault="00FB3538" w14:paraId="28A3335D" w14:textId="77777777">
      <w:pPr>
        <w:autoSpaceDE w:val="0"/>
        <w:autoSpaceDN w:val="0"/>
        <w:adjustRightInd w:val="0"/>
        <w:ind w:firstLine="720"/>
        <w:jc w:val="both"/>
        <w:rPr>
          <w:szCs w:val="24"/>
        </w:rPr>
      </w:pPr>
    </w:p>
    <w:p w:rsidRPr="00424E59" w:rsidR="00C032F4" w:rsidP="00FB3538" w:rsidRDefault="00BD4B81" w14:paraId="17F64889" w14:textId="77777777">
      <w:pPr>
        <w:autoSpaceDE w:val="0"/>
        <w:autoSpaceDN w:val="0"/>
        <w:adjustRightInd w:val="0"/>
        <w:ind w:firstLine="720"/>
        <w:jc w:val="both"/>
        <w:rPr>
          <w:szCs w:val="24"/>
        </w:rPr>
      </w:pPr>
      <w:r w:rsidRPr="00424E59">
        <w:rPr>
          <w:szCs w:val="24"/>
        </w:rPr>
        <w:t xml:space="preserve">Finally, the modified </w:t>
      </w:r>
      <w:r w:rsidR="008F5C89">
        <w:rPr>
          <w:szCs w:val="24"/>
        </w:rPr>
        <w:t xml:space="preserve">collection under </w:t>
      </w:r>
      <w:r w:rsidRPr="00424E59">
        <w:rPr>
          <w:szCs w:val="24"/>
        </w:rPr>
        <w:t xml:space="preserve">OMB control number 3038-0013 </w:t>
      </w:r>
      <w:r w:rsidR="00CD3060">
        <w:rPr>
          <w:szCs w:val="24"/>
        </w:rPr>
        <w:t>is</w:t>
      </w:r>
      <w:r w:rsidRPr="00424E59">
        <w:rPr>
          <w:szCs w:val="24"/>
        </w:rPr>
        <w:t xml:space="preserve"> renamed as “Position Limits.” </w:t>
      </w:r>
      <w:r w:rsidR="00920905">
        <w:rPr>
          <w:szCs w:val="24"/>
        </w:rPr>
        <w:t xml:space="preserve"> </w:t>
      </w:r>
      <w:r w:rsidRPr="00424E59">
        <w:rPr>
          <w:szCs w:val="24"/>
        </w:rPr>
        <w:t>This renaming change is non-</w:t>
      </w:r>
      <w:r w:rsidRPr="00424E59">
        <w:rPr>
          <w:rFonts w:eastAsia="Calibri" w:cs="Times New Roman"/>
          <w:szCs w:val="24"/>
        </w:rPr>
        <w:t>substantive</w:t>
      </w:r>
      <w:r w:rsidRPr="00424E59">
        <w:rPr>
          <w:szCs w:val="24"/>
        </w:rPr>
        <w:t xml:space="preserve"> and allow</w:t>
      </w:r>
      <w:r w:rsidR="00920905">
        <w:rPr>
          <w:szCs w:val="24"/>
        </w:rPr>
        <w:t>s</w:t>
      </w:r>
      <w:r w:rsidRPr="00424E59">
        <w:rPr>
          <w:szCs w:val="24"/>
        </w:rPr>
        <w:t xml:space="preserve"> for all collections of information related to the federal position limits requirements, including exemptions from </w:t>
      </w:r>
      <w:r w:rsidRPr="00424E59">
        <w:rPr>
          <w:szCs w:val="24"/>
        </w:rPr>
        <w:lastRenderedPageBreak/>
        <w:t>speculative position limits and</w:t>
      </w:r>
      <w:r w:rsidRPr="00424E59" w:rsidR="002B0680">
        <w:rPr>
          <w:szCs w:val="24"/>
        </w:rPr>
        <w:t xml:space="preserve"> the collections of information being moved from OMB control number 3038-00</w:t>
      </w:r>
      <w:r w:rsidR="0095307E">
        <w:rPr>
          <w:szCs w:val="24"/>
        </w:rPr>
        <w:t>0</w:t>
      </w:r>
      <w:r w:rsidRPr="00424E59" w:rsidR="002B0680">
        <w:rPr>
          <w:szCs w:val="24"/>
        </w:rPr>
        <w:t>9</w:t>
      </w:r>
      <w:r w:rsidRPr="00424E59">
        <w:rPr>
          <w:szCs w:val="24"/>
        </w:rPr>
        <w:t xml:space="preserve"> </w:t>
      </w:r>
      <w:r w:rsidRPr="00424E59" w:rsidR="002B0680">
        <w:rPr>
          <w:szCs w:val="24"/>
        </w:rPr>
        <w:t>(</w:t>
      </w:r>
      <w:r w:rsidRPr="00424E59" w:rsidR="002B0680">
        <w:rPr>
          <w:i/>
          <w:szCs w:val="24"/>
        </w:rPr>
        <w:t>i.e.</w:t>
      </w:r>
      <w:r w:rsidRPr="00424E59" w:rsidR="002B0680">
        <w:rPr>
          <w:szCs w:val="24"/>
        </w:rPr>
        <w:t xml:space="preserve">, the </w:t>
      </w:r>
      <w:r w:rsidRPr="00424E59">
        <w:rPr>
          <w:szCs w:val="24"/>
        </w:rPr>
        <w:t>related large trader reporting</w:t>
      </w:r>
      <w:r w:rsidRPr="00424E59" w:rsidR="002B0680">
        <w:rPr>
          <w:szCs w:val="24"/>
        </w:rPr>
        <w:t>)</w:t>
      </w:r>
      <w:r w:rsidRPr="00424E59">
        <w:rPr>
          <w:szCs w:val="24"/>
        </w:rPr>
        <w:t xml:space="preserve">, to be housed in one collection.  </w:t>
      </w:r>
      <w:r w:rsidR="00920905">
        <w:rPr>
          <w:szCs w:val="24"/>
        </w:rPr>
        <w:t>T</w:t>
      </w:r>
      <w:r w:rsidRPr="00424E59">
        <w:rPr>
          <w:szCs w:val="24"/>
        </w:rPr>
        <w:t>he remaining collections of information under OMB control number 3038–0009 cover reports by various entities under parts 15, 17, and 21</w:t>
      </w:r>
      <w:r w:rsidRPr="00424E59">
        <w:rPr>
          <w:rStyle w:val="FootnoteReference"/>
          <w:szCs w:val="24"/>
        </w:rPr>
        <w:footnoteReference w:id="4"/>
      </w:r>
      <w:r w:rsidRPr="00424E59">
        <w:rPr>
          <w:szCs w:val="24"/>
        </w:rPr>
        <w:t xml:space="preserve"> of the Commission’s regulations, while OMB control number 3038–0013 hold</w:t>
      </w:r>
      <w:r w:rsidR="00CD3060">
        <w:rPr>
          <w:szCs w:val="24"/>
        </w:rPr>
        <w:t>s</w:t>
      </w:r>
      <w:r w:rsidRPr="00424E59">
        <w:rPr>
          <w:szCs w:val="24"/>
        </w:rPr>
        <w:t xml:space="preserve"> collections of information arising from parts 19 and 150.</w:t>
      </w:r>
    </w:p>
    <w:p w:rsidRPr="00424E59" w:rsidR="00ED71F1" w:rsidP="00FB3538" w:rsidRDefault="00ED71F1" w14:paraId="5E4969C3" w14:textId="77777777">
      <w:pPr>
        <w:autoSpaceDE w:val="0"/>
        <w:autoSpaceDN w:val="0"/>
        <w:adjustRightInd w:val="0"/>
        <w:ind w:firstLine="720"/>
        <w:jc w:val="both"/>
        <w:rPr>
          <w:rFonts w:eastAsia="Times New Roman" w:cs="Times New Roman"/>
          <w:color w:val="000000"/>
          <w:szCs w:val="24"/>
        </w:rPr>
      </w:pPr>
    </w:p>
    <w:p w:rsidR="00D616AE" w:rsidP="00ED71F1" w:rsidRDefault="00D616AE" w14:paraId="416B4E4F" w14:textId="77777777">
      <w:pPr>
        <w:autoSpaceDE w:val="0"/>
        <w:autoSpaceDN w:val="0"/>
        <w:adjustRightInd w:val="0"/>
        <w:ind w:firstLine="720"/>
        <w:jc w:val="both"/>
        <w:rPr>
          <w:szCs w:val="24"/>
        </w:rPr>
      </w:pPr>
      <w:r w:rsidRPr="00424E59">
        <w:rPr>
          <w:szCs w:val="24"/>
        </w:rPr>
        <w:t xml:space="preserve">Other than moving the existing aforementioned collections of information under part 19 from OMB control number 3038-0009 to OMB control number 3038-0013, the </w:t>
      </w:r>
      <w:r w:rsidR="00CE4D2E">
        <w:rPr>
          <w:szCs w:val="24"/>
        </w:rPr>
        <w:t>F</w:t>
      </w:r>
      <w:r w:rsidR="00D20572">
        <w:rPr>
          <w:szCs w:val="24"/>
        </w:rPr>
        <w:t>inal</w:t>
      </w:r>
      <w:r w:rsidRPr="00424E59" w:rsidR="00D20572">
        <w:rPr>
          <w:szCs w:val="24"/>
        </w:rPr>
        <w:t xml:space="preserve"> </w:t>
      </w:r>
      <w:r w:rsidR="00CE4D2E">
        <w:rPr>
          <w:szCs w:val="24"/>
        </w:rPr>
        <w:t>R</w:t>
      </w:r>
      <w:r w:rsidRPr="00424E59">
        <w:rPr>
          <w:szCs w:val="24"/>
        </w:rPr>
        <w:t xml:space="preserve">ule </w:t>
      </w:r>
      <w:r w:rsidR="00D20572">
        <w:rPr>
          <w:szCs w:val="24"/>
        </w:rPr>
        <w:t>does</w:t>
      </w:r>
      <w:r w:rsidRPr="00424E59">
        <w:rPr>
          <w:szCs w:val="24"/>
        </w:rPr>
        <w:t xml:space="preserve"> not make any other substantive changes to OMB control number 3038-0009 for the purposes of the Paperwork Reduction Act</w:t>
      </w:r>
      <w:r w:rsidR="008F5C89">
        <w:rPr>
          <w:szCs w:val="24"/>
        </w:rPr>
        <w:t xml:space="preserve"> (“PRA”)</w:t>
      </w:r>
      <w:r w:rsidRPr="00424E59">
        <w:rPr>
          <w:szCs w:val="24"/>
        </w:rPr>
        <w:t xml:space="preserve">.  The </w:t>
      </w:r>
      <w:r w:rsidRPr="00424E59" w:rsidR="00552CDB">
        <w:rPr>
          <w:szCs w:val="24"/>
        </w:rPr>
        <w:t>existing reporting rules covered by OMB c</w:t>
      </w:r>
      <w:r w:rsidRPr="00424E59">
        <w:rPr>
          <w:szCs w:val="24"/>
        </w:rPr>
        <w:t xml:space="preserve">ontrol </w:t>
      </w:r>
      <w:r w:rsidRPr="00424E59" w:rsidR="00552CDB">
        <w:rPr>
          <w:szCs w:val="24"/>
        </w:rPr>
        <w:t>n</w:t>
      </w:r>
      <w:r w:rsidRPr="00424E59">
        <w:rPr>
          <w:szCs w:val="24"/>
        </w:rPr>
        <w:t>umber 3038-0009 are structured to ensure the Commission receives adequate information to carry out its market and financial surveillance programs.</w:t>
      </w:r>
      <w:r w:rsidRPr="00424E59">
        <w:rPr>
          <w:szCs w:val="24"/>
          <w:vertAlign w:val="superscript"/>
        </w:rPr>
        <w:footnoteReference w:id="5"/>
      </w:r>
      <w:r w:rsidRPr="00424E59">
        <w:rPr>
          <w:szCs w:val="24"/>
        </w:rPr>
        <w:t xml:space="preserve">  The reporting rules are implemented by the Commission partly pursuant to the authority of sections 4a, 4c(b), 4g, and 4i of the </w:t>
      </w:r>
      <w:r w:rsidR="00F84ADA">
        <w:rPr>
          <w:szCs w:val="24"/>
        </w:rPr>
        <w:t>Act</w:t>
      </w:r>
      <w:r w:rsidRPr="00424E59">
        <w:rPr>
          <w:szCs w:val="24"/>
        </w:rPr>
        <w:t>.</w:t>
      </w:r>
      <w:r w:rsidRPr="00424E59">
        <w:rPr>
          <w:szCs w:val="24"/>
          <w:vertAlign w:val="superscript"/>
        </w:rPr>
        <w:footnoteReference w:id="6"/>
      </w:r>
      <w:r w:rsidRPr="00424E59">
        <w:rPr>
          <w:szCs w:val="24"/>
        </w:rPr>
        <w:t xml:space="preserve">  Section 4a of the Act permits the Commission to set</w:t>
      </w:r>
      <w:r w:rsidR="00E9770B">
        <w:rPr>
          <w:szCs w:val="24"/>
        </w:rPr>
        <w:t xml:space="preserve"> and</w:t>
      </w:r>
      <w:r w:rsidRPr="00424E59">
        <w:rPr>
          <w:szCs w:val="24"/>
        </w:rPr>
        <w:t xml:space="preserve"> approve exchange-set</w:t>
      </w:r>
      <w:r w:rsidR="00E9770B">
        <w:rPr>
          <w:szCs w:val="24"/>
        </w:rPr>
        <w:t xml:space="preserve"> limits</w:t>
      </w:r>
      <w:r w:rsidRPr="00424E59">
        <w:rPr>
          <w:szCs w:val="24"/>
        </w:rPr>
        <w:t xml:space="preserve"> and enforce speculative position limits.</w:t>
      </w:r>
      <w:r w:rsidRPr="00424E59">
        <w:rPr>
          <w:szCs w:val="24"/>
          <w:vertAlign w:val="superscript"/>
        </w:rPr>
        <w:footnoteReference w:id="7"/>
      </w:r>
      <w:r w:rsidRPr="00424E59">
        <w:rPr>
          <w:szCs w:val="24"/>
        </w:rPr>
        <w:t xml:space="preserve">  Section 4c(b) of the Act gives the Commission plenary authority to regulate transactions that involve commodity options.</w:t>
      </w:r>
      <w:r w:rsidRPr="00424E59">
        <w:rPr>
          <w:szCs w:val="24"/>
          <w:vertAlign w:val="superscript"/>
        </w:rPr>
        <w:footnoteReference w:id="8"/>
      </w:r>
      <w:r w:rsidRPr="00424E59">
        <w:rPr>
          <w:szCs w:val="24"/>
        </w:rPr>
        <w:t xml:space="preserve">  Section 4g of the Act imposes reporting and recordkeeping obligations on registered entities, and requires each registrant, whether a futures commission merchant (</w:t>
      </w:r>
      <w:r w:rsidRPr="00424E59" w:rsidR="00552CDB">
        <w:rPr>
          <w:szCs w:val="24"/>
        </w:rPr>
        <w:t>“</w:t>
      </w:r>
      <w:r w:rsidRPr="00424E59">
        <w:rPr>
          <w:szCs w:val="24"/>
        </w:rPr>
        <w:t>FCM</w:t>
      </w:r>
      <w:r w:rsidRPr="00424E59" w:rsidR="00552CDB">
        <w:rPr>
          <w:szCs w:val="24"/>
        </w:rPr>
        <w:t>”</w:t>
      </w:r>
      <w:r w:rsidRPr="00424E59">
        <w:rPr>
          <w:szCs w:val="24"/>
        </w:rPr>
        <w:t>), introducing broker, floor broker, or floor trader, to file such reports as the Commission may require on proprietary and customer positions executed on any board of trade in the United States or elsewhere.</w:t>
      </w:r>
      <w:r w:rsidRPr="00424E59">
        <w:rPr>
          <w:szCs w:val="24"/>
          <w:vertAlign w:val="superscript"/>
        </w:rPr>
        <w:footnoteReference w:id="9"/>
      </w:r>
      <w:r w:rsidRPr="00424E59">
        <w:rPr>
          <w:szCs w:val="24"/>
        </w:rPr>
        <w:t xml:space="preserve">  Lastly, section 4i of the Act requires the filing of such reports as the Commission may require when positions made or obtained on designated contract markets or derivatives transaction execution facilities equal or exceed Commission-set levels.</w:t>
      </w:r>
      <w:r w:rsidRPr="00424E59">
        <w:rPr>
          <w:szCs w:val="24"/>
          <w:vertAlign w:val="superscript"/>
        </w:rPr>
        <w:footnoteReference w:id="10"/>
      </w:r>
      <w:r w:rsidRPr="00424E59">
        <w:rPr>
          <w:szCs w:val="24"/>
        </w:rPr>
        <w:t xml:space="preserve"> </w:t>
      </w:r>
    </w:p>
    <w:p w:rsidR="00060FB7" w:rsidP="00ED71F1" w:rsidRDefault="00060FB7" w14:paraId="4CA7F8D3" w14:textId="77777777">
      <w:pPr>
        <w:autoSpaceDE w:val="0"/>
        <w:autoSpaceDN w:val="0"/>
        <w:adjustRightInd w:val="0"/>
        <w:ind w:firstLine="720"/>
        <w:jc w:val="both"/>
        <w:rPr>
          <w:szCs w:val="24"/>
        </w:rPr>
      </w:pPr>
    </w:p>
    <w:p w:rsidR="007639AD" w:rsidP="00ED71F1" w:rsidRDefault="002C7D81" w14:paraId="6301A578" w14:textId="77777777">
      <w:pPr>
        <w:autoSpaceDE w:val="0"/>
        <w:autoSpaceDN w:val="0"/>
        <w:adjustRightInd w:val="0"/>
        <w:ind w:firstLine="720"/>
        <w:jc w:val="both"/>
        <w:rPr>
          <w:rFonts w:eastAsia="Calibri" w:cs="Times New Roman"/>
          <w:bCs/>
          <w:szCs w:val="24"/>
        </w:rPr>
      </w:pPr>
      <w:r>
        <w:rPr>
          <w:szCs w:val="24"/>
        </w:rPr>
        <w:t xml:space="preserve">The collections of information covered by OMB control number </w:t>
      </w:r>
      <w:r w:rsidR="00D75CE8">
        <w:rPr>
          <w:szCs w:val="24"/>
        </w:rPr>
        <w:t xml:space="preserve">3038-0013 </w:t>
      </w:r>
      <w:r w:rsidR="00D75CE8">
        <w:rPr>
          <w:rFonts w:eastAsia="Calibri" w:cs="Times New Roman"/>
          <w:bCs/>
          <w:szCs w:val="24"/>
        </w:rPr>
        <w:t>are</w:t>
      </w:r>
      <w:r w:rsidRPr="00D75CE8" w:rsidR="00D75CE8">
        <w:rPr>
          <w:rFonts w:eastAsia="Calibri" w:cs="Times New Roman"/>
          <w:bCs/>
          <w:szCs w:val="24"/>
        </w:rPr>
        <w:t xml:space="preserve"> necessary for the Commission to determine whether to recognize a trader’s position as a bona fide hedge exempted from position limit requirements</w:t>
      </w:r>
      <w:r w:rsidR="008B2D7F">
        <w:rPr>
          <w:rFonts w:eastAsia="Calibri" w:cs="Times New Roman"/>
          <w:bCs/>
          <w:szCs w:val="24"/>
        </w:rPr>
        <w:t xml:space="preserve">. </w:t>
      </w:r>
      <w:r w:rsidR="00CC4801">
        <w:rPr>
          <w:rFonts w:eastAsia="Calibri" w:cs="Times New Roman"/>
          <w:bCs/>
          <w:szCs w:val="24"/>
        </w:rPr>
        <w:t xml:space="preserve"> </w:t>
      </w:r>
      <w:r w:rsidR="008B2D7F">
        <w:rPr>
          <w:rFonts w:eastAsia="Calibri" w:cs="Times New Roman"/>
          <w:bCs/>
          <w:szCs w:val="24"/>
        </w:rPr>
        <w:t xml:space="preserve">They also ensure </w:t>
      </w:r>
      <w:r w:rsidRPr="008B2D7F" w:rsidR="008B2D7F">
        <w:rPr>
          <w:rFonts w:eastAsia="Calibri" w:cs="Times New Roman"/>
          <w:szCs w:val="24"/>
        </w:rPr>
        <w:t>that exchange-set limits comply with Commission regulations</w:t>
      </w:r>
      <w:r w:rsidR="008B2D7F">
        <w:rPr>
          <w:rFonts w:eastAsia="Calibri" w:cs="Times New Roman"/>
          <w:bCs/>
          <w:szCs w:val="24"/>
        </w:rPr>
        <w:t>,</w:t>
      </w:r>
      <w:r w:rsidR="00D75CE8">
        <w:rPr>
          <w:rFonts w:eastAsia="Calibri" w:cs="Times New Roman"/>
          <w:bCs/>
          <w:szCs w:val="24"/>
        </w:rPr>
        <w:t xml:space="preserve"> </w:t>
      </w:r>
      <w:r w:rsidRPr="008B2D7F" w:rsidR="008B2D7F">
        <w:rPr>
          <w:rFonts w:eastAsia="Calibri" w:cs="Times New Roman"/>
          <w:szCs w:val="24"/>
        </w:rPr>
        <w:t xml:space="preserve">including that </w:t>
      </w:r>
      <w:r w:rsidR="008B2D7F">
        <w:rPr>
          <w:rFonts w:eastAsia="Calibri" w:cs="Times New Roman"/>
          <w:szCs w:val="24"/>
        </w:rPr>
        <w:t>such</w:t>
      </w:r>
      <w:r w:rsidRPr="008B2D7F" w:rsidR="008B2D7F">
        <w:rPr>
          <w:rFonts w:eastAsia="Calibri" w:cs="Times New Roman"/>
          <w:szCs w:val="24"/>
        </w:rPr>
        <w:t xml:space="preserve"> limits are no higher than the applicable federal level; </w:t>
      </w:r>
      <w:r w:rsidR="008B2D7F">
        <w:rPr>
          <w:rFonts w:eastAsia="Calibri" w:cs="Times New Roman"/>
          <w:szCs w:val="24"/>
        </w:rPr>
        <w:t xml:space="preserve">that the exchanges </w:t>
      </w:r>
      <w:r w:rsidRPr="008B2D7F" w:rsidR="008B2D7F">
        <w:rPr>
          <w:rFonts w:eastAsia="Calibri" w:cs="Times New Roman"/>
          <w:szCs w:val="24"/>
        </w:rPr>
        <w:t xml:space="preserve">establish minimum standards needed to administer the exchange’s position limits framework; and </w:t>
      </w:r>
      <w:r w:rsidR="008B2D7F">
        <w:rPr>
          <w:rFonts w:eastAsia="Calibri" w:cs="Times New Roman"/>
          <w:szCs w:val="24"/>
        </w:rPr>
        <w:t xml:space="preserve">that </w:t>
      </w:r>
      <w:r w:rsidR="00CC4801">
        <w:rPr>
          <w:rFonts w:eastAsia="Calibri" w:cs="Times New Roman"/>
          <w:szCs w:val="24"/>
        </w:rPr>
        <w:t xml:space="preserve">the </w:t>
      </w:r>
      <w:r w:rsidRPr="008B2D7F" w:rsidR="008B2D7F">
        <w:rPr>
          <w:rFonts w:eastAsia="Calibri" w:cs="Times New Roman"/>
          <w:szCs w:val="24"/>
        </w:rPr>
        <w:t xml:space="preserve">Commission </w:t>
      </w:r>
      <w:r w:rsidR="008B2D7F">
        <w:rPr>
          <w:rFonts w:eastAsia="Calibri" w:cs="Times New Roman"/>
          <w:szCs w:val="24"/>
        </w:rPr>
        <w:t xml:space="preserve">is able </w:t>
      </w:r>
      <w:r w:rsidRPr="008B2D7F" w:rsidR="008B2D7F">
        <w:rPr>
          <w:rFonts w:eastAsia="Calibri" w:cs="Times New Roman"/>
          <w:szCs w:val="24"/>
        </w:rPr>
        <w:t xml:space="preserve">to oversee an exchange’s exemptions process to ensure it does not undermine the federal position limits framework. </w:t>
      </w:r>
      <w:r w:rsidR="00203462">
        <w:rPr>
          <w:rFonts w:eastAsia="Calibri" w:cs="Times New Roman"/>
          <w:szCs w:val="24"/>
        </w:rPr>
        <w:t xml:space="preserve"> </w:t>
      </w:r>
      <w:r w:rsidR="00E9770B">
        <w:rPr>
          <w:rFonts w:eastAsia="Calibri" w:cs="Times New Roman"/>
          <w:szCs w:val="24"/>
        </w:rPr>
        <w:t xml:space="preserve">In addition, </w:t>
      </w:r>
      <w:r w:rsidR="00E9770B">
        <w:rPr>
          <w:rFonts w:eastAsia="Calibri" w:cs="Times New Roman"/>
          <w:bCs/>
          <w:szCs w:val="24"/>
        </w:rPr>
        <w:t>t</w:t>
      </w:r>
      <w:r w:rsidR="00D75CE8">
        <w:rPr>
          <w:rFonts w:eastAsia="Calibri" w:cs="Times New Roman"/>
          <w:bCs/>
          <w:szCs w:val="24"/>
        </w:rPr>
        <w:t xml:space="preserve">hey </w:t>
      </w:r>
      <w:r w:rsidR="00D75CE8">
        <w:rPr>
          <w:rFonts w:eastAsia="Calibri" w:cs="Times New Roman"/>
          <w:szCs w:val="24"/>
        </w:rPr>
        <w:lastRenderedPageBreak/>
        <w:t xml:space="preserve">also </w:t>
      </w:r>
      <w:r w:rsidRPr="00D75CE8" w:rsidR="00D75CE8">
        <w:rPr>
          <w:rFonts w:eastAsia="Calibri" w:cs="Times New Roman"/>
          <w:szCs w:val="24"/>
        </w:rPr>
        <w:t>help ensure that any person claim</w:t>
      </w:r>
      <w:r w:rsidR="00D75CE8">
        <w:rPr>
          <w:rFonts w:eastAsia="Calibri" w:cs="Times New Roman"/>
          <w:szCs w:val="24"/>
        </w:rPr>
        <w:t>ing</w:t>
      </w:r>
      <w:r w:rsidRPr="00D75CE8" w:rsidR="00D75CE8">
        <w:rPr>
          <w:rFonts w:eastAsia="Calibri" w:cs="Times New Roman"/>
          <w:szCs w:val="24"/>
        </w:rPr>
        <w:t xml:space="preserve"> any exemption can demonstrate compliance with the applicable requirements</w:t>
      </w:r>
      <w:r w:rsidRPr="00D75CE8" w:rsidR="00D75CE8">
        <w:rPr>
          <w:rFonts w:eastAsia="Calibri" w:cs="Times New Roman"/>
          <w:bCs/>
          <w:szCs w:val="24"/>
        </w:rPr>
        <w:t>.</w:t>
      </w:r>
      <w:r w:rsidR="00D75CE8">
        <w:rPr>
          <w:rFonts w:eastAsia="Calibri" w:cs="Times New Roman"/>
          <w:bCs/>
          <w:szCs w:val="24"/>
        </w:rPr>
        <w:t xml:space="preserve">  </w:t>
      </w:r>
    </w:p>
    <w:p w:rsidR="007639AD" w:rsidP="00ED71F1" w:rsidRDefault="007639AD" w14:paraId="5135DF3C" w14:textId="77777777">
      <w:pPr>
        <w:autoSpaceDE w:val="0"/>
        <w:autoSpaceDN w:val="0"/>
        <w:adjustRightInd w:val="0"/>
        <w:ind w:firstLine="720"/>
        <w:jc w:val="both"/>
        <w:rPr>
          <w:rFonts w:eastAsia="Calibri" w:cs="Times New Roman"/>
          <w:bCs/>
          <w:szCs w:val="24"/>
        </w:rPr>
      </w:pPr>
    </w:p>
    <w:p w:rsidRPr="00424E59" w:rsidR="00D616AE" w:rsidP="00D616AE" w:rsidRDefault="00D75CE8" w14:paraId="1AC1D731" w14:textId="77777777">
      <w:pPr>
        <w:autoSpaceDE w:val="0"/>
        <w:autoSpaceDN w:val="0"/>
        <w:adjustRightInd w:val="0"/>
        <w:ind w:firstLine="720"/>
        <w:jc w:val="both"/>
        <w:rPr>
          <w:rFonts w:eastAsia="Times New Roman" w:cs="Times New Roman"/>
          <w:color w:val="000000"/>
          <w:szCs w:val="24"/>
        </w:rPr>
      </w:pPr>
      <w:r>
        <w:rPr>
          <w:rFonts w:eastAsia="Calibri" w:cs="Times New Roman"/>
          <w:bCs/>
          <w:szCs w:val="24"/>
        </w:rPr>
        <w:t>Also, the</w:t>
      </w:r>
      <w:r w:rsidRPr="00D75CE8">
        <w:rPr>
          <w:rFonts w:eastAsia="Calibri" w:cs="Times New Roman"/>
          <w:bCs/>
          <w:szCs w:val="24"/>
        </w:rPr>
        <w:t xml:space="preserve"> </w:t>
      </w:r>
      <w:r>
        <w:rPr>
          <w:szCs w:val="24"/>
        </w:rPr>
        <w:t xml:space="preserve">collections of information covered by OMB control number 3038-0093 </w:t>
      </w:r>
      <w:r>
        <w:rPr>
          <w:rFonts w:eastAsia="Calibri" w:cs="Times New Roman"/>
          <w:bCs/>
          <w:szCs w:val="24"/>
        </w:rPr>
        <w:t>are</w:t>
      </w:r>
      <w:r w:rsidRPr="00D75CE8">
        <w:rPr>
          <w:rFonts w:eastAsia="Calibri" w:cs="Times New Roman"/>
          <w:bCs/>
          <w:szCs w:val="24"/>
        </w:rPr>
        <w:t xml:space="preserve"> necessary </w:t>
      </w:r>
      <w:r w:rsidRPr="00D75CE8">
        <w:rPr>
          <w:rFonts w:eastAsia="Calibri" w:cs="Times New Roman"/>
          <w:szCs w:val="24"/>
        </w:rPr>
        <w:t>to capture the new non-enumerated bona fide hedge process in the exchanges’ rulebook</w:t>
      </w:r>
      <w:r w:rsidR="00B17DF0">
        <w:rPr>
          <w:rFonts w:eastAsia="Calibri" w:cs="Times New Roman"/>
          <w:szCs w:val="24"/>
        </w:rPr>
        <w:t>s</w:t>
      </w:r>
      <w:r w:rsidRPr="00D75CE8">
        <w:rPr>
          <w:rFonts w:eastAsia="Calibri" w:cs="Times New Roman"/>
          <w:szCs w:val="24"/>
        </w:rPr>
        <w:t xml:space="preserve">, which </w:t>
      </w:r>
      <w:r w:rsidR="00B17DF0">
        <w:rPr>
          <w:rFonts w:eastAsia="Calibri" w:cs="Times New Roman"/>
          <w:szCs w:val="24"/>
        </w:rPr>
        <w:t>are</w:t>
      </w:r>
      <w:r w:rsidRPr="00D75CE8">
        <w:rPr>
          <w:rFonts w:eastAsia="Calibri" w:cs="Times New Roman"/>
          <w:szCs w:val="24"/>
        </w:rPr>
        <w:t xml:space="preserve"> subject to Commission approval.  </w:t>
      </w:r>
      <w:r w:rsidR="00DA0C3F">
        <w:rPr>
          <w:szCs w:val="24"/>
        </w:rPr>
        <w:t xml:space="preserve">The Commission’s answers to the questions below </w:t>
      </w:r>
      <w:r>
        <w:rPr>
          <w:szCs w:val="24"/>
        </w:rPr>
        <w:t xml:space="preserve">further explain how the </w:t>
      </w:r>
      <w:r w:rsidR="00CC4801">
        <w:rPr>
          <w:szCs w:val="24"/>
        </w:rPr>
        <w:t>Final Rule</w:t>
      </w:r>
      <w:r w:rsidR="0094016A">
        <w:rPr>
          <w:szCs w:val="24"/>
        </w:rPr>
        <w:t xml:space="preserve"> </w:t>
      </w:r>
      <w:r>
        <w:rPr>
          <w:szCs w:val="24"/>
        </w:rPr>
        <w:t>impact</w:t>
      </w:r>
      <w:r w:rsidR="00CC4801">
        <w:rPr>
          <w:szCs w:val="24"/>
        </w:rPr>
        <w:t>s</w:t>
      </w:r>
      <w:r>
        <w:rPr>
          <w:szCs w:val="24"/>
        </w:rPr>
        <w:t xml:space="preserve"> the three </w:t>
      </w:r>
      <w:r w:rsidR="00DA0C3F">
        <w:rPr>
          <w:szCs w:val="24"/>
        </w:rPr>
        <w:t>OMB control numbers 3038-0009</w:t>
      </w:r>
      <w:r>
        <w:rPr>
          <w:szCs w:val="24"/>
        </w:rPr>
        <w:t>,</w:t>
      </w:r>
      <w:r w:rsidR="00DA0C3F">
        <w:rPr>
          <w:szCs w:val="24"/>
        </w:rPr>
        <w:t xml:space="preserve"> 3038-0013</w:t>
      </w:r>
      <w:r w:rsidR="00CE4D2E">
        <w:rPr>
          <w:szCs w:val="24"/>
        </w:rPr>
        <w:t>,</w:t>
      </w:r>
      <w:r w:rsidR="00DA0C3F">
        <w:rPr>
          <w:szCs w:val="24"/>
        </w:rPr>
        <w:t xml:space="preserve"> </w:t>
      </w:r>
      <w:r>
        <w:rPr>
          <w:szCs w:val="24"/>
        </w:rPr>
        <w:t>and 3038-0093</w:t>
      </w:r>
      <w:r w:rsidR="00E95C6A">
        <w:rPr>
          <w:szCs w:val="24"/>
        </w:rPr>
        <w:t xml:space="preserve">.  Except when </w:t>
      </w:r>
      <w:r w:rsidR="00DA0C3F">
        <w:rPr>
          <w:szCs w:val="24"/>
        </w:rPr>
        <w:t>specified</w:t>
      </w:r>
      <w:r w:rsidR="00E95C6A">
        <w:rPr>
          <w:szCs w:val="24"/>
        </w:rPr>
        <w:t xml:space="preserve">, the answers </w:t>
      </w:r>
      <w:r w:rsidR="004D5C30">
        <w:rPr>
          <w:szCs w:val="24"/>
        </w:rPr>
        <w:t>apply to all three OMB control numbers</w:t>
      </w:r>
      <w:r w:rsidR="00DA0C3F">
        <w:rPr>
          <w:szCs w:val="24"/>
        </w:rPr>
        <w:t>.</w:t>
      </w:r>
    </w:p>
    <w:p w:rsidRPr="00424E59" w:rsidR="00D616AE" w:rsidP="00453E51" w:rsidRDefault="00453E51" w14:paraId="196936D7" w14:textId="77777777">
      <w:pPr>
        <w:tabs>
          <w:tab w:val="left" w:pos="1008"/>
        </w:tabs>
        <w:autoSpaceDE w:val="0"/>
        <w:autoSpaceDN w:val="0"/>
        <w:adjustRightInd w:val="0"/>
        <w:rPr>
          <w:rFonts w:eastAsia="Times New Roman" w:cs="Times New Roman"/>
          <w:color w:val="000000"/>
          <w:szCs w:val="24"/>
        </w:rPr>
      </w:pPr>
      <w:r>
        <w:rPr>
          <w:rFonts w:eastAsia="Times New Roman" w:cs="Times New Roman"/>
          <w:color w:val="000000"/>
          <w:szCs w:val="24"/>
        </w:rPr>
        <w:tab/>
      </w:r>
    </w:p>
    <w:p w:rsidRPr="00424E59" w:rsidR="00642B6A" w:rsidP="00FE503D" w:rsidRDefault="00642B6A" w14:paraId="746986E2" w14:textId="77777777">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2.</w:t>
      </w:r>
      <w:r w:rsidRPr="00424E5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Pr="00424E59" w:rsidR="00814D43" w:rsidP="000F0799" w:rsidRDefault="00814D43" w14:paraId="0F686F76" w14:textId="77777777">
      <w:pPr>
        <w:pStyle w:val="ListParagraph"/>
        <w:numPr>
          <w:ilvl w:val="0"/>
          <w:numId w:val="2"/>
        </w:numPr>
        <w:tabs>
          <w:tab w:val="left" w:pos="-720"/>
        </w:tabs>
        <w:spacing w:after="240"/>
        <w:jc w:val="both"/>
        <w:rPr>
          <w:rFonts w:eastAsia="Times New Roman"/>
          <w:b/>
          <w:szCs w:val="24"/>
        </w:rPr>
      </w:pPr>
      <w:r w:rsidRPr="00424E59">
        <w:rPr>
          <w:b/>
          <w:szCs w:val="24"/>
        </w:rPr>
        <w:t xml:space="preserve">OMB </w:t>
      </w:r>
      <w:r w:rsidR="00BE3C47">
        <w:rPr>
          <w:b/>
          <w:szCs w:val="24"/>
        </w:rPr>
        <w:t xml:space="preserve">Control Number </w:t>
      </w:r>
      <w:r w:rsidRPr="00424E59">
        <w:rPr>
          <w:b/>
          <w:szCs w:val="24"/>
        </w:rPr>
        <w:t>3038-000</w:t>
      </w:r>
      <w:r w:rsidRPr="00424E59" w:rsidR="006D7499">
        <w:rPr>
          <w:b/>
          <w:szCs w:val="24"/>
        </w:rPr>
        <w:t>9</w:t>
      </w:r>
      <w:r w:rsidRPr="00424E59">
        <w:rPr>
          <w:b/>
          <w:szCs w:val="24"/>
        </w:rPr>
        <w:t xml:space="preserve"> </w:t>
      </w:r>
      <w:r w:rsidRPr="00424E59" w:rsidR="00A470DE">
        <w:rPr>
          <w:b/>
          <w:szCs w:val="24"/>
        </w:rPr>
        <w:t>–</w:t>
      </w:r>
      <w:r w:rsidRPr="00424E59">
        <w:rPr>
          <w:b/>
          <w:szCs w:val="24"/>
        </w:rPr>
        <w:t xml:space="preserve"> </w:t>
      </w:r>
      <w:r w:rsidRPr="00424E59" w:rsidR="00A470DE">
        <w:rPr>
          <w:b/>
          <w:szCs w:val="24"/>
        </w:rPr>
        <w:t xml:space="preserve">Large Trader </w:t>
      </w:r>
      <w:r w:rsidRPr="00424E59">
        <w:rPr>
          <w:b/>
          <w:szCs w:val="24"/>
        </w:rPr>
        <w:t xml:space="preserve">Reports </w:t>
      </w:r>
    </w:p>
    <w:p w:rsidR="00552CDB" w:rsidP="00552CDB" w:rsidRDefault="00552CDB" w14:paraId="3488AFF3" w14:textId="77777777">
      <w:pPr>
        <w:autoSpaceDE w:val="0"/>
        <w:autoSpaceDN w:val="0"/>
        <w:adjustRightInd w:val="0"/>
        <w:ind w:firstLine="720"/>
        <w:jc w:val="both"/>
        <w:rPr>
          <w:szCs w:val="24"/>
        </w:rPr>
      </w:pPr>
      <w:r w:rsidRPr="00424E59">
        <w:rPr>
          <w:szCs w:val="24"/>
        </w:rPr>
        <w:t xml:space="preserve">The Commission employs a comprehensive reporting system to enforce speculative position limits and assess the activities and market power of traders in an effort to detect and deter </w:t>
      </w:r>
      <w:r w:rsidRPr="00424E59">
        <w:rPr>
          <w:rFonts w:eastAsia="Times New Roman" w:cs="Times New Roman"/>
          <w:szCs w:val="24"/>
        </w:rPr>
        <w:t>manipulation</w:t>
      </w:r>
      <w:r w:rsidRPr="00424E59">
        <w:rPr>
          <w:szCs w:val="24"/>
        </w:rPr>
        <w:t xml:space="preserve"> of its jurisdictional markets.  The information collected is used primarily by </w:t>
      </w:r>
      <w:r w:rsidR="00C55217">
        <w:rPr>
          <w:szCs w:val="24"/>
        </w:rPr>
        <w:t xml:space="preserve">Commission </w:t>
      </w:r>
      <w:r w:rsidRPr="00424E59">
        <w:rPr>
          <w:szCs w:val="24"/>
        </w:rPr>
        <w:t xml:space="preserve">analysts for daily market surveillance and the enforcement of </w:t>
      </w:r>
      <w:r w:rsidR="008F5C89">
        <w:rPr>
          <w:szCs w:val="24"/>
        </w:rPr>
        <w:t xml:space="preserve">speculative position limits.  </w:t>
      </w:r>
      <w:r w:rsidRPr="00424E59">
        <w:rPr>
          <w:szCs w:val="24"/>
        </w:rPr>
        <w:t>The data also provides a basis for periodic Commission publications and is used by Commission economists and</w:t>
      </w:r>
      <w:r w:rsidR="0017726D">
        <w:rPr>
          <w:szCs w:val="24"/>
        </w:rPr>
        <w:t xml:space="preserve"> the public</w:t>
      </w:r>
      <w:r w:rsidRPr="00424E59">
        <w:rPr>
          <w:szCs w:val="24"/>
        </w:rPr>
        <w:t xml:space="preserve"> for research.</w:t>
      </w:r>
    </w:p>
    <w:p w:rsidR="00585FDC" w:rsidP="00552CDB" w:rsidRDefault="00585FDC" w14:paraId="7AD2CBF3" w14:textId="77777777">
      <w:pPr>
        <w:autoSpaceDE w:val="0"/>
        <w:autoSpaceDN w:val="0"/>
        <w:adjustRightInd w:val="0"/>
        <w:ind w:firstLine="720"/>
        <w:jc w:val="both"/>
        <w:rPr>
          <w:szCs w:val="24"/>
        </w:rPr>
      </w:pPr>
    </w:p>
    <w:p w:rsidR="00585FDC" w:rsidP="00585FDC" w:rsidRDefault="00585FDC" w14:paraId="03E71ED8" w14:textId="77777777">
      <w:pPr>
        <w:autoSpaceDE w:val="0"/>
        <w:autoSpaceDN w:val="0"/>
        <w:adjustRightInd w:val="0"/>
        <w:ind w:firstLine="720"/>
        <w:jc w:val="both"/>
        <w:rPr>
          <w:rFonts w:eastAsia="Calibri" w:cs="Times New Roman"/>
          <w:szCs w:val="24"/>
        </w:rPr>
      </w:pPr>
      <w:r w:rsidRPr="00B713AF">
        <w:rPr>
          <w:rFonts w:eastAsia="Calibri" w:cs="Times New Roman"/>
          <w:szCs w:val="24"/>
        </w:rPr>
        <w:t xml:space="preserve">The Commission’s </w:t>
      </w:r>
      <w:r w:rsidR="0094016A">
        <w:rPr>
          <w:rFonts w:eastAsia="Calibri" w:cs="Times New Roman"/>
          <w:szCs w:val="24"/>
        </w:rPr>
        <w:t>Final Rule</w:t>
      </w:r>
      <w:r w:rsidRPr="00B713AF">
        <w:rPr>
          <w:rFonts w:eastAsia="Calibri" w:cs="Times New Roman"/>
          <w:szCs w:val="24"/>
        </w:rPr>
        <w:t xml:space="preserve"> amend</w:t>
      </w:r>
      <w:r w:rsidR="0094016A">
        <w:rPr>
          <w:rFonts w:eastAsia="Calibri" w:cs="Times New Roman"/>
          <w:szCs w:val="24"/>
        </w:rPr>
        <w:t>s</w:t>
      </w:r>
      <w:r w:rsidRPr="00B713AF">
        <w:rPr>
          <w:rFonts w:eastAsia="Calibri" w:cs="Times New Roman"/>
          <w:szCs w:val="24"/>
        </w:rPr>
        <w:t xml:space="preserve"> part 19 to remove these reporting obligations associated with Form 204 and Parts I and II of Form 304</w:t>
      </w:r>
      <w:r>
        <w:rPr>
          <w:rFonts w:eastAsia="Calibri" w:cs="Times New Roman"/>
          <w:szCs w:val="24"/>
        </w:rPr>
        <w:t xml:space="preserve"> (“</w:t>
      </w:r>
      <w:r w:rsidR="0094016A">
        <w:rPr>
          <w:rFonts w:eastAsia="Calibri" w:cs="Times New Roman"/>
          <w:szCs w:val="24"/>
        </w:rPr>
        <w:t>s</w:t>
      </w:r>
      <w:r>
        <w:rPr>
          <w:rFonts w:eastAsia="Calibri" w:cs="Times New Roman"/>
          <w:szCs w:val="24"/>
        </w:rPr>
        <w:t>eries ’04 reports”)</w:t>
      </w:r>
      <w:r w:rsidRPr="00B713AF">
        <w:rPr>
          <w:rFonts w:eastAsia="Calibri" w:cs="Times New Roman"/>
          <w:szCs w:val="24"/>
        </w:rPr>
        <w:t xml:space="preserve">.  To effect these changes to traders’ reporting obligations, the Commission </w:t>
      </w:r>
      <w:r w:rsidR="0094016A">
        <w:rPr>
          <w:rFonts w:eastAsia="Calibri" w:cs="Times New Roman"/>
          <w:szCs w:val="24"/>
        </w:rPr>
        <w:t>is</w:t>
      </w:r>
      <w:r w:rsidRPr="00B713AF" w:rsidR="0094016A">
        <w:rPr>
          <w:rFonts w:eastAsia="Calibri" w:cs="Times New Roman"/>
          <w:szCs w:val="24"/>
        </w:rPr>
        <w:t xml:space="preserve"> </w:t>
      </w:r>
      <w:r w:rsidRPr="00B713AF">
        <w:rPr>
          <w:rFonts w:eastAsia="Calibri" w:cs="Times New Roman"/>
          <w:szCs w:val="24"/>
        </w:rPr>
        <w:t>eliminat</w:t>
      </w:r>
      <w:r w:rsidR="0094016A">
        <w:rPr>
          <w:rFonts w:eastAsia="Calibri" w:cs="Times New Roman"/>
          <w:szCs w:val="24"/>
        </w:rPr>
        <w:t>ing</w:t>
      </w:r>
      <w:r w:rsidRPr="00B713AF">
        <w:rPr>
          <w:rFonts w:eastAsia="Calibri" w:cs="Times New Roman"/>
          <w:szCs w:val="24"/>
        </w:rPr>
        <w:t xml:space="preserve"> (</w:t>
      </w:r>
      <w:proofErr w:type="spellStart"/>
      <w:r w:rsidRPr="00B713AF">
        <w:rPr>
          <w:rFonts w:eastAsia="Calibri" w:cs="Times New Roman"/>
          <w:szCs w:val="24"/>
        </w:rPr>
        <w:t>i</w:t>
      </w:r>
      <w:proofErr w:type="spellEnd"/>
      <w:r w:rsidRPr="00B713AF">
        <w:rPr>
          <w:rFonts w:eastAsia="Calibri" w:cs="Times New Roman"/>
          <w:szCs w:val="24"/>
        </w:rPr>
        <w:t xml:space="preserve">) existing § 19.00(a)(1), which requires the applicable persons to file a Form 204; and (ii) existing § 19.01, which among other things, sets forth the cash-market information required to be submitted on the Forms 204 and 304. </w:t>
      </w:r>
      <w:r w:rsidR="0094016A">
        <w:rPr>
          <w:rFonts w:eastAsia="Calibri" w:cs="Times New Roman"/>
          <w:szCs w:val="24"/>
        </w:rPr>
        <w:t xml:space="preserve"> </w:t>
      </w:r>
      <w:r w:rsidRPr="00B713AF">
        <w:rPr>
          <w:rFonts w:eastAsia="Calibri" w:cs="Times New Roman"/>
          <w:szCs w:val="24"/>
        </w:rPr>
        <w:t xml:space="preserve">The Commission </w:t>
      </w:r>
      <w:r w:rsidR="0094016A">
        <w:rPr>
          <w:rFonts w:eastAsia="Calibri" w:cs="Times New Roman"/>
          <w:szCs w:val="24"/>
        </w:rPr>
        <w:t>is</w:t>
      </w:r>
      <w:r w:rsidRPr="00B713AF">
        <w:rPr>
          <w:rFonts w:eastAsia="Calibri" w:cs="Times New Roman"/>
          <w:szCs w:val="24"/>
        </w:rPr>
        <w:t xml:space="preserve"> maintain</w:t>
      </w:r>
      <w:r w:rsidR="0094016A">
        <w:rPr>
          <w:rFonts w:eastAsia="Calibri" w:cs="Times New Roman"/>
          <w:szCs w:val="24"/>
        </w:rPr>
        <w:t>ing</w:t>
      </w:r>
      <w:r w:rsidRPr="00B713AF">
        <w:rPr>
          <w:rFonts w:eastAsia="Calibri" w:cs="Times New Roman"/>
          <w:szCs w:val="24"/>
        </w:rPr>
        <w:t xml:space="preserve"> Part III of Form 304, which requests information on unfixed-price “on</w:t>
      </w:r>
      <w:r w:rsidR="0094016A">
        <w:rPr>
          <w:rFonts w:eastAsia="Calibri" w:cs="Times New Roman"/>
          <w:szCs w:val="24"/>
        </w:rPr>
        <w:t>-</w:t>
      </w:r>
      <w:r w:rsidRPr="00B713AF">
        <w:rPr>
          <w:rFonts w:eastAsia="Calibri" w:cs="Times New Roman"/>
          <w:szCs w:val="24"/>
        </w:rPr>
        <w:t xml:space="preserve">call” purchases and sales of cotton and which the Commission utilizes to prepare its weekly cotton on-call report. </w:t>
      </w:r>
      <w:r w:rsidR="0094016A">
        <w:rPr>
          <w:rFonts w:eastAsia="Calibri" w:cs="Times New Roman"/>
          <w:szCs w:val="24"/>
        </w:rPr>
        <w:t xml:space="preserve"> </w:t>
      </w:r>
      <w:r w:rsidRPr="00B713AF">
        <w:rPr>
          <w:rFonts w:eastAsia="Calibri" w:cs="Times New Roman"/>
          <w:szCs w:val="24"/>
        </w:rPr>
        <w:t xml:space="preserve">The Commission </w:t>
      </w:r>
      <w:r w:rsidR="0094016A">
        <w:rPr>
          <w:rFonts w:eastAsia="Calibri" w:cs="Times New Roman"/>
          <w:szCs w:val="24"/>
        </w:rPr>
        <w:t>is</w:t>
      </w:r>
      <w:r w:rsidRPr="00B713AF">
        <w:rPr>
          <w:rFonts w:eastAsia="Calibri" w:cs="Times New Roman"/>
          <w:szCs w:val="24"/>
        </w:rPr>
        <w:t xml:space="preserve"> also maintain</w:t>
      </w:r>
      <w:r w:rsidR="0094016A">
        <w:rPr>
          <w:rFonts w:eastAsia="Calibri" w:cs="Times New Roman"/>
          <w:szCs w:val="24"/>
        </w:rPr>
        <w:t>ing</w:t>
      </w:r>
      <w:r w:rsidRPr="00B713AF">
        <w:rPr>
          <w:rFonts w:eastAsia="Calibri" w:cs="Times New Roman"/>
          <w:szCs w:val="24"/>
        </w:rPr>
        <w:t xml:space="preserve"> its existing special call authority under part 19</w:t>
      </w:r>
      <w:r>
        <w:rPr>
          <w:rFonts w:eastAsia="Calibri" w:cs="Times New Roman"/>
          <w:szCs w:val="24"/>
        </w:rPr>
        <w:t xml:space="preserve">, as discussed </w:t>
      </w:r>
      <w:r w:rsidR="00276439">
        <w:rPr>
          <w:rFonts w:eastAsia="Calibri" w:cs="Times New Roman"/>
          <w:szCs w:val="24"/>
        </w:rPr>
        <w:t>below</w:t>
      </w:r>
      <w:r w:rsidRPr="00B713AF">
        <w:rPr>
          <w:rFonts w:eastAsia="Calibri" w:cs="Times New Roman"/>
          <w:szCs w:val="24"/>
        </w:rPr>
        <w:t>.</w:t>
      </w:r>
    </w:p>
    <w:p w:rsidR="00585FDC" w:rsidP="00552CDB" w:rsidRDefault="00585FDC" w14:paraId="5496F7CB" w14:textId="77777777">
      <w:pPr>
        <w:autoSpaceDE w:val="0"/>
        <w:autoSpaceDN w:val="0"/>
        <w:adjustRightInd w:val="0"/>
        <w:ind w:firstLine="720"/>
        <w:jc w:val="both"/>
        <w:rPr>
          <w:szCs w:val="24"/>
        </w:rPr>
      </w:pPr>
    </w:p>
    <w:p w:rsidR="00585FDC" w:rsidP="00552CDB" w:rsidRDefault="00585FDC" w14:paraId="3EAD10D8" w14:textId="77777777">
      <w:pPr>
        <w:autoSpaceDE w:val="0"/>
        <w:autoSpaceDN w:val="0"/>
        <w:adjustRightInd w:val="0"/>
        <w:ind w:firstLine="720"/>
        <w:jc w:val="both"/>
        <w:rPr>
          <w:szCs w:val="24"/>
        </w:rPr>
      </w:pPr>
      <w:r w:rsidRPr="00424E59">
        <w:rPr>
          <w:bCs/>
          <w:iCs/>
          <w:szCs w:val="24"/>
        </w:rPr>
        <w:t xml:space="preserve">Position information collected pursuant to special call under part 21 (17 CFR part 21) of the Commission’s regulations is submitted by reporting firms and may be used to audit large trader reports and is used to investigate potential market abuses.  Although similar to the standardized information routinely collected under part 17 of the Commission’s regulations (17 CFR part 17) for reportable accounts, such data is submitted in response to customized requests for information and may regard accounts and positions that are not reportable.  In contrast to special calls for identifying data made under Commission regulation 18.04 (17 CFR 18.04), special calls made under any provision of part 21 of the Commission’s regulations (17 CFR part 21) </w:t>
      </w:r>
      <w:r w:rsidRPr="00424E59">
        <w:rPr>
          <w:szCs w:val="24"/>
        </w:rPr>
        <w:t xml:space="preserve">generally occur only when a particular market shows a potential for disruption or there is an investigation of possible violations of the Act or the regulations thereunder.  Authority to issue special calls under Part 21 is delegated to the Directors of the Divisions of </w:t>
      </w:r>
      <w:r w:rsidR="00EC2450">
        <w:rPr>
          <w:szCs w:val="24"/>
        </w:rPr>
        <w:t>Enforcement</w:t>
      </w:r>
      <w:r w:rsidRPr="00424E59">
        <w:rPr>
          <w:szCs w:val="24"/>
        </w:rPr>
        <w:t xml:space="preserve"> and Clearing and Risk.</w:t>
      </w:r>
    </w:p>
    <w:p w:rsidRPr="00424E59" w:rsidR="00F16CB1" w:rsidP="00552CDB" w:rsidRDefault="00F16CB1" w14:paraId="106C101B" w14:textId="77777777">
      <w:pPr>
        <w:autoSpaceDE w:val="0"/>
        <w:autoSpaceDN w:val="0"/>
        <w:adjustRightInd w:val="0"/>
        <w:ind w:firstLine="720"/>
        <w:jc w:val="both"/>
        <w:rPr>
          <w:szCs w:val="24"/>
        </w:rPr>
      </w:pPr>
    </w:p>
    <w:p w:rsidRPr="00424E59" w:rsidR="00814D43" w:rsidP="007A10DF" w:rsidRDefault="00814D43" w14:paraId="1CB282EC" w14:textId="77777777">
      <w:pPr>
        <w:pStyle w:val="ListParagraph"/>
        <w:numPr>
          <w:ilvl w:val="0"/>
          <w:numId w:val="2"/>
        </w:numPr>
        <w:tabs>
          <w:tab w:val="left" w:pos="-720"/>
        </w:tabs>
        <w:spacing w:after="240"/>
        <w:jc w:val="both"/>
        <w:rPr>
          <w:rFonts w:eastAsia="Times New Roman" w:cs="Times New Roman"/>
          <w:b/>
          <w:szCs w:val="24"/>
        </w:rPr>
      </w:pPr>
      <w:r w:rsidRPr="00424E59">
        <w:rPr>
          <w:rFonts w:eastAsia="Times New Roman"/>
          <w:b/>
          <w:szCs w:val="24"/>
        </w:rPr>
        <w:t xml:space="preserve">OMB </w:t>
      </w:r>
      <w:r w:rsidR="00482FFC">
        <w:rPr>
          <w:rFonts w:eastAsia="Times New Roman"/>
          <w:b/>
          <w:szCs w:val="24"/>
        </w:rPr>
        <w:t xml:space="preserve">Control Number </w:t>
      </w:r>
      <w:r w:rsidRPr="00424E59">
        <w:rPr>
          <w:rFonts w:eastAsia="Times New Roman"/>
          <w:b/>
          <w:szCs w:val="24"/>
        </w:rPr>
        <w:t>3038-0013 – Position Limits</w:t>
      </w:r>
    </w:p>
    <w:p w:rsidR="005A4341" w:rsidP="0035789E" w:rsidRDefault="007E15A4" w14:paraId="07556A89" w14:textId="77777777">
      <w:pPr>
        <w:autoSpaceDE w:val="0"/>
        <w:autoSpaceDN w:val="0"/>
        <w:adjustRightInd w:val="0"/>
        <w:ind w:firstLine="720"/>
        <w:jc w:val="both"/>
        <w:rPr>
          <w:rFonts w:eastAsia="Times New Roman" w:cs="Times New Roman"/>
          <w:szCs w:val="24"/>
        </w:rPr>
      </w:pPr>
      <w:r w:rsidRPr="00424E59">
        <w:rPr>
          <w:rFonts w:eastAsia="Times New Roman" w:cs="Times New Roman"/>
          <w:szCs w:val="24"/>
        </w:rPr>
        <w:lastRenderedPageBreak/>
        <w:t>Generally, t</w:t>
      </w:r>
      <w:r w:rsidRPr="00424E59" w:rsidR="00DF6B91">
        <w:rPr>
          <w:rFonts w:eastAsia="Times New Roman" w:cs="Times New Roman"/>
          <w:szCs w:val="24"/>
        </w:rPr>
        <w:t xml:space="preserve">he Commission currently uses the information received from </w:t>
      </w:r>
      <w:r w:rsidR="00482FFC">
        <w:rPr>
          <w:rFonts w:eastAsia="Times New Roman" w:cs="Times New Roman"/>
          <w:szCs w:val="24"/>
        </w:rPr>
        <w:t>OMB control number</w:t>
      </w:r>
      <w:r w:rsidRPr="00424E59" w:rsidR="00482FFC">
        <w:rPr>
          <w:rFonts w:eastAsia="Times New Roman" w:cs="Times New Roman"/>
          <w:szCs w:val="24"/>
        </w:rPr>
        <w:t xml:space="preserve"> </w:t>
      </w:r>
      <w:r w:rsidRPr="00424E59" w:rsidR="00DF6B91">
        <w:rPr>
          <w:rFonts w:eastAsia="Times New Roman" w:cs="Times New Roman"/>
          <w:szCs w:val="24"/>
        </w:rPr>
        <w:t>3038-0013</w:t>
      </w:r>
      <w:r w:rsidRPr="00424E59">
        <w:rPr>
          <w:rFonts w:eastAsia="Times New Roman" w:cs="Times New Roman"/>
          <w:szCs w:val="24"/>
        </w:rPr>
        <w:t xml:space="preserve">, which is submitted by exchanges, defined under the regulations as Designated Contract Markets (“DCMs”), or </w:t>
      </w:r>
      <w:r w:rsidRPr="00424E59" w:rsidR="00075C93">
        <w:rPr>
          <w:rFonts w:eastAsia="Times New Roman" w:cs="Times New Roman"/>
          <w:szCs w:val="24"/>
        </w:rPr>
        <w:t xml:space="preserve">by </w:t>
      </w:r>
      <w:r w:rsidRPr="00424E59">
        <w:rPr>
          <w:rFonts w:eastAsia="Times New Roman" w:cs="Times New Roman"/>
          <w:szCs w:val="24"/>
        </w:rPr>
        <w:t>market participants directly,</w:t>
      </w:r>
      <w:r w:rsidRPr="00424E59" w:rsidR="00DF6B91">
        <w:rPr>
          <w:rFonts w:eastAsia="Times New Roman" w:cs="Times New Roman"/>
          <w:szCs w:val="24"/>
        </w:rPr>
        <w:t xml:space="preserve"> to administer its speculative position limit regime</w:t>
      </w:r>
      <w:r w:rsidRPr="00424E59">
        <w:rPr>
          <w:rFonts w:eastAsia="Times New Roman" w:cs="Times New Roman"/>
          <w:szCs w:val="24"/>
        </w:rPr>
        <w:t xml:space="preserve"> and</w:t>
      </w:r>
      <w:r w:rsidRPr="00424E59" w:rsidR="00DF6B91">
        <w:rPr>
          <w:rFonts w:eastAsia="Times New Roman" w:cs="Times New Roman"/>
          <w:szCs w:val="24"/>
        </w:rPr>
        <w:t xml:space="preserve"> to ensure the validity of exemptions granted from that regime</w:t>
      </w:r>
      <w:r w:rsidRPr="00424E59">
        <w:rPr>
          <w:rFonts w:eastAsia="Times New Roman" w:cs="Times New Roman"/>
          <w:szCs w:val="24"/>
        </w:rPr>
        <w:t xml:space="preserve">.  The information is also critical in the operation of the </w:t>
      </w:r>
      <w:r w:rsidRPr="00424E59">
        <w:rPr>
          <w:szCs w:val="24"/>
        </w:rPr>
        <w:t>Commission’s</w:t>
      </w:r>
      <w:r w:rsidRPr="00424E59">
        <w:rPr>
          <w:rFonts w:eastAsia="Times New Roman" w:cs="Times New Roman"/>
          <w:szCs w:val="24"/>
        </w:rPr>
        <w:t xml:space="preserve"> activities to </w:t>
      </w:r>
      <w:r w:rsidRPr="00424E59" w:rsidR="00DF6B91">
        <w:rPr>
          <w:rFonts w:eastAsia="Times New Roman" w:cs="Times New Roman"/>
          <w:szCs w:val="24"/>
        </w:rPr>
        <w:t>monitor and surveil its markets.</w:t>
      </w:r>
      <w:r w:rsidRPr="00424E59" w:rsidR="000B102C">
        <w:rPr>
          <w:rFonts w:eastAsia="Times New Roman" w:cs="Times New Roman"/>
          <w:szCs w:val="24"/>
        </w:rPr>
        <w:t xml:space="preserve">  </w:t>
      </w:r>
      <w:r w:rsidRPr="00424E59" w:rsidR="000B102C">
        <w:rPr>
          <w:szCs w:val="24"/>
        </w:rPr>
        <w:t xml:space="preserve">In addition, information on large traders under existing part 19 of the Commission’s regulations is provided on a case-by-case basis to representatives of </w:t>
      </w:r>
      <w:r w:rsidR="0017726D">
        <w:rPr>
          <w:szCs w:val="24"/>
        </w:rPr>
        <w:t xml:space="preserve">other federal agencies and </w:t>
      </w:r>
      <w:r w:rsidRPr="00424E59" w:rsidR="000B102C">
        <w:rPr>
          <w:szCs w:val="24"/>
        </w:rPr>
        <w:t>Congress.</w:t>
      </w:r>
      <w:r w:rsidRPr="00424E59">
        <w:rPr>
          <w:rFonts w:eastAsia="Times New Roman" w:cs="Times New Roman"/>
          <w:szCs w:val="24"/>
        </w:rPr>
        <w:t xml:space="preserve">  </w:t>
      </w:r>
    </w:p>
    <w:p w:rsidR="005A4341" w:rsidP="0035789E" w:rsidRDefault="005A4341" w14:paraId="72E4B23A" w14:textId="77777777">
      <w:pPr>
        <w:autoSpaceDE w:val="0"/>
        <w:autoSpaceDN w:val="0"/>
        <w:adjustRightInd w:val="0"/>
        <w:ind w:firstLine="720"/>
        <w:jc w:val="both"/>
        <w:rPr>
          <w:rFonts w:eastAsia="Times New Roman" w:cs="Times New Roman"/>
          <w:szCs w:val="24"/>
        </w:rPr>
      </w:pPr>
    </w:p>
    <w:p w:rsidR="00585FDC" w:rsidP="00585FDC" w:rsidRDefault="006373AD" w14:paraId="4A965E92" w14:textId="77777777">
      <w:pPr>
        <w:ind w:firstLine="720"/>
        <w:jc w:val="both"/>
        <w:rPr>
          <w:rFonts w:eastAsia="Times New Roman" w:cs="Times New Roman"/>
          <w:color w:val="000000"/>
          <w:szCs w:val="24"/>
        </w:rPr>
      </w:pPr>
      <w:r w:rsidRPr="00424E59">
        <w:rPr>
          <w:rFonts w:eastAsia="Times New Roman" w:cs="Times New Roman"/>
          <w:szCs w:val="24"/>
        </w:rPr>
        <w:t xml:space="preserve">The reporting and recordkeeping requirements included in the </w:t>
      </w:r>
      <w:r w:rsidR="00591C86">
        <w:rPr>
          <w:rFonts w:eastAsia="Times New Roman" w:cs="Times New Roman"/>
          <w:szCs w:val="24"/>
        </w:rPr>
        <w:t>Final</w:t>
      </w:r>
      <w:r w:rsidRPr="00424E59">
        <w:rPr>
          <w:rFonts w:eastAsia="Times New Roman" w:cs="Times New Roman"/>
          <w:szCs w:val="24"/>
        </w:rPr>
        <w:t xml:space="preserve"> Rule </w:t>
      </w:r>
      <w:r w:rsidRPr="00424E59" w:rsidR="00591C86">
        <w:rPr>
          <w:rFonts w:eastAsia="Times New Roman" w:cs="Times New Roman"/>
          <w:szCs w:val="24"/>
        </w:rPr>
        <w:t>w</w:t>
      </w:r>
      <w:r w:rsidR="00591C86">
        <w:rPr>
          <w:rFonts w:eastAsia="Times New Roman" w:cs="Times New Roman"/>
          <w:szCs w:val="24"/>
        </w:rPr>
        <w:t>ill</w:t>
      </w:r>
      <w:r w:rsidRPr="00424E59" w:rsidR="00591C86">
        <w:rPr>
          <w:rFonts w:eastAsia="Times New Roman" w:cs="Times New Roman"/>
          <w:szCs w:val="24"/>
        </w:rPr>
        <w:t xml:space="preserve"> </w:t>
      </w:r>
      <w:r w:rsidRPr="00424E59">
        <w:rPr>
          <w:rFonts w:eastAsia="Times New Roman" w:cs="Times New Roman"/>
          <w:szCs w:val="24"/>
        </w:rPr>
        <w:t xml:space="preserve">be used by the Commission to verify exemptions from position limit requirements on a universe of 25 physically-settled futures contracts (the “Core Referenced Futures Contracts” or “CRFCs”) and their linked cash-settled futures, options on futures, and “economically equivalent” </w:t>
      </w:r>
      <w:r w:rsidRPr="00424E59">
        <w:rPr>
          <w:szCs w:val="24"/>
        </w:rPr>
        <w:t>swaps</w:t>
      </w:r>
      <w:r w:rsidRPr="00424E59">
        <w:rPr>
          <w:rFonts w:eastAsia="Times New Roman" w:cs="Times New Roman"/>
          <w:szCs w:val="24"/>
        </w:rPr>
        <w:t xml:space="preserve"> (collectively, “Referenced Contracts”).</w:t>
      </w:r>
      <w:r w:rsidR="00453E51">
        <w:rPr>
          <w:rFonts w:eastAsia="Times New Roman" w:cs="Times New Roman"/>
          <w:szCs w:val="24"/>
        </w:rPr>
        <w:t xml:space="preserve"> </w:t>
      </w:r>
      <w:r w:rsidRPr="00424E59">
        <w:rPr>
          <w:rFonts w:eastAsia="Times New Roman" w:cs="Times New Roman"/>
          <w:szCs w:val="24"/>
        </w:rPr>
        <w:t xml:space="preserve"> </w:t>
      </w:r>
      <w:r w:rsidRPr="00007547" w:rsidR="00585FDC">
        <w:rPr>
          <w:rFonts w:eastAsia="Times New Roman" w:cs="Times New Roman"/>
          <w:color w:val="000000"/>
          <w:szCs w:val="24"/>
        </w:rPr>
        <w:t>P</w:t>
      </w:r>
      <w:r w:rsidR="00453E51">
        <w:rPr>
          <w:rFonts w:eastAsia="Times New Roman" w:cs="Times New Roman"/>
          <w:color w:val="000000"/>
          <w:szCs w:val="24"/>
        </w:rPr>
        <w:t>art 1</w:t>
      </w:r>
      <w:r w:rsidRPr="00007547" w:rsidR="00585FDC">
        <w:rPr>
          <w:rFonts w:eastAsia="Times New Roman" w:cs="Times New Roman"/>
          <w:color w:val="000000"/>
          <w:szCs w:val="24"/>
        </w:rPr>
        <w:t>50  establish</w:t>
      </w:r>
      <w:r w:rsidR="00591C86">
        <w:rPr>
          <w:rFonts w:eastAsia="Times New Roman" w:cs="Times New Roman"/>
          <w:color w:val="000000"/>
          <w:szCs w:val="24"/>
        </w:rPr>
        <w:t>es</w:t>
      </w:r>
      <w:r w:rsidRPr="00007547" w:rsidR="00585FDC">
        <w:rPr>
          <w:rFonts w:eastAsia="Times New Roman" w:cs="Times New Roman"/>
          <w:color w:val="000000"/>
          <w:szCs w:val="24"/>
        </w:rPr>
        <w:t xml:space="preserve"> an amended process for </w:t>
      </w:r>
      <w:r w:rsidR="00F51BEE">
        <w:rPr>
          <w:rFonts w:eastAsia="Times New Roman" w:cs="Times New Roman"/>
          <w:color w:val="000000"/>
          <w:szCs w:val="24"/>
        </w:rPr>
        <w:t>trader</w:t>
      </w:r>
      <w:r w:rsidR="008F45F8">
        <w:rPr>
          <w:rFonts w:eastAsia="Times New Roman" w:cs="Times New Roman"/>
          <w:color w:val="000000"/>
          <w:szCs w:val="24"/>
        </w:rPr>
        <w:t xml:space="preserve">s to </w:t>
      </w:r>
      <w:r w:rsidRPr="00007547" w:rsidR="00585FDC">
        <w:rPr>
          <w:rFonts w:eastAsia="Times New Roman" w:cs="Times New Roman"/>
          <w:color w:val="000000"/>
          <w:szCs w:val="24"/>
        </w:rPr>
        <w:t xml:space="preserve">obtain a bona fide </w:t>
      </w:r>
      <w:r w:rsidRPr="009D7452" w:rsidR="00585FDC">
        <w:rPr>
          <w:rFonts w:eastAsia="Times New Roman" w:cs="Times New Roman"/>
          <w:color w:val="000000"/>
          <w:szCs w:val="24"/>
        </w:rPr>
        <w:t>hedge exemption or recognition, which includes: (</w:t>
      </w:r>
      <w:proofErr w:type="spellStart"/>
      <w:r w:rsidRPr="009D7452" w:rsidR="00585FDC">
        <w:rPr>
          <w:rFonts w:eastAsia="Times New Roman" w:cs="Times New Roman"/>
          <w:color w:val="000000"/>
          <w:szCs w:val="24"/>
        </w:rPr>
        <w:t>i</w:t>
      </w:r>
      <w:proofErr w:type="spellEnd"/>
      <w:r w:rsidRPr="009D7452" w:rsidR="00585FDC">
        <w:rPr>
          <w:rFonts w:eastAsia="Times New Roman" w:cs="Times New Roman"/>
          <w:color w:val="000000"/>
          <w:szCs w:val="24"/>
        </w:rPr>
        <w:t xml:space="preserve">) a new bona fide hedging definition in § 150.1, (ii) a new </w:t>
      </w:r>
      <w:r w:rsidR="00F51BEE">
        <w:rPr>
          <w:rFonts w:eastAsia="Times New Roman" w:cs="Times New Roman"/>
          <w:color w:val="000000"/>
          <w:szCs w:val="24"/>
        </w:rPr>
        <w:t xml:space="preserve">streamlined </w:t>
      </w:r>
      <w:r w:rsidRPr="009D7452" w:rsidR="00585FDC">
        <w:rPr>
          <w:rFonts w:eastAsia="Times New Roman" w:cs="Times New Roman"/>
          <w:color w:val="000000"/>
          <w:szCs w:val="24"/>
        </w:rPr>
        <w:t xml:space="preserve">process </w:t>
      </w:r>
      <w:r w:rsidR="008B1BC4">
        <w:rPr>
          <w:rFonts w:eastAsia="Times New Roman" w:cs="Times New Roman"/>
          <w:color w:val="000000"/>
          <w:szCs w:val="24"/>
        </w:rPr>
        <w:t>involving</w:t>
      </w:r>
      <w:r w:rsidRPr="009D7452" w:rsidR="00585FDC">
        <w:rPr>
          <w:rFonts w:eastAsia="Times New Roman" w:cs="Times New Roman"/>
          <w:color w:val="000000"/>
          <w:szCs w:val="24"/>
        </w:rPr>
        <w:t xml:space="preserve"> the exchanges in § 150.9 for recognizing non-enumerated bona fide hedging exemptions for federal limit requirements, and (iii) an amended process </w:t>
      </w:r>
      <w:r w:rsidR="00453E51">
        <w:rPr>
          <w:rFonts w:eastAsia="Times New Roman" w:cs="Times New Roman"/>
          <w:color w:val="000000"/>
          <w:szCs w:val="24"/>
        </w:rPr>
        <w:t xml:space="preserve">in </w:t>
      </w:r>
      <w:r w:rsidRPr="009D7452" w:rsidR="00453E51">
        <w:rPr>
          <w:rFonts w:eastAsia="Times New Roman" w:cs="Times New Roman"/>
          <w:color w:val="000000"/>
          <w:szCs w:val="24"/>
        </w:rPr>
        <w:t>§ 150.</w:t>
      </w:r>
      <w:r w:rsidR="00453E51">
        <w:rPr>
          <w:rFonts w:eastAsia="Times New Roman" w:cs="Times New Roman"/>
          <w:color w:val="000000"/>
          <w:szCs w:val="24"/>
        </w:rPr>
        <w:t xml:space="preserve">3 </w:t>
      </w:r>
      <w:r w:rsidRPr="009D7452" w:rsidR="00585FDC">
        <w:rPr>
          <w:rFonts w:eastAsia="Times New Roman" w:cs="Times New Roman"/>
          <w:color w:val="000000"/>
          <w:szCs w:val="24"/>
        </w:rPr>
        <w:t xml:space="preserve">to apply directly to the Commission for certain spread exemptions or for recognition of non-enumerated bona fide hedging positions.  </w:t>
      </w:r>
      <w:r w:rsidR="00A80718">
        <w:rPr>
          <w:rFonts w:eastAsia="Times New Roman" w:cs="Times New Roman"/>
          <w:color w:val="000000"/>
          <w:szCs w:val="24"/>
        </w:rPr>
        <w:t>Regulation</w:t>
      </w:r>
      <w:r w:rsidRPr="009D7452" w:rsidR="00585FDC">
        <w:rPr>
          <w:rFonts w:eastAsia="Times New Roman" w:cs="Times New Roman"/>
          <w:color w:val="000000"/>
          <w:szCs w:val="24"/>
        </w:rPr>
        <w:t>150.3 also include</w:t>
      </w:r>
      <w:r w:rsidR="00591C86">
        <w:rPr>
          <w:rFonts w:eastAsia="Times New Roman" w:cs="Times New Roman"/>
          <w:color w:val="000000"/>
          <w:szCs w:val="24"/>
        </w:rPr>
        <w:t>s</w:t>
      </w:r>
      <w:r w:rsidRPr="009D7452" w:rsidR="00585FDC">
        <w:rPr>
          <w:rFonts w:eastAsia="Times New Roman" w:cs="Times New Roman"/>
          <w:color w:val="000000"/>
          <w:szCs w:val="24"/>
        </w:rPr>
        <w:t xml:space="preserve"> new exemption types not explicitly listed in existing § 150.3</w:t>
      </w:r>
      <w:r w:rsidR="00585FDC">
        <w:rPr>
          <w:rFonts w:eastAsia="Times New Roman" w:cs="Times New Roman"/>
          <w:color w:val="000000"/>
          <w:szCs w:val="24"/>
        </w:rPr>
        <w:t xml:space="preserve">. </w:t>
      </w:r>
    </w:p>
    <w:p w:rsidR="00D62E99" w:rsidP="00585FDC" w:rsidRDefault="00D62E99" w14:paraId="05B6D87D" w14:textId="77777777">
      <w:pPr>
        <w:ind w:firstLine="720"/>
        <w:jc w:val="both"/>
        <w:rPr>
          <w:rFonts w:eastAsia="Times New Roman" w:cs="Times New Roman"/>
          <w:color w:val="000000"/>
          <w:szCs w:val="24"/>
        </w:rPr>
      </w:pPr>
    </w:p>
    <w:p w:rsidR="00D62E99" w:rsidP="00585FDC" w:rsidRDefault="00D62E99" w14:paraId="529BF7E5" w14:textId="77777777">
      <w:pPr>
        <w:ind w:firstLine="720"/>
        <w:jc w:val="both"/>
        <w:rPr>
          <w:rFonts w:eastAsia="Times New Roman" w:cs="Times New Roman"/>
          <w:color w:val="000000"/>
          <w:szCs w:val="24"/>
        </w:rPr>
      </w:pPr>
      <w:r w:rsidRPr="00D62E99">
        <w:rPr>
          <w:rFonts w:eastAsia="Times New Roman" w:cs="Times New Roman"/>
          <w:color w:val="000000"/>
          <w:szCs w:val="24"/>
        </w:rPr>
        <w:t xml:space="preserve">The Commission believes the collections of information </w:t>
      </w:r>
      <w:r>
        <w:rPr>
          <w:rFonts w:eastAsia="Times New Roman" w:cs="Times New Roman"/>
          <w:color w:val="000000"/>
          <w:szCs w:val="24"/>
        </w:rPr>
        <w:t>in part</w:t>
      </w:r>
      <w:r w:rsidRPr="00007547">
        <w:rPr>
          <w:rFonts w:eastAsia="Times New Roman" w:cs="Times New Roman"/>
          <w:color w:val="000000"/>
          <w:szCs w:val="24"/>
        </w:rPr>
        <w:t xml:space="preserve"> 150 </w:t>
      </w:r>
      <w:r w:rsidRPr="00D62E99">
        <w:rPr>
          <w:rFonts w:eastAsia="Times New Roman" w:cs="Times New Roman"/>
          <w:color w:val="000000"/>
          <w:szCs w:val="24"/>
        </w:rPr>
        <w:t xml:space="preserve">are necessary for the exchange </w:t>
      </w:r>
      <w:r>
        <w:rPr>
          <w:rFonts w:eastAsia="Times New Roman" w:cs="Times New Roman"/>
          <w:color w:val="000000"/>
          <w:szCs w:val="24"/>
        </w:rPr>
        <w:t xml:space="preserve">and the Commission </w:t>
      </w:r>
      <w:r w:rsidRPr="00D62E99">
        <w:rPr>
          <w:rFonts w:eastAsia="Times New Roman" w:cs="Times New Roman"/>
          <w:color w:val="000000"/>
          <w:szCs w:val="24"/>
        </w:rPr>
        <w:t>to process requests for recognition of bona fide hedges for purposes of both exchange-set position limits and federal position limits.  The information w</w:t>
      </w:r>
      <w:r w:rsidR="0018364F">
        <w:rPr>
          <w:rFonts w:eastAsia="Times New Roman" w:cs="Times New Roman"/>
          <w:color w:val="000000"/>
          <w:szCs w:val="24"/>
        </w:rPr>
        <w:t>ill</w:t>
      </w:r>
      <w:r w:rsidRPr="00D62E99">
        <w:rPr>
          <w:rFonts w:eastAsia="Times New Roman" w:cs="Times New Roman"/>
          <w:color w:val="000000"/>
          <w:szCs w:val="24"/>
        </w:rPr>
        <w:t xml:space="preserve"> be used by the exchange </w:t>
      </w:r>
      <w:r w:rsidR="005B5CDE">
        <w:rPr>
          <w:rFonts w:eastAsia="Times New Roman" w:cs="Times New Roman"/>
          <w:color w:val="000000"/>
          <w:szCs w:val="24"/>
        </w:rPr>
        <w:t xml:space="preserve">and the Commission </w:t>
      </w:r>
      <w:r w:rsidRPr="00D62E99">
        <w:rPr>
          <w:rFonts w:eastAsia="Times New Roman" w:cs="Times New Roman"/>
          <w:color w:val="000000"/>
          <w:szCs w:val="24"/>
        </w:rPr>
        <w:t>to determine</w:t>
      </w:r>
      <w:r w:rsidR="005B5CDE">
        <w:rPr>
          <w:rFonts w:eastAsia="Times New Roman" w:cs="Times New Roman"/>
          <w:color w:val="000000"/>
          <w:szCs w:val="24"/>
        </w:rPr>
        <w:t xml:space="preserve"> </w:t>
      </w:r>
      <w:r w:rsidRPr="00D62E99">
        <w:rPr>
          <w:rFonts w:eastAsia="Times New Roman" w:cs="Times New Roman"/>
          <w:color w:val="000000"/>
          <w:szCs w:val="24"/>
        </w:rPr>
        <w:t>whether the facts and circumstances demonstrate it is appropriate to recognize a position as a non-enumerated bona fide hedging transaction or position.</w:t>
      </w:r>
    </w:p>
    <w:p w:rsidRPr="009D7452" w:rsidR="00585FDC" w:rsidP="00585FDC" w:rsidRDefault="00585FDC" w14:paraId="4481E6C8" w14:textId="77777777">
      <w:pPr>
        <w:ind w:firstLine="720"/>
        <w:jc w:val="both"/>
        <w:rPr>
          <w:rFonts w:eastAsia="Times New Roman" w:cs="Times New Roman"/>
          <w:color w:val="000000"/>
          <w:szCs w:val="24"/>
        </w:rPr>
      </w:pPr>
    </w:p>
    <w:p w:rsidR="00642B6A" w:rsidP="004F2D09" w:rsidRDefault="005B2F83" w14:paraId="467F5149" w14:textId="77777777">
      <w:pPr>
        <w:tabs>
          <w:tab w:val="left" w:pos="-720"/>
        </w:tabs>
        <w:spacing w:after="240"/>
        <w:ind w:firstLine="720"/>
        <w:jc w:val="both"/>
        <w:rPr>
          <w:rFonts w:eastAsia="Times New Roman" w:cs="Times New Roman"/>
          <w:szCs w:val="24"/>
        </w:rPr>
      </w:pPr>
      <w:r w:rsidRPr="00424E59">
        <w:rPr>
          <w:rFonts w:eastAsia="Times New Roman" w:cs="Times New Roman"/>
          <w:szCs w:val="24"/>
        </w:rPr>
        <w:t>Overall, t</w:t>
      </w:r>
      <w:r w:rsidRPr="00424E59" w:rsidR="00C95B82">
        <w:rPr>
          <w:rFonts w:eastAsia="Times New Roman" w:cs="Times New Roman"/>
          <w:szCs w:val="24"/>
        </w:rPr>
        <w:t>he</w:t>
      </w:r>
      <w:r w:rsidRPr="00424E59" w:rsidR="00DF6B91">
        <w:rPr>
          <w:rFonts w:eastAsia="Times New Roman" w:cs="Times New Roman"/>
          <w:szCs w:val="24"/>
        </w:rPr>
        <w:t xml:space="preserve"> data w</w:t>
      </w:r>
      <w:r w:rsidR="0018364F">
        <w:rPr>
          <w:rFonts w:eastAsia="Times New Roman" w:cs="Times New Roman"/>
          <w:szCs w:val="24"/>
        </w:rPr>
        <w:t>ill</w:t>
      </w:r>
      <w:r w:rsidRPr="00424E59" w:rsidR="00DF6B91">
        <w:rPr>
          <w:rFonts w:eastAsia="Times New Roman" w:cs="Times New Roman"/>
          <w:szCs w:val="24"/>
        </w:rPr>
        <w:t xml:space="preserve"> </w:t>
      </w:r>
      <w:r w:rsidRPr="00424E59">
        <w:rPr>
          <w:rFonts w:eastAsia="Times New Roman" w:cs="Times New Roman"/>
          <w:szCs w:val="24"/>
        </w:rPr>
        <w:t>continue to support</w:t>
      </w:r>
      <w:r w:rsidRPr="00424E59" w:rsidR="00DF6B91">
        <w:rPr>
          <w:rFonts w:eastAsia="Times New Roman" w:cs="Times New Roman"/>
          <w:szCs w:val="24"/>
        </w:rPr>
        <w:t xml:space="preserve"> the Commission</w:t>
      </w:r>
      <w:r w:rsidRPr="00424E59" w:rsidR="00C95B82">
        <w:rPr>
          <w:rFonts w:eastAsia="Times New Roman" w:cs="Times New Roman"/>
          <w:szCs w:val="24"/>
        </w:rPr>
        <w:t>’s ability</w:t>
      </w:r>
      <w:r w:rsidRPr="00424E59" w:rsidR="00DF6B91">
        <w:rPr>
          <w:rFonts w:eastAsia="Times New Roman" w:cs="Times New Roman"/>
          <w:szCs w:val="24"/>
        </w:rPr>
        <w:t xml:space="preserve"> to monitor and surveil the markets</w:t>
      </w:r>
      <w:r w:rsidRPr="00424E59">
        <w:rPr>
          <w:rFonts w:eastAsia="Times New Roman" w:cs="Times New Roman"/>
          <w:szCs w:val="24"/>
        </w:rPr>
        <w:t xml:space="preserve">, particularly in contract markets that will be newly subject to </w:t>
      </w:r>
      <w:r w:rsidRPr="00424E59" w:rsidR="00A470DE">
        <w:rPr>
          <w:rFonts w:eastAsia="Times New Roman" w:cs="Times New Roman"/>
          <w:szCs w:val="24"/>
        </w:rPr>
        <w:t xml:space="preserve">federal </w:t>
      </w:r>
      <w:r w:rsidRPr="00424E59">
        <w:rPr>
          <w:rFonts w:eastAsia="Times New Roman" w:cs="Times New Roman"/>
          <w:szCs w:val="24"/>
        </w:rPr>
        <w:t>position limit requirements</w:t>
      </w:r>
      <w:r w:rsidRPr="00424E59" w:rsidR="00DF6B91">
        <w:rPr>
          <w:rFonts w:eastAsia="Times New Roman" w:cs="Times New Roman"/>
          <w:szCs w:val="24"/>
        </w:rPr>
        <w:t xml:space="preserve">. </w:t>
      </w:r>
    </w:p>
    <w:p w:rsidR="00CC21E6" w:rsidP="00CC21E6" w:rsidRDefault="00CC21E6" w14:paraId="1D5E3410" w14:textId="77777777">
      <w:pPr>
        <w:pStyle w:val="ListParagraph"/>
        <w:numPr>
          <w:ilvl w:val="0"/>
          <w:numId w:val="2"/>
        </w:numPr>
        <w:tabs>
          <w:tab w:val="left" w:pos="-720"/>
        </w:tabs>
        <w:spacing w:after="240"/>
        <w:jc w:val="both"/>
        <w:rPr>
          <w:rFonts w:eastAsia="Times New Roman"/>
          <w:b/>
          <w:szCs w:val="24"/>
        </w:rPr>
      </w:pPr>
      <w:r w:rsidRPr="00CC21E6">
        <w:rPr>
          <w:rFonts w:eastAsia="Times New Roman"/>
          <w:b/>
          <w:szCs w:val="24"/>
        </w:rPr>
        <w:t xml:space="preserve">OMB </w:t>
      </w:r>
      <w:r w:rsidR="00A01600">
        <w:rPr>
          <w:rFonts w:eastAsia="Times New Roman"/>
          <w:b/>
          <w:szCs w:val="24"/>
        </w:rPr>
        <w:t xml:space="preserve">Control Number </w:t>
      </w:r>
      <w:r w:rsidRPr="00CC21E6">
        <w:rPr>
          <w:rFonts w:eastAsia="Times New Roman"/>
          <w:b/>
          <w:szCs w:val="24"/>
        </w:rPr>
        <w:t xml:space="preserve">3038-0093 </w:t>
      </w:r>
      <w:r>
        <w:rPr>
          <w:rFonts w:eastAsia="Times New Roman"/>
          <w:b/>
          <w:szCs w:val="24"/>
        </w:rPr>
        <w:t>–</w:t>
      </w:r>
      <w:r w:rsidRPr="00CC21E6">
        <w:rPr>
          <w:rFonts w:eastAsia="Times New Roman"/>
          <w:b/>
          <w:szCs w:val="24"/>
        </w:rPr>
        <w:t xml:space="preserve"> Provisions Common to Registered Entities</w:t>
      </w:r>
    </w:p>
    <w:p w:rsidRPr="00CC21E6" w:rsidR="00CC21E6" w:rsidP="004F2D09" w:rsidRDefault="00CC21E6" w14:paraId="42001BC9" w14:textId="77777777">
      <w:pPr>
        <w:tabs>
          <w:tab w:val="left" w:pos="-720"/>
        </w:tabs>
        <w:spacing w:after="240"/>
        <w:ind w:firstLine="720"/>
        <w:jc w:val="both"/>
        <w:rPr>
          <w:rFonts w:eastAsia="Times New Roman" w:cs="Times New Roman"/>
          <w:szCs w:val="24"/>
        </w:rPr>
      </w:pPr>
      <w:r w:rsidRPr="00CC21E6">
        <w:rPr>
          <w:rFonts w:eastAsia="Times New Roman" w:cs="Times New Roman"/>
          <w:szCs w:val="24"/>
        </w:rPr>
        <w:t xml:space="preserve">The requested information is essential to the staff’s review of </w:t>
      </w:r>
      <w:r w:rsidR="007639AD">
        <w:rPr>
          <w:rFonts w:eastAsia="Times New Roman" w:cs="Times New Roman"/>
          <w:szCs w:val="24"/>
        </w:rPr>
        <w:t>exchange</w:t>
      </w:r>
      <w:r w:rsidRPr="007639AD" w:rsidR="007639AD">
        <w:rPr>
          <w:rFonts w:eastAsia="Times New Roman" w:cs="Times New Roman"/>
          <w:szCs w:val="24"/>
        </w:rPr>
        <w:t xml:space="preserve"> rulebook </w:t>
      </w:r>
      <w:r w:rsidRPr="00CC21E6">
        <w:rPr>
          <w:rFonts w:eastAsia="Times New Roman" w:cs="Times New Roman"/>
          <w:szCs w:val="24"/>
        </w:rPr>
        <w:t xml:space="preserve">submissions and the Commission’s oversight of each registered entity’s self-regulatory actions.  Staff generally conducts a due diligence review of new submissions and makes an independent determination concerning the registered entity’s compliance with the Act and regulations thereunder.  </w:t>
      </w:r>
    </w:p>
    <w:p w:rsidR="00F5091E" w:rsidP="0001216F" w:rsidRDefault="00642B6A" w14:paraId="1936BCEC" w14:textId="77777777">
      <w:pPr>
        <w:autoSpaceDE w:val="0"/>
        <w:autoSpaceDN w:val="0"/>
        <w:adjustRightInd w:val="0"/>
        <w:ind w:left="720" w:hanging="720"/>
        <w:jc w:val="both"/>
        <w:rPr>
          <w:rFonts w:eastAsia="Times New Roman" w:cs="Times New Roman"/>
          <w:b/>
          <w:szCs w:val="24"/>
        </w:rPr>
      </w:pPr>
      <w:r w:rsidRPr="00424E59">
        <w:rPr>
          <w:rFonts w:eastAsia="Times New Roman" w:cs="Times New Roman"/>
          <w:b/>
          <w:szCs w:val="24"/>
        </w:rPr>
        <w:t>3.</w:t>
      </w:r>
      <w:r w:rsidRPr="00424E59">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5091E" w:rsidP="00424E59" w:rsidRDefault="00F5091E" w14:paraId="63FA6779" w14:textId="77777777">
      <w:pPr>
        <w:autoSpaceDE w:val="0"/>
        <w:autoSpaceDN w:val="0"/>
        <w:adjustRightInd w:val="0"/>
        <w:ind w:firstLine="720"/>
        <w:jc w:val="both"/>
        <w:rPr>
          <w:rFonts w:eastAsia="Times New Roman" w:cs="Times New Roman"/>
          <w:b/>
          <w:szCs w:val="24"/>
        </w:rPr>
      </w:pPr>
    </w:p>
    <w:p w:rsidRPr="00424E59" w:rsidR="007639AD" w:rsidP="00D85013" w:rsidRDefault="00FB00A1" w14:paraId="18608093" w14:textId="77777777">
      <w:pPr>
        <w:autoSpaceDE w:val="0"/>
        <w:autoSpaceDN w:val="0"/>
        <w:adjustRightInd w:val="0"/>
        <w:ind w:firstLine="720"/>
        <w:jc w:val="both"/>
        <w:rPr>
          <w:bCs/>
          <w:szCs w:val="24"/>
        </w:rPr>
      </w:pPr>
      <w:r w:rsidRPr="00424E59">
        <w:rPr>
          <w:bCs/>
          <w:szCs w:val="24"/>
        </w:rPr>
        <w:lastRenderedPageBreak/>
        <w:t xml:space="preserve">The Commission is committed to utilizing technology in order to reduce reporting burdens for respondents.  Accordingly, the Commission has provided for the electronic transmission of the required </w:t>
      </w:r>
      <w:r w:rsidRPr="00424E59">
        <w:rPr>
          <w:szCs w:val="24"/>
        </w:rPr>
        <w:t>submissions</w:t>
      </w:r>
      <w:r w:rsidR="00181AA2">
        <w:rPr>
          <w:szCs w:val="24"/>
        </w:rPr>
        <w:t xml:space="preserve"> for </w:t>
      </w:r>
      <w:r w:rsidR="00181AA2">
        <w:rPr>
          <w:bCs/>
          <w:szCs w:val="24"/>
        </w:rPr>
        <w:t>t</w:t>
      </w:r>
      <w:r w:rsidRPr="00CC21E6" w:rsidR="00181AA2">
        <w:rPr>
          <w:bCs/>
          <w:szCs w:val="24"/>
        </w:rPr>
        <w:t>he three OMB</w:t>
      </w:r>
      <w:r w:rsidR="00181AA2">
        <w:rPr>
          <w:bCs/>
          <w:szCs w:val="24"/>
        </w:rPr>
        <w:t xml:space="preserve"> control numbers 3038-0009, </w:t>
      </w:r>
      <w:r w:rsidRPr="00CC21E6" w:rsidR="00181AA2">
        <w:rPr>
          <w:bCs/>
          <w:szCs w:val="24"/>
        </w:rPr>
        <w:t>3038-0013</w:t>
      </w:r>
      <w:r w:rsidR="00A7762D">
        <w:rPr>
          <w:bCs/>
          <w:szCs w:val="24"/>
        </w:rPr>
        <w:t>,</w:t>
      </w:r>
      <w:r w:rsidRPr="00CC21E6" w:rsidR="00181AA2">
        <w:rPr>
          <w:bCs/>
          <w:szCs w:val="24"/>
        </w:rPr>
        <w:t xml:space="preserve"> and 3038-0093</w:t>
      </w:r>
      <w:r w:rsidRPr="00424E59">
        <w:rPr>
          <w:bCs/>
          <w:szCs w:val="24"/>
        </w:rPr>
        <w:t>.  The Commission anticipates that 100% of the collection of information w</w:t>
      </w:r>
      <w:r w:rsidR="00A37DDD">
        <w:rPr>
          <w:bCs/>
          <w:szCs w:val="24"/>
        </w:rPr>
        <w:t>ill</w:t>
      </w:r>
      <w:r w:rsidRPr="00424E59">
        <w:rPr>
          <w:bCs/>
          <w:szCs w:val="24"/>
        </w:rPr>
        <w:t xml:space="preserve"> be submitted electronically.</w:t>
      </w:r>
    </w:p>
    <w:p w:rsidRPr="00424E59" w:rsidR="00424E59" w:rsidP="00424E59" w:rsidRDefault="00424E59" w14:paraId="4931454B" w14:textId="77777777">
      <w:pPr>
        <w:rPr>
          <w:rFonts w:eastAsia="Times New Roman" w:cs="Times New Roman"/>
          <w:b/>
          <w:szCs w:val="24"/>
        </w:rPr>
      </w:pPr>
    </w:p>
    <w:p w:rsidRPr="00424E59" w:rsidR="00642B6A" w:rsidP="00FE503D" w:rsidRDefault="00642B6A" w14:paraId="023C2970"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4.</w:t>
      </w:r>
      <w:r w:rsidRPr="00424E59">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FB00A1" w:rsidP="00DA0C3F" w:rsidRDefault="00FB00A1" w14:paraId="590E6356" w14:textId="77777777">
      <w:pPr>
        <w:autoSpaceDE w:val="0"/>
        <w:autoSpaceDN w:val="0"/>
        <w:adjustRightInd w:val="0"/>
        <w:ind w:firstLine="720"/>
        <w:jc w:val="both"/>
        <w:rPr>
          <w:szCs w:val="24"/>
        </w:rPr>
      </w:pPr>
      <w:r w:rsidRPr="00424E59">
        <w:rPr>
          <w:rFonts w:eastAsia="Times New Roman" w:cs="Times New Roman"/>
          <w:szCs w:val="24"/>
        </w:rPr>
        <w:t xml:space="preserve">The </w:t>
      </w:r>
      <w:r w:rsidR="00A37DDD">
        <w:rPr>
          <w:rFonts w:eastAsia="Times New Roman" w:cs="Times New Roman"/>
          <w:szCs w:val="24"/>
        </w:rPr>
        <w:t>Final Rule</w:t>
      </w:r>
      <w:r w:rsidR="000B282E">
        <w:rPr>
          <w:rFonts w:eastAsia="Times New Roman" w:cs="Times New Roman"/>
          <w:szCs w:val="24"/>
        </w:rPr>
        <w:t xml:space="preserve"> </w:t>
      </w:r>
      <w:r w:rsidRPr="00424E59">
        <w:rPr>
          <w:rFonts w:eastAsia="Times New Roman" w:cs="Times New Roman"/>
          <w:szCs w:val="24"/>
        </w:rPr>
        <w:t xml:space="preserve">includes several measures that are meant to reduce duplication. </w:t>
      </w:r>
      <w:r w:rsidR="000B282E">
        <w:rPr>
          <w:rFonts w:eastAsia="Times New Roman" w:cs="Times New Roman"/>
          <w:szCs w:val="24"/>
        </w:rPr>
        <w:t xml:space="preserve"> </w:t>
      </w:r>
      <w:r w:rsidRPr="00424E59">
        <w:rPr>
          <w:rFonts w:eastAsia="Times New Roman" w:cs="Times New Roman"/>
          <w:szCs w:val="24"/>
        </w:rPr>
        <w:t xml:space="preserve">For example, the </w:t>
      </w:r>
      <w:r w:rsidRPr="00424E59">
        <w:rPr>
          <w:szCs w:val="24"/>
        </w:rPr>
        <w:t>Commission is eliminat</w:t>
      </w:r>
      <w:r w:rsidR="000B282E">
        <w:rPr>
          <w:szCs w:val="24"/>
        </w:rPr>
        <w:t>ing</w:t>
      </w:r>
      <w:r w:rsidRPr="00424E59">
        <w:rPr>
          <w:szCs w:val="24"/>
        </w:rPr>
        <w:t xml:space="preserve"> the requirement on market participants to submit the Form 204</w:t>
      </w:r>
      <w:r w:rsidRPr="00424E59" w:rsidR="00DA05E9">
        <w:rPr>
          <w:szCs w:val="24"/>
        </w:rPr>
        <w:t xml:space="preserve"> and Form 304 respective</w:t>
      </w:r>
      <w:r w:rsidRPr="00424E59">
        <w:rPr>
          <w:szCs w:val="24"/>
        </w:rPr>
        <w:t xml:space="preserve"> statement</w:t>
      </w:r>
      <w:r w:rsidRPr="00424E59" w:rsidR="00DA05E9">
        <w:rPr>
          <w:szCs w:val="24"/>
        </w:rPr>
        <w:t>s</w:t>
      </w:r>
      <w:r w:rsidRPr="00424E59">
        <w:rPr>
          <w:szCs w:val="24"/>
        </w:rPr>
        <w:t xml:space="preserve"> of </w:t>
      </w:r>
      <w:r w:rsidR="00DA0C3F">
        <w:rPr>
          <w:szCs w:val="24"/>
        </w:rPr>
        <w:t>commodity c</w:t>
      </w:r>
      <w:r w:rsidRPr="00424E59">
        <w:rPr>
          <w:szCs w:val="24"/>
        </w:rPr>
        <w:t xml:space="preserve">ash </w:t>
      </w:r>
      <w:r w:rsidR="00DA0C3F">
        <w:rPr>
          <w:szCs w:val="24"/>
        </w:rPr>
        <w:t>p</w:t>
      </w:r>
      <w:r w:rsidRPr="00424E59">
        <w:rPr>
          <w:szCs w:val="24"/>
        </w:rPr>
        <w:t xml:space="preserve">ositions to the Commission as such information is already required to be provided as part of the market participant’s exemption application to </w:t>
      </w:r>
      <w:r w:rsidR="00DA0C3F">
        <w:rPr>
          <w:szCs w:val="24"/>
        </w:rPr>
        <w:t>a</w:t>
      </w:r>
      <w:r w:rsidR="004E1035">
        <w:rPr>
          <w:szCs w:val="24"/>
        </w:rPr>
        <w:t>n exchange</w:t>
      </w:r>
      <w:r w:rsidRPr="00424E59">
        <w:rPr>
          <w:szCs w:val="24"/>
        </w:rPr>
        <w:t xml:space="preserve">.  </w:t>
      </w:r>
    </w:p>
    <w:p w:rsidRPr="00424E59" w:rsidR="00DA0C3F" w:rsidP="00DA0C3F" w:rsidRDefault="00DA0C3F" w14:paraId="1805B62F" w14:textId="77777777">
      <w:pPr>
        <w:autoSpaceDE w:val="0"/>
        <w:autoSpaceDN w:val="0"/>
        <w:adjustRightInd w:val="0"/>
        <w:ind w:firstLine="720"/>
        <w:jc w:val="both"/>
        <w:rPr>
          <w:szCs w:val="24"/>
        </w:rPr>
      </w:pPr>
    </w:p>
    <w:p w:rsidR="00FB00A1" w:rsidP="00DA0C3F" w:rsidRDefault="00FB00A1" w14:paraId="2E2AEEAF" w14:textId="77777777">
      <w:pPr>
        <w:autoSpaceDE w:val="0"/>
        <w:autoSpaceDN w:val="0"/>
        <w:adjustRightInd w:val="0"/>
        <w:ind w:firstLine="720"/>
        <w:jc w:val="both"/>
        <w:rPr>
          <w:szCs w:val="24"/>
        </w:rPr>
      </w:pPr>
      <w:r w:rsidRPr="00424E59">
        <w:rPr>
          <w:szCs w:val="24"/>
        </w:rPr>
        <w:t>In addition, the Commission is establish</w:t>
      </w:r>
      <w:r w:rsidR="000B282E">
        <w:rPr>
          <w:szCs w:val="24"/>
        </w:rPr>
        <w:t>ing</w:t>
      </w:r>
      <w:r w:rsidRPr="00424E59">
        <w:rPr>
          <w:szCs w:val="24"/>
        </w:rPr>
        <w:t xml:space="preserve"> a streamlined process for addressing requests for non-enumerated bona fide hedging positions. </w:t>
      </w:r>
      <w:r w:rsidR="000B282E">
        <w:rPr>
          <w:szCs w:val="24"/>
        </w:rPr>
        <w:t xml:space="preserve"> </w:t>
      </w:r>
      <w:r w:rsidRPr="00424E59">
        <w:rPr>
          <w:szCs w:val="24"/>
        </w:rPr>
        <w:t xml:space="preserve">The new process leverages existing </w:t>
      </w:r>
      <w:r w:rsidRPr="00DA0C3F">
        <w:rPr>
          <w:bCs/>
          <w:szCs w:val="24"/>
        </w:rPr>
        <w:t>exchange</w:t>
      </w:r>
      <w:r w:rsidRPr="00424E59">
        <w:rPr>
          <w:szCs w:val="24"/>
        </w:rPr>
        <w:t xml:space="preserve"> processes as well as exchange expertise and resources.</w:t>
      </w:r>
    </w:p>
    <w:p w:rsidRPr="00424E59" w:rsidR="00DA0C3F" w:rsidP="00DA0C3F" w:rsidRDefault="00DA0C3F" w14:paraId="40137F99" w14:textId="77777777">
      <w:pPr>
        <w:autoSpaceDE w:val="0"/>
        <w:autoSpaceDN w:val="0"/>
        <w:adjustRightInd w:val="0"/>
        <w:ind w:firstLine="720"/>
        <w:jc w:val="both"/>
        <w:rPr>
          <w:szCs w:val="24"/>
        </w:rPr>
      </w:pPr>
    </w:p>
    <w:p w:rsidR="00CC21E6" w:rsidP="00DA0C3F" w:rsidRDefault="00FB00A1" w14:paraId="4712EA1F" w14:textId="77777777">
      <w:pPr>
        <w:autoSpaceDE w:val="0"/>
        <w:autoSpaceDN w:val="0"/>
        <w:adjustRightInd w:val="0"/>
        <w:ind w:firstLine="720"/>
        <w:jc w:val="both"/>
        <w:rPr>
          <w:szCs w:val="24"/>
        </w:rPr>
      </w:pPr>
      <w:r w:rsidRPr="00424E59">
        <w:rPr>
          <w:szCs w:val="24"/>
        </w:rPr>
        <w:t xml:space="preserve">Under the </w:t>
      </w:r>
      <w:r w:rsidR="000B282E">
        <w:rPr>
          <w:szCs w:val="24"/>
        </w:rPr>
        <w:t>Final Rule</w:t>
      </w:r>
      <w:r w:rsidRPr="00424E59">
        <w:rPr>
          <w:szCs w:val="24"/>
        </w:rPr>
        <w:t>, market participants c</w:t>
      </w:r>
      <w:r w:rsidR="000B282E">
        <w:rPr>
          <w:szCs w:val="24"/>
        </w:rPr>
        <w:t>an</w:t>
      </w:r>
      <w:r w:rsidRPr="00424E59">
        <w:rPr>
          <w:szCs w:val="24"/>
        </w:rPr>
        <w:t xml:space="preserve"> provide one application to an exchange to request a non-enumerated bona fide hedge, and receive approval of such request </w:t>
      </w:r>
      <w:r w:rsidR="008D5FD7">
        <w:rPr>
          <w:szCs w:val="24"/>
        </w:rPr>
        <w:t xml:space="preserve">from the exchange </w:t>
      </w:r>
      <w:r w:rsidRPr="00424E59">
        <w:rPr>
          <w:szCs w:val="24"/>
        </w:rPr>
        <w:t xml:space="preserve">for the purpose of </w:t>
      </w:r>
      <w:r w:rsidRPr="00DA0C3F">
        <w:rPr>
          <w:bCs/>
          <w:szCs w:val="24"/>
        </w:rPr>
        <w:t>exchange</w:t>
      </w:r>
      <w:r w:rsidRPr="00424E59">
        <w:rPr>
          <w:szCs w:val="24"/>
        </w:rPr>
        <w:t xml:space="preserve">-set limits and </w:t>
      </w:r>
      <w:r w:rsidR="008D5FD7">
        <w:rPr>
          <w:szCs w:val="24"/>
        </w:rPr>
        <w:t xml:space="preserve">from the Commission for the purpose of </w:t>
      </w:r>
      <w:r w:rsidRPr="00424E59">
        <w:rPr>
          <w:szCs w:val="24"/>
        </w:rPr>
        <w:t>federal limits</w:t>
      </w:r>
      <w:r w:rsidR="008D5FD7">
        <w:rPr>
          <w:szCs w:val="24"/>
        </w:rPr>
        <w:t xml:space="preserve"> (the Commission will receive the application directly from the exchange)</w:t>
      </w:r>
      <w:r w:rsidRPr="00424E59">
        <w:rPr>
          <w:szCs w:val="24"/>
        </w:rPr>
        <w:t>.</w:t>
      </w:r>
    </w:p>
    <w:p w:rsidR="00D85013" w:rsidP="00DA0C3F" w:rsidRDefault="00D85013" w14:paraId="3BAC836D" w14:textId="77777777">
      <w:pPr>
        <w:autoSpaceDE w:val="0"/>
        <w:autoSpaceDN w:val="0"/>
        <w:adjustRightInd w:val="0"/>
        <w:ind w:firstLine="720"/>
        <w:jc w:val="both"/>
        <w:rPr>
          <w:szCs w:val="24"/>
        </w:rPr>
      </w:pPr>
    </w:p>
    <w:p w:rsidR="00CC21E6" w:rsidP="00DA0C3F" w:rsidRDefault="008D4997" w14:paraId="643AB01B" w14:textId="77777777">
      <w:pPr>
        <w:autoSpaceDE w:val="0"/>
        <w:autoSpaceDN w:val="0"/>
        <w:adjustRightInd w:val="0"/>
        <w:ind w:firstLine="720"/>
        <w:jc w:val="both"/>
        <w:rPr>
          <w:szCs w:val="24"/>
        </w:rPr>
      </w:pPr>
      <w:r>
        <w:rPr>
          <w:bCs/>
          <w:szCs w:val="24"/>
        </w:rPr>
        <w:t xml:space="preserve">For </w:t>
      </w:r>
      <w:r w:rsidRPr="00CC21E6" w:rsidR="00CC21E6">
        <w:rPr>
          <w:bCs/>
          <w:szCs w:val="24"/>
        </w:rPr>
        <w:t>OMB</w:t>
      </w:r>
      <w:r w:rsidR="00CC21E6">
        <w:rPr>
          <w:bCs/>
          <w:szCs w:val="24"/>
        </w:rPr>
        <w:t xml:space="preserve"> control number</w:t>
      </w:r>
      <w:r w:rsidRPr="00CC21E6" w:rsidR="00CC21E6">
        <w:rPr>
          <w:bCs/>
          <w:szCs w:val="24"/>
        </w:rPr>
        <w:t xml:space="preserve"> 3038-0093</w:t>
      </w:r>
      <w:r>
        <w:rPr>
          <w:bCs/>
          <w:szCs w:val="24"/>
        </w:rPr>
        <w:t xml:space="preserve">, </w:t>
      </w:r>
      <w:r w:rsidR="00E157A0">
        <w:rPr>
          <w:bCs/>
          <w:szCs w:val="24"/>
        </w:rPr>
        <w:t>t</w:t>
      </w:r>
      <w:r w:rsidRPr="008D4997">
        <w:rPr>
          <w:bCs/>
          <w:szCs w:val="24"/>
        </w:rPr>
        <w:t>he statute and regulations require registered entities to submit certain information—product terms and conditions, explanations of the cash market and other aspects of the product and its compliance with applicable law, rule changes and explanations of the operation, purpose and effect of such changes, and notices of the certain risk management rules that is not available from any other source and generally is specific to the registered entity.</w:t>
      </w:r>
    </w:p>
    <w:p w:rsidRPr="00424E59" w:rsidR="009364E1" w:rsidP="00DA0C3F" w:rsidRDefault="009364E1" w14:paraId="3A82EEE6" w14:textId="77777777">
      <w:pPr>
        <w:autoSpaceDE w:val="0"/>
        <w:autoSpaceDN w:val="0"/>
        <w:adjustRightInd w:val="0"/>
        <w:ind w:firstLine="720"/>
        <w:jc w:val="both"/>
        <w:rPr>
          <w:rFonts w:eastAsia="Times New Roman" w:cs="Times New Roman"/>
          <w:szCs w:val="24"/>
        </w:rPr>
      </w:pPr>
    </w:p>
    <w:p w:rsidRPr="00424E59" w:rsidR="00642B6A" w:rsidP="00FE503D" w:rsidRDefault="00642B6A" w14:paraId="4C13C765"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5.</w:t>
      </w:r>
      <w:r w:rsidRPr="00424E59">
        <w:rPr>
          <w:rFonts w:eastAsia="Times New Roman" w:cs="Times New Roman"/>
          <w:b/>
          <w:szCs w:val="24"/>
        </w:rPr>
        <w:tab/>
        <w:t>If the collection of information involves small business or other small entities, describe the methods used to minimize burden.</w:t>
      </w:r>
    </w:p>
    <w:p w:rsidRPr="00424E59" w:rsidR="00CC21E6" w:rsidP="00D945B5" w:rsidRDefault="00642B6A" w14:paraId="2DD53F5D" w14:textId="77777777">
      <w:pPr>
        <w:tabs>
          <w:tab w:val="left" w:pos="-720"/>
        </w:tabs>
        <w:spacing w:after="240"/>
        <w:jc w:val="both"/>
        <w:rPr>
          <w:rFonts w:eastAsia="Times New Roman" w:cs="Times New Roman"/>
          <w:szCs w:val="24"/>
        </w:rPr>
      </w:pPr>
      <w:r w:rsidRPr="00424E59">
        <w:rPr>
          <w:rFonts w:eastAsia="Times New Roman" w:cs="Times New Roman"/>
          <w:szCs w:val="24"/>
        </w:rPr>
        <w:tab/>
      </w:r>
      <w:r w:rsidRPr="007971A9" w:rsidR="004F796B">
        <w:rPr>
          <w:rFonts w:eastAsia="Times New Roman" w:cs="Times New Roman"/>
          <w:szCs w:val="24"/>
        </w:rPr>
        <w:t xml:space="preserve">The Chairman has certified on behalf of the Commission that the </w:t>
      </w:r>
      <w:r w:rsidR="00C52E7B">
        <w:rPr>
          <w:rFonts w:eastAsia="Times New Roman" w:cs="Times New Roman"/>
          <w:szCs w:val="24"/>
        </w:rPr>
        <w:t xml:space="preserve">Final Rule </w:t>
      </w:r>
      <w:r w:rsidRPr="007971A9" w:rsidR="004F796B">
        <w:rPr>
          <w:rFonts w:eastAsia="Times New Roman" w:cs="Times New Roman"/>
          <w:szCs w:val="24"/>
        </w:rPr>
        <w:t>(including the collection</w:t>
      </w:r>
      <w:r w:rsidR="004F796B">
        <w:rPr>
          <w:rFonts w:eastAsia="Times New Roman" w:cs="Times New Roman"/>
          <w:szCs w:val="24"/>
        </w:rPr>
        <w:t>s</w:t>
      </w:r>
      <w:r w:rsidRPr="007971A9" w:rsidR="004F796B">
        <w:rPr>
          <w:rFonts w:eastAsia="Times New Roman" w:cs="Times New Roman"/>
          <w:szCs w:val="24"/>
        </w:rPr>
        <w:t xml:space="preserve"> of information) will not have a significant economic impact on a substantial number of small entities.</w:t>
      </w:r>
      <w:r w:rsidR="004F796B">
        <w:rPr>
          <w:rFonts w:eastAsia="Times New Roman" w:cs="Times New Roman"/>
          <w:szCs w:val="24"/>
        </w:rPr>
        <w:t xml:space="preserve"> </w:t>
      </w:r>
      <w:r w:rsidR="00C52E7B">
        <w:rPr>
          <w:rFonts w:eastAsia="Times New Roman" w:cs="Times New Roman"/>
          <w:szCs w:val="24"/>
        </w:rPr>
        <w:t xml:space="preserve"> </w:t>
      </w:r>
      <w:r w:rsidRPr="004F796B" w:rsidR="004F796B">
        <w:rPr>
          <w:rFonts w:eastAsia="Calibri" w:cs="Times New Roman"/>
          <w:szCs w:val="24"/>
        </w:rPr>
        <w:t xml:space="preserve">The requirements related to the </w:t>
      </w:r>
      <w:r w:rsidR="009401EE">
        <w:rPr>
          <w:rFonts w:eastAsia="Calibri" w:cs="Times New Roman"/>
          <w:szCs w:val="24"/>
        </w:rPr>
        <w:t>Final Rule</w:t>
      </w:r>
      <w:r w:rsidRPr="004F796B" w:rsidR="009401EE">
        <w:rPr>
          <w:rFonts w:eastAsia="Calibri" w:cs="Times New Roman"/>
          <w:szCs w:val="24"/>
        </w:rPr>
        <w:t xml:space="preserve"> </w:t>
      </w:r>
      <w:r w:rsidRPr="004F796B" w:rsidR="004F796B">
        <w:rPr>
          <w:rFonts w:eastAsia="Calibri" w:cs="Times New Roman"/>
          <w:szCs w:val="24"/>
        </w:rPr>
        <w:t>fall mainly on registered entities</w:t>
      </w:r>
      <w:r w:rsidR="009401EE">
        <w:rPr>
          <w:rFonts w:eastAsia="Calibri" w:cs="Times New Roman"/>
          <w:szCs w:val="24"/>
        </w:rPr>
        <w:t xml:space="preserve"> such as</w:t>
      </w:r>
      <w:r w:rsidRPr="004F796B" w:rsidR="004F796B">
        <w:rPr>
          <w:rFonts w:eastAsia="Calibri" w:cs="Times New Roman"/>
          <w:szCs w:val="24"/>
        </w:rPr>
        <w:t xml:space="preserve"> exchanges</w:t>
      </w:r>
      <w:r w:rsidR="009401EE">
        <w:rPr>
          <w:rFonts w:eastAsia="Calibri" w:cs="Times New Roman"/>
          <w:szCs w:val="24"/>
        </w:rPr>
        <w:t xml:space="preserve"> (</w:t>
      </w:r>
      <w:r w:rsidR="009401EE">
        <w:rPr>
          <w:rFonts w:eastAsia="Calibri" w:cs="Times New Roman"/>
          <w:i/>
          <w:szCs w:val="24"/>
        </w:rPr>
        <w:t xml:space="preserve">i.e., </w:t>
      </w:r>
      <w:r w:rsidR="009401EE">
        <w:rPr>
          <w:rFonts w:eastAsia="Calibri" w:cs="Times New Roman"/>
          <w:szCs w:val="24"/>
        </w:rPr>
        <w:t>DCMs and swap execution facilities (“SEFs”)</w:t>
      </w:r>
      <w:r w:rsidR="00470AE5">
        <w:rPr>
          <w:rFonts w:eastAsia="Calibri" w:cs="Times New Roman"/>
          <w:szCs w:val="24"/>
        </w:rPr>
        <w:t>)</w:t>
      </w:r>
      <w:r w:rsidRPr="004F796B" w:rsidR="004F796B">
        <w:rPr>
          <w:rFonts w:eastAsia="Calibri" w:cs="Times New Roman"/>
          <w:szCs w:val="24"/>
        </w:rPr>
        <w:t xml:space="preserve">, FCMs, swap dealers, clearing members, foreign brokers, and large traders. </w:t>
      </w:r>
      <w:r w:rsidR="00C52E7B">
        <w:rPr>
          <w:rFonts w:eastAsia="Calibri" w:cs="Times New Roman"/>
          <w:szCs w:val="24"/>
        </w:rPr>
        <w:t xml:space="preserve"> </w:t>
      </w:r>
      <w:r w:rsidRPr="004F796B" w:rsidR="004F796B">
        <w:rPr>
          <w:rFonts w:eastAsia="Calibri" w:cs="Times New Roman"/>
          <w:szCs w:val="24"/>
        </w:rPr>
        <w:t xml:space="preserve">The Commission has determined that registered DCMs, </w:t>
      </w:r>
      <w:r w:rsidR="00A80718">
        <w:rPr>
          <w:rFonts w:eastAsia="Calibri" w:cs="Times New Roman"/>
          <w:szCs w:val="24"/>
        </w:rPr>
        <w:t xml:space="preserve">SEFs, </w:t>
      </w:r>
      <w:r w:rsidRPr="004F796B" w:rsidR="004F796B">
        <w:rPr>
          <w:rFonts w:eastAsia="Calibri" w:cs="Times New Roman"/>
          <w:szCs w:val="24"/>
        </w:rPr>
        <w:t>FCMs, swap dealers, major swap participants, eligible contract participants, clearing members, foreign brokers</w:t>
      </w:r>
      <w:r w:rsidR="00C52E7B">
        <w:rPr>
          <w:rFonts w:eastAsia="Calibri" w:cs="Times New Roman"/>
          <w:szCs w:val="24"/>
        </w:rPr>
        <w:t>,</w:t>
      </w:r>
      <w:r w:rsidRPr="004F796B" w:rsidR="004F796B">
        <w:rPr>
          <w:rFonts w:eastAsia="Calibri" w:cs="Times New Roman"/>
          <w:szCs w:val="24"/>
        </w:rPr>
        <w:t xml:space="preserve"> and large traders are not small entities for </w:t>
      </w:r>
      <w:r w:rsidR="004F796B">
        <w:rPr>
          <w:rFonts w:eastAsia="Calibri" w:cs="Times New Roman"/>
          <w:szCs w:val="24"/>
        </w:rPr>
        <w:t>purposes of the Regulatory Flexibility Act.</w:t>
      </w:r>
      <w:r w:rsidR="004F796B">
        <w:rPr>
          <w:rFonts w:eastAsia="Times New Roman" w:cs="Times New Roman"/>
          <w:szCs w:val="24"/>
        </w:rPr>
        <w:t xml:space="preserve"> </w:t>
      </w:r>
      <w:r w:rsidR="00CC21E6">
        <w:rPr>
          <w:bCs/>
          <w:szCs w:val="24"/>
        </w:rPr>
        <w:tab/>
      </w:r>
    </w:p>
    <w:p w:rsidRPr="00424E59" w:rsidR="00642B6A" w:rsidP="00FE503D" w:rsidRDefault="00642B6A" w14:paraId="68ECAC2C"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6.</w:t>
      </w:r>
      <w:r w:rsidRPr="00424E59">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Pr="00CE3EC5" w:rsidR="00225B18" w:rsidP="00225B18" w:rsidRDefault="00225B18" w14:paraId="5A960892" w14:textId="77777777">
      <w:pPr>
        <w:pStyle w:val="ListParagraph"/>
        <w:numPr>
          <w:ilvl w:val="0"/>
          <w:numId w:val="8"/>
        </w:numPr>
        <w:tabs>
          <w:tab w:val="left" w:pos="-720"/>
        </w:tabs>
        <w:spacing w:after="240"/>
        <w:jc w:val="both"/>
        <w:rPr>
          <w:rFonts w:eastAsia="Times New Roman" w:cs="Times New Roman"/>
          <w:b/>
          <w:szCs w:val="24"/>
        </w:rPr>
      </w:pPr>
      <w:r w:rsidRPr="00CE3EC5">
        <w:rPr>
          <w:b/>
          <w:szCs w:val="24"/>
        </w:rPr>
        <w:lastRenderedPageBreak/>
        <w:t xml:space="preserve">OMB </w:t>
      </w:r>
      <w:r w:rsidR="00A01600">
        <w:rPr>
          <w:b/>
          <w:szCs w:val="24"/>
        </w:rPr>
        <w:t xml:space="preserve">Control Number </w:t>
      </w:r>
      <w:r w:rsidRPr="00CE3EC5">
        <w:rPr>
          <w:b/>
          <w:szCs w:val="24"/>
        </w:rPr>
        <w:t xml:space="preserve">3038-0009 – </w:t>
      </w:r>
      <w:r w:rsidR="00CE3EC5">
        <w:rPr>
          <w:b/>
          <w:szCs w:val="24"/>
        </w:rPr>
        <w:t xml:space="preserve">Large Trader </w:t>
      </w:r>
      <w:r w:rsidRPr="00CE3EC5">
        <w:rPr>
          <w:b/>
          <w:szCs w:val="24"/>
        </w:rPr>
        <w:t>Reports</w:t>
      </w:r>
    </w:p>
    <w:p w:rsidRPr="00424E59" w:rsidR="00225B18" w:rsidP="00225B18" w:rsidRDefault="00225B18" w14:paraId="48D3BB28" w14:textId="77777777">
      <w:pPr>
        <w:autoSpaceDE w:val="0"/>
        <w:autoSpaceDN w:val="0"/>
        <w:adjustRightInd w:val="0"/>
        <w:ind w:firstLine="720"/>
        <w:jc w:val="both"/>
        <w:rPr>
          <w:szCs w:val="24"/>
        </w:rPr>
      </w:pPr>
      <w:r w:rsidRPr="00424E59">
        <w:rPr>
          <w:szCs w:val="24"/>
        </w:rPr>
        <w:t>The Commission would not be able to conduct its oversight responsibilities for these markets</w:t>
      </w:r>
      <w:r w:rsidR="007579C9">
        <w:rPr>
          <w:szCs w:val="24"/>
        </w:rPr>
        <w:t xml:space="preserve"> without surveillance</w:t>
      </w:r>
      <w:r w:rsidRPr="00424E59">
        <w:rPr>
          <w:szCs w:val="24"/>
        </w:rPr>
        <w:t xml:space="preserve">.  The </w:t>
      </w:r>
      <w:r w:rsidR="004F0D84">
        <w:rPr>
          <w:szCs w:val="24"/>
        </w:rPr>
        <w:t>frequency of the c</w:t>
      </w:r>
      <w:r w:rsidRPr="00424E59">
        <w:rPr>
          <w:szCs w:val="24"/>
        </w:rPr>
        <w:t xml:space="preserve">ollection requirements </w:t>
      </w:r>
      <w:r w:rsidR="00932912">
        <w:rPr>
          <w:szCs w:val="24"/>
        </w:rPr>
        <w:t>is</w:t>
      </w:r>
      <w:r w:rsidRPr="00424E59" w:rsidR="00932912">
        <w:rPr>
          <w:szCs w:val="24"/>
        </w:rPr>
        <w:t xml:space="preserve"> </w:t>
      </w:r>
      <w:r w:rsidRPr="00424E59">
        <w:rPr>
          <w:szCs w:val="24"/>
        </w:rPr>
        <w:t>essential to executing the Commission’s mission to foster open, transparent, competitive, and financially sound markets</w:t>
      </w:r>
      <w:r w:rsidR="00932F89">
        <w:rPr>
          <w:szCs w:val="24"/>
        </w:rPr>
        <w:t>;</w:t>
      </w:r>
      <w:r w:rsidRPr="00424E59">
        <w:rPr>
          <w:szCs w:val="24"/>
        </w:rPr>
        <w:t xml:space="preserve"> to avoid systemic risk</w:t>
      </w:r>
      <w:r w:rsidR="00932F89">
        <w:rPr>
          <w:szCs w:val="24"/>
        </w:rPr>
        <w:t>;</w:t>
      </w:r>
      <w:r w:rsidRPr="00424E59">
        <w:rPr>
          <w:szCs w:val="24"/>
        </w:rPr>
        <w:t xml:space="preserve"> and to protect the market users and their funds, consumers, and the public from fraud, manipulation, and abusive practices related to derivatives and other products that are subject to the </w:t>
      </w:r>
      <w:r w:rsidR="00932F89">
        <w:rPr>
          <w:szCs w:val="24"/>
        </w:rPr>
        <w:t>CEA</w:t>
      </w:r>
      <w:r w:rsidRPr="00424E59">
        <w:rPr>
          <w:szCs w:val="24"/>
        </w:rPr>
        <w:t xml:space="preserve">.   </w:t>
      </w:r>
    </w:p>
    <w:p w:rsidRPr="00424E59" w:rsidR="00225B18" w:rsidP="00225B18" w:rsidRDefault="00225B18" w14:paraId="7DBFB981" w14:textId="77777777">
      <w:pPr>
        <w:keepNext/>
        <w:ind w:left="720" w:hanging="720"/>
        <w:jc w:val="both"/>
        <w:rPr>
          <w:szCs w:val="24"/>
        </w:rPr>
      </w:pPr>
    </w:p>
    <w:p w:rsidRPr="00424E59" w:rsidR="00225B18" w:rsidP="00225B18" w:rsidRDefault="00225B18" w14:paraId="3F3C911C" w14:textId="77777777">
      <w:pPr>
        <w:autoSpaceDE w:val="0"/>
        <w:autoSpaceDN w:val="0"/>
        <w:adjustRightInd w:val="0"/>
        <w:ind w:firstLine="720"/>
        <w:jc w:val="both"/>
        <w:rPr>
          <w:szCs w:val="24"/>
        </w:rPr>
      </w:pPr>
      <w:r w:rsidRPr="00424E59">
        <w:rPr>
          <w:szCs w:val="24"/>
        </w:rPr>
        <w:t>Market activities require surveillance on a daily basis because situations such as attempted manipulations or congestion can develop rapidly.  Adequate surveillance would be impossible if transactional and position reports were received on less than a daily basis.</w:t>
      </w:r>
    </w:p>
    <w:p w:rsidRPr="00424E59" w:rsidR="00225B18" w:rsidP="00136031" w:rsidRDefault="00225B18" w14:paraId="1197B3C5" w14:textId="77777777">
      <w:pPr>
        <w:tabs>
          <w:tab w:val="left" w:pos="-720"/>
          <w:tab w:val="left" w:pos="0"/>
        </w:tabs>
        <w:ind w:left="720" w:hanging="720"/>
        <w:rPr>
          <w:rFonts w:eastAsia="Times New Roman" w:cs="Times New Roman"/>
          <w:szCs w:val="24"/>
        </w:rPr>
      </w:pPr>
    </w:p>
    <w:p w:rsidRPr="007579C9" w:rsidR="00225B18" w:rsidP="007579C9" w:rsidRDefault="00225B18" w14:paraId="03D842D2" w14:textId="77777777">
      <w:pPr>
        <w:pStyle w:val="ListParagraph"/>
        <w:numPr>
          <w:ilvl w:val="0"/>
          <w:numId w:val="8"/>
        </w:numPr>
        <w:tabs>
          <w:tab w:val="left" w:pos="-720"/>
          <w:tab w:val="left" w:pos="0"/>
        </w:tabs>
        <w:spacing w:after="240"/>
        <w:jc w:val="both"/>
        <w:rPr>
          <w:rFonts w:eastAsia="Times New Roman" w:cs="Times New Roman"/>
          <w:szCs w:val="24"/>
        </w:rPr>
      </w:pPr>
      <w:r w:rsidRPr="007579C9">
        <w:rPr>
          <w:rFonts w:eastAsia="Times New Roman" w:cs="Times New Roman"/>
          <w:b/>
          <w:szCs w:val="24"/>
        </w:rPr>
        <w:t xml:space="preserve">OMB </w:t>
      </w:r>
      <w:r w:rsidR="00A01600">
        <w:rPr>
          <w:rFonts w:eastAsia="Times New Roman" w:cs="Times New Roman"/>
          <w:b/>
          <w:szCs w:val="24"/>
        </w:rPr>
        <w:t xml:space="preserve">Control Number </w:t>
      </w:r>
      <w:r w:rsidRPr="007579C9">
        <w:rPr>
          <w:rFonts w:eastAsia="Times New Roman" w:cs="Times New Roman"/>
          <w:b/>
          <w:szCs w:val="24"/>
        </w:rPr>
        <w:t xml:space="preserve">3038-0013 – </w:t>
      </w:r>
      <w:r w:rsidRPr="007579C9">
        <w:rPr>
          <w:b/>
          <w:szCs w:val="24"/>
        </w:rPr>
        <w:t>Position</w:t>
      </w:r>
      <w:r w:rsidRPr="007579C9">
        <w:rPr>
          <w:rFonts w:eastAsia="Times New Roman" w:cs="Times New Roman"/>
          <w:b/>
          <w:szCs w:val="24"/>
        </w:rPr>
        <w:t xml:space="preserve"> Limits</w:t>
      </w:r>
    </w:p>
    <w:p w:rsidR="00AE5880" w:rsidP="00AE5880" w:rsidRDefault="00136031" w14:paraId="1A8812E3" w14:textId="77777777">
      <w:pPr>
        <w:autoSpaceDE w:val="0"/>
        <w:autoSpaceDN w:val="0"/>
        <w:adjustRightInd w:val="0"/>
        <w:ind w:firstLine="720"/>
        <w:jc w:val="both"/>
        <w:rPr>
          <w:szCs w:val="24"/>
        </w:rPr>
      </w:pPr>
      <w:r w:rsidRPr="00721E89">
        <w:rPr>
          <w:szCs w:val="24"/>
        </w:rPr>
        <w:t xml:space="preserve">The Commission would not be able to effectively carry out the </w:t>
      </w:r>
      <w:r w:rsidRPr="00721E89" w:rsidR="00721E89">
        <w:rPr>
          <w:szCs w:val="24"/>
        </w:rPr>
        <w:t xml:space="preserve">congressional directive to </w:t>
      </w:r>
      <w:r w:rsidRPr="00721E89">
        <w:rPr>
          <w:szCs w:val="24"/>
        </w:rPr>
        <w:t>establish position limits</w:t>
      </w:r>
      <w:r w:rsidR="009401EE">
        <w:rPr>
          <w:szCs w:val="24"/>
        </w:rPr>
        <w:t>, as the Commission deems necessary,</w:t>
      </w:r>
      <w:r w:rsidRPr="00721E89">
        <w:rPr>
          <w:szCs w:val="24"/>
        </w:rPr>
        <w:t xml:space="preserve"> under section 4a of the CEA</w:t>
      </w:r>
      <w:r w:rsidR="004F0D84">
        <w:rPr>
          <w:szCs w:val="24"/>
        </w:rPr>
        <w:t xml:space="preserve"> if the collections were conducted less frequently than </w:t>
      </w:r>
      <w:r w:rsidR="001453A0">
        <w:rPr>
          <w:szCs w:val="24"/>
        </w:rPr>
        <w:t>as adopted</w:t>
      </w:r>
      <w:r w:rsidRPr="00721E89">
        <w:rPr>
          <w:szCs w:val="24"/>
        </w:rPr>
        <w:t xml:space="preserve">.  </w:t>
      </w:r>
      <w:r w:rsidR="0025553A">
        <w:rPr>
          <w:szCs w:val="24"/>
        </w:rPr>
        <w:t xml:space="preserve">The </w:t>
      </w:r>
      <w:r w:rsidR="007E01B5">
        <w:rPr>
          <w:szCs w:val="24"/>
        </w:rPr>
        <w:t>Final Rule</w:t>
      </w:r>
      <w:r w:rsidR="0025553A">
        <w:rPr>
          <w:szCs w:val="24"/>
        </w:rPr>
        <w:t xml:space="preserve"> set</w:t>
      </w:r>
      <w:r w:rsidR="007E01B5">
        <w:rPr>
          <w:szCs w:val="24"/>
        </w:rPr>
        <w:t>s</w:t>
      </w:r>
      <w:r w:rsidR="0025553A">
        <w:rPr>
          <w:szCs w:val="24"/>
        </w:rPr>
        <w:t xml:space="preserve"> forth a streamline</w:t>
      </w:r>
      <w:r w:rsidR="00932912">
        <w:rPr>
          <w:szCs w:val="24"/>
        </w:rPr>
        <w:t>d</w:t>
      </w:r>
      <w:r w:rsidR="0025553A">
        <w:rPr>
          <w:szCs w:val="24"/>
        </w:rPr>
        <w:t xml:space="preserve"> process in which a trader c</w:t>
      </w:r>
      <w:r w:rsidR="001453A0">
        <w:rPr>
          <w:szCs w:val="24"/>
        </w:rPr>
        <w:t>an</w:t>
      </w:r>
      <w:r w:rsidR="0025553A">
        <w:rPr>
          <w:szCs w:val="24"/>
        </w:rPr>
        <w:t xml:space="preserve"> apply</w:t>
      </w:r>
      <w:r w:rsidR="00545204">
        <w:rPr>
          <w:szCs w:val="24"/>
        </w:rPr>
        <w:t xml:space="preserve"> indirectly to the Commission</w:t>
      </w:r>
      <w:r w:rsidR="0025553A">
        <w:rPr>
          <w:szCs w:val="24"/>
        </w:rPr>
        <w:t xml:space="preserve"> through an </w:t>
      </w:r>
      <w:r w:rsidRPr="0025553A" w:rsidR="0025553A">
        <w:rPr>
          <w:rFonts w:eastAsia="Calibri" w:cs="Times New Roman"/>
          <w:szCs w:val="24"/>
        </w:rPr>
        <w:t xml:space="preserve">exchange to request a non-enumerated bona fide hedging recognition from federal position limits. </w:t>
      </w:r>
      <w:r w:rsidR="0025553A">
        <w:rPr>
          <w:szCs w:val="24"/>
        </w:rPr>
        <w:t xml:space="preserve"> </w:t>
      </w:r>
      <w:r w:rsidR="00883357">
        <w:rPr>
          <w:szCs w:val="24"/>
        </w:rPr>
        <w:t>Conducting the collections less frequently</w:t>
      </w:r>
      <w:r w:rsidR="0043153E">
        <w:rPr>
          <w:szCs w:val="24"/>
        </w:rPr>
        <w:t xml:space="preserve"> </w:t>
      </w:r>
      <w:r w:rsidR="00883357">
        <w:rPr>
          <w:szCs w:val="24"/>
        </w:rPr>
        <w:t>w</w:t>
      </w:r>
      <w:r w:rsidR="00A7762D">
        <w:rPr>
          <w:szCs w:val="24"/>
        </w:rPr>
        <w:t>ill</w:t>
      </w:r>
      <w:r w:rsidR="00883357">
        <w:rPr>
          <w:szCs w:val="24"/>
        </w:rPr>
        <w:t xml:space="preserve"> hinder the Commission’s ability to consider the traders’ </w:t>
      </w:r>
      <w:r w:rsidRPr="00721E89">
        <w:rPr>
          <w:szCs w:val="24"/>
        </w:rPr>
        <w:t xml:space="preserve">applications when requesting non-enumerated bona fide hedge exemptions from federal or exchange-set limits </w:t>
      </w:r>
      <w:r w:rsidR="001A1F2E">
        <w:rPr>
          <w:szCs w:val="24"/>
        </w:rPr>
        <w:t xml:space="preserve">and </w:t>
      </w:r>
      <w:r w:rsidRPr="00721E89">
        <w:rPr>
          <w:szCs w:val="24"/>
        </w:rPr>
        <w:t xml:space="preserve">allows the </w:t>
      </w:r>
      <w:r w:rsidRPr="00721E89" w:rsidR="00B52955">
        <w:rPr>
          <w:szCs w:val="24"/>
        </w:rPr>
        <w:t>Commission</w:t>
      </w:r>
      <w:r w:rsidRPr="00721E89">
        <w:rPr>
          <w:szCs w:val="24"/>
        </w:rPr>
        <w:t xml:space="preserve"> </w:t>
      </w:r>
      <w:r w:rsidR="001A1F2E">
        <w:rPr>
          <w:szCs w:val="24"/>
        </w:rPr>
        <w:t>to</w:t>
      </w:r>
      <w:r w:rsidRPr="00721E89">
        <w:rPr>
          <w:szCs w:val="24"/>
        </w:rPr>
        <w:t xml:space="preserve"> </w:t>
      </w:r>
      <w:r w:rsidR="00883357">
        <w:rPr>
          <w:szCs w:val="24"/>
        </w:rPr>
        <w:t>assess</w:t>
      </w:r>
      <w:r w:rsidRPr="00721E89">
        <w:rPr>
          <w:szCs w:val="24"/>
        </w:rPr>
        <w:t xml:space="preserve"> the validity of exemptions.  In addition, </w:t>
      </w:r>
      <w:r w:rsidR="00883357">
        <w:rPr>
          <w:szCs w:val="24"/>
        </w:rPr>
        <w:t xml:space="preserve">conducting the </w:t>
      </w:r>
      <w:r w:rsidRPr="00721E89">
        <w:rPr>
          <w:szCs w:val="24"/>
        </w:rPr>
        <w:t xml:space="preserve">recordkeeping obligations </w:t>
      </w:r>
      <w:r w:rsidR="00883357">
        <w:rPr>
          <w:szCs w:val="24"/>
        </w:rPr>
        <w:t>less frequently w</w:t>
      </w:r>
      <w:r w:rsidR="001A1F2E">
        <w:rPr>
          <w:szCs w:val="24"/>
        </w:rPr>
        <w:t>ill</w:t>
      </w:r>
      <w:r w:rsidR="00883357">
        <w:rPr>
          <w:szCs w:val="24"/>
        </w:rPr>
        <w:t xml:space="preserve"> not </w:t>
      </w:r>
      <w:r w:rsidRPr="00721E89">
        <w:rPr>
          <w:szCs w:val="24"/>
        </w:rPr>
        <w:t xml:space="preserve">aid in the Commission’s ability to properly enforce </w:t>
      </w:r>
      <w:r w:rsidR="00721E89">
        <w:rPr>
          <w:szCs w:val="24"/>
        </w:rPr>
        <w:t xml:space="preserve">federal </w:t>
      </w:r>
      <w:r w:rsidRPr="00721E89">
        <w:rPr>
          <w:szCs w:val="24"/>
        </w:rPr>
        <w:t xml:space="preserve">position limits </w:t>
      </w:r>
      <w:r w:rsidR="00883357">
        <w:rPr>
          <w:szCs w:val="24"/>
        </w:rPr>
        <w:t xml:space="preserve">as the </w:t>
      </w:r>
      <w:r w:rsidR="00545204">
        <w:rPr>
          <w:szCs w:val="24"/>
        </w:rPr>
        <w:t>Final Rule’s</w:t>
      </w:r>
      <w:r w:rsidR="00883357">
        <w:rPr>
          <w:szCs w:val="24"/>
        </w:rPr>
        <w:t xml:space="preserve"> requirements </w:t>
      </w:r>
      <w:r w:rsidRPr="00721E89">
        <w:rPr>
          <w:szCs w:val="24"/>
        </w:rPr>
        <w:t>ensur</w:t>
      </w:r>
      <w:r w:rsidR="00883357">
        <w:rPr>
          <w:szCs w:val="24"/>
        </w:rPr>
        <w:t>e</w:t>
      </w:r>
      <w:r w:rsidRPr="00721E89">
        <w:rPr>
          <w:szCs w:val="24"/>
        </w:rPr>
        <w:t xml:space="preserve"> that supporting documentation is available upon</w:t>
      </w:r>
      <w:r w:rsidR="00721E89">
        <w:rPr>
          <w:szCs w:val="24"/>
        </w:rPr>
        <w:t xml:space="preserve"> </w:t>
      </w:r>
      <w:r w:rsidR="007579C9">
        <w:rPr>
          <w:szCs w:val="24"/>
        </w:rPr>
        <w:t xml:space="preserve">request to Commission staff.  </w:t>
      </w:r>
    </w:p>
    <w:p w:rsidR="00AE5880" w:rsidP="00CC21E6" w:rsidRDefault="00AE5880" w14:paraId="71494276" w14:textId="77777777">
      <w:pPr>
        <w:autoSpaceDE w:val="0"/>
        <w:autoSpaceDN w:val="0"/>
        <w:adjustRightInd w:val="0"/>
        <w:ind w:firstLine="720"/>
        <w:jc w:val="both"/>
        <w:rPr>
          <w:szCs w:val="24"/>
        </w:rPr>
      </w:pPr>
    </w:p>
    <w:p w:rsidR="00CC21E6" w:rsidP="004F2D09" w:rsidRDefault="00136031" w14:paraId="2287AB52" w14:textId="77777777">
      <w:pPr>
        <w:tabs>
          <w:tab w:val="left" w:pos="360"/>
        </w:tabs>
        <w:autoSpaceDE w:val="0"/>
        <w:autoSpaceDN w:val="0"/>
        <w:adjustRightInd w:val="0"/>
        <w:ind w:firstLine="720"/>
        <w:jc w:val="both"/>
        <w:rPr>
          <w:szCs w:val="24"/>
        </w:rPr>
      </w:pPr>
      <w:r w:rsidRPr="00721E89">
        <w:rPr>
          <w:szCs w:val="24"/>
        </w:rPr>
        <w:t>Further, in order to properly set</w:t>
      </w:r>
      <w:r w:rsidR="00721E89">
        <w:rPr>
          <w:szCs w:val="24"/>
        </w:rPr>
        <w:t xml:space="preserve"> federal</w:t>
      </w:r>
      <w:r w:rsidRPr="00721E89">
        <w:rPr>
          <w:szCs w:val="24"/>
        </w:rPr>
        <w:t xml:space="preserve"> spot-month position limits, the Commission will need the DCMs to submit initial estimates of deliverable supply on</w:t>
      </w:r>
      <w:r w:rsidR="00721E89">
        <w:rPr>
          <w:szCs w:val="24"/>
        </w:rPr>
        <w:t xml:space="preserve"> </w:t>
      </w:r>
      <w:r w:rsidRPr="00721E89">
        <w:rPr>
          <w:szCs w:val="24"/>
        </w:rPr>
        <w:t>the relevant underlying commodities.</w:t>
      </w:r>
    </w:p>
    <w:p w:rsidR="00CC21E6" w:rsidP="00CC21E6" w:rsidRDefault="00CC21E6" w14:paraId="49C42568" w14:textId="77777777">
      <w:pPr>
        <w:autoSpaceDE w:val="0"/>
        <w:autoSpaceDN w:val="0"/>
        <w:adjustRightInd w:val="0"/>
        <w:ind w:firstLine="720"/>
        <w:jc w:val="both"/>
        <w:rPr>
          <w:szCs w:val="24"/>
        </w:rPr>
      </w:pPr>
    </w:p>
    <w:p w:rsidR="00CC21E6" w:rsidP="00CC21E6" w:rsidRDefault="00CC21E6" w14:paraId="04DBDE9A" w14:textId="77777777">
      <w:pPr>
        <w:pStyle w:val="ListParagraph"/>
        <w:numPr>
          <w:ilvl w:val="0"/>
          <w:numId w:val="8"/>
        </w:numPr>
        <w:rPr>
          <w:b/>
          <w:szCs w:val="24"/>
        </w:rPr>
      </w:pPr>
      <w:r w:rsidRPr="00206526">
        <w:rPr>
          <w:rFonts w:cs="Times New Roman"/>
          <w:b/>
          <w:szCs w:val="24"/>
        </w:rPr>
        <w:t xml:space="preserve">OMB </w:t>
      </w:r>
      <w:r w:rsidR="00A01600">
        <w:rPr>
          <w:rFonts w:cs="Times New Roman"/>
          <w:b/>
          <w:szCs w:val="24"/>
        </w:rPr>
        <w:t xml:space="preserve">Control Number </w:t>
      </w:r>
      <w:r w:rsidRPr="00206526">
        <w:rPr>
          <w:rStyle w:val="Heading1Char"/>
          <w:rFonts w:ascii="Times New Roman" w:hAnsi="Times New Roman" w:cs="Times New Roman"/>
          <w:color w:val="auto"/>
          <w:sz w:val="24"/>
          <w:szCs w:val="24"/>
        </w:rPr>
        <w:t>3038-0093</w:t>
      </w:r>
      <w:r w:rsidRPr="00206526">
        <w:rPr>
          <w:b/>
          <w:szCs w:val="24"/>
        </w:rPr>
        <w:t xml:space="preserve"> </w:t>
      </w:r>
      <w:r w:rsidRPr="00CC21E6">
        <w:rPr>
          <w:b/>
          <w:szCs w:val="24"/>
        </w:rPr>
        <w:t>– Provisions Common to Registered Entities</w:t>
      </w:r>
    </w:p>
    <w:p w:rsidR="006A7CD7" w:rsidP="006A7CD7" w:rsidRDefault="006A7CD7" w14:paraId="01F768EE" w14:textId="77777777">
      <w:pPr>
        <w:rPr>
          <w:b/>
          <w:szCs w:val="24"/>
        </w:rPr>
      </w:pPr>
    </w:p>
    <w:p w:rsidRPr="006A7CD7" w:rsidR="006A7CD7" w:rsidP="004F2D09" w:rsidRDefault="006A7CD7" w14:paraId="0B8121AB" w14:textId="77777777">
      <w:pPr>
        <w:ind w:firstLine="720"/>
        <w:jc w:val="both"/>
        <w:rPr>
          <w:szCs w:val="24"/>
        </w:rPr>
      </w:pPr>
      <w:r w:rsidRPr="006A7CD7">
        <w:rPr>
          <w:szCs w:val="24"/>
        </w:rPr>
        <w:t xml:space="preserve">The Commission’s Part 40 regulations do not require the submission of information on a periodic basis.  Rather, submissions are required only at such time that registered entities seek to list new products or adopt new rules or rule amendments.  The </w:t>
      </w:r>
      <w:r w:rsidR="0043153E">
        <w:rPr>
          <w:szCs w:val="24"/>
        </w:rPr>
        <w:t xml:space="preserve">regulations provide for the minimum </w:t>
      </w:r>
      <w:r w:rsidRPr="006A7CD7">
        <w:rPr>
          <w:szCs w:val="24"/>
        </w:rPr>
        <w:t>frequency of the required submissions</w:t>
      </w:r>
      <w:r w:rsidR="0043153E">
        <w:rPr>
          <w:szCs w:val="24"/>
        </w:rPr>
        <w:t>, which</w:t>
      </w:r>
      <w:r w:rsidRPr="006A7CD7">
        <w:rPr>
          <w:szCs w:val="24"/>
        </w:rPr>
        <w:t xml:space="preserve"> depends on the frequency that registered entities seek to take one or more actions that require a filing with the Commission.</w:t>
      </w:r>
    </w:p>
    <w:p w:rsidRPr="00424E59" w:rsidR="00642B6A" w:rsidP="00642B6A" w:rsidRDefault="00642B6A" w14:paraId="73F5613B" w14:textId="77777777">
      <w:pPr>
        <w:ind w:firstLine="720"/>
        <w:rPr>
          <w:rFonts w:eastAsia="Times New Roman" w:cs="Times New Roman"/>
          <w:color w:val="000000"/>
          <w:szCs w:val="24"/>
        </w:rPr>
      </w:pPr>
    </w:p>
    <w:p w:rsidRPr="00424E59" w:rsidR="00642B6A" w:rsidP="00FE503D" w:rsidRDefault="00642B6A" w14:paraId="27A0098A" w14:textId="77777777">
      <w:pPr>
        <w:tabs>
          <w:tab w:val="left" w:pos="-720"/>
          <w:tab w:val="left" w:pos="0"/>
        </w:tabs>
        <w:spacing w:after="240"/>
        <w:ind w:left="720" w:hanging="720"/>
        <w:jc w:val="both"/>
        <w:rPr>
          <w:rFonts w:eastAsia="Times New Roman" w:cs="Times New Roman"/>
          <w:b/>
          <w:szCs w:val="24"/>
        </w:rPr>
      </w:pPr>
      <w:bookmarkStart w:name="_Hlk56595927" w:id="1"/>
      <w:r w:rsidRPr="00424E59">
        <w:rPr>
          <w:rFonts w:eastAsia="Times New Roman" w:cs="Times New Roman"/>
          <w:b/>
          <w:szCs w:val="24"/>
        </w:rPr>
        <w:t>7.</w:t>
      </w:r>
      <w:r w:rsidRPr="00424E59">
        <w:rPr>
          <w:rFonts w:eastAsia="Times New Roman" w:cs="Times New Roman"/>
          <w:b/>
          <w:szCs w:val="24"/>
        </w:rPr>
        <w:tab/>
        <w:t>Explain any special circumstances that require the collection to be conducted in a manner:</w:t>
      </w:r>
    </w:p>
    <w:p w:rsidRPr="00424E59" w:rsidR="00642B6A" w:rsidP="00FE503D" w:rsidRDefault="00642B6A" w14:paraId="419ABA1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requiring respondents to report information to the agency more often than quarterly;</w:t>
      </w:r>
    </w:p>
    <w:p w:rsidRPr="00424E59" w:rsidR="00225B18" w:rsidP="00356238" w:rsidRDefault="006E7B45" w14:paraId="67E1DEB8" w14:textId="77777777">
      <w:pPr>
        <w:tabs>
          <w:tab w:val="left" w:pos="-720"/>
        </w:tabs>
        <w:spacing w:after="240"/>
        <w:ind w:firstLine="720"/>
        <w:jc w:val="both"/>
        <w:rPr>
          <w:rFonts w:eastAsia="Times New Roman" w:cs="Times New Roman"/>
          <w:szCs w:val="24"/>
        </w:rPr>
      </w:pPr>
      <w:r w:rsidRPr="00424E59">
        <w:rPr>
          <w:rFonts w:eastAsia="Times New Roman" w:cs="Times New Roman"/>
          <w:szCs w:val="24"/>
        </w:rPr>
        <w:t xml:space="preserve">The Commission generally regulates the trading of commodity derivatives, including futures and swaps, which are used to price a wide range of physical and financial commodity </w:t>
      </w:r>
      <w:r w:rsidRPr="00424E59">
        <w:rPr>
          <w:rFonts w:eastAsia="Times New Roman" w:cs="Times New Roman"/>
          <w:szCs w:val="24"/>
        </w:rPr>
        <w:lastRenderedPageBreak/>
        <w:t>transactions.  These transactions are vital to national and international commerce.  The exercise of regulatory oversight for the purpose of conducting market surveillance, financial surveillance, and monitoring of trading for abusive conduct</w:t>
      </w:r>
      <w:r w:rsidR="007579C9">
        <w:rPr>
          <w:rFonts w:eastAsia="Times New Roman" w:cs="Times New Roman"/>
          <w:szCs w:val="24"/>
        </w:rPr>
        <w:t xml:space="preserve"> or compliance with position limit requirements</w:t>
      </w:r>
      <w:r w:rsidRPr="00424E59">
        <w:rPr>
          <w:rFonts w:eastAsia="Times New Roman" w:cs="Times New Roman"/>
          <w:szCs w:val="24"/>
        </w:rPr>
        <w:t>, by necessity, requires the collection of transactional and position information on a monthly, weekly, or daily basis depending on the exact nature of the information required to be collected.</w:t>
      </w:r>
    </w:p>
    <w:p w:rsidRPr="00424E59" w:rsidR="00642B6A" w:rsidP="00FE503D" w:rsidRDefault="00642B6A" w14:paraId="5F2A14EE" w14:textId="77777777">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bookmarkStart w:name="_Hlk56595553" w:id="2"/>
      <w:bookmarkEnd w:id="1"/>
      <w:r w:rsidRPr="00424E59">
        <w:rPr>
          <w:rFonts w:eastAsia="Times New Roman" w:cs="Times New Roman"/>
          <w:b/>
          <w:szCs w:val="24"/>
        </w:rPr>
        <w:t>requiring respondents to prepare a written response to a collection of information in fewer than 30 days after receipt of it:</w:t>
      </w:r>
    </w:p>
    <w:p w:rsidRPr="00424E59" w:rsidR="006C3350" w:rsidP="007579C9" w:rsidRDefault="00642B6A" w14:paraId="3E5C5322" w14:textId="58BAC888">
      <w:pPr>
        <w:tabs>
          <w:tab w:val="left" w:pos="-720"/>
          <w:tab w:val="left" w:pos="0"/>
          <w:tab w:val="left" w:pos="720"/>
        </w:tabs>
        <w:spacing w:after="240"/>
        <w:rPr>
          <w:rFonts w:eastAsia="Times New Roman" w:cs="Times New Roman"/>
          <w:szCs w:val="24"/>
        </w:rPr>
      </w:pPr>
      <w:r w:rsidRPr="00424E59">
        <w:rPr>
          <w:rFonts w:eastAsia="Times New Roman" w:cs="Times New Roman"/>
          <w:szCs w:val="24"/>
        </w:rPr>
        <w:tab/>
      </w:r>
      <w:r w:rsidRPr="006C3350" w:rsidR="006E7B45">
        <w:rPr>
          <w:rFonts w:eastAsia="Times New Roman" w:cs="Times New Roman"/>
          <w:szCs w:val="24"/>
        </w:rPr>
        <w:t xml:space="preserve">In this collection, </w:t>
      </w:r>
      <w:r w:rsidRPr="006C3350" w:rsidR="0099551D">
        <w:rPr>
          <w:rFonts w:eastAsia="Times New Roman" w:cs="Times New Roman"/>
          <w:szCs w:val="24"/>
        </w:rPr>
        <w:t>§ 150.9 provide</w:t>
      </w:r>
      <w:r w:rsidR="000728D4">
        <w:rPr>
          <w:rFonts w:eastAsia="Times New Roman" w:cs="Times New Roman"/>
          <w:szCs w:val="24"/>
        </w:rPr>
        <w:t>s</w:t>
      </w:r>
      <w:r w:rsidRPr="006C3350" w:rsidR="006E7B45">
        <w:rPr>
          <w:rFonts w:eastAsia="Times New Roman" w:cs="Times New Roman"/>
          <w:szCs w:val="24"/>
        </w:rPr>
        <w:t xml:space="preserve"> </w:t>
      </w:r>
      <w:r w:rsidRPr="006C3350" w:rsidR="0099551D">
        <w:rPr>
          <w:rFonts w:eastAsia="Times New Roman" w:cs="Times New Roman"/>
          <w:szCs w:val="24"/>
        </w:rPr>
        <w:t>for</w:t>
      </w:r>
      <w:r w:rsidRPr="006C3350" w:rsidR="006E7B45">
        <w:rPr>
          <w:rFonts w:eastAsia="Times New Roman" w:cs="Times New Roman"/>
          <w:szCs w:val="24"/>
        </w:rPr>
        <w:t xml:space="preserve"> instance</w:t>
      </w:r>
      <w:r w:rsidRPr="006C3350" w:rsidR="0099551D">
        <w:rPr>
          <w:rFonts w:eastAsia="Times New Roman" w:cs="Times New Roman"/>
          <w:szCs w:val="24"/>
        </w:rPr>
        <w:t>s</w:t>
      </w:r>
      <w:r w:rsidRPr="006C3350" w:rsidR="006E7B45">
        <w:rPr>
          <w:rFonts w:eastAsia="Times New Roman" w:cs="Times New Roman"/>
          <w:szCs w:val="24"/>
        </w:rPr>
        <w:t xml:space="preserve"> where respondents may be required, in some instances if necessary, to prepare a written response to a collection of information within fewer than 30 days after receipt. </w:t>
      </w:r>
      <w:r w:rsidRPr="006C3350" w:rsidR="001C1C56">
        <w:rPr>
          <w:rFonts w:eastAsia="Times New Roman" w:cs="Times New Roman"/>
          <w:szCs w:val="24"/>
        </w:rPr>
        <w:t xml:space="preserve"> </w:t>
      </w:r>
      <w:r w:rsidRPr="006C3350" w:rsidR="006E7B45">
        <w:rPr>
          <w:rFonts w:eastAsia="Times New Roman" w:cs="Times New Roman"/>
          <w:szCs w:val="24"/>
        </w:rPr>
        <w:t>These provisions allow the Commission to prevent potential abuse or manipulation of commodity derivatives swiftly, minimizing the potential impact to national and international commerce and consumers</w:t>
      </w:r>
      <w:r w:rsidRPr="006C3350" w:rsidR="006C3350">
        <w:rPr>
          <w:rFonts w:eastAsia="Times New Roman" w:cs="Times New Roman"/>
          <w:szCs w:val="24"/>
        </w:rPr>
        <w:t xml:space="preserve">, </w:t>
      </w:r>
      <w:r w:rsidRPr="006C3350" w:rsidR="006C3350">
        <w:rPr>
          <w:szCs w:val="24"/>
        </w:rPr>
        <w:t>and to quickly provide regulatory certainty to market participants.</w:t>
      </w:r>
    </w:p>
    <w:bookmarkEnd w:id="2"/>
    <w:p w:rsidRPr="00424E59" w:rsidR="00642B6A" w:rsidP="00FE503D" w:rsidRDefault="00642B6A" w14:paraId="6579D3FE"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requiring respondents to submit more tha</w:t>
      </w:r>
      <w:r w:rsidRPr="00424E59" w:rsidR="007F27F5">
        <w:rPr>
          <w:rFonts w:eastAsia="Times New Roman" w:cs="Times New Roman"/>
          <w:b/>
          <w:szCs w:val="24"/>
        </w:rPr>
        <w:t>n</w:t>
      </w:r>
      <w:r w:rsidRPr="00424E59">
        <w:rPr>
          <w:rFonts w:eastAsia="Times New Roman" w:cs="Times New Roman"/>
          <w:b/>
          <w:szCs w:val="24"/>
        </w:rPr>
        <w:t xml:space="preserve"> an original and two copies of any document;</w:t>
      </w:r>
    </w:p>
    <w:p w:rsidR="006E7B45" w:rsidP="006E7B45" w:rsidRDefault="00747BF5" w14:paraId="0DC6B72E" w14:textId="77777777">
      <w:pPr>
        <w:tabs>
          <w:tab w:val="left" w:pos="-720"/>
          <w:tab w:val="left" w:pos="0"/>
          <w:tab w:val="left" w:pos="720"/>
        </w:tabs>
        <w:suppressAutoHyphens/>
        <w:ind w:left="720" w:hanging="1440"/>
        <w:rPr>
          <w:rFonts w:eastAsia="Times New Roman" w:cs="Times New Roman"/>
          <w:szCs w:val="24"/>
        </w:rPr>
      </w:pPr>
      <w:r w:rsidRPr="00424E59">
        <w:rPr>
          <w:rFonts w:eastAsia="Times New Roman" w:cs="Times New Roman"/>
          <w:szCs w:val="24"/>
        </w:rPr>
        <w:tab/>
      </w:r>
      <w:r w:rsidRPr="00424E59" w:rsidR="006E7B45">
        <w:rPr>
          <w:rFonts w:eastAsia="Times New Roman" w:cs="Times New Roman"/>
          <w:szCs w:val="24"/>
        </w:rPr>
        <w:tab/>
        <w:t xml:space="preserve">Not applicable.  </w:t>
      </w:r>
    </w:p>
    <w:p w:rsidRPr="00424E59" w:rsidR="00EA58D6" w:rsidP="006E7B45" w:rsidRDefault="00EA58D6" w14:paraId="1B6E1583" w14:textId="77777777">
      <w:pPr>
        <w:tabs>
          <w:tab w:val="left" w:pos="-720"/>
          <w:tab w:val="left" w:pos="0"/>
          <w:tab w:val="left" w:pos="720"/>
        </w:tabs>
        <w:suppressAutoHyphens/>
        <w:ind w:left="720" w:hanging="1440"/>
        <w:rPr>
          <w:rFonts w:eastAsia="Calibri" w:cs="Times New Roman"/>
          <w:szCs w:val="24"/>
        </w:rPr>
      </w:pPr>
    </w:p>
    <w:p w:rsidRPr="00424E59" w:rsidR="00642B6A" w:rsidP="00FE503D" w:rsidRDefault="00642B6A" w14:paraId="693C0619" w14:textId="77777777">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424E59">
        <w:rPr>
          <w:rFonts w:eastAsia="Times New Roman" w:cs="Times New Roman"/>
          <w:b/>
          <w:szCs w:val="24"/>
        </w:rPr>
        <w:t>requiring respondents to retain records other than health, medical, government contract, grant-in-aid, or tax records, for more than three years;</w:t>
      </w:r>
    </w:p>
    <w:p w:rsidR="00642B6A" w:rsidP="00C0203F" w:rsidRDefault="00C0203F" w14:paraId="3EC2E02C" w14:textId="77777777">
      <w:pPr>
        <w:autoSpaceDE w:val="0"/>
        <w:autoSpaceDN w:val="0"/>
        <w:adjustRightInd w:val="0"/>
        <w:ind w:firstLine="720"/>
        <w:jc w:val="both"/>
        <w:rPr>
          <w:rFonts w:eastAsia="Times New Roman" w:cs="Times New Roman"/>
          <w:szCs w:val="24"/>
        </w:rPr>
      </w:pPr>
      <w:r w:rsidRPr="00424E59">
        <w:rPr>
          <w:szCs w:val="24"/>
        </w:rPr>
        <w:t>Section 5(d</w:t>
      </w:r>
      <w:proofErr w:type="gramStart"/>
      <w:r w:rsidRPr="00424E59">
        <w:rPr>
          <w:szCs w:val="24"/>
        </w:rPr>
        <w:t>)(</w:t>
      </w:r>
      <w:proofErr w:type="gramEnd"/>
      <w:r w:rsidRPr="00424E59">
        <w:rPr>
          <w:szCs w:val="24"/>
        </w:rPr>
        <w:t>18) of the C</w:t>
      </w:r>
      <w:r w:rsidR="007579C9">
        <w:rPr>
          <w:szCs w:val="24"/>
        </w:rPr>
        <w:t>EA</w:t>
      </w:r>
      <w:r w:rsidRPr="00424E59">
        <w:rPr>
          <w:szCs w:val="24"/>
        </w:rPr>
        <w:t xml:space="preserve"> requires DCMs to maintain records of all activities related to the business of the market in a form and manner acceptable to the Commission for a period of five years. </w:t>
      </w:r>
      <w:r w:rsidR="00353871">
        <w:rPr>
          <w:szCs w:val="24"/>
        </w:rPr>
        <w:t xml:space="preserve"> </w:t>
      </w:r>
      <w:r w:rsidRPr="00424E59">
        <w:rPr>
          <w:szCs w:val="24"/>
        </w:rPr>
        <w:t>7 U.S.C. 7(d</w:t>
      </w:r>
      <w:proofErr w:type="gramStart"/>
      <w:r w:rsidRPr="00424E59">
        <w:rPr>
          <w:szCs w:val="24"/>
        </w:rPr>
        <w:t>)(</w:t>
      </w:r>
      <w:proofErr w:type="gramEnd"/>
      <w:r w:rsidRPr="00424E59">
        <w:rPr>
          <w:szCs w:val="24"/>
        </w:rPr>
        <w:t xml:space="preserve">18).  In addition, </w:t>
      </w:r>
      <w:r w:rsidR="008E6345">
        <w:rPr>
          <w:szCs w:val="24"/>
        </w:rPr>
        <w:t>s</w:t>
      </w:r>
      <w:r w:rsidRPr="00424E59">
        <w:rPr>
          <w:szCs w:val="24"/>
        </w:rPr>
        <w:t xml:space="preserve">ection 4g of the </w:t>
      </w:r>
      <w:r w:rsidR="00353871">
        <w:rPr>
          <w:szCs w:val="24"/>
        </w:rPr>
        <w:t xml:space="preserve">CEA </w:t>
      </w:r>
      <w:r w:rsidRPr="00424E59">
        <w:rPr>
          <w:szCs w:val="24"/>
        </w:rPr>
        <w:t>imposes reporting and recordkeeping obligations on registered entities and registrants (whether a</w:t>
      </w:r>
      <w:r w:rsidR="007579C9">
        <w:rPr>
          <w:szCs w:val="24"/>
        </w:rPr>
        <w:t>n FCM</w:t>
      </w:r>
      <w:r w:rsidRPr="00424E59">
        <w:rPr>
          <w:szCs w:val="24"/>
        </w:rPr>
        <w:t>, introducing broker, floor broker, or floor trader).</w:t>
      </w:r>
      <w:r w:rsidR="00F5091E">
        <w:rPr>
          <w:rFonts w:eastAsia="Times New Roman" w:cs="Times New Roman"/>
          <w:szCs w:val="24"/>
        </w:rPr>
        <w:t xml:space="preserve">  </w:t>
      </w:r>
      <w:r w:rsidR="00D23657">
        <w:rPr>
          <w:rFonts w:eastAsia="Times New Roman" w:cs="Times New Roman"/>
          <w:szCs w:val="24"/>
        </w:rPr>
        <w:t>The amended</w:t>
      </w:r>
      <w:r w:rsidRPr="00424E59" w:rsidR="00D23657">
        <w:rPr>
          <w:rFonts w:eastAsia="Times New Roman" w:cs="Times New Roman"/>
          <w:szCs w:val="24"/>
        </w:rPr>
        <w:t xml:space="preserve"> </w:t>
      </w:r>
      <w:r w:rsidRPr="00424E59" w:rsidR="00881A6D">
        <w:rPr>
          <w:rFonts w:eastAsia="Times New Roman" w:cs="Times New Roman"/>
          <w:szCs w:val="24"/>
        </w:rPr>
        <w:t xml:space="preserve">recordkeeping requirements must be kept in accordance with § 1.31, which requires persons to maintain records for at least five years. </w:t>
      </w:r>
    </w:p>
    <w:p w:rsidR="006B4A36" w:rsidP="00C0203F" w:rsidRDefault="006B4A36" w14:paraId="551ED1D3" w14:textId="77777777">
      <w:pPr>
        <w:autoSpaceDE w:val="0"/>
        <w:autoSpaceDN w:val="0"/>
        <w:adjustRightInd w:val="0"/>
        <w:ind w:firstLine="720"/>
        <w:jc w:val="both"/>
        <w:rPr>
          <w:rFonts w:eastAsia="Times New Roman" w:cs="Times New Roman"/>
          <w:szCs w:val="24"/>
        </w:rPr>
      </w:pPr>
    </w:p>
    <w:p w:rsidRPr="00424E59" w:rsidR="00642B6A" w:rsidP="00FE503D" w:rsidRDefault="00642B6A" w14:paraId="1A645D5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 xml:space="preserve">in connection with a statistical survey, that is not designed to produce valid and reliable results that can be generalized to the universe of study; </w:t>
      </w:r>
    </w:p>
    <w:p w:rsidRPr="00424E59" w:rsidR="00717723" w:rsidP="00717723" w:rsidRDefault="00717723" w14:paraId="175D128B" w14:textId="77777777">
      <w:pPr>
        <w:keepNext/>
        <w:ind w:firstLine="720"/>
        <w:rPr>
          <w:rFonts w:eastAsia="Calibri" w:cs="Times New Roman"/>
          <w:szCs w:val="24"/>
        </w:rPr>
      </w:pPr>
      <w:r w:rsidRPr="00424E59">
        <w:rPr>
          <w:rFonts w:eastAsia="Times New Roman" w:cs="Times New Roman"/>
          <w:szCs w:val="24"/>
        </w:rPr>
        <w:t xml:space="preserve">Not applicable. </w:t>
      </w:r>
      <w:r w:rsidR="00175A1A">
        <w:rPr>
          <w:rFonts w:eastAsia="Times New Roman" w:cs="Times New Roman"/>
          <w:szCs w:val="24"/>
        </w:rPr>
        <w:t xml:space="preserve"> </w:t>
      </w:r>
      <w:r w:rsidRPr="00424E59">
        <w:rPr>
          <w:rFonts w:eastAsia="Calibri" w:cs="Times New Roman"/>
          <w:szCs w:val="24"/>
        </w:rPr>
        <w:t xml:space="preserve">The </w:t>
      </w:r>
      <w:r w:rsidR="00391D5E">
        <w:rPr>
          <w:rFonts w:eastAsia="Calibri" w:cs="Times New Roman"/>
          <w:szCs w:val="24"/>
        </w:rPr>
        <w:t>Final</w:t>
      </w:r>
      <w:r w:rsidRPr="00424E59">
        <w:rPr>
          <w:rFonts w:eastAsia="Calibri" w:cs="Times New Roman"/>
          <w:szCs w:val="24"/>
        </w:rPr>
        <w:t xml:space="preserve"> </w:t>
      </w:r>
      <w:r w:rsidR="00391D5E">
        <w:rPr>
          <w:rFonts w:eastAsia="Calibri" w:cs="Times New Roman"/>
          <w:szCs w:val="24"/>
        </w:rPr>
        <w:t>R</w:t>
      </w:r>
      <w:r w:rsidRPr="00424E59">
        <w:rPr>
          <w:rFonts w:eastAsia="Calibri" w:cs="Times New Roman"/>
          <w:szCs w:val="24"/>
        </w:rPr>
        <w:t>ule do</w:t>
      </w:r>
      <w:r w:rsidR="00391D5E">
        <w:rPr>
          <w:rFonts w:eastAsia="Calibri" w:cs="Times New Roman"/>
          <w:szCs w:val="24"/>
        </w:rPr>
        <w:t>es</w:t>
      </w:r>
      <w:r w:rsidRPr="00424E59">
        <w:rPr>
          <w:rFonts w:eastAsia="Calibri" w:cs="Times New Roman"/>
          <w:szCs w:val="24"/>
        </w:rPr>
        <w:t xml:space="preserve"> not involve statistical surveys. </w:t>
      </w:r>
    </w:p>
    <w:p w:rsidRPr="00424E59" w:rsidR="00697065" w:rsidP="00902356" w:rsidRDefault="00697065" w14:paraId="689D2CB8" w14:textId="77777777">
      <w:pPr>
        <w:tabs>
          <w:tab w:val="left" w:pos="-720"/>
          <w:tab w:val="left" w:pos="0"/>
          <w:tab w:val="left" w:pos="720"/>
        </w:tabs>
        <w:spacing w:after="240"/>
        <w:ind w:left="936"/>
        <w:contextualSpacing/>
        <w:rPr>
          <w:rFonts w:eastAsia="Times New Roman" w:cs="Times New Roman"/>
          <w:szCs w:val="24"/>
        </w:rPr>
      </w:pPr>
    </w:p>
    <w:p w:rsidRPr="00424E59" w:rsidR="00642B6A" w:rsidP="004618A5" w:rsidRDefault="00642B6A" w14:paraId="70C980F5" w14:textId="77777777">
      <w:pPr>
        <w:numPr>
          <w:ilvl w:val="0"/>
          <w:numId w:val="1"/>
        </w:numPr>
        <w:tabs>
          <w:tab w:val="clear" w:pos="936"/>
          <w:tab w:val="left" w:pos="-720"/>
          <w:tab w:val="left" w:pos="0"/>
          <w:tab w:val="left" w:pos="720"/>
          <w:tab w:val="num" w:pos="1080"/>
        </w:tabs>
        <w:spacing w:after="240"/>
        <w:ind w:left="1080" w:hanging="360"/>
        <w:jc w:val="both"/>
        <w:rPr>
          <w:rFonts w:eastAsia="Times New Roman" w:cs="Times New Roman"/>
          <w:szCs w:val="24"/>
        </w:rPr>
      </w:pPr>
      <w:r w:rsidRPr="00424E59">
        <w:rPr>
          <w:rFonts w:eastAsia="Times New Roman" w:cs="Times New Roman"/>
          <w:b/>
          <w:szCs w:val="24"/>
        </w:rPr>
        <w:t>requiring the use of a statistical data classification that has not been reviewed and approved by OMB;</w:t>
      </w:r>
      <w:r w:rsidRPr="00424E59">
        <w:rPr>
          <w:rFonts w:eastAsia="Times New Roman" w:cs="Times New Roman"/>
          <w:szCs w:val="24"/>
        </w:rPr>
        <w:tab/>
      </w:r>
    </w:p>
    <w:p w:rsidRPr="00424E59" w:rsidR="00717723" w:rsidP="00717723" w:rsidRDefault="00717723" w14:paraId="7D652957" w14:textId="77777777">
      <w:pPr>
        <w:tabs>
          <w:tab w:val="left" w:pos="-720"/>
          <w:tab w:val="left" w:pos="0"/>
          <w:tab w:val="left" w:pos="720"/>
        </w:tabs>
        <w:spacing w:after="240"/>
        <w:ind w:left="720"/>
        <w:jc w:val="both"/>
        <w:rPr>
          <w:rFonts w:eastAsia="Times New Roman" w:cs="Times New Roman"/>
          <w:szCs w:val="24"/>
        </w:rPr>
      </w:pPr>
      <w:r w:rsidRPr="00424E59">
        <w:rPr>
          <w:rFonts w:eastAsia="Times New Roman" w:cs="Times New Roman"/>
          <w:szCs w:val="24"/>
        </w:rPr>
        <w:t xml:space="preserve">Not Applicable. </w:t>
      </w:r>
      <w:r w:rsidRPr="00424E59">
        <w:rPr>
          <w:rFonts w:eastAsia="Calibri" w:cs="Times New Roman"/>
          <w:szCs w:val="24"/>
        </w:rPr>
        <w:t xml:space="preserve">The </w:t>
      </w:r>
      <w:r w:rsidR="00391D5E">
        <w:rPr>
          <w:rFonts w:eastAsia="Calibri" w:cs="Times New Roman"/>
          <w:szCs w:val="24"/>
        </w:rPr>
        <w:t>Final</w:t>
      </w:r>
      <w:r w:rsidRPr="00424E59" w:rsidR="00391D5E">
        <w:rPr>
          <w:rFonts w:eastAsia="Calibri" w:cs="Times New Roman"/>
          <w:szCs w:val="24"/>
        </w:rPr>
        <w:t xml:space="preserve"> </w:t>
      </w:r>
      <w:r w:rsidR="00391D5E">
        <w:rPr>
          <w:rFonts w:eastAsia="Calibri" w:cs="Times New Roman"/>
          <w:szCs w:val="24"/>
        </w:rPr>
        <w:t>R</w:t>
      </w:r>
      <w:r w:rsidRPr="00424E59">
        <w:rPr>
          <w:rFonts w:eastAsia="Calibri" w:cs="Times New Roman"/>
          <w:szCs w:val="24"/>
        </w:rPr>
        <w:t>ule do</w:t>
      </w:r>
      <w:r w:rsidR="00280808">
        <w:rPr>
          <w:rFonts w:eastAsia="Calibri" w:cs="Times New Roman"/>
          <w:szCs w:val="24"/>
        </w:rPr>
        <w:t>es</w:t>
      </w:r>
      <w:r w:rsidRPr="00424E59">
        <w:rPr>
          <w:rFonts w:eastAsia="Calibri" w:cs="Times New Roman"/>
          <w:szCs w:val="24"/>
        </w:rPr>
        <w:t xml:space="preserve"> not involve statistical data classifications.</w:t>
      </w:r>
    </w:p>
    <w:p w:rsidRPr="00424E59" w:rsidR="00642B6A" w:rsidP="00FE503D" w:rsidRDefault="00642B6A" w14:paraId="2CEFF601"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424E59" w:rsidR="00642B6A" w:rsidP="00FE503D" w:rsidRDefault="00642B6A" w14:paraId="0CBD4089"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424E59">
        <w:rPr>
          <w:rFonts w:eastAsia="Times New Roman" w:cs="Times New Roman"/>
          <w:szCs w:val="24"/>
        </w:rPr>
        <w:tab/>
      </w:r>
      <w:r w:rsidRPr="00424E59">
        <w:rPr>
          <w:rFonts w:eastAsia="Times New Roman" w:cs="Times New Roman"/>
          <w:b/>
          <w:szCs w:val="24"/>
        </w:rPr>
        <w:t>The collection does not involv</w:t>
      </w:r>
      <w:r w:rsidRPr="00424E59" w:rsidR="00B86819">
        <w:rPr>
          <w:rFonts w:eastAsia="Times New Roman" w:cs="Times New Roman"/>
          <w:b/>
          <w:szCs w:val="24"/>
        </w:rPr>
        <w:t xml:space="preserve">e any pledge of confidentiality, </w:t>
      </w:r>
      <w:r w:rsidRPr="00424E59">
        <w:rPr>
          <w:rFonts w:eastAsia="Times New Roman" w:cs="Times New Roman"/>
          <w:b/>
          <w:szCs w:val="24"/>
        </w:rPr>
        <w:t xml:space="preserve">requiring respondents to submit proprietary trade secrets, or other confidential information </w:t>
      </w:r>
      <w:r w:rsidRPr="00424E59">
        <w:rPr>
          <w:rFonts w:eastAsia="Times New Roman" w:cs="Times New Roman"/>
          <w:b/>
          <w:szCs w:val="24"/>
        </w:rPr>
        <w:lastRenderedPageBreak/>
        <w:t>unless the agency can demonstrate that it has instituted procedures to protect the information's confidentiality to the extent permitted by law.</w:t>
      </w:r>
    </w:p>
    <w:p w:rsidRPr="007639AD" w:rsidR="007639AD" w:rsidP="00356238" w:rsidRDefault="00257BBD" w14:paraId="536175C6" w14:textId="77777777">
      <w:pPr>
        <w:tabs>
          <w:tab w:val="left" w:pos="-720"/>
          <w:tab w:val="left" w:pos="0"/>
        </w:tabs>
        <w:spacing w:after="240"/>
        <w:ind w:firstLine="720"/>
        <w:jc w:val="both"/>
        <w:rPr>
          <w:rFonts w:eastAsia="Times New Roman" w:cs="Times New Roman"/>
          <w:szCs w:val="24"/>
        </w:rPr>
      </w:pPr>
      <w:r>
        <w:rPr>
          <w:rFonts w:eastAsia="Calibri" w:cs="Times New Roman"/>
          <w:szCs w:val="24"/>
        </w:rPr>
        <w:t>T</w:t>
      </w:r>
      <w:r w:rsidRPr="00424E59" w:rsidR="003F112A">
        <w:rPr>
          <w:rFonts w:eastAsia="Calibri" w:cs="Times New Roman"/>
          <w:szCs w:val="24"/>
        </w:rPr>
        <w:t xml:space="preserve">he </w:t>
      </w:r>
      <w:r w:rsidR="00D23657">
        <w:rPr>
          <w:rFonts w:eastAsia="Calibri" w:cs="Times New Roman"/>
          <w:szCs w:val="24"/>
        </w:rPr>
        <w:t>Final Rule</w:t>
      </w:r>
      <w:r w:rsidRPr="00424E59" w:rsidR="003F112A">
        <w:rPr>
          <w:rFonts w:eastAsia="Calibri" w:cs="Times New Roman"/>
          <w:szCs w:val="24"/>
        </w:rPr>
        <w:t xml:space="preserve"> do</w:t>
      </w:r>
      <w:r w:rsidR="00D23657">
        <w:rPr>
          <w:rFonts w:eastAsia="Calibri" w:cs="Times New Roman"/>
          <w:szCs w:val="24"/>
        </w:rPr>
        <w:t>es</w:t>
      </w:r>
      <w:r w:rsidRPr="00424E59" w:rsidR="003F112A">
        <w:rPr>
          <w:rFonts w:eastAsia="Calibri" w:cs="Times New Roman"/>
          <w:szCs w:val="24"/>
        </w:rPr>
        <w:t xml:space="preserve"> not directly involve any specific pledge of confidentiality regarding the collection of data</w:t>
      </w:r>
      <w:r w:rsidR="003F112A">
        <w:rPr>
          <w:rFonts w:eastAsia="Calibri" w:cs="Times New Roman"/>
          <w:szCs w:val="24"/>
        </w:rPr>
        <w:t>.</w:t>
      </w:r>
      <w:r>
        <w:rPr>
          <w:rFonts w:eastAsia="Calibri" w:cs="Times New Roman"/>
          <w:szCs w:val="24"/>
        </w:rPr>
        <w:t xml:space="preserve">  </w:t>
      </w:r>
      <w:r w:rsidRPr="00424E59" w:rsidR="005A2D83">
        <w:rPr>
          <w:rFonts w:eastAsia="Times New Roman" w:cs="Times New Roman"/>
          <w:szCs w:val="24"/>
        </w:rPr>
        <w:t xml:space="preserve">The </w:t>
      </w:r>
      <w:r w:rsidR="00D23657">
        <w:rPr>
          <w:rFonts w:eastAsia="Times New Roman" w:cs="Times New Roman"/>
          <w:szCs w:val="24"/>
        </w:rPr>
        <w:t>Final Rule</w:t>
      </w:r>
      <w:r w:rsidRPr="00424E59" w:rsidR="005A2D83">
        <w:rPr>
          <w:rFonts w:eastAsia="Times New Roman" w:cs="Times New Roman"/>
          <w:szCs w:val="24"/>
        </w:rPr>
        <w:t xml:space="preserve"> require</w:t>
      </w:r>
      <w:r w:rsidR="00D23657">
        <w:rPr>
          <w:rFonts w:eastAsia="Times New Roman" w:cs="Times New Roman"/>
          <w:szCs w:val="24"/>
        </w:rPr>
        <w:t>s</w:t>
      </w:r>
      <w:r w:rsidRPr="00424E59" w:rsidR="005A2D83">
        <w:rPr>
          <w:rFonts w:eastAsia="Times New Roman" w:cs="Times New Roman"/>
          <w:szCs w:val="24"/>
        </w:rPr>
        <w:t xml:space="preserve"> the submission of data involving confidential information or proprietary trade secrets.  The Commission protect</w:t>
      </w:r>
      <w:r w:rsidR="00D23657">
        <w:rPr>
          <w:rFonts w:eastAsia="Times New Roman" w:cs="Times New Roman"/>
          <w:szCs w:val="24"/>
        </w:rPr>
        <w:t>s</w:t>
      </w:r>
      <w:r w:rsidRPr="00424E59" w:rsidR="005A2D83">
        <w:rPr>
          <w:rFonts w:eastAsia="Times New Roman" w:cs="Times New Roman"/>
          <w:szCs w:val="24"/>
        </w:rPr>
        <w:t xml:space="preserve"> sensitive information according to the Freedom of Information Act and 17 CFR part 145, “Commission Records and Information.”  In addition, the Commission fully complies with section 8(a) of the C</w:t>
      </w:r>
      <w:r w:rsidR="007579C9">
        <w:rPr>
          <w:rFonts w:eastAsia="Times New Roman" w:cs="Times New Roman"/>
          <w:szCs w:val="24"/>
        </w:rPr>
        <w:t>EA</w:t>
      </w:r>
      <w:r w:rsidRPr="00424E59" w:rsidR="005A2D83">
        <w:rPr>
          <w:rFonts w:eastAsia="Times New Roman" w:cs="Times New Roman"/>
          <w:szCs w:val="24"/>
        </w:rPr>
        <w:t>, which strictly prohibits the Commission, unless specifically authorized by the C</w:t>
      </w:r>
      <w:r w:rsidR="007579C9">
        <w:rPr>
          <w:rFonts w:eastAsia="Times New Roman" w:cs="Times New Roman"/>
          <w:szCs w:val="24"/>
        </w:rPr>
        <w:t>EA</w:t>
      </w:r>
      <w:r w:rsidRPr="00424E59" w:rsidR="005A2D83">
        <w:rPr>
          <w:rFonts w:eastAsia="Times New Roman" w:cs="Times New Roman"/>
          <w:szCs w:val="24"/>
        </w:rPr>
        <w:t>, from making public “data and information that would separately disclose the business transactions or market positions of any person and trade secrets or names of customers.”</w:t>
      </w:r>
      <w:r w:rsidR="007639AD">
        <w:rPr>
          <w:rFonts w:eastAsia="Times New Roman" w:cs="Times New Roman"/>
          <w:szCs w:val="24"/>
        </w:rPr>
        <w:tab/>
      </w:r>
    </w:p>
    <w:p w:rsidRPr="00424E59" w:rsidR="00642B6A" w:rsidP="00FE503D" w:rsidRDefault="00642B6A" w14:paraId="5CF01AFF" w14:textId="77777777">
      <w:pPr>
        <w:tabs>
          <w:tab w:val="left" w:pos="-720"/>
          <w:tab w:val="left" w:pos="0"/>
        </w:tabs>
        <w:spacing w:after="240"/>
        <w:ind w:left="720" w:hanging="720"/>
        <w:jc w:val="both"/>
        <w:rPr>
          <w:rFonts w:eastAsia="Times New Roman" w:cs="Times New Roman"/>
          <w:b/>
          <w:szCs w:val="24"/>
        </w:rPr>
      </w:pPr>
      <w:bookmarkStart w:name="_Hlk56519061" w:id="3"/>
      <w:r w:rsidRPr="00424E59">
        <w:rPr>
          <w:rFonts w:eastAsia="Times New Roman" w:cs="Times New Roman"/>
          <w:b/>
          <w:szCs w:val="24"/>
        </w:rPr>
        <w:t>8.</w:t>
      </w:r>
      <w:r w:rsidRPr="00424E59">
        <w:rPr>
          <w:rFonts w:eastAsia="Times New Roman" w:cs="Times New Roman"/>
          <w:b/>
          <w:szCs w:val="24"/>
        </w:rPr>
        <w:tab/>
        <w:t xml:space="preserve">If applicable, provide a copy and identify the date and page number of </w:t>
      </w:r>
      <w:proofErr w:type="gramStart"/>
      <w:r w:rsidRPr="00424E59">
        <w:rPr>
          <w:rFonts w:eastAsia="Times New Roman" w:cs="Times New Roman"/>
          <w:b/>
          <w:szCs w:val="24"/>
        </w:rPr>
        <w:t>publication</w:t>
      </w:r>
      <w:proofErr w:type="gramEnd"/>
      <w:r w:rsidRPr="00424E59">
        <w:rPr>
          <w:rFonts w:eastAsia="Times New Roman" w:cs="Times New Roman"/>
          <w:b/>
          <w:szCs w:val="24"/>
        </w:rPr>
        <w:t xml:space="preserve"> in the </w:t>
      </w:r>
      <w:r w:rsidRPr="00424E59">
        <w:rPr>
          <w:rFonts w:eastAsia="Times New Roman" w:cs="Times New Roman"/>
          <w:b/>
          <w:i/>
          <w:szCs w:val="24"/>
        </w:rPr>
        <w:t>Federal Register</w:t>
      </w:r>
      <w:r w:rsidRPr="00424E59">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24E59" w:rsidR="00653547" w:rsidP="00D945B5" w:rsidRDefault="00B86819" w14:paraId="0248A253" w14:textId="77777777">
      <w:pPr>
        <w:tabs>
          <w:tab w:val="left" w:pos="-720"/>
          <w:tab w:val="left" w:pos="0"/>
        </w:tabs>
        <w:overflowPunct w:val="0"/>
        <w:autoSpaceDE w:val="0"/>
        <w:autoSpaceDN w:val="0"/>
        <w:adjustRightInd w:val="0"/>
        <w:spacing w:after="240"/>
        <w:jc w:val="both"/>
        <w:textAlignment w:val="baseline"/>
        <w:rPr>
          <w:rFonts w:eastAsia="Times New Roman" w:cs="Times New Roman"/>
          <w:szCs w:val="24"/>
        </w:rPr>
      </w:pPr>
      <w:r w:rsidRPr="00424E59">
        <w:rPr>
          <w:rFonts w:eastAsia="Times New Roman" w:cs="Times New Roman"/>
          <w:szCs w:val="24"/>
        </w:rPr>
        <w:tab/>
      </w:r>
      <w:r w:rsidR="00A37EB8">
        <w:rPr>
          <w:rFonts w:eastAsia="Times New Roman" w:cs="Times New Roman"/>
          <w:szCs w:val="24"/>
        </w:rPr>
        <w:t>The Commission published a notice of proposed rule</w:t>
      </w:r>
      <w:r w:rsidR="00DE275A">
        <w:rPr>
          <w:rFonts w:eastAsia="Times New Roman" w:cs="Times New Roman"/>
          <w:szCs w:val="24"/>
        </w:rPr>
        <w:t>making</w:t>
      </w:r>
      <w:r w:rsidR="00A37EB8">
        <w:rPr>
          <w:rFonts w:eastAsia="Times New Roman" w:cs="Times New Roman"/>
          <w:szCs w:val="24"/>
        </w:rPr>
        <w:t xml:space="preserve"> in the </w:t>
      </w:r>
      <w:r w:rsidRPr="00A37EB8" w:rsidR="00A37EB8">
        <w:rPr>
          <w:rFonts w:eastAsia="Times New Roman" w:cs="Times New Roman"/>
          <w:i/>
          <w:szCs w:val="24"/>
        </w:rPr>
        <w:t>Federal Registe</w:t>
      </w:r>
      <w:r w:rsidR="00727908">
        <w:rPr>
          <w:rFonts w:eastAsia="Times New Roman" w:cs="Times New Roman"/>
          <w:i/>
          <w:szCs w:val="24"/>
        </w:rPr>
        <w:t>r</w:t>
      </w:r>
      <w:r w:rsidR="00727908">
        <w:rPr>
          <w:rFonts w:eastAsia="Times New Roman" w:cs="Times New Roman"/>
          <w:szCs w:val="24"/>
        </w:rPr>
        <w:t>, 85</w:t>
      </w:r>
      <w:r w:rsidR="00A37EB8">
        <w:rPr>
          <w:rFonts w:eastAsia="Times New Roman" w:cs="Times New Roman"/>
          <w:szCs w:val="24"/>
        </w:rPr>
        <w:t xml:space="preserve"> FR </w:t>
      </w:r>
      <w:r w:rsidR="00727908">
        <w:rPr>
          <w:rFonts w:eastAsia="Times New Roman" w:cs="Times New Roman"/>
          <w:szCs w:val="24"/>
        </w:rPr>
        <w:t>11596 (Feb. 27, 2020</w:t>
      </w:r>
      <w:r w:rsidR="00A37EB8">
        <w:rPr>
          <w:rFonts w:eastAsia="Times New Roman" w:cs="Times New Roman"/>
          <w:szCs w:val="24"/>
        </w:rPr>
        <w:t xml:space="preserve">).  </w:t>
      </w:r>
      <w:r w:rsidR="00DE275A">
        <w:rPr>
          <w:rFonts w:eastAsia="Times New Roman" w:cs="Times New Roman"/>
          <w:szCs w:val="24"/>
        </w:rPr>
        <w:t>The Commi</w:t>
      </w:r>
      <w:r w:rsidR="00175A1A">
        <w:rPr>
          <w:rFonts w:eastAsia="Times New Roman" w:cs="Times New Roman"/>
          <w:szCs w:val="24"/>
        </w:rPr>
        <w:t>s</w:t>
      </w:r>
      <w:r w:rsidR="00DE275A">
        <w:rPr>
          <w:rFonts w:eastAsia="Times New Roman" w:cs="Times New Roman"/>
          <w:szCs w:val="24"/>
        </w:rPr>
        <w:t>sion</w:t>
      </w:r>
      <w:r w:rsidR="00D23657">
        <w:rPr>
          <w:rFonts w:eastAsia="Times New Roman" w:cs="Times New Roman"/>
          <w:szCs w:val="24"/>
        </w:rPr>
        <w:t xml:space="preserve"> </w:t>
      </w:r>
      <w:r w:rsidR="00A37EB8">
        <w:rPr>
          <w:rFonts w:eastAsia="Times New Roman" w:cs="Times New Roman"/>
          <w:szCs w:val="24"/>
        </w:rPr>
        <w:t>did</w:t>
      </w:r>
      <w:r w:rsidR="00D23657">
        <w:rPr>
          <w:rFonts w:eastAsia="Times New Roman" w:cs="Times New Roman"/>
          <w:szCs w:val="24"/>
        </w:rPr>
        <w:t xml:space="preserve"> not </w:t>
      </w:r>
      <w:r w:rsidR="00A37EB8">
        <w:rPr>
          <w:rFonts w:eastAsia="Times New Roman" w:cs="Times New Roman"/>
          <w:szCs w:val="24"/>
        </w:rPr>
        <w:t>receive any</w:t>
      </w:r>
      <w:r w:rsidR="00D23657">
        <w:rPr>
          <w:rFonts w:eastAsia="Times New Roman" w:cs="Times New Roman"/>
          <w:szCs w:val="24"/>
        </w:rPr>
        <w:t xml:space="preserve"> public comment</w:t>
      </w:r>
      <w:r w:rsidR="00DE275A">
        <w:rPr>
          <w:rFonts w:eastAsia="Times New Roman" w:cs="Times New Roman"/>
          <w:szCs w:val="24"/>
        </w:rPr>
        <w:t xml:space="preserve"> in response to the proposed rule. </w:t>
      </w:r>
      <w:r w:rsidR="00D23657">
        <w:rPr>
          <w:rFonts w:eastAsia="Times New Roman" w:cs="Times New Roman"/>
          <w:szCs w:val="24"/>
        </w:rPr>
        <w:t xml:space="preserve"> </w:t>
      </w:r>
      <w:bookmarkEnd w:id="3"/>
    </w:p>
    <w:p w:rsidRPr="00424E59" w:rsidR="00642B6A" w:rsidP="00FE503D" w:rsidRDefault="00642B6A" w14:paraId="3787FD08"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9.</w:t>
      </w:r>
      <w:r w:rsidRPr="00424E59">
        <w:rPr>
          <w:rFonts w:eastAsia="Times New Roman" w:cs="Times New Roman"/>
          <w:b/>
          <w:szCs w:val="24"/>
        </w:rPr>
        <w:tab/>
        <w:t>Explain any decision to provide any payment or gift to respondents, other than remuneration of contractors or grantees.</w:t>
      </w:r>
    </w:p>
    <w:p w:rsidRPr="00424E59" w:rsidR="0027708A" w:rsidP="00D945B5" w:rsidRDefault="0027708A" w14:paraId="7702DC32" w14:textId="77777777">
      <w:pPr>
        <w:tabs>
          <w:tab w:val="left" w:pos="-720"/>
        </w:tabs>
        <w:spacing w:after="240"/>
        <w:jc w:val="both"/>
        <w:rPr>
          <w:rFonts w:eastAsia="Times New Roman" w:cs="Times New Roman"/>
          <w:szCs w:val="24"/>
        </w:rPr>
      </w:pPr>
      <w:r w:rsidRPr="00424E59">
        <w:rPr>
          <w:rFonts w:eastAsia="Times New Roman" w:cs="Times New Roman"/>
          <w:szCs w:val="24"/>
        </w:rPr>
        <w:tab/>
      </w:r>
      <w:r w:rsidRPr="00424E59" w:rsidR="005A2D83">
        <w:rPr>
          <w:rFonts w:eastAsia="Times New Roman" w:cs="Times New Roman"/>
          <w:szCs w:val="24"/>
        </w:rPr>
        <w:t xml:space="preserve">Not applicable. </w:t>
      </w:r>
    </w:p>
    <w:p w:rsidRPr="00424E59" w:rsidR="00642B6A" w:rsidP="00FE503D" w:rsidRDefault="00642B6A" w14:paraId="43C65529" w14:textId="77777777">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10.</w:t>
      </w:r>
      <w:r w:rsidRPr="00424E59">
        <w:rPr>
          <w:rFonts w:eastAsia="Times New Roman" w:cs="Times New Roman"/>
          <w:b/>
          <w:szCs w:val="24"/>
        </w:rPr>
        <w:tab/>
        <w:t>Describe any assurance of confidentiality provided to respondents and the basis for the assurance in statute, regulations, or agency policy.</w:t>
      </w:r>
    </w:p>
    <w:p w:rsidRPr="00424E59" w:rsidR="00D945B5" w:rsidP="005A2D83" w:rsidRDefault="0029181C" w14:paraId="2ABDEE6C" w14:textId="77777777">
      <w:pPr>
        <w:tabs>
          <w:tab w:val="left" w:pos="-720"/>
        </w:tabs>
        <w:spacing w:after="240"/>
        <w:jc w:val="both"/>
        <w:rPr>
          <w:rFonts w:eastAsia="Times New Roman"/>
          <w:szCs w:val="24"/>
        </w:rPr>
      </w:pPr>
      <w:r w:rsidRPr="00424E59">
        <w:rPr>
          <w:rFonts w:eastAsia="Times New Roman" w:cs="Times New Roman"/>
          <w:szCs w:val="24"/>
        </w:rPr>
        <w:tab/>
      </w:r>
      <w:r w:rsidRPr="00424E59" w:rsidR="005A2D83">
        <w:rPr>
          <w:rFonts w:eastAsia="Times New Roman" w:cs="Times New Roman"/>
          <w:szCs w:val="24"/>
        </w:rPr>
        <w:t>The Commission protect</w:t>
      </w:r>
      <w:r w:rsidR="00683C75">
        <w:rPr>
          <w:rFonts w:eastAsia="Times New Roman" w:cs="Times New Roman"/>
          <w:szCs w:val="24"/>
        </w:rPr>
        <w:t>s</w:t>
      </w:r>
      <w:r w:rsidRPr="00424E59" w:rsidR="005A2D83">
        <w:rPr>
          <w:rFonts w:eastAsia="Times New Roman" w:cs="Times New Roman"/>
          <w:szCs w:val="24"/>
        </w:rPr>
        <w:t xml:space="preserve"> sensitive information according to the Freedom of Inform</w:t>
      </w:r>
      <w:r w:rsidR="00614CD0">
        <w:rPr>
          <w:rFonts w:eastAsia="Times New Roman" w:cs="Times New Roman"/>
          <w:szCs w:val="24"/>
        </w:rPr>
        <w:t>ation Act and 17 CFR part 145, “</w:t>
      </w:r>
      <w:r w:rsidRPr="00424E59" w:rsidR="005A2D83">
        <w:rPr>
          <w:rFonts w:eastAsia="Times New Roman" w:cs="Times New Roman"/>
          <w:szCs w:val="24"/>
        </w:rPr>
        <w:t>Commission Records and Inform</w:t>
      </w:r>
      <w:r w:rsidR="00614CD0">
        <w:rPr>
          <w:rFonts w:eastAsia="Times New Roman" w:cs="Times New Roman"/>
          <w:szCs w:val="24"/>
        </w:rPr>
        <w:t>ation.”</w:t>
      </w:r>
      <w:r w:rsidRPr="00424E59" w:rsidR="005A2D83">
        <w:rPr>
          <w:rFonts w:eastAsia="Times New Roman" w:cs="Times New Roman"/>
          <w:szCs w:val="24"/>
        </w:rPr>
        <w:t xml:space="preserve">  In addition, the Commission fully complies with section 8(a) of the C</w:t>
      </w:r>
      <w:r w:rsidR="00927C6B">
        <w:rPr>
          <w:rFonts w:eastAsia="Times New Roman" w:cs="Times New Roman"/>
          <w:szCs w:val="24"/>
        </w:rPr>
        <w:t>EA</w:t>
      </w:r>
      <w:r w:rsidRPr="00424E59" w:rsidR="005A2D83">
        <w:rPr>
          <w:rFonts w:eastAsia="Times New Roman" w:cs="Times New Roman"/>
          <w:szCs w:val="24"/>
        </w:rPr>
        <w:t>, which strictly prohibits the Commission, unless specifically authorized by the C</w:t>
      </w:r>
      <w:r w:rsidR="00927C6B">
        <w:rPr>
          <w:rFonts w:eastAsia="Times New Roman" w:cs="Times New Roman"/>
          <w:szCs w:val="24"/>
        </w:rPr>
        <w:t>EA</w:t>
      </w:r>
      <w:r w:rsidRPr="00424E59" w:rsidR="005A2D83">
        <w:rPr>
          <w:rFonts w:eastAsia="Times New Roman" w:cs="Times New Roman"/>
          <w:szCs w:val="24"/>
        </w:rPr>
        <w:t>, from making public “data and information that would separately disclose the business transactions or market positions of any person and trade secrets or names of customers.”</w:t>
      </w:r>
    </w:p>
    <w:p w:rsidRPr="00424E59" w:rsidR="00642B6A" w:rsidP="00FE503D" w:rsidRDefault="00642B6A" w14:paraId="5370679F" w14:textId="77777777">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11.</w:t>
      </w:r>
      <w:r w:rsidRPr="00424E59">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24E59" w:rsidR="0027708A" w:rsidP="00642B6A" w:rsidRDefault="0029181C" w14:paraId="1A44160E" w14:textId="77777777">
      <w:pPr>
        <w:tabs>
          <w:tab w:val="left" w:pos="-720"/>
        </w:tabs>
        <w:suppressAutoHyphens/>
        <w:ind w:firstLine="720"/>
        <w:rPr>
          <w:rFonts w:eastAsia="Times New Roman" w:cs="Times New Roman"/>
          <w:szCs w:val="24"/>
        </w:rPr>
      </w:pPr>
      <w:r w:rsidRPr="00424E59">
        <w:rPr>
          <w:rFonts w:eastAsia="Times New Roman" w:cs="Times New Roman"/>
          <w:szCs w:val="24"/>
        </w:rPr>
        <w:t xml:space="preserve">Not applicable. </w:t>
      </w:r>
    </w:p>
    <w:p w:rsidRPr="00424E59" w:rsidR="0029181C" w:rsidP="00642B6A" w:rsidRDefault="0029181C" w14:paraId="410EE204" w14:textId="77777777">
      <w:pPr>
        <w:tabs>
          <w:tab w:val="left" w:pos="-720"/>
        </w:tabs>
        <w:suppressAutoHyphens/>
        <w:ind w:firstLine="720"/>
        <w:rPr>
          <w:rFonts w:eastAsia="Times New Roman" w:cs="Times New Roman"/>
          <w:szCs w:val="24"/>
        </w:rPr>
      </w:pPr>
    </w:p>
    <w:p w:rsidRPr="00424E59" w:rsidR="00642B6A" w:rsidP="00505251" w:rsidRDefault="00642B6A" w14:paraId="73017F81"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lastRenderedPageBreak/>
        <w:t>12.</w:t>
      </w:r>
      <w:r w:rsidRPr="00424E59">
        <w:rPr>
          <w:rFonts w:eastAsia="Times New Roman" w:cs="Times New Roman"/>
          <w:b/>
          <w:szCs w:val="24"/>
        </w:rPr>
        <w:tab/>
        <w:t>Provide estimates of the hour burden of the collection of information.  The Statement should:</w:t>
      </w:r>
    </w:p>
    <w:p w:rsidRPr="00424E59" w:rsidR="00642B6A" w:rsidP="00FE503D" w:rsidRDefault="00642B6A" w14:paraId="1B855FB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24E59" w:rsidR="00642B6A" w:rsidP="00FE503D" w:rsidRDefault="00642B6A" w14:paraId="66B5C007"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If the request for approval covers more than one form, provide separate hour burden estimates for each form and aggregate the hour burdens in Item 13 of OMB Form 83-I.</w:t>
      </w:r>
    </w:p>
    <w:p w:rsidRPr="00424E59" w:rsidR="00642B6A" w:rsidP="00FE503D" w:rsidRDefault="00642B6A" w14:paraId="6594B07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424E59" w:rsidR="00642B6A" w:rsidP="002E172E" w:rsidRDefault="00D94BBE" w14:paraId="1443DDD1" w14:textId="77777777">
      <w:pPr>
        <w:ind w:firstLine="720"/>
        <w:jc w:val="both"/>
        <w:rPr>
          <w:szCs w:val="24"/>
        </w:rPr>
      </w:pPr>
      <w:r w:rsidRPr="00424E59">
        <w:rPr>
          <w:szCs w:val="24"/>
        </w:rPr>
        <w:t>Attachment A</w:t>
      </w:r>
      <w:r w:rsidR="00AD3629">
        <w:rPr>
          <w:szCs w:val="24"/>
        </w:rPr>
        <w:t xml:space="preserve"> </w:t>
      </w:r>
      <w:r w:rsidR="002E172E">
        <w:rPr>
          <w:szCs w:val="24"/>
        </w:rPr>
        <w:t xml:space="preserve">provides a </w:t>
      </w:r>
      <w:r w:rsidR="00AD3629">
        <w:rPr>
          <w:szCs w:val="24"/>
        </w:rPr>
        <w:t>specific breakdown</w:t>
      </w:r>
      <w:r w:rsidR="003A153C">
        <w:rPr>
          <w:szCs w:val="24"/>
        </w:rPr>
        <w:t xml:space="preserve"> of </w:t>
      </w:r>
      <w:r w:rsidR="002E172E">
        <w:rPr>
          <w:szCs w:val="24"/>
        </w:rPr>
        <w:t xml:space="preserve">the estimated burden for the collections of information for the </w:t>
      </w:r>
      <w:r w:rsidR="00683C75">
        <w:rPr>
          <w:szCs w:val="24"/>
        </w:rPr>
        <w:t>Final Rule</w:t>
      </w:r>
      <w:r w:rsidR="002E172E">
        <w:rPr>
          <w:szCs w:val="24"/>
        </w:rPr>
        <w:t xml:space="preserve">, including the </w:t>
      </w:r>
      <w:r w:rsidRPr="002E172E" w:rsidR="002E172E">
        <w:rPr>
          <w:szCs w:val="24"/>
        </w:rPr>
        <w:t xml:space="preserve">number of respondents, frequency of response, </w:t>
      </w:r>
      <w:r w:rsidR="002E172E">
        <w:rPr>
          <w:szCs w:val="24"/>
        </w:rPr>
        <w:t xml:space="preserve">and </w:t>
      </w:r>
      <w:r w:rsidRPr="002E172E" w:rsidR="002E172E">
        <w:rPr>
          <w:szCs w:val="24"/>
        </w:rPr>
        <w:t>annual hour burden</w:t>
      </w:r>
      <w:r w:rsidR="002E172E">
        <w:rPr>
          <w:szCs w:val="24"/>
        </w:rPr>
        <w:t xml:space="preserve"> cost</w:t>
      </w:r>
      <w:r w:rsidRPr="00424E59">
        <w:rPr>
          <w:szCs w:val="24"/>
        </w:rPr>
        <w:t>.</w:t>
      </w:r>
      <w:r w:rsidR="00CD003B">
        <w:rPr>
          <w:rStyle w:val="FootnoteReference"/>
          <w:szCs w:val="24"/>
        </w:rPr>
        <w:footnoteReference w:id="11"/>
      </w:r>
      <w:r w:rsidR="00AD3629">
        <w:rPr>
          <w:szCs w:val="24"/>
        </w:rPr>
        <w:t xml:space="preserve">  </w:t>
      </w:r>
      <w:r w:rsidR="002E172E">
        <w:rPr>
          <w:szCs w:val="24"/>
        </w:rPr>
        <w:t>Below is a descriptive overview of the burdens</w:t>
      </w:r>
      <w:r w:rsidR="00AD3629">
        <w:rPr>
          <w:szCs w:val="24"/>
        </w:rPr>
        <w:t>.</w:t>
      </w:r>
    </w:p>
    <w:p w:rsidRPr="00424E59" w:rsidR="00242760" w:rsidP="00FE503D" w:rsidRDefault="00242760" w14:paraId="0AA16110" w14:textId="77777777">
      <w:pPr>
        <w:ind w:firstLine="720"/>
        <w:jc w:val="both"/>
        <w:rPr>
          <w:szCs w:val="24"/>
        </w:rPr>
      </w:pPr>
    </w:p>
    <w:p w:rsidRPr="00155BB5" w:rsidR="00D94BBE" w:rsidP="00D94BBE" w:rsidRDefault="00D94BBE" w14:paraId="6C1556E3" w14:textId="77777777">
      <w:pPr>
        <w:pStyle w:val="ListParagraph"/>
        <w:numPr>
          <w:ilvl w:val="0"/>
          <w:numId w:val="5"/>
        </w:numPr>
        <w:tabs>
          <w:tab w:val="left" w:pos="-720"/>
        </w:tabs>
        <w:spacing w:after="240"/>
        <w:jc w:val="both"/>
        <w:rPr>
          <w:rFonts w:eastAsia="Times New Roman"/>
          <w:b/>
          <w:szCs w:val="24"/>
        </w:rPr>
      </w:pPr>
      <w:r w:rsidRPr="00155BB5">
        <w:rPr>
          <w:b/>
          <w:szCs w:val="24"/>
        </w:rPr>
        <w:t xml:space="preserve">OMB </w:t>
      </w:r>
      <w:r w:rsidR="000356C5">
        <w:rPr>
          <w:b/>
          <w:szCs w:val="24"/>
        </w:rPr>
        <w:t xml:space="preserve">Control Number </w:t>
      </w:r>
      <w:r w:rsidRPr="00155BB5">
        <w:rPr>
          <w:b/>
          <w:szCs w:val="24"/>
        </w:rPr>
        <w:t xml:space="preserve">3038-0009 </w:t>
      </w:r>
      <w:r w:rsidRPr="00155BB5" w:rsidR="00155BB5">
        <w:rPr>
          <w:b/>
          <w:szCs w:val="24"/>
        </w:rPr>
        <w:t>–</w:t>
      </w:r>
      <w:r w:rsidRPr="00155BB5">
        <w:rPr>
          <w:b/>
          <w:szCs w:val="24"/>
        </w:rPr>
        <w:t xml:space="preserve"> </w:t>
      </w:r>
      <w:r w:rsidRPr="00155BB5" w:rsidR="00155BB5">
        <w:rPr>
          <w:b/>
          <w:szCs w:val="24"/>
        </w:rPr>
        <w:t xml:space="preserve">Large Trader </w:t>
      </w:r>
      <w:r w:rsidRPr="00155BB5">
        <w:rPr>
          <w:b/>
          <w:szCs w:val="24"/>
        </w:rPr>
        <w:t xml:space="preserve">Reports </w:t>
      </w:r>
    </w:p>
    <w:p w:rsidR="001251C3" w:rsidP="003B7E39" w:rsidRDefault="003B7E39" w14:paraId="09B32586" w14:textId="77777777">
      <w:pPr>
        <w:autoSpaceDE w:val="0"/>
        <w:autoSpaceDN w:val="0"/>
        <w:adjustRightInd w:val="0"/>
        <w:ind w:firstLine="720"/>
        <w:jc w:val="both"/>
        <w:rPr>
          <w:szCs w:val="24"/>
        </w:rPr>
      </w:pPr>
      <w:r w:rsidRPr="00424E59">
        <w:rPr>
          <w:szCs w:val="24"/>
        </w:rPr>
        <w:t xml:space="preserve">As noted above, the </w:t>
      </w:r>
      <w:r w:rsidR="00455482">
        <w:rPr>
          <w:szCs w:val="24"/>
        </w:rPr>
        <w:t>Final Rule</w:t>
      </w:r>
      <w:r w:rsidRPr="00424E59">
        <w:rPr>
          <w:szCs w:val="24"/>
        </w:rPr>
        <w:t xml:space="preserve"> </w:t>
      </w:r>
      <w:r w:rsidR="00455482">
        <w:rPr>
          <w:szCs w:val="24"/>
        </w:rPr>
        <w:t>does</w:t>
      </w:r>
      <w:r w:rsidRPr="00424E59" w:rsidR="00455482">
        <w:rPr>
          <w:szCs w:val="24"/>
        </w:rPr>
        <w:t xml:space="preserve"> </w:t>
      </w:r>
      <w:r w:rsidRPr="00424E59">
        <w:rPr>
          <w:szCs w:val="24"/>
        </w:rPr>
        <w:t xml:space="preserve">not substantively change existing OMB control number 3038-0009, other than moving existing collections of information under part 19 of the Commission’s regulations to existing OMB control number 3038-0013.  As a result, OMB control number 3038-0009 </w:t>
      </w:r>
      <w:r w:rsidR="00455482">
        <w:rPr>
          <w:szCs w:val="24"/>
        </w:rPr>
        <w:t>will</w:t>
      </w:r>
      <w:r w:rsidRPr="00424E59" w:rsidR="00455482">
        <w:rPr>
          <w:szCs w:val="24"/>
        </w:rPr>
        <w:t xml:space="preserve"> </w:t>
      </w:r>
      <w:r w:rsidRPr="00424E59">
        <w:rPr>
          <w:szCs w:val="24"/>
        </w:rPr>
        <w:t>change only to reflect a decrease in the collections of information and related burden hours associated with part 19</w:t>
      </w:r>
      <w:r w:rsidR="0000255C">
        <w:rPr>
          <w:szCs w:val="24"/>
        </w:rPr>
        <w:t xml:space="preserve"> of the Commission’s regulation</w:t>
      </w:r>
      <w:r w:rsidR="00927C6B">
        <w:rPr>
          <w:szCs w:val="24"/>
        </w:rPr>
        <w:t>s</w:t>
      </w:r>
      <w:r w:rsidRPr="00424E59">
        <w:rPr>
          <w:szCs w:val="24"/>
        </w:rPr>
        <w:t xml:space="preserve">.  </w:t>
      </w:r>
    </w:p>
    <w:p w:rsidRPr="00424E59" w:rsidR="00175A1A" w:rsidP="003B7E39" w:rsidRDefault="00175A1A" w14:paraId="38B33E40" w14:textId="77777777">
      <w:pPr>
        <w:autoSpaceDE w:val="0"/>
        <w:autoSpaceDN w:val="0"/>
        <w:adjustRightInd w:val="0"/>
        <w:ind w:firstLine="720"/>
        <w:jc w:val="both"/>
        <w:rPr>
          <w:szCs w:val="24"/>
        </w:rPr>
      </w:pPr>
    </w:p>
    <w:p w:rsidR="000A6BEF" w:rsidP="003B7E39" w:rsidRDefault="003B7E39" w14:paraId="4F67FC69" w14:textId="77777777">
      <w:pPr>
        <w:autoSpaceDE w:val="0"/>
        <w:autoSpaceDN w:val="0"/>
        <w:adjustRightInd w:val="0"/>
        <w:ind w:firstLine="720"/>
        <w:jc w:val="both"/>
        <w:rPr>
          <w:szCs w:val="24"/>
        </w:rPr>
      </w:pPr>
      <w:r w:rsidRPr="00424E59">
        <w:rPr>
          <w:szCs w:val="24"/>
        </w:rPr>
        <w:t>Furthermore, the Commission notes that the previous renewal application for OMB control number 3038-0</w:t>
      </w:r>
      <w:r w:rsidR="003F112A">
        <w:rPr>
          <w:szCs w:val="24"/>
        </w:rPr>
        <w:t>0</w:t>
      </w:r>
      <w:r w:rsidRPr="00424E59">
        <w:rPr>
          <w:szCs w:val="24"/>
        </w:rPr>
        <w:t>09</w:t>
      </w:r>
      <w:r w:rsidRPr="00424E59" w:rsidR="00EF532B">
        <w:rPr>
          <w:szCs w:val="24"/>
        </w:rPr>
        <w:t xml:space="preserve"> (ICR Ref. No. 201906-3038-008)</w:t>
      </w:r>
      <w:r w:rsidRPr="00424E59">
        <w:rPr>
          <w:szCs w:val="24"/>
        </w:rPr>
        <w:t xml:space="preserve"> was received on June 27, 2019 by OMB and concluded on Sept. 4, 2019, according to the records on www.reginfo.gov.</w:t>
      </w:r>
      <w:r w:rsidRPr="00424E59">
        <w:rPr>
          <w:rStyle w:val="FootnoteReference"/>
          <w:szCs w:val="24"/>
        </w:rPr>
        <w:footnoteReference w:id="12"/>
      </w:r>
      <w:r w:rsidRPr="00424E59" w:rsidR="00EF532B">
        <w:rPr>
          <w:szCs w:val="24"/>
        </w:rPr>
        <w:t xml:space="preserve">  Accordingly, the descriptions and estimates below substantially reflect the Commission’s previous submission</w:t>
      </w:r>
      <w:r w:rsidRPr="00424E59" w:rsidR="00137724">
        <w:rPr>
          <w:szCs w:val="24"/>
        </w:rPr>
        <w:t xml:space="preserve"> and </w:t>
      </w:r>
      <w:r w:rsidRPr="00424E59" w:rsidR="00137724">
        <w:rPr>
          <w:szCs w:val="24"/>
        </w:rPr>
        <w:lastRenderedPageBreak/>
        <w:t>related estimates,</w:t>
      </w:r>
      <w:r w:rsidRPr="00424E59" w:rsidR="00EF532B">
        <w:rPr>
          <w:szCs w:val="24"/>
        </w:rPr>
        <w:t xml:space="preserve"> as the Commission</w:t>
      </w:r>
      <w:r w:rsidRPr="00424E59" w:rsidR="00B52955">
        <w:rPr>
          <w:szCs w:val="24"/>
        </w:rPr>
        <w:t>’s</w:t>
      </w:r>
      <w:r w:rsidRPr="00424E59" w:rsidR="00EF532B">
        <w:rPr>
          <w:szCs w:val="24"/>
        </w:rPr>
        <w:t xml:space="preserve"> estimates have </w:t>
      </w:r>
      <w:r w:rsidRPr="00424E59" w:rsidR="00B52955">
        <w:rPr>
          <w:szCs w:val="24"/>
        </w:rPr>
        <w:t xml:space="preserve">not </w:t>
      </w:r>
      <w:r w:rsidRPr="00424E59" w:rsidR="00EF532B">
        <w:rPr>
          <w:szCs w:val="24"/>
        </w:rPr>
        <w:t xml:space="preserve">materially changed within the intervening </w:t>
      </w:r>
      <w:r w:rsidR="00DF5D9A">
        <w:rPr>
          <w:szCs w:val="24"/>
        </w:rPr>
        <w:t>9</w:t>
      </w:r>
      <w:r w:rsidRPr="00424E59" w:rsidR="00EF532B">
        <w:rPr>
          <w:szCs w:val="24"/>
        </w:rPr>
        <w:t xml:space="preserve"> months between </w:t>
      </w:r>
      <w:r w:rsidR="000233E3">
        <w:rPr>
          <w:szCs w:val="24"/>
        </w:rPr>
        <w:t>its</w:t>
      </w:r>
      <w:r w:rsidRPr="00424E59" w:rsidR="00EF532B">
        <w:rPr>
          <w:szCs w:val="24"/>
        </w:rPr>
        <w:t xml:space="preserve"> submission</w:t>
      </w:r>
      <w:r w:rsidR="000233E3">
        <w:rPr>
          <w:szCs w:val="24"/>
        </w:rPr>
        <w:t xml:space="preserve"> in connection with </w:t>
      </w:r>
      <w:r w:rsidR="0000255C">
        <w:rPr>
          <w:szCs w:val="24"/>
        </w:rPr>
        <w:t>the issuance of</w:t>
      </w:r>
      <w:r w:rsidRPr="00424E59" w:rsidR="00EF532B">
        <w:rPr>
          <w:szCs w:val="24"/>
        </w:rPr>
        <w:t xml:space="preserve"> the 2020 Proposal</w:t>
      </w:r>
      <w:r w:rsidR="00280808">
        <w:rPr>
          <w:szCs w:val="24"/>
        </w:rPr>
        <w:t xml:space="preserve"> and its present submission for </w:t>
      </w:r>
      <w:r w:rsidR="00C019D4">
        <w:rPr>
          <w:szCs w:val="24"/>
        </w:rPr>
        <w:t xml:space="preserve">purposes of </w:t>
      </w:r>
      <w:r w:rsidR="00280808">
        <w:rPr>
          <w:szCs w:val="24"/>
        </w:rPr>
        <w:t>the Final Rule</w:t>
      </w:r>
      <w:r w:rsidRPr="00424E59" w:rsidR="00EF532B">
        <w:rPr>
          <w:szCs w:val="24"/>
        </w:rPr>
        <w:t>.</w:t>
      </w:r>
      <w:r w:rsidRPr="00424E59" w:rsidR="007E119B">
        <w:rPr>
          <w:szCs w:val="24"/>
        </w:rPr>
        <w:t xml:space="preserve">  </w:t>
      </w:r>
    </w:p>
    <w:p w:rsidR="000A6BEF" w:rsidP="003B7E39" w:rsidRDefault="000A6BEF" w14:paraId="634B15D8" w14:textId="77777777">
      <w:pPr>
        <w:autoSpaceDE w:val="0"/>
        <w:autoSpaceDN w:val="0"/>
        <w:adjustRightInd w:val="0"/>
        <w:ind w:firstLine="720"/>
        <w:jc w:val="both"/>
        <w:rPr>
          <w:szCs w:val="24"/>
        </w:rPr>
      </w:pPr>
    </w:p>
    <w:p w:rsidRPr="00424E59" w:rsidR="00242760" w:rsidP="000A6BEF" w:rsidRDefault="007E119B" w14:paraId="5291E72B" w14:textId="77777777">
      <w:pPr>
        <w:autoSpaceDE w:val="0"/>
        <w:autoSpaceDN w:val="0"/>
        <w:adjustRightInd w:val="0"/>
        <w:ind w:firstLine="720"/>
        <w:jc w:val="both"/>
        <w:rPr>
          <w:szCs w:val="24"/>
        </w:rPr>
      </w:pPr>
      <w:r w:rsidRPr="00424E59">
        <w:rPr>
          <w:szCs w:val="24"/>
        </w:rPr>
        <w:t xml:space="preserve">However, the Commission is updating the blended wage rates from its previous estimate based </w:t>
      </w:r>
      <w:r w:rsidRPr="00424E59" w:rsidR="00783BDC">
        <w:rPr>
          <w:szCs w:val="24"/>
        </w:rPr>
        <w:t xml:space="preserve">on </w:t>
      </w:r>
      <w:r w:rsidRPr="00424E59">
        <w:rPr>
          <w:szCs w:val="24"/>
        </w:rPr>
        <w:t xml:space="preserve">the latest </w:t>
      </w:r>
      <w:r w:rsidR="000A6BEF">
        <w:rPr>
          <w:szCs w:val="24"/>
        </w:rPr>
        <w:t xml:space="preserve">U.S. </w:t>
      </w:r>
      <w:r w:rsidR="00F5343E">
        <w:rPr>
          <w:szCs w:val="24"/>
        </w:rPr>
        <w:t>Bureau</w:t>
      </w:r>
      <w:r w:rsidR="000A6BEF">
        <w:rPr>
          <w:szCs w:val="24"/>
        </w:rPr>
        <w:t xml:space="preserve"> of Labor Statistics</w:t>
      </w:r>
      <w:r w:rsidRPr="00424E59" w:rsidR="0006467D">
        <w:rPr>
          <w:szCs w:val="24"/>
        </w:rPr>
        <w:t>.</w:t>
      </w:r>
      <w:r w:rsidR="000A6BEF">
        <w:rPr>
          <w:szCs w:val="24"/>
        </w:rPr>
        <w:t xml:space="preserve">  </w:t>
      </w:r>
      <w:r w:rsidR="00242760">
        <w:rPr>
          <w:szCs w:val="24"/>
        </w:rPr>
        <w:t xml:space="preserve">With respect to </w:t>
      </w:r>
      <w:r w:rsidR="000A6BEF">
        <w:rPr>
          <w:szCs w:val="24"/>
        </w:rPr>
        <w:t xml:space="preserve">revised </w:t>
      </w:r>
      <w:r w:rsidR="00242760">
        <w:rPr>
          <w:szCs w:val="24"/>
        </w:rPr>
        <w:t>costs</w:t>
      </w:r>
      <w:r w:rsidR="00C11086">
        <w:rPr>
          <w:szCs w:val="24"/>
        </w:rPr>
        <w:t>, t</w:t>
      </w:r>
      <w:r w:rsidRPr="00242760" w:rsidR="00242760">
        <w:rPr>
          <w:szCs w:val="24"/>
        </w:rPr>
        <w:t xml:space="preserve">he Commission is providing a blended rate using estimated industry specific wages for </w:t>
      </w:r>
      <w:r w:rsidR="00242760">
        <w:rPr>
          <w:szCs w:val="24"/>
        </w:rPr>
        <w:t xml:space="preserve">(1) </w:t>
      </w:r>
      <w:r w:rsidRPr="00242760" w:rsidR="00242760">
        <w:rPr>
          <w:szCs w:val="24"/>
        </w:rPr>
        <w:t xml:space="preserve">General and Operations Managers, </w:t>
      </w:r>
      <w:r w:rsidR="00242760">
        <w:rPr>
          <w:szCs w:val="24"/>
        </w:rPr>
        <w:t xml:space="preserve">(2) </w:t>
      </w:r>
      <w:r w:rsidRPr="00242760" w:rsidR="00242760">
        <w:rPr>
          <w:szCs w:val="24"/>
        </w:rPr>
        <w:t>Lawyers</w:t>
      </w:r>
      <w:r w:rsidR="00242760">
        <w:rPr>
          <w:szCs w:val="24"/>
        </w:rPr>
        <w:t>,</w:t>
      </w:r>
      <w:r w:rsidRPr="00242760" w:rsidR="00242760">
        <w:rPr>
          <w:szCs w:val="24"/>
        </w:rPr>
        <w:t xml:space="preserve"> and</w:t>
      </w:r>
      <w:r w:rsidR="00242760">
        <w:rPr>
          <w:szCs w:val="24"/>
        </w:rPr>
        <w:t xml:space="preserve"> (3)</w:t>
      </w:r>
      <w:r w:rsidRPr="00242760" w:rsidR="00242760">
        <w:rPr>
          <w:szCs w:val="24"/>
        </w:rPr>
        <w:t xml:space="preserve"> Compliance Officers. </w:t>
      </w:r>
      <w:r w:rsidR="00B27AC5">
        <w:rPr>
          <w:szCs w:val="24"/>
        </w:rPr>
        <w:t xml:space="preserve"> </w:t>
      </w:r>
      <w:r w:rsidRPr="00242760" w:rsidR="00242760">
        <w:rPr>
          <w:szCs w:val="24"/>
        </w:rPr>
        <w:t>Per the U.S. Bureau of Labor Statistics, national industry-specific occupational employment and wage estimates</w:t>
      </w:r>
      <w:r w:rsidR="00F5343E">
        <w:rPr>
          <w:szCs w:val="24"/>
        </w:rPr>
        <w:t xml:space="preserve"> from May 201</w:t>
      </w:r>
      <w:r w:rsidR="00B27AC5">
        <w:rPr>
          <w:szCs w:val="24"/>
        </w:rPr>
        <w:t>9</w:t>
      </w:r>
      <w:r w:rsidR="00F5343E">
        <w:rPr>
          <w:szCs w:val="24"/>
        </w:rPr>
        <w:t xml:space="preserve"> (the most recent available)</w:t>
      </w:r>
      <w:r w:rsidR="00E467A3">
        <w:rPr>
          <w:szCs w:val="24"/>
        </w:rPr>
        <w:t>,</w:t>
      </w:r>
      <w:r w:rsidRPr="00242760" w:rsidR="00242760">
        <w:rPr>
          <w:szCs w:val="24"/>
        </w:rPr>
        <w:t xml:space="preserve"> the mean hourly wage for a general and operations manager is $9</w:t>
      </w:r>
      <w:r w:rsidR="00B27AC5">
        <w:rPr>
          <w:szCs w:val="24"/>
        </w:rPr>
        <w:t>1</w:t>
      </w:r>
      <w:r w:rsidR="00800173">
        <w:rPr>
          <w:szCs w:val="24"/>
        </w:rPr>
        <w:t xml:space="preserve"> (a decrease from $93 as reported by the BLS in May 2018)</w:t>
      </w:r>
      <w:r w:rsidRPr="00242760" w:rsidR="00242760">
        <w:rPr>
          <w:szCs w:val="24"/>
        </w:rPr>
        <w:t>, lawyer is $9</w:t>
      </w:r>
      <w:r w:rsidR="00B27AC5">
        <w:rPr>
          <w:szCs w:val="24"/>
        </w:rPr>
        <w:t>7</w:t>
      </w:r>
      <w:r w:rsidR="00422A41">
        <w:rPr>
          <w:szCs w:val="24"/>
        </w:rPr>
        <w:t xml:space="preserve"> (an increase from $96 as reported by the BLS in May 2018)</w:t>
      </w:r>
      <w:r w:rsidRPr="00242760" w:rsidR="00242760">
        <w:rPr>
          <w:szCs w:val="24"/>
        </w:rPr>
        <w:t>, and compliance officer is $4</w:t>
      </w:r>
      <w:r w:rsidR="00B27AC5">
        <w:rPr>
          <w:szCs w:val="24"/>
        </w:rPr>
        <w:t>4</w:t>
      </w:r>
      <w:r w:rsidR="00422A41">
        <w:rPr>
          <w:szCs w:val="24"/>
        </w:rPr>
        <w:t xml:space="preserve"> (an increase from $43 as reported by the BLS in May 2018)</w:t>
      </w:r>
      <w:r w:rsidRPr="00242760" w:rsidR="00242760">
        <w:rPr>
          <w:szCs w:val="24"/>
        </w:rPr>
        <w:t xml:space="preserve">.  The average of those wages </w:t>
      </w:r>
      <w:r w:rsidR="00422A41">
        <w:rPr>
          <w:szCs w:val="24"/>
        </w:rPr>
        <w:t xml:space="preserve">remains the same as the previous estimate of </w:t>
      </w:r>
      <w:r w:rsidRPr="00242760" w:rsidR="00242760">
        <w:rPr>
          <w:szCs w:val="24"/>
        </w:rPr>
        <w:t>$77.</w:t>
      </w:r>
      <w:r w:rsidR="00242760">
        <w:rPr>
          <w:rStyle w:val="FootnoteReference"/>
          <w:szCs w:val="24"/>
        </w:rPr>
        <w:footnoteReference w:id="13"/>
      </w:r>
    </w:p>
    <w:p w:rsidRPr="00424E59" w:rsidR="003B7E39" w:rsidP="003B7E39" w:rsidRDefault="003B7E39" w14:paraId="425E4572" w14:textId="77777777">
      <w:pPr>
        <w:autoSpaceDE w:val="0"/>
        <w:autoSpaceDN w:val="0"/>
        <w:adjustRightInd w:val="0"/>
        <w:ind w:firstLine="720"/>
        <w:jc w:val="both"/>
        <w:rPr>
          <w:szCs w:val="24"/>
        </w:rPr>
      </w:pPr>
    </w:p>
    <w:p w:rsidRPr="00E0766C" w:rsidR="00D94BBE" w:rsidP="00D94BBE" w:rsidRDefault="00D94BBE" w14:paraId="359B04AD" w14:textId="77777777">
      <w:pPr>
        <w:pStyle w:val="ListParagraph"/>
        <w:numPr>
          <w:ilvl w:val="1"/>
          <w:numId w:val="5"/>
        </w:numPr>
        <w:tabs>
          <w:tab w:val="left" w:pos="-720"/>
        </w:tabs>
        <w:spacing w:after="240"/>
        <w:jc w:val="both"/>
        <w:rPr>
          <w:rFonts w:eastAsia="Times New Roman"/>
          <w:b/>
          <w:szCs w:val="24"/>
          <w:u w:val="single"/>
        </w:rPr>
      </w:pPr>
      <w:r w:rsidRPr="00E0766C">
        <w:rPr>
          <w:szCs w:val="24"/>
          <w:u w:val="single"/>
        </w:rPr>
        <w:t>Clearing Member Reports</w:t>
      </w:r>
    </w:p>
    <w:p w:rsidRPr="00424E59" w:rsidR="00D94BBE" w:rsidP="00D94BBE" w:rsidRDefault="00E97DF8" w14:paraId="170F27A8" w14:textId="77777777">
      <w:pPr>
        <w:autoSpaceDE w:val="0"/>
        <w:autoSpaceDN w:val="0"/>
        <w:adjustRightInd w:val="0"/>
        <w:ind w:firstLine="720"/>
        <w:jc w:val="both"/>
        <w:rPr>
          <w:szCs w:val="24"/>
        </w:rPr>
      </w:pPr>
      <w:bookmarkStart w:name="_Hlk56519195" w:id="4"/>
      <w:r w:rsidRPr="00424E59">
        <w:rPr>
          <w:szCs w:val="24"/>
        </w:rPr>
        <w:t xml:space="preserve">The </w:t>
      </w:r>
      <w:r w:rsidR="00B27AC5">
        <w:rPr>
          <w:szCs w:val="24"/>
        </w:rPr>
        <w:t>Final Rule</w:t>
      </w:r>
      <w:r w:rsidRPr="00424E59">
        <w:rPr>
          <w:szCs w:val="24"/>
        </w:rPr>
        <w:t xml:space="preserve"> </w:t>
      </w:r>
      <w:r w:rsidR="00B27AC5">
        <w:rPr>
          <w:szCs w:val="24"/>
        </w:rPr>
        <w:t>does</w:t>
      </w:r>
      <w:r w:rsidRPr="00424E59" w:rsidR="00B27AC5">
        <w:rPr>
          <w:szCs w:val="24"/>
        </w:rPr>
        <w:t xml:space="preserve"> </w:t>
      </w:r>
      <w:r w:rsidRPr="00424E59">
        <w:rPr>
          <w:szCs w:val="24"/>
        </w:rPr>
        <w:t>not change the collections of information or related burden estimates u</w:t>
      </w:r>
      <w:r w:rsidRPr="00424E59" w:rsidR="00D94BBE">
        <w:rPr>
          <w:szCs w:val="24"/>
        </w:rPr>
        <w:t xml:space="preserve">nder </w:t>
      </w:r>
      <w:r w:rsidRPr="00424E59">
        <w:rPr>
          <w:szCs w:val="24"/>
        </w:rPr>
        <w:t xml:space="preserve">Commission </w:t>
      </w:r>
      <w:r w:rsidRPr="00424E59" w:rsidR="00D94BBE">
        <w:rPr>
          <w:szCs w:val="24"/>
        </w:rPr>
        <w:t>regulation 16.00</w:t>
      </w:r>
      <w:r w:rsidRPr="00424E59">
        <w:rPr>
          <w:szCs w:val="24"/>
        </w:rPr>
        <w:t xml:space="preserve"> (17 CFR 16.00)</w:t>
      </w:r>
      <w:r w:rsidRPr="00424E59" w:rsidR="00D94BBE">
        <w:rPr>
          <w:szCs w:val="24"/>
        </w:rPr>
        <w:t>,</w:t>
      </w:r>
      <w:r w:rsidRPr="00424E59">
        <w:rPr>
          <w:szCs w:val="24"/>
        </w:rPr>
        <w:t xml:space="preserve"> in which</w:t>
      </w:r>
      <w:r w:rsidRPr="00424E59" w:rsidR="00D94BBE">
        <w:rPr>
          <w:szCs w:val="24"/>
        </w:rPr>
        <w:t xml:space="preserve"> the Commission obtains clearing member reports from the reporting markets or the clearing organizations of each reporting market.  Reporting markets</w:t>
      </w:r>
      <w:r w:rsidR="00992677">
        <w:rPr>
          <w:rStyle w:val="FootnoteReference"/>
          <w:szCs w:val="24"/>
        </w:rPr>
        <w:footnoteReference w:id="14"/>
      </w:r>
      <w:r w:rsidRPr="00424E59" w:rsidR="00D94BBE">
        <w:rPr>
          <w:szCs w:val="24"/>
        </w:rPr>
        <w:t xml:space="preserve"> routinely provide this data to each clearing member.  Since the data is routinely provided to clearing members, the reporting burden for this set of data is estimated at 20 minutes for each trading day.  </w:t>
      </w:r>
      <w:r w:rsidR="003C173C">
        <w:rPr>
          <w:szCs w:val="24"/>
        </w:rPr>
        <w:t>The Commission continues t</w:t>
      </w:r>
      <w:r w:rsidR="00D625D7">
        <w:rPr>
          <w:szCs w:val="24"/>
        </w:rPr>
        <w:t xml:space="preserve">o estimate that 14 respondents </w:t>
      </w:r>
      <w:r w:rsidR="00E60818">
        <w:rPr>
          <w:szCs w:val="24"/>
        </w:rPr>
        <w:t xml:space="preserve">each provide 250 reports annually on average to </w:t>
      </w:r>
      <w:r w:rsidR="00D625D7">
        <w:rPr>
          <w:szCs w:val="24"/>
        </w:rPr>
        <w:t>clearing members, with the t</w:t>
      </w:r>
      <w:r w:rsidRPr="00424E59" w:rsidR="00D94BBE">
        <w:rPr>
          <w:szCs w:val="24"/>
        </w:rPr>
        <w:t xml:space="preserve">otal burden hours </w:t>
      </w:r>
      <w:r w:rsidR="00E60818">
        <w:rPr>
          <w:szCs w:val="24"/>
        </w:rPr>
        <w:t xml:space="preserve">across all </w:t>
      </w:r>
      <w:r w:rsidR="00D625D7">
        <w:rPr>
          <w:szCs w:val="24"/>
        </w:rPr>
        <w:t xml:space="preserve">respondents to be </w:t>
      </w:r>
      <w:r w:rsidRPr="003A153C" w:rsidR="00D94BBE">
        <w:rPr>
          <w:szCs w:val="24"/>
        </w:rPr>
        <w:t xml:space="preserve">estimated at 1,166 hours. </w:t>
      </w:r>
      <w:r w:rsidR="00E60818">
        <w:rPr>
          <w:szCs w:val="24"/>
        </w:rPr>
        <w:t>On average, it is expected that about 20 minutes per trading date is expended by respondents, making the total annual burden per exchange 83.333 hours</w:t>
      </w:r>
      <w:r w:rsidR="000A3815">
        <w:rPr>
          <w:szCs w:val="24"/>
        </w:rPr>
        <w:t xml:space="preserve"> (250 reports x</w:t>
      </w:r>
      <w:r w:rsidR="00E60818">
        <w:rPr>
          <w:szCs w:val="24"/>
        </w:rPr>
        <w:t xml:space="preserve"> .333 average number of burden hours per response). </w:t>
      </w:r>
      <w:r w:rsidRPr="003A153C" w:rsidR="00D94BBE">
        <w:rPr>
          <w:szCs w:val="24"/>
        </w:rPr>
        <w:t xml:space="preserve"> Using </w:t>
      </w:r>
      <w:r w:rsidR="00DA77F5">
        <w:rPr>
          <w:szCs w:val="24"/>
        </w:rPr>
        <w:t>the</w:t>
      </w:r>
      <w:r w:rsidRPr="003A153C" w:rsidR="00D94BBE">
        <w:rPr>
          <w:szCs w:val="24"/>
        </w:rPr>
        <w:t xml:space="preserve"> blended professional wage rate of $</w:t>
      </w:r>
      <w:r w:rsidRPr="003A153C" w:rsidR="000A6BEF">
        <w:rPr>
          <w:szCs w:val="24"/>
        </w:rPr>
        <w:t>77</w:t>
      </w:r>
      <w:r w:rsidRPr="003A153C" w:rsidR="00D94BBE">
        <w:rPr>
          <w:szCs w:val="24"/>
        </w:rPr>
        <w:t xml:space="preserve"> per hour</w:t>
      </w:r>
      <w:r w:rsidR="00DA77F5">
        <w:rPr>
          <w:szCs w:val="24"/>
        </w:rPr>
        <w:t xml:space="preserve"> described above</w:t>
      </w:r>
      <w:r w:rsidRPr="003A153C" w:rsidR="00D94BBE">
        <w:rPr>
          <w:szCs w:val="24"/>
        </w:rPr>
        <w:t>, the estimated total cost to the exchanges is $</w:t>
      </w:r>
      <w:r w:rsidRPr="003A153C" w:rsidR="000A6BEF">
        <w:rPr>
          <w:szCs w:val="24"/>
        </w:rPr>
        <w:t>89,</w:t>
      </w:r>
      <w:r w:rsidR="00D70900">
        <w:rPr>
          <w:szCs w:val="24"/>
        </w:rPr>
        <w:t>838</w:t>
      </w:r>
      <w:r w:rsidR="000A3815">
        <w:rPr>
          <w:szCs w:val="24"/>
        </w:rPr>
        <w:t xml:space="preserve"> (83.333 hours x $77 per hour = $6,417; $6,417 x 14 respondents = $89,838)</w:t>
      </w:r>
      <w:r w:rsidRPr="003A153C" w:rsidR="00D94BBE">
        <w:rPr>
          <w:szCs w:val="24"/>
        </w:rPr>
        <w:t>.</w:t>
      </w:r>
    </w:p>
    <w:bookmarkEnd w:id="4"/>
    <w:p w:rsidRPr="00424E59" w:rsidR="00D94BBE" w:rsidP="00D94BBE" w:rsidRDefault="00D94BBE" w14:paraId="3B712475" w14:textId="77777777">
      <w:pPr>
        <w:autoSpaceDE w:val="0"/>
        <w:autoSpaceDN w:val="0"/>
        <w:adjustRightInd w:val="0"/>
        <w:ind w:firstLine="720"/>
        <w:jc w:val="both"/>
        <w:rPr>
          <w:szCs w:val="24"/>
        </w:rPr>
      </w:pPr>
    </w:p>
    <w:p w:rsidRPr="00E0766C" w:rsidR="00D94BBE" w:rsidP="00D94BBE" w:rsidRDefault="00D94BBE" w14:paraId="7E9080D4" w14:textId="77777777">
      <w:pPr>
        <w:pStyle w:val="ListParagraph"/>
        <w:numPr>
          <w:ilvl w:val="1"/>
          <w:numId w:val="5"/>
        </w:numPr>
        <w:tabs>
          <w:tab w:val="left" w:pos="-720"/>
        </w:tabs>
        <w:spacing w:after="240"/>
        <w:jc w:val="both"/>
        <w:rPr>
          <w:szCs w:val="24"/>
          <w:u w:val="single"/>
        </w:rPr>
      </w:pPr>
      <w:r w:rsidRPr="00E0766C">
        <w:rPr>
          <w:szCs w:val="24"/>
          <w:u w:val="single"/>
        </w:rPr>
        <w:t>Reports by Reporting Firms</w:t>
      </w:r>
    </w:p>
    <w:p w:rsidRPr="00424E59" w:rsidR="00D94BBE" w:rsidP="00D94BBE" w:rsidRDefault="00D94BBE" w14:paraId="08AB4D8A" w14:textId="77777777">
      <w:pPr>
        <w:autoSpaceDE w:val="0"/>
        <w:autoSpaceDN w:val="0"/>
        <w:adjustRightInd w:val="0"/>
        <w:ind w:firstLine="720"/>
        <w:jc w:val="both"/>
        <w:rPr>
          <w:szCs w:val="24"/>
        </w:rPr>
      </w:pPr>
      <w:r w:rsidRPr="00424E59">
        <w:rPr>
          <w:szCs w:val="24"/>
        </w:rPr>
        <w:t>(1)</w:t>
      </w:r>
      <w:r w:rsidRPr="00424E59" w:rsidR="00E97DF8">
        <w:rPr>
          <w:szCs w:val="24"/>
        </w:rPr>
        <w:t xml:space="preserve">  </w:t>
      </w:r>
      <w:bookmarkStart w:name="_Hlk56519266" w:id="5"/>
      <w:r w:rsidRPr="00424E59" w:rsidR="00E97DF8">
        <w:rPr>
          <w:szCs w:val="24"/>
        </w:rPr>
        <w:t xml:space="preserve">The </w:t>
      </w:r>
      <w:r w:rsidR="00F50827">
        <w:rPr>
          <w:szCs w:val="24"/>
        </w:rPr>
        <w:t>Final Rule</w:t>
      </w:r>
      <w:r w:rsidRPr="00424E59" w:rsidR="00E97DF8">
        <w:rPr>
          <w:szCs w:val="24"/>
        </w:rPr>
        <w:t xml:space="preserve"> </w:t>
      </w:r>
      <w:r w:rsidR="00F50827">
        <w:rPr>
          <w:szCs w:val="24"/>
        </w:rPr>
        <w:t>does</w:t>
      </w:r>
      <w:r w:rsidRPr="00424E59" w:rsidR="00F50827">
        <w:rPr>
          <w:szCs w:val="24"/>
        </w:rPr>
        <w:t xml:space="preserve"> </w:t>
      </w:r>
      <w:r w:rsidRPr="00424E59" w:rsidR="00E97DF8">
        <w:rPr>
          <w:szCs w:val="24"/>
        </w:rPr>
        <w:t>not change the collections of information or related burden estimates</w:t>
      </w:r>
      <w:r w:rsidRPr="00424E59">
        <w:rPr>
          <w:szCs w:val="24"/>
        </w:rPr>
        <w:t xml:space="preserve"> </w:t>
      </w:r>
      <w:r w:rsidRPr="00424E59" w:rsidR="00E97DF8">
        <w:rPr>
          <w:szCs w:val="24"/>
        </w:rPr>
        <w:t>u</w:t>
      </w:r>
      <w:r w:rsidRPr="00424E59">
        <w:rPr>
          <w:szCs w:val="24"/>
        </w:rPr>
        <w:t xml:space="preserve">nder </w:t>
      </w:r>
      <w:r w:rsidRPr="00424E59" w:rsidR="00DC6B75">
        <w:rPr>
          <w:szCs w:val="24"/>
        </w:rPr>
        <w:t>part 17 of the Commission’s regulations</w:t>
      </w:r>
      <w:r w:rsidRPr="00424E59">
        <w:rPr>
          <w:szCs w:val="24"/>
        </w:rPr>
        <w:t xml:space="preserve"> (17 CFR </w:t>
      </w:r>
      <w:r w:rsidRPr="00424E59" w:rsidR="00DC6B75">
        <w:rPr>
          <w:szCs w:val="24"/>
        </w:rPr>
        <w:t>part 17</w:t>
      </w:r>
      <w:r w:rsidRPr="00424E59">
        <w:rPr>
          <w:szCs w:val="24"/>
        </w:rPr>
        <w:t>),</w:t>
      </w:r>
      <w:r w:rsidRPr="00424E59" w:rsidR="00E97DF8">
        <w:rPr>
          <w:szCs w:val="24"/>
        </w:rPr>
        <w:t xml:space="preserve"> in which</w:t>
      </w:r>
      <w:r w:rsidRPr="00424E59">
        <w:rPr>
          <w:szCs w:val="24"/>
        </w:rPr>
        <w:t xml:space="preserve"> routine reports are filed only for accounts with futures and option positions that exceed levels set by the Commission in regulation 15.03(b) (17 CFR 15.03(b)).  In reviewing the responses received by the Commission in 2014, 326 respondents filed at least one report.  The number of responses submitted by these 326 entities ranged from 1 to 258 and the mean number of responses was 208.  Using </w:t>
      </w:r>
      <w:r w:rsidR="00744C85">
        <w:rPr>
          <w:szCs w:val="24"/>
        </w:rPr>
        <w:t>2014</w:t>
      </w:r>
      <w:r w:rsidRPr="00424E59">
        <w:rPr>
          <w:szCs w:val="24"/>
        </w:rPr>
        <w:t xml:space="preserve"> as a baseline for estimating the burdens associated with regulation 17.00, the Commission </w:t>
      </w:r>
      <w:r w:rsidR="00FB3908">
        <w:rPr>
          <w:szCs w:val="24"/>
        </w:rPr>
        <w:t xml:space="preserve">continues to </w:t>
      </w:r>
      <w:r w:rsidRPr="00424E59">
        <w:rPr>
          <w:szCs w:val="24"/>
        </w:rPr>
        <w:t xml:space="preserve">estimate that 326 respondents may be required to file 208 daily reports annually on average. </w:t>
      </w:r>
      <w:r w:rsidR="00C019D4">
        <w:rPr>
          <w:szCs w:val="24"/>
        </w:rPr>
        <w:t xml:space="preserve"> </w:t>
      </w:r>
      <w:r w:rsidRPr="00424E59">
        <w:rPr>
          <w:szCs w:val="24"/>
        </w:rPr>
        <w:t xml:space="preserve">This information is currently reported as a data stream that is transmitted </w:t>
      </w:r>
      <w:r w:rsidRPr="00424E59">
        <w:rPr>
          <w:szCs w:val="24"/>
        </w:rPr>
        <w:lastRenderedPageBreak/>
        <w:t xml:space="preserve">using internet data transmissions.  The reporting burden consists of staff initializing the system for new contracts and new accounts.  On average it is expected that about 15 minutes per trading day is expended by these staff, making the burden approximately 16,952 hours.  </w:t>
      </w:r>
      <w:r w:rsidRPr="003A153C">
        <w:rPr>
          <w:szCs w:val="24"/>
        </w:rPr>
        <w:t>Using a wage rate of $</w:t>
      </w:r>
      <w:r w:rsidRPr="003A153C" w:rsidR="003A153C">
        <w:rPr>
          <w:szCs w:val="24"/>
        </w:rPr>
        <w:t>77</w:t>
      </w:r>
      <w:r w:rsidRPr="003A153C">
        <w:rPr>
          <w:szCs w:val="24"/>
        </w:rPr>
        <w:t xml:space="preserve"> per hour, we estimate costs to be $</w:t>
      </w:r>
      <w:r w:rsidRPr="003A153C" w:rsidR="003A153C">
        <w:rPr>
          <w:szCs w:val="24"/>
        </w:rPr>
        <w:t>1,305,304</w:t>
      </w:r>
      <w:r w:rsidRPr="003A153C">
        <w:rPr>
          <w:szCs w:val="24"/>
        </w:rPr>
        <w:t xml:space="preserve"> annually.</w:t>
      </w:r>
      <w:r w:rsidRPr="00424E59">
        <w:rPr>
          <w:szCs w:val="24"/>
        </w:rPr>
        <w:t xml:space="preserve"> </w:t>
      </w:r>
    </w:p>
    <w:bookmarkEnd w:id="5"/>
    <w:p w:rsidRPr="00424E59" w:rsidR="00D94BBE" w:rsidP="00D94BBE" w:rsidRDefault="00D94BBE" w14:paraId="2ECA58D0" w14:textId="77777777">
      <w:pPr>
        <w:pStyle w:val="ListParagraph"/>
        <w:jc w:val="both"/>
        <w:rPr>
          <w:szCs w:val="24"/>
        </w:rPr>
      </w:pPr>
    </w:p>
    <w:p w:rsidRPr="00424E59" w:rsidR="00D94BBE" w:rsidP="00D94BBE" w:rsidRDefault="00D94BBE" w14:paraId="23BDE773" w14:textId="4D790348">
      <w:pPr>
        <w:autoSpaceDE w:val="0"/>
        <w:autoSpaceDN w:val="0"/>
        <w:adjustRightInd w:val="0"/>
        <w:ind w:firstLine="720"/>
        <w:jc w:val="both"/>
        <w:rPr>
          <w:szCs w:val="24"/>
        </w:rPr>
      </w:pPr>
      <w:r w:rsidRPr="00424E59">
        <w:rPr>
          <w:szCs w:val="24"/>
        </w:rPr>
        <w:t xml:space="preserve">(2) Under part 21 of the Commission’s regulations (17 CFR part 21), the Commission may make special calls for additional cash and futures data concerning traders.  In addition, under part 21 of the Commission’s regulations (17 CFR part 21), the Commission may request upon call identifying information regarding persons who exercise trading control over accounts.  </w:t>
      </w:r>
      <w:r w:rsidRPr="00205969" w:rsidR="000728D4">
        <w:rPr>
          <w:rFonts w:cs="Times New Roman"/>
          <w:szCs w:val="24"/>
        </w:rPr>
        <w:t>Considering</w:t>
      </w:r>
      <w:r w:rsidRPr="00205969" w:rsidR="00B27DA5">
        <w:rPr>
          <w:rFonts w:cs="Times New Roman"/>
          <w:szCs w:val="24"/>
        </w:rPr>
        <w:t xml:space="preserve"> the higher limits and smaller universe of traders who w</w:t>
      </w:r>
      <w:r w:rsidR="00B27DA5">
        <w:rPr>
          <w:rFonts w:cs="Times New Roman"/>
          <w:szCs w:val="24"/>
        </w:rPr>
        <w:t>ill</w:t>
      </w:r>
      <w:r w:rsidRPr="00205969" w:rsidR="00B27DA5">
        <w:rPr>
          <w:rFonts w:cs="Times New Roman"/>
          <w:szCs w:val="24"/>
        </w:rPr>
        <w:t xml:space="preserve"> likely exceed the position limits, the Commission estimates that it is likely to issue a special call for information to </w:t>
      </w:r>
      <w:r w:rsidR="00B27DA5">
        <w:rPr>
          <w:rFonts w:cs="Times New Roman"/>
          <w:szCs w:val="24"/>
        </w:rPr>
        <w:t xml:space="preserve">four </w:t>
      </w:r>
      <w:r w:rsidRPr="00205969" w:rsidR="00B27DA5">
        <w:rPr>
          <w:rFonts w:cs="Times New Roman"/>
          <w:szCs w:val="24"/>
        </w:rPr>
        <w:t>reportable traders</w:t>
      </w:r>
      <w:r w:rsidR="00B27DA5">
        <w:rPr>
          <w:rFonts w:cs="Times New Roman"/>
          <w:szCs w:val="24"/>
        </w:rPr>
        <w:t xml:space="preserve"> </w:t>
      </w:r>
      <w:r w:rsidRPr="00424E59">
        <w:rPr>
          <w:szCs w:val="24"/>
        </w:rPr>
        <w:t xml:space="preserve">s under all of the provisions of part 21 of the Commission’s regulations (17 CFR part 21) and that each response to a call will require approximately </w:t>
      </w:r>
      <w:r w:rsidR="00AE7240">
        <w:rPr>
          <w:szCs w:val="24"/>
        </w:rPr>
        <w:t>5</w:t>
      </w:r>
      <w:r w:rsidRPr="00424E59">
        <w:rPr>
          <w:szCs w:val="24"/>
        </w:rPr>
        <w:t xml:space="preserve"> hour</w:t>
      </w:r>
      <w:r w:rsidR="00AE7240">
        <w:rPr>
          <w:szCs w:val="24"/>
        </w:rPr>
        <w:t>s</w:t>
      </w:r>
      <w:r w:rsidRPr="00424E59">
        <w:rPr>
          <w:szCs w:val="24"/>
        </w:rPr>
        <w:t xml:space="preserve">.  </w:t>
      </w:r>
      <w:r w:rsidRPr="003A153C">
        <w:rPr>
          <w:szCs w:val="24"/>
        </w:rPr>
        <w:t>Using a wage rate of $</w:t>
      </w:r>
      <w:r w:rsidRPr="003A153C" w:rsidR="003A153C">
        <w:rPr>
          <w:szCs w:val="24"/>
        </w:rPr>
        <w:t>77</w:t>
      </w:r>
      <w:r w:rsidRPr="003A153C">
        <w:rPr>
          <w:szCs w:val="24"/>
        </w:rPr>
        <w:t xml:space="preserve"> per hour, costs are estimated at $</w:t>
      </w:r>
      <w:r w:rsidR="00AE7240">
        <w:rPr>
          <w:szCs w:val="24"/>
        </w:rPr>
        <w:t>1,540</w:t>
      </w:r>
      <w:r w:rsidRPr="003A153C">
        <w:rPr>
          <w:szCs w:val="24"/>
        </w:rPr>
        <w:t xml:space="preserve"> per annum.  </w:t>
      </w:r>
    </w:p>
    <w:p w:rsidRPr="00424E59" w:rsidR="00C0203F" w:rsidP="00D94BBE" w:rsidRDefault="00C0203F" w14:paraId="4764EFFB" w14:textId="77777777">
      <w:pPr>
        <w:autoSpaceDE w:val="0"/>
        <w:autoSpaceDN w:val="0"/>
        <w:adjustRightInd w:val="0"/>
        <w:ind w:firstLine="720"/>
        <w:jc w:val="both"/>
        <w:rPr>
          <w:szCs w:val="24"/>
        </w:rPr>
      </w:pPr>
    </w:p>
    <w:p w:rsidR="00C0203F" w:rsidP="00C0203F" w:rsidRDefault="00C0203F" w14:paraId="06575BC9" w14:textId="77777777">
      <w:pPr>
        <w:autoSpaceDE w:val="0"/>
        <w:autoSpaceDN w:val="0"/>
        <w:adjustRightInd w:val="0"/>
        <w:ind w:firstLine="720"/>
        <w:jc w:val="both"/>
        <w:rPr>
          <w:szCs w:val="24"/>
        </w:rPr>
      </w:pPr>
      <w:r w:rsidRPr="003A153C">
        <w:rPr>
          <w:szCs w:val="24"/>
        </w:rPr>
        <w:t>Based on the above, annual costs associated with these burden hours total</w:t>
      </w:r>
      <w:r w:rsidRPr="003A153C" w:rsidR="003A153C">
        <w:rPr>
          <w:szCs w:val="24"/>
        </w:rPr>
        <w:t xml:space="preserve"> </w:t>
      </w:r>
      <w:r w:rsidR="000F35B5">
        <w:rPr>
          <w:szCs w:val="24"/>
        </w:rPr>
        <w:t xml:space="preserve">is </w:t>
      </w:r>
      <w:r w:rsidRPr="003A153C" w:rsidR="003A153C">
        <w:rPr>
          <w:szCs w:val="24"/>
        </w:rPr>
        <w:t>$1,39</w:t>
      </w:r>
      <w:r w:rsidR="00264801">
        <w:rPr>
          <w:szCs w:val="24"/>
        </w:rPr>
        <w:t>6, 682</w:t>
      </w:r>
      <w:r w:rsidRPr="003A153C">
        <w:rPr>
          <w:szCs w:val="24"/>
        </w:rPr>
        <w:t xml:space="preserve"> </w:t>
      </w:r>
      <w:r w:rsidRPr="003A153C" w:rsidR="003A153C">
        <w:rPr>
          <w:szCs w:val="24"/>
        </w:rPr>
        <w:t>(</w:t>
      </w:r>
      <w:r w:rsidRPr="003A153C">
        <w:rPr>
          <w:szCs w:val="24"/>
        </w:rPr>
        <w:t>$</w:t>
      </w:r>
      <w:r w:rsidRPr="003A153C" w:rsidR="003A153C">
        <w:rPr>
          <w:szCs w:val="24"/>
        </w:rPr>
        <w:t>89,</w:t>
      </w:r>
      <w:r w:rsidR="00D70900">
        <w:rPr>
          <w:szCs w:val="24"/>
        </w:rPr>
        <w:t>838</w:t>
      </w:r>
      <w:r w:rsidRPr="003A153C" w:rsidR="00D70900">
        <w:rPr>
          <w:szCs w:val="24"/>
        </w:rPr>
        <w:t xml:space="preserve"> </w:t>
      </w:r>
      <w:r w:rsidRPr="003A153C" w:rsidR="003A153C">
        <w:rPr>
          <w:szCs w:val="24"/>
        </w:rPr>
        <w:t>+ $1,305,304 + $</w:t>
      </w:r>
      <w:r w:rsidR="00AE7240">
        <w:rPr>
          <w:szCs w:val="24"/>
        </w:rPr>
        <w:t>1,540</w:t>
      </w:r>
      <w:r w:rsidR="005A4F00">
        <w:rPr>
          <w:szCs w:val="24"/>
        </w:rPr>
        <w:t xml:space="preserve"> </w:t>
      </w:r>
      <w:r w:rsidRPr="003A153C" w:rsidR="003A153C">
        <w:rPr>
          <w:szCs w:val="24"/>
        </w:rPr>
        <w:t>= $1,39</w:t>
      </w:r>
      <w:r w:rsidR="00264801">
        <w:rPr>
          <w:szCs w:val="24"/>
        </w:rPr>
        <w:t>6, 682</w:t>
      </w:r>
      <w:r w:rsidRPr="003A153C" w:rsidR="003A153C">
        <w:rPr>
          <w:szCs w:val="24"/>
        </w:rPr>
        <w:t>)</w:t>
      </w:r>
      <w:r w:rsidR="00D5403A">
        <w:rPr>
          <w:szCs w:val="24"/>
        </w:rPr>
        <w:t>.</w:t>
      </w:r>
      <w:r w:rsidRPr="003A153C">
        <w:rPr>
          <w:szCs w:val="24"/>
        </w:rPr>
        <w:t xml:space="preserve">  </w:t>
      </w:r>
    </w:p>
    <w:p w:rsidR="00D70900" w:rsidP="00C0203F" w:rsidRDefault="00D70900" w14:paraId="6068DB33" w14:textId="77777777">
      <w:pPr>
        <w:autoSpaceDE w:val="0"/>
        <w:autoSpaceDN w:val="0"/>
        <w:adjustRightInd w:val="0"/>
        <w:ind w:firstLine="720"/>
        <w:jc w:val="both"/>
        <w:rPr>
          <w:szCs w:val="24"/>
        </w:rPr>
      </w:pPr>
    </w:p>
    <w:p w:rsidRPr="009D7452" w:rsidR="00A10820" w:rsidP="00A10820" w:rsidRDefault="00FF3EDD" w14:paraId="31AE21AC" w14:textId="77777777">
      <w:pPr>
        <w:ind w:firstLine="720"/>
        <w:jc w:val="both"/>
        <w:rPr>
          <w:szCs w:val="24"/>
        </w:rPr>
      </w:pPr>
      <w:r>
        <w:rPr>
          <w:rFonts w:eastAsia="Calibri" w:cs="Times New Roman"/>
          <w:szCs w:val="24"/>
        </w:rPr>
        <w:t>As discussed further below, t</w:t>
      </w:r>
      <w:r w:rsidRPr="00823F94" w:rsidR="00823F94">
        <w:rPr>
          <w:rFonts w:eastAsia="Calibri" w:cs="Times New Roman"/>
          <w:szCs w:val="24"/>
        </w:rPr>
        <w:t xml:space="preserve">he Commission’s </w:t>
      </w:r>
      <w:r w:rsidR="00F50827">
        <w:rPr>
          <w:rFonts w:eastAsia="Calibri" w:cs="Times New Roman"/>
          <w:szCs w:val="24"/>
        </w:rPr>
        <w:t>Final Rule</w:t>
      </w:r>
      <w:r w:rsidRPr="00823F94" w:rsidR="00F50827">
        <w:rPr>
          <w:rFonts w:eastAsia="Calibri" w:cs="Times New Roman"/>
          <w:szCs w:val="24"/>
        </w:rPr>
        <w:t xml:space="preserve"> </w:t>
      </w:r>
      <w:r>
        <w:rPr>
          <w:rFonts w:eastAsia="Calibri" w:cs="Times New Roman"/>
          <w:szCs w:val="24"/>
        </w:rPr>
        <w:t>transfer</w:t>
      </w:r>
      <w:r w:rsidR="00F50827">
        <w:rPr>
          <w:rFonts w:eastAsia="Calibri" w:cs="Times New Roman"/>
          <w:szCs w:val="24"/>
        </w:rPr>
        <w:t>s</w:t>
      </w:r>
      <w:r>
        <w:rPr>
          <w:rFonts w:eastAsia="Calibri" w:cs="Times New Roman"/>
          <w:szCs w:val="24"/>
        </w:rPr>
        <w:t xml:space="preserve"> the existing information collections and related burdens under part 19 of the Commission’s regulations under OMB control number 3038-0009 to OMB control number 3038-0013</w:t>
      </w:r>
      <w:r w:rsidRPr="00823F94" w:rsidR="00823F94">
        <w:rPr>
          <w:rFonts w:eastAsia="Calibri" w:cs="Times New Roman"/>
          <w:szCs w:val="24"/>
        </w:rPr>
        <w:t>.</w:t>
      </w:r>
      <w:r w:rsidR="00823F94">
        <w:rPr>
          <w:rFonts w:eastAsia="Calibri" w:cs="Times New Roman"/>
          <w:szCs w:val="24"/>
        </w:rPr>
        <w:t xml:space="preserve">  </w:t>
      </w:r>
    </w:p>
    <w:p w:rsidRPr="00424E59" w:rsidR="002C0622" w:rsidP="00FF3EDD" w:rsidRDefault="002C0622" w14:paraId="004E9DC7" w14:textId="77777777">
      <w:pPr>
        <w:autoSpaceDE w:val="0"/>
        <w:autoSpaceDN w:val="0"/>
        <w:adjustRightInd w:val="0"/>
        <w:jc w:val="both"/>
        <w:rPr>
          <w:szCs w:val="24"/>
        </w:rPr>
      </w:pPr>
    </w:p>
    <w:p w:rsidRPr="0068348D" w:rsidR="002C0622" w:rsidP="002C0622" w:rsidRDefault="00E0766C" w14:paraId="63078A0C" w14:textId="77777777">
      <w:pPr>
        <w:pStyle w:val="ListParagraph"/>
        <w:numPr>
          <w:ilvl w:val="0"/>
          <w:numId w:val="5"/>
        </w:numPr>
        <w:autoSpaceDE w:val="0"/>
        <w:autoSpaceDN w:val="0"/>
        <w:adjustRightInd w:val="0"/>
        <w:jc w:val="both"/>
        <w:rPr>
          <w:b/>
        </w:rPr>
      </w:pPr>
      <w:r>
        <w:rPr>
          <w:rFonts w:eastAsia="Times New Roman"/>
          <w:b/>
        </w:rPr>
        <w:t xml:space="preserve">OMB </w:t>
      </w:r>
      <w:r w:rsidRPr="0068348D" w:rsidR="002C0622">
        <w:rPr>
          <w:rFonts w:eastAsia="Times New Roman"/>
          <w:b/>
        </w:rPr>
        <w:t>3038-0013 – Position Limits</w:t>
      </w:r>
    </w:p>
    <w:p w:rsidR="00D94BBE" w:rsidP="00FE503D" w:rsidRDefault="00D94BBE" w14:paraId="3347D563" w14:textId="77777777">
      <w:pPr>
        <w:ind w:firstLine="720"/>
        <w:jc w:val="both"/>
        <w:rPr>
          <w:rFonts w:eastAsia="Times New Roman" w:cs="Times New Roman"/>
          <w:color w:val="000000"/>
          <w:szCs w:val="24"/>
        </w:rPr>
      </w:pPr>
    </w:p>
    <w:p w:rsidR="00CF250A" w:rsidP="00927C6B" w:rsidRDefault="006B3FDA" w14:paraId="65D215D2" w14:textId="77777777">
      <w:pPr>
        <w:ind w:firstLine="720"/>
        <w:jc w:val="both"/>
        <w:rPr>
          <w:szCs w:val="24"/>
        </w:rPr>
      </w:pPr>
      <w:r>
        <w:rPr>
          <w:szCs w:val="24"/>
        </w:rPr>
        <w:t xml:space="preserve">Generally, </w:t>
      </w:r>
      <w:r w:rsidRPr="00E26E94">
        <w:rPr>
          <w:szCs w:val="24"/>
        </w:rPr>
        <w:t xml:space="preserve">the </w:t>
      </w:r>
      <w:r w:rsidR="00F50827">
        <w:rPr>
          <w:szCs w:val="24"/>
        </w:rPr>
        <w:t>Final Rule</w:t>
      </w:r>
      <w:r w:rsidRPr="00E26E94">
        <w:rPr>
          <w:szCs w:val="24"/>
        </w:rPr>
        <w:t xml:space="preserve"> </w:t>
      </w:r>
      <w:r w:rsidR="00F50827">
        <w:rPr>
          <w:szCs w:val="24"/>
        </w:rPr>
        <w:t>will</w:t>
      </w:r>
      <w:r w:rsidRPr="00E26E94" w:rsidR="00F50827">
        <w:rPr>
          <w:szCs w:val="24"/>
        </w:rPr>
        <w:t xml:space="preserve"> </w:t>
      </w:r>
      <w:r w:rsidRPr="00E26E94">
        <w:rPr>
          <w:szCs w:val="24"/>
        </w:rPr>
        <w:t xml:space="preserve">result in the following reporting and </w:t>
      </w:r>
      <w:r>
        <w:rPr>
          <w:szCs w:val="24"/>
        </w:rPr>
        <w:t>record-keeping labor burdens:</w:t>
      </w:r>
    </w:p>
    <w:p w:rsidR="006B3FDA" w:rsidP="00927C6B" w:rsidRDefault="006B3FDA" w14:paraId="479C17D8" w14:textId="77777777">
      <w:pPr>
        <w:ind w:firstLine="720"/>
        <w:jc w:val="both"/>
        <w:rPr>
          <w:szCs w:val="24"/>
        </w:rPr>
      </w:pPr>
    </w:p>
    <w:p w:rsidR="006B3FDA" w:rsidP="006B3FDA" w:rsidRDefault="006B3FDA" w14:paraId="4A4B8B4A" w14:textId="77777777">
      <w:pPr>
        <w:pStyle w:val="ListParagraph"/>
        <w:numPr>
          <w:ilvl w:val="1"/>
          <w:numId w:val="5"/>
        </w:numPr>
        <w:jc w:val="both"/>
        <w:rPr>
          <w:rFonts w:eastAsia="Times New Roman" w:cs="Times New Roman"/>
          <w:color w:val="000000"/>
          <w:szCs w:val="24"/>
        </w:rPr>
      </w:pPr>
      <w:r w:rsidRPr="006B3FDA">
        <w:rPr>
          <w:rFonts w:eastAsia="Times New Roman" w:cs="Times New Roman"/>
          <w:color w:val="000000"/>
          <w:szCs w:val="24"/>
          <w:u w:val="single"/>
        </w:rPr>
        <w:t>Non-Enumerated Bona Fide Hedging Exemption Applications</w:t>
      </w:r>
    </w:p>
    <w:p w:rsidR="006B3FDA" w:rsidP="006B3FDA" w:rsidRDefault="006B3FDA" w14:paraId="4F2B7D35" w14:textId="77777777">
      <w:pPr>
        <w:pStyle w:val="ListParagraph"/>
        <w:ind w:left="1440"/>
        <w:jc w:val="both"/>
        <w:rPr>
          <w:rFonts w:eastAsia="Times New Roman" w:cs="Times New Roman"/>
          <w:color w:val="000000"/>
          <w:szCs w:val="24"/>
        </w:rPr>
      </w:pPr>
    </w:p>
    <w:p w:rsidRPr="009D7452" w:rsidR="00614A5E" w:rsidP="00614A5E" w:rsidRDefault="00EE2C14" w14:paraId="526F4699" w14:textId="77777777">
      <w:pPr>
        <w:ind w:firstLine="720"/>
        <w:jc w:val="both"/>
        <w:rPr>
          <w:szCs w:val="24"/>
        </w:rPr>
      </w:pPr>
      <w:r>
        <w:rPr>
          <w:rFonts w:eastAsia="Times New Roman" w:cs="Times New Roman"/>
          <w:color w:val="000000"/>
          <w:szCs w:val="24"/>
        </w:rPr>
        <w:t>Regulations</w:t>
      </w:r>
      <w:r w:rsidRPr="00007547" w:rsidR="00007547">
        <w:rPr>
          <w:rFonts w:eastAsia="Times New Roman" w:cs="Times New Roman"/>
          <w:color w:val="000000"/>
          <w:szCs w:val="24"/>
        </w:rPr>
        <w:t xml:space="preserve"> 150.3 and 150.9 establish an amended process for obtaining a bona fide </w:t>
      </w:r>
      <w:r w:rsidRPr="009D7452" w:rsidR="00007547">
        <w:rPr>
          <w:rFonts w:eastAsia="Times New Roman" w:cs="Times New Roman"/>
          <w:color w:val="000000"/>
          <w:szCs w:val="24"/>
        </w:rPr>
        <w:t>hedge exemption or recognition</w:t>
      </w:r>
      <w:r w:rsidR="00585FDC">
        <w:rPr>
          <w:rFonts w:eastAsia="Times New Roman" w:cs="Times New Roman"/>
          <w:color w:val="000000"/>
          <w:szCs w:val="24"/>
        </w:rPr>
        <w:t xml:space="preserve">.  </w:t>
      </w:r>
      <w:r w:rsidRPr="009D7452" w:rsidR="00614A5E">
        <w:rPr>
          <w:szCs w:val="24"/>
        </w:rPr>
        <w:t>The Commission estimates that very few or no traders w</w:t>
      </w:r>
      <w:r w:rsidR="00AC6784">
        <w:rPr>
          <w:szCs w:val="24"/>
        </w:rPr>
        <w:t>ill</w:t>
      </w:r>
      <w:r w:rsidRPr="009D7452" w:rsidR="00614A5E">
        <w:rPr>
          <w:szCs w:val="24"/>
        </w:rPr>
        <w:t xml:space="preserve"> request recognition of a non-enumerated bona fide hedge, and those traders that do w</w:t>
      </w:r>
      <w:r w:rsidR="00AC6784">
        <w:rPr>
          <w:szCs w:val="24"/>
        </w:rPr>
        <w:t>ill</w:t>
      </w:r>
      <w:r w:rsidRPr="009D7452" w:rsidR="00614A5E">
        <w:rPr>
          <w:szCs w:val="24"/>
        </w:rPr>
        <w:t xml:space="preserve"> likely prefer the </w:t>
      </w:r>
      <w:r w:rsidR="00062486">
        <w:rPr>
          <w:szCs w:val="24"/>
        </w:rPr>
        <w:t>streamlined</w:t>
      </w:r>
      <w:r w:rsidRPr="009D7452" w:rsidR="00614A5E">
        <w:rPr>
          <w:szCs w:val="24"/>
        </w:rPr>
        <w:t xml:space="preserve"> process in § 150.9 (discussed further below) rather than apply directly to the Commission under § 150.3(b).  Similarly, the Commission estimates that very few or no traders w</w:t>
      </w:r>
      <w:r w:rsidR="00AC6784">
        <w:rPr>
          <w:szCs w:val="24"/>
        </w:rPr>
        <w:t>ill</w:t>
      </w:r>
      <w:r w:rsidRPr="009D7452" w:rsidR="00614A5E">
        <w:rPr>
          <w:szCs w:val="24"/>
        </w:rPr>
        <w:t xml:space="preserve"> submit a request for a spread exemption since the Commission has determined that the most common spread exemptions are included in the </w:t>
      </w:r>
      <w:r w:rsidR="00AC6784">
        <w:rPr>
          <w:szCs w:val="24"/>
        </w:rPr>
        <w:t>adopted</w:t>
      </w:r>
      <w:r w:rsidR="00B60809">
        <w:rPr>
          <w:szCs w:val="24"/>
        </w:rPr>
        <w:t xml:space="preserve"> </w:t>
      </w:r>
      <w:r w:rsidRPr="009D7452" w:rsidR="00614A5E">
        <w:rPr>
          <w:szCs w:val="24"/>
        </w:rPr>
        <w:t>“spread transaction” definition and therefore w</w:t>
      </w:r>
      <w:r w:rsidR="00AC6784">
        <w:rPr>
          <w:szCs w:val="24"/>
        </w:rPr>
        <w:t>ill</w:t>
      </w:r>
      <w:r w:rsidRPr="009D7452" w:rsidR="00614A5E">
        <w:rPr>
          <w:szCs w:val="24"/>
        </w:rPr>
        <w:t xml:space="preserve"> be self-effectuating and </w:t>
      </w:r>
      <w:r w:rsidRPr="009D7452" w:rsidR="00AC6784">
        <w:rPr>
          <w:szCs w:val="24"/>
        </w:rPr>
        <w:t>w</w:t>
      </w:r>
      <w:r w:rsidR="00AC6784">
        <w:rPr>
          <w:szCs w:val="24"/>
        </w:rPr>
        <w:t>ill</w:t>
      </w:r>
      <w:r w:rsidRPr="009D7452" w:rsidR="00AC6784">
        <w:rPr>
          <w:szCs w:val="24"/>
        </w:rPr>
        <w:t xml:space="preserve"> </w:t>
      </w:r>
      <w:r w:rsidRPr="009D7452" w:rsidR="00614A5E">
        <w:rPr>
          <w:szCs w:val="24"/>
        </w:rPr>
        <w:t>not need approval for purposes of federal position limits.  In the event a trader submits such request under § 150.3</w:t>
      </w:r>
      <w:r w:rsidRPr="009D7452" w:rsidR="00F93D4B">
        <w:rPr>
          <w:szCs w:val="24"/>
        </w:rPr>
        <w:t>(b)</w:t>
      </w:r>
      <w:r w:rsidRPr="009D7452" w:rsidR="00614A5E">
        <w:rPr>
          <w:szCs w:val="24"/>
        </w:rPr>
        <w:t>, the Commission estimates that traders w</w:t>
      </w:r>
      <w:r w:rsidR="00AC6784">
        <w:rPr>
          <w:szCs w:val="24"/>
        </w:rPr>
        <w:t>ill</w:t>
      </w:r>
      <w:r w:rsidRPr="009D7452" w:rsidR="00614A5E">
        <w:rPr>
          <w:szCs w:val="24"/>
        </w:rPr>
        <w:t xml:space="preserve"> file one request per year for a total of one annual request for all respondents. </w:t>
      </w:r>
      <w:r w:rsidR="0050374E">
        <w:rPr>
          <w:szCs w:val="24"/>
        </w:rPr>
        <w:t xml:space="preserve"> </w:t>
      </w:r>
      <w:r w:rsidRPr="009D7452" w:rsidR="00614A5E">
        <w:rPr>
          <w:szCs w:val="24"/>
        </w:rPr>
        <w:t xml:space="preserve">The Commission further estimates that in such situation, it </w:t>
      </w:r>
      <w:r w:rsidRPr="009D7452" w:rsidR="00AC6784">
        <w:rPr>
          <w:szCs w:val="24"/>
        </w:rPr>
        <w:t>w</w:t>
      </w:r>
      <w:r w:rsidR="00AC6784">
        <w:rPr>
          <w:szCs w:val="24"/>
        </w:rPr>
        <w:t>ill</w:t>
      </w:r>
      <w:r w:rsidRPr="009D7452" w:rsidR="00AC6784">
        <w:rPr>
          <w:szCs w:val="24"/>
        </w:rPr>
        <w:t xml:space="preserve"> </w:t>
      </w:r>
      <w:r w:rsidRPr="009D7452" w:rsidR="00614A5E">
        <w:rPr>
          <w:szCs w:val="24"/>
        </w:rPr>
        <w:t>take 20 hours to complete and file each report, for a total of 20 aggregate annual burden hours for all traders.</w:t>
      </w:r>
      <w:r w:rsidRPr="009D7452" w:rsidR="00F93D4B">
        <w:rPr>
          <w:szCs w:val="24"/>
        </w:rPr>
        <w:t xml:space="preserve">  Assuming an estimated average burden hour cost of $9</w:t>
      </w:r>
      <w:r w:rsidR="00116F58">
        <w:rPr>
          <w:szCs w:val="24"/>
        </w:rPr>
        <w:t>7</w:t>
      </w:r>
      <w:r w:rsidRPr="009D7452" w:rsidR="00F93D4B">
        <w:rPr>
          <w:szCs w:val="24"/>
        </w:rPr>
        <w:t xml:space="preserve">, the total annual burden hour cost for </w:t>
      </w:r>
      <w:r w:rsidRPr="009D7452" w:rsidR="002E27BF">
        <w:rPr>
          <w:szCs w:val="24"/>
        </w:rPr>
        <w:t>the one</w:t>
      </w:r>
      <w:r w:rsidRPr="009D7452" w:rsidR="00F93D4B">
        <w:rPr>
          <w:szCs w:val="24"/>
        </w:rPr>
        <w:t xml:space="preserve"> res</w:t>
      </w:r>
      <w:r w:rsidRPr="009D7452" w:rsidR="002E27BF">
        <w:rPr>
          <w:szCs w:val="24"/>
        </w:rPr>
        <w:t>pondent</w:t>
      </w:r>
      <w:r w:rsidRPr="009D7452" w:rsidR="00F93D4B">
        <w:rPr>
          <w:szCs w:val="24"/>
        </w:rPr>
        <w:t xml:space="preserve"> is approximately $1</w:t>
      </w:r>
      <w:r w:rsidRPr="009D7452" w:rsidR="002E27BF">
        <w:rPr>
          <w:szCs w:val="24"/>
        </w:rPr>
        <w:t>,9</w:t>
      </w:r>
      <w:r w:rsidR="00116F58">
        <w:rPr>
          <w:szCs w:val="24"/>
        </w:rPr>
        <w:t>4</w:t>
      </w:r>
      <w:r w:rsidRPr="009D7452" w:rsidR="00F93D4B">
        <w:rPr>
          <w:szCs w:val="24"/>
        </w:rPr>
        <w:t>0.</w:t>
      </w:r>
    </w:p>
    <w:p w:rsidRPr="009D7452" w:rsidR="00614A5E" w:rsidP="00614A5E" w:rsidRDefault="00614A5E" w14:paraId="11F44E73" w14:textId="77777777">
      <w:pPr>
        <w:ind w:firstLine="720"/>
        <w:jc w:val="both"/>
        <w:rPr>
          <w:szCs w:val="24"/>
        </w:rPr>
      </w:pPr>
    </w:p>
    <w:p w:rsidRPr="00007547" w:rsidR="00DA11BB" w:rsidP="006A7CD7" w:rsidRDefault="00DA11BB" w14:paraId="647256B6" w14:textId="77777777">
      <w:pPr>
        <w:ind w:firstLine="720"/>
        <w:jc w:val="both"/>
        <w:rPr>
          <w:rFonts w:eastAsia="Times New Roman" w:cs="Times New Roman"/>
          <w:color w:val="000000"/>
          <w:szCs w:val="24"/>
        </w:rPr>
      </w:pPr>
      <w:r w:rsidRPr="009D7452">
        <w:rPr>
          <w:rFonts w:eastAsia="Calibri" w:cs="Times New Roman"/>
          <w:bCs/>
          <w:szCs w:val="24"/>
        </w:rPr>
        <w:t>The Commission estimates under § 150.5(a) that 425 traders w</w:t>
      </w:r>
      <w:r w:rsidR="00AC6784">
        <w:rPr>
          <w:rFonts w:eastAsia="Calibri" w:cs="Times New Roman"/>
          <w:bCs/>
          <w:szCs w:val="24"/>
        </w:rPr>
        <w:t>ill</w:t>
      </w:r>
      <w:r w:rsidRPr="009D7452">
        <w:rPr>
          <w:rFonts w:eastAsia="Calibri" w:cs="Times New Roman"/>
          <w:bCs/>
          <w:szCs w:val="24"/>
        </w:rPr>
        <w:t xml:space="preserve"> submit applications to claim spread exemptions and bona fide hedge recognitions from exchange-set position limits</w:t>
      </w:r>
      <w:r w:rsidRPr="009D7452">
        <w:rPr>
          <w:rFonts w:eastAsia="Calibri" w:cs="Times New Roman"/>
          <w:szCs w:val="24"/>
        </w:rPr>
        <w:t xml:space="preserve"> on </w:t>
      </w:r>
      <w:r w:rsidRPr="009D7452">
        <w:rPr>
          <w:rFonts w:eastAsia="Calibri" w:cs="Times New Roman"/>
          <w:szCs w:val="24"/>
        </w:rPr>
        <w:lastRenderedPageBreak/>
        <w:t>commodity derivatives contracts s</w:t>
      </w:r>
      <w:r w:rsidRPr="009D7452">
        <w:rPr>
          <w:rFonts w:eastAsia="Calibri" w:cs="Times New Roman"/>
          <w:bCs/>
          <w:szCs w:val="24"/>
        </w:rPr>
        <w:t>ubject to federal limits set forth in § 150.2.  The Commission estimates that each trader</w:t>
      </w:r>
      <w:r w:rsidRPr="00DA11BB">
        <w:rPr>
          <w:rFonts w:eastAsia="Calibri" w:cs="Times New Roman"/>
          <w:bCs/>
          <w:szCs w:val="24"/>
        </w:rPr>
        <w:t xml:space="preserve"> on average w</w:t>
      </w:r>
      <w:r w:rsidR="00AC6784">
        <w:rPr>
          <w:rFonts w:eastAsia="Calibri" w:cs="Times New Roman"/>
          <w:bCs/>
          <w:szCs w:val="24"/>
        </w:rPr>
        <w:t>ill</w:t>
      </w:r>
      <w:r w:rsidRPr="00DA11BB">
        <w:rPr>
          <w:rFonts w:eastAsia="Calibri" w:cs="Times New Roman"/>
          <w:bCs/>
          <w:szCs w:val="24"/>
        </w:rPr>
        <w:t xml:space="preserve"> submit </w:t>
      </w:r>
      <w:r w:rsidR="00937E5D">
        <w:rPr>
          <w:rFonts w:eastAsia="Calibri" w:cs="Times New Roman"/>
          <w:bCs/>
          <w:szCs w:val="24"/>
        </w:rPr>
        <w:t xml:space="preserve">five </w:t>
      </w:r>
      <w:r w:rsidRPr="00DA11BB">
        <w:rPr>
          <w:rFonts w:eastAsia="Calibri" w:cs="Times New Roman"/>
          <w:bCs/>
          <w:szCs w:val="24"/>
        </w:rPr>
        <w:t>application</w:t>
      </w:r>
      <w:r w:rsidR="00937E5D">
        <w:rPr>
          <w:rFonts w:eastAsia="Calibri" w:cs="Times New Roman"/>
          <w:bCs/>
          <w:szCs w:val="24"/>
        </w:rPr>
        <w:t>s</w:t>
      </w:r>
      <w:r w:rsidRPr="00DA11BB">
        <w:rPr>
          <w:rFonts w:eastAsia="Calibri" w:cs="Times New Roman"/>
          <w:bCs/>
          <w:szCs w:val="24"/>
        </w:rPr>
        <w:t xml:space="preserve"> to an exchange each year for a total of </w:t>
      </w:r>
      <w:r w:rsidR="00937E5D">
        <w:rPr>
          <w:rFonts w:eastAsia="Calibri" w:cs="Times New Roman"/>
          <w:bCs/>
          <w:szCs w:val="24"/>
        </w:rPr>
        <w:t>2,125</w:t>
      </w:r>
      <w:r w:rsidRPr="00DA11BB">
        <w:rPr>
          <w:rFonts w:eastAsia="Calibri" w:cs="Times New Roman"/>
          <w:bCs/>
          <w:szCs w:val="24"/>
        </w:rPr>
        <w:t xml:space="preserve"> applications for all respondents.  The Commission further estimates that it will take 2 hours to complete and file each application for a total of </w:t>
      </w:r>
      <w:r w:rsidR="00937E5D">
        <w:rPr>
          <w:rFonts w:eastAsia="Calibri" w:cs="Times New Roman"/>
          <w:bCs/>
          <w:szCs w:val="24"/>
        </w:rPr>
        <w:t>10</w:t>
      </w:r>
      <w:r w:rsidRPr="00DA11BB">
        <w:rPr>
          <w:rFonts w:eastAsia="Calibri" w:cs="Times New Roman"/>
          <w:bCs/>
          <w:szCs w:val="24"/>
        </w:rPr>
        <w:t xml:space="preserve"> annual burden hours for each trader and </w:t>
      </w:r>
      <w:r w:rsidR="00937E5D">
        <w:rPr>
          <w:rFonts w:eastAsia="Calibri" w:cs="Times New Roman"/>
          <w:bCs/>
          <w:szCs w:val="24"/>
        </w:rPr>
        <w:t>4,250</w:t>
      </w:r>
      <w:r w:rsidRPr="00DA11BB" w:rsidR="00937E5D">
        <w:rPr>
          <w:rFonts w:eastAsia="Calibri" w:cs="Times New Roman"/>
          <w:bCs/>
          <w:szCs w:val="24"/>
        </w:rPr>
        <w:t xml:space="preserve"> </w:t>
      </w:r>
      <w:r w:rsidRPr="00DA11BB">
        <w:rPr>
          <w:rFonts w:eastAsia="Calibri" w:cs="Times New Roman"/>
          <w:bCs/>
          <w:szCs w:val="24"/>
        </w:rPr>
        <w:t>aggregate burden hours for all traders.</w:t>
      </w:r>
      <w:r w:rsidR="00C56647">
        <w:rPr>
          <w:rFonts w:eastAsia="Calibri" w:cs="Times New Roman"/>
          <w:bCs/>
          <w:szCs w:val="24"/>
        </w:rPr>
        <w:t xml:space="preserve"> </w:t>
      </w:r>
      <w:r w:rsidRPr="00DA11BB">
        <w:rPr>
          <w:rFonts w:cs="Times New Roman"/>
          <w:bCs/>
          <w:szCs w:val="24"/>
        </w:rPr>
        <w:t xml:space="preserve"> </w:t>
      </w:r>
      <w:r w:rsidRPr="00596C6B" w:rsidR="00596C6B">
        <w:rPr>
          <w:rFonts w:eastAsia="Calibri" w:cs="Times New Roman"/>
          <w:bCs/>
          <w:szCs w:val="24"/>
        </w:rPr>
        <w:t>Assuming an estimated average burden hour cost of $</w:t>
      </w:r>
      <w:r w:rsidR="00596C6B">
        <w:rPr>
          <w:rFonts w:eastAsia="Calibri" w:cs="Times New Roman"/>
          <w:bCs/>
          <w:szCs w:val="24"/>
        </w:rPr>
        <w:t>9</w:t>
      </w:r>
      <w:r w:rsidR="00B261D9">
        <w:rPr>
          <w:rFonts w:eastAsia="Calibri" w:cs="Times New Roman"/>
          <w:bCs/>
          <w:szCs w:val="24"/>
        </w:rPr>
        <w:t>7</w:t>
      </w:r>
      <w:r w:rsidRPr="00596C6B" w:rsidR="00596C6B">
        <w:rPr>
          <w:rFonts w:eastAsia="Calibri" w:cs="Times New Roman"/>
          <w:bCs/>
          <w:szCs w:val="24"/>
        </w:rPr>
        <w:t xml:space="preserve">, the total annual burden hour cost for all </w:t>
      </w:r>
      <w:r w:rsidR="00596C6B">
        <w:rPr>
          <w:rFonts w:eastAsia="Calibri" w:cs="Times New Roman"/>
          <w:bCs/>
          <w:szCs w:val="24"/>
        </w:rPr>
        <w:t>425</w:t>
      </w:r>
      <w:r w:rsidRPr="00596C6B" w:rsidR="00596C6B">
        <w:rPr>
          <w:rFonts w:eastAsia="Calibri" w:cs="Times New Roman"/>
          <w:bCs/>
          <w:szCs w:val="24"/>
        </w:rPr>
        <w:t xml:space="preserve"> respondents is approximately $</w:t>
      </w:r>
      <w:r w:rsidR="00FC7F37">
        <w:rPr>
          <w:rFonts w:eastAsia="Calibri" w:cs="Times New Roman"/>
          <w:bCs/>
          <w:szCs w:val="24"/>
        </w:rPr>
        <w:t>412,250</w:t>
      </w:r>
      <w:r w:rsidR="00433E61">
        <w:rPr>
          <w:rFonts w:eastAsia="Calibri" w:cs="Times New Roman"/>
          <w:bCs/>
          <w:szCs w:val="24"/>
        </w:rPr>
        <w:t>.</w:t>
      </w:r>
    </w:p>
    <w:p w:rsidR="00007547" w:rsidP="006B3FDA" w:rsidRDefault="00007547" w14:paraId="11756228" w14:textId="77777777">
      <w:pPr>
        <w:pStyle w:val="ListParagraph"/>
        <w:ind w:left="1440"/>
        <w:jc w:val="both"/>
        <w:rPr>
          <w:rFonts w:eastAsia="Times New Roman" w:cs="Times New Roman"/>
          <w:color w:val="000000"/>
          <w:szCs w:val="24"/>
        </w:rPr>
      </w:pPr>
    </w:p>
    <w:p w:rsidR="00D30493" w:rsidP="00007547" w:rsidRDefault="006B3FDA" w14:paraId="5F434A6F" w14:textId="77777777">
      <w:pPr>
        <w:pStyle w:val="ListParagraph"/>
        <w:numPr>
          <w:ilvl w:val="1"/>
          <w:numId w:val="5"/>
        </w:numPr>
        <w:jc w:val="both"/>
        <w:rPr>
          <w:rFonts w:eastAsia="Times New Roman" w:cs="Times New Roman"/>
          <w:color w:val="000000"/>
          <w:szCs w:val="24"/>
        </w:rPr>
      </w:pPr>
      <w:r w:rsidRPr="006B3FDA">
        <w:rPr>
          <w:rFonts w:eastAsia="Times New Roman" w:cs="Times New Roman"/>
          <w:color w:val="000000"/>
          <w:szCs w:val="24"/>
          <w:u w:val="single"/>
        </w:rPr>
        <w:t>Exchange-Set Limits</w:t>
      </w:r>
    </w:p>
    <w:p w:rsidR="00D30493" w:rsidP="00D30493" w:rsidRDefault="00D30493" w14:paraId="338B5D1E" w14:textId="77777777">
      <w:pPr>
        <w:jc w:val="both"/>
        <w:rPr>
          <w:rFonts w:eastAsia="Times New Roman" w:cs="Times New Roman"/>
          <w:color w:val="000000"/>
          <w:szCs w:val="24"/>
        </w:rPr>
      </w:pPr>
    </w:p>
    <w:p w:rsidR="00DA11BB" w:rsidP="00DA11BB" w:rsidRDefault="001A51FD" w14:paraId="048004BF" w14:textId="77777777">
      <w:pPr>
        <w:ind w:firstLine="720"/>
        <w:jc w:val="both"/>
        <w:rPr>
          <w:rFonts w:eastAsia="Calibri" w:cs="Times New Roman"/>
          <w:bCs/>
          <w:szCs w:val="24"/>
        </w:rPr>
      </w:pPr>
      <w:r>
        <w:rPr>
          <w:rFonts w:eastAsia="Calibri" w:cs="Times New Roman"/>
          <w:bCs/>
          <w:szCs w:val="24"/>
        </w:rPr>
        <w:t>Regulation</w:t>
      </w:r>
      <w:r w:rsidRPr="00DA11BB" w:rsidR="00C53522">
        <w:rPr>
          <w:rFonts w:eastAsia="Calibri" w:cs="Times New Roman"/>
          <w:bCs/>
          <w:szCs w:val="24"/>
        </w:rPr>
        <w:t xml:space="preserve"> </w:t>
      </w:r>
      <w:r w:rsidRPr="00DA11BB" w:rsidR="00DA11BB">
        <w:rPr>
          <w:rFonts w:eastAsia="Calibri" w:cs="Times New Roman"/>
          <w:bCs/>
          <w:szCs w:val="24"/>
        </w:rPr>
        <w:t>§ 150.5(a)(4)  require</w:t>
      </w:r>
      <w:r w:rsidR="00C53522">
        <w:rPr>
          <w:rFonts w:eastAsia="Calibri" w:cs="Times New Roman"/>
          <w:bCs/>
          <w:szCs w:val="24"/>
        </w:rPr>
        <w:t>s</w:t>
      </w:r>
      <w:r w:rsidRPr="00DA11BB" w:rsidR="00DA11BB">
        <w:rPr>
          <w:rFonts w:eastAsia="Calibri" w:cs="Times New Roman"/>
          <w:bCs/>
          <w:szCs w:val="24"/>
        </w:rPr>
        <w:t xml:space="preserve"> each exchange to provide a monthly report </w:t>
      </w:r>
      <w:r w:rsidRPr="00DA11BB" w:rsidR="00DA11BB">
        <w:rPr>
          <w:rFonts w:eastAsia="Calibri" w:cs="Times New Roman"/>
          <w:szCs w:val="24"/>
        </w:rPr>
        <w:t>showing the disposition of any exemption application, including the recognition of any position as a bona fide hedge, the exemption of any spread transaction, the renewal, revocation, or modification of a previously granted recognition or exemption, or the rejection of any application.</w:t>
      </w:r>
      <w:r w:rsidRPr="00DA11BB" w:rsidR="00DA11BB">
        <w:rPr>
          <w:rFonts w:eastAsia="Calibri" w:cs="Times New Roman"/>
          <w:szCs w:val="24"/>
          <w:vertAlign w:val="superscript"/>
        </w:rPr>
        <w:footnoteReference w:id="15"/>
      </w:r>
      <w:r w:rsidR="00AE5A5B">
        <w:rPr>
          <w:rFonts w:eastAsia="Calibri" w:cs="Times New Roman"/>
          <w:szCs w:val="24"/>
        </w:rPr>
        <w:t xml:space="preserve">  </w:t>
      </w:r>
      <w:r w:rsidRPr="00DA11BB" w:rsidR="00DA11BB">
        <w:rPr>
          <w:rFonts w:eastAsia="Calibri" w:cs="Times New Roman"/>
          <w:bCs/>
          <w:szCs w:val="24"/>
        </w:rPr>
        <w:t xml:space="preserve">The Commission estimates under § 150.5(a)(4) that six exchanges </w:t>
      </w:r>
      <w:r w:rsidRPr="00DA11BB" w:rsidR="005D3B59">
        <w:rPr>
          <w:rFonts w:eastAsia="Calibri" w:cs="Times New Roman"/>
          <w:bCs/>
          <w:szCs w:val="24"/>
        </w:rPr>
        <w:t>w</w:t>
      </w:r>
      <w:r w:rsidR="005D3B59">
        <w:rPr>
          <w:rFonts w:eastAsia="Calibri" w:cs="Times New Roman"/>
          <w:bCs/>
          <w:szCs w:val="24"/>
        </w:rPr>
        <w:t>ill</w:t>
      </w:r>
      <w:r w:rsidRPr="00DA11BB" w:rsidR="005D3B59">
        <w:rPr>
          <w:rFonts w:eastAsia="Calibri" w:cs="Times New Roman"/>
          <w:bCs/>
          <w:szCs w:val="24"/>
        </w:rPr>
        <w:t xml:space="preserve"> </w:t>
      </w:r>
      <w:r w:rsidRPr="00DA11BB" w:rsidR="00DA11BB">
        <w:rPr>
          <w:rFonts w:eastAsia="Calibri" w:cs="Times New Roman"/>
          <w:bCs/>
          <w:szCs w:val="24"/>
        </w:rPr>
        <w:t>provide monthly reports for a total of 72 monthly reports for all exchanges.</w:t>
      </w:r>
      <w:r w:rsidRPr="00DA11BB" w:rsidR="00DA11BB">
        <w:rPr>
          <w:rFonts w:eastAsia="Calibri" w:cs="Times New Roman"/>
          <w:bCs/>
          <w:szCs w:val="24"/>
          <w:vertAlign w:val="superscript"/>
        </w:rPr>
        <w:footnoteReference w:id="16"/>
      </w:r>
      <w:r w:rsidRPr="00DA11BB" w:rsidR="00DA11BB">
        <w:rPr>
          <w:rFonts w:eastAsia="Calibri" w:cs="Times New Roman"/>
          <w:bCs/>
          <w:szCs w:val="24"/>
        </w:rPr>
        <w:t xml:space="preserve">  The Commission further estimates that it will take </w:t>
      </w:r>
      <w:r w:rsidR="00E93879">
        <w:rPr>
          <w:rFonts w:eastAsia="Calibri" w:cs="Times New Roman"/>
          <w:bCs/>
          <w:szCs w:val="24"/>
        </w:rPr>
        <w:t xml:space="preserve">approximately </w:t>
      </w:r>
      <w:r w:rsidRPr="00DA11BB" w:rsidR="00DA11BB">
        <w:rPr>
          <w:rFonts w:eastAsia="Calibri" w:cs="Times New Roman"/>
          <w:bCs/>
          <w:szCs w:val="24"/>
        </w:rPr>
        <w:t>5 hours to complete and file each monthly report for a total of 60 annual burden hours for each exchange and 360 annual burden hours for all exchanges.</w:t>
      </w:r>
      <w:r w:rsidRPr="00DA11BB" w:rsidR="00DA11BB">
        <w:rPr>
          <w:rFonts w:eastAsia="Calibri" w:cs="Times New Roman"/>
          <w:bCs/>
          <w:szCs w:val="24"/>
          <w:vertAlign w:val="superscript"/>
        </w:rPr>
        <w:footnoteReference w:id="17"/>
      </w:r>
      <w:r w:rsidR="00596C6B">
        <w:rPr>
          <w:rFonts w:eastAsia="Calibri" w:cs="Times New Roman"/>
          <w:bCs/>
          <w:szCs w:val="24"/>
        </w:rPr>
        <w:t xml:space="preserve">  </w:t>
      </w:r>
      <w:r w:rsidRPr="00596C6B" w:rsidR="00596C6B">
        <w:rPr>
          <w:rFonts w:eastAsia="Calibri" w:cs="Times New Roman"/>
          <w:bCs/>
          <w:szCs w:val="24"/>
        </w:rPr>
        <w:t>Assuming an estimated average burden hour cost of $</w:t>
      </w:r>
      <w:r w:rsidR="00596C6B">
        <w:rPr>
          <w:rFonts w:eastAsia="Calibri" w:cs="Times New Roman"/>
          <w:bCs/>
          <w:szCs w:val="24"/>
        </w:rPr>
        <w:t>9</w:t>
      </w:r>
      <w:r w:rsidR="00B261D9">
        <w:rPr>
          <w:rFonts w:eastAsia="Calibri" w:cs="Times New Roman"/>
          <w:bCs/>
          <w:szCs w:val="24"/>
        </w:rPr>
        <w:t>7</w:t>
      </w:r>
      <w:r w:rsidRPr="00596C6B" w:rsidR="00596C6B">
        <w:rPr>
          <w:rFonts w:eastAsia="Calibri" w:cs="Times New Roman"/>
          <w:bCs/>
          <w:szCs w:val="24"/>
        </w:rPr>
        <w:t>, the total annual burden hour cost for all 6 respondents is approximately $</w:t>
      </w:r>
      <w:r w:rsidR="00596C6B">
        <w:rPr>
          <w:rFonts w:eastAsia="Calibri" w:cs="Times New Roman"/>
          <w:bCs/>
          <w:szCs w:val="24"/>
        </w:rPr>
        <w:t>34,</w:t>
      </w:r>
      <w:r w:rsidR="00B261D9">
        <w:rPr>
          <w:rFonts w:eastAsia="Calibri" w:cs="Times New Roman"/>
          <w:bCs/>
          <w:szCs w:val="24"/>
        </w:rPr>
        <w:t>920</w:t>
      </w:r>
      <w:r w:rsidRPr="00596C6B" w:rsidR="00596C6B">
        <w:rPr>
          <w:rFonts w:eastAsia="Calibri" w:cs="Times New Roman"/>
          <w:bCs/>
          <w:szCs w:val="24"/>
        </w:rPr>
        <w:t>.</w:t>
      </w:r>
    </w:p>
    <w:p w:rsidR="000C6972" w:rsidP="00DA11BB" w:rsidRDefault="000C6972" w14:paraId="3E42B362" w14:textId="77777777">
      <w:pPr>
        <w:ind w:firstLine="720"/>
        <w:jc w:val="both"/>
        <w:rPr>
          <w:rFonts w:eastAsia="Calibri" w:cs="Times New Roman"/>
          <w:bCs/>
          <w:szCs w:val="24"/>
        </w:rPr>
      </w:pPr>
    </w:p>
    <w:p w:rsidR="000C6972" w:rsidP="00603732" w:rsidRDefault="000C6972" w14:paraId="1FE87F96" w14:textId="77777777">
      <w:pPr>
        <w:ind w:firstLine="720"/>
        <w:jc w:val="both"/>
        <w:rPr>
          <w:rFonts w:eastAsia="Calibri" w:cs="Times New Roman"/>
          <w:bCs/>
          <w:szCs w:val="24"/>
        </w:rPr>
      </w:pPr>
      <w:r w:rsidRPr="000C6972">
        <w:rPr>
          <w:rFonts w:eastAsia="Calibri" w:cs="Times New Roman"/>
          <w:szCs w:val="24"/>
        </w:rPr>
        <w:t xml:space="preserve">Under § 150.5(b)(3), where multiple exchanges list contracts that are substantially the same, including physically-settled contracts that have the same underlying commodity and delivery location, or cash-settled contracts that are directly or indirectly linked to a physically-settled contract, the exchange must either adopt “comparable” limits for such contracts, or demonstrate to the Commission how the non-comparable levels comply with the standards set forth in § 150.5(b)(1) and (2).  </w:t>
      </w:r>
      <w:r w:rsidRPr="000C6972">
        <w:rPr>
          <w:rFonts w:eastAsia="Calibri" w:cs="Times New Roman"/>
          <w:bCs/>
          <w:szCs w:val="24"/>
        </w:rPr>
        <w:t>The Commission estimates that under § 150.5(b)(3), six exchanges w</w:t>
      </w:r>
      <w:r w:rsidR="00176E7E">
        <w:rPr>
          <w:rFonts w:eastAsia="Calibri" w:cs="Times New Roman"/>
          <w:bCs/>
          <w:szCs w:val="24"/>
        </w:rPr>
        <w:t>ill</w:t>
      </w:r>
      <w:r w:rsidRPr="000C6972">
        <w:rPr>
          <w:rFonts w:eastAsia="Calibri" w:cs="Times New Roman"/>
          <w:bCs/>
          <w:szCs w:val="24"/>
        </w:rPr>
        <w:t xml:space="preserve"> make submissions</w:t>
      </w:r>
      <w:r w:rsidRPr="000C6972">
        <w:rPr>
          <w:rFonts w:eastAsia="Calibri" w:cs="Times New Roman"/>
          <w:szCs w:val="24"/>
        </w:rPr>
        <w:t xml:space="preserve"> to </w:t>
      </w:r>
      <w:r w:rsidRPr="000C6972">
        <w:rPr>
          <w:rFonts w:eastAsia="Calibri" w:cs="Times New Roman"/>
          <w:bCs/>
          <w:szCs w:val="24"/>
        </w:rPr>
        <w:t>demonstrate to the Commission how the non-comparable levels comply with the standards set forth in § 150.5(b)(1) and (2).  The Commission estimates that each exchange on average w</w:t>
      </w:r>
      <w:r w:rsidR="00657776">
        <w:rPr>
          <w:rFonts w:eastAsia="Calibri" w:cs="Times New Roman"/>
          <w:bCs/>
          <w:szCs w:val="24"/>
        </w:rPr>
        <w:t>ill</w:t>
      </w:r>
      <w:r w:rsidRPr="000C6972">
        <w:rPr>
          <w:rFonts w:eastAsia="Calibri" w:cs="Times New Roman"/>
          <w:bCs/>
          <w:szCs w:val="24"/>
        </w:rPr>
        <w:t xml:space="preserve"> make 3 submissions each year for a total of 18 submissions for all exchanges.  The Commission further estimates that it will take </w:t>
      </w:r>
      <w:r w:rsidRPr="000C6972">
        <w:rPr>
          <w:rFonts w:eastAsia="Calibri" w:cs="Times New Roman"/>
          <w:szCs w:val="24"/>
        </w:rPr>
        <w:t>1</w:t>
      </w:r>
      <w:r w:rsidRPr="000C6972">
        <w:rPr>
          <w:rFonts w:eastAsia="Calibri" w:cs="Times New Roman"/>
          <w:bCs/>
          <w:szCs w:val="24"/>
        </w:rPr>
        <w:t xml:space="preserve">0 hours to complete and file each submission for a </w:t>
      </w:r>
      <w:r w:rsidRPr="000C6972">
        <w:rPr>
          <w:rFonts w:eastAsia="Calibri" w:cs="Times New Roman"/>
          <w:bCs/>
          <w:szCs w:val="24"/>
        </w:rPr>
        <w:lastRenderedPageBreak/>
        <w:t xml:space="preserve">total of </w:t>
      </w:r>
      <w:r w:rsidR="00630065">
        <w:rPr>
          <w:rFonts w:eastAsia="Calibri" w:cs="Times New Roman"/>
          <w:bCs/>
          <w:szCs w:val="24"/>
        </w:rPr>
        <w:t>30</w:t>
      </w:r>
      <w:r w:rsidRPr="000C6972">
        <w:rPr>
          <w:rFonts w:eastAsia="Calibri" w:cs="Times New Roman"/>
          <w:bCs/>
          <w:szCs w:val="24"/>
        </w:rPr>
        <w:t xml:space="preserve"> annual burden hours for each exchange and 180 burden hours for all exchanges.</w:t>
      </w:r>
      <w:r w:rsidRPr="000C6972">
        <w:rPr>
          <w:rFonts w:eastAsia="Calibri" w:cs="Times New Roman"/>
          <w:bCs/>
          <w:szCs w:val="24"/>
          <w:vertAlign w:val="superscript"/>
        </w:rPr>
        <w:footnoteReference w:id="18"/>
      </w:r>
      <w:r w:rsidRPr="000C6972">
        <w:rPr>
          <w:rFonts w:eastAsia="Calibri" w:cs="Times New Roman"/>
          <w:bCs/>
          <w:szCs w:val="24"/>
        </w:rPr>
        <w:t xml:space="preserve"> </w:t>
      </w:r>
      <w:r w:rsidR="00B94B14">
        <w:rPr>
          <w:rFonts w:eastAsia="Calibri" w:cs="Times New Roman"/>
          <w:bCs/>
          <w:szCs w:val="24"/>
        </w:rPr>
        <w:t xml:space="preserve"> </w:t>
      </w:r>
      <w:r w:rsidRPr="00596C6B" w:rsidR="00EF119A">
        <w:rPr>
          <w:rFonts w:eastAsia="Calibri" w:cs="Times New Roman"/>
          <w:bCs/>
          <w:szCs w:val="24"/>
        </w:rPr>
        <w:t>Assuming an estimated average burden hour cost of $</w:t>
      </w:r>
      <w:r w:rsidR="00EF119A">
        <w:rPr>
          <w:rFonts w:eastAsia="Calibri" w:cs="Times New Roman"/>
          <w:bCs/>
          <w:szCs w:val="24"/>
        </w:rPr>
        <w:t>9</w:t>
      </w:r>
      <w:r w:rsidR="00B261D9">
        <w:rPr>
          <w:rFonts w:eastAsia="Calibri" w:cs="Times New Roman"/>
          <w:bCs/>
          <w:szCs w:val="24"/>
        </w:rPr>
        <w:t>7</w:t>
      </w:r>
      <w:r w:rsidRPr="00596C6B" w:rsidR="00EF119A">
        <w:rPr>
          <w:rFonts w:eastAsia="Calibri" w:cs="Times New Roman"/>
          <w:bCs/>
          <w:szCs w:val="24"/>
        </w:rPr>
        <w:t>, the total annual burden hour cost for all 6 respondents is approximately $</w:t>
      </w:r>
      <w:r w:rsidR="00EF119A">
        <w:rPr>
          <w:rFonts w:eastAsia="Calibri" w:cs="Times New Roman"/>
          <w:bCs/>
          <w:szCs w:val="24"/>
        </w:rPr>
        <w:t>17,</w:t>
      </w:r>
      <w:r w:rsidR="00B261D9">
        <w:rPr>
          <w:rFonts w:eastAsia="Calibri" w:cs="Times New Roman"/>
          <w:bCs/>
          <w:szCs w:val="24"/>
        </w:rPr>
        <w:t>460</w:t>
      </w:r>
      <w:r w:rsidRPr="00596C6B" w:rsidR="00EF119A">
        <w:rPr>
          <w:rFonts w:eastAsia="Calibri" w:cs="Times New Roman"/>
          <w:bCs/>
          <w:szCs w:val="24"/>
        </w:rPr>
        <w:t>.</w:t>
      </w:r>
    </w:p>
    <w:p w:rsidRPr="000C6972" w:rsidR="000C6972" w:rsidP="000C6972" w:rsidRDefault="000C6972" w14:paraId="35734DD2" w14:textId="77777777">
      <w:pPr>
        <w:autoSpaceDE w:val="0"/>
        <w:autoSpaceDN w:val="0"/>
        <w:adjustRightInd w:val="0"/>
        <w:ind w:firstLine="720"/>
        <w:rPr>
          <w:rFonts w:eastAsia="Calibri" w:cs="Times New Roman"/>
          <w:bCs/>
          <w:szCs w:val="24"/>
        </w:rPr>
      </w:pPr>
    </w:p>
    <w:p w:rsidR="00C51238" w:rsidP="000C6972" w:rsidRDefault="00176E7E" w14:paraId="237D5133" w14:textId="77777777">
      <w:pPr>
        <w:ind w:firstLine="720"/>
        <w:jc w:val="both"/>
        <w:rPr>
          <w:rFonts w:eastAsia="Calibri" w:cs="Times New Roman"/>
          <w:bCs/>
          <w:szCs w:val="24"/>
        </w:rPr>
      </w:pPr>
      <w:r>
        <w:rPr>
          <w:rFonts w:eastAsia="Calibri" w:cs="Times New Roman"/>
          <w:szCs w:val="24"/>
        </w:rPr>
        <w:t>Regulation</w:t>
      </w:r>
      <w:r w:rsidRPr="000C6972" w:rsidR="000C6972">
        <w:rPr>
          <w:rFonts w:eastAsia="Calibri" w:cs="Times New Roman"/>
          <w:szCs w:val="24"/>
        </w:rPr>
        <w:t xml:space="preserve"> 150.5(b)(4) permit</w:t>
      </w:r>
      <w:r>
        <w:rPr>
          <w:rFonts w:eastAsia="Calibri" w:cs="Times New Roman"/>
          <w:szCs w:val="24"/>
        </w:rPr>
        <w:t>s</w:t>
      </w:r>
      <w:r w:rsidRPr="000C6972" w:rsidR="000C6972">
        <w:rPr>
          <w:rFonts w:eastAsia="Calibri" w:cs="Times New Roman"/>
          <w:szCs w:val="24"/>
        </w:rPr>
        <w:t xml:space="preserve"> exchanges to grant exemptions from any exchange limit established for physical commodity contracts not subject to federal limits.  To grant such exemptions, exchanges must require traders to file an application to show whether the requested exemption from exchange-set limits would be in accord with sound commercial practices in the relevant commodity derivative market and/or that may be established and liquidated in an orderly fashion in that market.</w:t>
      </w:r>
      <w:r w:rsidRPr="000C6972" w:rsidR="000C6972">
        <w:rPr>
          <w:rFonts w:eastAsia="Calibri" w:cs="Times New Roman"/>
          <w:bCs/>
          <w:szCs w:val="24"/>
        </w:rPr>
        <w:t xml:space="preserve"> </w:t>
      </w:r>
      <w:r w:rsidR="00676042">
        <w:rPr>
          <w:rFonts w:eastAsia="Calibri" w:cs="Times New Roman"/>
          <w:bCs/>
          <w:szCs w:val="24"/>
        </w:rPr>
        <w:t xml:space="preserve"> </w:t>
      </w:r>
      <w:r w:rsidRPr="000C6972" w:rsidR="000C6972">
        <w:rPr>
          <w:rFonts w:eastAsia="Calibri" w:cs="Times New Roman"/>
          <w:bCs/>
          <w:szCs w:val="24"/>
        </w:rPr>
        <w:t xml:space="preserve">The Commission estimates that 200 traders </w:t>
      </w:r>
      <w:r w:rsidRPr="000C6972">
        <w:rPr>
          <w:rFonts w:eastAsia="Calibri" w:cs="Times New Roman"/>
          <w:bCs/>
          <w:szCs w:val="24"/>
        </w:rPr>
        <w:t>w</w:t>
      </w:r>
      <w:r>
        <w:rPr>
          <w:rFonts w:eastAsia="Calibri" w:cs="Times New Roman"/>
          <w:bCs/>
          <w:szCs w:val="24"/>
        </w:rPr>
        <w:t>ill</w:t>
      </w:r>
      <w:r w:rsidRPr="000C6972">
        <w:rPr>
          <w:rFonts w:eastAsia="Calibri" w:cs="Times New Roman"/>
          <w:bCs/>
          <w:szCs w:val="24"/>
        </w:rPr>
        <w:t xml:space="preserve"> </w:t>
      </w:r>
      <w:r w:rsidRPr="000C6972" w:rsidR="000C6972">
        <w:rPr>
          <w:rFonts w:eastAsia="Calibri" w:cs="Times New Roman"/>
          <w:bCs/>
          <w:szCs w:val="24"/>
        </w:rPr>
        <w:t>submit one application each year and that each application w</w:t>
      </w:r>
      <w:r>
        <w:rPr>
          <w:rFonts w:eastAsia="Calibri" w:cs="Times New Roman"/>
          <w:bCs/>
          <w:szCs w:val="24"/>
        </w:rPr>
        <w:t>ill</w:t>
      </w:r>
      <w:r w:rsidRPr="000C6972" w:rsidR="000C6972">
        <w:rPr>
          <w:rFonts w:eastAsia="Calibri" w:cs="Times New Roman"/>
          <w:bCs/>
          <w:szCs w:val="24"/>
        </w:rPr>
        <w:t xml:space="preserve"> take approximately two hours to complete, for an aggregate total of 400 burden hours per year for all traders.</w:t>
      </w:r>
      <w:r w:rsidR="00EF119A">
        <w:rPr>
          <w:rFonts w:eastAsia="Calibri" w:cs="Times New Roman"/>
          <w:bCs/>
          <w:szCs w:val="24"/>
        </w:rPr>
        <w:t xml:space="preserve">  </w:t>
      </w:r>
      <w:r w:rsidRPr="00596C6B" w:rsidR="00EF119A">
        <w:rPr>
          <w:rFonts w:eastAsia="Calibri" w:cs="Times New Roman"/>
          <w:bCs/>
          <w:szCs w:val="24"/>
        </w:rPr>
        <w:t>Assuming an estimated average burden hour cost of $</w:t>
      </w:r>
      <w:r w:rsidR="00EF119A">
        <w:rPr>
          <w:rFonts w:eastAsia="Calibri" w:cs="Times New Roman"/>
          <w:bCs/>
          <w:szCs w:val="24"/>
        </w:rPr>
        <w:t>9</w:t>
      </w:r>
      <w:r w:rsidR="00B261D9">
        <w:rPr>
          <w:rFonts w:eastAsia="Calibri" w:cs="Times New Roman"/>
          <w:bCs/>
          <w:szCs w:val="24"/>
        </w:rPr>
        <w:t>7</w:t>
      </w:r>
      <w:r w:rsidRPr="00596C6B" w:rsidR="00EF119A">
        <w:rPr>
          <w:rFonts w:eastAsia="Calibri" w:cs="Times New Roman"/>
          <w:bCs/>
          <w:szCs w:val="24"/>
        </w:rPr>
        <w:t>, the total a</w:t>
      </w:r>
      <w:r w:rsidR="00EF119A">
        <w:rPr>
          <w:rFonts w:eastAsia="Calibri" w:cs="Times New Roman"/>
          <w:bCs/>
          <w:szCs w:val="24"/>
        </w:rPr>
        <w:t>nnual burden hour cost for all 200</w:t>
      </w:r>
      <w:r w:rsidRPr="00596C6B" w:rsidR="00EF119A">
        <w:rPr>
          <w:rFonts w:eastAsia="Calibri" w:cs="Times New Roman"/>
          <w:bCs/>
          <w:szCs w:val="24"/>
        </w:rPr>
        <w:t xml:space="preserve"> respondents is approximately $</w:t>
      </w:r>
      <w:r w:rsidR="00EF119A">
        <w:rPr>
          <w:rFonts w:eastAsia="Calibri" w:cs="Times New Roman"/>
          <w:bCs/>
          <w:szCs w:val="24"/>
        </w:rPr>
        <w:t>38,</w:t>
      </w:r>
      <w:r w:rsidR="00B261D9">
        <w:rPr>
          <w:rFonts w:eastAsia="Calibri" w:cs="Times New Roman"/>
          <w:bCs/>
          <w:szCs w:val="24"/>
        </w:rPr>
        <w:t>8</w:t>
      </w:r>
      <w:r w:rsidR="00CA74DA">
        <w:rPr>
          <w:rFonts w:eastAsia="Calibri" w:cs="Times New Roman"/>
          <w:bCs/>
          <w:szCs w:val="24"/>
        </w:rPr>
        <w:t>00</w:t>
      </w:r>
      <w:r w:rsidRPr="00596C6B" w:rsidR="00EF119A">
        <w:rPr>
          <w:rFonts w:eastAsia="Calibri" w:cs="Times New Roman"/>
          <w:bCs/>
          <w:szCs w:val="24"/>
        </w:rPr>
        <w:t>.</w:t>
      </w:r>
    </w:p>
    <w:p w:rsidR="00D30493" w:rsidP="00D30493" w:rsidRDefault="00D30493" w14:paraId="19A0D830" w14:textId="77777777">
      <w:pPr>
        <w:ind w:firstLine="720"/>
        <w:jc w:val="both"/>
        <w:rPr>
          <w:rFonts w:eastAsia="Times New Roman" w:cs="Times New Roman"/>
          <w:color w:val="000000"/>
          <w:szCs w:val="24"/>
        </w:rPr>
      </w:pPr>
    </w:p>
    <w:p w:rsidR="00D30493" w:rsidP="00D30493" w:rsidRDefault="006B3FDA" w14:paraId="4A9267ED" w14:textId="77777777">
      <w:pPr>
        <w:pStyle w:val="ListParagraph"/>
        <w:numPr>
          <w:ilvl w:val="1"/>
          <w:numId w:val="5"/>
        </w:numPr>
        <w:jc w:val="both"/>
        <w:rPr>
          <w:rFonts w:eastAsia="Times New Roman" w:cs="Times New Roman"/>
          <w:color w:val="000000"/>
          <w:szCs w:val="24"/>
        </w:rPr>
      </w:pPr>
      <w:r w:rsidRPr="00D30493">
        <w:rPr>
          <w:rFonts w:eastAsia="Times New Roman" w:cs="Times New Roman"/>
          <w:color w:val="000000"/>
          <w:szCs w:val="24"/>
          <w:u w:val="single"/>
        </w:rPr>
        <w:t>DCM Submission of Estimates of Deliverable Supply</w:t>
      </w:r>
      <w:r w:rsidRPr="00D30493">
        <w:rPr>
          <w:rFonts w:eastAsia="Times New Roman" w:cs="Times New Roman"/>
          <w:color w:val="000000"/>
          <w:szCs w:val="24"/>
        </w:rPr>
        <w:t xml:space="preserve"> </w:t>
      </w:r>
      <w:r w:rsidRPr="00D30493" w:rsidR="00007547">
        <w:rPr>
          <w:rFonts w:eastAsia="Times New Roman" w:cs="Times New Roman"/>
          <w:color w:val="000000"/>
          <w:szCs w:val="24"/>
        </w:rPr>
        <w:t xml:space="preserve"> </w:t>
      </w:r>
    </w:p>
    <w:p w:rsidR="00D30493" w:rsidP="00D30493" w:rsidRDefault="00D30493" w14:paraId="6DA9DBAB" w14:textId="77777777">
      <w:pPr>
        <w:pStyle w:val="ListParagraph"/>
        <w:ind w:left="1440"/>
        <w:jc w:val="both"/>
        <w:rPr>
          <w:rFonts w:eastAsia="Times New Roman" w:cs="Times New Roman"/>
          <w:color w:val="000000"/>
          <w:szCs w:val="24"/>
        </w:rPr>
      </w:pPr>
    </w:p>
    <w:p w:rsidR="00D30493" w:rsidP="005B192E" w:rsidRDefault="00007547" w14:paraId="285D1088" w14:textId="1F3C2900">
      <w:pPr>
        <w:pStyle w:val="ListParagraph"/>
        <w:ind w:left="0" w:firstLine="720"/>
        <w:jc w:val="both"/>
        <w:rPr>
          <w:rFonts w:eastAsia="Times New Roman" w:cs="Times New Roman"/>
          <w:color w:val="000000"/>
          <w:szCs w:val="24"/>
        </w:rPr>
      </w:pPr>
      <w:r w:rsidRPr="00D30493">
        <w:rPr>
          <w:rFonts w:eastAsia="Times New Roman" w:cs="Times New Roman"/>
          <w:color w:val="000000"/>
          <w:szCs w:val="24"/>
        </w:rPr>
        <w:t xml:space="preserve">Under § 150.2(f), upon request from the Commission, DCMs listing a core referenced futures contract </w:t>
      </w:r>
      <w:r w:rsidR="00176E7E">
        <w:rPr>
          <w:rFonts w:eastAsia="Times New Roman" w:cs="Times New Roman"/>
          <w:color w:val="000000"/>
          <w:szCs w:val="24"/>
        </w:rPr>
        <w:t>are</w:t>
      </w:r>
      <w:r w:rsidRPr="00D30493">
        <w:rPr>
          <w:rFonts w:eastAsia="Times New Roman" w:cs="Times New Roman"/>
          <w:color w:val="000000"/>
          <w:szCs w:val="24"/>
        </w:rPr>
        <w:t xml:space="preserve"> required to supply to the Commission deliverable supply estimates for each core referenced futures contract listed at that DCM. </w:t>
      </w:r>
      <w:r w:rsidR="00176E7E">
        <w:rPr>
          <w:rFonts w:eastAsia="Times New Roman" w:cs="Times New Roman"/>
          <w:color w:val="000000"/>
          <w:szCs w:val="24"/>
        </w:rPr>
        <w:t xml:space="preserve"> </w:t>
      </w:r>
      <w:r w:rsidRPr="00D30493">
        <w:rPr>
          <w:rFonts w:eastAsia="Times New Roman" w:cs="Times New Roman"/>
          <w:color w:val="000000"/>
          <w:szCs w:val="24"/>
        </w:rPr>
        <w:t>DCMs w</w:t>
      </w:r>
      <w:r w:rsidR="00176E7E">
        <w:rPr>
          <w:rFonts w:eastAsia="Times New Roman" w:cs="Times New Roman"/>
          <w:color w:val="000000"/>
          <w:szCs w:val="24"/>
        </w:rPr>
        <w:t>ill</w:t>
      </w:r>
      <w:r w:rsidRPr="00D30493">
        <w:rPr>
          <w:rFonts w:eastAsia="Times New Roman" w:cs="Times New Roman"/>
          <w:color w:val="000000"/>
          <w:szCs w:val="24"/>
        </w:rPr>
        <w:t xml:space="preserve"> only be required to submit estimates if requested to do so by the Commission on an as-needed basis. </w:t>
      </w:r>
      <w:r w:rsidR="00470AE5">
        <w:rPr>
          <w:rFonts w:eastAsia="Times New Roman" w:cs="Times New Roman"/>
          <w:color w:val="000000"/>
          <w:szCs w:val="24"/>
        </w:rPr>
        <w:t xml:space="preserve"> </w:t>
      </w:r>
      <w:r w:rsidRPr="00D30493">
        <w:rPr>
          <w:rFonts w:eastAsia="Times New Roman" w:cs="Times New Roman"/>
          <w:color w:val="000000"/>
          <w:szCs w:val="24"/>
        </w:rPr>
        <w:t xml:space="preserve">When submitting </w:t>
      </w:r>
      <w:r w:rsidR="00D5403A">
        <w:rPr>
          <w:rFonts w:eastAsia="Times New Roman" w:cs="Times New Roman"/>
          <w:color w:val="000000"/>
          <w:szCs w:val="24"/>
        </w:rPr>
        <w:t xml:space="preserve">deliverable supply </w:t>
      </w:r>
      <w:r w:rsidRPr="00D30493">
        <w:rPr>
          <w:rFonts w:eastAsia="Times New Roman" w:cs="Times New Roman"/>
          <w:color w:val="000000"/>
          <w:szCs w:val="24"/>
        </w:rPr>
        <w:t>estimates, DCMs w</w:t>
      </w:r>
      <w:r w:rsidR="00176E7E">
        <w:rPr>
          <w:rFonts w:eastAsia="Times New Roman" w:cs="Times New Roman"/>
          <w:color w:val="000000"/>
          <w:szCs w:val="24"/>
        </w:rPr>
        <w:t>ill</w:t>
      </w:r>
      <w:r w:rsidRPr="00D30493">
        <w:rPr>
          <w:rFonts w:eastAsia="Times New Roman" w:cs="Times New Roman"/>
          <w:color w:val="000000"/>
          <w:szCs w:val="24"/>
        </w:rPr>
        <w:t xml:space="preserve"> be required to provide a description of the methodology used to derive the estimate, as well as any statistical data supporting the estimate. Appendix C to part 38 sets forth guidance regarding estimating deliverable supply.</w:t>
      </w:r>
    </w:p>
    <w:p w:rsidR="00D30493" w:rsidP="00D30493" w:rsidRDefault="00D30493" w14:paraId="154FE9FB" w14:textId="77777777">
      <w:pPr>
        <w:pStyle w:val="ListParagraph"/>
        <w:ind w:left="0" w:firstLine="720"/>
        <w:jc w:val="both"/>
        <w:rPr>
          <w:rFonts w:eastAsia="Times New Roman" w:cs="Times New Roman"/>
          <w:color w:val="000000"/>
          <w:szCs w:val="24"/>
        </w:rPr>
      </w:pPr>
    </w:p>
    <w:p w:rsidR="006B3FDA" w:rsidP="00127C62" w:rsidRDefault="00007547" w14:paraId="35CFFAFB" w14:textId="26757754">
      <w:pPr>
        <w:pStyle w:val="ListParagraph"/>
        <w:ind w:left="0" w:firstLine="720"/>
        <w:jc w:val="both"/>
        <w:rPr>
          <w:rFonts w:eastAsia="Calibri" w:cs="Times New Roman"/>
          <w:bCs/>
          <w:szCs w:val="24"/>
        </w:rPr>
      </w:pPr>
      <w:r w:rsidRPr="00D30493">
        <w:rPr>
          <w:rFonts w:eastAsia="Times New Roman" w:cs="Times New Roman"/>
          <w:color w:val="000000"/>
          <w:szCs w:val="24"/>
        </w:rPr>
        <w:t>Submitting deliverable supply estimates upon demand from the Commission for contracts subject to federal limits w</w:t>
      </w:r>
      <w:r w:rsidR="004105BE">
        <w:rPr>
          <w:rFonts w:eastAsia="Times New Roman" w:cs="Times New Roman"/>
          <w:color w:val="000000"/>
          <w:szCs w:val="24"/>
        </w:rPr>
        <w:t>ill</w:t>
      </w:r>
      <w:r w:rsidRPr="00D30493">
        <w:rPr>
          <w:rFonts w:eastAsia="Times New Roman" w:cs="Times New Roman"/>
          <w:color w:val="000000"/>
          <w:szCs w:val="24"/>
        </w:rPr>
        <w:t xml:space="preserve"> be a new reporting obligation for DCMs. </w:t>
      </w:r>
      <w:r w:rsidR="003532C8">
        <w:rPr>
          <w:rFonts w:eastAsia="Times New Roman" w:cs="Times New Roman"/>
          <w:color w:val="000000"/>
          <w:szCs w:val="24"/>
        </w:rPr>
        <w:t xml:space="preserve"> </w:t>
      </w:r>
      <w:r w:rsidRPr="00D30493">
        <w:rPr>
          <w:rFonts w:eastAsia="Times New Roman" w:cs="Times New Roman"/>
          <w:color w:val="000000"/>
          <w:szCs w:val="24"/>
        </w:rPr>
        <w:t>The Commission estimates that six DCMs w</w:t>
      </w:r>
      <w:r w:rsidR="00CA74DA">
        <w:rPr>
          <w:rFonts w:eastAsia="Times New Roman" w:cs="Times New Roman"/>
          <w:color w:val="000000"/>
          <w:szCs w:val="24"/>
        </w:rPr>
        <w:t>ill</w:t>
      </w:r>
      <w:r w:rsidRPr="00D30493">
        <w:rPr>
          <w:rFonts w:eastAsia="Times New Roman" w:cs="Times New Roman"/>
          <w:color w:val="000000"/>
          <w:szCs w:val="24"/>
        </w:rPr>
        <w:t xml:space="preserve"> be required to submit initial deliverable supply estimates. </w:t>
      </w:r>
      <w:r w:rsidR="003532C8">
        <w:rPr>
          <w:rFonts w:eastAsia="Times New Roman" w:cs="Times New Roman"/>
          <w:color w:val="000000"/>
          <w:szCs w:val="24"/>
        </w:rPr>
        <w:t xml:space="preserve"> </w:t>
      </w:r>
      <w:r w:rsidRPr="00D30493">
        <w:rPr>
          <w:rFonts w:eastAsia="Times New Roman" w:cs="Times New Roman"/>
          <w:color w:val="000000"/>
          <w:szCs w:val="24"/>
        </w:rPr>
        <w:t>The Commission estimates that it w</w:t>
      </w:r>
      <w:r w:rsidR="004105BE">
        <w:rPr>
          <w:rFonts w:eastAsia="Times New Roman" w:cs="Times New Roman"/>
          <w:color w:val="000000"/>
          <w:szCs w:val="24"/>
        </w:rPr>
        <w:t>ill</w:t>
      </w:r>
      <w:r w:rsidRPr="00D30493">
        <w:rPr>
          <w:rFonts w:eastAsia="Times New Roman" w:cs="Times New Roman"/>
          <w:color w:val="000000"/>
          <w:szCs w:val="24"/>
        </w:rPr>
        <w:t xml:space="preserve"> request each DCM that lists a core referenced futures contract to file one initial report for each core reference</w:t>
      </w:r>
      <w:r w:rsidR="00CB4E1E">
        <w:rPr>
          <w:rFonts w:eastAsia="Times New Roman" w:cs="Times New Roman"/>
          <w:color w:val="000000"/>
          <w:szCs w:val="24"/>
        </w:rPr>
        <w:t>d</w:t>
      </w:r>
      <w:r w:rsidRPr="00D30493">
        <w:rPr>
          <w:rFonts w:eastAsia="Times New Roman" w:cs="Times New Roman"/>
          <w:color w:val="000000"/>
          <w:szCs w:val="24"/>
        </w:rPr>
        <w:t xml:space="preserve"> futures contract it lists on its market. Such requests from the Commission w</w:t>
      </w:r>
      <w:r w:rsidR="004105BE">
        <w:rPr>
          <w:rFonts w:eastAsia="Times New Roman" w:cs="Times New Roman"/>
          <w:color w:val="000000"/>
          <w:szCs w:val="24"/>
        </w:rPr>
        <w:t>ill</w:t>
      </w:r>
      <w:r w:rsidRPr="00D30493">
        <w:rPr>
          <w:rFonts w:eastAsia="Times New Roman" w:cs="Times New Roman"/>
          <w:color w:val="000000"/>
          <w:szCs w:val="24"/>
        </w:rPr>
        <w:t xml:space="preserve"> result in one initial submission for each of the twenty-five core referenced futures contracts</w:t>
      </w:r>
      <w:r w:rsidR="00FF5815">
        <w:rPr>
          <w:rFonts w:eastAsia="Times New Roman" w:cs="Times New Roman"/>
          <w:color w:val="000000"/>
          <w:szCs w:val="24"/>
        </w:rPr>
        <w:t>.</w:t>
      </w:r>
      <w:r w:rsidRPr="00737D9F" w:rsidR="00737D9F">
        <w:rPr>
          <w:rFonts w:eastAsia="Calibri" w:cs="Times New Roman"/>
          <w:bCs/>
          <w:szCs w:val="24"/>
        </w:rPr>
        <w:t xml:space="preserve">  The Commission further estimates that it will take 20 hours to complete and file each report for a total annual burden of </w:t>
      </w:r>
      <w:r w:rsidR="00025D93">
        <w:rPr>
          <w:rFonts w:eastAsia="Calibri" w:cs="Times New Roman"/>
          <w:bCs/>
          <w:szCs w:val="24"/>
        </w:rPr>
        <w:t>500</w:t>
      </w:r>
      <w:r w:rsidRPr="00737D9F" w:rsidR="00211425">
        <w:rPr>
          <w:rFonts w:eastAsia="Calibri" w:cs="Times New Roman"/>
          <w:bCs/>
          <w:szCs w:val="24"/>
        </w:rPr>
        <w:t xml:space="preserve"> </w:t>
      </w:r>
      <w:r w:rsidRPr="00737D9F" w:rsidR="00737D9F">
        <w:rPr>
          <w:rFonts w:eastAsia="Calibri" w:cs="Times New Roman"/>
          <w:bCs/>
          <w:szCs w:val="24"/>
        </w:rPr>
        <w:t>hours for all respondents.</w:t>
      </w:r>
      <w:r w:rsidRPr="00737D9F" w:rsidR="00737D9F">
        <w:rPr>
          <w:rFonts w:eastAsia="Calibri" w:cs="Times New Roman"/>
          <w:bCs/>
          <w:szCs w:val="24"/>
          <w:vertAlign w:val="superscript"/>
        </w:rPr>
        <w:footnoteReference w:id="19"/>
      </w:r>
      <w:r w:rsidRPr="00737D9F" w:rsidR="00737D9F">
        <w:rPr>
          <w:rFonts w:eastAsia="Calibri" w:cs="Times New Roman"/>
          <w:bCs/>
          <w:szCs w:val="24"/>
        </w:rPr>
        <w:t xml:space="preserve">  </w:t>
      </w:r>
      <w:r w:rsidRPr="00FF5815" w:rsidR="00FF5815">
        <w:rPr>
          <w:rFonts w:eastAsia="Calibri" w:cs="Times New Roman"/>
          <w:bCs/>
          <w:szCs w:val="24"/>
        </w:rPr>
        <w:t>Accordingly, the changes to § 150.2(f) w</w:t>
      </w:r>
      <w:r w:rsidR="004105BE">
        <w:rPr>
          <w:rFonts w:eastAsia="Calibri" w:cs="Times New Roman"/>
          <w:bCs/>
          <w:szCs w:val="24"/>
        </w:rPr>
        <w:t>ill</w:t>
      </w:r>
      <w:r w:rsidRPr="00FF5815" w:rsidR="00FF5815">
        <w:rPr>
          <w:rFonts w:eastAsia="Calibri" w:cs="Times New Roman"/>
          <w:bCs/>
          <w:szCs w:val="24"/>
        </w:rPr>
        <w:t xml:space="preserve"> result in an initial, one-time increase to the current burden estimates of OMB control number 3038-0013 by 25 submissions across six respondent DCMs for the initial number of submissions for the twenty-five core referenced futures contracts and an initial, one-time burden of </w:t>
      </w:r>
      <w:r w:rsidR="00025D93">
        <w:rPr>
          <w:rFonts w:eastAsia="Calibri" w:cs="Times New Roman"/>
          <w:bCs/>
          <w:szCs w:val="24"/>
        </w:rPr>
        <w:t>500</w:t>
      </w:r>
      <w:r w:rsidRPr="00FF5815" w:rsidR="00211425">
        <w:rPr>
          <w:rFonts w:eastAsia="Calibri" w:cs="Times New Roman"/>
          <w:bCs/>
          <w:szCs w:val="24"/>
        </w:rPr>
        <w:t xml:space="preserve"> </w:t>
      </w:r>
      <w:r w:rsidRPr="00FF5815" w:rsidR="00FF5815">
        <w:rPr>
          <w:rFonts w:eastAsia="Calibri" w:cs="Times New Roman"/>
          <w:bCs/>
          <w:szCs w:val="24"/>
        </w:rPr>
        <w:t>hours.</w:t>
      </w:r>
      <w:r w:rsidR="008B22F2">
        <w:rPr>
          <w:rFonts w:eastAsia="Calibri" w:cs="Times New Roman"/>
          <w:bCs/>
          <w:szCs w:val="24"/>
        </w:rPr>
        <w:t xml:space="preserve">  </w:t>
      </w:r>
      <w:r w:rsidRPr="00596C6B" w:rsidR="008B22F2">
        <w:rPr>
          <w:rFonts w:eastAsia="Calibri" w:cs="Times New Roman"/>
          <w:bCs/>
          <w:szCs w:val="24"/>
        </w:rPr>
        <w:t xml:space="preserve">Assuming an estimated average burden hour cost of $77, the total annual burden hour cost for all 6 respondents is </w:t>
      </w:r>
      <w:r w:rsidRPr="00D02B2A" w:rsidR="008B22F2">
        <w:rPr>
          <w:rFonts w:eastAsia="Calibri" w:cs="Times New Roman"/>
          <w:bCs/>
          <w:szCs w:val="24"/>
        </w:rPr>
        <w:t>approximately $</w:t>
      </w:r>
      <w:r w:rsidRPr="00D02B2A" w:rsidR="00D02B2A">
        <w:rPr>
          <w:rFonts w:eastAsia="Times New Roman" w:cs="Times New Roman"/>
          <w:szCs w:val="24"/>
        </w:rPr>
        <w:t>38,496</w:t>
      </w:r>
      <w:r w:rsidRPr="00D02B2A" w:rsidR="008B22F2">
        <w:rPr>
          <w:rFonts w:eastAsia="Calibri" w:cs="Times New Roman"/>
          <w:bCs/>
          <w:szCs w:val="24"/>
        </w:rPr>
        <w:t>.</w:t>
      </w:r>
    </w:p>
    <w:p w:rsidRPr="00127C62" w:rsidR="00FB5D31" w:rsidP="00127C62" w:rsidRDefault="00FB5D31" w14:paraId="026826BD" w14:textId="77777777">
      <w:pPr>
        <w:pStyle w:val="ListParagraph"/>
        <w:ind w:left="0" w:firstLine="720"/>
        <w:jc w:val="both"/>
        <w:rPr>
          <w:rFonts w:eastAsia="Calibri" w:cs="Times New Roman"/>
          <w:bCs/>
          <w:szCs w:val="24"/>
        </w:rPr>
      </w:pPr>
    </w:p>
    <w:p w:rsidR="00D30493" w:rsidP="00D30493" w:rsidRDefault="00D30493" w14:paraId="4A1891CD" w14:textId="77777777">
      <w:pPr>
        <w:pStyle w:val="ListParagraph"/>
        <w:numPr>
          <w:ilvl w:val="1"/>
          <w:numId w:val="5"/>
        </w:numPr>
        <w:jc w:val="both"/>
        <w:rPr>
          <w:rFonts w:eastAsia="Times New Roman" w:cs="Times New Roman"/>
          <w:color w:val="000000"/>
          <w:szCs w:val="24"/>
        </w:rPr>
      </w:pPr>
      <w:r>
        <w:rPr>
          <w:rFonts w:eastAsia="Times New Roman" w:cs="Times New Roman"/>
          <w:color w:val="000000"/>
          <w:szCs w:val="24"/>
          <w:u w:val="single"/>
        </w:rPr>
        <w:t>Special Calls</w:t>
      </w:r>
    </w:p>
    <w:p w:rsidR="00D30493" w:rsidP="00D30493" w:rsidRDefault="00D30493" w14:paraId="2B9E4E4D" w14:textId="77777777">
      <w:pPr>
        <w:jc w:val="both"/>
        <w:rPr>
          <w:rFonts w:eastAsia="Times New Roman" w:cs="Times New Roman"/>
          <w:color w:val="000000"/>
          <w:szCs w:val="24"/>
        </w:rPr>
      </w:pPr>
    </w:p>
    <w:p w:rsidRPr="00D428B2" w:rsidR="00453E51" w:rsidP="00D30493" w:rsidRDefault="00D30493" w14:paraId="732E97DE" w14:textId="77777777">
      <w:pPr>
        <w:ind w:firstLine="720"/>
        <w:jc w:val="both"/>
        <w:rPr>
          <w:szCs w:val="24"/>
        </w:rPr>
      </w:pPr>
      <w:r w:rsidRPr="00D30493">
        <w:rPr>
          <w:rFonts w:eastAsia="Times New Roman" w:cs="Times New Roman"/>
          <w:color w:val="000000"/>
          <w:szCs w:val="24"/>
        </w:rPr>
        <w:lastRenderedPageBreak/>
        <w:t xml:space="preserve">The Commission </w:t>
      </w:r>
      <w:r w:rsidR="000E6A45">
        <w:rPr>
          <w:rFonts w:eastAsia="Times New Roman" w:cs="Times New Roman"/>
          <w:color w:val="000000"/>
          <w:szCs w:val="24"/>
        </w:rPr>
        <w:t xml:space="preserve">is </w:t>
      </w:r>
      <w:r w:rsidRPr="00D30493">
        <w:rPr>
          <w:rFonts w:eastAsia="Times New Roman" w:cs="Times New Roman"/>
          <w:color w:val="000000"/>
          <w:szCs w:val="24"/>
        </w:rPr>
        <w:t>mov</w:t>
      </w:r>
      <w:r w:rsidR="000E6A45">
        <w:rPr>
          <w:rFonts w:eastAsia="Times New Roman" w:cs="Times New Roman"/>
          <w:color w:val="000000"/>
          <w:szCs w:val="24"/>
        </w:rPr>
        <w:t>ing</w:t>
      </w:r>
      <w:r w:rsidRPr="00D30493">
        <w:rPr>
          <w:rFonts w:eastAsia="Times New Roman" w:cs="Times New Roman"/>
          <w:color w:val="000000"/>
          <w:szCs w:val="24"/>
        </w:rPr>
        <w:t xml:space="preserve"> existing § 150.3(b), which currently allows the Commission or certain Commission staff to make special calls to demand certain information regarding persons claiming exemptions, to § 150.3(e), with some mo</w:t>
      </w:r>
      <w:r w:rsidR="004D1C2B">
        <w:rPr>
          <w:rFonts w:eastAsia="Times New Roman" w:cs="Times New Roman"/>
          <w:color w:val="000000"/>
          <w:szCs w:val="24"/>
        </w:rPr>
        <w:t>difications to include swaps.</w:t>
      </w:r>
      <w:r w:rsidRPr="00D30493">
        <w:rPr>
          <w:rFonts w:eastAsia="Times New Roman" w:cs="Times New Roman"/>
          <w:color w:val="000000"/>
          <w:szCs w:val="24"/>
        </w:rPr>
        <w:t xml:space="preserve"> </w:t>
      </w:r>
      <w:r w:rsidRPr="00D428B2">
        <w:rPr>
          <w:szCs w:val="24"/>
        </w:rPr>
        <w:t>The Commission estimates that § 150.3(e) w</w:t>
      </w:r>
      <w:r w:rsidRPr="00D428B2" w:rsidR="00D82D78">
        <w:rPr>
          <w:szCs w:val="24"/>
        </w:rPr>
        <w:t>ill</w:t>
      </w:r>
      <w:r w:rsidRPr="00D428B2">
        <w:rPr>
          <w:szCs w:val="24"/>
        </w:rPr>
        <w:t xml:space="preserve"> impose information collection burdens related to special calls by the Commission on approximately 18 additional respondents, for an estimated 20 special calls per year.</w:t>
      </w:r>
      <w:r w:rsidRPr="00D428B2" w:rsidR="004D1C2B">
        <w:rPr>
          <w:szCs w:val="24"/>
        </w:rPr>
        <w:t xml:space="preserve"> </w:t>
      </w:r>
      <w:r w:rsidRPr="00D428B2">
        <w:rPr>
          <w:szCs w:val="24"/>
        </w:rPr>
        <w:t xml:space="preserve"> The Commission estimates that these 20 market participants w</w:t>
      </w:r>
      <w:r w:rsidRPr="00D428B2" w:rsidR="00D82D78">
        <w:rPr>
          <w:szCs w:val="24"/>
        </w:rPr>
        <w:t>ill</w:t>
      </w:r>
      <w:r w:rsidRPr="00D428B2">
        <w:rPr>
          <w:szCs w:val="24"/>
        </w:rPr>
        <w:t xml:space="preserve"> provide one submission per year to respond to the special call for a total of 20 annual submissions for all respondents. The Commission estimates it w</w:t>
      </w:r>
      <w:r w:rsidRPr="00D428B2" w:rsidR="00D82D78">
        <w:rPr>
          <w:szCs w:val="24"/>
        </w:rPr>
        <w:t>ill</w:t>
      </w:r>
      <w:r w:rsidRPr="00D428B2">
        <w:rPr>
          <w:szCs w:val="24"/>
        </w:rPr>
        <w:t xml:space="preserve"> take a market participant approximately 10 hours to complete a response to a special call. </w:t>
      </w:r>
      <w:r w:rsidRPr="00D428B2" w:rsidR="004D1C2B">
        <w:rPr>
          <w:szCs w:val="24"/>
        </w:rPr>
        <w:t xml:space="preserve"> </w:t>
      </w:r>
      <w:r w:rsidRPr="00D428B2">
        <w:rPr>
          <w:szCs w:val="24"/>
        </w:rPr>
        <w:t>Therefore, the Commission estimates responses to special calls for information will take an aggregate total of 200 burden hours for all traders.</w:t>
      </w:r>
      <w:r w:rsidRPr="00D428B2" w:rsidR="008B22F2">
        <w:rPr>
          <w:szCs w:val="24"/>
        </w:rPr>
        <w:t xml:space="preserve">  Assuming an estimated average burden hour cost of $9</w:t>
      </w:r>
      <w:r w:rsidRPr="00D428B2" w:rsidR="008629B2">
        <w:rPr>
          <w:szCs w:val="24"/>
        </w:rPr>
        <w:t>7</w:t>
      </w:r>
      <w:r w:rsidRPr="00D428B2" w:rsidR="008B22F2">
        <w:rPr>
          <w:szCs w:val="24"/>
        </w:rPr>
        <w:t>, the total annual burden hour cost for all 20 respondents is approximately $19,</w:t>
      </w:r>
      <w:r w:rsidRPr="00D428B2" w:rsidR="008629B2">
        <w:rPr>
          <w:szCs w:val="24"/>
        </w:rPr>
        <w:t>4</w:t>
      </w:r>
      <w:r w:rsidRPr="00D428B2" w:rsidR="008B22F2">
        <w:rPr>
          <w:szCs w:val="24"/>
        </w:rPr>
        <w:t xml:space="preserve">00.  </w:t>
      </w:r>
    </w:p>
    <w:p w:rsidRPr="00D30493" w:rsidR="00D30493" w:rsidP="00D30493" w:rsidRDefault="00D30493" w14:paraId="5D850CD1" w14:textId="77777777">
      <w:pPr>
        <w:jc w:val="both"/>
        <w:rPr>
          <w:rFonts w:eastAsia="Times New Roman" w:cs="Times New Roman"/>
          <w:color w:val="000000"/>
          <w:szCs w:val="24"/>
        </w:rPr>
      </w:pPr>
    </w:p>
    <w:p w:rsidR="00D30493" w:rsidP="00D30493" w:rsidRDefault="004D1C2B" w14:paraId="5449A0CA" w14:textId="77777777">
      <w:pPr>
        <w:pStyle w:val="ListParagraph"/>
        <w:numPr>
          <w:ilvl w:val="1"/>
          <w:numId w:val="5"/>
        </w:numPr>
        <w:jc w:val="both"/>
        <w:rPr>
          <w:rFonts w:eastAsia="Times New Roman" w:cs="Times New Roman"/>
          <w:color w:val="000000"/>
          <w:szCs w:val="24"/>
        </w:rPr>
      </w:pPr>
      <w:r>
        <w:rPr>
          <w:rFonts w:eastAsia="Times New Roman" w:cs="Times New Roman"/>
          <w:color w:val="000000"/>
          <w:szCs w:val="24"/>
          <w:u w:val="single"/>
        </w:rPr>
        <w:t>Other Burdens</w:t>
      </w:r>
    </w:p>
    <w:p w:rsidR="00D30493" w:rsidP="00D30493" w:rsidRDefault="00D30493" w14:paraId="27AA50AF" w14:textId="77777777">
      <w:pPr>
        <w:jc w:val="both"/>
        <w:rPr>
          <w:rFonts w:eastAsia="Times New Roman" w:cs="Times New Roman"/>
          <w:color w:val="000000"/>
          <w:szCs w:val="24"/>
        </w:rPr>
      </w:pPr>
    </w:p>
    <w:p w:rsidRPr="00907414" w:rsidR="00737D9F" w:rsidP="00907414" w:rsidRDefault="00D61BE3" w14:paraId="4BE6013F" w14:textId="77777777">
      <w:pPr>
        <w:ind w:firstLine="720"/>
        <w:jc w:val="both"/>
        <w:rPr>
          <w:rFonts w:eastAsia="Calibri" w:cs="Times New Roman"/>
          <w:bCs/>
          <w:szCs w:val="24"/>
        </w:rPr>
      </w:pPr>
      <w:r>
        <w:rPr>
          <w:rFonts w:eastAsia="Calibri" w:cs="Times New Roman"/>
          <w:szCs w:val="24"/>
        </w:rPr>
        <w:t>Regulation</w:t>
      </w:r>
      <w:r w:rsidRPr="00737D9F" w:rsidR="00737D9F">
        <w:rPr>
          <w:rFonts w:eastAsia="Calibri" w:cs="Times New Roman"/>
          <w:szCs w:val="24"/>
        </w:rPr>
        <w:t xml:space="preserve"> 150.3(d) establishes recordkeeping requirements for persons who claim any exemptions or relief under § 150.3.  First, under § 150.3(d)(1), any person claiming an exemption </w:t>
      </w:r>
      <w:r w:rsidR="00AF1BAB">
        <w:rPr>
          <w:rFonts w:eastAsia="Calibri" w:cs="Times New Roman"/>
          <w:szCs w:val="24"/>
        </w:rPr>
        <w:t>is</w:t>
      </w:r>
      <w:r w:rsidRPr="00737D9F" w:rsidR="00737D9F">
        <w:rPr>
          <w:rFonts w:eastAsia="Calibri" w:cs="Times New Roman"/>
          <w:szCs w:val="24"/>
        </w:rPr>
        <w:t xml:space="preserve"> required to keep and maintain complete books and records concerning certain details.</w:t>
      </w:r>
      <w:r w:rsidRPr="00737D9F" w:rsidR="00737D9F">
        <w:rPr>
          <w:rFonts w:eastAsia="Calibri" w:cs="Times New Roman"/>
          <w:szCs w:val="24"/>
          <w:vertAlign w:val="superscript"/>
        </w:rPr>
        <w:footnoteReference w:id="20"/>
      </w:r>
      <w:r w:rsidRPr="00737D9F" w:rsidR="00737D9F">
        <w:rPr>
          <w:rFonts w:eastAsia="Calibri" w:cs="Times New Roman"/>
          <w:szCs w:val="24"/>
        </w:rPr>
        <w:t xml:space="preserve">  </w:t>
      </w:r>
      <w:r w:rsidR="00A542AB">
        <w:rPr>
          <w:rFonts w:eastAsia="Calibri" w:cs="Times New Roman"/>
          <w:szCs w:val="24"/>
        </w:rPr>
        <w:t>Regulation</w:t>
      </w:r>
      <w:r w:rsidRPr="00737D9F" w:rsidR="00737D9F">
        <w:rPr>
          <w:rFonts w:eastAsia="Calibri" w:cs="Times New Roman"/>
          <w:szCs w:val="24"/>
        </w:rPr>
        <w:t xml:space="preserve"> 150.3(d)(1) establish</w:t>
      </w:r>
      <w:r w:rsidR="005C5482">
        <w:rPr>
          <w:rFonts w:eastAsia="Calibri" w:cs="Times New Roman"/>
          <w:szCs w:val="24"/>
        </w:rPr>
        <w:t>es</w:t>
      </w:r>
      <w:r w:rsidRPr="00737D9F" w:rsidR="00737D9F">
        <w:rPr>
          <w:rFonts w:eastAsia="Calibri" w:cs="Times New Roman"/>
          <w:szCs w:val="24"/>
        </w:rPr>
        <w:t xml:space="preserve"> recordkeeping requirements for any person relying on an exemption granted directly from the Commission</w:t>
      </w:r>
      <w:r w:rsidR="00AF1BAB">
        <w:rPr>
          <w:rFonts w:eastAsia="Calibri" w:cs="Times New Roman"/>
          <w:szCs w:val="24"/>
        </w:rPr>
        <w:t xml:space="preserve"> under </w:t>
      </w:r>
      <w:r w:rsidRPr="00737D9F" w:rsidR="00AF1BAB">
        <w:rPr>
          <w:rFonts w:eastAsia="Calibri" w:cs="Times New Roman"/>
          <w:szCs w:val="24"/>
        </w:rPr>
        <w:t>§</w:t>
      </w:r>
      <w:r w:rsidR="00AF1BAB">
        <w:rPr>
          <w:rFonts w:eastAsia="Calibri" w:cs="Times New Roman"/>
          <w:szCs w:val="24"/>
        </w:rPr>
        <w:t xml:space="preserve"> 150.3(a)</w:t>
      </w:r>
      <w:r w:rsidRPr="00737D9F" w:rsidR="00737D9F">
        <w:rPr>
          <w:rFonts w:eastAsia="Calibri" w:cs="Times New Roman"/>
          <w:szCs w:val="24"/>
        </w:rPr>
        <w:t xml:space="preserve">.  </w:t>
      </w:r>
      <w:r w:rsidR="008B22F2">
        <w:rPr>
          <w:rFonts w:eastAsia="Calibri" w:cs="Times New Roman"/>
          <w:szCs w:val="24"/>
        </w:rPr>
        <w:t>T</w:t>
      </w:r>
      <w:r w:rsidRPr="00737D9F" w:rsidR="00737D9F">
        <w:rPr>
          <w:rFonts w:eastAsia="Calibri" w:cs="Times New Roman"/>
          <w:szCs w:val="24"/>
        </w:rPr>
        <w:t xml:space="preserve">he Commission estimates that </w:t>
      </w:r>
      <w:r w:rsidR="00433E61">
        <w:rPr>
          <w:rFonts w:eastAsia="Calibri" w:cs="Times New Roman"/>
          <w:szCs w:val="24"/>
        </w:rPr>
        <w:t xml:space="preserve">425 </w:t>
      </w:r>
      <w:r w:rsidRPr="00737D9F" w:rsidR="00737D9F">
        <w:rPr>
          <w:rFonts w:eastAsia="Calibri" w:cs="Times New Roman"/>
          <w:szCs w:val="24"/>
        </w:rPr>
        <w:t>trader</w:t>
      </w:r>
      <w:r w:rsidR="00942835">
        <w:rPr>
          <w:rFonts w:eastAsia="Calibri" w:cs="Times New Roman"/>
          <w:szCs w:val="24"/>
        </w:rPr>
        <w:t>s</w:t>
      </w:r>
      <w:r w:rsidRPr="00737D9F" w:rsidR="00737D9F">
        <w:rPr>
          <w:rFonts w:eastAsia="Calibri" w:cs="Times New Roman"/>
          <w:szCs w:val="24"/>
        </w:rPr>
        <w:t xml:space="preserve"> w</w:t>
      </w:r>
      <w:r w:rsidR="005C5482">
        <w:rPr>
          <w:rFonts w:eastAsia="Calibri" w:cs="Times New Roman"/>
          <w:szCs w:val="24"/>
        </w:rPr>
        <w:t>ill</w:t>
      </w:r>
      <w:r w:rsidRPr="00737D9F" w:rsidR="00737D9F">
        <w:rPr>
          <w:rFonts w:eastAsia="Calibri" w:cs="Times New Roman"/>
          <w:szCs w:val="24"/>
        </w:rPr>
        <w:t xml:space="preserve"> create</w:t>
      </w:r>
      <w:r w:rsidR="00655498">
        <w:rPr>
          <w:rFonts w:eastAsia="Calibri" w:cs="Times New Roman"/>
          <w:szCs w:val="24"/>
        </w:rPr>
        <w:t xml:space="preserve"> five</w:t>
      </w:r>
      <w:r w:rsidRPr="00737D9F" w:rsidR="00737D9F">
        <w:rPr>
          <w:rFonts w:eastAsia="Calibri" w:cs="Times New Roman"/>
          <w:szCs w:val="24"/>
        </w:rPr>
        <w:t xml:space="preserve"> record</w:t>
      </w:r>
      <w:r w:rsidR="00655498">
        <w:rPr>
          <w:rFonts w:eastAsia="Calibri" w:cs="Times New Roman"/>
          <w:szCs w:val="24"/>
        </w:rPr>
        <w:t>s</w:t>
      </w:r>
      <w:r w:rsidRPr="00737D9F" w:rsidR="00737D9F">
        <w:rPr>
          <w:rFonts w:eastAsia="Calibri" w:cs="Times New Roman"/>
          <w:szCs w:val="24"/>
        </w:rPr>
        <w:t xml:space="preserve"> </w:t>
      </w:r>
      <w:r w:rsidR="00655498">
        <w:rPr>
          <w:rFonts w:eastAsia="Calibri" w:cs="Times New Roman"/>
          <w:szCs w:val="24"/>
        </w:rPr>
        <w:t xml:space="preserve">each </w:t>
      </w:r>
      <w:r w:rsidRPr="00737D9F" w:rsidR="00737D9F">
        <w:rPr>
          <w:rFonts w:eastAsia="Calibri" w:cs="Times New Roman"/>
          <w:szCs w:val="24"/>
        </w:rPr>
        <w:t xml:space="preserve">for a total of </w:t>
      </w:r>
      <w:r w:rsidR="00655498">
        <w:rPr>
          <w:rFonts w:eastAsia="Calibri" w:cs="Times New Roman"/>
          <w:szCs w:val="24"/>
        </w:rPr>
        <w:t>2,125</w:t>
      </w:r>
      <w:r w:rsidRPr="00737D9F" w:rsidR="00655498">
        <w:rPr>
          <w:rFonts w:eastAsia="Calibri" w:cs="Times New Roman"/>
          <w:szCs w:val="24"/>
        </w:rPr>
        <w:t xml:space="preserve"> </w:t>
      </w:r>
      <w:r w:rsidRPr="00737D9F" w:rsidR="00737D9F">
        <w:rPr>
          <w:rFonts w:eastAsia="Calibri" w:cs="Times New Roman"/>
          <w:szCs w:val="24"/>
        </w:rPr>
        <w:t>annual record</w:t>
      </w:r>
      <w:r w:rsidR="00655498">
        <w:rPr>
          <w:rFonts w:eastAsia="Calibri" w:cs="Times New Roman"/>
          <w:szCs w:val="24"/>
        </w:rPr>
        <w:t>s</w:t>
      </w:r>
      <w:r w:rsidRPr="00737D9F" w:rsidR="00737D9F">
        <w:rPr>
          <w:rFonts w:eastAsia="Calibri" w:cs="Times New Roman"/>
          <w:szCs w:val="24"/>
        </w:rPr>
        <w:t xml:space="preserve"> for all respondents.</w:t>
      </w:r>
      <w:r w:rsidR="00A27C66">
        <w:rPr>
          <w:rStyle w:val="FootnoteReference"/>
          <w:rFonts w:eastAsia="Calibri" w:cs="Times New Roman"/>
          <w:szCs w:val="24"/>
        </w:rPr>
        <w:footnoteReference w:id="21"/>
      </w:r>
      <w:r w:rsidRPr="00737D9F" w:rsidR="00737D9F">
        <w:rPr>
          <w:rFonts w:eastAsia="Calibri" w:cs="Times New Roman"/>
          <w:szCs w:val="24"/>
        </w:rPr>
        <w:t xml:space="preserve">  The Commission further estimates that it will take one hour to comply with the recordkeeping requirement of § 150.3(d)(1) for a total of </w:t>
      </w:r>
      <w:r w:rsidR="00433E61">
        <w:rPr>
          <w:rFonts w:eastAsia="Calibri" w:cs="Times New Roman"/>
          <w:szCs w:val="24"/>
        </w:rPr>
        <w:t>five</w:t>
      </w:r>
      <w:r w:rsidRPr="00737D9F" w:rsidR="00737D9F">
        <w:rPr>
          <w:rFonts w:eastAsia="Calibri" w:cs="Times New Roman"/>
          <w:szCs w:val="24"/>
        </w:rPr>
        <w:t xml:space="preserve"> </w:t>
      </w:r>
      <w:r w:rsidRPr="008B22F2" w:rsidR="00737D9F">
        <w:rPr>
          <w:rFonts w:eastAsia="Calibri" w:cs="Times New Roman"/>
          <w:szCs w:val="24"/>
        </w:rPr>
        <w:t xml:space="preserve">aggregate annual burden hour </w:t>
      </w:r>
      <w:r w:rsidRPr="00737D9F" w:rsidR="00737D9F">
        <w:rPr>
          <w:rFonts w:eastAsia="Calibri" w:cs="Times New Roman"/>
          <w:szCs w:val="24"/>
        </w:rPr>
        <w:t>for all traders.</w:t>
      </w:r>
      <w:r w:rsidR="008B22F2">
        <w:rPr>
          <w:rFonts w:eastAsia="Calibri" w:cs="Times New Roman"/>
          <w:szCs w:val="24"/>
        </w:rPr>
        <w:t xml:space="preserve">  </w:t>
      </w:r>
      <w:r w:rsidR="00907414">
        <w:rPr>
          <w:rFonts w:eastAsia="Calibri" w:cs="Times New Roman"/>
          <w:szCs w:val="24"/>
        </w:rPr>
        <w:t>A</w:t>
      </w:r>
      <w:r w:rsidRPr="008B22F2" w:rsidR="00907414">
        <w:rPr>
          <w:rFonts w:eastAsia="Calibri" w:cs="Times New Roman"/>
          <w:szCs w:val="24"/>
        </w:rPr>
        <w:t>ssuming an estimated average burden hour cost of $77, the total ann</w:t>
      </w:r>
      <w:r w:rsidR="00907414">
        <w:rPr>
          <w:rFonts w:eastAsia="Calibri" w:cs="Times New Roman"/>
          <w:szCs w:val="24"/>
        </w:rPr>
        <w:t>ual burden hour cost for all</w:t>
      </w:r>
      <w:r w:rsidR="00942835">
        <w:rPr>
          <w:rFonts w:eastAsia="Calibri" w:cs="Times New Roman"/>
          <w:szCs w:val="24"/>
        </w:rPr>
        <w:t xml:space="preserve"> </w:t>
      </w:r>
      <w:r w:rsidR="00907414">
        <w:rPr>
          <w:rFonts w:eastAsia="Calibri" w:cs="Times New Roman"/>
          <w:szCs w:val="24"/>
        </w:rPr>
        <w:t>record</w:t>
      </w:r>
      <w:r w:rsidR="005C5482">
        <w:rPr>
          <w:rFonts w:eastAsia="Calibri" w:cs="Times New Roman"/>
          <w:szCs w:val="24"/>
        </w:rPr>
        <w:t xml:space="preserve"> </w:t>
      </w:r>
      <w:r w:rsidR="00907414">
        <w:rPr>
          <w:rFonts w:eastAsia="Calibri" w:cs="Times New Roman"/>
          <w:szCs w:val="24"/>
        </w:rPr>
        <w:t>keepers is approximately $</w:t>
      </w:r>
      <w:r w:rsidR="00433E61">
        <w:rPr>
          <w:rFonts w:eastAsia="Calibri" w:cs="Times New Roman"/>
          <w:szCs w:val="24"/>
        </w:rPr>
        <w:t>163,625</w:t>
      </w:r>
      <w:r w:rsidR="00BE37AF">
        <w:rPr>
          <w:rFonts w:eastAsia="Calibri" w:cs="Times New Roman"/>
          <w:szCs w:val="24"/>
        </w:rPr>
        <w:t>.</w:t>
      </w:r>
    </w:p>
    <w:p w:rsidRPr="00737D9F" w:rsidR="00737D9F" w:rsidP="00737D9F" w:rsidRDefault="00737D9F" w14:paraId="51CAA627" w14:textId="77777777">
      <w:pPr>
        <w:ind w:firstLine="720"/>
        <w:jc w:val="both"/>
        <w:rPr>
          <w:rFonts w:eastAsia="Calibri" w:cs="Times New Roman"/>
          <w:szCs w:val="24"/>
        </w:rPr>
      </w:pPr>
    </w:p>
    <w:p w:rsidRPr="00737D9F" w:rsidR="00737D9F" w:rsidP="00737D9F" w:rsidRDefault="00737D9F" w14:paraId="6654FEF5" w14:textId="77777777">
      <w:pPr>
        <w:ind w:firstLine="720"/>
        <w:jc w:val="both"/>
        <w:rPr>
          <w:rFonts w:eastAsia="Calibri" w:cs="Times New Roman"/>
          <w:bCs/>
          <w:szCs w:val="24"/>
        </w:rPr>
      </w:pPr>
      <w:r w:rsidRPr="00737D9F">
        <w:rPr>
          <w:rFonts w:eastAsia="Calibri" w:cs="Times New Roman"/>
          <w:szCs w:val="24"/>
        </w:rPr>
        <w:t xml:space="preserve">Second, under § 150.3(d)(2), a pass-through swap counterparty, as defined by § 150.1, that relies on a representation received from a bona fide hedging swap counterparty that the swap qualifies in good faith as a “bona fide hedging position or transaction,” as defined under § 150.1, </w:t>
      </w:r>
      <w:r w:rsidR="00AF1BAB">
        <w:rPr>
          <w:rFonts w:eastAsia="Calibri" w:cs="Times New Roman"/>
          <w:szCs w:val="24"/>
        </w:rPr>
        <w:t xml:space="preserve">is </w:t>
      </w:r>
      <w:r w:rsidRPr="00737D9F">
        <w:rPr>
          <w:rFonts w:eastAsia="Calibri" w:cs="Times New Roman"/>
          <w:szCs w:val="24"/>
        </w:rPr>
        <w:t>required to: (</w:t>
      </w:r>
      <w:proofErr w:type="spellStart"/>
      <w:r w:rsidRPr="00737D9F">
        <w:rPr>
          <w:rFonts w:eastAsia="Calibri" w:cs="Times New Roman"/>
          <w:szCs w:val="24"/>
        </w:rPr>
        <w:t>i</w:t>
      </w:r>
      <w:proofErr w:type="spellEnd"/>
      <w:r w:rsidRPr="00737D9F">
        <w:rPr>
          <w:rFonts w:eastAsia="Calibri" w:cs="Times New Roman"/>
          <w:szCs w:val="24"/>
        </w:rPr>
        <w:t xml:space="preserve">) maintain </w:t>
      </w:r>
      <w:r w:rsidR="00646995">
        <w:rPr>
          <w:rFonts w:cs="Times New Roman"/>
          <w:szCs w:val="24"/>
        </w:rPr>
        <w:t xml:space="preserve">the relevant books and records of </w:t>
      </w:r>
      <w:r w:rsidRPr="00205969" w:rsidR="00646995">
        <w:rPr>
          <w:rFonts w:cs="Times New Roman"/>
          <w:szCs w:val="24"/>
        </w:rPr>
        <w:t xml:space="preserve">any </w:t>
      </w:r>
      <w:r w:rsidR="00646995">
        <w:rPr>
          <w:rFonts w:cs="Times New Roman"/>
          <w:szCs w:val="24"/>
        </w:rPr>
        <w:t>such</w:t>
      </w:r>
      <w:r w:rsidRPr="00205969" w:rsidR="00646995">
        <w:rPr>
          <w:rFonts w:cs="Times New Roman"/>
          <w:szCs w:val="24"/>
        </w:rPr>
        <w:t xml:space="preserve"> written representation</w:t>
      </w:r>
      <w:r w:rsidRPr="00737D9F" w:rsidR="00646995">
        <w:rPr>
          <w:rFonts w:eastAsia="Calibri" w:cs="Times New Roman"/>
          <w:szCs w:val="24"/>
        </w:rPr>
        <w:t xml:space="preserve"> </w:t>
      </w:r>
      <w:r w:rsidRPr="00737D9F">
        <w:rPr>
          <w:rFonts w:eastAsia="Calibri" w:cs="Times New Roman"/>
          <w:szCs w:val="24"/>
        </w:rPr>
        <w:t xml:space="preserve">for at least two years following the expiration of the swap; and (ii) furnish </w:t>
      </w:r>
      <w:r w:rsidR="00646995">
        <w:rPr>
          <w:rFonts w:cs="Times New Roman"/>
          <w:szCs w:val="24"/>
        </w:rPr>
        <w:t xml:space="preserve">any books and records of such written </w:t>
      </w:r>
      <w:r w:rsidRPr="00205969" w:rsidR="00646995">
        <w:rPr>
          <w:rFonts w:cs="Times New Roman"/>
          <w:szCs w:val="24"/>
        </w:rPr>
        <w:t xml:space="preserve">representation </w:t>
      </w:r>
      <w:r w:rsidRPr="00737D9F">
        <w:rPr>
          <w:rFonts w:eastAsia="Calibri" w:cs="Times New Roman"/>
          <w:szCs w:val="24"/>
        </w:rPr>
        <w:t>to the Commission upon demand.</w:t>
      </w:r>
      <w:r w:rsidRPr="00737D9F">
        <w:rPr>
          <w:rFonts w:eastAsia="Calibri" w:cs="Times New Roman"/>
          <w:bCs/>
          <w:szCs w:val="24"/>
        </w:rPr>
        <w:t xml:space="preserve">  </w:t>
      </w:r>
      <w:r w:rsidR="00646995">
        <w:rPr>
          <w:rFonts w:eastAsia="Calibri" w:cs="Times New Roman"/>
          <w:bCs/>
          <w:szCs w:val="24"/>
        </w:rPr>
        <w:t>Regulation</w:t>
      </w:r>
      <w:r w:rsidRPr="00737D9F">
        <w:rPr>
          <w:rFonts w:eastAsia="Calibri" w:cs="Times New Roman"/>
          <w:bCs/>
          <w:szCs w:val="24"/>
        </w:rPr>
        <w:t xml:space="preserve"> 150.3(d)(2) create</w:t>
      </w:r>
      <w:r w:rsidR="00646995">
        <w:rPr>
          <w:rFonts w:eastAsia="Calibri" w:cs="Times New Roman"/>
          <w:bCs/>
          <w:szCs w:val="24"/>
        </w:rPr>
        <w:t>s</w:t>
      </w:r>
      <w:r w:rsidRPr="00737D9F">
        <w:rPr>
          <w:rFonts w:eastAsia="Calibri" w:cs="Times New Roman"/>
          <w:bCs/>
          <w:szCs w:val="24"/>
        </w:rPr>
        <w:t xml:space="preserve"> a new recordkeeping obligation for certain persons relying on the pass-through swap representations, and the Commission estimates that 425 traders w</w:t>
      </w:r>
      <w:r w:rsidR="00646995">
        <w:rPr>
          <w:rFonts w:eastAsia="Calibri" w:cs="Times New Roman"/>
          <w:bCs/>
          <w:szCs w:val="24"/>
        </w:rPr>
        <w:t>ill</w:t>
      </w:r>
      <w:r w:rsidRPr="00737D9F">
        <w:rPr>
          <w:rFonts w:eastAsia="Calibri" w:cs="Times New Roman"/>
          <w:bCs/>
          <w:szCs w:val="24"/>
        </w:rPr>
        <w:t xml:space="preserve"> be requested to maintain the required records.  The Commission estimates that each trader w</w:t>
      </w:r>
      <w:r w:rsidR="00646995">
        <w:rPr>
          <w:rFonts w:eastAsia="Calibri" w:cs="Times New Roman"/>
          <w:bCs/>
          <w:szCs w:val="24"/>
        </w:rPr>
        <w:t>ill</w:t>
      </w:r>
      <w:r w:rsidRPr="00737D9F">
        <w:rPr>
          <w:rFonts w:eastAsia="Calibri" w:cs="Times New Roman"/>
          <w:bCs/>
          <w:szCs w:val="24"/>
        </w:rPr>
        <w:t xml:space="preserve"> maintain </w:t>
      </w:r>
      <w:r w:rsidR="00646995">
        <w:rPr>
          <w:rFonts w:eastAsia="Calibri" w:cs="Times New Roman"/>
          <w:bCs/>
          <w:szCs w:val="24"/>
        </w:rPr>
        <w:t xml:space="preserve">at least </w:t>
      </w:r>
      <w:r w:rsidR="00942835">
        <w:rPr>
          <w:rFonts w:eastAsia="Calibri" w:cs="Times New Roman"/>
          <w:bCs/>
          <w:szCs w:val="24"/>
        </w:rPr>
        <w:t>5</w:t>
      </w:r>
      <w:r w:rsidR="00646995">
        <w:rPr>
          <w:rFonts w:eastAsia="Calibri" w:cs="Times New Roman"/>
          <w:bCs/>
          <w:szCs w:val="24"/>
        </w:rPr>
        <w:t xml:space="preserve"> </w:t>
      </w:r>
      <w:r w:rsidRPr="00737D9F">
        <w:rPr>
          <w:rFonts w:eastAsia="Calibri" w:cs="Times New Roman"/>
          <w:bCs/>
          <w:szCs w:val="24"/>
        </w:rPr>
        <w:t>record</w:t>
      </w:r>
      <w:r w:rsidR="00646995">
        <w:rPr>
          <w:rFonts w:eastAsia="Calibri" w:cs="Times New Roman"/>
          <w:bCs/>
          <w:szCs w:val="24"/>
        </w:rPr>
        <w:t>s</w:t>
      </w:r>
      <w:r w:rsidRPr="00737D9F">
        <w:rPr>
          <w:rFonts w:eastAsia="Calibri" w:cs="Times New Roman"/>
          <w:bCs/>
          <w:szCs w:val="24"/>
        </w:rPr>
        <w:t xml:space="preserve"> per year for a total of </w:t>
      </w:r>
      <w:r w:rsidR="00942835">
        <w:rPr>
          <w:rFonts w:eastAsia="Calibri" w:cs="Times New Roman"/>
          <w:bCs/>
          <w:szCs w:val="24"/>
        </w:rPr>
        <w:t>2</w:t>
      </w:r>
      <w:r w:rsidR="00646995">
        <w:rPr>
          <w:rFonts w:eastAsia="Calibri" w:cs="Times New Roman"/>
          <w:bCs/>
          <w:szCs w:val="24"/>
        </w:rPr>
        <w:t>,</w:t>
      </w:r>
      <w:r w:rsidR="00942835">
        <w:rPr>
          <w:rFonts w:eastAsia="Calibri" w:cs="Times New Roman"/>
          <w:bCs/>
          <w:szCs w:val="24"/>
        </w:rPr>
        <w:t>1</w:t>
      </w:r>
      <w:r w:rsidRPr="00737D9F">
        <w:rPr>
          <w:rFonts w:eastAsia="Calibri" w:cs="Times New Roman"/>
          <w:bCs/>
          <w:szCs w:val="24"/>
        </w:rPr>
        <w:t xml:space="preserve">25 aggregate annual records for all respondents.  The Commission further estimates that it will take one hour to comply with the recordkeeping requirement of § 150.3(d) for a total of </w:t>
      </w:r>
      <w:r w:rsidR="00942835">
        <w:rPr>
          <w:rFonts w:eastAsia="Calibri" w:cs="Times New Roman"/>
          <w:bCs/>
          <w:szCs w:val="24"/>
        </w:rPr>
        <w:t>five</w:t>
      </w:r>
      <w:r w:rsidRPr="00737D9F">
        <w:rPr>
          <w:rFonts w:eastAsia="Calibri" w:cs="Times New Roman"/>
          <w:bCs/>
          <w:szCs w:val="24"/>
        </w:rPr>
        <w:t xml:space="preserve"> annual burden hour for each trader and </w:t>
      </w:r>
      <w:r w:rsidR="00942835">
        <w:rPr>
          <w:rFonts w:eastAsia="Calibri" w:cs="Times New Roman"/>
          <w:bCs/>
          <w:szCs w:val="24"/>
        </w:rPr>
        <w:t>2</w:t>
      </w:r>
      <w:r w:rsidR="00646995">
        <w:rPr>
          <w:rFonts w:eastAsia="Calibri" w:cs="Times New Roman"/>
          <w:bCs/>
          <w:szCs w:val="24"/>
        </w:rPr>
        <w:t>,</w:t>
      </w:r>
      <w:r w:rsidR="00942835">
        <w:rPr>
          <w:rFonts w:eastAsia="Calibri" w:cs="Times New Roman"/>
          <w:bCs/>
          <w:szCs w:val="24"/>
        </w:rPr>
        <w:t>1</w:t>
      </w:r>
      <w:r w:rsidRPr="00737D9F">
        <w:rPr>
          <w:rFonts w:eastAsia="Calibri" w:cs="Times New Roman"/>
          <w:bCs/>
          <w:szCs w:val="24"/>
        </w:rPr>
        <w:t xml:space="preserve">25 aggregate annual burden hours for all traders.  </w:t>
      </w:r>
      <w:r w:rsidR="00907414">
        <w:rPr>
          <w:rFonts w:eastAsia="Calibri" w:cs="Times New Roman"/>
          <w:bCs/>
          <w:szCs w:val="24"/>
        </w:rPr>
        <w:t>A</w:t>
      </w:r>
      <w:r w:rsidRPr="008B22F2" w:rsidR="00AC2DC6">
        <w:rPr>
          <w:rFonts w:eastAsia="Calibri" w:cs="Times New Roman"/>
          <w:szCs w:val="24"/>
        </w:rPr>
        <w:t>ssuming an estimated average burden hour cost of $77, the total ann</w:t>
      </w:r>
      <w:r w:rsidR="002E27BF">
        <w:rPr>
          <w:rFonts w:eastAsia="Calibri" w:cs="Times New Roman"/>
          <w:szCs w:val="24"/>
        </w:rPr>
        <w:t xml:space="preserve">ual burden hour cost for </w:t>
      </w:r>
      <w:r w:rsidR="00907414">
        <w:rPr>
          <w:rFonts w:eastAsia="Calibri" w:cs="Times New Roman"/>
          <w:szCs w:val="24"/>
        </w:rPr>
        <w:t>the estimated one record</w:t>
      </w:r>
      <w:r w:rsidR="00646995">
        <w:rPr>
          <w:rFonts w:eastAsia="Calibri" w:cs="Times New Roman"/>
          <w:szCs w:val="24"/>
        </w:rPr>
        <w:t>-</w:t>
      </w:r>
      <w:r w:rsidR="00907414">
        <w:rPr>
          <w:rFonts w:eastAsia="Calibri" w:cs="Times New Roman"/>
          <w:szCs w:val="24"/>
        </w:rPr>
        <w:t>keeper</w:t>
      </w:r>
      <w:r w:rsidR="00AC2DC6">
        <w:rPr>
          <w:rFonts w:eastAsia="Calibri" w:cs="Times New Roman"/>
          <w:szCs w:val="24"/>
        </w:rPr>
        <w:t xml:space="preserve"> is approximately $</w:t>
      </w:r>
      <w:r w:rsidR="006821E5">
        <w:rPr>
          <w:rFonts w:eastAsia="Calibri" w:cs="Times New Roman"/>
          <w:szCs w:val="24"/>
        </w:rPr>
        <w:t>163,625</w:t>
      </w:r>
      <w:r w:rsidRPr="008B22F2" w:rsidR="00AC2DC6">
        <w:rPr>
          <w:rFonts w:eastAsia="Calibri" w:cs="Times New Roman"/>
          <w:szCs w:val="24"/>
        </w:rPr>
        <w:t>.</w:t>
      </w:r>
    </w:p>
    <w:p w:rsidR="00737D9F" w:rsidP="00D30493" w:rsidRDefault="00737D9F" w14:paraId="65C5E035" w14:textId="77777777">
      <w:pPr>
        <w:ind w:firstLine="720"/>
        <w:jc w:val="both"/>
        <w:rPr>
          <w:rFonts w:eastAsia="Calibri" w:cs="Times New Roman"/>
          <w:szCs w:val="24"/>
        </w:rPr>
      </w:pPr>
    </w:p>
    <w:p w:rsidR="00E40602" w:rsidP="006373AD" w:rsidRDefault="009A6F00" w14:paraId="73373DF9" w14:textId="77777777">
      <w:pPr>
        <w:ind w:firstLine="720"/>
        <w:jc w:val="both"/>
        <w:rPr>
          <w:rFonts w:eastAsia="Times New Roman" w:cs="Times New Roman"/>
          <w:color w:val="000000"/>
          <w:szCs w:val="24"/>
        </w:rPr>
      </w:pPr>
      <w:r>
        <w:rPr>
          <w:rFonts w:eastAsia="Times New Roman" w:cs="Times New Roman"/>
          <w:color w:val="000000"/>
          <w:szCs w:val="24"/>
        </w:rPr>
        <w:lastRenderedPageBreak/>
        <w:t>Regulation</w:t>
      </w:r>
      <w:r w:rsidRPr="00D30493" w:rsidR="006373AD">
        <w:rPr>
          <w:rFonts w:eastAsia="Times New Roman" w:cs="Times New Roman"/>
          <w:color w:val="000000"/>
          <w:szCs w:val="24"/>
        </w:rPr>
        <w:t xml:space="preserve"> 150.9 establish</w:t>
      </w:r>
      <w:r>
        <w:rPr>
          <w:rFonts w:eastAsia="Times New Roman" w:cs="Times New Roman"/>
          <w:color w:val="000000"/>
          <w:szCs w:val="24"/>
        </w:rPr>
        <w:t>es</w:t>
      </w:r>
      <w:r w:rsidRPr="00D30493" w:rsidR="006373AD">
        <w:rPr>
          <w:rFonts w:eastAsia="Times New Roman" w:cs="Times New Roman"/>
          <w:color w:val="000000"/>
          <w:szCs w:val="24"/>
        </w:rPr>
        <w:t xml:space="preserve"> a new streamlined process in which a trader c</w:t>
      </w:r>
      <w:r w:rsidR="00925F5D">
        <w:rPr>
          <w:rFonts w:eastAsia="Times New Roman" w:cs="Times New Roman"/>
          <w:color w:val="000000"/>
          <w:szCs w:val="24"/>
        </w:rPr>
        <w:t>an</w:t>
      </w:r>
      <w:r w:rsidRPr="00D30493" w:rsidR="006373AD">
        <w:rPr>
          <w:rFonts w:eastAsia="Times New Roman" w:cs="Times New Roman"/>
          <w:color w:val="000000"/>
          <w:szCs w:val="24"/>
        </w:rPr>
        <w:t xml:space="preserve"> apply </w:t>
      </w:r>
      <w:r w:rsidR="005D30BB">
        <w:rPr>
          <w:rFonts w:eastAsia="Times New Roman" w:cs="Times New Roman"/>
          <w:color w:val="000000"/>
          <w:szCs w:val="24"/>
        </w:rPr>
        <w:t xml:space="preserve">with an initial submission </w:t>
      </w:r>
      <w:r w:rsidRPr="00D30493" w:rsidR="006373AD">
        <w:rPr>
          <w:rFonts w:eastAsia="Times New Roman" w:cs="Times New Roman"/>
          <w:color w:val="000000"/>
          <w:szCs w:val="24"/>
        </w:rPr>
        <w:t xml:space="preserve">through an exchange to request a non-enumerated bona fide hedging recognition from federal position limits. </w:t>
      </w:r>
      <w:r>
        <w:rPr>
          <w:rFonts w:eastAsia="Times New Roman" w:cs="Times New Roman"/>
          <w:color w:val="000000"/>
          <w:szCs w:val="24"/>
        </w:rPr>
        <w:t xml:space="preserve"> </w:t>
      </w:r>
      <w:r w:rsidRPr="00D30493" w:rsidR="006373AD">
        <w:rPr>
          <w:rFonts w:eastAsia="Times New Roman" w:cs="Times New Roman"/>
          <w:color w:val="000000"/>
          <w:szCs w:val="24"/>
        </w:rPr>
        <w:t>As part of the process, § 150.9 create</w:t>
      </w:r>
      <w:r>
        <w:rPr>
          <w:rFonts w:eastAsia="Times New Roman" w:cs="Times New Roman"/>
          <w:color w:val="000000"/>
          <w:szCs w:val="24"/>
        </w:rPr>
        <w:t>s</w:t>
      </w:r>
      <w:r w:rsidRPr="00D30493" w:rsidR="006373AD">
        <w:rPr>
          <w:rFonts w:eastAsia="Times New Roman" w:cs="Times New Roman"/>
          <w:color w:val="000000"/>
          <w:szCs w:val="24"/>
        </w:rPr>
        <w:t xml:space="preserve"> certain recordkeeping and reporting obligations on the market participant and the exchange, including: (</w:t>
      </w:r>
      <w:proofErr w:type="spellStart"/>
      <w:r w:rsidRPr="00D30493" w:rsidR="006373AD">
        <w:rPr>
          <w:rFonts w:eastAsia="Times New Roman" w:cs="Times New Roman"/>
          <w:color w:val="000000"/>
          <w:szCs w:val="24"/>
        </w:rPr>
        <w:t>i</w:t>
      </w:r>
      <w:proofErr w:type="spellEnd"/>
      <w:r w:rsidRPr="00D30493" w:rsidR="006373AD">
        <w:rPr>
          <w:rFonts w:eastAsia="Times New Roman" w:cs="Times New Roman"/>
          <w:color w:val="000000"/>
          <w:szCs w:val="24"/>
        </w:rPr>
        <w:t>) an application to request non-enumerated bona fide hedge recognitions, which the trader  submit</w:t>
      </w:r>
      <w:r>
        <w:rPr>
          <w:rFonts w:eastAsia="Times New Roman" w:cs="Times New Roman"/>
          <w:color w:val="000000"/>
          <w:szCs w:val="24"/>
        </w:rPr>
        <w:t>s</w:t>
      </w:r>
      <w:r w:rsidRPr="00D30493" w:rsidR="006373AD">
        <w:rPr>
          <w:rFonts w:eastAsia="Times New Roman" w:cs="Times New Roman"/>
          <w:color w:val="000000"/>
          <w:szCs w:val="24"/>
        </w:rPr>
        <w:t xml:space="preserve"> to the exchange and which the exchange subsequently provide</w:t>
      </w:r>
      <w:r>
        <w:rPr>
          <w:rFonts w:eastAsia="Times New Roman" w:cs="Times New Roman"/>
          <w:color w:val="000000"/>
          <w:szCs w:val="24"/>
        </w:rPr>
        <w:t>s</w:t>
      </w:r>
      <w:r w:rsidRPr="00D30493" w:rsidR="006373AD">
        <w:rPr>
          <w:rFonts w:eastAsia="Times New Roman" w:cs="Times New Roman"/>
          <w:color w:val="000000"/>
          <w:szCs w:val="24"/>
        </w:rPr>
        <w:t xml:space="preserve"> to the Commission if the exchange approves the application for purposes of exchange-set limits; (ii) a notification to the Commission and the applicant of the exchange’s determination for purposes of exchange limits regarding the trader’s request for recognition of a bona fide hedge exemption; (iii) and a requirement to maintain full, complete and systematic records for Commission review of the exchange’s decisions. </w:t>
      </w:r>
      <w:r>
        <w:rPr>
          <w:rFonts w:eastAsia="Times New Roman" w:cs="Times New Roman"/>
          <w:color w:val="000000"/>
          <w:szCs w:val="24"/>
        </w:rPr>
        <w:t xml:space="preserve"> </w:t>
      </w:r>
      <w:r w:rsidRPr="00D30493" w:rsidR="006373AD">
        <w:rPr>
          <w:rFonts w:eastAsia="Times New Roman" w:cs="Times New Roman"/>
          <w:color w:val="000000"/>
          <w:szCs w:val="24"/>
        </w:rPr>
        <w:t>The Commission believes that the exchanges that will elect to process applications for non-enumerated bona fide hedging exemptions under § 150.9 already have similar processes for the review and disposition of such exemption applications in place through their rulebooks for purposes of exchange-set position limits.</w:t>
      </w:r>
      <w:r w:rsidR="006373AD">
        <w:rPr>
          <w:rFonts w:eastAsia="Times New Roman" w:cs="Times New Roman"/>
          <w:color w:val="000000"/>
          <w:szCs w:val="24"/>
        </w:rPr>
        <w:t xml:space="preserve">  </w:t>
      </w:r>
    </w:p>
    <w:p w:rsidR="00204239" w:rsidP="006373AD" w:rsidRDefault="00204239" w14:paraId="295168CD" w14:textId="77777777">
      <w:pPr>
        <w:ind w:firstLine="720"/>
        <w:jc w:val="both"/>
        <w:rPr>
          <w:rFonts w:eastAsia="Times New Roman" w:cs="Times New Roman"/>
          <w:color w:val="000000"/>
          <w:szCs w:val="24"/>
        </w:rPr>
      </w:pPr>
    </w:p>
    <w:p w:rsidR="009C3CD6" w:rsidP="00204239" w:rsidRDefault="00204239" w14:paraId="332E5751" w14:textId="77777777">
      <w:pPr>
        <w:autoSpaceDE w:val="0"/>
        <w:autoSpaceDN w:val="0"/>
        <w:adjustRightInd w:val="0"/>
        <w:ind w:firstLine="720"/>
        <w:contextualSpacing/>
        <w:rPr>
          <w:rFonts w:cs="Times New Roman"/>
          <w:szCs w:val="24"/>
        </w:rPr>
      </w:pPr>
      <w:r w:rsidRPr="00205969">
        <w:rPr>
          <w:rFonts w:cs="Times New Roman"/>
          <w:bCs/>
          <w:szCs w:val="24"/>
        </w:rPr>
        <w:t xml:space="preserve">Accordingly, the estimated burden on an exchange to comply with § 150.9 will be less burdensome because the exchanges may leverage their existing policies and procedures to comply with the </w:t>
      </w:r>
      <w:r>
        <w:rPr>
          <w:rFonts w:cs="Times New Roman"/>
          <w:bCs/>
          <w:szCs w:val="24"/>
        </w:rPr>
        <w:t>Final Rule</w:t>
      </w:r>
      <w:r w:rsidRPr="00205969">
        <w:rPr>
          <w:rFonts w:cs="Times New Roman"/>
          <w:bCs/>
          <w:szCs w:val="24"/>
        </w:rPr>
        <w:t xml:space="preserve">.  </w:t>
      </w:r>
      <w:r w:rsidRPr="00205969">
        <w:rPr>
          <w:rFonts w:cs="Times New Roman"/>
          <w:szCs w:val="24"/>
        </w:rPr>
        <w:t>The Commission estimates that six exchanges will elect to process applications for non-enumerated bona fide hedge recognitions that satisfy the federal position limit requirements under § 150.9, and will be required to file amended rulebooks pursuant to part 40 of the Commission’s regulations.  The Commission bases its estimate on the number of exchanges that have submitted similar rules to the Commission in the past.</w:t>
      </w:r>
    </w:p>
    <w:p w:rsidRPr="00205969" w:rsidR="00204239" w:rsidP="00204239" w:rsidRDefault="00204239" w14:paraId="13D885E9" w14:textId="77777777">
      <w:pPr>
        <w:autoSpaceDE w:val="0"/>
        <w:autoSpaceDN w:val="0"/>
        <w:adjustRightInd w:val="0"/>
        <w:ind w:firstLine="720"/>
        <w:contextualSpacing/>
        <w:rPr>
          <w:rFonts w:cs="Times New Roman"/>
          <w:bCs/>
          <w:szCs w:val="24"/>
        </w:rPr>
      </w:pPr>
      <w:r w:rsidRPr="00205969" w:rsidDel="005834F8">
        <w:rPr>
          <w:rFonts w:cs="Times New Roman"/>
          <w:szCs w:val="24"/>
        </w:rPr>
        <w:t xml:space="preserve"> </w:t>
      </w:r>
    </w:p>
    <w:p w:rsidR="00204239" w:rsidP="00204239" w:rsidRDefault="009C3CD6" w14:paraId="7495FA0F" w14:textId="77777777">
      <w:pPr>
        <w:autoSpaceDE w:val="0"/>
        <w:autoSpaceDN w:val="0"/>
        <w:adjustRightInd w:val="0"/>
        <w:ind w:firstLine="720"/>
        <w:contextualSpacing/>
        <w:rPr>
          <w:rFonts w:cs="Times New Roman"/>
          <w:szCs w:val="24"/>
        </w:rPr>
      </w:pPr>
      <w:r>
        <w:rPr>
          <w:rFonts w:cs="Times New Roman"/>
          <w:szCs w:val="24"/>
        </w:rPr>
        <w:t>Regulation</w:t>
      </w:r>
      <w:r w:rsidRPr="00205969" w:rsidR="00204239">
        <w:rPr>
          <w:rFonts w:cs="Times New Roman"/>
          <w:szCs w:val="24"/>
        </w:rPr>
        <w:t xml:space="preserve"> 150.9(c) requires a trader to submit an application with </w:t>
      </w:r>
      <w:r w:rsidR="00204239">
        <w:rPr>
          <w:rFonts w:cs="Times New Roman"/>
          <w:szCs w:val="24"/>
        </w:rPr>
        <w:t>certain</w:t>
      </w:r>
      <w:r w:rsidRPr="00205969" w:rsidR="00204239">
        <w:rPr>
          <w:rFonts w:cs="Times New Roman"/>
          <w:szCs w:val="24"/>
        </w:rPr>
        <w:t xml:space="preserve"> information to enable the exchange to determine whether it should recognize a position as a bona fide hedge for purposes of </w:t>
      </w:r>
      <w:r w:rsidR="00204239">
        <w:rPr>
          <w:rFonts w:cs="Times New Roman"/>
          <w:szCs w:val="24"/>
        </w:rPr>
        <w:t>exchange-set</w:t>
      </w:r>
      <w:r w:rsidRPr="00205969" w:rsidR="00204239">
        <w:rPr>
          <w:rFonts w:cs="Times New Roman"/>
          <w:szCs w:val="24"/>
        </w:rPr>
        <w:t xml:space="preserve"> position limits</w:t>
      </w:r>
      <w:r w:rsidR="00204239">
        <w:rPr>
          <w:rFonts w:cs="Times New Roman"/>
          <w:szCs w:val="24"/>
        </w:rPr>
        <w:t>.</w:t>
      </w:r>
      <w:r w:rsidRPr="00205969" w:rsidR="00204239">
        <w:rPr>
          <w:rFonts w:cs="Times New Roman"/>
          <w:szCs w:val="24"/>
        </w:rPr>
        <w:t xml:space="preserve">  Each applicant will need to reapply</w:t>
      </w:r>
      <w:r w:rsidR="00204239">
        <w:rPr>
          <w:rFonts w:cs="Times New Roman"/>
          <w:szCs w:val="24"/>
        </w:rPr>
        <w:t xml:space="preserve"> to the exchange</w:t>
      </w:r>
      <w:r w:rsidRPr="00205969" w:rsidR="00204239">
        <w:rPr>
          <w:rFonts w:cs="Times New Roman"/>
          <w:szCs w:val="24"/>
        </w:rPr>
        <w:t xml:space="preserve"> for its non-enumerated bona fide hedge recognition </w:t>
      </w:r>
      <w:r w:rsidR="00025E5D">
        <w:rPr>
          <w:rFonts w:cs="Times New Roman"/>
          <w:szCs w:val="24"/>
        </w:rPr>
        <w:t xml:space="preserve">for the purpose of exchange-set position limits </w:t>
      </w:r>
      <w:r w:rsidRPr="00205969" w:rsidR="00204239">
        <w:rPr>
          <w:rFonts w:cs="Times New Roman"/>
          <w:szCs w:val="24"/>
        </w:rPr>
        <w:t xml:space="preserve">at least on an annual basis by updating its original application.  The Commission expects that traders will benefit from the </w:t>
      </w:r>
      <w:r w:rsidR="00204239">
        <w:rPr>
          <w:rFonts w:cs="Times New Roman"/>
          <w:szCs w:val="24"/>
        </w:rPr>
        <w:t>streamlined</w:t>
      </w:r>
      <w:r w:rsidRPr="00205969" w:rsidR="00204239">
        <w:rPr>
          <w:rFonts w:cs="Times New Roman"/>
          <w:szCs w:val="24"/>
        </w:rPr>
        <w:t xml:space="preserve"> framework established under §</w:t>
      </w:r>
      <w:r w:rsidR="00204239">
        <w:rPr>
          <w:rFonts w:cs="Times New Roman"/>
          <w:szCs w:val="24"/>
        </w:rPr>
        <w:t xml:space="preserve"> </w:t>
      </w:r>
      <w:r w:rsidRPr="00205969" w:rsidR="00204239">
        <w:rPr>
          <w:rFonts w:cs="Times New Roman"/>
          <w:szCs w:val="24"/>
        </w:rPr>
        <w:t xml:space="preserve">150.9 because traders may submit one application to obtain a non-enumerated bona fide hedge recognition for purposes of both exchange-set and federal </w:t>
      </w:r>
      <w:r w:rsidR="00204239">
        <w:rPr>
          <w:rFonts w:eastAsia="Times New Roman" w:cs="Times New Roman"/>
          <w:bCs/>
          <w:szCs w:val="24"/>
        </w:rPr>
        <w:t xml:space="preserve">position </w:t>
      </w:r>
      <w:r w:rsidRPr="00205969" w:rsidR="00204239">
        <w:rPr>
          <w:rFonts w:cs="Times New Roman"/>
          <w:szCs w:val="24"/>
        </w:rPr>
        <w:t>limits, as opposed to submitting separate applications to the Commission for federal position limit purposes and separate applications to an exchange for exchange limit purposes.</w:t>
      </w:r>
      <w:r w:rsidRPr="00205969" w:rsidR="00204239">
        <w:rPr>
          <w:rFonts w:cs="Times New Roman"/>
          <w:szCs w:val="24"/>
          <w:vertAlign w:val="superscript"/>
        </w:rPr>
        <w:footnoteReference w:id="22"/>
      </w:r>
      <w:r w:rsidRPr="00205969" w:rsidR="00204239">
        <w:rPr>
          <w:rFonts w:cs="Times New Roman"/>
          <w:szCs w:val="24"/>
        </w:rPr>
        <w:t xml:space="preserve">  </w:t>
      </w:r>
    </w:p>
    <w:p w:rsidRPr="00205969" w:rsidR="00091B2A" w:rsidP="00204239" w:rsidRDefault="00091B2A" w14:paraId="38A6F70E" w14:textId="77777777">
      <w:pPr>
        <w:autoSpaceDE w:val="0"/>
        <w:autoSpaceDN w:val="0"/>
        <w:adjustRightInd w:val="0"/>
        <w:ind w:firstLine="720"/>
        <w:contextualSpacing/>
        <w:rPr>
          <w:rFonts w:cs="Times New Roman"/>
          <w:szCs w:val="24"/>
        </w:rPr>
      </w:pPr>
    </w:p>
    <w:p w:rsidR="00204239" w:rsidP="00204239" w:rsidRDefault="00204239" w14:paraId="7860933F" w14:textId="77777777">
      <w:pPr>
        <w:ind w:firstLine="720"/>
        <w:jc w:val="both"/>
        <w:rPr>
          <w:rFonts w:eastAsia="Times New Roman" w:cs="Times New Roman"/>
          <w:color w:val="000000"/>
          <w:szCs w:val="24"/>
        </w:rPr>
      </w:pPr>
      <w:r w:rsidRPr="00205969">
        <w:rPr>
          <w:rFonts w:cs="Times New Roman"/>
          <w:szCs w:val="24"/>
        </w:rPr>
        <w:t xml:space="preserve">Accordingly, the estimated burden for traders requesting non-enumerated bona fide hedge recognitions from exchange-set limits under § 150.5(a) will subsume the burden estimates in connection with § 150.9 for requesting non-enumerated bona fide hedge </w:t>
      </w:r>
      <w:r w:rsidR="009C3CD6">
        <w:rPr>
          <w:rFonts w:cs="Times New Roman"/>
          <w:szCs w:val="24"/>
        </w:rPr>
        <w:t>recognition</w:t>
      </w:r>
      <w:r w:rsidRPr="00205969">
        <w:rPr>
          <w:rFonts w:cs="Times New Roman"/>
          <w:szCs w:val="24"/>
        </w:rPr>
        <w:t>s from federal position limits since the Commission believes exchanges will combine the two processes (</w:t>
      </w:r>
      <w:r w:rsidRPr="00205969">
        <w:rPr>
          <w:rFonts w:cs="Times New Roman"/>
          <w:i/>
          <w:szCs w:val="24"/>
        </w:rPr>
        <w:t>i.e.</w:t>
      </w:r>
      <w:r w:rsidRPr="00205969">
        <w:rPr>
          <w:rFonts w:cs="Times New Roman"/>
          <w:szCs w:val="24"/>
        </w:rPr>
        <w:t>, any trader who ap</w:t>
      </w:r>
      <w:r w:rsidR="009C3CD6">
        <w:rPr>
          <w:rFonts w:cs="Times New Roman"/>
          <w:szCs w:val="24"/>
        </w:rPr>
        <w:t>plies through an exchange under</w:t>
      </w:r>
      <w:r w:rsidRPr="00205969">
        <w:rPr>
          <w:rFonts w:cs="Times New Roman"/>
          <w:szCs w:val="24"/>
        </w:rPr>
        <w:t xml:space="preserve"> § 150.9 for a non-enumerated bona fide hedge for </w:t>
      </w:r>
      <w:bookmarkStart w:name="_Hlk56765002" w:id="6"/>
      <w:r w:rsidRPr="00205969">
        <w:rPr>
          <w:rFonts w:cs="Times New Roman"/>
          <w:szCs w:val="24"/>
        </w:rPr>
        <w:lastRenderedPageBreak/>
        <w:t>federal position limits purposes also will be deemed to be applying at the same time under §</w:t>
      </w:r>
      <w:r>
        <w:rPr>
          <w:rFonts w:cs="Times New Roman"/>
          <w:szCs w:val="24"/>
        </w:rPr>
        <w:t> </w:t>
      </w:r>
      <w:r w:rsidRPr="00205969">
        <w:rPr>
          <w:rFonts w:cs="Times New Roman"/>
          <w:szCs w:val="24"/>
        </w:rPr>
        <w:t>150.5(a) for exchange position limits purposes and thus it would not be appropriate to distinguish between the two for PRA purposes).  Accordingly, the Commission anticipates that six exchanges each will receive only one application for a non-enumerated bo</w:t>
      </w:r>
      <w:r w:rsidR="009C3CD6">
        <w:rPr>
          <w:rFonts w:cs="Times New Roman"/>
          <w:szCs w:val="24"/>
        </w:rPr>
        <w:t>na fide hedge recognition under</w:t>
      </w:r>
      <w:r w:rsidRPr="00205969">
        <w:rPr>
          <w:rFonts w:cs="Times New Roman"/>
          <w:szCs w:val="24"/>
        </w:rPr>
        <w:t xml:space="preserve"> § 150.9 for a total of six aggregate annual applications for all exchanges; however, as noted above, this amount is included in the Commissio</w:t>
      </w:r>
      <w:r w:rsidR="009C3CD6">
        <w:rPr>
          <w:rFonts w:cs="Times New Roman"/>
          <w:szCs w:val="24"/>
        </w:rPr>
        <w:t>n’s estimate in connection with</w:t>
      </w:r>
      <w:r w:rsidRPr="00205969">
        <w:rPr>
          <w:rFonts w:cs="Times New Roman"/>
          <w:szCs w:val="24"/>
        </w:rPr>
        <w:t xml:space="preserve"> § 150.5(a).</w:t>
      </w:r>
      <w:r w:rsidRPr="00205969">
        <w:rPr>
          <w:rFonts w:cs="Times New Roman"/>
          <w:szCs w:val="24"/>
          <w:vertAlign w:val="superscript"/>
        </w:rPr>
        <w:footnoteReference w:id="23"/>
      </w:r>
      <w:r w:rsidRPr="00205969">
        <w:rPr>
          <w:rFonts w:cs="Times New Roman"/>
          <w:szCs w:val="24"/>
        </w:rPr>
        <w:t xml:space="preserve">  Specifically, as discussed above in connection with § 150.5(a), </w:t>
      </w:r>
      <w:r w:rsidRPr="00205969">
        <w:rPr>
          <w:rFonts w:cs="Times New Roman"/>
          <w:bCs/>
          <w:szCs w:val="24"/>
        </w:rPr>
        <w:t>the Commission estimates under §§ 150.5(a) and 150.9(a) that 425 traders will submit applications to claim exemptions and/or bona fide hedge recognitions for contracts subject to federal position limits</w:t>
      </w:r>
      <w:r w:rsidRPr="00205969">
        <w:rPr>
          <w:rFonts w:cs="Times New Roman"/>
          <w:szCs w:val="24"/>
        </w:rPr>
        <w:t xml:space="preserve"> as </w:t>
      </w:r>
      <w:r w:rsidRPr="00205969">
        <w:rPr>
          <w:rFonts w:cs="Times New Roman"/>
          <w:bCs/>
          <w:szCs w:val="24"/>
        </w:rPr>
        <w:t>set forth in § 150.2.</w:t>
      </w:r>
      <w:r w:rsidRPr="00205969">
        <w:rPr>
          <w:rFonts w:cs="Times New Roman"/>
          <w:bCs/>
          <w:szCs w:val="24"/>
          <w:vertAlign w:val="superscript"/>
        </w:rPr>
        <w:footnoteReference w:id="24"/>
      </w:r>
    </w:p>
    <w:p w:rsidR="006373AD" w:rsidP="00E522E7" w:rsidRDefault="006373AD" w14:paraId="2BFDDCD0" w14:textId="77777777">
      <w:pPr>
        <w:jc w:val="right"/>
        <w:rPr>
          <w:rFonts w:eastAsia="Times New Roman" w:cs="Times New Roman"/>
          <w:color w:val="000000"/>
          <w:szCs w:val="24"/>
        </w:rPr>
      </w:pPr>
    </w:p>
    <w:p w:rsidRPr="00974997" w:rsidR="00D30493" w:rsidP="00D30493" w:rsidRDefault="00914089" w14:paraId="450CD408" w14:textId="77777777">
      <w:pPr>
        <w:ind w:firstLine="720"/>
        <w:jc w:val="both"/>
        <w:rPr>
          <w:szCs w:val="24"/>
        </w:rPr>
      </w:pPr>
      <w:r>
        <w:rPr>
          <w:rFonts w:eastAsia="Times New Roman" w:cs="Times New Roman"/>
          <w:color w:val="000000"/>
          <w:szCs w:val="24"/>
        </w:rPr>
        <w:t>Regulation</w:t>
      </w:r>
      <w:r w:rsidRPr="00D30493" w:rsidR="00D30493">
        <w:rPr>
          <w:rFonts w:eastAsia="Times New Roman" w:cs="Times New Roman"/>
          <w:color w:val="000000"/>
          <w:szCs w:val="24"/>
        </w:rPr>
        <w:t xml:space="preserve"> 150.9(d) require</w:t>
      </w:r>
      <w:r w:rsidR="00D5621D">
        <w:rPr>
          <w:rFonts w:eastAsia="Times New Roman" w:cs="Times New Roman"/>
          <w:color w:val="000000"/>
          <w:szCs w:val="24"/>
        </w:rPr>
        <w:t>s</w:t>
      </w:r>
      <w:r w:rsidRPr="00D30493" w:rsidR="00D30493">
        <w:rPr>
          <w:rFonts w:eastAsia="Times New Roman" w:cs="Times New Roman"/>
          <w:color w:val="000000"/>
          <w:szCs w:val="24"/>
        </w:rPr>
        <w:t xml:space="preserve"> exchanges to keep full, complete, and systematic records, including all pertinent data and memoranda, of all activities relating to the processing of such applications </w:t>
      </w:r>
      <w:r w:rsidRPr="00974997" w:rsidR="00D30493">
        <w:rPr>
          <w:rFonts w:eastAsia="Times New Roman" w:cs="Times New Roman"/>
          <w:color w:val="000000"/>
          <w:szCs w:val="24"/>
        </w:rPr>
        <w:t xml:space="preserve">and the disposition thereof. </w:t>
      </w:r>
      <w:r w:rsidR="00EB6497">
        <w:rPr>
          <w:rFonts w:eastAsia="Times New Roman" w:cs="Times New Roman"/>
          <w:color w:val="000000"/>
          <w:szCs w:val="24"/>
        </w:rPr>
        <w:t xml:space="preserve"> </w:t>
      </w:r>
      <w:r w:rsidRPr="00974997" w:rsidR="00D30493">
        <w:rPr>
          <w:rFonts w:eastAsia="Times New Roman" w:cs="Times New Roman"/>
          <w:color w:val="000000"/>
          <w:szCs w:val="24"/>
        </w:rPr>
        <w:t>In addition, as provided for in § 150.9(g)</w:t>
      </w:r>
      <w:r w:rsidR="00253D81">
        <w:rPr>
          <w:rFonts w:eastAsia="Times New Roman" w:cs="Times New Roman"/>
          <w:color w:val="000000"/>
          <w:szCs w:val="24"/>
        </w:rPr>
        <w:t xml:space="preserve"> and existing </w:t>
      </w:r>
      <w:r w:rsidRPr="00974997" w:rsidR="00253D81">
        <w:rPr>
          <w:rFonts w:eastAsia="Times New Roman" w:cs="Times New Roman"/>
          <w:color w:val="000000"/>
          <w:szCs w:val="24"/>
        </w:rPr>
        <w:t>§</w:t>
      </w:r>
      <w:r w:rsidR="00253D81">
        <w:rPr>
          <w:rFonts w:eastAsia="Times New Roman" w:cs="Times New Roman"/>
          <w:color w:val="000000"/>
          <w:szCs w:val="24"/>
        </w:rPr>
        <w:t xml:space="preserve"> 1.31</w:t>
      </w:r>
      <w:r w:rsidRPr="00974997" w:rsidR="00D30493">
        <w:rPr>
          <w:rFonts w:eastAsia="Times New Roman" w:cs="Times New Roman"/>
          <w:color w:val="000000"/>
          <w:szCs w:val="24"/>
        </w:rPr>
        <w:t xml:space="preserve">, the Commission may, in its discretion, at any time, review the </w:t>
      </w:r>
      <w:r w:rsidR="00253D81">
        <w:rPr>
          <w:rFonts w:eastAsia="Times New Roman" w:cs="Times New Roman"/>
          <w:color w:val="000000"/>
          <w:szCs w:val="24"/>
        </w:rPr>
        <w:t>exchange</w:t>
      </w:r>
      <w:r w:rsidRPr="00974997" w:rsidR="00D30493">
        <w:rPr>
          <w:rFonts w:eastAsia="Times New Roman" w:cs="Times New Roman"/>
          <w:color w:val="000000"/>
          <w:szCs w:val="24"/>
        </w:rPr>
        <w:t>’s records retained pursuant to § 150.9(d)</w:t>
      </w:r>
      <w:r w:rsidR="00253D81">
        <w:rPr>
          <w:rFonts w:eastAsia="Times New Roman" w:cs="Times New Roman"/>
          <w:color w:val="000000"/>
          <w:szCs w:val="24"/>
        </w:rPr>
        <w:t xml:space="preserve"> </w:t>
      </w:r>
      <w:r w:rsidR="00253D81">
        <w:rPr>
          <w:rFonts w:cs="Times New Roman"/>
          <w:bCs/>
          <w:szCs w:val="24"/>
        </w:rPr>
        <w:t>or request additional information pursuant to § 150.9(e)(5)</w:t>
      </w:r>
      <w:r w:rsidRPr="00974997" w:rsidR="00D30493">
        <w:rPr>
          <w:rFonts w:eastAsia="Times New Roman" w:cs="Times New Roman"/>
          <w:color w:val="000000"/>
          <w:szCs w:val="24"/>
        </w:rPr>
        <w:t xml:space="preserve">. </w:t>
      </w:r>
      <w:r w:rsidR="008D40CF">
        <w:rPr>
          <w:rFonts w:eastAsia="Times New Roman" w:cs="Times New Roman"/>
          <w:color w:val="000000"/>
          <w:szCs w:val="24"/>
        </w:rPr>
        <w:t xml:space="preserve"> </w:t>
      </w:r>
      <w:r w:rsidRPr="00205969" w:rsidR="008D40CF">
        <w:rPr>
          <w:rFonts w:cs="Times New Roman"/>
          <w:bCs/>
          <w:szCs w:val="24"/>
        </w:rPr>
        <w:t xml:space="preserve">The recordkeeping requirement is necessary for the Commission to </w:t>
      </w:r>
      <w:r w:rsidRPr="00205969" w:rsidR="008D40CF">
        <w:rPr>
          <w:rFonts w:cs="Times New Roman"/>
          <w:szCs w:val="24"/>
        </w:rPr>
        <w:t>review the exchanges’ processes, retention of records, and compliance with requirements establ</w:t>
      </w:r>
      <w:r w:rsidR="008D40CF">
        <w:rPr>
          <w:rFonts w:cs="Times New Roman"/>
          <w:szCs w:val="24"/>
        </w:rPr>
        <w:t xml:space="preserve">ished and implemented under </w:t>
      </w:r>
      <w:r w:rsidR="008D40CF">
        <w:rPr>
          <w:rFonts w:cs="Times New Roman"/>
          <w:bCs/>
          <w:szCs w:val="24"/>
        </w:rPr>
        <w:t>§ 150.9</w:t>
      </w:r>
      <w:r w:rsidRPr="00205969" w:rsidR="008D40CF">
        <w:rPr>
          <w:rFonts w:cs="Times New Roman"/>
          <w:szCs w:val="24"/>
        </w:rPr>
        <w:t>.</w:t>
      </w:r>
      <w:r w:rsidR="008D40CF">
        <w:rPr>
          <w:rFonts w:cs="Times New Roman"/>
          <w:szCs w:val="24"/>
        </w:rPr>
        <w:t xml:space="preserve">  </w:t>
      </w:r>
      <w:r w:rsidRPr="00974997" w:rsidR="004D1C2B">
        <w:rPr>
          <w:rFonts w:eastAsia="Times New Roman" w:cs="Times New Roman"/>
          <w:color w:val="000000"/>
          <w:szCs w:val="24"/>
        </w:rPr>
        <w:t xml:space="preserve">The Commission estimates that six exchanges </w:t>
      </w:r>
      <w:r w:rsidR="008D40CF">
        <w:rPr>
          <w:rFonts w:eastAsia="Times New Roman" w:cs="Times New Roman"/>
          <w:color w:val="000000"/>
          <w:szCs w:val="24"/>
        </w:rPr>
        <w:t>will</w:t>
      </w:r>
      <w:r w:rsidRPr="00974997" w:rsidR="004D1C2B">
        <w:rPr>
          <w:rFonts w:eastAsia="Times New Roman" w:cs="Times New Roman"/>
          <w:color w:val="000000"/>
          <w:szCs w:val="24"/>
        </w:rPr>
        <w:t xml:space="preserve"> each create one record in connection with § 150.9 each year for a total of six </w:t>
      </w:r>
      <w:r w:rsidRPr="00974997" w:rsidR="004D1C2B">
        <w:rPr>
          <w:szCs w:val="24"/>
        </w:rPr>
        <w:t xml:space="preserve">annual records for all respondents. </w:t>
      </w:r>
      <w:r w:rsidR="008D40CF">
        <w:rPr>
          <w:szCs w:val="24"/>
        </w:rPr>
        <w:t xml:space="preserve"> </w:t>
      </w:r>
      <w:r w:rsidRPr="00974997" w:rsidR="004D1C2B">
        <w:rPr>
          <w:szCs w:val="24"/>
        </w:rPr>
        <w:t>The Commission further estimates that it will take five hours to comply with the recordkeeping requirement of §150.9(d) for a total of five annual burden hours for each exchange and 30 aggregate annual burden hours across all exchanges.</w:t>
      </w:r>
      <w:r w:rsidRPr="00974997" w:rsidR="00AC2DC6">
        <w:rPr>
          <w:szCs w:val="24"/>
        </w:rPr>
        <w:t xml:space="preserve">  Assuming an estimated average burden hour cost of $77, the total annual burden hour cost for all six exchanges is approximately $2,310.</w:t>
      </w:r>
    </w:p>
    <w:p w:rsidR="004D1C2B" w:rsidP="00D30493" w:rsidRDefault="004D1C2B" w14:paraId="182F00CA" w14:textId="77777777">
      <w:pPr>
        <w:ind w:firstLine="720"/>
        <w:jc w:val="both"/>
        <w:rPr>
          <w:szCs w:val="24"/>
        </w:rPr>
      </w:pPr>
    </w:p>
    <w:p w:rsidR="00912F31" w:rsidP="00912F31" w:rsidRDefault="00450D22" w14:paraId="5E3DFC9A" w14:textId="77777777">
      <w:pPr>
        <w:ind w:firstLine="720"/>
        <w:jc w:val="both"/>
        <w:rPr>
          <w:rFonts w:eastAsia="Times New Roman" w:cs="Times New Roman"/>
          <w:bCs/>
          <w:color w:val="000000"/>
          <w:szCs w:val="24"/>
        </w:rPr>
      </w:pPr>
      <w:r>
        <w:rPr>
          <w:rFonts w:cs="Times New Roman"/>
          <w:bCs/>
          <w:szCs w:val="24"/>
        </w:rPr>
        <w:t xml:space="preserve">Regulation </w:t>
      </w:r>
      <w:r w:rsidRPr="00205969">
        <w:rPr>
          <w:rFonts w:cs="Times New Roman"/>
          <w:bCs/>
          <w:szCs w:val="24"/>
        </w:rPr>
        <w:t>150.9(d)</w:t>
      </w:r>
      <w:r w:rsidR="00912F31">
        <w:rPr>
          <w:rFonts w:cs="Times New Roman"/>
          <w:bCs/>
          <w:szCs w:val="24"/>
        </w:rPr>
        <w:t>(2),</w:t>
      </w:r>
      <w:r w:rsidRPr="00205969" w:rsidDel="00DE1A38">
        <w:rPr>
          <w:rFonts w:cs="Times New Roman"/>
          <w:bCs/>
          <w:szCs w:val="24"/>
        </w:rPr>
        <w:t xml:space="preserve"> </w:t>
      </w:r>
      <w:r w:rsidRPr="00205969">
        <w:rPr>
          <w:rFonts w:cs="Times New Roman"/>
          <w:bCs/>
          <w:szCs w:val="24"/>
        </w:rPr>
        <w:t>allows the Commission to inspect such books and records.</w:t>
      </w:r>
      <w:r w:rsidRPr="00205969">
        <w:rPr>
          <w:rFonts w:cs="Times New Roman"/>
          <w:bCs/>
          <w:szCs w:val="24"/>
          <w:vertAlign w:val="superscript"/>
        </w:rPr>
        <w:footnoteReference w:id="25"/>
      </w:r>
      <w:r w:rsidRPr="00205969">
        <w:rPr>
          <w:rFonts w:cs="Times New Roman"/>
          <w:bCs/>
          <w:szCs w:val="24"/>
        </w:rPr>
        <w:t xml:space="preserve">  In the event the Commission exercises its authority to inspect such books and records, it estimates </w:t>
      </w:r>
      <w:r w:rsidRPr="00205969">
        <w:rPr>
          <w:rFonts w:cs="Times New Roman"/>
          <w:bCs/>
          <w:szCs w:val="24"/>
        </w:rPr>
        <w:lastRenderedPageBreak/>
        <w:t xml:space="preserve">that the Commission will </w:t>
      </w:r>
      <w:r>
        <w:rPr>
          <w:rFonts w:cs="Times New Roman"/>
          <w:bCs/>
          <w:szCs w:val="24"/>
        </w:rPr>
        <w:t>conduct</w:t>
      </w:r>
      <w:r w:rsidRPr="00205969">
        <w:rPr>
          <w:rFonts w:cs="Times New Roman"/>
          <w:bCs/>
          <w:szCs w:val="24"/>
        </w:rPr>
        <w:t xml:space="preserve"> an inspection </w:t>
      </w:r>
      <w:r>
        <w:rPr>
          <w:rFonts w:cs="Times New Roman"/>
          <w:bCs/>
          <w:szCs w:val="24"/>
        </w:rPr>
        <w:t>of</w:t>
      </w:r>
      <w:r w:rsidRPr="00205969">
        <w:rPr>
          <w:rFonts w:cs="Times New Roman"/>
          <w:bCs/>
          <w:szCs w:val="24"/>
        </w:rPr>
        <w:t xml:space="preserve"> two exchanges per year and each exchange will incur four hours to make its books and records available to the Commission for review for a total of eight aggregate annual burden hours for the two estimated respondent exchanges.</w:t>
      </w:r>
      <w:r w:rsidRPr="00205969">
        <w:rPr>
          <w:rFonts w:cs="Times New Roman"/>
          <w:bCs/>
          <w:szCs w:val="24"/>
          <w:vertAlign w:val="superscript"/>
        </w:rPr>
        <w:footnoteReference w:id="26"/>
      </w:r>
      <w:r w:rsidR="00F05FDD">
        <w:rPr>
          <w:rFonts w:cs="Times New Roman"/>
          <w:bCs/>
          <w:szCs w:val="24"/>
        </w:rPr>
        <w:t xml:space="preserve">  </w:t>
      </w:r>
      <w:r w:rsidRPr="00974997" w:rsidR="00F05FDD">
        <w:rPr>
          <w:szCs w:val="24"/>
        </w:rPr>
        <w:t>Assuming an estimate</w:t>
      </w:r>
      <w:r w:rsidR="00F05FDD">
        <w:rPr>
          <w:szCs w:val="24"/>
        </w:rPr>
        <w:t>d average burden hour cost of $7</w:t>
      </w:r>
      <w:r w:rsidRPr="00974997" w:rsidR="00F05FDD">
        <w:rPr>
          <w:szCs w:val="24"/>
        </w:rPr>
        <w:t xml:space="preserve">7, the total annual burden hour cost for </w:t>
      </w:r>
      <w:r w:rsidR="00794CEF">
        <w:rPr>
          <w:szCs w:val="24"/>
        </w:rPr>
        <w:t>all 2 respondent</w:t>
      </w:r>
      <w:r w:rsidR="00F05FDD">
        <w:rPr>
          <w:szCs w:val="24"/>
        </w:rPr>
        <w:t>s is approximately $</w:t>
      </w:r>
      <w:r w:rsidR="00794CEF">
        <w:rPr>
          <w:szCs w:val="24"/>
        </w:rPr>
        <w:t>1,232</w:t>
      </w:r>
      <w:r w:rsidRPr="00974997" w:rsidR="00F05FDD">
        <w:rPr>
          <w:szCs w:val="24"/>
        </w:rPr>
        <w:t>.</w:t>
      </w:r>
      <w:r w:rsidRPr="00912F31" w:rsidR="00912F31">
        <w:rPr>
          <w:rFonts w:eastAsia="Times New Roman" w:cs="Times New Roman"/>
          <w:bCs/>
          <w:color w:val="000000"/>
          <w:szCs w:val="24"/>
        </w:rPr>
        <w:t xml:space="preserve"> </w:t>
      </w:r>
    </w:p>
    <w:bookmarkEnd w:id="6"/>
    <w:p w:rsidRPr="00974997" w:rsidR="00450D22" w:rsidP="00450D22" w:rsidRDefault="00450D22" w14:paraId="2A0AA209" w14:textId="2BC6F3E9">
      <w:pPr>
        <w:jc w:val="both"/>
        <w:rPr>
          <w:szCs w:val="24"/>
        </w:rPr>
      </w:pPr>
    </w:p>
    <w:p w:rsidRPr="00974997" w:rsidR="004D1C2B" w:rsidP="00D30493" w:rsidRDefault="004D1C2B" w14:paraId="74F70EC1" w14:textId="77777777">
      <w:pPr>
        <w:ind w:firstLine="720"/>
        <w:jc w:val="both"/>
        <w:rPr>
          <w:szCs w:val="24"/>
        </w:rPr>
      </w:pPr>
      <w:r w:rsidRPr="00974997">
        <w:rPr>
          <w:szCs w:val="24"/>
        </w:rPr>
        <w:t>Under § 150.9(e), an exchange need</w:t>
      </w:r>
      <w:r w:rsidR="00E6587E">
        <w:rPr>
          <w:szCs w:val="24"/>
        </w:rPr>
        <w:t>s</w:t>
      </w:r>
      <w:r w:rsidRPr="00974997">
        <w:rPr>
          <w:szCs w:val="24"/>
        </w:rPr>
        <w:t xml:space="preserve"> to provide an applicant and the Commission with notice of any approved application of an exchange’s determination to recognize bona fide hedges with respect to its own position limits for purposes of exceeding the federal position limits. </w:t>
      </w:r>
      <w:r w:rsidR="00AE5880">
        <w:rPr>
          <w:szCs w:val="24"/>
        </w:rPr>
        <w:t xml:space="preserve"> </w:t>
      </w:r>
      <w:r w:rsidRPr="00974997">
        <w:rPr>
          <w:szCs w:val="24"/>
        </w:rPr>
        <w:t>The Commission estimates that under § 150.9(e), 6 exchanges w</w:t>
      </w:r>
      <w:r w:rsidR="00AE5880">
        <w:rPr>
          <w:szCs w:val="24"/>
        </w:rPr>
        <w:t>ill</w:t>
      </w:r>
      <w:r w:rsidRPr="00974997">
        <w:rPr>
          <w:szCs w:val="24"/>
        </w:rPr>
        <w:t xml:space="preserve"> submit </w:t>
      </w:r>
      <w:r w:rsidR="00356C00">
        <w:rPr>
          <w:szCs w:val="24"/>
        </w:rPr>
        <w:t xml:space="preserve">such </w:t>
      </w:r>
      <w:r w:rsidRPr="00974997">
        <w:rPr>
          <w:szCs w:val="24"/>
        </w:rPr>
        <w:t xml:space="preserve">notifications. </w:t>
      </w:r>
      <w:r w:rsidR="00AE5880">
        <w:rPr>
          <w:szCs w:val="24"/>
        </w:rPr>
        <w:t xml:space="preserve"> </w:t>
      </w:r>
      <w:r w:rsidRPr="00974997">
        <w:rPr>
          <w:szCs w:val="24"/>
        </w:rPr>
        <w:t>The Commission estimates that each exchange on average w</w:t>
      </w:r>
      <w:r w:rsidR="001A7562">
        <w:rPr>
          <w:szCs w:val="24"/>
        </w:rPr>
        <w:t>ill</w:t>
      </w:r>
      <w:r w:rsidRPr="00974997">
        <w:rPr>
          <w:szCs w:val="24"/>
        </w:rPr>
        <w:t xml:space="preserve"> make 2 notifications: one notification each to the applicant trader and to the Commission each year for a total of 12 notices for all exchanges. </w:t>
      </w:r>
      <w:r w:rsidR="001A7562">
        <w:rPr>
          <w:szCs w:val="24"/>
        </w:rPr>
        <w:t xml:space="preserve"> </w:t>
      </w:r>
      <w:r w:rsidRPr="00974997">
        <w:rPr>
          <w:szCs w:val="24"/>
        </w:rPr>
        <w:t>The Commission further estimates that it will take 0.5 hours to complete and file each notification for a total of one annual burden hour for each exchange and six burden hours for all exchanges</w:t>
      </w:r>
      <w:r w:rsidRPr="00974997" w:rsidR="003442B3">
        <w:rPr>
          <w:rFonts w:eastAsia="Calibri" w:cs="Times New Roman"/>
          <w:bCs/>
          <w:szCs w:val="24"/>
        </w:rPr>
        <w:t>.</w:t>
      </w:r>
      <w:r w:rsidRPr="00974997" w:rsidR="003442B3">
        <w:rPr>
          <w:rFonts w:eastAsia="Calibri" w:cs="Times New Roman"/>
          <w:bCs/>
          <w:szCs w:val="24"/>
          <w:vertAlign w:val="superscript"/>
        </w:rPr>
        <w:footnoteReference w:id="27"/>
      </w:r>
      <w:r w:rsidRPr="00974997" w:rsidR="00AC2DC6">
        <w:rPr>
          <w:rFonts w:eastAsia="Calibri" w:cs="Times New Roman"/>
          <w:bCs/>
          <w:szCs w:val="24"/>
        </w:rPr>
        <w:t xml:space="preserve">  </w:t>
      </w:r>
      <w:r w:rsidRPr="00974997" w:rsidR="00AC2DC6">
        <w:rPr>
          <w:szCs w:val="24"/>
        </w:rPr>
        <w:t>Assuming an estimated average burden hour cost of $77, the total annual burden hour cost for all 6 respondents is approximately $462.</w:t>
      </w:r>
    </w:p>
    <w:p w:rsidRPr="00974997" w:rsidR="003442B3" w:rsidP="00D30493" w:rsidRDefault="003442B3" w14:paraId="44FDFA00" w14:textId="77777777">
      <w:pPr>
        <w:ind w:firstLine="720"/>
        <w:jc w:val="both"/>
        <w:rPr>
          <w:szCs w:val="24"/>
        </w:rPr>
      </w:pPr>
    </w:p>
    <w:p w:rsidRPr="00974997" w:rsidR="00084BC1" w:rsidP="00084BC1" w:rsidRDefault="001A7562" w14:paraId="5E6C9D74" w14:textId="77777777">
      <w:pPr>
        <w:ind w:firstLine="720"/>
        <w:jc w:val="both"/>
        <w:rPr>
          <w:szCs w:val="24"/>
        </w:rPr>
      </w:pPr>
      <w:r w:rsidRPr="000D2090">
        <w:rPr>
          <w:rFonts w:cs="Times New Roman"/>
          <w:bCs/>
          <w:szCs w:val="24"/>
        </w:rPr>
        <w:t xml:space="preserve">In addition to submitting a copy of any exchange-approved non-enumerated bona fide hedge application to the Commission under § 150.9(e), </w:t>
      </w:r>
      <w:r>
        <w:rPr>
          <w:rFonts w:cs="Times New Roman"/>
          <w:bCs/>
          <w:szCs w:val="24"/>
        </w:rPr>
        <w:t>the preamble</w:t>
      </w:r>
      <w:r w:rsidR="00620C0E">
        <w:rPr>
          <w:rFonts w:cs="Times New Roman"/>
          <w:bCs/>
          <w:szCs w:val="24"/>
        </w:rPr>
        <w:t xml:space="preserve"> to the Final Rule</w:t>
      </w:r>
      <w:r>
        <w:rPr>
          <w:rFonts w:cs="Times New Roman"/>
          <w:bCs/>
          <w:szCs w:val="24"/>
        </w:rPr>
        <w:t xml:space="preserve"> clarifies that an </w:t>
      </w:r>
      <w:r w:rsidRPr="000D2090">
        <w:rPr>
          <w:rFonts w:cs="Times New Roman"/>
          <w:bCs/>
          <w:szCs w:val="24"/>
        </w:rPr>
        <w:t xml:space="preserve">exchange </w:t>
      </w:r>
      <w:r>
        <w:rPr>
          <w:rFonts w:cs="Times New Roman"/>
          <w:bCs/>
          <w:szCs w:val="24"/>
        </w:rPr>
        <w:t>may</w:t>
      </w:r>
      <w:r w:rsidRPr="000D2090">
        <w:rPr>
          <w:rFonts w:cs="Times New Roman"/>
          <w:bCs/>
          <w:szCs w:val="24"/>
        </w:rPr>
        <w:t xml:space="preserve">, on a voluntary basis, send the Commission an advance courtesy copy of </w:t>
      </w:r>
      <w:r>
        <w:rPr>
          <w:rFonts w:cs="Times New Roman"/>
          <w:bCs/>
          <w:szCs w:val="24"/>
        </w:rPr>
        <w:t xml:space="preserve">the </w:t>
      </w:r>
      <w:r w:rsidRPr="000D2090">
        <w:rPr>
          <w:rFonts w:cs="Times New Roman"/>
          <w:bCs/>
          <w:szCs w:val="24"/>
        </w:rPr>
        <w:t xml:space="preserve">non-enumerated bona fide hedge application when the exchange first receives it from the applicant. </w:t>
      </w:r>
      <w:r w:rsidR="00620C0E">
        <w:rPr>
          <w:rFonts w:cs="Times New Roman"/>
          <w:bCs/>
          <w:szCs w:val="24"/>
        </w:rPr>
        <w:t xml:space="preserve"> </w:t>
      </w:r>
      <w:r w:rsidRPr="000D2090">
        <w:rPr>
          <w:rFonts w:cs="Times New Roman"/>
          <w:bCs/>
          <w:szCs w:val="24"/>
        </w:rPr>
        <w:t xml:space="preserve">Although this advance courtesy copy would be a voluntary submission, it is still considered a new information collection under the PRA.  However, the Commission believes there is no corresponding burden for this filing because </w:t>
      </w:r>
      <w:r>
        <w:rPr>
          <w:rFonts w:cs="Times New Roman"/>
          <w:bCs/>
          <w:szCs w:val="24"/>
        </w:rPr>
        <w:t>the Commission</w:t>
      </w:r>
      <w:r w:rsidRPr="000D2090">
        <w:rPr>
          <w:rFonts w:cs="Times New Roman"/>
          <w:bCs/>
          <w:szCs w:val="24"/>
        </w:rPr>
        <w:t xml:space="preserve"> considers this practice to be in the ordinary course of business as it is usual and customary for exchanges to provide the Commission with advance copies of various filings under other Commission regulations.</w:t>
      </w:r>
      <w:r w:rsidRPr="000D2090">
        <w:rPr>
          <w:rFonts w:cs="Times New Roman"/>
          <w:bCs/>
          <w:szCs w:val="24"/>
          <w:vertAlign w:val="superscript"/>
        </w:rPr>
        <w:footnoteReference w:id="28"/>
      </w:r>
      <w:r w:rsidRPr="000D2090">
        <w:rPr>
          <w:rFonts w:cs="Times New Roman"/>
          <w:bCs/>
          <w:szCs w:val="24"/>
        </w:rPr>
        <w:t xml:space="preserve">  In the event that this practice is not considered usual and customary, the Commission estimates that the burden of such filing will be </w:t>
      </w:r>
      <w:r w:rsidRPr="00BB0C07">
        <w:rPr>
          <w:i/>
        </w:rPr>
        <w:t>de minimis</w:t>
      </w:r>
      <w:r w:rsidRPr="000D2090">
        <w:rPr>
          <w:rFonts w:cs="Times New Roman"/>
          <w:bCs/>
          <w:szCs w:val="24"/>
        </w:rPr>
        <w:t xml:space="preserve"> and take </w:t>
      </w:r>
      <w:r w:rsidR="004846B5">
        <w:rPr>
          <w:rFonts w:cs="Times New Roman"/>
          <w:bCs/>
          <w:szCs w:val="24"/>
        </w:rPr>
        <w:t xml:space="preserve">about </w:t>
      </w:r>
      <w:r w:rsidRPr="000D2090">
        <w:rPr>
          <w:rFonts w:cs="Times New Roman"/>
          <w:bCs/>
          <w:szCs w:val="24"/>
        </w:rPr>
        <w:t xml:space="preserve">five minutes for </w:t>
      </w:r>
      <w:r>
        <w:rPr>
          <w:rFonts w:cs="Times New Roman"/>
          <w:bCs/>
          <w:szCs w:val="24"/>
        </w:rPr>
        <w:t xml:space="preserve">an </w:t>
      </w:r>
      <w:r w:rsidRPr="000D2090">
        <w:rPr>
          <w:rFonts w:cs="Times New Roman"/>
          <w:bCs/>
          <w:szCs w:val="24"/>
        </w:rPr>
        <w:t xml:space="preserve">exchange to </w:t>
      </w:r>
      <w:r>
        <w:rPr>
          <w:rFonts w:cs="Times New Roman"/>
          <w:bCs/>
          <w:szCs w:val="24"/>
        </w:rPr>
        <w:t>send an</w:t>
      </w:r>
      <w:r w:rsidRPr="000D2090">
        <w:rPr>
          <w:rFonts w:cs="Times New Roman"/>
          <w:bCs/>
          <w:szCs w:val="24"/>
        </w:rPr>
        <w:t xml:space="preserve"> application</w:t>
      </w:r>
      <w:r>
        <w:rPr>
          <w:rFonts w:cs="Times New Roman"/>
          <w:bCs/>
          <w:szCs w:val="24"/>
        </w:rPr>
        <w:t xml:space="preserve"> to the Commission, if the exchange elects to do so (30 total minutes in the aggregate across all </w:t>
      </w:r>
      <w:r w:rsidR="004846B5">
        <w:rPr>
          <w:rFonts w:cs="Times New Roman"/>
          <w:bCs/>
          <w:szCs w:val="24"/>
        </w:rPr>
        <w:t xml:space="preserve">6 </w:t>
      </w:r>
      <w:r>
        <w:rPr>
          <w:rFonts w:cs="Times New Roman"/>
          <w:bCs/>
          <w:szCs w:val="24"/>
        </w:rPr>
        <w:t>exchanges: 6 exchanges x 1 advance copy x 5 minutes = 30 minutes)</w:t>
      </w:r>
      <w:r w:rsidRPr="000D2090">
        <w:rPr>
          <w:rFonts w:cs="Times New Roman"/>
          <w:bCs/>
          <w:szCs w:val="24"/>
        </w:rPr>
        <w:t>.</w:t>
      </w:r>
      <w:r w:rsidR="00084BC1">
        <w:rPr>
          <w:rFonts w:cs="Times New Roman"/>
          <w:bCs/>
          <w:szCs w:val="24"/>
        </w:rPr>
        <w:t xml:space="preserve">  </w:t>
      </w:r>
      <w:r w:rsidRPr="00974997" w:rsidR="00084BC1">
        <w:rPr>
          <w:szCs w:val="24"/>
        </w:rPr>
        <w:t>Assuming an estimated average burden hour cost of $77, the total annual burden hour cost for all 6 responden</w:t>
      </w:r>
      <w:r w:rsidR="00084BC1">
        <w:rPr>
          <w:szCs w:val="24"/>
        </w:rPr>
        <w:t>ts is approximately $38.</w:t>
      </w:r>
      <w:r w:rsidR="005D1707">
        <w:rPr>
          <w:szCs w:val="24"/>
        </w:rPr>
        <w:t>34</w:t>
      </w:r>
      <w:r w:rsidRPr="00974997" w:rsidR="00084BC1">
        <w:rPr>
          <w:szCs w:val="24"/>
        </w:rPr>
        <w:t>.</w:t>
      </w:r>
    </w:p>
    <w:p w:rsidRPr="00F00BF7" w:rsidR="003442B3" w:rsidP="00127C62" w:rsidRDefault="001A7562" w14:paraId="518567DE" w14:textId="3B24260A">
      <w:pPr>
        <w:tabs>
          <w:tab w:val="left" w:pos="6061"/>
        </w:tabs>
        <w:autoSpaceDE w:val="0"/>
        <w:autoSpaceDN w:val="0"/>
        <w:adjustRightInd w:val="0"/>
        <w:ind w:firstLine="720"/>
        <w:contextualSpacing/>
        <w:rPr>
          <w:rFonts w:eastAsia="Times New Roman" w:cs="Times New Roman"/>
          <w:color w:val="000000"/>
          <w:szCs w:val="24"/>
        </w:rPr>
      </w:pPr>
      <w:r w:rsidRPr="000D2090">
        <w:rPr>
          <w:rFonts w:cs="Times New Roman"/>
          <w:bCs/>
          <w:szCs w:val="24"/>
        </w:rPr>
        <w:t xml:space="preserve">    </w:t>
      </w:r>
      <w:r w:rsidR="00624175">
        <w:rPr>
          <w:rFonts w:cs="Times New Roman"/>
          <w:bCs/>
          <w:szCs w:val="24"/>
        </w:rPr>
        <w:tab/>
      </w:r>
    </w:p>
    <w:p w:rsidR="00D5403A" w:rsidP="00D30493" w:rsidRDefault="00D5403A" w14:paraId="05EE9362" w14:textId="77777777">
      <w:pPr>
        <w:ind w:firstLine="720"/>
        <w:jc w:val="both"/>
        <w:rPr>
          <w:szCs w:val="24"/>
        </w:rPr>
      </w:pPr>
      <w:r w:rsidRPr="00F00BF7">
        <w:rPr>
          <w:szCs w:val="24"/>
        </w:rPr>
        <w:lastRenderedPageBreak/>
        <w:t xml:space="preserve">As outlined in Attachment A, annual costs associated with these burden hours total </w:t>
      </w:r>
      <w:r w:rsidRPr="00F00BF7" w:rsidR="001D1A9B">
        <w:rPr>
          <w:szCs w:val="24"/>
        </w:rPr>
        <w:t xml:space="preserve">is </w:t>
      </w:r>
      <w:r w:rsidRPr="00F00BF7">
        <w:rPr>
          <w:szCs w:val="24"/>
        </w:rPr>
        <w:t>$</w:t>
      </w:r>
      <w:r w:rsidR="009F68F7">
        <w:rPr>
          <w:szCs w:val="24"/>
        </w:rPr>
        <w:t>1,250,687.34</w:t>
      </w:r>
      <w:r w:rsidR="009F68F7">
        <w:rPr>
          <w:rStyle w:val="FootnoteReference"/>
          <w:szCs w:val="24"/>
        </w:rPr>
        <w:footnoteReference w:id="29"/>
      </w:r>
      <w:r w:rsidR="009F68F7">
        <w:rPr>
          <w:szCs w:val="24"/>
        </w:rPr>
        <w:t xml:space="preserve"> </w:t>
      </w:r>
      <w:r w:rsidRPr="00F00BF7">
        <w:rPr>
          <w:szCs w:val="24"/>
        </w:rPr>
        <w:t>(</w:t>
      </w:r>
      <w:r w:rsidRPr="00F00BF7" w:rsidR="0043610E">
        <w:rPr>
          <w:szCs w:val="24"/>
        </w:rPr>
        <w:t>$</w:t>
      </w:r>
      <w:r w:rsidR="009F68F7">
        <w:rPr>
          <w:szCs w:val="24"/>
        </w:rPr>
        <w:t xml:space="preserve">755,770 </w:t>
      </w:r>
      <w:r w:rsidRPr="00F00BF7" w:rsidR="0043610E">
        <w:rPr>
          <w:szCs w:val="24"/>
        </w:rPr>
        <w:t>reporting burden + $</w:t>
      </w:r>
      <w:r w:rsidR="009F68F7">
        <w:rPr>
          <w:szCs w:val="24"/>
        </w:rPr>
        <w:t>494,917.34</w:t>
      </w:r>
      <w:r w:rsidR="00624175">
        <w:rPr>
          <w:szCs w:val="24"/>
        </w:rPr>
        <w:t xml:space="preserve"> </w:t>
      </w:r>
      <w:r w:rsidRPr="00F00BF7" w:rsidR="0043610E">
        <w:rPr>
          <w:szCs w:val="24"/>
        </w:rPr>
        <w:t>recordkeeping burden</w:t>
      </w:r>
      <w:r w:rsidRPr="00F00BF7">
        <w:rPr>
          <w:szCs w:val="24"/>
        </w:rPr>
        <w:t>).</w:t>
      </w:r>
    </w:p>
    <w:p w:rsidR="0049627F" w:rsidP="00D30493" w:rsidRDefault="0049627F" w14:paraId="2C98C103" w14:textId="77777777">
      <w:pPr>
        <w:ind w:firstLine="720"/>
        <w:jc w:val="both"/>
        <w:rPr>
          <w:szCs w:val="24"/>
        </w:rPr>
      </w:pPr>
    </w:p>
    <w:p w:rsidR="00384D83" w:rsidP="00D30493" w:rsidRDefault="00384D83" w14:paraId="7B316295" w14:textId="77777777">
      <w:pPr>
        <w:ind w:firstLine="720"/>
        <w:jc w:val="both"/>
        <w:rPr>
          <w:szCs w:val="24"/>
          <w:u w:val="single"/>
        </w:rPr>
      </w:pPr>
      <w:r>
        <w:rPr>
          <w:szCs w:val="24"/>
        </w:rPr>
        <w:t xml:space="preserve">vi.  </w:t>
      </w:r>
      <w:r>
        <w:rPr>
          <w:szCs w:val="24"/>
          <w:u w:val="single"/>
        </w:rPr>
        <w:t>Reports by Reporting Firms</w:t>
      </w:r>
    </w:p>
    <w:p w:rsidR="00384D83" w:rsidP="00384D83" w:rsidRDefault="00384D83" w14:paraId="309FEDCF" w14:textId="77777777">
      <w:pPr>
        <w:ind w:firstLine="720"/>
        <w:jc w:val="both"/>
        <w:rPr>
          <w:rFonts w:eastAsia="Calibri" w:cs="Times New Roman"/>
          <w:szCs w:val="24"/>
        </w:rPr>
      </w:pPr>
    </w:p>
    <w:p w:rsidR="00384D83" w:rsidP="00384D83" w:rsidRDefault="00384D83" w14:paraId="0272E576" w14:textId="77777777">
      <w:pPr>
        <w:ind w:firstLine="720"/>
        <w:jc w:val="both"/>
        <w:rPr>
          <w:rFonts w:eastAsia="Calibri" w:cs="Times New Roman"/>
          <w:szCs w:val="24"/>
        </w:rPr>
      </w:pPr>
      <w:r>
        <w:rPr>
          <w:rFonts w:eastAsia="Calibri" w:cs="Times New Roman"/>
          <w:szCs w:val="24"/>
        </w:rPr>
        <w:t xml:space="preserve">As discussed above under OMB control 3038-0009, the existing information collections and related burdens under part 19 of the Commission’s regulations </w:t>
      </w:r>
      <w:r w:rsidR="001861E2">
        <w:rPr>
          <w:rFonts w:eastAsia="Calibri" w:cs="Times New Roman"/>
          <w:szCs w:val="24"/>
        </w:rPr>
        <w:t xml:space="preserve">are </w:t>
      </w:r>
      <w:r>
        <w:rPr>
          <w:rFonts w:eastAsia="Calibri" w:cs="Times New Roman"/>
          <w:szCs w:val="24"/>
        </w:rPr>
        <w:t>moved to OMB control number 3038-0013.</w:t>
      </w:r>
    </w:p>
    <w:p w:rsidR="00384D83" w:rsidP="00384D83" w:rsidRDefault="00384D83" w14:paraId="0CD98962" w14:textId="77777777">
      <w:pPr>
        <w:ind w:firstLine="720"/>
        <w:jc w:val="both"/>
        <w:rPr>
          <w:rFonts w:eastAsia="Calibri" w:cs="Times New Roman"/>
          <w:szCs w:val="24"/>
        </w:rPr>
      </w:pPr>
    </w:p>
    <w:p w:rsidR="00384D83" w:rsidP="00384D83" w:rsidRDefault="00384D83" w14:paraId="107819D9" w14:textId="26D176E7">
      <w:pPr>
        <w:ind w:firstLine="720"/>
        <w:jc w:val="both"/>
        <w:rPr>
          <w:rFonts w:eastAsia="Calibri" w:cs="Times New Roman"/>
          <w:szCs w:val="24"/>
        </w:rPr>
      </w:pPr>
      <w:r>
        <w:rPr>
          <w:rFonts w:eastAsia="Calibri" w:cs="Times New Roman"/>
          <w:szCs w:val="24"/>
        </w:rPr>
        <w:t>B</w:t>
      </w:r>
      <w:r w:rsidRPr="00823F94">
        <w:rPr>
          <w:rFonts w:eastAsia="Calibri" w:cs="Times New Roman"/>
          <w:szCs w:val="24"/>
        </w:rPr>
        <w:t>ased on more current and recent 2019 submission data, the Commission revis</w:t>
      </w:r>
      <w:r>
        <w:rPr>
          <w:rFonts w:eastAsia="Calibri" w:cs="Times New Roman"/>
          <w:szCs w:val="24"/>
        </w:rPr>
        <w:t>ed</w:t>
      </w:r>
      <w:r w:rsidRPr="00823F94">
        <w:rPr>
          <w:rFonts w:eastAsia="Calibri" w:cs="Times New Roman"/>
          <w:szCs w:val="24"/>
        </w:rPr>
        <w:t xml:space="preserve"> its existing estimates slightly higher for the </w:t>
      </w:r>
      <w:r w:rsidR="00D60F77">
        <w:rPr>
          <w:rFonts w:eastAsia="Calibri" w:cs="Times New Roman"/>
          <w:szCs w:val="24"/>
        </w:rPr>
        <w:t>s</w:t>
      </w:r>
      <w:r w:rsidRPr="00823F94">
        <w:rPr>
          <w:rFonts w:eastAsia="Calibri" w:cs="Times New Roman"/>
          <w:szCs w:val="24"/>
        </w:rPr>
        <w:t>e</w:t>
      </w:r>
      <w:r>
        <w:rPr>
          <w:rFonts w:eastAsia="Calibri" w:cs="Times New Roman"/>
          <w:szCs w:val="24"/>
        </w:rPr>
        <w:t>ries ’04 reports under part 19.  B</w:t>
      </w:r>
      <w:r w:rsidRPr="00823F94">
        <w:rPr>
          <w:rFonts w:eastAsia="Calibri" w:cs="Times New Roman"/>
          <w:szCs w:val="24"/>
        </w:rPr>
        <w:t>ased on revised estimates of the current collections of information under existin</w:t>
      </w:r>
      <w:r>
        <w:rPr>
          <w:rFonts w:eastAsia="Calibri" w:cs="Times New Roman"/>
          <w:szCs w:val="24"/>
        </w:rPr>
        <w:t xml:space="preserve">g part 19, </w:t>
      </w:r>
      <w:r w:rsidRPr="00823F94">
        <w:rPr>
          <w:rFonts w:eastAsia="Calibri" w:cs="Times New Roman"/>
          <w:szCs w:val="24"/>
        </w:rPr>
        <w:t>approximately 105 reportable traders</w:t>
      </w:r>
      <w:r w:rsidRPr="00823F94">
        <w:rPr>
          <w:rFonts w:eastAsia="Calibri" w:cs="Times New Roman"/>
          <w:szCs w:val="24"/>
          <w:vertAlign w:val="superscript"/>
        </w:rPr>
        <w:footnoteReference w:id="30"/>
      </w:r>
      <w:r w:rsidRPr="00823F94">
        <w:rPr>
          <w:rFonts w:eastAsia="Calibri" w:cs="Times New Roman"/>
          <w:szCs w:val="24"/>
        </w:rPr>
        <w:t xml:space="preserve"> file a total of 3,460 responses annually</w:t>
      </w:r>
      <w:r w:rsidRPr="00823F94">
        <w:rPr>
          <w:rFonts w:eastAsia="Calibri" w:cs="Times New Roman"/>
          <w:szCs w:val="24"/>
          <w:vertAlign w:val="superscript"/>
        </w:rPr>
        <w:footnoteReference w:id="31"/>
      </w:r>
      <w:r w:rsidRPr="00823F94">
        <w:rPr>
          <w:rFonts w:eastAsia="Calibri" w:cs="Times New Roman"/>
          <w:szCs w:val="24"/>
        </w:rPr>
        <w:t xml:space="preserve"> resulting in an aggregate annual burden of 1,730 hours.</w:t>
      </w:r>
      <w:r w:rsidRPr="00823F94">
        <w:rPr>
          <w:rFonts w:eastAsia="Calibri" w:cs="Times New Roman"/>
          <w:szCs w:val="24"/>
          <w:vertAlign w:val="superscript"/>
        </w:rPr>
        <w:footnoteReference w:id="32"/>
      </w:r>
      <w:r w:rsidRPr="00823F94" w:rsidDel="00A54541" w:rsidR="00A54541">
        <w:rPr>
          <w:rFonts w:eastAsia="Calibri" w:cs="Times New Roman"/>
          <w:szCs w:val="24"/>
          <w:vertAlign w:val="superscript"/>
        </w:rPr>
        <w:t xml:space="preserve"> </w:t>
      </w:r>
      <w:r w:rsidRPr="00823F94">
        <w:rPr>
          <w:rFonts w:eastAsia="Calibri" w:cs="Times New Roman"/>
          <w:szCs w:val="24"/>
        </w:rPr>
        <w:t xml:space="preserve">  The Commission’s </w:t>
      </w:r>
      <w:r w:rsidR="00D60F77">
        <w:rPr>
          <w:rFonts w:eastAsia="Calibri" w:cs="Times New Roman"/>
          <w:szCs w:val="24"/>
        </w:rPr>
        <w:t>Final Rule</w:t>
      </w:r>
      <w:r w:rsidRPr="00823F94">
        <w:rPr>
          <w:rFonts w:eastAsia="Calibri" w:cs="Times New Roman"/>
          <w:szCs w:val="24"/>
        </w:rPr>
        <w:t xml:space="preserve"> reduce</w:t>
      </w:r>
      <w:r w:rsidR="00D60F77">
        <w:rPr>
          <w:rFonts w:eastAsia="Calibri" w:cs="Times New Roman"/>
          <w:szCs w:val="24"/>
        </w:rPr>
        <w:t>s</w:t>
      </w:r>
      <w:r w:rsidRPr="00823F94">
        <w:rPr>
          <w:rFonts w:eastAsia="Calibri" w:cs="Times New Roman"/>
          <w:szCs w:val="24"/>
        </w:rPr>
        <w:t xml:space="preserve"> the current OMB control number 3038-0009 by these revised burden estimates under part 19 as they </w:t>
      </w:r>
      <w:r w:rsidR="001861E2">
        <w:rPr>
          <w:rFonts w:eastAsia="Calibri" w:cs="Times New Roman"/>
          <w:szCs w:val="24"/>
        </w:rPr>
        <w:t xml:space="preserve">are </w:t>
      </w:r>
      <w:r w:rsidRPr="00823F94">
        <w:rPr>
          <w:rFonts w:eastAsia="Calibri" w:cs="Times New Roman"/>
          <w:szCs w:val="24"/>
        </w:rPr>
        <w:t>transferred to OMB control number 3038-0013.</w:t>
      </w:r>
      <w:r>
        <w:rPr>
          <w:rFonts w:eastAsia="Calibri" w:cs="Times New Roman"/>
          <w:szCs w:val="24"/>
        </w:rPr>
        <w:t xml:space="preserve">  At the same time, w</w:t>
      </w:r>
      <w:r w:rsidRPr="00823F94">
        <w:rPr>
          <w:rFonts w:eastAsia="Calibri" w:cs="Times New Roman"/>
          <w:szCs w:val="24"/>
        </w:rPr>
        <w:t xml:space="preserve">ith respect to the overall collections of information that </w:t>
      </w:r>
      <w:r w:rsidR="001861E2">
        <w:rPr>
          <w:rFonts w:eastAsia="Calibri" w:cs="Times New Roman"/>
          <w:szCs w:val="24"/>
        </w:rPr>
        <w:t xml:space="preserve">are </w:t>
      </w:r>
      <w:r w:rsidRPr="00823F94">
        <w:rPr>
          <w:rFonts w:eastAsia="Calibri" w:cs="Times New Roman"/>
          <w:szCs w:val="24"/>
        </w:rPr>
        <w:t xml:space="preserve">transferred to OMB control number 3038-0013, the Commission estimates that the </w:t>
      </w:r>
      <w:r w:rsidR="00D60F77">
        <w:rPr>
          <w:rFonts w:eastAsia="Calibri" w:cs="Times New Roman"/>
          <w:szCs w:val="24"/>
        </w:rPr>
        <w:t>Final Rule</w:t>
      </w:r>
      <w:r w:rsidRPr="00823F94">
        <w:rPr>
          <w:rFonts w:eastAsia="Calibri" w:cs="Times New Roman"/>
          <w:szCs w:val="24"/>
        </w:rPr>
        <w:t xml:space="preserve"> reduce</w:t>
      </w:r>
      <w:r w:rsidR="00D60F77">
        <w:rPr>
          <w:rFonts w:eastAsia="Calibri" w:cs="Times New Roman"/>
          <w:szCs w:val="24"/>
        </w:rPr>
        <w:t>s</w:t>
      </w:r>
      <w:r w:rsidRPr="00823F94">
        <w:rPr>
          <w:rFonts w:eastAsia="Calibri" w:cs="Times New Roman"/>
          <w:szCs w:val="24"/>
        </w:rPr>
        <w:t xml:space="preserve"> the collections of information in part 19 by 600 reports</w:t>
      </w:r>
      <w:r w:rsidRPr="00823F94">
        <w:rPr>
          <w:rFonts w:eastAsia="Calibri" w:cs="Times New Roman"/>
          <w:szCs w:val="24"/>
          <w:vertAlign w:val="superscript"/>
        </w:rPr>
        <w:footnoteReference w:id="33"/>
      </w:r>
      <w:r w:rsidRPr="00823F94">
        <w:rPr>
          <w:rFonts w:eastAsia="Calibri" w:cs="Times New Roman"/>
          <w:szCs w:val="24"/>
        </w:rPr>
        <w:t xml:space="preserve"> and by 300 annual aggregate burden hours since the Commission’s </w:t>
      </w:r>
      <w:r w:rsidR="00D60F77">
        <w:rPr>
          <w:rFonts w:eastAsia="Calibri" w:cs="Times New Roman"/>
          <w:szCs w:val="24"/>
        </w:rPr>
        <w:t xml:space="preserve">Final Rule </w:t>
      </w:r>
      <w:r w:rsidRPr="00823F94">
        <w:rPr>
          <w:rFonts w:eastAsia="Calibri" w:cs="Times New Roman"/>
          <w:szCs w:val="24"/>
        </w:rPr>
        <w:t>eliminate</w:t>
      </w:r>
      <w:r w:rsidR="00D60F77">
        <w:rPr>
          <w:rFonts w:eastAsia="Calibri" w:cs="Times New Roman"/>
          <w:szCs w:val="24"/>
        </w:rPr>
        <w:t>s</w:t>
      </w:r>
      <w:r w:rsidRPr="00823F94">
        <w:rPr>
          <w:rFonts w:eastAsia="Calibri" w:cs="Times New Roman"/>
          <w:szCs w:val="24"/>
        </w:rPr>
        <w:t xml:space="preserve"> Form 204, as discussed above.</w:t>
      </w:r>
      <w:r w:rsidRPr="00823F94">
        <w:rPr>
          <w:rFonts w:eastAsia="Calibri" w:cs="Times New Roman"/>
          <w:szCs w:val="24"/>
          <w:vertAlign w:val="superscript"/>
        </w:rPr>
        <w:footnoteReference w:id="34"/>
      </w:r>
      <w:r w:rsidRPr="00823F94">
        <w:rPr>
          <w:rFonts w:eastAsia="Calibri" w:cs="Times New Roman"/>
          <w:szCs w:val="24"/>
        </w:rPr>
        <w:t xml:space="preserve">  </w:t>
      </w:r>
    </w:p>
    <w:p w:rsidR="00384D83" w:rsidP="00384D83" w:rsidRDefault="00384D83" w14:paraId="6A844880" w14:textId="77777777">
      <w:pPr>
        <w:ind w:firstLine="720"/>
        <w:jc w:val="both"/>
        <w:rPr>
          <w:rFonts w:eastAsia="Calibri" w:cs="Times New Roman"/>
          <w:szCs w:val="24"/>
        </w:rPr>
      </w:pPr>
    </w:p>
    <w:p w:rsidR="00384D83" w:rsidP="00FF3EDD" w:rsidRDefault="00384D83" w14:paraId="6FDE4DAC" w14:textId="0EF55D1A">
      <w:pPr>
        <w:ind w:firstLine="720"/>
        <w:jc w:val="both"/>
        <w:rPr>
          <w:szCs w:val="24"/>
        </w:rPr>
      </w:pPr>
      <w:r w:rsidRPr="00A10820">
        <w:rPr>
          <w:rFonts w:eastAsia="Calibri" w:cs="Times New Roman"/>
          <w:szCs w:val="24"/>
        </w:rPr>
        <w:t xml:space="preserve">The Commission does not expect a change in the number of reportable traders that </w:t>
      </w:r>
      <w:r w:rsidR="004F30B6">
        <w:rPr>
          <w:rFonts w:eastAsia="Calibri" w:cs="Times New Roman"/>
          <w:szCs w:val="24"/>
        </w:rPr>
        <w:t>are</w:t>
      </w:r>
      <w:r w:rsidRPr="00A10820">
        <w:rPr>
          <w:rFonts w:eastAsia="Calibri" w:cs="Times New Roman"/>
          <w:szCs w:val="24"/>
        </w:rPr>
        <w:t xml:space="preserve"> required to file Part III of Form 304.</w:t>
      </w:r>
      <w:r w:rsidRPr="00A10820">
        <w:rPr>
          <w:rFonts w:eastAsia="Calibri" w:cs="Times New Roman"/>
          <w:szCs w:val="24"/>
          <w:vertAlign w:val="superscript"/>
        </w:rPr>
        <w:footnoteReference w:id="35"/>
      </w:r>
      <w:r w:rsidRPr="00A10820">
        <w:rPr>
          <w:rFonts w:eastAsia="Calibri" w:cs="Times New Roman"/>
          <w:szCs w:val="24"/>
        </w:rPr>
        <w:t xml:space="preserve">  Thus, the Commission continues to expect approximately 55 weekly Form 304 reports, for an annual total of 2,860 reports</w:t>
      </w:r>
      <w:r w:rsidRPr="00A10820">
        <w:rPr>
          <w:rFonts w:eastAsia="Calibri" w:cs="Times New Roman"/>
          <w:szCs w:val="24"/>
          <w:vertAlign w:val="superscript"/>
        </w:rPr>
        <w:footnoteReference w:id="36"/>
      </w:r>
      <w:r w:rsidRPr="00A10820">
        <w:rPr>
          <w:rFonts w:eastAsia="Calibri" w:cs="Times New Roman"/>
          <w:szCs w:val="24"/>
        </w:rPr>
        <w:t xml:space="preserve"> for an aggregate total of 1,430 burden hours, which information collection burdens </w:t>
      </w:r>
      <w:r w:rsidR="004F30B6">
        <w:rPr>
          <w:rFonts w:eastAsia="Calibri" w:cs="Times New Roman"/>
          <w:szCs w:val="24"/>
        </w:rPr>
        <w:t>will</w:t>
      </w:r>
      <w:r w:rsidRPr="00A10820" w:rsidR="004F30B6">
        <w:rPr>
          <w:rFonts w:eastAsia="Calibri" w:cs="Times New Roman"/>
          <w:szCs w:val="24"/>
        </w:rPr>
        <w:t xml:space="preserve"> </w:t>
      </w:r>
      <w:r w:rsidRPr="00A10820">
        <w:rPr>
          <w:rFonts w:eastAsia="Calibri" w:cs="Times New Roman"/>
          <w:szCs w:val="24"/>
        </w:rPr>
        <w:t>be transferred to OMB control number 3038-0013.</w:t>
      </w:r>
      <w:r w:rsidRPr="00823F94">
        <w:rPr>
          <w:rFonts w:eastAsia="Calibri" w:cs="Times New Roman"/>
          <w:szCs w:val="24"/>
          <w:vertAlign w:val="superscript"/>
        </w:rPr>
        <w:footnoteReference w:id="37"/>
      </w:r>
      <w:r>
        <w:rPr>
          <w:rFonts w:eastAsia="Calibri" w:cs="Times New Roman"/>
          <w:szCs w:val="24"/>
        </w:rPr>
        <w:t xml:space="preserve">  </w:t>
      </w:r>
      <w:r w:rsidRPr="009D7452">
        <w:rPr>
          <w:szCs w:val="24"/>
        </w:rPr>
        <w:t>Assuming an estimated average burden hour cost of $</w:t>
      </w:r>
      <w:r>
        <w:rPr>
          <w:szCs w:val="24"/>
        </w:rPr>
        <w:t>77</w:t>
      </w:r>
      <w:r w:rsidRPr="009D7452">
        <w:rPr>
          <w:szCs w:val="24"/>
        </w:rPr>
        <w:t xml:space="preserve">, the total annual burden hour cost for the </w:t>
      </w:r>
      <w:r>
        <w:rPr>
          <w:szCs w:val="24"/>
        </w:rPr>
        <w:t>55</w:t>
      </w:r>
      <w:r w:rsidRPr="009D7452">
        <w:rPr>
          <w:szCs w:val="24"/>
        </w:rPr>
        <w:t xml:space="preserve"> respondent</w:t>
      </w:r>
      <w:r>
        <w:rPr>
          <w:szCs w:val="24"/>
        </w:rPr>
        <w:t>s</w:t>
      </w:r>
      <w:r w:rsidRPr="009D7452">
        <w:rPr>
          <w:szCs w:val="24"/>
        </w:rPr>
        <w:t xml:space="preserve"> is approximately $</w:t>
      </w:r>
      <w:r>
        <w:rPr>
          <w:szCs w:val="24"/>
        </w:rPr>
        <w:t>110,110</w:t>
      </w:r>
      <w:r w:rsidRPr="009D7452">
        <w:rPr>
          <w:szCs w:val="24"/>
        </w:rPr>
        <w:t>.</w:t>
      </w:r>
      <w:r>
        <w:rPr>
          <w:szCs w:val="24"/>
        </w:rPr>
        <w:t xml:space="preserve">  Accordingly, the information collections and related burden hours under OMB control number 3038-0013 w</w:t>
      </w:r>
      <w:r w:rsidR="00A56A51">
        <w:rPr>
          <w:szCs w:val="24"/>
        </w:rPr>
        <w:t>ill</w:t>
      </w:r>
      <w:r>
        <w:rPr>
          <w:szCs w:val="24"/>
        </w:rPr>
        <w:t xml:space="preserve"> be increased by 2,860 total reports and 1,430 corresponding annual burden hours.</w:t>
      </w:r>
    </w:p>
    <w:p w:rsidR="00CC21E6" w:rsidP="00D30493" w:rsidRDefault="00CC21E6" w14:paraId="3E56A8AF" w14:textId="77777777">
      <w:pPr>
        <w:ind w:firstLine="720"/>
        <w:jc w:val="both"/>
        <w:rPr>
          <w:szCs w:val="24"/>
        </w:rPr>
      </w:pPr>
    </w:p>
    <w:p w:rsidR="00CC21E6" w:rsidP="006A7CD7" w:rsidRDefault="00CC21E6" w14:paraId="1D921C51" w14:textId="77777777">
      <w:pPr>
        <w:pStyle w:val="ListParagraph"/>
        <w:numPr>
          <w:ilvl w:val="0"/>
          <w:numId w:val="17"/>
        </w:numPr>
        <w:rPr>
          <w:b/>
          <w:szCs w:val="24"/>
        </w:rPr>
      </w:pPr>
      <w:r w:rsidRPr="00CC21E6">
        <w:rPr>
          <w:b/>
          <w:szCs w:val="24"/>
        </w:rPr>
        <w:t>OMB 3038-0093 – Provisions Common to Registered Entities</w:t>
      </w:r>
    </w:p>
    <w:p w:rsidR="006A7CD7" w:rsidP="006A7CD7" w:rsidRDefault="006A7CD7" w14:paraId="095501A2" w14:textId="77777777">
      <w:pPr>
        <w:pStyle w:val="ListParagraph"/>
        <w:rPr>
          <w:b/>
          <w:szCs w:val="24"/>
        </w:rPr>
      </w:pPr>
    </w:p>
    <w:p w:rsidRPr="00E157A0" w:rsidR="00974997" w:rsidP="00974997" w:rsidRDefault="00E157A0" w14:paraId="1D2C4BCA" w14:textId="5B062FDA">
      <w:pPr>
        <w:ind w:firstLine="720"/>
        <w:jc w:val="both"/>
        <w:rPr>
          <w:rFonts w:eastAsia="Times New Roman" w:cs="Times New Roman"/>
          <w:color w:val="000000"/>
          <w:szCs w:val="24"/>
        </w:rPr>
      </w:pPr>
      <w:r w:rsidRPr="00E157A0">
        <w:rPr>
          <w:rFonts w:eastAsia="Times New Roman" w:cs="Times New Roman"/>
          <w:color w:val="000000"/>
          <w:szCs w:val="24"/>
        </w:rPr>
        <w:lastRenderedPageBreak/>
        <w:t>Under § 150.</w:t>
      </w:r>
      <w:r w:rsidR="0025180B">
        <w:rPr>
          <w:rFonts w:eastAsia="Times New Roman" w:cs="Times New Roman"/>
          <w:color w:val="000000"/>
          <w:szCs w:val="24"/>
        </w:rPr>
        <w:t>9</w:t>
      </w:r>
      <w:r w:rsidR="005511F9">
        <w:rPr>
          <w:rFonts w:eastAsia="Times New Roman" w:cs="Times New Roman"/>
          <w:color w:val="000000"/>
          <w:szCs w:val="24"/>
        </w:rPr>
        <w:t>(a)</w:t>
      </w:r>
      <w:r w:rsidRPr="00E157A0">
        <w:rPr>
          <w:rFonts w:eastAsia="Times New Roman" w:cs="Times New Roman"/>
          <w:color w:val="000000"/>
          <w:szCs w:val="24"/>
        </w:rPr>
        <w:t xml:space="preserve">, exchanges that would like for their market participants to be able to exceed federal position limits based on a non-enumerated bona fide hedge recognition granted by the exchange with respect to its own limits must have rules, adopted pursuant to the rule approval process in § 40.5 of the Commission’s regulations, establishing processes consistent with the provisions of § 150.9. The collection of information is necessary to capture the new non-enumerated bona fide hedge process in the exchanges’ rulebook, which is subject to Commission approval. The information </w:t>
      </w:r>
      <w:r w:rsidRPr="00E157A0" w:rsidR="00A56A51">
        <w:rPr>
          <w:rFonts w:eastAsia="Times New Roman" w:cs="Times New Roman"/>
          <w:color w:val="000000"/>
          <w:szCs w:val="24"/>
        </w:rPr>
        <w:t>w</w:t>
      </w:r>
      <w:r w:rsidR="00A56A51">
        <w:rPr>
          <w:rFonts w:eastAsia="Times New Roman" w:cs="Times New Roman"/>
          <w:color w:val="000000"/>
          <w:szCs w:val="24"/>
        </w:rPr>
        <w:t>ill</w:t>
      </w:r>
      <w:r w:rsidRPr="00E157A0" w:rsidR="00A56A51">
        <w:rPr>
          <w:rFonts w:eastAsia="Times New Roman" w:cs="Times New Roman"/>
          <w:color w:val="000000"/>
          <w:szCs w:val="24"/>
        </w:rPr>
        <w:t xml:space="preserve"> </w:t>
      </w:r>
      <w:r w:rsidRPr="00E157A0">
        <w:rPr>
          <w:rFonts w:eastAsia="Times New Roman" w:cs="Times New Roman"/>
          <w:color w:val="000000"/>
          <w:szCs w:val="24"/>
        </w:rPr>
        <w:t>be used to assess the process put in place by each exchange submitting amended rulebooks.</w:t>
      </w:r>
      <w:r w:rsidRPr="00E157A0" w:rsidR="00974997">
        <w:rPr>
          <w:rFonts w:eastAsia="Times New Roman" w:cs="Times New Roman"/>
          <w:color w:val="000000"/>
          <w:szCs w:val="24"/>
        </w:rPr>
        <w:t xml:space="preserve">  </w:t>
      </w:r>
    </w:p>
    <w:p w:rsidRPr="00E157A0" w:rsidR="00974997" w:rsidP="00974997" w:rsidRDefault="00974997" w14:paraId="4764571B" w14:textId="77777777">
      <w:pPr>
        <w:ind w:firstLine="720"/>
        <w:jc w:val="both"/>
        <w:rPr>
          <w:rFonts w:eastAsia="Times New Roman" w:cs="Times New Roman"/>
          <w:color w:val="000000"/>
          <w:szCs w:val="24"/>
        </w:rPr>
      </w:pPr>
    </w:p>
    <w:p w:rsidRPr="00E157A0" w:rsidR="00974997" w:rsidP="00974997" w:rsidRDefault="00A56A51" w14:paraId="6F6E6EAA" w14:textId="086CF38D">
      <w:pPr>
        <w:ind w:firstLine="720"/>
        <w:jc w:val="both"/>
        <w:rPr>
          <w:rFonts w:eastAsia="Times New Roman" w:cs="Times New Roman"/>
          <w:color w:val="000000"/>
          <w:szCs w:val="24"/>
        </w:rPr>
      </w:pPr>
      <w:r>
        <w:rPr>
          <w:szCs w:val="24"/>
        </w:rPr>
        <w:t xml:space="preserve">The </w:t>
      </w:r>
      <w:r w:rsidRPr="00E157A0" w:rsidR="00974997">
        <w:rPr>
          <w:szCs w:val="24"/>
        </w:rPr>
        <w:t>Commission estimates that six exchanges w</w:t>
      </w:r>
      <w:r>
        <w:rPr>
          <w:szCs w:val="24"/>
        </w:rPr>
        <w:t>ill</w:t>
      </w:r>
      <w:r w:rsidRPr="00E157A0" w:rsidR="00974997">
        <w:rPr>
          <w:szCs w:val="24"/>
        </w:rPr>
        <w:t xml:space="preserve"> make one initial § 40.5 rule filings for a total of six one-time initial submissions for all exchanges. </w:t>
      </w:r>
      <w:r>
        <w:rPr>
          <w:szCs w:val="24"/>
        </w:rPr>
        <w:t xml:space="preserve"> </w:t>
      </w:r>
      <w:r w:rsidRPr="00E157A0" w:rsidR="00974997">
        <w:rPr>
          <w:szCs w:val="24"/>
        </w:rPr>
        <w:t>The Commission further estimates that the exchanges w</w:t>
      </w:r>
      <w:r>
        <w:rPr>
          <w:szCs w:val="24"/>
        </w:rPr>
        <w:t>ill</w:t>
      </w:r>
      <w:r w:rsidRPr="00E157A0" w:rsidR="00974997">
        <w:rPr>
          <w:szCs w:val="24"/>
        </w:rPr>
        <w:t xml:space="preserve"> employ a combination of in-house and outside legal and compliance counsel to update existing rulebooks and it will take </w:t>
      </w:r>
      <w:r w:rsidR="00E157A0">
        <w:rPr>
          <w:szCs w:val="24"/>
        </w:rPr>
        <w:t xml:space="preserve">approximately </w:t>
      </w:r>
      <w:r w:rsidRPr="00E157A0" w:rsidR="00974997">
        <w:rPr>
          <w:szCs w:val="24"/>
        </w:rPr>
        <w:t>25 hours to complete and file each rule for a total 25 one-time burden hours for each exchange and 150 one-time burden hours for all exchanges.</w:t>
      </w:r>
      <w:r w:rsidR="00E157A0">
        <w:rPr>
          <w:szCs w:val="24"/>
        </w:rPr>
        <w:t xml:space="preserve">  </w:t>
      </w:r>
      <w:r w:rsidR="00453E51">
        <w:rPr>
          <w:szCs w:val="24"/>
        </w:rPr>
        <w:t xml:space="preserve">Based on </w:t>
      </w:r>
      <w:r w:rsidRPr="00974997" w:rsidR="00FC42F4">
        <w:rPr>
          <w:szCs w:val="24"/>
        </w:rPr>
        <w:t>an estimated average burden hour cost of $</w:t>
      </w:r>
      <w:r w:rsidR="00FC42F4">
        <w:rPr>
          <w:szCs w:val="24"/>
        </w:rPr>
        <w:t>9</w:t>
      </w:r>
      <w:r w:rsidR="0097170E">
        <w:rPr>
          <w:szCs w:val="24"/>
        </w:rPr>
        <w:t>7</w:t>
      </w:r>
      <w:r w:rsidRPr="00974997" w:rsidR="00FC42F4">
        <w:rPr>
          <w:szCs w:val="24"/>
        </w:rPr>
        <w:t xml:space="preserve">, the total annual burden hour cost for all </w:t>
      </w:r>
      <w:r w:rsidR="00FC42F4">
        <w:rPr>
          <w:szCs w:val="24"/>
        </w:rPr>
        <w:t>6</w:t>
      </w:r>
      <w:r w:rsidRPr="00974997" w:rsidR="00FC42F4">
        <w:rPr>
          <w:szCs w:val="24"/>
        </w:rPr>
        <w:t xml:space="preserve"> respondents is approximately $1</w:t>
      </w:r>
      <w:r w:rsidR="00FC42F4">
        <w:rPr>
          <w:szCs w:val="24"/>
        </w:rPr>
        <w:t>4,</w:t>
      </w:r>
      <w:r w:rsidR="0097170E">
        <w:rPr>
          <w:szCs w:val="24"/>
        </w:rPr>
        <w:t>550</w:t>
      </w:r>
      <w:r w:rsidRPr="00974997" w:rsidR="00FC42F4">
        <w:rPr>
          <w:szCs w:val="24"/>
        </w:rPr>
        <w:t>.</w:t>
      </w:r>
    </w:p>
    <w:p w:rsidRPr="00E157A0" w:rsidR="00CC21E6" w:rsidP="00974997" w:rsidRDefault="00CC21E6" w14:paraId="7A985103" w14:textId="77777777">
      <w:pPr>
        <w:jc w:val="both"/>
        <w:rPr>
          <w:rFonts w:eastAsia="Times New Roman" w:cs="Times New Roman"/>
          <w:color w:val="000000"/>
          <w:szCs w:val="24"/>
        </w:rPr>
      </w:pPr>
    </w:p>
    <w:p w:rsidRPr="00E157A0" w:rsidR="00642B6A" w:rsidP="00D30493" w:rsidRDefault="00642B6A" w14:paraId="1123FDFF" w14:textId="77777777">
      <w:pPr>
        <w:ind w:firstLine="720"/>
        <w:jc w:val="both"/>
        <w:rPr>
          <w:rFonts w:eastAsia="Times New Roman" w:cs="Times New Roman"/>
          <w:color w:val="000000"/>
          <w:szCs w:val="24"/>
        </w:rPr>
      </w:pPr>
    </w:p>
    <w:p w:rsidRPr="00424E59" w:rsidR="00642B6A" w:rsidP="00FE503D" w:rsidRDefault="00642B6A" w14:paraId="2CD3EB51" w14:textId="77777777">
      <w:pPr>
        <w:keepNext/>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13.</w:t>
      </w:r>
      <w:r w:rsidRPr="00424E59">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Pr="00424E59" w:rsidR="00642B6A" w:rsidP="00FE503D" w:rsidRDefault="00642B6A" w14:paraId="58F7476F"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424E59">
        <w:rPr>
          <w:rFonts w:eastAsia="Times New Roman" w:cs="Times New Roman"/>
          <w:b/>
          <w:szCs w:val="24"/>
        </w:rPr>
        <w:t>take into account</w:t>
      </w:r>
      <w:proofErr w:type="gramEnd"/>
      <w:r w:rsidRPr="00424E59">
        <w:rPr>
          <w:rFonts w:eastAsia="Times New Roman" w:cs="Times New Roman"/>
          <w:b/>
          <w:szCs w:val="24"/>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24E59" w:rsidR="00642B6A" w:rsidP="00FE503D" w:rsidRDefault="00642B6A" w14:paraId="217C5254"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424E59" w:rsidR="00642B6A" w:rsidP="00FE503D" w:rsidRDefault="00642B6A" w14:paraId="396F34A9" w14:textId="77777777">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424E59">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24E59" w:rsidR="000851CB" w:rsidP="000851CB" w:rsidRDefault="000851CB" w14:paraId="7A44108E" w14:textId="77777777">
      <w:pPr>
        <w:ind w:firstLine="720"/>
        <w:jc w:val="both"/>
        <w:rPr>
          <w:szCs w:val="24"/>
        </w:rPr>
      </w:pPr>
    </w:p>
    <w:p w:rsidRPr="00E0766C" w:rsidR="000851CB" w:rsidP="000851CB" w:rsidRDefault="00E0766C" w14:paraId="203C1DA3" w14:textId="77777777">
      <w:pPr>
        <w:pStyle w:val="ListParagraph"/>
        <w:numPr>
          <w:ilvl w:val="0"/>
          <w:numId w:val="7"/>
        </w:numPr>
        <w:tabs>
          <w:tab w:val="left" w:pos="-720"/>
        </w:tabs>
        <w:spacing w:after="240"/>
        <w:jc w:val="both"/>
        <w:rPr>
          <w:rFonts w:eastAsia="Times New Roman"/>
          <w:b/>
          <w:szCs w:val="24"/>
        </w:rPr>
      </w:pPr>
      <w:r>
        <w:rPr>
          <w:b/>
          <w:szCs w:val="24"/>
        </w:rPr>
        <w:t xml:space="preserve">OMB 3038-0009 – Large Trader </w:t>
      </w:r>
      <w:r w:rsidRPr="00E0766C" w:rsidR="000851CB">
        <w:rPr>
          <w:b/>
          <w:szCs w:val="24"/>
        </w:rPr>
        <w:t xml:space="preserve">Reports </w:t>
      </w:r>
    </w:p>
    <w:p w:rsidRPr="00424E59" w:rsidR="000851CB" w:rsidP="0032404E" w:rsidRDefault="000851CB" w14:paraId="3D49A80B" w14:textId="77777777">
      <w:pPr>
        <w:ind w:firstLine="720"/>
        <w:jc w:val="both"/>
        <w:rPr>
          <w:szCs w:val="24"/>
        </w:rPr>
      </w:pPr>
      <w:r w:rsidRPr="00424E59">
        <w:rPr>
          <w:szCs w:val="24"/>
        </w:rPr>
        <w:t xml:space="preserve">In its previously concluded submission to OMB in connection with the renewal of OMB control number 3038-0009 on Sept. 4, 2019, the Commission stated that there </w:t>
      </w:r>
      <w:proofErr w:type="gramStart"/>
      <w:r w:rsidRPr="00424E59">
        <w:rPr>
          <w:szCs w:val="24"/>
        </w:rPr>
        <w:t>are</w:t>
      </w:r>
      <w:proofErr w:type="gramEnd"/>
      <w:r w:rsidRPr="00424E59">
        <w:rPr>
          <w:szCs w:val="24"/>
        </w:rPr>
        <w:t xml:space="preserve"> no applicable capital, start up, maintenance, or purchase of service cost component.  The Commission </w:t>
      </w:r>
      <w:r w:rsidR="00453E51">
        <w:rPr>
          <w:szCs w:val="24"/>
        </w:rPr>
        <w:t xml:space="preserve">continues to believe that </w:t>
      </w:r>
      <w:r w:rsidRPr="00424E59" w:rsidR="00453E51">
        <w:rPr>
          <w:szCs w:val="24"/>
        </w:rPr>
        <w:t xml:space="preserve">there </w:t>
      </w:r>
      <w:proofErr w:type="gramStart"/>
      <w:r w:rsidRPr="00424E59" w:rsidR="00453E51">
        <w:rPr>
          <w:szCs w:val="24"/>
        </w:rPr>
        <w:t>are</w:t>
      </w:r>
      <w:proofErr w:type="gramEnd"/>
      <w:r w:rsidRPr="00424E59" w:rsidR="00453E51">
        <w:rPr>
          <w:szCs w:val="24"/>
        </w:rPr>
        <w:t xml:space="preserve"> no applicable capital, start up, </w:t>
      </w:r>
      <w:r w:rsidR="00765EB9">
        <w:rPr>
          <w:szCs w:val="24"/>
        </w:rPr>
        <w:t xml:space="preserve">or </w:t>
      </w:r>
      <w:r w:rsidRPr="00424E59" w:rsidR="00453E51">
        <w:rPr>
          <w:szCs w:val="24"/>
        </w:rPr>
        <w:t>maintenance cost</w:t>
      </w:r>
      <w:r w:rsidR="00C901A0">
        <w:rPr>
          <w:szCs w:val="24"/>
        </w:rPr>
        <w:t>s involved for OMB control number 3038-0009</w:t>
      </w:r>
      <w:r w:rsidRPr="00424E59" w:rsidR="00453E51">
        <w:rPr>
          <w:szCs w:val="24"/>
        </w:rPr>
        <w:t>.</w:t>
      </w:r>
    </w:p>
    <w:p w:rsidRPr="00424E59" w:rsidR="000851CB" w:rsidP="00B7210C" w:rsidRDefault="000851CB" w14:paraId="4DC07FD1" w14:textId="77777777">
      <w:pPr>
        <w:ind w:firstLine="720"/>
        <w:jc w:val="both"/>
        <w:rPr>
          <w:szCs w:val="24"/>
        </w:rPr>
      </w:pPr>
    </w:p>
    <w:p w:rsidRPr="00E0766C" w:rsidR="008F6230" w:rsidP="008F6230" w:rsidRDefault="008F6230" w14:paraId="6CF45C40" w14:textId="77777777">
      <w:pPr>
        <w:pStyle w:val="ListParagraph"/>
        <w:numPr>
          <w:ilvl w:val="0"/>
          <w:numId w:val="7"/>
        </w:numPr>
        <w:tabs>
          <w:tab w:val="left" w:pos="-720"/>
        </w:tabs>
        <w:spacing w:after="240"/>
        <w:jc w:val="both"/>
        <w:rPr>
          <w:rFonts w:eastAsia="Times New Roman"/>
          <w:b/>
          <w:szCs w:val="24"/>
        </w:rPr>
      </w:pPr>
      <w:r w:rsidRPr="00E0766C">
        <w:rPr>
          <w:b/>
          <w:szCs w:val="24"/>
        </w:rPr>
        <w:t xml:space="preserve">OMB 3038-0013 – Position Limits </w:t>
      </w:r>
    </w:p>
    <w:p w:rsidR="000110B9" w:rsidP="00B7210C" w:rsidRDefault="000110B9" w14:paraId="7583EF98" w14:textId="77777777">
      <w:pPr>
        <w:ind w:firstLine="720"/>
        <w:jc w:val="both"/>
        <w:rPr>
          <w:szCs w:val="24"/>
        </w:rPr>
      </w:pPr>
      <w:r w:rsidRPr="000110B9">
        <w:rPr>
          <w:szCs w:val="24"/>
        </w:rPr>
        <w:t>The Commission notes that it is difficult to ascertain an estimate of the average cost to market participants, as, depending on its size and complexity, a market participant could comply with position limits using anything from an Excel spreadsheet to multiple transaction capture systems.  In addition, the Commission maintains its belief that market participants will be able to leverage existing systems and strategies for tracking and reporting positions.</w:t>
      </w:r>
      <w:r>
        <w:rPr>
          <w:szCs w:val="24"/>
        </w:rPr>
        <w:t xml:space="preserve">  </w:t>
      </w:r>
    </w:p>
    <w:p w:rsidR="000110B9" w:rsidP="00B7210C" w:rsidRDefault="000110B9" w14:paraId="618B8D3B" w14:textId="77777777">
      <w:pPr>
        <w:ind w:firstLine="720"/>
        <w:jc w:val="both"/>
        <w:rPr>
          <w:szCs w:val="24"/>
        </w:rPr>
      </w:pPr>
    </w:p>
    <w:p w:rsidRPr="000110B9" w:rsidR="005F1EF0" w:rsidP="00775BEA" w:rsidRDefault="000110B9" w14:paraId="41B609BE" w14:textId="7C3441B2">
      <w:pPr>
        <w:ind w:firstLine="720"/>
        <w:jc w:val="both"/>
        <w:rPr>
          <w:szCs w:val="24"/>
        </w:rPr>
      </w:pPr>
      <w:r>
        <w:rPr>
          <w:szCs w:val="24"/>
        </w:rPr>
        <w:t>T</w:t>
      </w:r>
      <w:r w:rsidRPr="000110B9">
        <w:rPr>
          <w:szCs w:val="24"/>
        </w:rPr>
        <w:t xml:space="preserve">he Commission continues to expect that firms trading in the commodities subject to federal limits under § 150.2 do currently monitor for exchange-set and/or federal limits, and submit reports to claim exemptions in contracts for future delivery in such commodities. </w:t>
      </w:r>
      <w:r w:rsidR="0027498F">
        <w:rPr>
          <w:szCs w:val="24"/>
        </w:rPr>
        <w:t xml:space="preserve"> </w:t>
      </w:r>
      <w:r w:rsidRPr="000110B9">
        <w:rPr>
          <w:szCs w:val="24"/>
        </w:rPr>
        <w:t xml:space="preserve">The Commission therefore continues to believe that costs for futures market participants resulting from the </w:t>
      </w:r>
      <w:r w:rsidR="002566D7">
        <w:rPr>
          <w:szCs w:val="24"/>
        </w:rPr>
        <w:t>Final R</w:t>
      </w:r>
      <w:r w:rsidRPr="000110B9">
        <w:rPr>
          <w:szCs w:val="24"/>
        </w:rPr>
        <w:t xml:space="preserve">ule adopted herein are marginal increases upon existing costs, rather than entirely new burdens. </w:t>
      </w:r>
      <w:r w:rsidR="002E0013">
        <w:rPr>
          <w:szCs w:val="24"/>
        </w:rPr>
        <w:t xml:space="preserve"> </w:t>
      </w:r>
      <w:r w:rsidRPr="000110B9" w:rsidR="00B7210C">
        <w:rPr>
          <w:szCs w:val="24"/>
        </w:rPr>
        <w:t xml:space="preserve">The Commission estimates that the total annualized capital, operational, and maintenance costs associated with complying with the </w:t>
      </w:r>
      <w:r w:rsidR="002566D7">
        <w:rPr>
          <w:szCs w:val="24"/>
        </w:rPr>
        <w:t>Final Rule</w:t>
      </w:r>
      <w:r w:rsidRPr="000110B9" w:rsidR="00B7210C">
        <w:rPr>
          <w:szCs w:val="24"/>
        </w:rPr>
        <w:t xml:space="preserve"> w</w:t>
      </w:r>
      <w:r w:rsidR="002566D7">
        <w:rPr>
          <w:szCs w:val="24"/>
        </w:rPr>
        <w:t>ill</w:t>
      </w:r>
      <w:r w:rsidRPr="000110B9" w:rsidR="00B7210C">
        <w:rPr>
          <w:szCs w:val="24"/>
        </w:rPr>
        <w:t xml:space="preserve"> be approximately </w:t>
      </w:r>
      <w:r w:rsidRPr="000110B9" w:rsidR="005F1EF0">
        <w:rPr>
          <w:szCs w:val="24"/>
        </w:rPr>
        <w:t>$</w:t>
      </w:r>
      <w:r w:rsidR="001C67E1">
        <w:rPr>
          <w:szCs w:val="24"/>
        </w:rPr>
        <w:t>53,875,000</w:t>
      </w:r>
      <w:r w:rsidRPr="000110B9" w:rsidR="00B7210C">
        <w:rPr>
          <w:szCs w:val="24"/>
        </w:rPr>
        <w:t xml:space="preserve"> across approximately </w:t>
      </w:r>
      <w:r w:rsidRPr="000110B9" w:rsidR="005F1EF0">
        <w:rPr>
          <w:szCs w:val="24"/>
        </w:rPr>
        <w:t>4</w:t>
      </w:r>
      <w:r w:rsidR="001C67E1">
        <w:rPr>
          <w:szCs w:val="24"/>
        </w:rPr>
        <w:t>3</w:t>
      </w:r>
      <w:r w:rsidRPr="000110B9" w:rsidR="005F1EF0">
        <w:rPr>
          <w:szCs w:val="24"/>
        </w:rPr>
        <w:t>1</w:t>
      </w:r>
      <w:r w:rsidRPr="000110B9" w:rsidR="00B7210C">
        <w:rPr>
          <w:szCs w:val="24"/>
        </w:rPr>
        <w:t xml:space="preserve"> firms.  Of this, </w:t>
      </w:r>
      <w:r w:rsidRPr="000110B9" w:rsidR="005F1EF0">
        <w:rPr>
          <w:szCs w:val="24"/>
        </w:rPr>
        <w:t>$</w:t>
      </w:r>
      <w:r w:rsidRPr="000110B9" w:rsidR="001C67E1">
        <w:rPr>
          <w:szCs w:val="24"/>
        </w:rPr>
        <w:t>4</w:t>
      </w:r>
      <w:r w:rsidR="001C67E1">
        <w:rPr>
          <w:szCs w:val="24"/>
        </w:rPr>
        <w:t>2</w:t>
      </w:r>
      <w:r w:rsidRPr="000110B9" w:rsidR="005F1EF0">
        <w:rPr>
          <w:szCs w:val="24"/>
        </w:rPr>
        <w:t>,</w:t>
      </w:r>
      <w:r w:rsidR="00147608">
        <w:rPr>
          <w:szCs w:val="24"/>
        </w:rPr>
        <w:t>8</w:t>
      </w:r>
      <w:r w:rsidRPr="000110B9" w:rsidR="001C67E1">
        <w:rPr>
          <w:szCs w:val="24"/>
        </w:rPr>
        <w:t>00</w:t>
      </w:r>
      <w:r w:rsidRPr="000110B9" w:rsidR="005F1EF0">
        <w:rPr>
          <w:szCs w:val="24"/>
        </w:rPr>
        <w:t>,000</w:t>
      </w:r>
      <w:r w:rsidRPr="000110B9" w:rsidR="00B7210C">
        <w:rPr>
          <w:szCs w:val="24"/>
        </w:rPr>
        <w:t xml:space="preserve"> w</w:t>
      </w:r>
      <w:r w:rsidR="002566D7">
        <w:rPr>
          <w:szCs w:val="24"/>
        </w:rPr>
        <w:t>ill</w:t>
      </w:r>
      <w:r w:rsidRPr="000110B9" w:rsidR="00B7210C">
        <w:rPr>
          <w:szCs w:val="24"/>
        </w:rPr>
        <w:t xml:space="preserve"> be from annualized capital and start-up costs and </w:t>
      </w:r>
      <w:r w:rsidRPr="000110B9" w:rsidR="005F1EF0">
        <w:rPr>
          <w:szCs w:val="24"/>
        </w:rPr>
        <w:t>$</w:t>
      </w:r>
      <w:r w:rsidRPr="000110B9" w:rsidR="001C67E1">
        <w:rPr>
          <w:szCs w:val="24"/>
        </w:rPr>
        <w:t>1</w:t>
      </w:r>
      <w:r w:rsidR="001C67E1">
        <w:rPr>
          <w:szCs w:val="24"/>
        </w:rPr>
        <w:t>1</w:t>
      </w:r>
      <w:r w:rsidRPr="000110B9" w:rsidR="005F1EF0">
        <w:rPr>
          <w:szCs w:val="24"/>
        </w:rPr>
        <w:t>,075,000</w:t>
      </w:r>
      <w:r w:rsidRPr="000110B9" w:rsidR="00B7210C">
        <w:rPr>
          <w:szCs w:val="24"/>
        </w:rPr>
        <w:t xml:space="preserve"> w</w:t>
      </w:r>
      <w:r w:rsidR="002566D7">
        <w:rPr>
          <w:szCs w:val="24"/>
        </w:rPr>
        <w:t>ill</w:t>
      </w:r>
      <w:r w:rsidRPr="000110B9" w:rsidR="00B7210C">
        <w:rPr>
          <w:szCs w:val="24"/>
        </w:rPr>
        <w:t xml:space="preserve"> be from operating and maintenance costs.  These cost estimates are based on Commission staff’s estimated costs to develop the reports and recordkeeping required in the </w:t>
      </w:r>
      <w:r w:rsidR="002566D7">
        <w:rPr>
          <w:szCs w:val="24"/>
        </w:rPr>
        <w:t>Final Rule</w:t>
      </w:r>
      <w:r w:rsidRPr="000110B9" w:rsidR="00B7210C">
        <w:rPr>
          <w:szCs w:val="24"/>
        </w:rPr>
        <w:t xml:space="preserve">. </w:t>
      </w:r>
    </w:p>
    <w:p w:rsidR="00CC21E6" w:rsidP="005F1EF0" w:rsidRDefault="005F1EF0" w14:paraId="7FA09AC8" w14:textId="77777777">
      <w:pPr>
        <w:jc w:val="both"/>
        <w:rPr>
          <w:szCs w:val="24"/>
        </w:rPr>
      </w:pPr>
      <w:r w:rsidRPr="000110B9">
        <w:rPr>
          <w:szCs w:val="24"/>
        </w:rPr>
        <w:tab/>
      </w:r>
    </w:p>
    <w:p w:rsidRPr="00CC21E6" w:rsidR="00CC21E6" w:rsidP="00CC21E6" w:rsidRDefault="00CC21E6" w14:paraId="4F5EE5EA" w14:textId="77777777">
      <w:pPr>
        <w:pStyle w:val="ListParagraph"/>
        <w:numPr>
          <w:ilvl w:val="0"/>
          <w:numId w:val="15"/>
        </w:numPr>
        <w:rPr>
          <w:b/>
          <w:szCs w:val="24"/>
        </w:rPr>
      </w:pPr>
      <w:r w:rsidRPr="00CC21E6">
        <w:rPr>
          <w:b/>
          <w:szCs w:val="24"/>
        </w:rPr>
        <w:t>OMB 3038-0093 – Provisions Common to Registered Entities</w:t>
      </w:r>
    </w:p>
    <w:p w:rsidR="00CC21E6" w:rsidP="005F1EF0" w:rsidRDefault="00CC21E6" w14:paraId="06A71435" w14:textId="77777777">
      <w:pPr>
        <w:jc w:val="both"/>
        <w:rPr>
          <w:szCs w:val="24"/>
        </w:rPr>
      </w:pPr>
    </w:p>
    <w:p w:rsidRPr="00424E59" w:rsidR="009A57CC" w:rsidP="009A57CC" w:rsidRDefault="00ED0B22" w14:paraId="52BEF2B2" w14:textId="77777777">
      <w:pPr>
        <w:ind w:firstLine="360"/>
        <w:jc w:val="both"/>
        <w:rPr>
          <w:szCs w:val="24"/>
        </w:rPr>
      </w:pPr>
      <w:r w:rsidRPr="00424E59">
        <w:rPr>
          <w:szCs w:val="24"/>
        </w:rPr>
        <w:t xml:space="preserve">The Commission </w:t>
      </w:r>
      <w:r>
        <w:rPr>
          <w:szCs w:val="24"/>
        </w:rPr>
        <w:t xml:space="preserve">estimates that </w:t>
      </w:r>
      <w:r w:rsidRPr="00424E59">
        <w:rPr>
          <w:szCs w:val="24"/>
        </w:rPr>
        <w:t xml:space="preserve">there </w:t>
      </w:r>
      <w:r w:rsidRPr="00424E59" w:rsidR="00843FB7">
        <w:rPr>
          <w:szCs w:val="24"/>
        </w:rPr>
        <w:t>is no applicable capital</w:t>
      </w:r>
      <w:r w:rsidRPr="00424E59">
        <w:rPr>
          <w:szCs w:val="24"/>
        </w:rPr>
        <w:t>, start up</w:t>
      </w:r>
      <w:r w:rsidR="00765EB9">
        <w:rPr>
          <w:szCs w:val="24"/>
        </w:rPr>
        <w:t xml:space="preserve"> or</w:t>
      </w:r>
      <w:r w:rsidRPr="00424E59">
        <w:rPr>
          <w:szCs w:val="24"/>
        </w:rPr>
        <w:t xml:space="preserve"> maintenance cost</w:t>
      </w:r>
      <w:r>
        <w:rPr>
          <w:szCs w:val="24"/>
        </w:rPr>
        <w:t>s involved for OMB control number 3038-0093</w:t>
      </w:r>
      <w:r w:rsidRPr="00424E59">
        <w:rPr>
          <w:szCs w:val="24"/>
        </w:rPr>
        <w:t>.</w:t>
      </w:r>
    </w:p>
    <w:p w:rsidRPr="00424E59" w:rsidR="005F1EF0" w:rsidP="005F1EF0" w:rsidRDefault="00EF12DA" w14:paraId="02716E69" w14:textId="77777777">
      <w:pPr>
        <w:rPr>
          <w:rFonts w:eastAsia="Times New Roman" w:cs="Times New Roman"/>
          <w:color w:val="000000"/>
          <w:szCs w:val="24"/>
        </w:rPr>
      </w:pPr>
      <w:r>
        <w:rPr>
          <w:rFonts w:eastAsia="Times New Roman" w:cs="Times New Roman"/>
          <w:color w:val="000000"/>
          <w:szCs w:val="24"/>
        </w:rPr>
        <w:t xml:space="preserve"> </w:t>
      </w:r>
    </w:p>
    <w:p w:rsidRPr="0032404E" w:rsidR="00C50022" w:rsidP="0032404E" w:rsidRDefault="00642B6A" w14:paraId="54A55A28" w14:textId="77777777">
      <w:pPr>
        <w:tabs>
          <w:tab w:val="left" w:pos="-720"/>
        </w:tabs>
        <w:spacing w:after="240"/>
        <w:ind w:left="720" w:hanging="720"/>
        <w:jc w:val="both"/>
        <w:rPr>
          <w:rFonts w:eastAsia="Times New Roman" w:cs="Times New Roman"/>
          <w:b/>
          <w:szCs w:val="24"/>
        </w:rPr>
      </w:pPr>
      <w:r w:rsidRPr="00424E59">
        <w:rPr>
          <w:rFonts w:eastAsia="Times New Roman" w:cs="Times New Roman"/>
          <w:b/>
          <w:szCs w:val="24"/>
        </w:rPr>
        <w:t>14.</w:t>
      </w:r>
      <w:r w:rsidRPr="00424E59">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w:t>
      </w:r>
      <w:r w:rsidR="0032404E">
        <w:rPr>
          <w:rFonts w:eastAsia="Times New Roman" w:cs="Times New Roman"/>
          <w:b/>
          <w:szCs w:val="24"/>
        </w:rPr>
        <w:t xml:space="preserve">13, and 14 in a single table.  </w:t>
      </w:r>
    </w:p>
    <w:p w:rsidRPr="00E0766C" w:rsidR="00C50022" w:rsidP="00C50022" w:rsidRDefault="00C50022" w14:paraId="66808A39" w14:textId="77777777">
      <w:pPr>
        <w:pStyle w:val="ListParagraph"/>
        <w:numPr>
          <w:ilvl w:val="0"/>
          <w:numId w:val="9"/>
        </w:numPr>
        <w:tabs>
          <w:tab w:val="left" w:pos="-720"/>
        </w:tabs>
        <w:spacing w:after="240"/>
        <w:jc w:val="both"/>
        <w:rPr>
          <w:rFonts w:eastAsia="Times New Roman"/>
          <w:b/>
          <w:szCs w:val="24"/>
        </w:rPr>
      </w:pPr>
      <w:r w:rsidRPr="00E0766C">
        <w:rPr>
          <w:b/>
          <w:szCs w:val="24"/>
        </w:rPr>
        <w:t xml:space="preserve">OMB 3038-0009 </w:t>
      </w:r>
      <w:r w:rsidR="00E0766C">
        <w:rPr>
          <w:b/>
          <w:szCs w:val="24"/>
        </w:rPr>
        <w:t>–</w:t>
      </w:r>
      <w:r w:rsidRPr="00E0766C">
        <w:rPr>
          <w:b/>
          <w:szCs w:val="24"/>
        </w:rPr>
        <w:t xml:space="preserve"> </w:t>
      </w:r>
      <w:r w:rsidR="00E0766C">
        <w:rPr>
          <w:b/>
          <w:szCs w:val="24"/>
        </w:rPr>
        <w:t xml:space="preserve">Large Trader </w:t>
      </w:r>
      <w:r w:rsidRPr="00E0766C">
        <w:rPr>
          <w:b/>
          <w:szCs w:val="24"/>
        </w:rPr>
        <w:t xml:space="preserve">Reports </w:t>
      </w:r>
    </w:p>
    <w:p w:rsidR="00C50022" w:rsidP="00765EB9" w:rsidRDefault="00C50022" w14:paraId="6C438771" w14:textId="7601642B">
      <w:pPr>
        <w:ind w:firstLine="720"/>
        <w:jc w:val="both"/>
        <w:rPr>
          <w:rFonts w:eastAsia="Times New Roman" w:cs="Times New Roman"/>
          <w:szCs w:val="24"/>
        </w:rPr>
      </w:pPr>
      <w:r w:rsidRPr="00424E59">
        <w:rPr>
          <w:szCs w:val="24"/>
        </w:rPr>
        <w:t>The Commission estimates that the equivalent of a mix of approximately 30 Market and Surveillance Analysts along with technical support staff will expend approximately 5 hours per day over 250 trading days to collect and analyze the information submitted under the market and large trader reporting rules within the Collection.</w:t>
      </w:r>
      <w:r w:rsidR="00FF0A25">
        <w:rPr>
          <w:szCs w:val="24"/>
        </w:rPr>
        <w:t xml:space="preserve">  </w:t>
      </w:r>
      <w:r w:rsidR="00FF0A25">
        <w:rPr>
          <w:rFonts w:eastAsia="Times New Roman" w:cs="Times New Roman"/>
          <w:szCs w:val="24"/>
        </w:rPr>
        <w:t>Assuming, on average,</w:t>
      </w:r>
      <w:r w:rsidRPr="00424E59" w:rsidR="00FF0A25">
        <w:rPr>
          <w:rFonts w:eastAsia="Times New Roman" w:cs="Times New Roman"/>
          <w:szCs w:val="24"/>
        </w:rPr>
        <w:t xml:space="preserve"> </w:t>
      </w:r>
      <w:r w:rsidR="00FF0A25">
        <w:rPr>
          <w:rFonts w:eastAsia="Times New Roman" w:cs="Times New Roman"/>
          <w:szCs w:val="24"/>
        </w:rPr>
        <w:t>a</w:t>
      </w:r>
      <w:r w:rsidRPr="00424E59" w:rsidR="00FF0A25">
        <w:rPr>
          <w:rFonts w:eastAsia="Times New Roman" w:cs="Times New Roman"/>
          <w:szCs w:val="24"/>
        </w:rPr>
        <w:t xml:space="preserve">t a minimum CT-13 </w:t>
      </w:r>
      <w:r w:rsidRPr="00424E59" w:rsidR="00FF0A25">
        <w:rPr>
          <w:rFonts w:eastAsia="Times New Roman" w:cs="Times New Roman"/>
          <w:szCs w:val="24"/>
        </w:rPr>
        <w:lastRenderedPageBreak/>
        <w:t>pay grade for Commission employees in Washington, D.C. for 2019, or $121,611, multiplied by 1.3 and 1.25 to account for overhead and benefits respectively, each employee would cost the Commission approximately $</w:t>
      </w:r>
      <w:r w:rsidR="00FF0A25">
        <w:rPr>
          <w:rFonts w:eastAsia="Times New Roman" w:cs="Times New Roman"/>
          <w:szCs w:val="24"/>
        </w:rPr>
        <w:t>188,497</w:t>
      </w:r>
      <w:r w:rsidRPr="00424E59" w:rsidR="00FF0A25">
        <w:rPr>
          <w:rFonts w:eastAsia="Times New Roman" w:cs="Times New Roman"/>
          <w:szCs w:val="24"/>
        </w:rPr>
        <w:t>.</w:t>
      </w:r>
      <w:r w:rsidR="00DF3955">
        <w:rPr>
          <w:rFonts w:eastAsia="Times New Roman" w:cs="Times New Roman"/>
          <w:szCs w:val="24"/>
        </w:rPr>
        <w:t xml:space="preserve">  At approximately 1,</w:t>
      </w:r>
      <w:r w:rsidR="00B56CB0">
        <w:rPr>
          <w:rFonts w:eastAsia="Times New Roman" w:cs="Times New Roman"/>
          <w:szCs w:val="24"/>
        </w:rPr>
        <w:t>920 annual hours worked per em</w:t>
      </w:r>
      <w:r w:rsidRPr="003E4573" w:rsidR="00B56CB0">
        <w:rPr>
          <w:rFonts w:eastAsia="Times New Roman" w:cs="Times New Roman"/>
          <w:szCs w:val="24"/>
        </w:rPr>
        <w:t>ployee, this result</w:t>
      </w:r>
      <w:r w:rsidR="00F85892">
        <w:rPr>
          <w:rFonts w:eastAsia="Times New Roman" w:cs="Times New Roman"/>
          <w:szCs w:val="24"/>
        </w:rPr>
        <w:t>s</w:t>
      </w:r>
      <w:r w:rsidRPr="003E4573" w:rsidR="00B56CB0">
        <w:rPr>
          <w:rFonts w:eastAsia="Times New Roman" w:cs="Times New Roman"/>
          <w:szCs w:val="24"/>
        </w:rPr>
        <w:t xml:space="preserve"> in an average annual salary and benefits rate of $98 per hour</w:t>
      </w:r>
      <w:r w:rsidRPr="003E4573">
        <w:rPr>
          <w:szCs w:val="24"/>
        </w:rPr>
        <w:t xml:space="preserve"> for a full-time employee</w:t>
      </w:r>
      <w:r w:rsidRPr="003E4573" w:rsidR="003E4573">
        <w:rPr>
          <w:szCs w:val="24"/>
        </w:rPr>
        <w:t xml:space="preserve"> ($</w:t>
      </w:r>
      <w:r w:rsidR="00F85892">
        <w:rPr>
          <w:szCs w:val="24"/>
        </w:rPr>
        <w:t>188,497</w:t>
      </w:r>
      <w:r w:rsidRPr="003E4573" w:rsidR="003E4573">
        <w:rPr>
          <w:szCs w:val="24"/>
        </w:rPr>
        <w:t xml:space="preserve"> / 1,920 hours = $ 98 per hour)</w:t>
      </w:r>
      <w:r w:rsidRPr="003E4573" w:rsidR="00B56CB0">
        <w:rPr>
          <w:szCs w:val="24"/>
        </w:rPr>
        <w:t>.  Accordingly</w:t>
      </w:r>
      <w:r w:rsidRPr="003E4573">
        <w:rPr>
          <w:szCs w:val="24"/>
        </w:rPr>
        <w:t xml:space="preserve">, the Commission estimates that the cost to the government will be </w:t>
      </w:r>
      <w:r w:rsidR="00F85892">
        <w:rPr>
          <w:szCs w:val="24"/>
        </w:rPr>
        <w:t xml:space="preserve">approximately </w:t>
      </w:r>
      <w:r w:rsidRPr="003E4573">
        <w:rPr>
          <w:szCs w:val="24"/>
        </w:rPr>
        <w:t>$</w:t>
      </w:r>
      <w:r w:rsidRPr="003E4573" w:rsidR="00B56CB0">
        <w:rPr>
          <w:szCs w:val="24"/>
        </w:rPr>
        <w:t>3,675,000</w:t>
      </w:r>
      <w:r w:rsidRPr="003E4573">
        <w:rPr>
          <w:szCs w:val="24"/>
        </w:rPr>
        <w:t xml:space="preserve"> annually</w:t>
      </w:r>
      <w:r w:rsidRPr="003E4573" w:rsidR="00B56CB0">
        <w:rPr>
          <w:szCs w:val="24"/>
        </w:rPr>
        <w:t xml:space="preserve"> (30 analysts x 5 hours per day x 250 trading days x $98 per hour = $3,675,000)</w:t>
      </w:r>
      <w:r w:rsidRPr="003E4573">
        <w:rPr>
          <w:szCs w:val="24"/>
        </w:rPr>
        <w:t xml:space="preserve">.  </w:t>
      </w:r>
    </w:p>
    <w:p w:rsidRPr="00424E59" w:rsidR="00765EB9" w:rsidP="00765EB9" w:rsidRDefault="00765EB9" w14:paraId="75AFF8FA" w14:textId="77777777">
      <w:pPr>
        <w:ind w:firstLine="720"/>
        <w:jc w:val="both"/>
        <w:rPr>
          <w:rFonts w:eastAsia="Times New Roman" w:cs="Times New Roman"/>
          <w:szCs w:val="24"/>
        </w:rPr>
      </w:pPr>
    </w:p>
    <w:p w:rsidRPr="00E0766C" w:rsidR="00C50022" w:rsidP="00C50022" w:rsidRDefault="00C50022" w14:paraId="7AEF83A1" w14:textId="77777777">
      <w:pPr>
        <w:pStyle w:val="ListParagraph"/>
        <w:numPr>
          <w:ilvl w:val="0"/>
          <w:numId w:val="9"/>
        </w:numPr>
        <w:tabs>
          <w:tab w:val="left" w:pos="-720"/>
        </w:tabs>
        <w:spacing w:after="240"/>
        <w:jc w:val="both"/>
        <w:rPr>
          <w:rFonts w:eastAsia="Times New Roman"/>
          <w:b/>
          <w:szCs w:val="24"/>
        </w:rPr>
      </w:pPr>
      <w:r w:rsidRPr="00E0766C">
        <w:rPr>
          <w:b/>
          <w:szCs w:val="24"/>
        </w:rPr>
        <w:t xml:space="preserve">OMB 3038-0013 – Position Limits </w:t>
      </w:r>
    </w:p>
    <w:p w:rsidR="00642B6A" w:rsidP="00C50022" w:rsidRDefault="00D56DAE" w14:paraId="5199BE95" w14:textId="2719C5E0">
      <w:pPr>
        <w:ind w:firstLine="720"/>
        <w:jc w:val="both"/>
        <w:rPr>
          <w:rFonts w:eastAsia="Times New Roman" w:cs="Times New Roman"/>
          <w:szCs w:val="24"/>
        </w:rPr>
      </w:pPr>
      <w:r w:rsidRPr="00424E59">
        <w:rPr>
          <w:rFonts w:eastAsia="Times New Roman" w:cs="Times New Roman"/>
          <w:szCs w:val="24"/>
        </w:rPr>
        <w:t xml:space="preserve">The Commission estimates that the equivalent of approximately </w:t>
      </w:r>
      <w:r w:rsidRPr="00424E59" w:rsidR="007A108B">
        <w:rPr>
          <w:rFonts w:eastAsia="Times New Roman" w:cs="Times New Roman"/>
          <w:szCs w:val="24"/>
        </w:rPr>
        <w:t>75,000</w:t>
      </w:r>
      <w:r w:rsidRPr="00424E59">
        <w:rPr>
          <w:rFonts w:eastAsia="Times New Roman" w:cs="Times New Roman"/>
          <w:szCs w:val="24"/>
        </w:rPr>
        <w:t xml:space="preserve"> annual labor hours w</w:t>
      </w:r>
      <w:r w:rsidR="009F5D20">
        <w:rPr>
          <w:rFonts w:eastAsia="Times New Roman" w:cs="Times New Roman"/>
          <w:szCs w:val="24"/>
        </w:rPr>
        <w:t>ill</w:t>
      </w:r>
      <w:r w:rsidRPr="00424E59">
        <w:rPr>
          <w:rFonts w:eastAsia="Times New Roman" w:cs="Times New Roman"/>
          <w:szCs w:val="24"/>
        </w:rPr>
        <w:t xml:space="preserve"> be required in order to review, process, and respond to the relevant reports provided for in </w:t>
      </w:r>
      <w:r w:rsidR="009F5D20">
        <w:rPr>
          <w:rFonts w:eastAsia="Times New Roman" w:cs="Times New Roman"/>
          <w:szCs w:val="24"/>
        </w:rPr>
        <w:t>the Final Rule</w:t>
      </w:r>
      <w:r w:rsidRPr="00424E59">
        <w:rPr>
          <w:rFonts w:eastAsia="Times New Roman" w:cs="Times New Roman"/>
          <w:szCs w:val="24"/>
        </w:rPr>
        <w:t>.  The staff needed include</w:t>
      </w:r>
      <w:r w:rsidR="009F5D20">
        <w:rPr>
          <w:rFonts w:eastAsia="Times New Roman" w:cs="Times New Roman"/>
          <w:szCs w:val="24"/>
        </w:rPr>
        <w:t>s</w:t>
      </w:r>
      <w:r w:rsidRPr="00424E59">
        <w:rPr>
          <w:rFonts w:eastAsia="Times New Roman" w:cs="Times New Roman"/>
          <w:szCs w:val="24"/>
        </w:rPr>
        <w:t xml:space="preserve"> attorneys, industry economists, and information technology staff, including computer programmers.  These estimates are based on estimated labor costs associated with processing analogous reporting for existing federal position limits for certain agricultural futures contracts.</w:t>
      </w:r>
      <w:r w:rsidR="001B73E0">
        <w:rPr>
          <w:rFonts w:eastAsia="Times New Roman" w:cs="Times New Roman"/>
          <w:szCs w:val="24"/>
        </w:rPr>
        <w:t xml:space="preserve">  Assuming, on average,</w:t>
      </w:r>
      <w:r w:rsidRPr="00424E59">
        <w:rPr>
          <w:rFonts w:eastAsia="Times New Roman" w:cs="Times New Roman"/>
          <w:szCs w:val="24"/>
        </w:rPr>
        <w:t xml:space="preserve"> </w:t>
      </w:r>
      <w:r w:rsidR="00FF0A25">
        <w:rPr>
          <w:rFonts w:eastAsia="Times New Roman" w:cs="Times New Roman"/>
          <w:szCs w:val="24"/>
        </w:rPr>
        <w:t>a</w:t>
      </w:r>
      <w:r w:rsidRPr="00424E59" w:rsidR="009A3232">
        <w:rPr>
          <w:rFonts w:eastAsia="Times New Roman" w:cs="Times New Roman"/>
          <w:szCs w:val="24"/>
        </w:rPr>
        <w:t>t a minimum</w:t>
      </w:r>
      <w:r w:rsidRPr="00424E59">
        <w:rPr>
          <w:rFonts w:eastAsia="Times New Roman" w:cs="Times New Roman"/>
          <w:szCs w:val="24"/>
        </w:rPr>
        <w:t xml:space="preserve"> CT-13 pay grade for Commission employees in Washington, D.C. for </w:t>
      </w:r>
      <w:r w:rsidRPr="00424E59" w:rsidR="009A3232">
        <w:rPr>
          <w:rFonts w:eastAsia="Times New Roman" w:cs="Times New Roman"/>
          <w:szCs w:val="24"/>
        </w:rPr>
        <w:t>2019</w:t>
      </w:r>
      <w:r w:rsidRPr="00424E59">
        <w:rPr>
          <w:rFonts w:eastAsia="Times New Roman" w:cs="Times New Roman"/>
          <w:szCs w:val="24"/>
        </w:rPr>
        <w:t xml:space="preserve">, or </w:t>
      </w:r>
      <w:r w:rsidRPr="00424E59" w:rsidR="009A3232">
        <w:rPr>
          <w:rFonts w:eastAsia="Times New Roman" w:cs="Times New Roman"/>
          <w:szCs w:val="24"/>
        </w:rPr>
        <w:t>$121,611</w:t>
      </w:r>
      <w:r w:rsidRPr="00424E59">
        <w:rPr>
          <w:rFonts w:eastAsia="Times New Roman" w:cs="Times New Roman"/>
          <w:szCs w:val="24"/>
        </w:rPr>
        <w:t xml:space="preserve">, multiplied by 1.3 and 1.25 </w:t>
      </w:r>
      <w:r w:rsidRPr="00424E59" w:rsidR="00B83B16">
        <w:rPr>
          <w:rFonts w:eastAsia="Times New Roman" w:cs="Times New Roman"/>
          <w:szCs w:val="24"/>
        </w:rPr>
        <w:t>to account for overhead and benefits respectively, each employee w</w:t>
      </w:r>
      <w:r w:rsidR="009F5D20">
        <w:rPr>
          <w:rFonts w:eastAsia="Times New Roman" w:cs="Times New Roman"/>
          <w:szCs w:val="24"/>
        </w:rPr>
        <w:t>ill</w:t>
      </w:r>
      <w:r w:rsidRPr="00424E59" w:rsidR="00B83B16">
        <w:rPr>
          <w:rFonts w:eastAsia="Times New Roman" w:cs="Times New Roman"/>
          <w:szCs w:val="24"/>
        </w:rPr>
        <w:t xml:space="preserve"> cost the Commission approximately $</w:t>
      </w:r>
      <w:r w:rsidR="00B83B16">
        <w:rPr>
          <w:rFonts w:eastAsia="Times New Roman" w:cs="Times New Roman"/>
          <w:szCs w:val="24"/>
        </w:rPr>
        <w:t>188,497</w:t>
      </w:r>
      <w:r w:rsidRPr="00424E59">
        <w:rPr>
          <w:rFonts w:eastAsia="Times New Roman" w:cs="Times New Roman"/>
          <w:szCs w:val="24"/>
        </w:rPr>
        <w:t>.</w:t>
      </w:r>
      <w:r w:rsidR="00753FBD">
        <w:rPr>
          <w:rFonts w:eastAsia="Times New Roman" w:cs="Times New Roman"/>
          <w:szCs w:val="24"/>
        </w:rPr>
        <w:t xml:space="preserve">  </w:t>
      </w:r>
      <w:r w:rsidRPr="00F85892" w:rsidR="00F85892">
        <w:rPr>
          <w:rFonts w:eastAsia="Times New Roman" w:cs="Times New Roman"/>
          <w:szCs w:val="24"/>
        </w:rPr>
        <w:t>At approximately 1,920 annual hours worked per employee, this results in an average annual salary and benefits rate of $98 per hour for a full-time employee ($188,497 / 1,920 hours = $ 98 per hour).</w:t>
      </w:r>
      <w:r w:rsidR="00F85892">
        <w:rPr>
          <w:rFonts w:eastAsia="Times New Roman" w:cs="Times New Roman"/>
          <w:szCs w:val="24"/>
        </w:rPr>
        <w:t xml:space="preserve">  Accordingly, the Commission estimates that the cost to the government will be </w:t>
      </w:r>
      <w:r w:rsidRPr="00424E59">
        <w:rPr>
          <w:rFonts w:eastAsia="Times New Roman" w:cs="Times New Roman"/>
          <w:szCs w:val="24"/>
        </w:rPr>
        <w:t xml:space="preserve">approximately </w:t>
      </w:r>
      <w:r w:rsidRPr="00424E59" w:rsidR="009A3232">
        <w:rPr>
          <w:rFonts w:eastAsia="Times New Roman" w:cs="Times New Roman"/>
          <w:szCs w:val="24"/>
        </w:rPr>
        <w:t xml:space="preserve">$ </w:t>
      </w:r>
      <w:r w:rsidR="00986494">
        <w:rPr>
          <w:rFonts w:eastAsia="Times New Roman" w:cs="Times New Roman"/>
          <w:szCs w:val="24"/>
        </w:rPr>
        <w:t>4,777,500</w:t>
      </w:r>
      <w:r w:rsidRPr="00424E59">
        <w:rPr>
          <w:rFonts w:eastAsia="Times New Roman" w:cs="Times New Roman"/>
          <w:szCs w:val="24"/>
        </w:rPr>
        <w:t xml:space="preserve"> </w:t>
      </w:r>
      <w:r w:rsidRPr="003E4573" w:rsidR="00F85892">
        <w:rPr>
          <w:szCs w:val="24"/>
        </w:rPr>
        <w:t>annually</w:t>
      </w:r>
      <w:r w:rsidR="00D13D2A">
        <w:rPr>
          <w:szCs w:val="24"/>
        </w:rPr>
        <w:t xml:space="preserve"> (39</w:t>
      </w:r>
      <w:r w:rsidRPr="003E4573" w:rsidR="00F85892">
        <w:rPr>
          <w:szCs w:val="24"/>
        </w:rPr>
        <w:t xml:space="preserve"> analysts x 5 hours per day x 250 trading days x $98 per hour = $</w:t>
      </w:r>
      <w:r w:rsidR="00D13D2A">
        <w:rPr>
          <w:szCs w:val="24"/>
        </w:rPr>
        <w:t>4,777,500</w:t>
      </w:r>
      <w:r w:rsidRPr="003E4573" w:rsidR="00F85892">
        <w:rPr>
          <w:szCs w:val="24"/>
        </w:rPr>
        <w:t>)</w:t>
      </w:r>
      <w:r w:rsidRPr="00424E59">
        <w:rPr>
          <w:rFonts w:eastAsia="Times New Roman" w:cs="Times New Roman"/>
          <w:szCs w:val="24"/>
        </w:rPr>
        <w:t>.</w:t>
      </w:r>
    </w:p>
    <w:p w:rsidR="00CC21E6" w:rsidP="00C50022" w:rsidRDefault="00CC21E6" w14:paraId="12314727" w14:textId="77777777">
      <w:pPr>
        <w:ind w:firstLine="720"/>
        <w:jc w:val="both"/>
        <w:rPr>
          <w:rFonts w:eastAsia="Times New Roman" w:cs="Times New Roman"/>
          <w:szCs w:val="24"/>
        </w:rPr>
      </w:pPr>
    </w:p>
    <w:p w:rsidRPr="00CC21E6" w:rsidR="00CC21E6" w:rsidP="00CC21E6" w:rsidRDefault="00CC21E6" w14:paraId="078361A9" w14:textId="77777777">
      <w:pPr>
        <w:pStyle w:val="ListParagraph"/>
        <w:numPr>
          <w:ilvl w:val="0"/>
          <w:numId w:val="16"/>
        </w:numPr>
        <w:rPr>
          <w:b/>
          <w:szCs w:val="24"/>
        </w:rPr>
      </w:pPr>
      <w:r w:rsidRPr="00CC21E6">
        <w:rPr>
          <w:b/>
          <w:szCs w:val="24"/>
        </w:rPr>
        <w:t>OMB 3038-0093 – Provisions Common to Registered Entities</w:t>
      </w:r>
    </w:p>
    <w:p w:rsidRPr="00424E59" w:rsidR="00CC21E6" w:rsidP="00C50022" w:rsidRDefault="00CC21E6" w14:paraId="5646569A" w14:textId="77777777">
      <w:pPr>
        <w:ind w:firstLine="720"/>
        <w:jc w:val="both"/>
        <w:rPr>
          <w:rFonts w:eastAsia="Times New Roman" w:cs="Times New Roman"/>
          <w:szCs w:val="24"/>
        </w:rPr>
      </w:pPr>
    </w:p>
    <w:p w:rsidR="00C50022" w:rsidP="00C50022" w:rsidRDefault="00AA180B" w14:paraId="6375335A" w14:textId="77777777">
      <w:pPr>
        <w:ind w:firstLine="720"/>
        <w:jc w:val="both"/>
        <w:rPr>
          <w:rFonts w:eastAsia="Times New Roman" w:cs="Times New Roman"/>
          <w:szCs w:val="24"/>
        </w:rPr>
      </w:pPr>
      <w:r w:rsidRPr="00AA180B">
        <w:rPr>
          <w:rFonts w:eastAsia="Times New Roman" w:cs="Times New Roman"/>
          <w:szCs w:val="24"/>
        </w:rPr>
        <w:t>The Commission estimates that there is no applicable annualized cost to the Federal Government involved for OMB control number 3038-0093.</w:t>
      </w:r>
    </w:p>
    <w:p w:rsidRPr="00424E59" w:rsidR="00AA180B" w:rsidP="00C50022" w:rsidRDefault="00AA180B" w14:paraId="223FE2A2" w14:textId="77777777">
      <w:pPr>
        <w:ind w:firstLine="720"/>
        <w:jc w:val="both"/>
        <w:rPr>
          <w:rFonts w:eastAsia="Times New Roman" w:cs="Times New Roman"/>
          <w:szCs w:val="24"/>
        </w:rPr>
      </w:pPr>
    </w:p>
    <w:p w:rsidRPr="00424E59" w:rsidR="00642B6A" w:rsidP="00FE503D" w:rsidRDefault="00642B6A" w14:paraId="07E619A7"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15.</w:t>
      </w:r>
      <w:r w:rsidRPr="00424E59">
        <w:rPr>
          <w:rFonts w:eastAsia="Times New Roman" w:cs="Times New Roman"/>
          <w:b/>
          <w:szCs w:val="24"/>
        </w:rPr>
        <w:tab/>
        <w:t>Explain the reasons for any program changes or adjustments reported in Items 13 or 14.</w:t>
      </w:r>
    </w:p>
    <w:p w:rsidRPr="00424E59" w:rsidR="00C50022" w:rsidP="001F2E8A" w:rsidRDefault="00642B6A" w14:paraId="2172C302" w14:textId="22C8F759">
      <w:pPr>
        <w:tabs>
          <w:tab w:val="left" w:pos="-720"/>
        </w:tabs>
        <w:spacing w:after="240"/>
        <w:jc w:val="both"/>
        <w:rPr>
          <w:szCs w:val="24"/>
        </w:rPr>
      </w:pPr>
      <w:r w:rsidRPr="00424E59">
        <w:rPr>
          <w:rFonts w:eastAsia="Times New Roman" w:cs="Times New Roman"/>
          <w:szCs w:val="24"/>
        </w:rPr>
        <w:tab/>
      </w:r>
      <w:r w:rsidRPr="00424E59" w:rsidR="00C50022">
        <w:rPr>
          <w:szCs w:val="24"/>
        </w:rPr>
        <w:t>Changes in Items 13 or 14 are due to (</w:t>
      </w:r>
      <w:proofErr w:type="spellStart"/>
      <w:r w:rsidRPr="00424E59" w:rsidR="00C50022">
        <w:rPr>
          <w:szCs w:val="24"/>
        </w:rPr>
        <w:t>i</w:t>
      </w:r>
      <w:proofErr w:type="spellEnd"/>
      <w:r w:rsidRPr="00424E59" w:rsidR="00C50022">
        <w:rPr>
          <w:szCs w:val="24"/>
        </w:rPr>
        <w:t xml:space="preserve">) amendments to collections of information due to the </w:t>
      </w:r>
      <w:r w:rsidR="009F5D20">
        <w:rPr>
          <w:szCs w:val="24"/>
        </w:rPr>
        <w:t>Final Rule;</w:t>
      </w:r>
      <w:r w:rsidRPr="00424E59" w:rsidR="00C50022">
        <w:rPr>
          <w:szCs w:val="24"/>
        </w:rPr>
        <w:t xml:space="preserve"> and (ii) the Commission altering the current costs to provide a more accurate estimate of the associated wages. </w:t>
      </w:r>
    </w:p>
    <w:p w:rsidRPr="00424E59" w:rsidR="00642B6A" w:rsidP="00FE503D" w:rsidRDefault="00642B6A" w14:paraId="4AAFE510"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16.</w:t>
      </w:r>
      <w:r w:rsidRPr="00424E59">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424E59" w:rsidR="00642B6A" w:rsidP="00642B6A" w:rsidRDefault="00642B6A" w14:paraId="58F37FA3" w14:textId="77777777">
      <w:pPr>
        <w:tabs>
          <w:tab w:val="left" w:pos="-720"/>
        </w:tabs>
        <w:spacing w:after="240"/>
        <w:rPr>
          <w:rFonts w:eastAsia="Times New Roman" w:cs="Times New Roman"/>
          <w:szCs w:val="24"/>
        </w:rPr>
      </w:pPr>
      <w:r w:rsidRPr="00424E59">
        <w:rPr>
          <w:rFonts w:eastAsia="Times New Roman" w:cs="Times New Roman"/>
          <w:szCs w:val="24"/>
        </w:rPr>
        <w:tab/>
      </w:r>
      <w:r w:rsidRPr="00424E59" w:rsidR="0028456A">
        <w:rPr>
          <w:rFonts w:eastAsia="Times New Roman" w:cs="Times New Roman"/>
          <w:szCs w:val="24"/>
        </w:rPr>
        <w:t xml:space="preserve">Not applicable. </w:t>
      </w:r>
    </w:p>
    <w:p w:rsidRPr="00424E59" w:rsidR="00642B6A" w:rsidP="00FE503D" w:rsidRDefault="00642B6A" w14:paraId="10746E7A" w14:textId="77777777">
      <w:pPr>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t>17.</w:t>
      </w:r>
      <w:r w:rsidRPr="00424E59">
        <w:rPr>
          <w:rFonts w:eastAsia="Times New Roman" w:cs="Times New Roman"/>
          <w:b/>
          <w:szCs w:val="24"/>
        </w:rPr>
        <w:tab/>
        <w:t>If seeking approval to not display the expiration date for OMB approval of the information collection, explain the reasons that display would be inappropriate.</w:t>
      </w:r>
    </w:p>
    <w:p w:rsidRPr="00424E59" w:rsidR="00642B6A" w:rsidP="00642B6A" w:rsidRDefault="00642B6A" w14:paraId="5DBF0520" w14:textId="77777777">
      <w:pPr>
        <w:tabs>
          <w:tab w:val="left" w:pos="-720"/>
        </w:tabs>
        <w:spacing w:after="240"/>
        <w:rPr>
          <w:rFonts w:eastAsia="Times New Roman" w:cs="Times New Roman"/>
          <w:szCs w:val="24"/>
        </w:rPr>
      </w:pPr>
      <w:r w:rsidRPr="00424E59">
        <w:rPr>
          <w:rFonts w:eastAsia="Times New Roman" w:cs="Times New Roman"/>
          <w:szCs w:val="24"/>
        </w:rPr>
        <w:tab/>
      </w:r>
      <w:r w:rsidRPr="00424E59" w:rsidR="0028456A">
        <w:rPr>
          <w:rFonts w:eastAsia="Times New Roman" w:cs="Times New Roman"/>
          <w:szCs w:val="24"/>
        </w:rPr>
        <w:t xml:space="preserve">Not applicable. </w:t>
      </w:r>
    </w:p>
    <w:p w:rsidRPr="00424E59" w:rsidR="00642B6A" w:rsidP="00FE503D" w:rsidRDefault="00642B6A" w14:paraId="04348F6B" w14:textId="77777777">
      <w:pPr>
        <w:keepNext/>
        <w:tabs>
          <w:tab w:val="left" w:pos="-720"/>
          <w:tab w:val="left" w:pos="0"/>
        </w:tabs>
        <w:spacing w:after="240"/>
        <w:ind w:left="720" w:hanging="720"/>
        <w:jc w:val="both"/>
        <w:rPr>
          <w:rFonts w:eastAsia="Times New Roman" w:cs="Times New Roman"/>
          <w:b/>
          <w:szCs w:val="24"/>
        </w:rPr>
      </w:pPr>
      <w:r w:rsidRPr="00424E59">
        <w:rPr>
          <w:rFonts w:eastAsia="Times New Roman" w:cs="Times New Roman"/>
          <w:b/>
          <w:szCs w:val="24"/>
        </w:rPr>
        <w:lastRenderedPageBreak/>
        <w:t>18.</w:t>
      </w:r>
      <w:r w:rsidRPr="00424E59">
        <w:rPr>
          <w:rFonts w:eastAsia="Times New Roman" w:cs="Times New Roman"/>
          <w:b/>
          <w:szCs w:val="24"/>
        </w:rPr>
        <w:tab/>
        <w:t>Explain each exception to the certification statement identified in Item 19, "Certification for Paperwork Reduction Act Submissions," of OMB Form 83-I.</w:t>
      </w:r>
    </w:p>
    <w:p w:rsidRPr="00424E59" w:rsidR="009D00FB" w:rsidP="009D00FB" w:rsidRDefault="00642B6A" w14:paraId="6F6EB9D6" w14:textId="77777777">
      <w:pPr>
        <w:tabs>
          <w:tab w:val="left" w:pos="-720"/>
        </w:tabs>
        <w:spacing w:after="240"/>
        <w:rPr>
          <w:rFonts w:eastAsia="Times New Roman" w:cs="Times New Roman"/>
          <w:szCs w:val="24"/>
        </w:rPr>
      </w:pPr>
      <w:r w:rsidRPr="00424E59">
        <w:rPr>
          <w:rFonts w:eastAsia="Times New Roman" w:cs="Times New Roman"/>
          <w:szCs w:val="24"/>
        </w:rPr>
        <w:tab/>
      </w:r>
      <w:r w:rsidR="00424FA2">
        <w:rPr>
          <w:rFonts w:eastAsia="Times New Roman" w:cs="Times New Roman"/>
          <w:szCs w:val="24"/>
        </w:rPr>
        <w:t>Not applicable.</w:t>
      </w:r>
    </w:p>
    <w:p w:rsidR="009D00FB" w:rsidRDefault="00B74CE1" w14:paraId="05DC28E7" w14:textId="77777777">
      <w:pPr>
        <w:spacing w:after="200" w:line="276" w:lineRule="auto"/>
        <w:rPr>
          <w:rFonts w:eastAsia="Times New Roman" w:cs="Times New Roman"/>
          <w:szCs w:val="24"/>
        </w:rPr>
      </w:pPr>
      <w:r>
        <w:rPr>
          <w:rFonts w:eastAsia="Times New Roman" w:cs="Times New Roman"/>
          <w:szCs w:val="24"/>
        </w:rPr>
        <w:br w:type="page"/>
      </w:r>
    </w:p>
    <w:p w:rsidRPr="00642B6A" w:rsidR="00642B6A" w:rsidP="005E4E5C" w:rsidRDefault="00642B6A" w14:paraId="6A19D798" w14:textId="77777777">
      <w:pPr>
        <w:tabs>
          <w:tab w:val="left" w:pos="-720"/>
        </w:tabs>
        <w:spacing w:after="240"/>
        <w:jc w:val="center"/>
        <w:rPr>
          <w:rFonts w:eastAsia="Times New Roman" w:cs="Times New Roman"/>
          <w:b/>
          <w:szCs w:val="24"/>
        </w:rPr>
      </w:pPr>
      <w:r w:rsidRPr="00642B6A">
        <w:rPr>
          <w:rFonts w:eastAsia="Times New Roman" w:cs="Times New Roman"/>
          <w:b/>
          <w:szCs w:val="24"/>
        </w:rPr>
        <w:lastRenderedPageBreak/>
        <w:t>Attachment A</w:t>
      </w:r>
    </w:p>
    <w:p w:rsidRPr="00642B6A" w:rsidR="00642B6A" w:rsidP="00642B6A" w:rsidRDefault="00642B6A" w14:paraId="7C70CC77" w14:textId="77777777">
      <w:pPr>
        <w:jc w:val="center"/>
        <w:rPr>
          <w:rFonts w:eastAsia="Times New Roman" w:cs="Times New Roman"/>
          <w:b/>
          <w:szCs w:val="24"/>
        </w:rPr>
      </w:pPr>
    </w:p>
    <w:p w:rsidRPr="00642B6A" w:rsidR="00642B6A" w:rsidP="00642B6A" w:rsidRDefault="007F3179" w14:paraId="0E60E0CD" w14:textId="77777777">
      <w:pPr>
        <w:jc w:val="center"/>
        <w:rPr>
          <w:rFonts w:eastAsia="Times New Roman" w:cs="Times New Roman"/>
          <w:b/>
          <w:szCs w:val="24"/>
        </w:rPr>
      </w:pPr>
      <w:r w:rsidRPr="007F3179">
        <w:rPr>
          <w:rFonts w:eastAsia="Times New Roman" w:cs="Times New Roman"/>
          <w:b/>
          <w:szCs w:val="24"/>
        </w:rPr>
        <w:t>OMB Control Number 3038-</w:t>
      </w:r>
      <w:r w:rsidR="0067738F">
        <w:rPr>
          <w:rFonts w:eastAsia="Times New Roman" w:cs="Times New Roman"/>
          <w:b/>
          <w:szCs w:val="24"/>
        </w:rPr>
        <w:t>0009</w:t>
      </w:r>
    </w:p>
    <w:p w:rsidRPr="00642B6A" w:rsidR="00642B6A" w:rsidP="00642B6A" w:rsidRDefault="00642B6A" w14:paraId="359CDDC8" w14:textId="77777777">
      <w:pPr>
        <w:jc w:val="center"/>
        <w:rPr>
          <w:rFonts w:eastAsia="Times New Roman" w:cs="Times New Roman"/>
          <w:b/>
          <w:szCs w:val="24"/>
        </w:rPr>
      </w:pPr>
    </w:p>
    <w:p w:rsidRPr="008F6D4A" w:rsidR="008F6D4A" w:rsidP="008F6D4A" w:rsidRDefault="008F6D4A" w14:paraId="5DF51C2B" w14:textId="77777777">
      <w:pPr>
        <w:jc w:val="center"/>
        <w:rPr>
          <w:rFonts w:eastAsia="Times New Roman" w:cs="Times New Roman"/>
          <w:szCs w:val="24"/>
        </w:rPr>
      </w:pPr>
      <w:r w:rsidRPr="008F6D4A">
        <w:rPr>
          <w:rFonts w:eastAsia="Times New Roman" w:cs="Times New Roman"/>
          <w:szCs w:val="24"/>
        </w:rPr>
        <w:t>Reporting Burden</w:t>
      </w:r>
      <w:r w:rsidR="00C03FBF">
        <w:rPr>
          <w:rFonts w:eastAsia="Times New Roman" w:cs="Times New Roman"/>
          <w:szCs w:val="24"/>
        </w:rPr>
        <w:t xml:space="preserve"> </w:t>
      </w:r>
    </w:p>
    <w:p w:rsidRPr="008F6D4A" w:rsidR="008F6D4A" w:rsidP="008F6D4A" w:rsidRDefault="008F6D4A" w14:paraId="1F4687A6" w14:textId="77777777">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27"/>
        <w:gridCol w:w="1171"/>
        <w:gridCol w:w="1107"/>
        <w:gridCol w:w="1143"/>
        <w:gridCol w:w="1143"/>
        <w:gridCol w:w="1016"/>
        <w:gridCol w:w="1094"/>
        <w:gridCol w:w="1056"/>
        <w:gridCol w:w="872"/>
        <w:gridCol w:w="1143"/>
      </w:tblGrid>
      <w:tr w:rsidRPr="008F6D4A" w:rsidR="007D22E3" w:rsidDel="009C6DB4" w:rsidTr="008C6F21" w14:paraId="4DE04542" w14:textId="77777777">
        <w:trPr>
          <w:trHeight w:val="1427"/>
        </w:trPr>
        <w:tc>
          <w:tcPr>
            <w:tcW w:w="599" w:type="pct"/>
          </w:tcPr>
          <w:p w:rsidR="007D22E3" w:rsidP="0085251F" w:rsidRDefault="007D22E3" w14:paraId="6FCE9F9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007D22E3" w:rsidP="0085251F" w:rsidRDefault="007D22E3" w14:paraId="64CDCEE7"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p w:rsidRPr="005E41B2" w:rsidR="00B96107" w:rsidP="0085251F" w:rsidRDefault="00B96107" w14:paraId="46876CC7" w14:textId="77777777">
            <w:pPr>
              <w:tabs>
                <w:tab w:val="left" w:pos="-720"/>
                <w:tab w:val="left" w:pos="0"/>
              </w:tabs>
              <w:suppressAutoHyphens/>
              <w:jc w:val="center"/>
              <w:rPr>
                <w:rFonts w:ascii="Arial" w:hAnsi="Arial" w:eastAsia="Times New Roman" w:cs="Times New Roman"/>
                <w:b/>
                <w:sz w:val="16"/>
                <w:szCs w:val="16"/>
              </w:rPr>
            </w:pPr>
          </w:p>
        </w:tc>
        <w:tc>
          <w:tcPr>
            <w:tcW w:w="529" w:type="pct"/>
          </w:tcPr>
          <w:p w:rsidR="007D22E3" w:rsidP="0085251F" w:rsidRDefault="007D22E3" w14:paraId="5464E79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7D22E3" w:rsidP="0085251F" w:rsidRDefault="007D22E3" w14:paraId="3E1612EE"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7D22E3" w:rsidP="0085251F" w:rsidRDefault="007D22E3" w14:paraId="6FE10455" w14:textId="77777777">
            <w:pPr>
              <w:tabs>
                <w:tab w:val="left" w:pos="-720"/>
                <w:tab w:val="left" w:pos="0"/>
              </w:tabs>
              <w:suppressAutoHyphens/>
              <w:jc w:val="center"/>
              <w:rPr>
                <w:rFonts w:ascii="Arial" w:hAnsi="Arial" w:eastAsia="Times New Roman" w:cs="Times New Roman"/>
                <w:b/>
                <w:sz w:val="16"/>
                <w:szCs w:val="16"/>
              </w:rPr>
            </w:pPr>
          </w:p>
        </w:tc>
        <w:tc>
          <w:tcPr>
            <w:tcW w:w="500" w:type="pct"/>
          </w:tcPr>
          <w:p w:rsidR="007D22E3" w:rsidP="0085251F" w:rsidRDefault="007D22E3" w14:paraId="267022D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7D22E3" w:rsidP="0085251F" w:rsidRDefault="007D22E3" w14:paraId="36F59CF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7D22E3" w:rsidP="0085251F" w:rsidRDefault="007D22E3" w14:paraId="0792E003"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6" w:type="pct"/>
          </w:tcPr>
          <w:p w:rsidR="007D22E3" w:rsidP="0085251F" w:rsidRDefault="007D22E3" w14:paraId="28A87C6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7D22E3" w:rsidP="0085251F" w:rsidRDefault="007D22E3" w14:paraId="62B84BE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6" w:type="pct"/>
          </w:tcPr>
          <w:p w:rsidR="007D22E3" w:rsidP="0085251F" w:rsidRDefault="007D22E3" w14:paraId="5346009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7D22E3" w:rsidP="0085251F" w:rsidRDefault="007D22E3" w14:paraId="3F9188DB" w14:textId="00A7B453">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Annual Number of Burden Hours per Respondent</w:t>
            </w:r>
          </w:p>
          <w:p w:rsidRPr="005E41B2" w:rsidR="007D22E3" w:rsidP="0085251F" w:rsidRDefault="007D22E3" w14:paraId="4D3C17E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59" w:type="pct"/>
          </w:tcPr>
          <w:p w:rsidR="007D22E3" w:rsidP="0085251F" w:rsidRDefault="007D22E3" w14:paraId="156D79F8"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7D22E3" w:rsidP="0085251F" w:rsidRDefault="007D22E3" w14:paraId="23ECE767" w14:textId="732D7586">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5E41B2">
              <w:rPr>
                <w:rFonts w:ascii="Arial" w:hAnsi="Arial" w:eastAsia="Times New Roman" w:cs="Times New Roman"/>
                <w:b/>
                <w:sz w:val="16"/>
                <w:szCs w:val="16"/>
                <w:vertAlign w:val="superscript"/>
              </w:rPr>
              <w:footnoteReference w:id="38"/>
            </w:r>
          </w:p>
          <w:p w:rsidRPr="005E41B2" w:rsidR="007D22E3" w:rsidP="0085251F" w:rsidRDefault="007D22E3" w14:paraId="527618C2" w14:textId="77777777">
            <w:pPr>
              <w:tabs>
                <w:tab w:val="left" w:pos="-720"/>
                <w:tab w:val="left" w:pos="0"/>
              </w:tabs>
              <w:suppressAutoHyphens/>
              <w:jc w:val="center"/>
              <w:rPr>
                <w:rFonts w:ascii="Arial" w:hAnsi="Arial" w:eastAsia="Times New Roman" w:cs="Times New Roman"/>
                <w:b/>
                <w:sz w:val="16"/>
                <w:szCs w:val="16"/>
              </w:rPr>
            </w:pPr>
          </w:p>
        </w:tc>
        <w:tc>
          <w:tcPr>
            <w:tcW w:w="494" w:type="pct"/>
          </w:tcPr>
          <w:p w:rsidR="007D22E3" w:rsidP="0085251F" w:rsidRDefault="007D22E3" w14:paraId="17A0A91D" w14:textId="77777777">
            <w:pPr>
              <w:jc w:val="center"/>
              <w:rPr>
                <w:rFonts w:ascii="Arial" w:hAnsi="Arial" w:cs="Arial"/>
                <w:b/>
                <w:sz w:val="16"/>
                <w:szCs w:val="16"/>
              </w:rPr>
            </w:pPr>
            <w:r>
              <w:rPr>
                <w:rFonts w:ascii="Arial" w:hAnsi="Arial" w:cs="Arial"/>
                <w:b/>
                <w:sz w:val="16"/>
                <w:szCs w:val="16"/>
              </w:rPr>
              <w:t>7.</w:t>
            </w:r>
          </w:p>
          <w:p w:rsidR="007D22E3" w:rsidP="0085251F" w:rsidRDefault="007D22E3" w14:paraId="098480D3"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7D22E3" w:rsidP="0085251F" w:rsidRDefault="007D22E3" w14:paraId="3B4ED679" w14:textId="77777777">
            <w:pPr>
              <w:jc w:val="center"/>
              <w:rPr>
                <w:rFonts w:ascii="Arial" w:hAnsi="Arial" w:cs="Arial"/>
                <w:b/>
                <w:sz w:val="16"/>
                <w:szCs w:val="16"/>
              </w:rPr>
            </w:pPr>
            <w:r>
              <w:rPr>
                <w:rFonts w:ascii="Arial" w:hAnsi="Arial" w:cs="Arial"/>
                <w:b/>
                <w:sz w:val="16"/>
                <w:szCs w:val="16"/>
              </w:rPr>
              <w:t>(5 x 6)</w:t>
            </w:r>
          </w:p>
        </w:tc>
        <w:tc>
          <w:tcPr>
            <w:tcW w:w="477" w:type="pct"/>
          </w:tcPr>
          <w:p w:rsidR="007D22E3" w:rsidP="0085251F" w:rsidRDefault="007D22E3" w14:paraId="5A86C628"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7D22E3" w:rsidP="0085251F" w:rsidRDefault="007D22E3" w14:paraId="7F6CE370"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7D22E3" w:rsidP="0085251F" w:rsidRDefault="007D22E3" w14:paraId="0F5E4A02"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7D22E3" w:rsidP="0085251F" w:rsidRDefault="007D22E3" w14:paraId="2F49EE3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94" w:type="pct"/>
          </w:tcPr>
          <w:p w:rsidRPr="00C91CB5" w:rsidR="007D22E3" w:rsidP="0085251F" w:rsidRDefault="007D22E3" w14:paraId="4243A1D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7D22E3" w:rsidP="0085251F" w:rsidRDefault="007D22E3" w14:paraId="37A5BA35" w14:textId="7159C3AB">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Total Annual</w:t>
            </w:r>
            <w:r w:rsidR="008C6F21">
              <w:rPr>
                <w:rFonts w:ascii="Arial" w:hAnsi="Arial" w:eastAsia="Times New Roman" w:cs="Times New Roman"/>
                <w:b/>
                <w:sz w:val="16"/>
                <w:szCs w:val="16"/>
              </w:rPr>
              <w:t xml:space="preserve"> </w:t>
            </w:r>
            <w:r w:rsidRPr="00C91CB5">
              <w:rPr>
                <w:rFonts w:ascii="Arial" w:hAnsi="Arial" w:eastAsia="Times New Roman" w:cs="Times New Roman"/>
                <w:b/>
                <w:sz w:val="16"/>
                <w:szCs w:val="16"/>
              </w:rPr>
              <w:t xml:space="preserve">  Number of Burden Hours</w:t>
            </w:r>
          </w:p>
          <w:p w:rsidR="007D22E3" w:rsidP="0085251F" w:rsidRDefault="007D22E3" w14:paraId="6BE5670E"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Pr>
          <w:p w:rsidR="007D22E3" w:rsidP="0085251F" w:rsidRDefault="007D22E3" w14:paraId="5AAF823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7D22E3" w:rsidP="0085251F" w:rsidRDefault="007D22E3" w14:paraId="1A22604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7D22E3" w:rsidDel="009C6DB4" w:rsidP="0085251F" w:rsidRDefault="007D22E3" w14:paraId="33D357E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8F6D4A" w:rsidR="007D22E3" w:rsidTr="008C6F21" w14:paraId="729B5A57" w14:textId="77777777">
        <w:trPr>
          <w:trHeight w:val="977"/>
        </w:trPr>
        <w:tc>
          <w:tcPr>
            <w:tcW w:w="599" w:type="pct"/>
          </w:tcPr>
          <w:p w:rsidR="0067738F" w:rsidP="0085251F" w:rsidRDefault="0067738F" w14:paraId="2FCDD6FC"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 16.00</w:t>
            </w:r>
          </w:p>
          <w:p w:rsidRPr="008F6D4A" w:rsidR="007D22E3" w:rsidP="0085251F" w:rsidRDefault="0067738F" w14:paraId="06BD4B81"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Markets)</w:t>
            </w:r>
          </w:p>
        </w:tc>
        <w:tc>
          <w:tcPr>
            <w:tcW w:w="529" w:type="pct"/>
            <w:vAlign w:val="center"/>
          </w:tcPr>
          <w:p w:rsidRPr="008C6F21" w:rsidR="007D22E3" w:rsidP="00BD1BBB" w:rsidRDefault="0067738F" w14:paraId="2706520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14</w:t>
            </w:r>
          </w:p>
        </w:tc>
        <w:tc>
          <w:tcPr>
            <w:tcW w:w="500" w:type="pct"/>
            <w:vAlign w:val="center"/>
          </w:tcPr>
          <w:p w:rsidRPr="008C6F21" w:rsidR="007D22E3" w:rsidP="00BD1BBB" w:rsidRDefault="0067738F" w14:paraId="3886B3C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250</w:t>
            </w:r>
          </w:p>
        </w:tc>
        <w:tc>
          <w:tcPr>
            <w:tcW w:w="516" w:type="pct"/>
            <w:vAlign w:val="center"/>
          </w:tcPr>
          <w:p w:rsidRPr="008C6F21" w:rsidR="007D22E3" w:rsidP="00BD1BBB" w:rsidRDefault="0067738F" w14:paraId="22ABF18D"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0.333</w:t>
            </w:r>
          </w:p>
        </w:tc>
        <w:tc>
          <w:tcPr>
            <w:tcW w:w="516" w:type="pct"/>
            <w:vAlign w:val="center"/>
          </w:tcPr>
          <w:p w:rsidRPr="008C6F21" w:rsidR="007D22E3" w:rsidP="00BD1BBB" w:rsidRDefault="006130A6" w14:paraId="395E654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83.333</w:t>
            </w:r>
          </w:p>
        </w:tc>
        <w:tc>
          <w:tcPr>
            <w:tcW w:w="459" w:type="pct"/>
            <w:vAlign w:val="center"/>
          </w:tcPr>
          <w:p w:rsidRPr="008C6F21" w:rsidR="007D22E3" w:rsidP="00BD1BBB" w:rsidRDefault="001F2E8A" w14:paraId="7560DB7D"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494" w:type="pct"/>
            <w:vAlign w:val="center"/>
          </w:tcPr>
          <w:p w:rsidRPr="008C6F21" w:rsidR="007D22E3" w:rsidP="00BD1BBB" w:rsidRDefault="001F2E8A" w14:paraId="1FD1442C" w14:textId="77777777">
            <w:pPr>
              <w:jc w:val="center"/>
              <w:rPr>
                <w:rFonts w:ascii="Arial" w:hAnsi="Arial" w:cs="Arial"/>
                <w:sz w:val="16"/>
                <w:szCs w:val="16"/>
              </w:rPr>
            </w:pPr>
            <w:r w:rsidRPr="008C6F21">
              <w:rPr>
                <w:rFonts w:ascii="Arial" w:hAnsi="Arial" w:cs="Arial"/>
                <w:sz w:val="16"/>
                <w:szCs w:val="16"/>
              </w:rPr>
              <w:t>$6,417</w:t>
            </w:r>
          </w:p>
        </w:tc>
        <w:tc>
          <w:tcPr>
            <w:tcW w:w="477" w:type="pct"/>
            <w:vAlign w:val="center"/>
          </w:tcPr>
          <w:p w:rsidRPr="008C6F21" w:rsidR="007D22E3" w:rsidP="00BD1BBB" w:rsidRDefault="006130A6" w14:paraId="3A3105E8"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3,500</w:t>
            </w:r>
          </w:p>
        </w:tc>
        <w:tc>
          <w:tcPr>
            <w:tcW w:w="394" w:type="pct"/>
            <w:vAlign w:val="center"/>
          </w:tcPr>
          <w:p w:rsidRPr="008C6F21" w:rsidR="007D22E3" w:rsidP="00BD1BBB" w:rsidRDefault="006130A6" w14:paraId="05BC586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1,166</w:t>
            </w:r>
          </w:p>
        </w:tc>
        <w:tc>
          <w:tcPr>
            <w:tcW w:w="516" w:type="pct"/>
            <w:vAlign w:val="center"/>
          </w:tcPr>
          <w:p w:rsidRPr="008C6F21" w:rsidR="007D22E3" w:rsidP="00BD1BBB" w:rsidRDefault="001F2E8A" w14:paraId="2598D11F" w14:textId="77777777">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$89,838</w:t>
            </w:r>
          </w:p>
        </w:tc>
      </w:tr>
      <w:tr w:rsidRPr="008F6D4A" w:rsidR="007D22E3" w:rsidTr="008C6F21" w14:paraId="6909ADC2" w14:textId="77777777">
        <w:trPr>
          <w:trHeight w:val="1222"/>
        </w:trPr>
        <w:tc>
          <w:tcPr>
            <w:tcW w:w="599" w:type="pct"/>
          </w:tcPr>
          <w:p w:rsidR="006130A6" w:rsidP="0085251F" w:rsidRDefault="006130A6" w14:paraId="4CE5B1C4"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 17.00</w:t>
            </w:r>
          </w:p>
          <w:p w:rsidRPr="008F6D4A" w:rsidR="007D22E3" w:rsidP="0085251F" w:rsidRDefault="006130A6" w14:paraId="22E1974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Firms)</w:t>
            </w:r>
          </w:p>
        </w:tc>
        <w:tc>
          <w:tcPr>
            <w:tcW w:w="529" w:type="pct"/>
            <w:vAlign w:val="center"/>
          </w:tcPr>
          <w:p w:rsidRPr="008C6F21" w:rsidR="007D22E3" w:rsidP="00BD1BBB" w:rsidRDefault="006130A6" w14:paraId="437547E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326</w:t>
            </w:r>
          </w:p>
        </w:tc>
        <w:tc>
          <w:tcPr>
            <w:tcW w:w="500" w:type="pct"/>
            <w:vAlign w:val="center"/>
          </w:tcPr>
          <w:p w:rsidRPr="008C6F21" w:rsidR="007D22E3" w:rsidP="00BD1BBB" w:rsidRDefault="006130A6" w14:paraId="05550D5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208</w:t>
            </w:r>
          </w:p>
        </w:tc>
        <w:tc>
          <w:tcPr>
            <w:tcW w:w="516" w:type="pct"/>
            <w:vAlign w:val="center"/>
          </w:tcPr>
          <w:p w:rsidRPr="008C6F21" w:rsidR="007D22E3" w:rsidP="00BD1BBB" w:rsidRDefault="004A0F8A" w14:paraId="2AEE8074"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0.25</w:t>
            </w:r>
          </w:p>
        </w:tc>
        <w:tc>
          <w:tcPr>
            <w:tcW w:w="516" w:type="pct"/>
            <w:vAlign w:val="center"/>
          </w:tcPr>
          <w:p w:rsidRPr="008C6F21" w:rsidR="007D22E3" w:rsidP="00BD1BBB" w:rsidRDefault="004A0F8A" w14:paraId="1AC2A98D"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52</w:t>
            </w:r>
          </w:p>
        </w:tc>
        <w:tc>
          <w:tcPr>
            <w:tcW w:w="459" w:type="pct"/>
            <w:vAlign w:val="center"/>
          </w:tcPr>
          <w:p w:rsidRPr="008C6F21" w:rsidR="007D22E3" w:rsidP="00BD1BBB" w:rsidRDefault="001F2E8A" w14:paraId="38EF3DA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494" w:type="pct"/>
            <w:vAlign w:val="center"/>
          </w:tcPr>
          <w:p w:rsidRPr="008C6F21" w:rsidR="007D22E3" w:rsidP="00BD1BBB" w:rsidRDefault="001F2E8A" w14:paraId="4D1DB2D8" w14:textId="77777777">
            <w:pPr>
              <w:jc w:val="center"/>
              <w:rPr>
                <w:rFonts w:ascii="Arial" w:hAnsi="Arial" w:cs="Arial"/>
                <w:sz w:val="16"/>
                <w:szCs w:val="16"/>
              </w:rPr>
            </w:pPr>
            <w:r w:rsidRPr="008C6F21">
              <w:rPr>
                <w:rFonts w:ascii="Arial" w:hAnsi="Arial" w:cs="Arial"/>
                <w:sz w:val="16"/>
                <w:szCs w:val="16"/>
              </w:rPr>
              <w:t>$4,004</w:t>
            </w:r>
          </w:p>
        </w:tc>
        <w:tc>
          <w:tcPr>
            <w:tcW w:w="477" w:type="pct"/>
            <w:vAlign w:val="center"/>
          </w:tcPr>
          <w:p w:rsidRPr="008C6F21" w:rsidR="007D22E3" w:rsidP="00BD1BBB" w:rsidRDefault="004A0F8A" w14:paraId="0762EDA0"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67,808</w:t>
            </w:r>
          </w:p>
        </w:tc>
        <w:tc>
          <w:tcPr>
            <w:tcW w:w="394" w:type="pct"/>
            <w:vAlign w:val="center"/>
          </w:tcPr>
          <w:p w:rsidRPr="008C6F21" w:rsidR="007D22E3" w:rsidP="00BD1BBB" w:rsidRDefault="004A0F8A" w14:paraId="7942CED7"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16,952</w:t>
            </w:r>
          </w:p>
        </w:tc>
        <w:tc>
          <w:tcPr>
            <w:tcW w:w="516" w:type="pct"/>
            <w:vAlign w:val="center"/>
          </w:tcPr>
          <w:p w:rsidRPr="008C6F21" w:rsidR="007D22E3" w:rsidP="00BD1BBB" w:rsidRDefault="001F2E8A" w14:paraId="13060565" w14:textId="77777777">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$1,305,304</w:t>
            </w:r>
          </w:p>
        </w:tc>
      </w:tr>
      <w:tr w:rsidRPr="00D23708" w:rsidR="00851809" w:rsidTr="008C6F21" w14:paraId="413F8361" w14:textId="77777777">
        <w:trPr>
          <w:trHeight w:val="1222"/>
        </w:trPr>
        <w:tc>
          <w:tcPr>
            <w:tcW w:w="599" w:type="pct"/>
          </w:tcPr>
          <w:p w:rsidR="00851809" w:rsidP="0085251F" w:rsidRDefault="00851809" w14:paraId="335BE2EA"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Part 21 – Special Call</w:t>
            </w:r>
          </w:p>
          <w:p w:rsidRPr="008F6D4A" w:rsidR="00851809" w:rsidDel="006130A6" w:rsidP="0085251F" w:rsidRDefault="00851809" w14:paraId="671CF30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(Reporting Firms)</w:t>
            </w:r>
          </w:p>
        </w:tc>
        <w:tc>
          <w:tcPr>
            <w:tcW w:w="529" w:type="pct"/>
            <w:vAlign w:val="center"/>
          </w:tcPr>
          <w:p w:rsidRPr="008C6F21" w:rsidR="00851809" w:rsidP="00BD1BBB" w:rsidRDefault="00D23708" w14:paraId="5CA3A948" w14:textId="12C5C410">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4</w:t>
            </w:r>
          </w:p>
        </w:tc>
        <w:tc>
          <w:tcPr>
            <w:tcW w:w="500" w:type="pct"/>
            <w:vAlign w:val="center"/>
          </w:tcPr>
          <w:p w:rsidRPr="008C6F21" w:rsidR="00851809" w:rsidP="00BD1BBB" w:rsidRDefault="00B96107" w14:paraId="0DA21E47"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516" w:type="pct"/>
            <w:vAlign w:val="center"/>
          </w:tcPr>
          <w:p w:rsidRPr="008C6F21" w:rsidR="00851809" w:rsidP="00BD1BBB" w:rsidRDefault="00E000B2" w14:paraId="1F704B95" w14:textId="47FF4C2A">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5</w:t>
            </w:r>
          </w:p>
        </w:tc>
        <w:tc>
          <w:tcPr>
            <w:tcW w:w="516" w:type="pct"/>
            <w:vAlign w:val="center"/>
          </w:tcPr>
          <w:p w:rsidRPr="008C6F21" w:rsidR="00851809" w:rsidP="00BD1BBB" w:rsidRDefault="00E000B2" w14:paraId="3210590A" w14:textId="2819C37F">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5</w:t>
            </w:r>
          </w:p>
        </w:tc>
        <w:tc>
          <w:tcPr>
            <w:tcW w:w="459" w:type="pct"/>
            <w:vAlign w:val="center"/>
          </w:tcPr>
          <w:p w:rsidRPr="008C6F21" w:rsidR="00851809" w:rsidP="00BD1BBB" w:rsidRDefault="001F2E8A" w14:paraId="38349A2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494" w:type="pct"/>
            <w:vAlign w:val="center"/>
          </w:tcPr>
          <w:p w:rsidRPr="008C6F21" w:rsidR="00851809" w:rsidP="00D23708" w:rsidRDefault="001F2E8A" w14:paraId="550B2CAD" w14:textId="7F6DA99D">
            <w:pPr>
              <w:jc w:val="center"/>
              <w:rPr>
                <w:rFonts w:ascii="Arial" w:hAnsi="Arial" w:cs="Arial"/>
                <w:sz w:val="16"/>
                <w:szCs w:val="16"/>
              </w:rPr>
            </w:pPr>
            <w:r w:rsidRPr="008C6F21">
              <w:rPr>
                <w:rFonts w:ascii="Arial" w:hAnsi="Arial" w:cs="Arial"/>
                <w:sz w:val="16"/>
                <w:szCs w:val="16"/>
              </w:rPr>
              <w:t>$</w:t>
            </w:r>
            <w:r w:rsidRPr="008C6F21" w:rsidR="00D23708">
              <w:rPr>
                <w:rFonts w:ascii="Arial" w:hAnsi="Arial" w:cs="Arial"/>
                <w:sz w:val="16"/>
                <w:szCs w:val="16"/>
              </w:rPr>
              <w:t>385</w:t>
            </w:r>
          </w:p>
        </w:tc>
        <w:tc>
          <w:tcPr>
            <w:tcW w:w="477" w:type="pct"/>
            <w:vAlign w:val="center"/>
          </w:tcPr>
          <w:p w:rsidRPr="008C6F21" w:rsidR="00851809" w:rsidP="00BD1BBB" w:rsidRDefault="00D23708" w14:paraId="28BDC683" w14:textId="2D10DB01">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4</w:t>
            </w:r>
          </w:p>
        </w:tc>
        <w:tc>
          <w:tcPr>
            <w:tcW w:w="394" w:type="pct"/>
            <w:vAlign w:val="center"/>
          </w:tcPr>
          <w:p w:rsidRPr="008C6F21" w:rsidR="00851809" w:rsidP="00D23708" w:rsidRDefault="00D23708" w14:paraId="13754504" w14:textId="7AAE8FA6">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20</w:t>
            </w:r>
          </w:p>
        </w:tc>
        <w:tc>
          <w:tcPr>
            <w:tcW w:w="516" w:type="pct"/>
            <w:vAlign w:val="center"/>
          </w:tcPr>
          <w:p w:rsidRPr="008C6F21" w:rsidR="00851809" w:rsidP="005A4F00" w:rsidRDefault="001F2E8A" w14:paraId="14E5717D" w14:textId="15C9CECA">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w:t>
            </w:r>
            <w:r w:rsidRPr="008C6F21" w:rsidR="005A4F00">
              <w:rPr>
                <w:rFonts w:ascii="Arial" w:hAnsi="Arial" w:eastAsia="Times New Roman" w:cs="Arial"/>
                <w:b/>
                <w:sz w:val="16"/>
                <w:szCs w:val="16"/>
              </w:rPr>
              <w:t>1,540</w:t>
            </w:r>
          </w:p>
        </w:tc>
      </w:tr>
      <w:tr w:rsidRPr="008F6D4A" w:rsidR="00D81EFB" w:rsidTr="008C6F21" w14:paraId="5604D15A" w14:textId="77777777">
        <w:trPr>
          <w:trHeight w:val="1222"/>
        </w:trPr>
        <w:tc>
          <w:tcPr>
            <w:tcW w:w="599" w:type="pct"/>
          </w:tcPr>
          <w:p w:rsidR="001F2E8A" w:rsidP="0085251F" w:rsidRDefault="001F2E8A" w14:paraId="3C9FF834" w14:textId="77777777">
            <w:pPr>
              <w:tabs>
                <w:tab w:val="left" w:pos="-720"/>
                <w:tab w:val="left" w:pos="0"/>
              </w:tabs>
              <w:suppressAutoHyphens/>
              <w:jc w:val="center"/>
              <w:rPr>
                <w:rFonts w:ascii="Arial" w:hAnsi="Arial" w:eastAsia="Times New Roman" w:cs="Times New Roman"/>
                <w:b/>
                <w:sz w:val="16"/>
                <w:szCs w:val="16"/>
              </w:rPr>
            </w:pPr>
          </w:p>
          <w:p w:rsidR="001F2E8A" w:rsidP="0085251F" w:rsidRDefault="001F2E8A" w14:paraId="6001C62B" w14:textId="77777777">
            <w:pPr>
              <w:tabs>
                <w:tab w:val="left" w:pos="-720"/>
                <w:tab w:val="left" w:pos="0"/>
              </w:tabs>
              <w:suppressAutoHyphens/>
              <w:jc w:val="center"/>
              <w:rPr>
                <w:rFonts w:ascii="Arial" w:hAnsi="Arial" w:eastAsia="Times New Roman" w:cs="Times New Roman"/>
                <w:b/>
                <w:sz w:val="16"/>
                <w:szCs w:val="16"/>
              </w:rPr>
            </w:pPr>
          </w:p>
          <w:p w:rsidR="00D81EFB" w:rsidP="0085251F" w:rsidRDefault="00D81EFB" w14:paraId="3F1C535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Total</w:t>
            </w:r>
          </w:p>
        </w:tc>
        <w:tc>
          <w:tcPr>
            <w:tcW w:w="529" w:type="pct"/>
            <w:vAlign w:val="center"/>
          </w:tcPr>
          <w:p w:rsidR="007B7EAC" w:rsidP="00BD1BBB" w:rsidRDefault="007B7EAC" w14:paraId="7C65F6BA" w14:textId="77777777">
            <w:pPr>
              <w:tabs>
                <w:tab w:val="left" w:pos="-720"/>
                <w:tab w:val="left" w:pos="0"/>
              </w:tabs>
              <w:suppressAutoHyphens/>
              <w:jc w:val="center"/>
              <w:rPr>
                <w:rFonts w:ascii="Arial" w:hAnsi="Arial" w:eastAsia="Times New Roman" w:cs="Arial"/>
                <w:sz w:val="16"/>
                <w:szCs w:val="16"/>
              </w:rPr>
            </w:pPr>
          </w:p>
          <w:p w:rsidRPr="008C6F21" w:rsidR="00D81EFB" w:rsidP="00BD1BBB" w:rsidRDefault="00D81EFB" w14:paraId="3CB4E8EC" w14:textId="7F1FA766">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34</w:t>
            </w:r>
            <w:r w:rsidRPr="008C6F21" w:rsidR="00167B68">
              <w:rPr>
                <w:rFonts w:ascii="Arial" w:hAnsi="Arial" w:eastAsia="Times New Roman" w:cs="Arial"/>
                <w:sz w:val="16"/>
                <w:szCs w:val="16"/>
              </w:rPr>
              <w:t>4</w:t>
            </w:r>
            <w:r w:rsidRPr="008C6F21">
              <w:rPr>
                <w:rFonts w:ascii="Arial" w:hAnsi="Arial" w:eastAsia="Times New Roman" w:cs="Arial"/>
                <w:sz w:val="16"/>
                <w:szCs w:val="16"/>
              </w:rPr>
              <w:t xml:space="preserve"> (distinct entities or persons)</w:t>
            </w:r>
          </w:p>
        </w:tc>
        <w:tc>
          <w:tcPr>
            <w:tcW w:w="500" w:type="pct"/>
            <w:vAlign w:val="center"/>
          </w:tcPr>
          <w:p w:rsidRPr="008C6F21" w:rsidR="00D81EFB" w:rsidP="00BD1BBB" w:rsidRDefault="00AF5033" w14:paraId="03587CC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207</w:t>
            </w:r>
            <w:r w:rsidRPr="008C6F21" w:rsidR="0035419E">
              <w:rPr>
                <w:rStyle w:val="FootnoteReference"/>
                <w:rFonts w:ascii="Arial" w:hAnsi="Arial" w:eastAsia="Times New Roman" w:cs="Arial"/>
                <w:sz w:val="16"/>
                <w:szCs w:val="16"/>
              </w:rPr>
              <w:footnoteReference w:id="39"/>
            </w:r>
          </w:p>
        </w:tc>
        <w:tc>
          <w:tcPr>
            <w:tcW w:w="516" w:type="pct"/>
            <w:vAlign w:val="center"/>
          </w:tcPr>
          <w:p w:rsidRPr="008C6F21" w:rsidR="00D81EFB" w:rsidP="00BD1BBB" w:rsidRDefault="00855621" w14:paraId="74B8A0D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0.25</w:t>
            </w:r>
            <w:r w:rsidRPr="008C6F21">
              <w:rPr>
                <w:rStyle w:val="FootnoteReference"/>
                <w:rFonts w:ascii="Arial" w:hAnsi="Arial" w:eastAsia="Times New Roman" w:cs="Arial"/>
                <w:sz w:val="16"/>
                <w:szCs w:val="16"/>
              </w:rPr>
              <w:footnoteReference w:id="40"/>
            </w:r>
          </w:p>
        </w:tc>
        <w:tc>
          <w:tcPr>
            <w:tcW w:w="516" w:type="pct"/>
            <w:vAlign w:val="center"/>
          </w:tcPr>
          <w:p w:rsidRPr="008C6F21" w:rsidR="00D81EFB" w:rsidP="00BD1BBB" w:rsidRDefault="00D06026" w14:paraId="69FFF056"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5</w:t>
            </w:r>
            <w:r w:rsidRPr="008C6F21" w:rsidR="00752066">
              <w:rPr>
                <w:rFonts w:ascii="Arial" w:hAnsi="Arial" w:eastAsia="Times New Roman" w:cs="Arial"/>
                <w:sz w:val="16"/>
                <w:szCs w:val="16"/>
              </w:rPr>
              <w:t>3</w:t>
            </w:r>
            <w:r w:rsidRPr="008C6F21">
              <w:rPr>
                <w:rStyle w:val="FootnoteReference"/>
                <w:rFonts w:ascii="Arial" w:hAnsi="Arial" w:eastAsia="Times New Roman" w:cs="Arial"/>
                <w:sz w:val="16"/>
                <w:szCs w:val="16"/>
              </w:rPr>
              <w:footnoteReference w:id="41"/>
            </w:r>
          </w:p>
        </w:tc>
        <w:tc>
          <w:tcPr>
            <w:tcW w:w="459" w:type="pct"/>
            <w:vAlign w:val="center"/>
          </w:tcPr>
          <w:p w:rsidRPr="008C6F21" w:rsidR="00D81EFB" w:rsidP="00BD1BBB" w:rsidRDefault="00CF5F51" w14:paraId="1AB3F9F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494" w:type="pct"/>
            <w:vAlign w:val="center"/>
          </w:tcPr>
          <w:p w:rsidRPr="008C6F21" w:rsidR="00D81EFB" w:rsidP="00BD1BBB" w:rsidRDefault="00CF5F51" w14:paraId="05897A10" w14:textId="271C88D6">
            <w:pPr>
              <w:jc w:val="center"/>
              <w:rPr>
                <w:rFonts w:ascii="Arial" w:hAnsi="Arial" w:cs="Arial"/>
                <w:sz w:val="16"/>
                <w:szCs w:val="16"/>
              </w:rPr>
            </w:pPr>
            <w:r w:rsidRPr="008C6F21">
              <w:rPr>
                <w:rFonts w:ascii="Arial" w:hAnsi="Arial" w:cs="Arial"/>
                <w:sz w:val="16"/>
                <w:szCs w:val="16"/>
              </w:rPr>
              <w:t>$4,0</w:t>
            </w:r>
            <w:r w:rsidRPr="008C6F21" w:rsidR="00167B68">
              <w:rPr>
                <w:rFonts w:ascii="Arial" w:hAnsi="Arial" w:cs="Arial"/>
                <w:sz w:val="16"/>
                <w:szCs w:val="16"/>
              </w:rPr>
              <w:t>60</w:t>
            </w:r>
            <w:r w:rsidRPr="008C6F21">
              <w:rPr>
                <w:rStyle w:val="FootnoteReference"/>
                <w:rFonts w:ascii="Arial" w:hAnsi="Arial" w:cs="Arial"/>
                <w:sz w:val="16"/>
                <w:szCs w:val="16"/>
              </w:rPr>
              <w:footnoteReference w:id="42"/>
            </w:r>
          </w:p>
        </w:tc>
        <w:tc>
          <w:tcPr>
            <w:tcW w:w="477" w:type="pct"/>
            <w:vAlign w:val="center"/>
          </w:tcPr>
          <w:p w:rsidRPr="008C6F21" w:rsidR="00D81EFB" w:rsidP="00BD1BBB" w:rsidRDefault="00AE3F98" w14:paraId="061C588F" w14:textId="0CBA3085">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71,31</w:t>
            </w:r>
            <w:r w:rsidRPr="008C6F21" w:rsidR="00167B68">
              <w:rPr>
                <w:rFonts w:ascii="Arial" w:hAnsi="Arial" w:eastAsia="Times New Roman" w:cs="Arial"/>
                <w:sz w:val="16"/>
                <w:szCs w:val="16"/>
              </w:rPr>
              <w:t>2</w:t>
            </w:r>
          </w:p>
        </w:tc>
        <w:tc>
          <w:tcPr>
            <w:tcW w:w="394" w:type="pct"/>
            <w:vAlign w:val="center"/>
          </w:tcPr>
          <w:p w:rsidRPr="008C6F21" w:rsidR="00D81EFB" w:rsidP="00BD1BBB" w:rsidRDefault="00855621" w14:paraId="087E27E4" w14:textId="5DE40953">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18,1</w:t>
            </w:r>
            <w:r w:rsidRPr="008C6F21" w:rsidR="00167B68">
              <w:rPr>
                <w:rFonts w:ascii="Arial" w:hAnsi="Arial" w:eastAsia="Times New Roman" w:cs="Arial"/>
                <w:sz w:val="16"/>
                <w:szCs w:val="16"/>
              </w:rPr>
              <w:t>38</w:t>
            </w:r>
          </w:p>
        </w:tc>
        <w:tc>
          <w:tcPr>
            <w:tcW w:w="516" w:type="pct"/>
            <w:vAlign w:val="center"/>
          </w:tcPr>
          <w:p w:rsidRPr="008C6F21" w:rsidR="00D81EFB" w:rsidP="005A4F00" w:rsidRDefault="001F2E8A" w14:paraId="6ACD034F" w14:textId="7F69A69D">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$1,39</w:t>
            </w:r>
            <w:r w:rsidRPr="008C6F21" w:rsidR="005A4F00">
              <w:rPr>
                <w:rFonts w:ascii="Arial" w:hAnsi="Arial" w:eastAsia="Times New Roman" w:cs="Arial"/>
                <w:b/>
                <w:sz w:val="16"/>
                <w:szCs w:val="16"/>
              </w:rPr>
              <w:t>6</w:t>
            </w:r>
            <w:r w:rsidRPr="008C6F21">
              <w:rPr>
                <w:rFonts w:ascii="Arial" w:hAnsi="Arial" w:eastAsia="Times New Roman" w:cs="Arial"/>
                <w:b/>
                <w:sz w:val="16"/>
                <w:szCs w:val="16"/>
              </w:rPr>
              <w:t>,</w:t>
            </w:r>
            <w:r w:rsidRPr="008C6F21" w:rsidR="005A4F00">
              <w:rPr>
                <w:rFonts w:ascii="Arial" w:hAnsi="Arial" w:eastAsia="Times New Roman" w:cs="Arial"/>
                <w:b/>
                <w:sz w:val="16"/>
                <w:szCs w:val="16"/>
              </w:rPr>
              <w:t>682</w:t>
            </w:r>
          </w:p>
        </w:tc>
      </w:tr>
    </w:tbl>
    <w:p w:rsidRPr="008F6D4A" w:rsidR="008F6D4A" w:rsidP="008F6D4A" w:rsidRDefault="008F6D4A" w14:paraId="11E05A04" w14:textId="77777777">
      <w:pPr>
        <w:rPr>
          <w:rFonts w:eastAsia="Times New Roman" w:cs="Times New Roman"/>
          <w:szCs w:val="24"/>
        </w:rPr>
      </w:pPr>
    </w:p>
    <w:p w:rsidRPr="008F6D4A" w:rsidR="007302A3" w:rsidP="00FE39E8" w:rsidRDefault="003D571B" w14:paraId="23877EC5" w14:textId="33BDE90A">
      <w:pPr>
        <w:rPr>
          <w:rFonts w:eastAsia="Times New Roman" w:cs="Times New Roman"/>
          <w:szCs w:val="24"/>
        </w:rPr>
      </w:pPr>
      <w:r>
        <w:rPr>
          <w:rFonts w:eastAsia="Times New Roman" w:cs="Times New Roman"/>
          <w:szCs w:val="24"/>
        </w:rPr>
        <w:br w:type="page"/>
      </w:r>
    </w:p>
    <w:p w:rsidRPr="00642B6A" w:rsidR="0067738F" w:rsidP="005D0486" w:rsidRDefault="0067738F" w14:paraId="20171EF7" w14:textId="77777777">
      <w:pPr>
        <w:keepNext/>
        <w:keepLines/>
        <w:jc w:val="center"/>
        <w:rPr>
          <w:rFonts w:eastAsia="Times New Roman" w:cs="Times New Roman"/>
          <w:b/>
          <w:szCs w:val="24"/>
        </w:rPr>
      </w:pPr>
      <w:r w:rsidRPr="007F3179">
        <w:rPr>
          <w:rFonts w:eastAsia="Times New Roman" w:cs="Times New Roman"/>
          <w:b/>
          <w:szCs w:val="24"/>
        </w:rPr>
        <w:lastRenderedPageBreak/>
        <w:t>OMB Control Number 3038-</w:t>
      </w:r>
      <w:r w:rsidR="007302A3">
        <w:rPr>
          <w:rFonts w:eastAsia="Times New Roman" w:cs="Times New Roman"/>
          <w:b/>
          <w:szCs w:val="24"/>
        </w:rPr>
        <w:t>0013</w:t>
      </w:r>
      <w:r>
        <w:rPr>
          <w:rFonts w:eastAsia="Times New Roman" w:cs="Times New Roman"/>
          <w:b/>
          <w:szCs w:val="24"/>
        </w:rPr>
        <w:t xml:space="preserve"> – </w:t>
      </w:r>
      <w:r w:rsidR="00857C27">
        <w:rPr>
          <w:rFonts w:eastAsia="Times New Roman" w:cs="Times New Roman"/>
          <w:b/>
          <w:szCs w:val="24"/>
        </w:rPr>
        <w:t>Position Limits</w:t>
      </w:r>
    </w:p>
    <w:p w:rsidRPr="00642B6A" w:rsidR="0067738F" w:rsidP="0067738F" w:rsidRDefault="0067738F" w14:paraId="320BA394" w14:textId="77777777">
      <w:pPr>
        <w:jc w:val="center"/>
        <w:rPr>
          <w:rFonts w:eastAsia="Times New Roman" w:cs="Times New Roman"/>
          <w:b/>
          <w:szCs w:val="24"/>
        </w:rPr>
      </w:pPr>
    </w:p>
    <w:p w:rsidRPr="008F6D4A" w:rsidR="0067738F" w:rsidP="0067738F" w:rsidRDefault="0067738F" w14:paraId="038F20F0" w14:textId="77777777">
      <w:pPr>
        <w:jc w:val="center"/>
        <w:rPr>
          <w:rFonts w:eastAsia="Times New Roman" w:cs="Times New Roman"/>
          <w:szCs w:val="24"/>
        </w:rPr>
      </w:pPr>
      <w:r w:rsidRPr="008F6D4A">
        <w:rPr>
          <w:rFonts w:eastAsia="Times New Roman" w:cs="Times New Roman"/>
          <w:szCs w:val="24"/>
        </w:rPr>
        <w:t>Reporting Burden</w:t>
      </w:r>
      <w:r>
        <w:rPr>
          <w:rFonts w:eastAsia="Times New Roman" w:cs="Times New Roman"/>
          <w:szCs w:val="24"/>
        </w:rPr>
        <w:t xml:space="preserve"> </w:t>
      </w:r>
    </w:p>
    <w:p w:rsidRPr="008F6D4A" w:rsidR="0067738F" w:rsidP="0067738F" w:rsidRDefault="0067738F" w14:paraId="24EF4532" w14:textId="77777777">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317"/>
        <w:gridCol w:w="1142"/>
        <w:gridCol w:w="1145"/>
        <w:gridCol w:w="1143"/>
        <w:gridCol w:w="1143"/>
        <w:gridCol w:w="968"/>
        <w:gridCol w:w="1143"/>
        <w:gridCol w:w="1056"/>
        <w:gridCol w:w="872"/>
        <w:gridCol w:w="1143"/>
      </w:tblGrid>
      <w:tr w:rsidRPr="008F6D4A" w:rsidR="0067738F" w:rsidDel="009C6DB4" w:rsidTr="004E08BD" w14:paraId="2758373E" w14:textId="77777777">
        <w:trPr>
          <w:trHeight w:val="1427"/>
        </w:trPr>
        <w:tc>
          <w:tcPr>
            <w:tcW w:w="595" w:type="pct"/>
          </w:tcPr>
          <w:p w:rsidR="0067738F" w:rsidP="0085251F" w:rsidRDefault="0067738F" w14:paraId="0A3E56E0"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w:t>
            </w:r>
          </w:p>
          <w:p w:rsidRPr="005E41B2" w:rsidR="0067738F" w:rsidP="0085251F" w:rsidRDefault="0067738F" w14:paraId="14977C56"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Regulation(s)</w:t>
            </w:r>
          </w:p>
        </w:tc>
        <w:tc>
          <w:tcPr>
            <w:tcW w:w="516" w:type="pct"/>
          </w:tcPr>
          <w:p w:rsidR="0067738F" w:rsidP="0085251F" w:rsidRDefault="0067738F" w14:paraId="1289A21F"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w:t>
            </w:r>
          </w:p>
          <w:p w:rsidR="0067738F" w:rsidP="0085251F" w:rsidRDefault="0067738F" w14:paraId="451D3F8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Estimated Number of Respondents </w:t>
            </w:r>
          </w:p>
          <w:p w:rsidRPr="005E41B2" w:rsidR="0067738F" w:rsidP="0085251F" w:rsidRDefault="0067738F" w14:paraId="0E1BD838" w14:textId="77777777">
            <w:pPr>
              <w:tabs>
                <w:tab w:val="left" w:pos="-720"/>
                <w:tab w:val="left" w:pos="0"/>
              </w:tabs>
              <w:suppressAutoHyphens/>
              <w:jc w:val="center"/>
              <w:rPr>
                <w:rFonts w:ascii="Arial" w:hAnsi="Arial" w:eastAsia="Times New Roman" w:cs="Times New Roman"/>
                <w:b/>
                <w:sz w:val="16"/>
                <w:szCs w:val="16"/>
              </w:rPr>
            </w:pPr>
          </w:p>
        </w:tc>
        <w:tc>
          <w:tcPr>
            <w:tcW w:w="517" w:type="pct"/>
          </w:tcPr>
          <w:p w:rsidR="0067738F" w:rsidP="0085251F" w:rsidRDefault="0067738F" w14:paraId="5D42A792"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w:t>
            </w:r>
          </w:p>
          <w:p w:rsidRPr="005E41B2" w:rsidR="0067738F" w:rsidP="0085251F" w:rsidRDefault="0067738F" w14:paraId="612373F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Number of Reports</w:t>
            </w:r>
          </w:p>
          <w:p w:rsidRPr="005E41B2" w:rsidR="0067738F" w:rsidP="0085251F" w:rsidRDefault="0067738F" w14:paraId="2824A219"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by Each Respondent</w:t>
            </w:r>
          </w:p>
        </w:tc>
        <w:tc>
          <w:tcPr>
            <w:tcW w:w="516" w:type="pct"/>
          </w:tcPr>
          <w:p w:rsidR="0067738F" w:rsidP="0085251F" w:rsidRDefault="0067738F" w14:paraId="206B6AF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4.</w:t>
            </w:r>
          </w:p>
          <w:p w:rsidRPr="005E41B2" w:rsidR="0067738F" w:rsidP="0085251F" w:rsidRDefault="0067738F" w14:paraId="53F3E71D"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Estimated Average Number of Burden Hours per Response</w:t>
            </w:r>
          </w:p>
        </w:tc>
        <w:tc>
          <w:tcPr>
            <w:tcW w:w="516" w:type="pct"/>
          </w:tcPr>
          <w:p w:rsidR="0067738F" w:rsidP="0085251F" w:rsidRDefault="0067738F" w14:paraId="4EF62BC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5.</w:t>
            </w:r>
          </w:p>
          <w:p w:rsidR="0067738F" w:rsidP="0085251F" w:rsidRDefault="0067738F" w14:paraId="54F9A4B7" w14:textId="77777777">
            <w:pPr>
              <w:tabs>
                <w:tab w:val="left" w:pos="-720"/>
                <w:tab w:val="left" w:pos="0"/>
              </w:tabs>
              <w:suppressAutoHyphens/>
              <w:jc w:val="center"/>
              <w:rPr>
                <w:rFonts w:ascii="Arial" w:hAnsi="Arial" w:eastAsia="Times New Roman" w:cs="Times New Roman"/>
                <w:b/>
                <w:sz w:val="16"/>
                <w:szCs w:val="16"/>
              </w:rPr>
            </w:pPr>
            <w:proofErr w:type="gramStart"/>
            <w:r w:rsidRPr="005E41B2">
              <w:rPr>
                <w:rFonts w:ascii="Arial" w:hAnsi="Arial" w:eastAsia="Times New Roman" w:cs="Times New Roman"/>
                <w:b/>
                <w:sz w:val="16"/>
                <w:szCs w:val="16"/>
              </w:rPr>
              <w:t>Annual  Number</w:t>
            </w:r>
            <w:proofErr w:type="gramEnd"/>
            <w:r w:rsidRPr="005E41B2">
              <w:rPr>
                <w:rFonts w:ascii="Arial" w:hAnsi="Arial" w:eastAsia="Times New Roman" w:cs="Times New Roman"/>
                <w:b/>
                <w:sz w:val="16"/>
                <w:szCs w:val="16"/>
              </w:rPr>
              <w:t xml:space="preserve"> of Burden Hours per Respondent</w:t>
            </w:r>
          </w:p>
          <w:p w:rsidRPr="005E41B2" w:rsidR="0067738F" w:rsidP="0085251F" w:rsidRDefault="0067738F" w14:paraId="0830E843"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(3 x 4)</w:t>
            </w:r>
          </w:p>
        </w:tc>
        <w:tc>
          <w:tcPr>
            <w:tcW w:w="437" w:type="pct"/>
          </w:tcPr>
          <w:p w:rsidR="0067738F" w:rsidP="0085251F" w:rsidRDefault="0067738F" w14:paraId="574AF568"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6.</w:t>
            </w:r>
            <w:r w:rsidRPr="005E41B2">
              <w:rPr>
                <w:rFonts w:ascii="Arial" w:hAnsi="Arial" w:eastAsia="Times New Roman" w:cs="Times New Roman"/>
                <w:b/>
                <w:sz w:val="16"/>
                <w:szCs w:val="16"/>
              </w:rPr>
              <w:t xml:space="preserve"> </w:t>
            </w:r>
          </w:p>
          <w:p w:rsidR="0067738F" w:rsidP="0085251F" w:rsidRDefault="0067738F" w14:paraId="71B570EB"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 xml:space="preserve">Estimated </w:t>
            </w:r>
            <w:r w:rsidRPr="005E41B2">
              <w:rPr>
                <w:rFonts w:ascii="Arial" w:hAnsi="Arial" w:eastAsia="Times New Roman" w:cs="Times New Roman"/>
                <w:b/>
                <w:sz w:val="16"/>
                <w:szCs w:val="16"/>
              </w:rPr>
              <w:t>Average Burden Hour Cost</w:t>
            </w:r>
            <w:r w:rsidRPr="00F91871" w:rsidR="00242760">
              <w:rPr>
                <w:rStyle w:val="FootnoteReference"/>
                <w:rFonts w:ascii="Arial" w:hAnsi="Arial" w:eastAsia="Times New Roman"/>
                <w:sz w:val="16"/>
              </w:rPr>
              <w:footnoteReference w:id="43"/>
            </w:r>
            <w:r w:rsidR="004D5FE6">
              <w:rPr>
                <w:rFonts w:ascii="Arial" w:hAnsi="Arial" w:eastAsia="Times New Roman" w:cs="Times New Roman"/>
                <w:b/>
                <w:sz w:val="16"/>
                <w:szCs w:val="16"/>
              </w:rPr>
              <w:t xml:space="preserve">, </w:t>
            </w:r>
            <w:r w:rsidR="004D5FE6">
              <w:rPr>
                <w:rStyle w:val="FootnoteReference"/>
                <w:rFonts w:ascii="Arial" w:hAnsi="Arial" w:eastAsia="Times New Roman" w:cs="Times New Roman"/>
                <w:sz w:val="16"/>
                <w:szCs w:val="16"/>
              </w:rPr>
              <w:footnoteReference w:id="44"/>
            </w:r>
          </w:p>
          <w:p w:rsidRPr="005E41B2" w:rsidR="0067738F" w:rsidP="0085251F" w:rsidRDefault="0067738F" w14:paraId="58B9D4EA" w14:textId="77777777">
            <w:pPr>
              <w:tabs>
                <w:tab w:val="left" w:pos="-720"/>
                <w:tab w:val="left" w:pos="0"/>
              </w:tabs>
              <w:suppressAutoHyphens/>
              <w:jc w:val="center"/>
              <w:rPr>
                <w:rFonts w:ascii="Arial" w:hAnsi="Arial" w:eastAsia="Times New Roman" w:cs="Times New Roman"/>
                <w:b/>
                <w:sz w:val="16"/>
                <w:szCs w:val="16"/>
              </w:rPr>
            </w:pPr>
          </w:p>
        </w:tc>
        <w:tc>
          <w:tcPr>
            <w:tcW w:w="516" w:type="pct"/>
          </w:tcPr>
          <w:p w:rsidR="0067738F" w:rsidP="0085251F" w:rsidRDefault="0067738F" w14:paraId="6C2A046C" w14:textId="77777777">
            <w:pPr>
              <w:jc w:val="center"/>
              <w:rPr>
                <w:rFonts w:ascii="Arial" w:hAnsi="Arial" w:cs="Arial"/>
                <w:b/>
                <w:sz w:val="16"/>
                <w:szCs w:val="16"/>
              </w:rPr>
            </w:pPr>
            <w:r>
              <w:rPr>
                <w:rFonts w:ascii="Arial" w:hAnsi="Arial" w:cs="Arial"/>
                <w:b/>
                <w:sz w:val="16"/>
                <w:szCs w:val="16"/>
              </w:rPr>
              <w:t>7.</w:t>
            </w:r>
          </w:p>
          <w:p w:rsidR="0067738F" w:rsidP="0085251F" w:rsidRDefault="0067738F" w14:paraId="22F8A743" w14:textId="77777777">
            <w:pPr>
              <w:jc w:val="center"/>
              <w:rPr>
                <w:rFonts w:ascii="Arial" w:hAnsi="Arial" w:cs="Arial"/>
                <w:b/>
                <w:sz w:val="16"/>
                <w:szCs w:val="16"/>
              </w:rPr>
            </w:pPr>
            <w:r w:rsidRPr="005E41B2">
              <w:rPr>
                <w:rFonts w:ascii="Arial" w:hAnsi="Arial" w:cs="Arial"/>
                <w:b/>
                <w:sz w:val="16"/>
                <w:szCs w:val="16"/>
              </w:rPr>
              <w:t xml:space="preserve">Total Average Hour Burden Cost Per </w:t>
            </w:r>
            <w:r>
              <w:rPr>
                <w:rFonts w:ascii="Arial" w:hAnsi="Arial" w:cs="Arial"/>
                <w:b/>
                <w:sz w:val="16"/>
                <w:szCs w:val="16"/>
              </w:rPr>
              <w:t>Respondent</w:t>
            </w:r>
          </w:p>
          <w:p w:rsidRPr="005E41B2" w:rsidR="0067738F" w:rsidP="0085251F" w:rsidRDefault="0067738F" w14:paraId="38356AEA" w14:textId="77777777">
            <w:pPr>
              <w:jc w:val="center"/>
              <w:rPr>
                <w:rFonts w:ascii="Arial" w:hAnsi="Arial" w:cs="Arial"/>
                <w:b/>
                <w:sz w:val="16"/>
                <w:szCs w:val="16"/>
              </w:rPr>
            </w:pPr>
            <w:r>
              <w:rPr>
                <w:rFonts w:ascii="Arial" w:hAnsi="Arial" w:cs="Arial"/>
                <w:b/>
                <w:sz w:val="16"/>
                <w:szCs w:val="16"/>
              </w:rPr>
              <w:t>(5 x 6)</w:t>
            </w:r>
          </w:p>
        </w:tc>
        <w:tc>
          <w:tcPr>
            <w:tcW w:w="477" w:type="pct"/>
          </w:tcPr>
          <w:p w:rsidR="0067738F" w:rsidP="0085251F" w:rsidRDefault="0067738F" w14:paraId="745367F9"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8.</w:t>
            </w:r>
          </w:p>
          <w:p w:rsidRPr="005E41B2" w:rsidR="0067738F" w:rsidP="0085251F" w:rsidRDefault="0067738F" w14:paraId="3EC8BAE9"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Total Annual</w:t>
            </w:r>
          </w:p>
          <w:p w:rsidRPr="005E41B2" w:rsidR="0067738F" w:rsidP="0085251F" w:rsidRDefault="0067738F" w14:paraId="35B7556F"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Responses</w:t>
            </w:r>
          </w:p>
          <w:p w:rsidRPr="005E41B2" w:rsidR="0067738F" w:rsidP="0085251F" w:rsidRDefault="0067738F" w14:paraId="55556687"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(2 x 3)</w:t>
            </w:r>
          </w:p>
        </w:tc>
        <w:tc>
          <w:tcPr>
            <w:tcW w:w="394" w:type="pct"/>
          </w:tcPr>
          <w:p w:rsidRPr="00C91CB5" w:rsidR="0067738F" w:rsidP="0085251F" w:rsidRDefault="0067738F" w14:paraId="484B35C4"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9</w:t>
            </w:r>
            <w:r w:rsidRPr="00C91CB5">
              <w:rPr>
                <w:rFonts w:ascii="Arial" w:hAnsi="Arial" w:eastAsia="Times New Roman" w:cs="Times New Roman"/>
                <w:b/>
                <w:sz w:val="16"/>
                <w:szCs w:val="16"/>
              </w:rPr>
              <w:t>.</w:t>
            </w:r>
          </w:p>
          <w:p w:rsidR="0067738F" w:rsidP="0085251F" w:rsidRDefault="0067738F" w14:paraId="085A6930" w14:textId="77777777">
            <w:pPr>
              <w:tabs>
                <w:tab w:val="left" w:pos="-720"/>
                <w:tab w:val="left" w:pos="0"/>
              </w:tabs>
              <w:suppressAutoHyphens/>
              <w:jc w:val="center"/>
              <w:rPr>
                <w:rFonts w:ascii="Arial" w:hAnsi="Arial" w:eastAsia="Times New Roman" w:cs="Times New Roman"/>
                <w:b/>
                <w:sz w:val="16"/>
                <w:szCs w:val="16"/>
              </w:rPr>
            </w:pPr>
            <w:r w:rsidRPr="00C91CB5">
              <w:rPr>
                <w:rFonts w:ascii="Arial" w:hAnsi="Arial" w:eastAsia="Times New Roman" w:cs="Times New Roman"/>
                <w:b/>
                <w:sz w:val="16"/>
                <w:szCs w:val="16"/>
              </w:rPr>
              <w:t xml:space="preserve">Total </w:t>
            </w:r>
            <w:proofErr w:type="gramStart"/>
            <w:r w:rsidRPr="00C91CB5">
              <w:rPr>
                <w:rFonts w:ascii="Arial" w:hAnsi="Arial" w:eastAsia="Times New Roman" w:cs="Times New Roman"/>
                <w:b/>
                <w:sz w:val="16"/>
                <w:szCs w:val="16"/>
              </w:rPr>
              <w:t>Annual  Number</w:t>
            </w:r>
            <w:proofErr w:type="gramEnd"/>
            <w:r w:rsidRPr="00C91CB5">
              <w:rPr>
                <w:rFonts w:ascii="Arial" w:hAnsi="Arial" w:eastAsia="Times New Roman" w:cs="Times New Roman"/>
                <w:b/>
                <w:sz w:val="16"/>
                <w:szCs w:val="16"/>
              </w:rPr>
              <w:t xml:space="preserve"> of Burden Hours</w:t>
            </w:r>
          </w:p>
          <w:p w:rsidR="0067738F" w:rsidP="0085251F" w:rsidRDefault="0067738F" w14:paraId="0F8206C5"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5)</w:t>
            </w:r>
          </w:p>
        </w:tc>
        <w:tc>
          <w:tcPr>
            <w:tcW w:w="516" w:type="pct"/>
          </w:tcPr>
          <w:p w:rsidR="0067738F" w:rsidP="0085251F" w:rsidRDefault="0067738F" w14:paraId="0A4A6D1D"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10.</w:t>
            </w:r>
          </w:p>
          <w:p w:rsidR="0067738F" w:rsidP="0085251F" w:rsidRDefault="0067738F" w14:paraId="6448B831" w14:textId="77777777">
            <w:pPr>
              <w:tabs>
                <w:tab w:val="left" w:pos="-720"/>
                <w:tab w:val="left" w:pos="0"/>
              </w:tabs>
              <w:suppressAutoHyphens/>
              <w:jc w:val="center"/>
              <w:rPr>
                <w:rFonts w:ascii="Arial" w:hAnsi="Arial" w:eastAsia="Times New Roman" w:cs="Times New Roman"/>
                <w:b/>
                <w:sz w:val="16"/>
                <w:szCs w:val="16"/>
              </w:rPr>
            </w:pPr>
            <w:r w:rsidRPr="005E41B2">
              <w:rPr>
                <w:rFonts w:ascii="Arial" w:hAnsi="Arial" w:eastAsia="Times New Roman" w:cs="Times New Roman"/>
                <w:b/>
                <w:sz w:val="16"/>
                <w:szCs w:val="16"/>
              </w:rPr>
              <w:t xml:space="preserve">Total Annual </w:t>
            </w:r>
            <w:r>
              <w:rPr>
                <w:rFonts w:ascii="Arial" w:hAnsi="Arial" w:eastAsia="Times New Roman" w:cs="Times New Roman"/>
                <w:b/>
                <w:sz w:val="16"/>
                <w:szCs w:val="16"/>
              </w:rPr>
              <w:t>Burden Hour Cost of A</w:t>
            </w:r>
            <w:r w:rsidRPr="005E41B2">
              <w:rPr>
                <w:rFonts w:ascii="Arial" w:hAnsi="Arial" w:eastAsia="Times New Roman" w:cs="Times New Roman"/>
                <w:b/>
                <w:sz w:val="16"/>
                <w:szCs w:val="16"/>
              </w:rPr>
              <w:t xml:space="preserve">ll </w:t>
            </w:r>
            <w:r>
              <w:rPr>
                <w:rFonts w:ascii="Arial" w:hAnsi="Arial" w:eastAsia="Times New Roman" w:cs="Times New Roman"/>
                <w:b/>
                <w:sz w:val="16"/>
                <w:szCs w:val="16"/>
              </w:rPr>
              <w:t>R</w:t>
            </w:r>
            <w:r w:rsidRPr="005E41B2">
              <w:rPr>
                <w:rFonts w:ascii="Arial" w:hAnsi="Arial" w:eastAsia="Times New Roman" w:cs="Times New Roman"/>
                <w:b/>
                <w:sz w:val="16"/>
                <w:szCs w:val="16"/>
              </w:rPr>
              <w:t>esponses</w:t>
            </w:r>
          </w:p>
          <w:p w:rsidRPr="005E41B2" w:rsidR="0067738F" w:rsidDel="009C6DB4" w:rsidP="0085251F" w:rsidRDefault="0067738F" w14:paraId="54CF14A7" w14:textId="77777777">
            <w:pPr>
              <w:tabs>
                <w:tab w:val="left" w:pos="-720"/>
                <w:tab w:val="left" w:pos="0"/>
              </w:tabs>
              <w:suppressAutoHyphens/>
              <w:jc w:val="center"/>
              <w:rPr>
                <w:rFonts w:ascii="Arial" w:hAnsi="Arial" w:eastAsia="Times New Roman" w:cs="Times New Roman"/>
                <w:b/>
                <w:sz w:val="16"/>
                <w:szCs w:val="16"/>
              </w:rPr>
            </w:pPr>
            <w:r>
              <w:rPr>
                <w:rFonts w:ascii="Arial" w:hAnsi="Arial" w:eastAsia="Times New Roman" w:cs="Times New Roman"/>
                <w:b/>
                <w:sz w:val="16"/>
                <w:szCs w:val="16"/>
              </w:rPr>
              <w:t>(2 x 7)</w:t>
            </w:r>
          </w:p>
        </w:tc>
      </w:tr>
      <w:tr w:rsidRPr="008F6D4A" w:rsidR="00A53698" w:rsidTr="00A10820" w14:paraId="2EC66F42" w14:textId="77777777">
        <w:trPr>
          <w:trHeight w:val="977"/>
        </w:trPr>
        <w:tc>
          <w:tcPr>
            <w:tcW w:w="595" w:type="pct"/>
            <w:vAlign w:val="center"/>
          </w:tcPr>
          <w:p w:rsidRPr="00F82D4B" w:rsidR="00A53698" w:rsidP="00052496" w:rsidRDefault="00A53698" w14:paraId="7E4C0090"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19.02</w:t>
            </w:r>
          </w:p>
        </w:tc>
        <w:tc>
          <w:tcPr>
            <w:tcW w:w="516" w:type="pct"/>
            <w:shd w:val="clear" w:color="auto" w:fill="FFFFFF" w:themeFill="background1"/>
            <w:vAlign w:val="center"/>
          </w:tcPr>
          <w:p w:rsidRPr="00F82D4B" w:rsidR="00A53698" w:rsidP="00052496" w:rsidRDefault="00A53698" w14:paraId="44BE999C"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55</w:t>
            </w:r>
          </w:p>
        </w:tc>
        <w:tc>
          <w:tcPr>
            <w:tcW w:w="517" w:type="pct"/>
            <w:shd w:val="clear" w:color="auto" w:fill="FFFFFF" w:themeFill="background1"/>
            <w:vAlign w:val="center"/>
          </w:tcPr>
          <w:p w:rsidRPr="00F82D4B" w:rsidR="00A53698" w:rsidP="00052496" w:rsidRDefault="00A53698" w14:paraId="5F17D4E7"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52</w:t>
            </w:r>
          </w:p>
        </w:tc>
        <w:tc>
          <w:tcPr>
            <w:tcW w:w="516" w:type="pct"/>
            <w:shd w:val="clear" w:color="auto" w:fill="FFFFFF" w:themeFill="background1"/>
            <w:vAlign w:val="center"/>
          </w:tcPr>
          <w:p w:rsidRPr="00F82D4B" w:rsidR="00A53698" w:rsidP="00052496" w:rsidRDefault="006D0F85" w14:paraId="304F9CF4"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0</w:t>
            </w:r>
            <w:r w:rsidRPr="00F82D4B" w:rsidR="00A10820">
              <w:rPr>
                <w:rFonts w:ascii="Arial" w:hAnsi="Arial" w:eastAsia="Times New Roman" w:cs="Arial"/>
                <w:sz w:val="16"/>
                <w:szCs w:val="16"/>
              </w:rPr>
              <w:t>.</w:t>
            </w:r>
            <w:r w:rsidRPr="00F82D4B" w:rsidR="00A53698">
              <w:rPr>
                <w:rFonts w:ascii="Arial" w:hAnsi="Arial" w:eastAsia="Times New Roman" w:cs="Arial"/>
                <w:sz w:val="16"/>
                <w:szCs w:val="16"/>
              </w:rPr>
              <w:t>5</w:t>
            </w:r>
          </w:p>
        </w:tc>
        <w:tc>
          <w:tcPr>
            <w:tcW w:w="516" w:type="pct"/>
            <w:shd w:val="clear" w:color="auto" w:fill="FFFFFF" w:themeFill="background1"/>
            <w:vAlign w:val="center"/>
          </w:tcPr>
          <w:p w:rsidRPr="00F82D4B" w:rsidR="00A53698" w:rsidP="00052496" w:rsidRDefault="00A53698" w14:paraId="7944F9DB"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w:t>
            </w:r>
            <w:r w:rsidRPr="00F82D4B" w:rsidR="00A10820">
              <w:rPr>
                <w:rFonts w:ascii="Arial" w:hAnsi="Arial" w:eastAsia="Times New Roman" w:cs="Arial"/>
                <w:sz w:val="16"/>
                <w:szCs w:val="16"/>
              </w:rPr>
              <w:t>6</w:t>
            </w:r>
          </w:p>
        </w:tc>
        <w:tc>
          <w:tcPr>
            <w:tcW w:w="437" w:type="pct"/>
            <w:shd w:val="clear" w:color="auto" w:fill="FFFFFF" w:themeFill="background1"/>
            <w:vAlign w:val="center"/>
          </w:tcPr>
          <w:p w:rsidRPr="00F82D4B" w:rsidR="00A53698" w:rsidP="00052496" w:rsidRDefault="00A53698" w14:paraId="66322FC2"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77</w:t>
            </w:r>
          </w:p>
        </w:tc>
        <w:tc>
          <w:tcPr>
            <w:tcW w:w="516" w:type="pct"/>
            <w:shd w:val="clear" w:color="auto" w:fill="FFFFFF" w:themeFill="background1"/>
            <w:vAlign w:val="center"/>
          </w:tcPr>
          <w:p w:rsidRPr="00F82D4B" w:rsidR="00A53698" w:rsidP="00052496" w:rsidRDefault="00A10820" w14:paraId="2E5F0037" w14:textId="77777777">
            <w:pPr>
              <w:spacing w:before="120" w:after="120"/>
              <w:jc w:val="center"/>
              <w:rPr>
                <w:rFonts w:ascii="Arial" w:hAnsi="Arial" w:eastAsia="Times New Roman" w:cs="Arial"/>
                <w:sz w:val="16"/>
                <w:szCs w:val="16"/>
              </w:rPr>
            </w:pPr>
            <w:r w:rsidRPr="00F82D4B">
              <w:rPr>
                <w:rFonts w:ascii="Arial" w:hAnsi="Arial" w:eastAsia="Times New Roman" w:cs="Arial"/>
                <w:sz w:val="16"/>
                <w:szCs w:val="16"/>
              </w:rPr>
              <w:t>2,002</w:t>
            </w:r>
          </w:p>
        </w:tc>
        <w:tc>
          <w:tcPr>
            <w:tcW w:w="477" w:type="pct"/>
            <w:shd w:val="clear" w:color="auto" w:fill="FFFFFF" w:themeFill="background1"/>
            <w:vAlign w:val="center"/>
          </w:tcPr>
          <w:p w:rsidRPr="00F82D4B" w:rsidR="00A53698" w:rsidP="00052496" w:rsidRDefault="00A53698" w14:paraId="0D98168D"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2,860</w:t>
            </w:r>
          </w:p>
        </w:tc>
        <w:tc>
          <w:tcPr>
            <w:tcW w:w="394" w:type="pct"/>
            <w:shd w:val="clear" w:color="auto" w:fill="FFFFFF" w:themeFill="background1"/>
            <w:vAlign w:val="center"/>
          </w:tcPr>
          <w:p w:rsidRPr="00F82D4B" w:rsidR="00A53698" w:rsidP="00052496" w:rsidRDefault="00A53698" w14:paraId="1EA5C729"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1,430</w:t>
            </w:r>
          </w:p>
        </w:tc>
        <w:tc>
          <w:tcPr>
            <w:tcW w:w="516" w:type="pct"/>
            <w:shd w:val="clear" w:color="auto" w:fill="FFFFFF" w:themeFill="background1"/>
            <w:vAlign w:val="center"/>
          </w:tcPr>
          <w:p w:rsidRPr="00F82D4B" w:rsidR="00A53698" w:rsidP="00BD1BBB" w:rsidRDefault="00A10820" w14:paraId="58D6429D" w14:textId="77777777">
            <w:pPr>
              <w:tabs>
                <w:tab w:val="left" w:pos="-720"/>
                <w:tab w:val="left" w:pos="0"/>
              </w:tabs>
              <w:suppressAutoHyphens/>
              <w:spacing w:before="120" w:after="120"/>
              <w:jc w:val="center"/>
              <w:rPr>
                <w:rFonts w:ascii="Arial" w:hAnsi="Arial" w:eastAsia="Times New Roman" w:cs="Arial"/>
                <w:b/>
                <w:sz w:val="16"/>
                <w:szCs w:val="16"/>
              </w:rPr>
            </w:pPr>
            <w:r w:rsidRPr="00F82D4B">
              <w:rPr>
                <w:rFonts w:ascii="Arial" w:hAnsi="Arial" w:eastAsia="Times New Roman" w:cs="Arial"/>
                <w:b/>
                <w:sz w:val="16"/>
                <w:szCs w:val="16"/>
              </w:rPr>
              <w:t>$110,110</w:t>
            </w:r>
          </w:p>
        </w:tc>
      </w:tr>
      <w:tr w:rsidRPr="008F6D4A" w:rsidR="00BF1627" w:rsidTr="004E08BD" w14:paraId="2F73EBBA" w14:textId="77777777">
        <w:trPr>
          <w:trHeight w:val="977"/>
        </w:trPr>
        <w:tc>
          <w:tcPr>
            <w:tcW w:w="595" w:type="pct"/>
            <w:vAlign w:val="center"/>
          </w:tcPr>
          <w:p w:rsidRPr="00F82D4B" w:rsidR="00BF1627" w:rsidP="00052496" w:rsidRDefault="00BF1627" w14:paraId="0DA6F1E0"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150.2(f)</w:t>
            </w:r>
          </w:p>
        </w:tc>
        <w:tc>
          <w:tcPr>
            <w:tcW w:w="516" w:type="pct"/>
            <w:vAlign w:val="center"/>
          </w:tcPr>
          <w:p w:rsidRPr="00F82D4B" w:rsidR="00BF1627" w:rsidP="00052496" w:rsidRDefault="00BF1627" w14:paraId="5899C902"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6</w:t>
            </w:r>
          </w:p>
        </w:tc>
        <w:tc>
          <w:tcPr>
            <w:tcW w:w="517" w:type="pct"/>
            <w:vAlign w:val="center"/>
          </w:tcPr>
          <w:p w:rsidRPr="00F82D4B" w:rsidR="00BF1627" w:rsidP="00052496" w:rsidRDefault="000F5595" w14:paraId="1EC13921" w14:textId="1850B83C">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4</w:t>
            </w:r>
            <w:r w:rsidRPr="00F82D4B" w:rsidR="007D0A1E">
              <w:rPr>
                <w:rFonts w:ascii="Arial" w:hAnsi="Arial" w:eastAsia="Times New Roman" w:cs="Arial"/>
                <w:sz w:val="16"/>
                <w:szCs w:val="16"/>
              </w:rPr>
              <w:t>.1</w:t>
            </w:r>
            <w:r w:rsidRPr="00F82D4B" w:rsidR="006541FD">
              <w:rPr>
                <w:rFonts w:ascii="Arial" w:hAnsi="Arial" w:eastAsia="Times New Roman" w:cs="Arial"/>
                <w:sz w:val="16"/>
                <w:szCs w:val="16"/>
              </w:rPr>
              <w:t>6</w:t>
            </w:r>
            <w:r w:rsidRPr="00F82D4B" w:rsidR="00BF1627">
              <w:rPr>
                <w:rFonts w:ascii="Arial" w:hAnsi="Arial" w:cs="Arial"/>
                <w:sz w:val="16"/>
                <w:szCs w:val="16"/>
                <w:vertAlign w:val="superscript"/>
              </w:rPr>
              <w:footnoteReference w:id="45"/>
            </w:r>
          </w:p>
        </w:tc>
        <w:tc>
          <w:tcPr>
            <w:tcW w:w="516" w:type="pct"/>
            <w:vAlign w:val="center"/>
          </w:tcPr>
          <w:p w:rsidRPr="00F82D4B" w:rsidR="00BF1627" w:rsidP="00052496" w:rsidRDefault="00BF1627" w14:paraId="75B973F0"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516" w:type="pct"/>
            <w:vAlign w:val="center"/>
          </w:tcPr>
          <w:p w:rsidRPr="00F82D4B" w:rsidR="00BF1627" w:rsidP="00052496" w:rsidRDefault="000F5595" w14:paraId="66A1ACEE" w14:textId="50EDB02D">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8</w:t>
            </w:r>
            <w:r w:rsidRPr="00F82D4B" w:rsidR="006541FD">
              <w:rPr>
                <w:rFonts w:ascii="Arial" w:hAnsi="Arial" w:eastAsia="Times New Roman" w:cs="Arial"/>
                <w:sz w:val="16"/>
                <w:szCs w:val="16"/>
              </w:rPr>
              <w:t>3.3</w:t>
            </w:r>
          </w:p>
        </w:tc>
        <w:tc>
          <w:tcPr>
            <w:tcW w:w="437" w:type="pct"/>
            <w:vAlign w:val="center"/>
          </w:tcPr>
          <w:p w:rsidRPr="00F82D4B" w:rsidR="00BF1627" w:rsidP="00052496" w:rsidRDefault="00DC34D2" w14:paraId="63741248"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77</w:t>
            </w:r>
          </w:p>
        </w:tc>
        <w:tc>
          <w:tcPr>
            <w:tcW w:w="516" w:type="pct"/>
            <w:vAlign w:val="center"/>
          </w:tcPr>
          <w:p w:rsidRPr="00F82D4B" w:rsidR="00BF1627" w:rsidP="00052496" w:rsidRDefault="000F5595" w14:paraId="76EE3C9A" w14:textId="19C65526">
            <w:pPr>
              <w:spacing w:before="120" w:after="120"/>
              <w:jc w:val="center"/>
              <w:rPr>
                <w:rFonts w:ascii="Arial" w:hAnsi="Arial" w:eastAsia="Times New Roman" w:cs="Arial"/>
                <w:sz w:val="16"/>
                <w:szCs w:val="16"/>
              </w:rPr>
            </w:pPr>
            <w:r w:rsidRPr="00F82D4B">
              <w:rPr>
                <w:rFonts w:ascii="Arial" w:hAnsi="Arial" w:eastAsia="Times New Roman" w:cs="Arial"/>
                <w:sz w:val="16"/>
                <w:szCs w:val="16"/>
              </w:rPr>
              <w:t>6,</w:t>
            </w:r>
            <w:r w:rsidRPr="00F82D4B" w:rsidR="00AF4F24">
              <w:rPr>
                <w:rFonts w:ascii="Arial" w:hAnsi="Arial" w:eastAsia="Times New Roman" w:cs="Arial"/>
                <w:sz w:val="16"/>
                <w:szCs w:val="16"/>
              </w:rPr>
              <w:t>416</w:t>
            </w:r>
          </w:p>
        </w:tc>
        <w:tc>
          <w:tcPr>
            <w:tcW w:w="477" w:type="pct"/>
            <w:vAlign w:val="center"/>
          </w:tcPr>
          <w:p w:rsidRPr="00F82D4B" w:rsidR="00BF1627" w:rsidP="00052496" w:rsidRDefault="000F5595" w14:paraId="2C97E817" w14:textId="341B9C15">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24</w:t>
            </w:r>
            <w:r w:rsidRPr="00F82D4B" w:rsidR="007D0A1E">
              <w:rPr>
                <w:rFonts w:ascii="Arial" w:hAnsi="Arial" w:eastAsia="Times New Roman" w:cs="Arial"/>
                <w:sz w:val="16"/>
                <w:szCs w:val="16"/>
              </w:rPr>
              <w:t>.</w:t>
            </w:r>
            <w:r w:rsidRPr="00F82D4B" w:rsidR="006069AC">
              <w:rPr>
                <w:rFonts w:ascii="Arial" w:hAnsi="Arial" w:eastAsia="Times New Roman" w:cs="Arial"/>
                <w:sz w:val="16"/>
                <w:szCs w:val="16"/>
              </w:rPr>
              <w:t>9</w:t>
            </w:r>
            <w:r w:rsidRPr="00F82D4B" w:rsidR="007D0A1E">
              <w:rPr>
                <w:rFonts w:ascii="Arial" w:hAnsi="Arial" w:eastAsia="Times New Roman" w:cs="Arial"/>
                <w:sz w:val="16"/>
                <w:szCs w:val="16"/>
              </w:rPr>
              <w:t>6</w:t>
            </w:r>
          </w:p>
        </w:tc>
        <w:tc>
          <w:tcPr>
            <w:tcW w:w="394" w:type="pct"/>
            <w:vAlign w:val="center"/>
          </w:tcPr>
          <w:p w:rsidRPr="00F82D4B" w:rsidR="00BF1627" w:rsidP="00052496" w:rsidRDefault="00F55A9E" w14:paraId="5AAF95D7" w14:textId="00313F3F">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500</w:t>
            </w:r>
            <w:r w:rsidRPr="00F82D4B" w:rsidR="00776C58">
              <w:rPr>
                <w:rStyle w:val="FootnoteReference"/>
                <w:rFonts w:ascii="Arial" w:hAnsi="Arial" w:eastAsia="Times New Roman" w:cs="Arial"/>
                <w:sz w:val="16"/>
                <w:szCs w:val="16"/>
              </w:rPr>
              <w:footnoteReference w:id="46"/>
            </w:r>
          </w:p>
        </w:tc>
        <w:tc>
          <w:tcPr>
            <w:tcW w:w="516" w:type="pct"/>
            <w:vAlign w:val="center"/>
          </w:tcPr>
          <w:p w:rsidRPr="00F82D4B" w:rsidR="00BF1627" w:rsidP="00BD1BBB" w:rsidRDefault="005D092C" w14:paraId="1D1450FE" w14:textId="3781BC2D">
            <w:pPr>
              <w:tabs>
                <w:tab w:val="left" w:pos="-720"/>
                <w:tab w:val="left" w:pos="0"/>
              </w:tabs>
              <w:suppressAutoHyphens/>
              <w:spacing w:before="120" w:after="120"/>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7D0A1E">
              <w:rPr>
                <w:rFonts w:ascii="Arial" w:hAnsi="Arial" w:eastAsia="Times New Roman" w:cs="Arial"/>
                <w:b/>
                <w:sz w:val="16"/>
                <w:szCs w:val="16"/>
              </w:rPr>
              <w:t>3</w:t>
            </w:r>
            <w:r w:rsidRPr="00F82D4B" w:rsidR="00A71871">
              <w:rPr>
                <w:rFonts w:ascii="Arial" w:hAnsi="Arial" w:eastAsia="Times New Roman" w:cs="Arial"/>
                <w:b/>
                <w:sz w:val="16"/>
                <w:szCs w:val="16"/>
              </w:rPr>
              <w:t>8,496</w:t>
            </w:r>
          </w:p>
        </w:tc>
      </w:tr>
      <w:tr w:rsidRPr="008F6D4A" w:rsidR="0067738F" w:rsidTr="004E08BD" w14:paraId="756FBD84" w14:textId="77777777">
        <w:trPr>
          <w:trHeight w:val="977"/>
        </w:trPr>
        <w:tc>
          <w:tcPr>
            <w:tcW w:w="595" w:type="pct"/>
            <w:vAlign w:val="center"/>
          </w:tcPr>
          <w:p w:rsidRPr="00F82D4B" w:rsidR="0067738F" w:rsidP="00052496" w:rsidRDefault="007302A3" w14:paraId="0D27150A"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150.3</w:t>
            </w:r>
            <w:r w:rsidRPr="00F82D4B" w:rsidR="009D1C7A">
              <w:rPr>
                <w:rFonts w:ascii="Arial" w:hAnsi="Arial" w:eastAsia="Times New Roman" w:cs="Arial"/>
                <w:sz w:val="16"/>
                <w:szCs w:val="16"/>
              </w:rPr>
              <w:t>(b)</w:t>
            </w:r>
          </w:p>
        </w:tc>
        <w:tc>
          <w:tcPr>
            <w:tcW w:w="516" w:type="pct"/>
            <w:vAlign w:val="center"/>
          </w:tcPr>
          <w:p w:rsidRPr="00F82D4B" w:rsidR="0067738F" w:rsidP="00052496" w:rsidRDefault="009D1C7A" w14:paraId="2F5EEBA3"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w:t>
            </w:r>
          </w:p>
        </w:tc>
        <w:tc>
          <w:tcPr>
            <w:tcW w:w="517" w:type="pct"/>
            <w:vAlign w:val="center"/>
          </w:tcPr>
          <w:p w:rsidRPr="00F82D4B" w:rsidR="0067738F" w:rsidP="00052496" w:rsidRDefault="009D1C7A" w14:paraId="67829F3C"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w:t>
            </w:r>
          </w:p>
        </w:tc>
        <w:tc>
          <w:tcPr>
            <w:tcW w:w="516" w:type="pct"/>
            <w:vAlign w:val="center"/>
          </w:tcPr>
          <w:p w:rsidRPr="00F82D4B" w:rsidR="0067738F" w:rsidP="00052496" w:rsidRDefault="009D1C7A" w14:paraId="1923A487"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516" w:type="pct"/>
            <w:vAlign w:val="center"/>
          </w:tcPr>
          <w:p w:rsidRPr="00F82D4B" w:rsidR="0067738F" w:rsidP="00052496" w:rsidRDefault="009D1C7A" w14:paraId="076B9FD2"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437" w:type="pct"/>
            <w:vAlign w:val="center"/>
          </w:tcPr>
          <w:p w:rsidRPr="00F82D4B" w:rsidR="0067738F" w:rsidP="00052496" w:rsidRDefault="00DC34D2" w14:paraId="46DEE76C" w14:textId="2D3DF3AC">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9</w:t>
            </w:r>
            <w:r w:rsidRPr="00F82D4B" w:rsidR="00116F58">
              <w:rPr>
                <w:rFonts w:ascii="Arial" w:hAnsi="Arial" w:eastAsia="Times New Roman" w:cs="Arial"/>
                <w:sz w:val="16"/>
                <w:szCs w:val="16"/>
              </w:rPr>
              <w:t>7</w:t>
            </w:r>
          </w:p>
        </w:tc>
        <w:tc>
          <w:tcPr>
            <w:tcW w:w="516" w:type="pct"/>
            <w:vAlign w:val="center"/>
          </w:tcPr>
          <w:p w:rsidRPr="00F82D4B" w:rsidR="0067738F" w:rsidP="00607CAA" w:rsidRDefault="005A6489" w14:paraId="7060F38C" w14:textId="3CB9CEE6">
            <w:pPr>
              <w:spacing w:before="120" w:after="120"/>
              <w:jc w:val="center"/>
              <w:rPr>
                <w:rFonts w:ascii="Arial" w:hAnsi="Arial" w:eastAsia="Times New Roman" w:cs="Arial"/>
                <w:sz w:val="16"/>
                <w:szCs w:val="16"/>
              </w:rPr>
            </w:pPr>
            <w:r w:rsidRPr="00F82D4B">
              <w:rPr>
                <w:rFonts w:ascii="Arial" w:hAnsi="Arial" w:eastAsia="Times New Roman" w:cs="Arial"/>
                <w:sz w:val="16"/>
                <w:szCs w:val="16"/>
              </w:rPr>
              <w:t>1,9</w:t>
            </w:r>
            <w:r w:rsidRPr="00F82D4B" w:rsidR="00607CAA">
              <w:rPr>
                <w:rFonts w:ascii="Arial" w:hAnsi="Arial" w:eastAsia="Times New Roman" w:cs="Arial"/>
                <w:sz w:val="16"/>
                <w:szCs w:val="16"/>
              </w:rPr>
              <w:t>40</w:t>
            </w:r>
          </w:p>
        </w:tc>
        <w:tc>
          <w:tcPr>
            <w:tcW w:w="477" w:type="pct"/>
            <w:vAlign w:val="center"/>
          </w:tcPr>
          <w:p w:rsidRPr="00F82D4B" w:rsidR="0067738F" w:rsidP="00052496" w:rsidRDefault="009D1C7A" w14:paraId="526C2F7B"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w:t>
            </w:r>
          </w:p>
        </w:tc>
        <w:tc>
          <w:tcPr>
            <w:tcW w:w="394" w:type="pct"/>
            <w:vAlign w:val="center"/>
          </w:tcPr>
          <w:p w:rsidRPr="00F82D4B" w:rsidR="0067738F" w:rsidP="00052496" w:rsidRDefault="009D1C7A" w14:paraId="1B6651A2"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516" w:type="pct"/>
            <w:vAlign w:val="center"/>
          </w:tcPr>
          <w:p w:rsidRPr="00F82D4B" w:rsidR="0067738F" w:rsidP="00BD1BBB" w:rsidRDefault="005D092C" w14:paraId="3F56866C" w14:textId="3F4316FC">
            <w:pPr>
              <w:tabs>
                <w:tab w:val="left" w:pos="-720"/>
                <w:tab w:val="left" w:pos="0"/>
              </w:tabs>
              <w:suppressAutoHyphens/>
              <w:spacing w:before="120" w:after="120"/>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5F1EF0">
              <w:rPr>
                <w:rFonts w:ascii="Arial" w:hAnsi="Arial" w:eastAsia="Times New Roman" w:cs="Arial"/>
                <w:b/>
                <w:sz w:val="16"/>
                <w:szCs w:val="16"/>
              </w:rPr>
              <w:t>1,9</w:t>
            </w:r>
            <w:r w:rsidRPr="00F82D4B" w:rsidR="00116F58">
              <w:rPr>
                <w:rFonts w:ascii="Arial" w:hAnsi="Arial" w:eastAsia="Times New Roman" w:cs="Arial"/>
                <w:b/>
                <w:sz w:val="16"/>
                <w:szCs w:val="16"/>
              </w:rPr>
              <w:t>4</w:t>
            </w:r>
            <w:r w:rsidRPr="00F82D4B" w:rsidR="005F1EF0">
              <w:rPr>
                <w:rFonts w:ascii="Arial" w:hAnsi="Arial" w:eastAsia="Times New Roman" w:cs="Arial"/>
                <w:b/>
                <w:sz w:val="16"/>
                <w:szCs w:val="16"/>
              </w:rPr>
              <w:t>0</w:t>
            </w:r>
          </w:p>
        </w:tc>
      </w:tr>
      <w:tr w:rsidRPr="005D092C" w:rsidR="00BD1BBB" w:rsidTr="004E08BD" w14:paraId="15DB4FD1" w14:textId="77777777">
        <w:trPr>
          <w:trHeight w:val="1222"/>
        </w:trPr>
        <w:tc>
          <w:tcPr>
            <w:tcW w:w="595" w:type="pct"/>
            <w:vAlign w:val="center"/>
          </w:tcPr>
          <w:p w:rsidRPr="00F82D4B" w:rsidR="00BD1BBB" w:rsidP="00052496" w:rsidRDefault="00BD1BBB" w14:paraId="5AC65A73"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150.3 (e)</w:t>
            </w:r>
          </w:p>
        </w:tc>
        <w:tc>
          <w:tcPr>
            <w:tcW w:w="516" w:type="pct"/>
            <w:vAlign w:val="center"/>
          </w:tcPr>
          <w:p w:rsidRPr="00F82D4B" w:rsidR="00BD1BBB" w:rsidP="00052496" w:rsidRDefault="00BD1BBB" w14:paraId="0688E465"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517" w:type="pct"/>
            <w:vAlign w:val="center"/>
          </w:tcPr>
          <w:p w:rsidRPr="00F82D4B" w:rsidR="00BD1BBB" w:rsidP="00052496" w:rsidRDefault="00BD1BBB" w14:paraId="4CAE9869"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w:t>
            </w:r>
          </w:p>
        </w:tc>
        <w:tc>
          <w:tcPr>
            <w:tcW w:w="516" w:type="pct"/>
            <w:vAlign w:val="center"/>
          </w:tcPr>
          <w:p w:rsidRPr="00F82D4B" w:rsidR="00BD1BBB" w:rsidP="00052496" w:rsidRDefault="00BD1BBB" w14:paraId="6119C3F1"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10</w:t>
            </w:r>
          </w:p>
        </w:tc>
        <w:tc>
          <w:tcPr>
            <w:tcW w:w="516" w:type="pct"/>
            <w:vAlign w:val="center"/>
          </w:tcPr>
          <w:p w:rsidRPr="00F82D4B" w:rsidR="00BD1BBB" w:rsidP="00052496" w:rsidRDefault="00BD1BBB" w14:paraId="347EDF8D"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10</w:t>
            </w:r>
          </w:p>
        </w:tc>
        <w:tc>
          <w:tcPr>
            <w:tcW w:w="437" w:type="pct"/>
            <w:vAlign w:val="center"/>
          </w:tcPr>
          <w:p w:rsidRPr="00F82D4B" w:rsidR="00BD1BBB" w:rsidP="00052496" w:rsidRDefault="008D68CD" w14:paraId="0252E663" w14:textId="0BD59BB0">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9</w:t>
            </w:r>
            <w:r w:rsidRPr="00F82D4B" w:rsidR="00116F58">
              <w:rPr>
                <w:rFonts w:ascii="Arial" w:hAnsi="Arial" w:eastAsia="Times New Roman" w:cs="Arial"/>
                <w:sz w:val="16"/>
                <w:szCs w:val="16"/>
              </w:rPr>
              <w:t>7</w:t>
            </w:r>
          </w:p>
        </w:tc>
        <w:tc>
          <w:tcPr>
            <w:tcW w:w="516" w:type="pct"/>
            <w:vAlign w:val="center"/>
          </w:tcPr>
          <w:p w:rsidRPr="00F82D4B" w:rsidR="00BD1BBB" w:rsidP="00052496" w:rsidRDefault="005A6489" w14:paraId="415D265A" w14:textId="1CC2761F">
            <w:pPr>
              <w:spacing w:before="120" w:after="120"/>
              <w:jc w:val="center"/>
              <w:rPr>
                <w:rFonts w:ascii="Arial" w:hAnsi="Arial" w:eastAsia="Times New Roman" w:cs="Arial"/>
                <w:sz w:val="16"/>
                <w:szCs w:val="16"/>
              </w:rPr>
            </w:pPr>
            <w:r w:rsidRPr="00F82D4B">
              <w:rPr>
                <w:rFonts w:ascii="Arial" w:hAnsi="Arial" w:eastAsia="Times New Roman" w:cs="Arial"/>
                <w:sz w:val="16"/>
                <w:szCs w:val="16"/>
              </w:rPr>
              <w:t>9</w:t>
            </w:r>
            <w:r w:rsidRPr="00F82D4B" w:rsidR="00D65240">
              <w:rPr>
                <w:rFonts w:ascii="Arial" w:hAnsi="Arial" w:eastAsia="Times New Roman" w:cs="Arial"/>
                <w:sz w:val="16"/>
                <w:szCs w:val="16"/>
              </w:rPr>
              <w:t>70</w:t>
            </w:r>
          </w:p>
        </w:tc>
        <w:tc>
          <w:tcPr>
            <w:tcW w:w="477" w:type="pct"/>
            <w:vAlign w:val="center"/>
          </w:tcPr>
          <w:p w:rsidRPr="00F82D4B" w:rsidR="00BD1BBB" w:rsidP="00052496" w:rsidRDefault="00BD1BBB" w14:paraId="2D9521FE"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w:t>
            </w:r>
          </w:p>
        </w:tc>
        <w:tc>
          <w:tcPr>
            <w:tcW w:w="394" w:type="pct"/>
            <w:vAlign w:val="center"/>
          </w:tcPr>
          <w:p w:rsidRPr="00F82D4B" w:rsidR="00BD1BBB" w:rsidP="00052496" w:rsidRDefault="00BD1BBB" w14:paraId="4D45C8D7"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200</w:t>
            </w:r>
          </w:p>
        </w:tc>
        <w:tc>
          <w:tcPr>
            <w:tcW w:w="516" w:type="pct"/>
            <w:vAlign w:val="center"/>
          </w:tcPr>
          <w:p w:rsidRPr="00F82D4B" w:rsidR="00BD1BBB" w:rsidP="00BD1BBB" w:rsidRDefault="005D092C" w14:paraId="0936C975" w14:textId="3688DD58">
            <w:pPr>
              <w:tabs>
                <w:tab w:val="left" w:pos="-720"/>
                <w:tab w:val="left" w:pos="0"/>
              </w:tabs>
              <w:suppressAutoHyphens/>
              <w:spacing w:before="120" w:after="120"/>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5F1EF0">
              <w:rPr>
                <w:rFonts w:ascii="Arial" w:hAnsi="Arial" w:eastAsia="Times New Roman" w:cs="Arial"/>
                <w:b/>
                <w:sz w:val="16"/>
                <w:szCs w:val="16"/>
              </w:rPr>
              <w:t>19,</w:t>
            </w:r>
            <w:r w:rsidRPr="00F82D4B" w:rsidR="00116F58">
              <w:rPr>
                <w:rFonts w:ascii="Arial" w:hAnsi="Arial" w:eastAsia="Times New Roman" w:cs="Arial"/>
                <w:b/>
                <w:sz w:val="16"/>
                <w:szCs w:val="16"/>
              </w:rPr>
              <w:t>4</w:t>
            </w:r>
            <w:r w:rsidRPr="00F82D4B" w:rsidR="00D65240">
              <w:rPr>
                <w:rFonts w:ascii="Arial" w:hAnsi="Arial" w:eastAsia="Times New Roman" w:cs="Arial"/>
                <w:b/>
                <w:sz w:val="16"/>
                <w:szCs w:val="16"/>
              </w:rPr>
              <w:t>00</w:t>
            </w:r>
          </w:p>
        </w:tc>
      </w:tr>
      <w:tr w:rsidRPr="008F6D4A" w:rsidR="00BD1BBB" w:rsidTr="004E08BD" w14:paraId="02C37F36" w14:textId="77777777">
        <w:trPr>
          <w:trHeight w:val="1222"/>
        </w:trPr>
        <w:tc>
          <w:tcPr>
            <w:tcW w:w="595" w:type="pct"/>
            <w:vAlign w:val="center"/>
          </w:tcPr>
          <w:p w:rsidRPr="00F82D4B" w:rsidR="00BD1BBB" w:rsidP="00C56647" w:rsidRDefault="00BD1BBB" w14:paraId="1991D540"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150.5(a)</w:t>
            </w:r>
          </w:p>
        </w:tc>
        <w:tc>
          <w:tcPr>
            <w:tcW w:w="516" w:type="pct"/>
            <w:vAlign w:val="center"/>
          </w:tcPr>
          <w:p w:rsidRPr="00F82D4B" w:rsidR="00BD1BBB" w:rsidP="00052496" w:rsidRDefault="00BD1BBB" w14:paraId="0AAEC74E"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425</w:t>
            </w:r>
          </w:p>
        </w:tc>
        <w:tc>
          <w:tcPr>
            <w:tcW w:w="517" w:type="pct"/>
            <w:vAlign w:val="center"/>
          </w:tcPr>
          <w:p w:rsidRPr="00F82D4B" w:rsidR="00BD1BBB" w:rsidP="00052496" w:rsidRDefault="00937E5D" w14:paraId="6E20A0A6" w14:textId="3BA05D00">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5</w:t>
            </w:r>
          </w:p>
        </w:tc>
        <w:tc>
          <w:tcPr>
            <w:tcW w:w="516" w:type="pct"/>
            <w:vAlign w:val="center"/>
          </w:tcPr>
          <w:p w:rsidRPr="00F82D4B" w:rsidR="00BD1BBB" w:rsidP="00052496" w:rsidRDefault="00BD1BBB" w14:paraId="74BFEBAD"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w:t>
            </w:r>
          </w:p>
        </w:tc>
        <w:tc>
          <w:tcPr>
            <w:tcW w:w="516" w:type="pct"/>
            <w:vAlign w:val="center"/>
          </w:tcPr>
          <w:p w:rsidRPr="00F82D4B" w:rsidR="00BD1BBB" w:rsidP="00052496" w:rsidRDefault="00937E5D" w14:paraId="01C130EE" w14:textId="121C8F49">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10</w:t>
            </w:r>
          </w:p>
        </w:tc>
        <w:tc>
          <w:tcPr>
            <w:tcW w:w="437" w:type="pct"/>
            <w:vAlign w:val="center"/>
          </w:tcPr>
          <w:p w:rsidRPr="00F82D4B" w:rsidR="00BD1BBB" w:rsidP="00052496" w:rsidRDefault="008D68CD" w14:paraId="6B7ECF48" w14:textId="6CB1A58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9</w:t>
            </w:r>
            <w:r w:rsidRPr="00F82D4B" w:rsidR="00116F58">
              <w:rPr>
                <w:rFonts w:ascii="Arial" w:hAnsi="Arial" w:eastAsia="Times New Roman" w:cs="Arial"/>
                <w:sz w:val="16"/>
                <w:szCs w:val="16"/>
              </w:rPr>
              <w:t>7</w:t>
            </w:r>
          </w:p>
        </w:tc>
        <w:tc>
          <w:tcPr>
            <w:tcW w:w="516" w:type="pct"/>
            <w:vAlign w:val="center"/>
          </w:tcPr>
          <w:p w:rsidRPr="00F82D4B" w:rsidR="00BD1BBB" w:rsidP="00607CAA" w:rsidRDefault="00937E5D" w14:paraId="7AE2FF88" w14:textId="76282D37">
            <w:pPr>
              <w:spacing w:before="120" w:after="120"/>
              <w:jc w:val="center"/>
              <w:rPr>
                <w:rFonts w:ascii="Arial" w:hAnsi="Arial" w:eastAsia="Times New Roman" w:cs="Arial"/>
                <w:sz w:val="16"/>
                <w:szCs w:val="16"/>
              </w:rPr>
            </w:pPr>
            <w:r w:rsidRPr="00F82D4B">
              <w:rPr>
                <w:rFonts w:ascii="Arial" w:hAnsi="Arial" w:eastAsia="Times New Roman" w:cs="Arial"/>
                <w:sz w:val="16"/>
                <w:szCs w:val="16"/>
              </w:rPr>
              <w:t>970</w:t>
            </w:r>
          </w:p>
        </w:tc>
        <w:tc>
          <w:tcPr>
            <w:tcW w:w="477" w:type="pct"/>
            <w:vAlign w:val="center"/>
          </w:tcPr>
          <w:p w:rsidRPr="00F82D4B" w:rsidR="00BD1BBB" w:rsidP="00052496" w:rsidRDefault="00937E5D" w14:paraId="7171F76B" w14:textId="7E5B9CE0">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2,125</w:t>
            </w:r>
          </w:p>
        </w:tc>
        <w:tc>
          <w:tcPr>
            <w:tcW w:w="394" w:type="pct"/>
            <w:vAlign w:val="center"/>
          </w:tcPr>
          <w:p w:rsidRPr="00F82D4B" w:rsidR="00BD1BBB" w:rsidP="00052496" w:rsidRDefault="00937E5D" w14:paraId="3C2DBD2E" w14:textId="1B9E2DFF">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 xml:space="preserve">4,250 </w:t>
            </w:r>
          </w:p>
        </w:tc>
        <w:tc>
          <w:tcPr>
            <w:tcW w:w="516" w:type="pct"/>
            <w:vAlign w:val="center"/>
          </w:tcPr>
          <w:p w:rsidRPr="00F82D4B" w:rsidR="00937E5D" w:rsidP="00937E5D" w:rsidRDefault="005D092C" w14:paraId="41BF6A8C" w14:textId="77777777">
            <w:pPr>
              <w:tabs>
                <w:tab w:val="left" w:pos="-720"/>
                <w:tab w:val="left" w:pos="0"/>
              </w:tabs>
              <w:suppressAutoHyphens/>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937E5D">
              <w:rPr>
                <w:rFonts w:ascii="Arial" w:hAnsi="Arial" w:eastAsia="Times New Roman" w:cs="Arial"/>
                <w:b/>
                <w:sz w:val="16"/>
                <w:szCs w:val="16"/>
              </w:rPr>
              <w:t>412,250</w:t>
            </w:r>
          </w:p>
          <w:p w:rsidRPr="00F82D4B" w:rsidR="00BD1BBB" w:rsidP="00937E5D" w:rsidRDefault="00BD1BBB" w14:paraId="676758B8" w14:textId="248D557B">
            <w:pPr>
              <w:tabs>
                <w:tab w:val="left" w:pos="-720"/>
                <w:tab w:val="left" w:pos="0"/>
              </w:tabs>
              <w:suppressAutoHyphens/>
              <w:jc w:val="center"/>
              <w:rPr>
                <w:rFonts w:ascii="Arial" w:hAnsi="Arial" w:eastAsia="Times New Roman" w:cs="Arial"/>
                <w:b/>
                <w:sz w:val="16"/>
                <w:szCs w:val="16"/>
              </w:rPr>
            </w:pPr>
          </w:p>
        </w:tc>
      </w:tr>
      <w:tr w:rsidRPr="008F6D4A" w:rsidR="00BD1BBB" w:rsidTr="004E08BD" w14:paraId="6E87A40F" w14:textId="77777777">
        <w:trPr>
          <w:trHeight w:val="1222"/>
        </w:trPr>
        <w:tc>
          <w:tcPr>
            <w:tcW w:w="595" w:type="pct"/>
            <w:vAlign w:val="center"/>
          </w:tcPr>
          <w:p w:rsidRPr="00F82D4B" w:rsidR="00BD1BBB" w:rsidP="00052496" w:rsidRDefault="00BD1BBB" w14:paraId="20F3F178"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150.5(a)(4)</w:t>
            </w:r>
          </w:p>
        </w:tc>
        <w:tc>
          <w:tcPr>
            <w:tcW w:w="516" w:type="pct"/>
            <w:vAlign w:val="center"/>
          </w:tcPr>
          <w:p w:rsidRPr="00F82D4B" w:rsidR="00BD1BBB" w:rsidP="00052496" w:rsidRDefault="00BD1BBB" w14:paraId="49833A93"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6</w:t>
            </w:r>
          </w:p>
        </w:tc>
        <w:tc>
          <w:tcPr>
            <w:tcW w:w="517" w:type="pct"/>
            <w:vAlign w:val="center"/>
          </w:tcPr>
          <w:p w:rsidRPr="00F82D4B" w:rsidR="00BD1BBB" w:rsidP="00052496" w:rsidRDefault="00BD1BBB" w14:paraId="4A6AE9CD"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12</w:t>
            </w:r>
          </w:p>
        </w:tc>
        <w:tc>
          <w:tcPr>
            <w:tcW w:w="516" w:type="pct"/>
            <w:vAlign w:val="center"/>
          </w:tcPr>
          <w:p w:rsidRPr="00F82D4B" w:rsidR="00BD1BBB" w:rsidP="00052496" w:rsidRDefault="00BD1BBB" w14:paraId="0298337F"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5</w:t>
            </w:r>
          </w:p>
        </w:tc>
        <w:tc>
          <w:tcPr>
            <w:tcW w:w="516" w:type="pct"/>
            <w:vAlign w:val="center"/>
          </w:tcPr>
          <w:p w:rsidRPr="00F82D4B" w:rsidR="00BD1BBB" w:rsidP="00052496" w:rsidRDefault="00BD1BBB" w14:paraId="23FC3055"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60</w:t>
            </w:r>
          </w:p>
        </w:tc>
        <w:tc>
          <w:tcPr>
            <w:tcW w:w="437" w:type="pct"/>
            <w:vAlign w:val="center"/>
          </w:tcPr>
          <w:p w:rsidRPr="00F82D4B" w:rsidR="00BD1BBB" w:rsidP="00052496" w:rsidRDefault="008D68CD" w14:paraId="1CD6F244" w14:textId="463621D9">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9</w:t>
            </w:r>
            <w:r w:rsidRPr="00F82D4B" w:rsidR="00116F58">
              <w:rPr>
                <w:rFonts w:ascii="Arial" w:hAnsi="Arial" w:eastAsia="Times New Roman" w:cs="Arial"/>
                <w:sz w:val="16"/>
                <w:szCs w:val="16"/>
              </w:rPr>
              <w:t>7</w:t>
            </w:r>
          </w:p>
        </w:tc>
        <w:tc>
          <w:tcPr>
            <w:tcW w:w="516" w:type="pct"/>
            <w:vAlign w:val="center"/>
          </w:tcPr>
          <w:p w:rsidRPr="00F82D4B" w:rsidR="00BD1BBB" w:rsidP="00607CAA" w:rsidRDefault="005A6489" w14:paraId="7D18ECD2" w14:textId="25BD6E7B">
            <w:pPr>
              <w:spacing w:before="120" w:after="120"/>
              <w:jc w:val="center"/>
              <w:rPr>
                <w:rFonts w:ascii="Arial" w:hAnsi="Arial" w:eastAsia="Times New Roman" w:cs="Arial"/>
                <w:sz w:val="16"/>
                <w:szCs w:val="16"/>
              </w:rPr>
            </w:pPr>
            <w:r w:rsidRPr="00F82D4B">
              <w:rPr>
                <w:rFonts w:ascii="Arial" w:hAnsi="Arial" w:eastAsia="Times New Roman" w:cs="Arial"/>
                <w:sz w:val="16"/>
                <w:szCs w:val="16"/>
              </w:rPr>
              <w:t>5,</w:t>
            </w:r>
            <w:r w:rsidRPr="00F82D4B" w:rsidR="00607CAA">
              <w:rPr>
                <w:rFonts w:ascii="Arial" w:hAnsi="Arial" w:eastAsia="Times New Roman" w:cs="Arial"/>
                <w:sz w:val="16"/>
                <w:szCs w:val="16"/>
              </w:rPr>
              <w:t>820</w:t>
            </w:r>
          </w:p>
        </w:tc>
        <w:tc>
          <w:tcPr>
            <w:tcW w:w="477" w:type="pct"/>
            <w:vAlign w:val="center"/>
          </w:tcPr>
          <w:p w:rsidRPr="00F82D4B" w:rsidR="00BD1BBB" w:rsidP="00052496" w:rsidRDefault="00BD1BBB" w14:paraId="4042377D"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72</w:t>
            </w:r>
          </w:p>
        </w:tc>
        <w:tc>
          <w:tcPr>
            <w:tcW w:w="394" w:type="pct"/>
            <w:vAlign w:val="center"/>
          </w:tcPr>
          <w:p w:rsidRPr="00F82D4B" w:rsidR="00BD1BBB" w:rsidP="00052496" w:rsidRDefault="00BD1BBB" w14:paraId="47579259" w14:textId="77777777">
            <w:pPr>
              <w:tabs>
                <w:tab w:val="left" w:pos="-720"/>
                <w:tab w:val="left" w:pos="0"/>
              </w:tabs>
              <w:suppressAutoHyphens/>
              <w:spacing w:before="120" w:after="120"/>
              <w:jc w:val="center"/>
              <w:rPr>
                <w:rFonts w:ascii="Arial" w:hAnsi="Arial" w:eastAsia="Times New Roman" w:cs="Arial"/>
                <w:sz w:val="16"/>
                <w:szCs w:val="16"/>
              </w:rPr>
            </w:pPr>
            <w:r w:rsidRPr="00F82D4B">
              <w:rPr>
                <w:rFonts w:ascii="Arial" w:hAnsi="Arial" w:eastAsia="Times New Roman" w:cs="Arial"/>
                <w:sz w:val="16"/>
                <w:szCs w:val="16"/>
              </w:rPr>
              <w:t>360</w:t>
            </w:r>
          </w:p>
        </w:tc>
        <w:tc>
          <w:tcPr>
            <w:tcW w:w="516" w:type="pct"/>
            <w:vAlign w:val="center"/>
          </w:tcPr>
          <w:p w:rsidRPr="00F82D4B" w:rsidR="00BD1BBB" w:rsidP="00116F58" w:rsidRDefault="005D092C" w14:paraId="0596354E" w14:textId="6F4426B1">
            <w:pPr>
              <w:tabs>
                <w:tab w:val="left" w:pos="-720"/>
                <w:tab w:val="left" w:pos="0"/>
              </w:tabs>
              <w:suppressAutoHyphens/>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5F1EF0">
              <w:rPr>
                <w:rFonts w:ascii="Arial" w:hAnsi="Arial" w:eastAsia="Times New Roman" w:cs="Arial"/>
                <w:b/>
                <w:sz w:val="16"/>
                <w:szCs w:val="16"/>
              </w:rPr>
              <w:t>34,</w:t>
            </w:r>
            <w:r w:rsidRPr="00F82D4B" w:rsidR="00116F58">
              <w:rPr>
                <w:rFonts w:ascii="Arial" w:hAnsi="Arial" w:eastAsia="Times New Roman" w:cs="Arial"/>
                <w:b/>
                <w:sz w:val="16"/>
                <w:szCs w:val="16"/>
              </w:rPr>
              <w:t>920</w:t>
            </w:r>
          </w:p>
        </w:tc>
      </w:tr>
      <w:tr w:rsidRPr="008F6D4A" w:rsidR="00EC3AA0" w:rsidTr="005F1EF0" w14:paraId="7933621C" w14:textId="77777777">
        <w:trPr>
          <w:trHeight w:val="1222"/>
        </w:trPr>
        <w:tc>
          <w:tcPr>
            <w:tcW w:w="595" w:type="pct"/>
            <w:vAlign w:val="center"/>
          </w:tcPr>
          <w:p w:rsidRPr="00F82D4B" w:rsidR="00EC3AA0" w:rsidP="00B2410C" w:rsidRDefault="00EC3AA0" w14:paraId="64ADD287" w14:textId="77777777">
            <w:pPr>
              <w:tabs>
                <w:tab w:val="left" w:pos="-720"/>
                <w:tab w:val="left" w:pos="0"/>
              </w:tabs>
              <w:suppressAutoHyphens/>
              <w:jc w:val="center"/>
              <w:rPr>
                <w:rFonts w:ascii="Arial" w:hAnsi="Arial" w:cs="Arial"/>
                <w:sz w:val="16"/>
                <w:szCs w:val="16"/>
              </w:rPr>
            </w:pPr>
            <w:r w:rsidRPr="00F82D4B">
              <w:rPr>
                <w:rFonts w:ascii="Arial" w:hAnsi="Arial" w:cs="Arial"/>
                <w:sz w:val="16"/>
                <w:szCs w:val="16"/>
              </w:rPr>
              <w:lastRenderedPageBreak/>
              <w:t>150.5(b)</w:t>
            </w:r>
            <w:r w:rsidRPr="00F82D4B" w:rsidR="004E08BD">
              <w:rPr>
                <w:rFonts w:ascii="Arial" w:hAnsi="Arial" w:cs="Arial"/>
                <w:sz w:val="16"/>
                <w:szCs w:val="16"/>
              </w:rPr>
              <w:t>(3)</w:t>
            </w:r>
          </w:p>
        </w:tc>
        <w:tc>
          <w:tcPr>
            <w:tcW w:w="516" w:type="pct"/>
            <w:vAlign w:val="center"/>
          </w:tcPr>
          <w:p w:rsidRPr="00F82D4B" w:rsidR="00EC3AA0" w:rsidP="00B2410C" w:rsidRDefault="00EC3AA0" w14:paraId="7B726147"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6</w:t>
            </w:r>
          </w:p>
        </w:tc>
        <w:tc>
          <w:tcPr>
            <w:tcW w:w="517" w:type="pct"/>
            <w:vAlign w:val="center"/>
          </w:tcPr>
          <w:p w:rsidRPr="00F82D4B" w:rsidR="00EC3AA0" w:rsidP="00B2410C" w:rsidRDefault="00EC3AA0" w14:paraId="6E0AD1A2"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3</w:t>
            </w:r>
          </w:p>
        </w:tc>
        <w:tc>
          <w:tcPr>
            <w:tcW w:w="516" w:type="pct"/>
            <w:vAlign w:val="center"/>
          </w:tcPr>
          <w:p w:rsidRPr="00F82D4B" w:rsidR="00EC3AA0" w:rsidP="00B2410C" w:rsidRDefault="00EC3AA0" w14:paraId="301922F9"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10</w:t>
            </w:r>
          </w:p>
        </w:tc>
        <w:tc>
          <w:tcPr>
            <w:tcW w:w="516" w:type="pct"/>
            <w:vAlign w:val="center"/>
          </w:tcPr>
          <w:p w:rsidRPr="00F82D4B" w:rsidR="00EC3AA0" w:rsidP="00B2410C" w:rsidRDefault="00EC3AA0" w14:paraId="4F5F6C52"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30</w:t>
            </w:r>
          </w:p>
        </w:tc>
        <w:tc>
          <w:tcPr>
            <w:tcW w:w="437" w:type="pct"/>
            <w:vAlign w:val="center"/>
          </w:tcPr>
          <w:p w:rsidRPr="00F82D4B" w:rsidR="00EC3AA0" w:rsidP="00B2410C" w:rsidRDefault="008D68CD" w14:paraId="1ACB52AB" w14:textId="4CDCA721">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9</w:t>
            </w:r>
            <w:r w:rsidRPr="00F82D4B" w:rsidR="00116F58">
              <w:rPr>
                <w:rFonts w:ascii="Arial" w:hAnsi="Arial" w:eastAsia="Times New Roman" w:cs="Arial"/>
                <w:sz w:val="16"/>
                <w:szCs w:val="16"/>
              </w:rPr>
              <w:t>7</w:t>
            </w:r>
          </w:p>
        </w:tc>
        <w:tc>
          <w:tcPr>
            <w:tcW w:w="516" w:type="pct"/>
            <w:vAlign w:val="center"/>
          </w:tcPr>
          <w:p w:rsidRPr="00F82D4B" w:rsidR="00EC3AA0" w:rsidP="00B2410C" w:rsidRDefault="00055A67" w14:paraId="052F2B8A" w14:textId="70381EB3">
            <w:pPr>
              <w:jc w:val="center"/>
              <w:rPr>
                <w:rFonts w:ascii="Arial" w:hAnsi="Arial" w:cs="Arial"/>
                <w:sz w:val="16"/>
                <w:szCs w:val="16"/>
              </w:rPr>
            </w:pPr>
            <w:r w:rsidRPr="00F82D4B">
              <w:rPr>
                <w:rFonts w:ascii="Arial" w:hAnsi="Arial" w:cs="Arial"/>
                <w:sz w:val="16"/>
                <w:szCs w:val="16"/>
              </w:rPr>
              <w:t>2,</w:t>
            </w:r>
            <w:r w:rsidRPr="00F82D4B" w:rsidR="00F8659B">
              <w:rPr>
                <w:rFonts w:ascii="Arial" w:hAnsi="Arial" w:cs="Arial"/>
                <w:sz w:val="16"/>
                <w:szCs w:val="16"/>
              </w:rPr>
              <w:t>910</w:t>
            </w:r>
          </w:p>
        </w:tc>
        <w:tc>
          <w:tcPr>
            <w:tcW w:w="477" w:type="pct"/>
            <w:vAlign w:val="center"/>
          </w:tcPr>
          <w:p w:rsidRPr="00F82D4B" w:rsidR="00EC3AA0" w:rsidP="00B2410C" w:rsidRDefault="00EC3AA0" w14:paraId="7DA5F032"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18</w:t>
            </w:r>
          </w:p>
        </w:tc>
        <w:tc>
          <w:tcPr>
            <w:tcW w:w="394" w:type="pct"/>
            <w:vAlign w:val="center"/>
          </w:tcPr>
          <w:p w:rsidRPr="00F82D4B" w:rsidR="00EC3AA0" w:rsidP="00B2410C" w:rsidRDefault="00EC3AA0" w14:paraId="61FCAEAA"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180</w:t>
            </w:r>
          </w:p>
        </w:tc>
        <w:tc>
          <w:tcPr>
            <w:tcW w:w="516" w:type="pct"/>
            <w:vAlign w:val="center"/>
          </w:tcPr>
          <w:p w:rsidRPr="00F82D4B" w:rsidR="00EC3AA0" w:rsidP="00116F58" w:rsidRDefault="005D092C" w14:paraId="35C59D61" w14:textId="33FEAEBE">
            <w:pPr>
              <w:tabs>
                <w:tab w:val="left" w:pos="-720"/>
                <w:tab w:val="left" w:pos="0"/>
              </w:tabs>
              <w:suppressAutoHyphens/>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5F1EF0">
              <w:rPr>
                <w:rFonts w:ascii="Arial" w:hAnsi="Arial" w:eastAsia="Times New Roman" w:cs="Arial"/>
                <w:b/>
                <w:sz w:val="16"/>
                <w:szCs w:val="16"/>
              </w:rPr>
              <w:t>17,</w:t>
            </w:r>
            <w:r w:rsidRPr="00F82D4B" w:rsidR="00116F58">
              <w:rPr>
                <w:rFonts w:ascii="Arial" w:hAnsi="Arial" w:eastAsia="Times New Roman" w:cs="Arial"/>
                <w:b/>
                <w:sz w:val="16"/>
                <w:szCs w:val="16"/>
              </w:rPr>
              <w:t>460</w:t>
            </w:r>
          </w:p>
        </w:tc>
      </w:tr>
      <w:tr w:rsidRPr="008F6D4A" w:rsidR="00EC3AA0" w:rsidTr="007B7EAC" w14:paraId="25C1FBF4" w14:textId="77777777">
        <w:trPr>
          <w:trHeight w:val="1367"/>
        </w:trPr>
        <w:tc>
          <w:tcPr>
            <w:tcW w:w="595" w:type="pct"/>
            <w:vAlign w:val="center"/>
          </w:tcPr>
          <w:p w:rsidRPr="00F82D4B" w:rsidR="00EC3AA0" w:rsidP="00B2410C" w:rsidRDefault="004E08BD" w14:paraId="4347BE23" w14:textId="77777777">
            <w:pPr>
              <w:tabs>
                <w:tab w:val="left" w:pos="-720"/>
                <w:tab w:val="left" w:pos="0"/>
              </w:tabs>
              <w:suppressAutoHyphens/>
              <w:jc w:val="center"/>
              <w:rPr>
                <w:rFonts w:ascii="Arial" w:hAnsi="Arial" w:cs="Arial"/>
                <w:sz w:val="16"/>
                <w:szCs w:val="16"/>
              </w:rPr>
            </w:pPr>
            <w:r w:rsidRPr="00F82D4B">
              <w:rPr>
                <w:rFonts w:ascii="Arial" w:hAnsi="Arial" w:cs="Arial"/>
                <w:sz w:val="16"/>
                <w:szCs w:val="16"/>
              </w:rPr>
              <w:t>150.5(b)(4)</w:t>
            </w:r>
          </w:p>
        </w:tc>
        <w:tc>
          <w:tcPr>
            <w:tcW w:w="516" w:type="pct"/>
            <w:vAlign w:val="center"/>
          </w:tcPr>
          <w:p w:rsidRPr="00F82D4B" w:rsidR="00EC3AA0" w:rsidP="00B2410C" w:rsidRDefault="004E08BD" w14:paraId="32562932"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200</w:t>
            </w:r>
          </w:p>
        </w:tc>
        <w:tc>
          <w:tcPr>
            <w:tcW w:w="517" w:type="pct"/>
            <w:vAlign w:val="center"/>
          </w:tcPr>
          <w:p w:rsidRPr="00F82D4B" w:rsidR="00EC3AA0" w:rsidP="00B2410C" w:rsidRDefault="004E08BD" w14:paraId="2E772CE5"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1</w:t>
            </w:r>
          </w:p>
        </w:tc>
        <w:tc>
          <w:tcPr>
            <w:tcW w:w="516" w:type="pct"/>
            <w:vAlign w:val="center"/>
          </w:tcPr>
          <w:p w:rsidRPr="00F82D4B" w:rsidR="00EC3AA0" w:rsidP="00B2410C" w:rsidRDefault="004E08BD" w14:paraId="2D021CD7"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2</w:t>
            </w:r>
          </w:p>
        </w:tc>
        <w:tc>
          <w:tcPr>
            <w:tcW w:w="516" w:type="pct"/>
            <w:vAlign w:val="center"/>
          </w:tcPr>
          <w:p w:rsidRPr="00F82D4B" w:rsidR="00EC3AA0" w:rsidP="00B2410C" w:rsidRDefault="004E08BD" w14:paraId="4519412B"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2</w:t>
            </w:r>
          </w:p>
        </w:tc>
        <w:tc>
          <w:tcPr>
            <w:tcW w:w="437" w:type="pct"/>
            <w:vAlign w:val="center"/>
          </w:tcPr>
          <w:p w:rsidRPr="00F82D4B" w:rsidR="00EC3AA0" w:rsidP="00116F58" w:rsidRDefault="00116F58" w14:paraId="74E5D906" w14:textId="1A31751F">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97</w:t>
            </w:r>
          </w:p>
        </w:tc>
        <w:tc>
          <w:tcPr>
            <w:tcW w:w="516" w:type="pct"/>
            <w:vAlign w:val="center"/>
          </w:tcPr>
          <w:p w:rsidRPr="00F82D4B" w:rsidR="008C6F21" w:rsidP="00B0474D" w:rsidRDefault="008C6F21" w14:paraId="2043D1BD" w14:textId="77777777">
            <w:pPr>
              <w:jc w:val="center"/>
              <w:rPr>
                <w:rFonts w:ascii="Arial" w:hAnsi="Arial" w:cs="Arial"/>
                <w:sz w:val="16"/>
                <w:szCs w:val="16"/>
              </w:rPr>
            </w:pPr>
          </w:p>
          <w:p w:rsidRPr="00F82D4B" w:rsidR="00353578" w:rsidP="00B0474D" w:rsidRDefault="009B418F" w14:paraId="30C3A32E" w14:textId="02696491">
            <w:pPr>
              <w:jc w:val="center"/>
              <w:rPr>
                <w:rFonts w:ascii="Arial" w:hAnsi="Arial" w:cs="Arial"/>
                <w:sz w:val="16"/>
                <w:szCs w:val="16"/>
              </w:rPr>
            </w:pPr>
            <w:r w:rsidRPr="00F82D4B">
              <w:rPr>
                <w:rFonts w:ascii="Arial" w:hAnsi="Arial" w:cs="Arial"/>
                <w:sz w:val="16"/>
                <w:szCs w:val="16"/>
              </w:rPr>
              <w:t>19</w:t>
            </w:r>
            <w:r w:rsidRPr="00F82D4B" w:rsidR="00B0474D">
              <w:rPr>
                <w:rFonts w:ascii="Arial" w:hAnsi="Arial" w:cs="Arial"/>
                <w:sz w:val="16"/>
                <w:szCs w:val="16"/>
              </w:rPr>
              <w:t>4</w:t>
            </w:r>
          </w:p>
          <w:p w:rsidRPr="00F82D4B" w:rsidR="00EC3AA0" w:rsidP="00B0474D" w:rsidRDefault="00EC3AA0" w14:paraId="5C57FA0B" w14:textId="7666D5D7">
            <w:pPr>
              <w:jc w:val="center"/>
              <w:rPr>
                <w:rFonts w:ascii="Arial" w:hAnsi="Arial" w:cs="Arial"/>
                <w:sz w:val="16"/>
                <w:szCs w:val="16"/>
              </w:rPr>
            </w:pPr>
          </w:p>
        </w:tc>
        <w:tc>
          <w:tcPr>
            <w:tcW w:w="477" w:type="pct"/>
            <w:vAlign w:val="center"/>
          </w:tcPr>
          <w:p w:rsidRPr="00F82D4B" w:rsidR="00EC3AA0" w:rsidP="00B2410C" w:rsidRDefault="004E08BD" w14:paraId="36206C23"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200</w:t>
            </w:r>
          </w:p>
        </w:tc>
        <w:tc>
          <w:tcPr>
            <w:tcW w:w="394" w:type="pct"/>
            <w:vAlign w:val="center"/>
          </w:tcPr>
          <w:p w:rsidRPr="00F82D4B" w:rsidR="00EC3AA0" w:rsidP="00B2410C" w:rsidRDefault="004E08BD" w14:paraId="14E14306"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400</w:t>
            </w:r>
          </w:p>
        </w:tc>
        <w:tc>
          <w:tcPr>
            <w:tcW w:w="516" w:type="pct"/>
            <w:vAlign w:val="center"/>
          </w:tcPr>
          <w:p w:rsidRPr="00F82D4B" w:rsidR="00EC3AA0" w:rsidP="0085251F" w:rsidRDefault="005D092C" w14:paraId="20D4FB86" w14:textId="7A0B891A">
            <w:pPr>
              <w:tabs>
                <w:tab w:val="left" w:pos="-720"/>
                <w:tab w:val="left" w:pos="0"/>
              </w:tabs>
              <w:suppressAutoHyphens/>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5F1EF0">
              <w:rPr>
                <w:rFonts w:ascii="Arial" w:hAnsi="Arial" w:eastAsia="Times New Roman" w:cs="Arial"/>
                <w:b/>
                <w:sz w:val="16"/>
                <w:szCs w:val="16"/>
              </w:rPr>
              <w:t>38,</w:t>
            </w:r>
            <w:r w:rsidRPr="00F82D4B" w:rsidR="00116F58">
              <w:rPr>
                <w:rFonts w:ascii="Arial" w:hAnsi="Arial" w:eastAsia="Times New Roman" w:cs="Arial"/>
                <w:b/>
                <w:sz w:val="16"/>
                <w:szCs w:val="16"/>
              </w:rPr>
              <w:t>8</w:t>
            </w:r>
            <w:r w:rsidRPr="00F82D4B" w:rsidR="009B13C9">
              <w:rPr>
                <w:rFonts w:ascii="Arial" w:hAnsi="Arial" w:eastAsia="Times New Roman" w:cs="Arial"/>
                <w:b/>
                <w:sz w:val="16"/>
                <w:szCs w:val="16"/>
              </w:rPr>
              <w:t>00</w:t>
            </w:r>
          </w:p>
        </w:tc>
      </w:tr>
      <w:tr w:rsidRPr="008F6D4A" w:rsidR="00052496" w:rsidTr="005F1EF0" w14:paraId="13DC8936" w14:textId="77777777">
        <w:trPr>
          <w:trHeight w:val="1222"/>
        </w:trPr>
        <w:tc>
          <w:tcPr>
            <w:tcW w:w="595" w:type="pct"/>
            <w:vAlign w:val="center"/>
          </w:tcPr>
          <w:p w:rsidRPr="00F82D4B" w:rsidR="00052496" w:rsidP="00B2410C" w:rsidRDefault="00052496" w14:paraId="50C55BE8" w14:textId="77777777">
            <w:pPr>
              <w:tabs>
                <w:tab w:val="left" w:pos="-720"/>
                <w:tab w:val="left" w:pos="0"/>
              </w:tabs>
              <w:suppressAutoHyphens/>
              <w:jc w:val="center"/>
              <w:rPr>
                <w:rFonts w:ascii="Arial" w:hAnsi="Arial" w:cs="Arial"/>
                <w:b/>
                <w:sz w:val="16"/>
                <w:szCs w:val="16"/>
              </w:rPr>
            </w:pPr>
            <w:r w:rsidRPr="00F82D4B">
              <w:rPr>
                <w:rFonts w:ascii="Arial" w:hAnsi="Arial" w:cs="Arial"/>
                <w:b/>
                <w:sz w:val="16"/>
                <w:szCs w:val="16"/>
              </w:rPr>
              <w:t>Total</w:t>
            </w:r>
          </w:p>
        </w:tc>
        <w:tc>
          <w:tcPr>
            <w:tcW w:w="516" w:type="pct"/>
            <w:vAlign w:val="center"/>
          </w:tcPr>
          <w:p w:rsidRPr="00F82D4B" w:rsidR="007B7EAC" w:rsidP="00B2410C" w:rsidRDefault="007B7EAC" w14:paraId="18FB78FD" w14:textId="77777777">
            <w:pPr>
              <w:tabs>
                <w:tab w:val="left" w:pos="-720"/>
                <w:tab w:val="left" w:pos="0"/>
              </w:tabs>
              <w:suppressAutoHyphens/>
              <w:jc w:val="center"/>
              <w:rPr>
                <w:rFonts w:ascii="Arial" w:hAnsi="Arial" w:eastAsia="Times New Roman" w:cs="Arial"/>
                <w:sz w:val="16"/>
                <w:szCs w:val="16"/>
              </w:rPr>
            </w:pPr>
          </w:p>
          <w:p w:rsidRPr="00F82D4B" w:rsidR="007B7EAC" w:rsidP="00B2410C" w:rsidRDefault="007B7EAC" w14:paraId="4E59F72D" w14:textId="77777777">
            <w:pPr>
              <w:tabs>
                <w:tab w:val="left" w:pos="-720"/>
                <w:tab w:val="left" w:pos="0"/>
              </w:tabs>
              <w:suppressAutoHyphens/>
              <w:jc w:val="center"/>
              <w:rPr>
                <w:rFonts w:ascii="Arial" w:hAnsi="Arial" w:eastAsia="Times New Roman" w:cs="Arial"/>
                <w:sz w:val="16"/>
                <w:szCs w:val="16"/>
              </w:rPr>
            </w:pPr>
          </w:p>
          <w:p w:rsidRPr="00F82D4B" w:rsidR="00052496" w:rsidP="00B2410C" w:rsidRDefault="00141AA3" w14:paraId="3E63A8DA" w14:textId="025D3F81">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719</w:t>
            </w:r>
          </w:p>
          <w:p w:rsidRPr="00F82D4B" w:rsidR="00052496" w:rsidP="00B2410C" w:rsidRDefault="00052496" w14:paraId="1051774F" w14:textId="7777777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(distinct entities or persons)</w:t>
            </w:r>
            <w:r w:rsidRPr="00F82D4B">
              <w:rPr>
                <w:rStyle w:val="FootnoteReference"/>
                <w:rFonts w:ascii="Arial" w:hAnsi="Arial" w:eastAsia="Times New Roman" w:cs="Arial"/>
                <w:sz w:val="16"/>
                <w:szCs w:val="16"/>
              </w:rPr>
              <w:footnoteReference w:id="47"/>
            </w:r>
          </w:p>
        </w:tc>
        <w:tc>
          <w:tcPr>
            <w:tcW w:w="517" w:type="pct"/>
            <w:vAlign w:val="center"/>
          </w:tcPr>
          <w:p w:rsidRPr="00F82D4B" w:rsidR="007B7EAC" w:rsidP="00B2410C" w:rsidRDefault="007B7EAC" w14:paraId="45C84345" w14:textId="77777777">
            <w:pPr>
              <w:tabs>
                <w:tab w:val="left" w:pos="-720"/>
                <w:tab w:val="left" w:pos="0"/>
              </w:tabs>
              <w:suppressAutoHyphens/>
              <w:jc w:val="center"/>
              <w:rPr>
                <w:rFonts w:ascii="Arial" w:hAnsi="Arial" w:eastAsia="Times New Roman" w:cs="Arial"/>
                <w:sz w:val="16"/>
                <w:szCs w:val="16"/>
              </w:rPr>
            </w:pPr>
          </w:p>
          <w:p w:rsidRPr="00F82D4B" w:rsidR="00EB1974" w:rsidP="00B2410C" w:rsidRDefault="0010470A" w14:paraId="205AC973" w14:textId="27E6F5FC">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79.16</w:t>
            </w:r>
          </w:p>
          <w:p w:rsidRPr="00F82D4B" w:rsidR="00052496" w:rsidP="00B2410C" w:rsidRDefault="00052496" w14:paraId="55EEF9A6" w14:textId="164748B9">
            <w:pPr>
              <w:tabs>
                <w:tab w:val="left" w:pos="-720"/>
                <w:tab w:val="left" w:pos="0"/>
              </w:tabs>
              <w:suppressAutoHyphens/>
              <w:jc w:val="center"/>
              <w:rPr>
                <w:rFonts w:ascii="Arial" w:hAnsi="Arial" w:eastAsia="Times New Roman" w:cs="Arial"/>
                <w:sz w:val="16"/>
                <w:szCs w:val="16"/>
              </w:rPr>
            </w:pPr>
          </w:p>
        </w:tc>
        <w:tc>
          <w:tcPr>
            <w:tcW w:w="516" w:type="pct"/>
            <w:vAlign w:val="center"/>
          </w:tcPr>
          <w:p w:rsidRPr="00F82D4B" w:rsidR="00052496" w:rsidP="008C6F21" w:rsidRDefault="00353578" w14:paraId="3E13190A" w14:textId="53255F65">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69.5</w:t>
            </w:r>
          </w:p>
        </w:tc>
        <w:tc>
          <w:tcPr>
            <w:tcW w:w="516" w:type="pct"/>
            <w:vAlign w:val="center"/>
          </w:tcPr>
          <w:p w:rsidRPr="00F82D4B" w:rsidR="007B7EAC" w:rsidP="00C01128" w:rsidRDefault="007B7EAC" w14:paraId="054A1721" w14:textId="77777777">
            <w:pPr>
              <w:tabs>
                <w:tab w:val="left" w:pos="-720"/>
                <w:tab w:val="left" w:pos="0"/>
              </w:tabs>
              <w:suppressAutoHyphens/>
              <w:jc w:val="center"/>
              <w:rPr>
                <w:rFonts w:ascii="Arial" w:hAnsi="Arial" w:eastAsia="Times New Roman" w:cs="Arial"/>
                <w:sz w:val="16"/>
                <w:szCs w:val="16"/>
              </w:rPr>
            </w:pPr>
          </w:p>
          <w:p w:rsidRPr="00F82D4B" w:rsidR="00353578" w:rsidP="00C01128" w:rsidRDefault="00FE5222" w14:paraId="7DB45777" w14:textId="795C26D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241.3</w:t>
            </w:r>
          </w:p>
          <w:p w:rsidRPr="00F82D4B" w:rsidR="00052496" w:rsidP="00C01128" w:rsidRDefault="00052496" w14:paraId="0A8C7156" w14:textId="5D92C60A">
            <w:pPr>
              <w:tabs>
                <w:tab w:val="left" w:pos="-720"/>
                <w:tab w:val="left" w:pos="0"/>
              </w:tabs>
              <w:suppressAutoHyphens/>
              <w:jc w:val="center"/>
              <w:rPr>
                <w:rFonts w:ascii="Arial" w:hAnsi="Arial" w:eastAsia="Times New Roman" w:cs="Arial"/>
                <w:sz w:val="16"/>
                <w:szCs w:val="16"/>
              </w:rPr>
            </w:pPr>
          </w:p>
        </w:tc>
        <w:tc>
          <w:tcPr>
            <w:tcW w:w="437" w:type="pct"/>
            <w:vAlign w:val="center"/>
          </w:tcPr>
          <w:p w:rsidRPr="00F82D4B" w:rsidR="00052496" w:rsidP="008C6F21" w:rsidRDefault="00141AA3" w14:paraId="48E4A285" w14:textId="22CDD267">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736</w:t>
            </w:r>
          </w:p>
        </w:tc>
        <w:tc>
          <w:tcPr>
            <w:tcW w:w="516" w:type="pct"/>
            <w:vAlign w:val="center"/>
          </w:tcPr>
          <w:p w:rsidRPr="00F82D4B" w:rsidR="007B7EAC" w:rsidP="00AF4514" w:rsidRDefault="007B7EAC" w14:paraId="1129F28B" w14:textId="77777777">
            <w:pPr>
              <w:jc w:val="center"/>
              <w:rPr>
                <w:rFonts w:ascii="Arial" w:hAnsi="Arial" w:cs="Arial"/>
                <w:sz w:val="16"/>
                <w:szCs w:val="16"/>
              </w:rPr>
            </w:pPr>
          </w:p>
          <w:p w:rsidRPr="00F82D4B" w:rsidR="00353578" w:rsidP="00AF4514" w:rsidRDefault="00783115" w14:paraId="063B9D97" w14:textId="54EA250D">
            <w:pPr>
              <w:jc w:val="center"/>
              <w:rPr>
                <w:rFonts w:ascii="Arial" w:hAnsi="Arial" w:cs="Arial"/>
                <w:sz w:val="16"/>
                <w:szCs w:val="16"/>
              </w:rPr>
            </w:pPr>
            <w:r w:rsidRPr="00F82D4B">
              <w:rPr>
                <w:rFonts w:ascii="Arial" w:hAnsi="Arial" w:cs="Arial"/>
                <w:sz w:val="16"/>
                <w:szCs w:val="16"/>
              </w:rPr>
              <w:t>21,222</w:t>
            </w:r>
          </w:p>
          <w:p w:rsidRPr="00F82D4B" w:rsidR="00052496" w:rsidP="00AF4514" w:rsidRDefault="00052496" w14:paraId="38195218" w14:textId="776A5E06">
            <w:pPr>
              <w:jc w:val="center"/>
              <w:rPr>
                <w:rFonts w:ascii="Arial" w:hAnsi="Arial" w:cs="Arial"/>
                <w:sz w:val="16"/>
                <w:szCs w:val="16"/>
              </w:rPr>
            </w:pPr>
          </w:p>
        </w:tc>
        <w:tc>
          <w:tcPr>
            <w:tcW w:w="477" w:type="pct"/>
            <w:vAlign w:val="center"/>
          </w:tcPr>
          <w:p w:rsidRPr="00F82D4B" w:rsidR="007B7EAC" w:rsidP="00AF4514" w:rsidRDefault="007B7EAC" w14:paraId="73C903AC" w14:textId="77777777">
            <w:pPr>
              <w:tabs>
                <w:tab w:val="left" w:pos="-720"/>
                <w:tab w:val="left" w:pos="0"/>
              </w:tabs>
              <w:suppressAutoHyphens/>
              <w:jc w:val="center"/>
              <w:rPr>
                <w:rFonts w:ascii="Arial" w:hAnsi="Arial" w:eastAsia="Times New Roman" w:cs="Arial"/>
                <w:sz w:val="16"/>
                <w:szCs w:val="16"/>
              </w:rPr>
            </w:pPr>
          </w:p>
          <w:p w:rsidRPr="00F82D4B" w:rsidR="00353578" w:rsidP="00AF4514" w:rsidRDefault="00353578" w14:paraId="3E6F2AF3" w14:textId="4C0E3A48">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5,</w:t>
            </w:r>
            <w:r w:rsidRPr="00F82D4B" w:rsidR="00783115">
              <w:rPr>
                <w:rFonts w:ascii="Arial" w:hAnsi="Arial" w:eastAsia="Times New Roman" w:cs="Arial"/>
                <w:sz w:val="16"/>
                <w:szCs w:val="16"/>
              </w:rPr>
              <w:t>320.96</w:t>
            </w:r>
            <w:r w:rsidRPr="00F82D4B" w:rsidR="008B6BA9">
              <w:rPr>
                <w:rStyle w:val="FootnoteReference"/>
                <w:rFonts w:ascii="Arial" w:hAnsi="Arial" w:eastAsia="Times New Roman" w:cs="Arial"/>
                <w:sz w:val="16"/>
                <w:szCs w:val="16"/>
              </w:rPr>
              <w:footnoteReference w:id="48"/>
            </w:r>
          </w:p>
          <w:p w:rsidRPr="00F82D4B" w:rsidR="00052496" w:rsidP="00AF4514" w:rsidRDefault="00052496" w14:paraId="49CF8A03" w14:textId="6A89651B">
            <w:pPr>
              <w:tabs>
                <w:tab w:val="left" w:pos="-720"/>
                <w:tab w:val="left" w:pos="0"/>
              </w:tabs>
              <w:suppressAutoHyphens/>
              <w:jc w:val="center"/>
              <w:rPr>
                <w:rFonts w:ascii="Arial" w:hAnsi="Arial" w:eastAsia="Times New Roman" w:cs="Arial"/>
                <w:sz w:val="16"/>
                <w:szCs w:val="16"/>
              </w:rPr>
            </w:pPr>
          </w:p>
        </w:tc>
        <w:tc>
          <w:tcPr>
            <w:tcW w:w="394" w:type="pct"/>
            <w:vAlign w:val="center"/>
          </w:tcPr>
          <w:p w:rsidRPr="00F82D4B" w:rsidR="007B7EAC" w:rsidP="00AF4514" w:rsidRDefault="007B7EAC" w14:paraId="461041AB" w14:textId="77777777">
            <w:pPr>
              <w:tabs>
                <w:tab w:val="left" w:pos="-720"/>
                <w:tab w:val="left" w:pos="0"/>
              </w:tabs>
              <w:suppressAutoHyphens/>
              <w:jc w:val="center"/>
              <w:rPr>
                <w:rFonts w:ascii="Arial" w:hAnsi="Arial" w:eastAsia="Times New Roman" w:cs="Arial"/>
                <w:sz w:val="16"/>
                <w:szCs w:val="16"/>
              </w:rPr>
            </w:pPr>
          </w:p>
          <w:p w:rsidRPr="00F82D4B" w:rsidR="00052496" w:rsidP="00AF4514" w:rsidRDefault="00774F37" w14:paraId="0C7882BF" w14:textId="38CEF3DC">
            <w:pPr>
              <w:tabs>
                <w:tab w:val="left" w:pos="-720"/>
                <w:tab w:val="left" w:pos="0"/>
              </w:tabs>
              <w:suppressAutoHyphens/>
              <w:jc w:val="center"/>
              <w:rPr>
                <w:rFonts w:ascii="Arial" w:hAnsi="Arial" w:eastAsia="Times New Roman" w:cs="Arial"/>
                <w:sz w:val="16"/>
                <w:szCs w:val="16"/>
              </w:rPr>
            </w:pPr>
            <w:r w:rsidRPr="00F82D4B">
              <w:rPr>
                <w:rFonts w:ascii="Arial" w:hAnsi="Arial" w:eastAsia="Times New Roman" w:cs="Arial"/>
                <w:sz w:val="16"/>
                <w:szCs w:val="16"/>
              </w:rPr>
              <w:t>7,340</w:t>
            </w:r>
          </w:p>
        </w:tc>
        <w:tc>
          <w:tcPr>
            <w:tcW w:w="516" w:type="pct"/>
            <w:vAlign w:val="center"/>
          </w:tcPr>
          <w:p w:rsidRPr="00F82D4B" w:rsidR="007B7EAC" w:rsidP="004E0105" w:rsidRDefault="007B7EAC" w14:paraId="2FB69A72" w14:textId="77777777">
            <w:pPr>
              <w:tabs>
                <w:tab w:val="left" w:pos="-720"/>
                <w:tab w:val="left" w:pos="0"/>
              </w:tabs>
              <w:suppressAutoHyphens/>
              <w:jc w:val="center"/>
              <w:rPr>
                <w:rFonts w:ascii="Arial" w:hAnsi="Arial" w:eastAsia="Times New Roman" w:cs="Arial"/>
                <w:b/>
                <w:sz w:val="16"/>
                <w:szCs w:val="16"/>
              </w:rPr>
            </w:pPr>
          </w:p>
          <w:p w:rsidRPr="00F82D4B" w:rsidR="007B7EAC" w:rsidP="004E0105" w:rsidRDefault="007B7EAC" w14:paraId="0F0074A3" w14:textId="77777777">
            <w:pPr>
              <w:tabs>
                <w:tab w:val="left" w:pos="-720"/>
                <w:tab w:val="left" w:pos="0"/>
              </w:tabs>
              <w:suppressAutoHyphens/>
              <w:jc w:val="center"/>
              <w:rPr>
                <w:rFonts w:ascii="Arial" w:hAnsi="Arial" w:eastAsia="Times New Roman" w:cs="Arial"/>
                <w:b/>
                <w:sz w:val="16"/>
                <w:szCs w:val="16"/>
              </w:rPr>
            </w:pPr>
          </w:p>
          <w:p w:rsidRPr="00F82D4B" w:rsidR="006D2EF6" w:rsidP="004E0105" w:rsidRDefault="00052496" w14:paraId="063C94BC" w14:textId="56D35402">
            <w:pPr>
              <w:tabs>
                <w:tab w:val="left" w:pos="-720"/>
                <w:tab w:val="left" w:pos="0"/>
              </w:tabs>
              <w:suppressAutoHyphens/>
              <w:jc w:val="center"/>
              <w:rPr>
                <w:rFonts w:ascii="Arial" w:hAnsi="Arial" w:eastAsia="Times New Roman" w:cs="Arial"/>
                <w:b/>
                <w:sz w:val="16"/>
                <w:szCs w:val="16"/>
              </w:rPr>
            </w:pPr>
            <w:r w:rsidRPr="00F82D4B">
              <w:rPr>
                <w:rFonts w:ascii="Arial" w:hAnsi="Arial" w:eastAsia="Times New Roman" w:cs="Arial"/>
                <w:b/>
                <w:sz w:val="16"/>
                <w:szCs w:val="16"/>
              </w:rPr>
              <w:t>$</w:t>
            </w:r>
            <w:r w:rsidRPr="00F82D4B" w:rsidR="00F4253E">
              <w:rPr>
                <w:rFonts w:ascii="Arial" w:hAnsi="Arial" w:eastAsia="Times New Roman" w:cs="Arial"/>
                <w:b/>
                <w:sz w:val="16"/>
                <w:szCs w:val="16"/>
              </w:rPr>
              <w:t>673,376</w:t>
            </w:r>
          </w:p>
          <w:p w:rsidRPr="00F82D4B" w:rsidR="006D2EF6" w:rsidP="004E0105" w:rsidRDefault="006D2EF6" w14:paraId="5D229E60" w14:textId="044AABD8">
            <w:pPr>
              <w:tabs>
                <w:tab w:val="left" w:pos="-720"/>
                <w:tab w:val="left" w:pos="0"/>
              </w:tabs>
              <w:suppressAutoHyphens/>
              <w:jc w:val="center"/>
              <w:rPr>
                <w:rFonts w:ascii="Arial" w:hAnsi="Arial" w:eastAsia="Times New Roman" w:cs="Arial"/>
                <w:b/>
                <w:sz w:val="16"/>
                <w:szCs w:val="16"/>
              </w:rPr>
            </w:pPr>
          </w:p>
          <w:p w:rsidRPr="00F82D4B" w:rsidR="00052496" w:rsidP="004E0105" w:rsidRDefault="00052496" w14:paraId="1422BDEA" w14:textId="29CC8816">
            <w:pPr>
              <w:tabs>
                <w:tab w:val="left" w:pos="-720"/>
                <w:tab w:val="left" w:pos="0"/>
              </w:tabs>
              <w:suppressAutoHyphens/>
              <w:jc w:val="center"/>
              <w:rPr>
                <w:rFonts w:ascii="Arial" w:hAnsi="Arial" w:eastAsia="Times New Roman" w:cs="Arial"/>
                <w:b/>
                <w:sz w:val="16"/>
                <w:szCs w:val="16"/>
              </w:rPr>
            </w:pPr>
          </w:p>
        </w:tc>
      </w:tr>
    </w:tbl>
    <w:p w:rsidRPr="008F6D4A" w:rsidR="0067738F" w:rsidP="0067738F" w:rsidRDefault="0067738F" w14:paraId="0E888FDF" w14:textId="77777777">
      <w:pPr>
        <w:rPr>
          <w:rFonts w:eastAsia="Times New Roman" w:cs="Times New Roman"/>
          <w:szCs w:val="24"/>
        </w:rPr>
      </w:pPr>
    </w:p>
    <w:p w:rsidR="0067738F" w:rsidP="0067738F" w:rsidRDefault="0067738F" w14:paraId="28041AC8" w14:textId="77777777">
      <w:pPr>
        <w:jc w:val="center"/>
        <w:rPr>
          <w:rFonts w:eastAsia="Times New Roman" w:cs="Times New Roman"/>
          <w:szCs w:val="24"/>
        </w:rPr>
      </w:pPr>
      <w:r w:rsidRPr="008F6D4A">
        <w:rPr>
          <w:rFonts w:eastAsia="Times New Roman" w:cs="Times New Roman"/>
          <w:szCs w:val="24"/>
        </w:rPr>
        <w:t>Recordkeeping Burden</w:t>
      </w:r>
      <w:r>
        <w:rPr>
          <w:rFonts w:eastAsia="Times New Roman" w:cs="Times New Roman"/>
          <w:szCs w:val="24"/>
        </w:rPr>
        <w:t xml:space="preserve"> </w:t>
      </w:r>
    </w:p>
    <w:p w:rsidRPr="008F6D4A" w:rsidR="0067738F" w:rsidP="0067738F" w:rsidRDefault="0067738F" w14:paraId="40842A0C" w14:textId="77777777">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0"/>
        <w:gridCol w:w="1229"/>
        <w:gridCol w:w="1145"/>
        <w:gridCol w:w="1143"/>
        <w:gridCol w:w="1143"/>
        <w:gridCol w:w="968"/>
        <w:gridCol w:w="1143"/>
        <w:gridCol w:w="1056"/>
        <w:gridCol w:w="872"/>
        <w:gridCol w:w="1143"/>
      </w:tblGrid>
      <w:tr w:rsidRPr="008F6D4A" w:rsidR="0067738F" w:rsidDel="009C6DB4" w:rsidTr="008C6F21" w14:paraId="3CF55B7D" w14:textId="77777777">
        <w:trPr>
          <w:trHeight w:val="2744"/>
        </w:trPr>
        <w:tc>
          <w:tcPr>
            <w:tcW w:w="556" w:type="pct"/>
          </w:tcPr>
          <w:p w:rsidRPr="00852157" w:rsidR="0067738F" w:rsidP="0085251F" w:rsidRDefault="0067738F" w14:paraId="294DDB7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w:t>
            </w:r>
          </w:p>
          <w:p w:rsidRPr="00852157" w:rsidR="0067738F" w:rsidP="0085251F" w:rsidRDefault="0067738F" w14:paraId="2AE91430"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Regulation(s)</w:t>
            </w:r>
          </w:p>
        </w:tc>
        <w:tc>
          <w:tcPr>
            <w:tcW w:w="555" w:type="pct"/>
          </w:tcPr>
          <w:p w:rsidRPr="00852157" w:rsidR="0067738F" w:rsidP="0085251F" w:rsidRDefault="0067738F" w14:paraId="4AB8328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w:t>
            </w:r>
          </w:p>
          <w:p w:rsidRPr="00852157" w:rsidR="0067738F" w:rsidP="0085251F" w:rsidRDefault="0067738F" w14:paraId="17765A2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Estimated Number of Respondents </w:t>
            </w:r>
          </w:p>
          <w:p w:rsidRPr="00852157" w:rsidR="0067738F" w:rsidP="0085251F" w:rsidRDefault="0067738F" w14:paraId="326C609B" w14:textId="77777777">
            <w:pPr>
              <w:tabs>
                <w:tab w:val="left" w:pos="-720"/>
                <w:tab w:val="left" w:pos="0"/>
              </w:tabs>
              <w:suppressAutoHyphens/>
              <w:jc w:val="center"/>
              <w:rPr>
                <w:rFonts w:ascii="Arial" w:hAnsi="Arial" w:eastAsia="Times New Roman" w:cs="Arial"/>
                <w:b/>
                <w:sz w:val="16"/>
                <w:szCs w:val="16"/>
              </w:rPr>
            </w:pPr>
          </w:p>
        </w:tc>
        <w:tc>
          <w:tcPr>
            <w:tcW w:w="517" w:type="pct"/>
          </w:tcPr>
          <w:p w:rsidRPr="00852157" w:rsidR="0067738F" w:rsidP="0085251F" w:rsidRDefault="0067738F" w14:paraId="02C2F22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w:t>
            </w:r>
          </w:p>
          <w:p w:rsidRPr="00852157" w:rsidR="0067738F" w:rsidP="0085251F" w:rsidRDefault="0067738F" w14:paraId="0BCF8AF9"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Number of Reports</w:t>
            </w:r>
          </w:p>
          <w:p w:rsidRPr="00852157" w:rsidR="0067738F" w:rsidP="0085251F" w:rsidRDefault="0067738F" w14:paraId="341321AA"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by Each Respondent</w:t>
            </w:r>
          </w:p>
        </w:tc>
        <w:tc>
          <w:tcPr>
            <w:tcW w:w="516" w:type="pct"/>
          </w:tcPr>
          <w:p w:rsidRPr="00852157" w:rsidR="0067738F" w:rsidP="0085251F" w:rsidRDefault="0067738F" w14:paraId="5CFF51DC"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4.</w:t>
            </w:r>
          </w:p>
          <w:p w:rsidRPr="00852157" w:rsidR="0067738F" w:rsidP="0085251F" w:rsidRDefault="0067738F" w14:paraId="49F45115"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Number of Burden Hours per Response</w:t>
            </w:r>
          </w:p>
        </w:tc>
        <w:tc>
          <w:tcPr>
            <w:tcW w:w="516" w:type="pct"/>
          </w:tcPr>
          <w:p w:rsidRPr="00852157" w:rsidR="0067738F" w:rsidP="0085251F" w:rsidRDefault="0067738F" w14:paraId="3CD760DB"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5.</w:t>
            </w:r>
          </w:p>
          <w:p w:rsidRPr="00852157" w:rsidR="0067738F" w:rsidP="0085251F" w:rsidRDefault="0067738F" w14:paraId="2DAB7D50" w14:textId="77777777">
            <w:pPr>
              <w:tabs>
                <w:tab w:val="left" w:pos="-720"/>
                <w:tab w:val="left" w:pos="0"/>
              </w:tabs>
              <w:suppressAutoHyphens/>
              <w:jc w:val="center"/>
              <w:rPr>
                <w:rFonts w:ascii="Arial" w:hAnsi="Arial" w:eastAsia="Times New Roman" w:cs="Arial"/>
                <w:b/>
                <w:sz w:val="16"/>
                <w:szCs w:val="16"/>
              </w:rPr>
            </w:pPr>
            <w:proofErr w:type="gramStart"/>
            <w:r w:rsidRPr="00852157">
              <w:rPr>
                <w:rFonts w:ascii="Arial" w:hAnsi="Arial" w:eastAsia="Times New Roman" w:cs="Arial"/>
                <w:b/>
                <w:sz w:val="16"/>
                <w:szCs w:val="16"/>
              </w:rPr>
              <w:t>Annual  Number</w:t>
            </w:r>
            <w:proofErr w:type="gramEnd"/>
            <w:r w:rsidRPr="00852157">
              <w:rPr>
                <w:rFonts w:ascii="Arial" w:hAnsi="Arial" w:eastAsia="Times New Roman" w:cs="Arial"/>
                <w:b/>
                <w:sz w:val="16"/>
                <w:szCs w:val="16"/>
              </w:rPr>
              <w:t xml:space="preserve"> of Burden Hours per Respondent</w:t>
            </w:r>
          </w:p>
          <w:p w:rsidRPr="00852157" w:rsidR="0067738F" w:rsidP="0085251F" w:rsidRDefault="0067738F" w14:paraId="26F3320B"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 x 4)</w:t>
            </w:r>
          </w:p>
        </w:tc>
        <w:tc>
          <w:tcPr>
            <w:tcW w:w="437" w:type="pct"/>
          </w:tcPr>
          <w:p w:rsidRPr="00852157" w:rsidR="0067738F" w:rsidP="0085251F" w:rsidRDefault="0067738F" w14:paraId="5AD38A84"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6. </w:t>
            </w:r>
          </w:p>
          <w:p w:rsidRPr="00852157" w:rsidR="0067738F" w:rsidP="0085251F" w:rsidRDefault="0067738F" w14:paraId="0075BE7A"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Burden Hour Cost</w:t>
            </w:r>
            <w:r w:rsidRPr="00852157" w:rsidR="008910C2">
              <w:rPr>
                <w:rStyle w:val="FootnoteReference"/>
                <w:rFonts w:ascii="Arial" w:hAnsi="Arial" w:eastAsia="Times New Roman" w:cs="Arial"/>
                <w:sz w:val="16"/>
                <w:szCs w:val="16"/>
              </w:rPr>
              <w:footnoteReference w:id="49"/>
            </w:r>
          </w:p>
          <w:p w:rsidRPr="00852157" w:rsidR="0067738F" w:rsidP="0085251F" w:rsidRDefault="0067738F" w14:paraId="4018FD9A" w14:textId="77777777">
            <w:pPr>
              <w:tabs>
                <w:tab w:val="left" w:pos="-720"/>
                <w:tab w:val="left" w:pos="0"/>
              </w:tabs>
              <w:suppressAutoHyphens/>
              <w:jc w:val="center"/>
              <w:rPr>
                <w:rFonts w:ascii="Arial" w:hAnsi="Arial" w:eastAsia="Times New Roman" w:cs="Arial"/>
                <w:b/>
                <w:sz w:val="16"/>
                <w:szCs w:val="16"/>
              </w:rPr>
            </w:pPr>
          </w:p>
        </w:tc>
        <w:tc>
          <w:tcPr>
            <w:tcW w:w="516" w:type="pct"/>
          </w:tcPr>
          <w:p w:rsidRPr="00852157" w:rsidR="0067738F" w:rsidP="0085251F" w:rsidRDefault="0067738F" w14:paraId="19C5C807" w14:textId="77777777">
            <w:pPr>
              <w:jc w:val="center"/>
              <w:rPr>
                <w:rFonts w:ascii="Arial" w:hAnsi="Arial" w:cs="Arial"/>
                <w:b/>
                <w:sz w:val="16"/>
                <w:szCs w:val="16"/>
              </w:rPr>
            </w:pPr>
            <w:r w:rsidRPr="00852157">
              <w:rPr>
                <w:rFonts w:ascii="Arial" w:hAnsi="Arial" w:cs="Arial"/>
                <w:b/>
                <w:sz w:val="16"/>
                <w:szCs w:val="16"/>
              </w:rPr>
              <w:t>7.</w:t>
            </w:r>
          </w:p>
          <w:p w:rsidRPr="00852157" w:rsidR="0067738F" w:rsidP="0085251F" w:rsidRDefault="0067738F" w14:paraId="539773A2" w14:textId="77777777">
            <w:pPr>
              <w:jc w:val="center"/>
              <w:rPr>
                <w:rFonts w:ascii="Arial" w:hAnsi="Arial" w:cs="Arial"/>
                <w:b/>
                <w:sz w:val="16"/>
                <w:szCs w:val="16"/>
              </w:rPr>
            </w:pPr>
            <w:r w:rsidRPr="00852157">
              <w:rPr>
                <w:rFonts w:ascii="Arial" w:hAnsi="Arial" w:cs="Arial"/>
                <w:b/>
                <w:sz w:val="16"/>
                <w:szCs w:val="16"/>
              </w:rPr>
              <w:t>Total Average Hour Burden Cost Per Respondent</w:t>
            </w:r>
          </w:p>
          <w:p w:rsidRPr="00852157" w:rsidR="0067738F" w:rsidP="0085251F" w:rsidRDefault="0067738F" w14:paraId="743BE571" w14:textId="77777777">
            <w:pPr>
              <w:jc w:val="center"/>
              <w:rPr>
                <w:rFonts w:ascii="Arial" w:hAnsi="Arial" w:cs="Arial"/>
                <w:b/>
                <w:sz w:val="16"/>
                <w:szCs w:val="16"/>
              </w:rPr>
            </w:pPr>
            <w:r w:rsidRPr="00852157">
              <w:rPr>
                <w:rFonts w:ascii="Arial" w:hAnsi="Arial" w:cs="Arial"/>
                <w:b/>
                <w:sz w:val="16"/>
                <w:szCs w:val="16"/>
              </w:rPr>
              <w:t>(5 x 6)</w:t>
            </w:r>
          </w:p>
        </w:tc>
        <w:tc>
          <w:tcPr>
            <w:tcW w:w="477" w:type="pct"/>
          </w:tcPr>
          <w:p w:rsidRPr="00852157" w:rsidR="0067738F" w:rsidP="0085251F" w:rsidRDefault="0067738F" w14:paraId="38DE06DA"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8.</w:t>
            </w:r>
          </w:p>
          <w:p w:rsidRPr="00852157" w:rsidR="0067738F" w:rsidP="0085251F" w:rsidRDefault="0067738F" w14:paraId="38B9BB2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w:t>
            </w:r>
          </w:p>
          <w:p w:rsidRPr="00852157" w:rsidR="0067738F" w:rsidP="0085251F" w:rsidRDefault="0067738F" w14:paraId="484CA3F9"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Responses</w:t>
            </w:r>
          </w:p>
          <w:p w:rsidRPr="00852157" w:rsidR="0067738F" w:rsidP="0085251F" w:rsidRDefault="0067738F" w14:paraId="3F3B7022"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3)</w:t>
            </w:r>
          </w:p>
        </w:tc>
        <w:tc>
          <w:tcPr>
            <w:tcW w:w="394" w:type="pct"/>
          </w:tcPr>
          <w:p w:rsidRPr="00852157" w:rsidR="0067738F" w:rsidP="0085251F" w:rsidRDefault="0067738F" w14:paraId="664998AC"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9.</w:t>
            </w:r>
          </w:p>
          <w:p w:rsidRPr="00852157" w:rsidR="0067738F" w:rsidP="0085251F" w:rsidRDefault="0067738F" w14:paraId="3072F3E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Total </w:t>
            </w:r>
            <w:proofErr w:type="gramStart"/>
            <w:r w:rsidRPr="00852157">
              <w:rPr>
                <w:rFonts w:ascii="Arial" w:hAnsi="Arial" w:eastAsia="Times New Roman" w:cs="Arial"/>
                <w:b/>
                <w:sz w:val="16"/>
                <w:szCs w:val="16"/>
              </w:rPr>
              <w:t>Annual  Number</w:t>
            </w:r>
            <w:proofErr w:type="gramEnd"/>
            <w:r w:rsidRPr="00852157">
              <w:rPr>
                <w:rFonts w:ascii="Arial" w:hAnsi="Arial" w:eastAsia="Times New Roman" w:cs="Arial"/>
                <w:b/>
                <w:sz w:val="16"/>
                <w:szCs w:val="16"/>
              </w:rPr>
              <w:t xml:space="preserve"> of Burden Hours</w:t>
            </w:r>
          </w:p>
          <w:p w:rsidRPr="00852157" w:rsidR="0067738F" w:rsidP="0085251F" w:rsidRDefault="0067738F" w14:paraId="45038A3B"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5)</w:t>
            </w:r>
          </w:p>
        </w:tc>
        <w:tc>
          <w:tcPr>
            <w:tcW w:w="516" w:type="pct"/>
          </w:tcPr>
          <w:p w:rsidRPr="00852157" w:rsidR="0067738F" w:rsidP="0085251F" w:rsidRDefault="0067738F" w14:paraId="33DAE4CF"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10.</w:t>
            </w:r>
          </w:p>
          <w:p w:rsidRPr="00852157" w:rsidR="0067738F" w:rsidP="0085251F" w:rsidRDefault="0067738F" w14:paraId="6F8897D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Burden Hour Cost of All Responses</w:t>
            </w:r>
          </w:p>
          <w:p w:rsidRPr="00852157" w:rsidR="0067738F" w:rsidDel="009C6DB4" w:rsidP="0085251F" w:rsidRDefault="0067738F" w14:paraId="6635E73F"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7)</w:t>
            </w:r>
          </w:p>
        </w:tc>
      </w:tr>
      <w:tr w:rsidRPr="008F6D4A" w:rsidR="0067738F" w:rsidTr="00BD1BBB" w14:paraId="6D9C1456" w14:textId="77777777">
        <w:trPr>
          <w:trHeight w:val="977"/>
        </w:trPr>
        <w:tc>
          <w:tcPr>
            <w:tcW w:w="556" w:type="pct"/>
          </w:tcPr>
          <w:p w:rsidR="00E3402F" w:rsidP="0077445B" w:rsidRDefault="00E3402F" w14:paraId="2BC3B110" w14:textId="77777777">
            <w:pPr>
              <w:tabs>
                <w:tab w:val="left" w:pos="-720"/>
                <w:tab w:val="left" w:pos="0"/>
              </w:tabs>
              <w:suppressAutoHyphens/>
              <w:jc w:val="center"/>
              <w:rPr>
                <w:rFonts w:ascii="Arial" w:hAnsi="Arial" w:cs="Arial"/>
                <w:sz w:val="16"/>
                <w:szCs w:val="16"/>
              </w:rPr>
            </w:pPr>
          </w:p>
          <w:p w:rsidR="008C6F21" w:rsidP="0077445B" w:rsidRDefault="008C6F21" w14:paraId="3F836389" w14:textId="77777777">
            <w:pPr>
              <w:tabs>
                <w:tab w:val="left" w:pos="-720"/>
                <w:tab w:val="left" w:pos="0"/>
              </w:tabs>
              <w:suppressAutoHyphens/>
              <w:jc w:val="center"/>
              <w:rPr>
                <w:rFonts w:ascii="Arial" w:hAnsi="Arial" w:cs="Arial"/>
                <w:sz w:val="16"/>
                <w:szCs w:val="16"/>
              </w:rPr>
            </w:pPr>
          </w:p>
          <w:p w:rsidRPr="00852157" w:rsidR="0067738F" w:rsidP="0077445B" w:rsidRDefault="009D1C7A" w14:paraId="0D6C86CF" w14:textId="2C89DA2B">
            <w:pPr>
              <w:tabs>
                <w:tab w:val="left" w:pos="-720"/>
                <w:tab w:val="left" w:pos="0"/>
              </w:tabs>
              <w:suppressAutoHyphens/>
              <w:jc w:val="center"/>
              <w:rPr>
                <w:rFonts w:ascii="Arial" w:hAnsi="Arial" w:eastAsia="Times New Roman" w:cs="Arial"/>
                <w:b/>
                <w:sz w:val="16"/>
                <w:szCs w:val="16"/>
              </w:rPr>
            </w:pPr>
            <w:r w:rsidRPr="00852157">
              <w:rPr>
                <w:rFonts w:ascii="Arial" w:hAnsi="Arial" w:cs="Arial"/>
                <w:sz w:val="16"/>
                <w:szCs w:val="16"/>
              </w:rPr>
              <w:t>150.3(d)</w:t>
            </w:r>
            <w:r w:rsidR="004C70A6">
              <w:rPr>
                <w:rFonts w:ascii="Arial" w:hAnsi="Arial" w:cs="Arial"/>
                <w:sz w:val="16"/>
                <w:szCs w:val="16"/>
              </w:rPr>
              <w:t>(1)</w:t>
            </w:r>
          </w:p>
        </w:tc>
        <w:tc>
          <w:tcPr>
            <w:tcW w:w="555" w:type="pct"/>
            <w:vAlign w:val="center"/>
          </w:tcPr>
          <w:p w:rsidRPr="00852157" w:rsidR="0067738F" w:rsidP="00C715D1" w:rsidRDefault="009F6366" w14:paraId="177C7E6E" w14:textId="431A8260">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517" w:type="pct"/>
            <w:vAlign w:val="center"/>
          </w:tcPr>
          <w:p w:rsidRPr="00852157" w:rsidR="0067738F" w:rsidP="00BD1BBB" w:rsidRDefault="009F6366" w14:paraId="1E0B0387" w14:textId="6B087F41">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5</w:t>
            </w:r>
          </w:p>
        </w:tc>
        <w:tc>
          <w:tcPr>
            <w:tcW w:w="516" w:type="pct"/>
            <w:vAlign w:val="center"/>
          </w:tcPr>
          <w:p w:rsidRPr="00852157" w:rsidR="0067738F" w:rsidP="00BD1BBB" w:rsidRDefault="009D1C7A" w14:paraId="2793030C"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516" w:type="pct"/>
            <w:vAlign w:val="center"/>
          </w:tcPr>
          <w:p w:rsidRPr="00852157" w:rsidR="0067738F" w:rsidP="00BD1BBB" w:rsidRDefault="009F6366" w14:paraId="4DE8B541" w14:textId="4006CD69">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5</w:t>
            </w:r>
          </w:p>
        </w:tc>
        <w:tc>
          <w:tcPr>
            <w:tcW w:w="437" w:type="pct"/>
            <w:vAlign w:val="center"/>
          </w:tcPr>
          <w:p w:rsidRPr="00852157" w:rsidR="0067738F" w:rsidP="00BD1BBB" w:rsidRDefault="00FC4A17" w14:paraId="737E6CE8"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77</w:t>
            </w:r>
          </w:p>
        </w:tc>
        <w:tc>
          <w:tcPr>
            <w:tcW w:w="516" w:type="pct"/>
            <w:vAlign w:val="center"/>
          </w:tcPr>
          <w:p w:rsidR="008C6F21" w:rsidP="00BD1BBB" w:rsidRDefault="008C6F21" w14:paraId="7D29C15A" w14:textId="77777777">
            <w:pPr>
              <w:jc w:val="center"/>
              <w:rPr>
                <w:rFonts w:ascii="Arial" w:hAnsi="Arial" w:cs="Arial"/>
                <w:sz w:val="16"/>
                <w:szCs w:val="16"/>
              </w:rPr>
            </w:pPr>
          </w:p>
          <w:p w:rsidR="009F6366" w:rsidP="00BD1BBB" w:rsidRDefault="009F6366" w14:paraId="5424E881" w14:textId="0B920DD8">
            <w:pPr>
              <w:jc w:val="center"/>
              <w:rPr>
                <w:rFonts w:ascii="Arial" w:hAnsi="Arial" w:cs="Arial"/>
                <w:sz w:val="16"/>
                <w:szCs w:val="16"/>
              </w:rPr>
            </w:pPr>
            <w:r>
              <w:rPr>
                <w:rFonts w:ascii="Arial" w:hAnsi="Arial" w:cs="Arial"/>
                <w:sz w:val="16"/>
                <w:szCs w:val="16"/>
              </w:rPr>
              <w:t>385</w:t>
            </w:r>
          </w:p>
          <w:p w:rsidRPr="00852157" w:rsidR="0067738F" w:rsidP="00BD1BBB" w:rsidRDefault="0067738F" w14:paraId="26F8902E" w14:textId="60030517">
            <w:pPr>
              <w:jc w:val="center"/>
              <w:rPr>
                <w:rFonts w:ascii="Arial" w:hAnsi="Arial" w:cs="Arial"/>
                <w:sz w:val="16"/>
                <w:szCs w:val="16"/>
              </w:rPr>
            </w:pPr>
          </w:p>
        </w:tc>
        <w:tc>
          <w:tcPr>
            <w:tcW w:w="477" w:type="pct"/>
            <w:vAlign w:val="center"/>
          </w:tcPr>
          <w:p w:rsidR="008C6F21" w:rsidP="00BD1BBB" w:rsidRDefault="008C6F21" w14:paraId="77D29D06" w14:textId="77777777">
            <w:pPr>
              <w:tabs>
                <w:tab w:val="left" w:pos="-720"/>
                <w:tab w:val="left" w:pos="0"/>
              </w:tabs>
              <w:suppressAutoHyphens/>
              <w:jc w:val="center"/>
              <w:rPr>
                <w:rFonts w:ascii="Arial" w:hAnsi="Arial" w:eastAsia="Times New Roman" w:cs="Arial"/>
                <w:sz w:val="16"/>
                <w:szCs w:val="16"/>
              </w:rPr>
            </w:pPr>
          </w:p>
          <w:p w:rsidR="009F6366" w:rsidP="00BD1BBB" w:rsidRDefault="009F6366" w14:paraId="28BFFD18" w14:textId="45EB8824">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2,125</w:t>
            </w:r>
          </w:p>
          <w:p w:rsidRPr="00852157" w:rsidR="0067738F" w:rsidP="00BD1BBB" w:rsidRDefault="0067738F" w14:paraId="685D4706" w14:textId="3800C32B">
            <w:pPr>
              <w:tabs>
                <w:tab w:val="left" w:pos="-720"/>
                <w:tab w:val="left" w:pos="0"/>
              </w:tabs>
              <w:suppressAutoHyphens/>
              <w:jc w:val="center"/>
              <w:rPr>
                <w:rFonts w:ascii="Arial" w:hAnsi="Arial" w:eastAsia="Times New Roman" w:cs="Arial"/>
                <w:sz w:val="16"/>
                <w:szCs w:val="16"/>
              </w:rPr>
            </w:pPr>
          </w:p>
        </w:tc>
        <w:tc>
          <w:tcPr>
            <w:tcW w:w="394" w:type="pct"/>
            <w:vAlign w:val="center"/>
          </w:tcPr>
          <w:p w:rsidRPr="00852157" w:rsidR="0067738F" w:rsidP="00BD1BBB" w:rsidRDefault="009F6366" w14:paraId="5D7AB20E" w14:textId="104C0BD6">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2,125</w:t>
            </w:r>
            <w:r w:rsidR="00C715D1">
              <w:rPr>
                <w:rFonts w:ascii="Arial" w:hAnsi="Arial" w:eastAsia="Times New Roman" w:cs="Arial"/>
                <w:sz w:val="16"/>
                <w:szCs w:val="16"/>
              </w:rPr>
              <w:t>1</w:t>
            </w:r>
          </w:p>
        </w:tc>
        <w:tc>
          <w:tcPr>
            <w:tcW w:w="516" w:type="pct"/>
            <w:vAlign w:val="center"/>
          </w:tcPr>
          <w:p w:rsidR="008C6F21" w:rsidP="00C715D1" w:rsidRDefault="008C6F21" w14:paraId="337B80F8" w14:textId="77777777">
            <w:pPr>
              <w:tabs>
                <w:tab w:val="left" w:pos="-720"/>
                <w:tab w:val="left" w:pos="0"/>
              </w:tabs>
              <w:suppressAutoHyphens/>
              <w:rPr>
                <w:rFonts w:ascii="Arial" w:hAnsi="Arial" w:eastAsia="Times New Roman" w:cs="Arial"/>
                <w:b/>
                <w:sz w:val="16"/>
                <w:szCs w:val="16"/>
              </w:rPr>
            </w:pPr>
          </w:p>
          <w:p w:rsidR="009F6366" w:rsidP="00C715D1" w:rsidRDefault="0093548F" w14:paraId="470DAD1C" w14:textId="65DEE81D">
            <w:pPr>
              <w:tabs>
                <w:tab w:val="left" w:pos="-720"/>
                <w:tab w:val="left" w:pos="0"/>
              </w:tabs>
              <w:suppressAutoHyphens/>
              <w:rPr>
                <w:rFonts w:ascii="Arial" w:hAnsi="Arial" w:eastAsia="Times New Roman" w:cs="Arial"/>
                <w:b/>
                <w:sz w:val="16"/>
                <w:szCs w:val="16"/>
              </w:rPr>
            </w:pPr>
            <w:r w:rsidRPr="00852157">
              <w:rPr>
                <w:rFonts w:ascii="Arial" w:hAnsi="Arial" w:eastAsia="Times New Roman" w:cs="Arial"/>
                <w:b/>
                <w:sz w:val="16"/>
                <w:szCs w:val="16"/>
              </w:rPr>
              <w:t>$</w:t>
            </w:r>
            <w:r w:rsidR="009F6366">
              <w:rPr>
                <w:rFonts w:ascii="Arial" w:hAnsi="Arial" w:eastAsia="Times New Roman" w:cs="Arial"/>
                <w:b/>
                <w:sz w:val="16"/>
                <w:szCs w:val="16"/>
              </w:rPr>
              <w:t>163,625</w:t>
            </w:r>
          </w:p>
          <w:p w:rsidRPr="00852157" w:rsidR="0067738F" w:rsidP="00C715D1" w:rsidRDefault="0067738F" w14:paraId="72B6E5D5" w14:textId="4405CE8B">
            <w:pPr>
              <w:tabs>
                <w:tab w:val="left" w:pos="-720"/>
                <w:tab w:val="left" w:pos="0"/>
              </w:tabs>
              <w:suppressAutoHyphens/>
              <w:rPr>
                <w:rFonts w:ascii="Arial" w:hAnsi="Arial" w:eastAsia="Times New Roman" w:cs="Arial"/>
                <w:b/>
                <w:sz w:val="16"/>
                <w:szCs w:val="16"/>
              </w:rPr>
            </w:pPr>
          </w:p>
        </w:tc>
      </w:tr>
      <w:tr w:rsidRPr="008F6D4A" w:rsidR="0077445B" w:rsidTr="00BD1BBB" w14:paraId="4E78DD66" w14:textId="77777777">
        <w:trPr>
          <w:trHeight w:val="977"/>
        </w:trPr>
        <w:tc>
          <w:tcPr>
            <w:tcW w:w="556" w:type="pct"/>
          </w:tcPr>
          <w:p w:rsidR="00E3402F" w:rsidP="0077445B" w:rsidRDefault="00E3402F" w14:paraId="17C5201B" w14:textId="77777777">
            <w:pPr>
              <w:tabs>
                <w:tab w:val="left" w:pos="-720"/>
                <w:tab w:val="left" w:pos="0"/>
              </w:tabs>
              <w:suppressAutoHyphens/>
              <w:jc w:val="center"/>
              <w:rPr>
                <w:rFonts w:ascii="Arial" w:hAnsi="Arial" w:cs="Arial"/>
                <w:sz w:val="16"/>
                <w:szCs w:val="16"/>
              </w:rPr>
            </w:pPr>
          </w:p>
          <w:p w:rsidR="008C6F21" w:rsidP="0077445B" w:rsidRDefault="008C6F21" w14:paraId="25910E5B" w14:textId="77777777">
            <w:pPr>
              <w:tabs>
                <w:tab w:val="left" w:pos="-720"/>
                <w:tab w:val="left" w:pos="0"/>
              </w:tabs>
              <w:suppressAutoHyphens/>
              <w:jc w:val="center"/>
              <w:rPr>
                <w:rFonts w:ascii="Arial" w:hAnsi="Arial" w:cs="Arial"/>
                <w:sz w:val="16"/>
                <w:szCs w:val="16"/>
              </w:rPr>
            </w:pPr>
          </w:p>
          <w:p w:rsidRPr="00852157" w:rsidR="0077445B" w:rsidP="0077445B" w:rsidRDefault="0077445B" w14:paraId="006D5ED7" w14:textId="2E8E564A">
            <w:pPr>
              <w:tabs>
                <w:tab w:val="left" w:pos="-720"/>
                <w:tab w:val="left" w:pos="0"/>
              </w:tabs>
              <w:suppressAutoHyphens/>
              <w:jc w:val="center"/>
              <w:rPr>
                <w:rFonts w:ascii="Arial" w:hAnsi="Arial" w:cs="Arial"/>
                <w:sz w:val="16"/>
                <w:szCs w:val="16"/>
              </w:rPr>
            </w:pPr>
            <w:r w:rsidRPr="0077445B">
              <w:rPr>
                <w:rFonts w:ascii="Arial" w:hAnsi="Arial" w:cs="Arial"/>
                <w:sz w:val="16"/>
                <w:szCs w:val="16"/>
              </w:rPr>
              <w:t>150.3(d)(2)</w:t>
            </w:r>
          </w:p>
        </w:tc>
        <w:tc>
          <w:tcPr>
            <w:tcW w:w="555" w:type="pct"/>
            <w:vAlign w:val="center"/>
          </w:tcPr>
          <w:p w:rsidRPr="00852157" w:rsidR="0077445B" w:rsidP="00BD1BBB" w:rsidRDefault="00907414" w14:paraId="7EDC05F7"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425</w:t>
            </w:r>
          </w:p>
        </w:tc>
        <w:tc>
          <w:tcPr>
            <w:tcW w:w="517" w:type="pct"/>
            <w:vAlign w:val="center"/>
          </w:tcPr>
          <w:p w:rsidRPr="00852157" w:rsidR="0077445B" w:rsidP="00BD1BBB" w:rsidRDefault="00907414" w14:paraId="59DDC6D9"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r w:rsidR="00142131">
              <w:rPr>
                <w:rFonts w:ascii="Arial" w:hAnsi="Arial" w:eastAsia="Times New Roman" w:cs="Arial"/>
                <w:sz w:val="16"/>
                <w:szCs w:val="16"/>
              </w:rPr>
              <w:t>0</w:t>
            </w:r>
          </w:p>
        </w:tc>
        <w:tc>
          <w:tcPr>
            <w:tcW w:w="516" w:type="pct"/>
            <w:vAlign w:val="center"/>
          </w:tcPr>
          <w:p w:rsidRPr="00852157" w:rsidR="0077445B" w:rsidP="00BD1BBB" w:rsidRDefault="00907414" w14:paraId="2C224A6D"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p>
        </w:tc>
        <w:tc>
          <w:tcPr>
            <w:tcW w:w="516" w:type="pct"/>
            <w:vAlign w:val="center"/>
          </w:tcPr>
          <w:p w:rsidRPr="00852157" w:rsidR="0077445B" w:rsidP="00BD1BBB" w:rsidRDefault="00907414" w14:paraId="3A8DF809"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1</w:t>
            </w:r>
            <w:r w:rsidR="00142131">
              <w:rPr>
                <w:rFonts w:ascii="Arial" w:hAnsi="Arial" w:eastAsia="Times New Roman" w:cs="Arial"/>
                <w:sz w:val="16"/>
                <w:szCs w:val="16"/>
              </w:rPr>
              <w:t>0</w:t>
            </w:r>
          </w:p>
        </w:tc>
        <w:tc>
          <w:tcPr>
            <w:tcW w:w="437" w:type="pct"/>
            <w:vAlign w:val="center"/>
          </w:tcPr>
          <w:p w:rsidRPr="00852157" w:rsidR="0077445B" w:rsidP="00BD1BBB" w:rsidRDefault="00907414" w14:paraId="73715333"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77</w:t>
            </w:r>
          </w:p>
        </w:tc>
        <w:tc>
          <w:tcPr>
            <w:tcW w:w="516" w:type="pct"/>
            <w:vAlign w:val="center"/>
          </w:tcPr>
          <w:p w:rsidRPr="00852157" w:rsidR="0077445B" w:rsidP="00BD1BBB" w:rsidRDefault="00907414" w14:paraId="5D91B4E0" w14:textId="77777777">
            <w:pPr>
              <w:jc w:val="center"/>
              <w:rPr>
                <w:rFonts w:ascii="Arial" w:hAnsi="Arial" w:cs="Arial"/>
                <w:sz w:val="16"/>
                <w:szCs w:val="16"/>
              </w:rPr>
            </w:pPr>
            <w:r>
              <w:rPr>
                <w:rFonts w:ascii="Arial" w:hAnsi="Arial" w:cs="Arial"/>
                <w:sz w:val="16"/>
                <w:szCs w:val="16"/>
              </w:rPr>
              <w:t>77</w:t>
            </w:r>
            <w:r w:rsidR="00142131">
              <w:rPr>
                <w:rFonts w:ascii="Arial" w:hAnsi="Arial" w:cs="Arial"/>
                <w:sz w:val="16"/>
                <w:szCs w:val="16"/>
              </w:rPr>
              <w:t>0</w:t>
            </w:r>
          </w:p>
        </w:tc>
        <w:tc>
          <w:tcPr>
            <w:tcW w:w="477" w:type="pct"/>
            <w:vAlign w:val="center"/>
          </w:tcPr>
          <w:p w:rsidRPr="00852157" w:rsidR="0077445B" w:rsidP="00BD1BBB" w:rsidRDefault="00907414" w14:paraId="39D4DE33"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w:t>
            </w:r>
            <w:r w:rsidR="00142131">
              <w:rPr>
                <w:rFonts w:ascii="Arial" w:hAnsi="Arial" w:eastAsia="Times New Roman" w:cs="Arial"/>
                <w:sz w:val="16"/>
                <w:szCs w:val="16"/>
              </w:rPr>
              <w:t>,</w:t>
            </w:r>
            <w:r>
              <w:rPr>
                <w:rFonts w:ascii="Arial" w:hAnsi="Arial" w:eastAsia="Times New Roman" w:cs="Arial"/>
                <w:sz w:val="16"/>
                <w:szCs w:val="16"/>
              </w:rPr>
              <w:t>25</w:t>
            </w:r>
            <w:r w:rsidR="00142131">
              <w:rPr>
                <w:rFonts w:ascii="Arial" w:hAnsi="Arial" w:eastAsia="Times New Roman" w:cs="Arial"/>
                <w:sz w:val="16"/>
                <w:szCs w:val="16"/>
              </w:rPr>
              <w:t>0</w:t>
            </w:r>
          </w:p>
        </w:tc>
        <w:tc>
          <w:tcPr>
            <w:tcW w:w="394" w:type="pct"/>
            <w:vAlign w:val="center"/>
          </w:tcPr>
          <w:p w:rsidR="0077445B" w:rsidP="00BD1BBB" w:rsidRDefault="00907414" w14:paraId="365D28CA" w14:textId="77777777">
            <w:pPr>
              <w:tabs>
                <w:tab w:val="left" w:pos="-720"/>
                <w:tab w:val="left" w:pos="0"/>
              </w:tabs>
              <w:suppressAutoHyphens/>
              <w:jc w:val="center"/>
              <w:rPr>
                <w:rFonts w:ascii="Arial" w:hAnsi="Arial" w:eastAsia="Times New Roman" w:cs="Arial"/>
                <w:sz w:val="16"/>
                <w:szCs w:val="16"/>
              </w:rPr>
            </w:pPr>
            <w:r>
              <w:rPr>
                <w:rFonts w:ascii="Arial" w:hAnsi="Arial" w:eastAsia="Times New Roman" w:cs="Arial"/>
                <w:sz w:val="16"/>
                <w:szCs w:val="16"/>
              </w:rPr>
              <w:t>4</w:t>
            </w:r>
            <w:r w:rsidR="00142131">
              <w:rPr>
                <w:rFonts w:ascii="Arial" w:hAnsi="Arial" w:eastAsia="Times New Roman" w:cs="Arial"/>
                <w:sz w:val="16"/>
                <w:szCs w:val="16"/>
              </w:rPr>
              <w:t>,</w:t>
            </w:r>
            <w:r>
              <w:rPr>
                <w:rFonts w:ascii="Arial" w:hAnsi="Arial" w:eastAsia="Times New Roman" w:cs="Arial"/>
                <w:sz w:val="16"/>
                <w:szCs w:val="16"/>
              </w:rPr>
              <w:t>25</w:t>
            </w:r>
            <w:r w:rsidR="00142131">
              <w:rPr>
                <w:rFonts w:ascii="Arial" w:hAnsi="Arial" w:eastAsia="Times New Roman" w:cs="Arial"/>
                <w:sz w:val="16"/>
                <w:szCs w:val="16"/>
              </w:rPr>
              <w:t>0</w:t>
            </w:r>
          </w:p>
        </w:tc>
        <w:tc>
          <w:tcPr>
            <w:tcW w:w="516" w:type="pct"/>
            <w:vAlign w:val="center"/>
          </w:tcPr>
          <w:p w:rsidR="008C6F21" w:rsidP="00142131" w:rsidRDefault="008C6F21" w14:paraId="00F4E8A2" w14:textId="77777777">
            <w:pPr>
              <w:tabs>
                <w:tab w:val="left" w:pos="-720"/>
                <w:tab w:val="left" w:pos="0"/>
              </w:tabs>
              <w:suppressAutoHyphens/>
              <w:rPr>
                <w:rFonts w:ascii="Arial" w:hAnsi="Arial" w:eastAsia="Times New Roman" w:cs="Arial"/>
                <w:b/>
                <w:sz w:val="16"/>
                <w:szCs w:val="16"/>
              </w:rPr>
            </w:pPr>
          </w:p>
          <w:p w:rsidR="009F6366" w:rsidP="00142131" w:rsidRDefault="00907414" w14:paraId="2EF29431" w14:textId="240F7B2B">
            <w:pPr>
              <w:tabs>
                <w:tab w:val="left" w:pos="-720"/>
                <w:tab w:val="left" w:pos="0"/>
              </w:tabs>
              <w:suppressAutoHyphens/>
              <w:rPr>
                <w:rFonts w:ascii="Arial" w:hAnsi="Arial" w:eastAsia="Times New Roman" w:cs="Arial"/>
                <w:b/>
                <w:sz w:val="16"/>
                <w:szCs w:val="16"/>
              </w:rPr>
            </w:pPr>
            <w:r>
              <w:rPr>
                <w:rFonts w:ascii="Arial" w:hAnsi="Arial" w:eastAsia="Times New Roman" w:cs="Arial"/>
                <w:b/>
                <w:sz w:val="16"/>
                <w:szCs w:val="16"/>
              </w:rPr>
              <w:t>$32</w:t>
            </w:r>
            <w:r w:rsidR="00142131">
              <w:rPr>
                <w:rFonts w:ascii="Arial" w:hAnsi="Arial" w:eastAsia="Times New Roman" w:cs="Arial"/>
                <w:b/>
                <w:sz w:val="16"/>
                <w:szCs w:val="16"/>
              </w:rPr>
              <w:t>7,250</w:t>
            </w:r>
          </w:p>
          <w:p w:rsidRPr="00852157" w:rsidR="0077445B" w:rsidP="00142131" w:rsidRDefault="0077445B" w14:paraId="2B2BE83B" w14:textId="585BD999">
            <w:pPr>
              <w:tabs>
                <w:tab w:val="left" w:pos="-720"/>
                <w:tab w:val="left" w:pos="0"/>
              </w:tabs>
              <w:suppressAutoHyphens/>
              <w:rPr>
                <w:rFonts w:ascii="Arial" w:hAnsi="Arial" w:eastAsia="Times New Roman" w:cs="Arial"/>
                <w:b/>
                <w:sz w:val="16"/>
                <w:szCs w:val="16"/>
              </w:rPr>
            </w:pPr>
          </w:p>
        </w:tc>
      </w:tr>
      <w:tr w:rsidRPr="008F6D4A" w:rsidR="00F17949" w:rsidTr="00BD1BBB" w14:paraId="7D76FC9B" w14:textId="77777777">
        <w:trPr>
          <w:trHeight w:val="1222"/>
        </w:trPr>
        <w:tc>
          <w:tcPr>
            <w:tcW w:w="556" w:type="pct"/>
          </w:tcPr>
          <w:p w:rsidR="00E3402F" w:rsidP="0085251F" w:rsidRDefault="00E3402F" w14:paraId="0DD27437" w14:textId="77777777">
            <w:pPr>
              <w:tabs>
                <w:tab w:val="left" w:pos="-720"/>
                <w:tab w:val="left" w:pos="0"/>
              </w:tabs>
              <w:suppressAutoHyphens/>
              <w:jc w:val="center"/>
              <w:rPr>
                <w:rFonts w:ascii="Arial" w:hAnsi="Arial" w:cs="Arial"/>
                <w:sz w:val="16"/>
                <w:szCs w:val="16"/>
              </w:rPr>
            </w:pPr>
          </w:p>
          <w:p w:rsidR="008C6F21" w:rsidP="0085251F" w:rsidRDefault="008C6F21" w14:paraId="6685205C" w14:textId="77777777">
            <w:pPr>
              <w:tabs>
                <w:tab w:val="left" w:pos="-720"/>
                <w:tab w:val="left" w:pos="0"/>
              </w:tabs>
              <w:suppressAutoHyphens/>
              <w:jc w:val="center"/>
              <w:rPr>
                <w:rFonts w:ascii="Arial" w:hAnsi="Arial" w:cs="Arial"/>
                <w:sz w:val="16"/>
                <w:szCs w:val="16"/>
              </w:rPr>
            </w:pPr>
          </w:p>
          <w:p w:rsidR="008C6F21" w:rsidP="0085251F" w:rsidRDefault="008C6F21" w14:paraId="11DC7354" w14:textId="77777777">
            <w:pPr>
              <w:tabs>
                <w:tab w:val="left" w:pos="-720"/>
                <w:tab w:val="left" w:pos="0"/>
              </w:tabs>
              <w:suppressAutoHyphens/>
              <w:jc w:val="center"/>
              <w:rPr>
                <w:rFonts w:ascii="Arial" w:hAnsi="Arial" w:cs="Arial"/>
                <w:sz w:val="16"/>
                <w:szCs w:val="16"/>
              </w:rPr>
            </w:pPr>
          </w:p>
          <w:p w:rsidRPr="00852157" w:rsidR="00F17949" w:rsidP="0085251F" w:rsidRDefault="00F17949" w14:paraId="5DC11382" w14:textId="1C37559F">
            <w:pPr>
              <w:tabs>
                <w:tab w:val="left" w:pos="-720"/>
                <w:tab w:val="left" w:pos="0"/>
              </w:tabs>
              <w:suppressAutoHyphens/>
              <w:jc w:val="center"/>
              <w:rPr>
                <w:rFonts w:ascii="Arial" w:hAnsi="Arial" w:cs="Arial"/>
                <w:sz w:val="16"/>
                <w:szCs w:val="16"/>
              </w:rPr>
            </w:pPr>
            <w:r w:rsidRPr="00852157">
              <w:rPr>
                <w:rFonts w:ascii="Arial" w:hAnsi="Arial" w:cs="Arial"/>
                <w:sz w:val="16"/>
                <w:szCs w:val="16"/>
              </w:rPr>
              <w:t>150.9(d)</w:t>
            </w:r>
          </w:p>
        </w:tc>
        <w:tc>
          <w:tcPr>
            <w:tcW w:w="555" w:type="pct"/>
            <w:vAlign w:val="center"/>
          </w:tcPr>
          <w:p w:rsidRPr="00852157" w:rsidR="00F17949" w:rsidP="00BD1BBB" w:rsidRDefault="00293259" w14:paraId="53163E8A"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517" w:type="pct"/>
            <w:vAlign w:val="center"/>
          </w:tcPr>
          <w:p w:rsidRPr="00852157" w:rsidR="00F17949" w:rsidP="00BD1BBB" w:rsidRDefault="00293259" w14:paraId="176A0595"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1</w:t>
            </w:r>
          </w:p>
        </w:tc>
        <w:tc>
          <w:tcPr>
            <w:tcW w:w="516" w:type="pct"/>
            <w:vAlign w:val="center"/>
          </w:tcPr>
          <w:p w:rsidRPr="00852157" w:rsidR="00F17949" w:rsidP="00BD1BBB" w:rsidRDefault="00293259" w14:paraId="5964E99D"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5</w:t>
            </w:r>
          </w:p>
        </w:tc>
        <w:tc>
          <w:tcPr>
            <w:tcW w:w="516" w:type="pct"/>
            <w:vAlign w:val="center"/>
          </w:tcPr>
          <w:p w:rsidRPr="00852157" w:rsidR="00F17949" w:rsidP="00BD1BBB" w:rsidRDefault="00293259" w14:paraId="0F6306A0"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5</w:t>
            </w:r>
          </w:p>
        </w:tc>
        <w:tc>
          <w:tcPr>
            <w:tcW w:w="437" w:type="pct"/>
            <w:vAlign w:val="center"/>
          </w:tcPr>
          <w:p w:rsidRPr="00852157" w:rsidR="00F17949" w:rsidP="00BD1BBB" w:rsidRDefault="00FC4A17" w14:paraId="6501F2C0"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77</w:t>
            </w:r>
          </w:p>
        </w:tc>
        <w:tc>
          <w:tcPr>
            <w:tcW w:w="516" w:type="pct"/>
            <w:vAlign w:val="center"/>
          </w:tcPr>
          <w:p w:rsidRPr="00852157" w:rsidR="00F17949" w:rsidP="00BD1BBB" w:rsidRDefault="00FC4A17" w14:paraId="16CAACA9" w14:textId="77777777">
            <w:pPr>
              <w:jc w:val="center"/>
              <w:rPr>
                <w:rFonts w:ascii="Arial" w:hAnsi="Arial" w:cs="Arial"/>
                <w:sz w:val="16"/>
                <w:szCs w:val="16"/>
              </w:rPr>
            </w:pPr>
            <w:r w:rsidRPr="00852157">
              <w:rPr>
                <w:rFonts w:ascii="Arial" w:hAnsi="Arial" w:cs="Arial"/>
                <w:sz w:val="16"/>
                <w:szCs w:val="16"/>
              </w:rPr>
              <w:t>385</w:t>
            </w:r>
          </w:p>
        </w:tc>
        <w:tc>
          <w:tcPr>
            <w:tcW w:w="477" w:type="pct"/>
            <w:vAlign w:val="center"/>
          </w:tcPr>
          <w:p w:rsidRPr="00852157" w:rsidR="00F17949" w:rsidP="00BD1BBB" w:rsidRDefault="00293259" w14:paraId="784E7B00"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6</w:t>
            </w:r>
          </w:p>
        </w:tc>
        <w:tc>
          <w:tcPr>
            <w:tcW w:w="394" w:type="pct"/>
            <w:vAlign w:val="center"/>
          </w:tcPr>
          <w:p w:rsidRPr="00852157" w:rsidR="00F17949" w:rsidP="00BD1BBB" w:rsidRDefault="00293259" w14:paraId="75D1A443" w14:textId="77777777">
            <w:pPr>
              <w:tabs>
                <w:tab w:val="left" w:pos="-720"/>
                <w:tab w:val="left" w:pos="0"/>
              </w:tabs>
              <w:suppressAutoHyphens/>
              <w:jc w:val="center"/>
              <w:rPr>
                <w:rFonts w:ascii="Arial" w:hAnsi="Arial" w:eastAsia="Times New Roman" w:cs="Arial"/>
                <w:sz w:val="16"/>
                <w:szCs w:val="16"/>
              </w:rPr>
            </w:pPr>
            <w:r w:rsidRPr="00852157">
              <w:rPr>
                <w:rFonts w:ascii="Arial" w:hAnsi="Arial" w:eastAsia="Times New Roman" w:cs="Arial"/>
                <w:sz w:val="16"/>
                <w:szCs w:val="16"/>
              </w:rPr>
              <w:t>30</w:t>
            </w:r>
          </w:p>
        </w:tc>
        <w:tc>
          <w:tcPr>
            <w:tcW w:w="516" w:type="pct"/>
            <w:vAlign w:val="center"/>
          </w:tcPr>
          <w:p w:rsidRPr="00852157" w:rsidR="00F17949" w:rsidP="00BD1BBB" w:rsidRDefault="005D092C" w14:paraId="0697828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w:t>
            </w:r>
            <w:r w:rsidRPr="00852157" w:rsidR="005F1EF0">
              <w:rPr>
                <w:rFonts w:ascii="Arial" w:hAnsi="Arial" w:eastAsia="Times New Roman" w:cs="Arial"/>
                <w:b/>
                <w:sz w:val="16"/>
                <w:szCs w:val="16"/>
              </w:rPr>
              <w:t>2,310</w:t>
            </w:r>
          </w:p>
        </w:tc>
      </w:tr>
      <w:tr w:rsidRPr="008F6D4A" w:rsidR="0067738F" w:rsidTr="00BD1BBB" w14:paraId="198D59D0" w14:textId="77777777">
        <w:trPr>
          <w:trHeight w:val="1222"/>
        </w:trPr>
        <w:tc>
          <w:tcPr>
            <w:tcW w:w="556" w:type="pct"/>
          </w:tcPr>
          <w:p w:rsidRPr="008C6F21" w:rsidR="008C6F21" w:rsidP="0085251F" w:rsidRDefault="008C6F21" w14:paraId="26DDD857" w14:textId="77777777">
            <w:pPr>
              <w:tabs>
                <w:tab w:val="left" w:pos="-720"/>
                <w:tab w:val="left" w:pos="0"/>
              </w:tabs>
              <w:suppressAutoHyphens/>
              <w:jc w:val="center"/>
              <w:rPr>
                <w:rFonts w:ascii="Arial" w:hAnsi="Arial" w:cs="Arial"/>
                <w:sz w:val="16"/>
                <w:szCs w:val="16"/>
              </w:rPr>
            </w:pPr>
          </w:p>
          <w:p w:rsidRPr="008C6F21" w:rsidR="008C6F21" w:rsidP="0085251F" w:rsidRDefault="008C6F21" w14:paraId="3EF52090" w14:textId="77777777">
            <w:pPr>
              <w:tabs>
                <w:tab w:val="left" w:pos="-720"/>
                <w:tab w:val="left" w:pos="0"/>
              </w:tabs>
              <w:suppressAutoHyphens/>
              <w:jc w:val="center"/>
              <w:rPr>
                <w:rFonts w:ascii="Arial" w:hAnsi="Arial" w:cs="Arial"/>
                <w:sz w:val="16"/>
                <w:szCs w:val="16"/>
              </w:rPr>
            </w:pPr>
          </w:p>
          <w:p w:rsidRPr="008C6F21" w:rsidR="008C6F21" w:rsidP="0085251F" w:rsidRDefault="008C6F21" w14:paraId="5835B467" w14:textId="77777777">
            <w:pPr>
              <w:tabs>
                <w:tab w:val="left" w:pos="-720"/>
                <w:tab w:val="left" w:pos="0"/>
              </w:tabs>
              <w:suppressAutoHyphens/>
              <w:jc w:val="center"/>
              <w:rPr>
                <w:rFonts w:ascii="Arial" w:hAnsi="Arial" w:cs="Arial"/>
                <w:sz w:val="16"/>
                <w:szCs w:val="16"/>
              </w:rPr>
            </w:pPr>
          </w:p>
          <w:p w:rsidRPr="008C6F21" w:rsidR="0067738F" w:rsidP="0085251F" w:rsidRDefault="00F17949" w14:paraId="58C5D3C6" w14:textId="5CEF023D">
            <w:pPr>
              <w:tabs>
                <w:tab w:val="left" w:pos="-720"/>
                <w:tab w:val="left" w:pos="0"/>
              </w:tabs>
              <w:suppressAutoHyphens/>
              <w:jc w:val="center"/>
              <w:rPr>
                <w:rFonts w:ascii="Arial" w:hAnsi="Arial" w:eastAsia="Times New Roman" w:cs="Arial"/>
                <w:b/>
                <w:sz w:val="16"/>
                <w:szCs w:val="16"/>
              </w:rPr>
            </w:pPr>
            <w:r w:rsidRPr="008C6F21">
              <w:rPr>
                <w:rFonts w:ascii="Arial" w:hAnsi="Arial" w:cs="Arial"/>
                <w:sz w:val="16"/>
                <w:szCs w:val="16"/>
              </w:rPr>
              <w:t>150.9(e)</w:t>
            </w:r>
          </w:p>
        </w:tc>
        <w:tc>
          <w:tcPr>
            <w:tcW w:w="555" w:type="pct"/>
            <w:vAlign w:val="center"/>
          </w:tcPr>
          <w:p w:rsidRPr="008C6F21" w:rsidR="0067738F" w:rsidP="00BD1BBB" w:rsidRDefault="00F17949" w14:paraId="385A2A5F"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517" w:type="pct"/>
            <w:vAlign w:val="center"/>
          </w:tcPr>
          <w:p w:rsidRPr="008C6F21" w:rsidR="0067738F" w:rsidP="00BD1BBB" w:rsidRDefault="00C05517" w14:paraId="76185760"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w:t>
            </w:r>
          </w:p>
        </w:tc>
        <w:tc>
          <w:tcPr>
            <w:tcW w:w="516" w:type="pct"/>
            <w:vAlign w:val="center"/>
          </w:tcPr>
          <w:p w:rsidRPr="008C6F21" w:rsidR="0067738F" w:rsidP="00BD1BBB" w:rsidRDefault="00C05517" w14:paraId="1EDCE80D"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.5</w:t>
            </w:r>
          </w:p>
        </w:tc>
        <w:tc>
          <w:tcPr>
            <w:tcW w:w="516" w:type="pct"/>
            <w:vAlign w:val="center"/>
          </w:tcPr>
          <w:p w:rsidRPr="008C6F21" w:rsidR="0067738F" w:rsidP="00BD1BBB" w:rsidRDefault="00C05517" w14:paraId="1BBEFD0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437" w:type="pct"/>
            <w:vAlign w:val="center"/>
          </w:tcPr>
          <w:p w:rsidRPr="008C6F21" w:rsidR="0067738F" w:rsidP="00BD1BBB" w:rsidRDefault="00FC4A17" w14:paraId="08FE129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516" w:type="pct"/>
            <w:vAlign w:val="center"/>
          </w:tcPr>
          <w:p w:rsidRPr="008C6F21" w:rsidR="0067738F" w:rsidP="00BD1BBB" w:rsidRDefault="00FC4A17" w14:paraId="161C2045" w14:textId="77777777">
            <w:pPr>
              <w:jc w:val="center"/>
              <w:rPr>
                <w:rFonts w:ascii="Arial" w:hAnsi="Arial" w:cs="Arial"/>
                <w:sz w:val="16"/>
                <w:szCs w:val="16"/>
              </w:rPr>
            </w:pPr>
            <w:r w:rsidRPr="008C6F21">
              <w:rPr>
                <w:rFonts w:ascii="Arial" w:hAnsi="Arial" w:cs="Arial"/>
                <w:sz w:val="16"/>
                <w:szCs w:val="16"/>
              </w:rPr>
              <w:t>77</w:t>
            </w:r>
          </w:p>
        </w:tc>
        <w:tc>
          <w:tcPr>
            <w:tcW w:w="477" w:type="pct"/>
            <w:vAlign w:val="center"/>
          </w:tcPr>
          <w:p w:rsidRPr="008C6F21" w:rsidR="0067738F" w:rsidP="00BD1BBB" w:rsidRDefault="000511D5" w14:paraId="500EC2B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12</w:t>
            </w:r>
          </w:p>
        </w:tc>
        <w:tc>
          <w:tcPr>
            <w:tcW w:w="394" w:type="pct"/>
            <w:vAlign w:val="center"/>
          </w:tcPr>
          <w:p w:rsidRPr="008C6F21" w:rsidR="0067738F" w:rsidP="00BD1BBB" w:rsidRDefault="008C1F62" w14:paraId="6151DE65"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516" w:type="pct"/>
            <w:vAlign w:val="center"/>
          </w:tcPr>
          <w:p w:rsidRPr="008C6F21" w:rsidR="0067738F" w:rsidP="00BD1BBB" w:rsidRDefault="005D092C" w14:paraId="1CCDADB2" w14:textId="77777777">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w:t>
            </w:r>
            <w:r w:rsidRPr="008C6F21" w:rsidR="005F1EF0">
              <w:rPr>
                <w:rFonts w:ascii="Arial" w:hAnsi="Arial" w:eastAsia="Times New Roman" w:cs="Arial"/>
                <w:b/>
                <w:sz w:val="16"/>
                <w:szCs w:val="16"/>
              </w:rPr>
              <w:t>462</w:t>
            </w:r>
          </w:p>
        </w:tc>
      </w:tr>
      <w:tr w:rsidRPr="008F6D4A" w:rsidR="00CB2F6A" w:rsidTr="00052496" w14:paraId="14F2FFE3" w14:textId="77777777">
        <w:trPr>
          <w:trHeight w:val="1222"/>
        </w:trPr>
        <w:tc>
          <w:tcPr>
            <w:tcW w:w="556" w:type="pct"/>
            <w:vAlign w:val="center"/>
          </w:tcPr>
          <w:p w:rsidRPr="008C6F21" w:rsidR="00CB2F6A" w:rsidP="00052496" w:rsidRDefault="00CB2F6A" w14:paraId="5EBB335D" w14:textId="77777777">
            <w:pPr>
              <w:tabs>
                <w:tab w:val="left" w:pos="-720"/>
                <w:tab w:val="left" w:pos="0"/>
              </w:tabs>
              <w:suppressAutoHyphens/>
              <w:jc w:val="center"/>
              <w:rPr>
                <w:rFonts w:ascii="Arial" w:hAnsi="Arial" w:cs="Arial"/>
                <w:sz w:val="16"/>
                <w:szCs w:val="16"/>
              </w:rPr>
            </w:pPr>
            <w:r w:rsidRPr="008C6F21">
              <w:rPr>
                <w:rFonts w:ascii="Arial" w:hAnsi="Arial" w:cs="Arial"/>
                <w:sz w:val="16"/>
                <w:szCs w:val="16"/>
              </w:rPr>
              <w:t>150.9(e)</w:t>
            </w:r>
            <w:r w:rsidRPr="008C6F21">
              <w:rPr>
                <w:rStyle w:val="FootnoteReference"/>
                <w:rFonts w:ascii="Arial" w:hAnsi="Arial" w:cs="Arial"/>
                <w:sz w:val="16"/>
                <w:szCs w:val="16"/>
              </w:rPr>
              <w:footnoteReference w:id="50"/>
            </w:r>
          </w:p>
        </w:tc>
        <w:tc>
          <w:tcPr>
            <w:tcW w:w="555" w:type="pct"/>
            <w:vAlign w:val="center"/>
          </w:tcPr>
          <w:p w:rsidRPr="008C6F21" w:rsidR="00CB2F6A" w:rsidP="00BD1BBB" w:rsidRDefault="00CB2F6A" w14:paraId="4EAE5678"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517" w:type="pct"/>
            <w:vAlign w:val="center"/>
          </w:tcPr>
          <w:p w:rsidRPr="008C6F21" w:rsidR="00CB2F6A" w:rsidP="00BD1BBB" w:rsidRDefault="00CB2F6A" w14:paraId="113811B6"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516" w:type="pct"/>
            <w:vAlign w:val="center"/>
          </w:tcPr>
          <w:p w:rsidRPr="008C6F21" w:rsidR="00CB2F6A" w:rsidP="00BD1BBB" w:rsidRDefault="00CB2F6A" w14:paraId="2F0C3DF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.0833</w:t>
            </w:r>
          </w:p>
        </w:tc>
        <w:tc>
          <w:tcPr>
            <w:tcW w:w="516" w:type="pct"/>
            <w:vAlign w:val="center"/>
          </w:tcPr>
          <w:p w:rsidRPr="008C6F21" w:rsidR="00CB2F6A" w:rsidP="00BD1BBB" w:rsidRDefault="00CB2F6A" w14:paraId="03B23E8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.0833</w:t>
            </w:r>
          </w:p>
        </w:tc>
        <w:tc>
          <w:tcPr>
            <w:tcW w:w="437" w:type="pct"/>
            <w:vAlign w:val="center"/>
          </w:tcPr>
          <w:p w:rsidRPr="008C6F21" w:rsidR="00CB2F6A" w:rsidP="00BD1BBB" w:rsidRDefault="00CB2F6A" w14:paraId="6816201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516" w:type="pct"/>
            <w:vAlign w:val="center"/>
          </w:tcPr>
          <w:p w:rsidRPr="008C6F21" w:rsidR="00CB2F6A" w:rsidP="00BD1BBB" w:rsidRDefault="00D54684" w14:paraId="33DA7BD5" w14:textId="77777777">
            <w:pPr>
              <w:jc w:val="center"/>
              <w:rPr>
                <w:rFonts w:ascii="Arial" w:hAnsi="Arial" w:cs="Arial"/>
                <w:sz w:val="16"/>
                <w:szCs w:val="16"/>
              </w:rPr>
            </w:pPr>
            <w:r w:rsidRPr="008C6F21">
              <w:rPr>
                <w:rFonts w:ascii="Arial" w:hAnsi="Arial" w:cs="Arial"/>
                <w:sz w:val="16"/>
                <w:szCs w:val="16"/>
              </w:rPr>
              <w:t>6.391</w:t>
            </w:r>
          </w:p>
        </w:tc>
        <w:tc>
          <w:tcPr>
            <w:tcW w:w="477" w:type="pct"/>
            <w:vAlign w:val="center"/>
          </w:tcPr>
          <w:p w:rsidRPr="008C6F21" w:rsidR="00CB2F6A" w:rsidP="00BD1BBB" w:rsidRDefault="00CB2F6A" w14:paraId="5FCD73E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394" w:type="pct"/>
            <w:vAlign w:val="center"/>
          </w:tcPr>
          <w:p w:rsidRPr="008C6F21" w:rsidR="00CB2F6A" w:rsidP="00BD1BBB" w:rsidRDefault="00CB2F6A" w14:paraId="67E4DA88"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.498</w:t>
            </w:r>
          </w:p>
        </w:tc>
        <w:tc>
          <w:tcPr>
            <w:tcW w:w="516" w:type="pct"/>
            <w:vAlign w:val="center"/>
          </w:tcPr>
          <w:p w:rsidRPr="008C6F21" w:rsidR="00CB2F6A" w:rsidP="00BD1BBB" w:rsidRDefault="00D54684" w14:paraId="51A07D47" w14:textId="77777777">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$38.34</w:t>
            </w:r>
          </w:p>
        </w:tc>
      </w:tr>
      <w:tr w:rsidRPr="008F6D4A" w:rsidR="00AC2DC6" w:rsidTr="00052496" w14:paraId="079D3A8F" w14:textId="77777777">
        <w:trPr>
          <w:trHeight w:val="1222"/>
        </w:trPr>
        <w:tc>
          <w:tcPr>
            <w:tcW w:w="556" w:type="pct"/>
            <w:vAlign w:val="center"/>
          </w:tcPr>
          <w:p w:rsidRPr="008C6F21" w:rsidR="00AC2DC6" w:rsidP="00052496" w:rsidRDefault="00AC2DC6" w14:paraId="494F5AF1" w14:textId="2C2DF876">
            <w:pPr>
              <w:tabs>
                <w:tab w:val="left" w:pos="-720"/>
                <w:tab w:val="left" w:pos="0"/>
              </w:tabs>
              <w:suppressAutoHyphens/>
              <w:jc w:val="center"/>
              <w:rPr>
                <w:rFonts w:ascii="Arial" w:hAnsi="Arial" w:cs="Arial"/>
                <w:sz w:val="16"/>
                <w:szCs w:val="16"/>
              </w:rPr>
            </w:pPr>
            <w:r w:rsidRPr="008C6F21">
              <w:rPr>
                <w:rFonts w:ascii="Arial" w:hAnsi="Arial" w:cs="Arial"/>
                <w:sz w:val="16"/>
                <w:szCs w:val="16"/>
              </w:rPr>
              <w:t>150.9(</w:t>
            </w:r>
            <w:r w:rsidRPr="008C6F21" w:rsidR="00FC2BB1">
              <w:rPr>
                <w:rFonts w:ascii="Arial" w:hAnsi="Arial" w:cs="Arial"/>
                <w:sz w:val="16"/>
                <w:szCs w:val="16"/>
              </w:rPr>
              <w:t>d</w:t>
            </w:r>
            <w:r w:rsidRPr="008C6F21">
              <w:rPr>
                <w:rFonts w:ascii="Arial" w:hAnsi="Arial" w:cs="Arial"/>
                <w:sz w:val="16"/>
                <w:szCs w:val="16"/>
              </w:rPr>
              <w:t>)</w:t>
            </w:r>
            <w:r w:rsidRPr="008C6F21" w:rsidR="00FC2BB1">
              <w:rPr>
                <w:rFonts w:ascii="Arial" w:hAnsi="Arial" w:cs="Arial"/>
                <w:sz w:val="16"/>
                <w:szCs w:val="16"/>
              </w:rPr>
              <w:t>(2)</w:t>
            </w:r>
            <w:r w:rsidRPr="008C6F21" w:rsidR="00FC2BB1">
              <w:rPr>
                <w:rStyle w:val="FootnoteReference"/>
                <w:rFonts w:ascii="Arial" w:hAnsi="Arial" w:cs="Arial"/>
                <w:sz w:val="16"/>
                <w:szCs w:val="16"/>
              </w:rPr>
              <w:footnoteReference w:id="51"/>
            </w:r>
          </w:p>
        </w:tc>
        <w:tc>
          <w:tcPr>
            <w:tcW w:w="555" w:type="pct"/>
            <w:vAlign w:val="center"/>
          </w:tcPr>
          <w:p w:rsidRPr="008C6F21" w:rsidR="00AC2DC6" w:rsidP="00BD1BBB" w:rsidRDefault="00AC2DC6" w14:paraId="0460A13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w:t>
            </w:r>
          </w:p>
        </w:tc>
        <w:tc>
          <w:tcPr>
            <w:tcW w:w="517" w:type="pct"/>
            <w:vAlign w:val="center"/>
          </w:tcPr>
          <w:p w:rsidRPr="008C6F21" w:rsidR="00AC2DC6" w:rsidP="00BD1BBB" w:rsidRDefault="00AC2DC6" w14:paraId="0A15E11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516" w:type="pct"/>
            <w:vAlign w:val="center"/>
          </w:tcPr>
          <w:p w:rsidRPr="008C6F21" w:rsidR="00AC2DC6" w:rsidP="00BD1BBB" w:rsidRDefault="00AC2DC6" w14:paraId="04694A50"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8</w:t>
            </w:r>
          </w:p>
        </w:tc>
        <w:tc>
          <w:tcPr>
            <w:tcW w:w="516" w:type="pct"/>
            <w:vAlign w:val="center"/>
          </w:tcPr>
          <w:p w:rsidRPr="008C6F21" w:rsidR="00AC2DC6" w:rsidP="00BD1BBB" w:rsidRDefault="00AC2DC6" w14:paraId="56548473"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8</w:t>
            </w:r>
          </w:p>
        </w:tc>
        <w:tc>
          <w:tcPr>
            <w:tcW w:w="437" w:type="pct"/>
            <w:vAlign w:val="center"/>
          </w:tcPr>
          <w:p w:rsidRPr="008C6F21" w:rsidR="00AC2DC6" w:rsidP="00BD1BBB" w:rsidRDefault="00AC2DC6" w14:paraId="036A221F"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77</w:t>
            </w:r>
          </w:p>
        </w:tc>
        <w:tc>
          <w:tcPr>
            <w:tcW w:w="516" w:type="pct"/>
            <w:vAlign w:val="center"/>
          </w:tcPr>
          <w:p w:rsidRPr="008C6F21" w:rsidR="00AC2DC6" w:rsidP="00BD1BBB" w:rsidRDefault="00AC2DC6" w14:paraId="19ABB9C9" w14:textId="77777777">
            <w:pPr>
              <w:jc w:val="center"/>
              <w:rPr>
                <w:rFonts w:ascii="Arial" w:hAnsi="Arial" w:cs="Arial"/>
                <w:sz w:val="16"/>
                <w:szCs w:val="16"/>
              </w:rPr>
            </w:pPr>
            <w:r w:rsidRPr="008C6F21">
              <w:rPr>
                <w:rFonts w:ascii="Arial" w:hAnsi="Arial" w:cs="Arial"/>
                <w:sz w:val="16"/>
                <w:szCs w:val="16"/>
              </w:rPr>
              <w:t>616</w:t>
            </w:r>
          </w:p>
        </w:tc>
        <w:tc>
          <w:tcPr>
            <w:tcW w:w="477" w:type="pct"/>
            <w:vAlign w:val="center"/>
          </w:tcPr>
          <w:p w:rsidRPr="008C6F21" w:rsidR="00AC2DC6" w:rsidP="00BD1BBB" w:rsidRDefault="00AC2DC6" w14:paraId="6C03022C"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w:t>
            </w:r>
          </w:p>
        </w:tc>
        <w:tc>
          <w:tcPr>
            <w:tcW w:w="394" w:type="pct"/>
            <w:vAlign w:val="center"/>
          </w:tcPr>
          <w:p w:rsidRPr="008C6F21" w:rsidR="00AC2DC6" w:rsidP="00BD1BBB" w:rsidRDefault="00AC2DC6" w14:paraId="4A774DF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16</w:t>
            </w:r>
          </w:p>
        </w:tc>
        <w:tc>
          <w:tcPr>
            <w:tcW w:w="516" w:type="pct"/>
            <w:vAlign w:val="center"/>
          </w:tcPr>
          <w:p w:rsidRPr="008C6F21" w:rsidR="00AC2DC6" w:rsidP="00BD1BBB" w:rsidRDefault="00AC2DC6" w14:paraId="5DF7D46D" w14:textId="77777777">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1,232</w:t>
            </w:r>
          </w:p>
        </w:tc>
      </w:tr>
      <w:tr w:rsidRPr="008F6D4A" w:rsidR="00052496" w:rsidTr="00052496" w14:paraId="67D31A27" w14:textId="77777777">
        <w:trPr>
          <w:trHeight w:val="1222"/>
        </w:trPr>
        <w:tc>
          <w:tcPr>
            <w:tcW w:w="556" w:type="pct"/>
            <w:vAlign w:val="center"/>
          </w:tcPr>
          <w:p w:rsidRPr="008C6F21" w:rsidR="00052496" w:rsidP="00052496" w:rsidRDefault="00052496" w14:paraId="35DC3513" w14:textId="77777777">
            <w:pPr>
              <w:tabs>
                <w:tab w:val="left" w:pos="-720"/>
                <w:tab w:val="left" w:pos="0"/>
              </w:tabs>
              <w:suppressAutoHyphens/>
              <w:jc w:val="center"/>
              <w:rPr>
                <w:rFonts w:ascii="Arial" w:hAnsi="Arial" w:cs="Arial"/>
                <w:b/>
                <w:sz w:val="16"/>
                <w:szCs w:val="16"/>
              </w:rPr>
            </w:pPr>
            <w:r w:rsidRPr="008C6F21">
              <w:rPr>
                <w:rFonts w:ascii="Arial" w:hAnsi="Arial" w:cs="Arial"/>
                <w:b/>
                <w:sz w:val="16"/>
                <w:szCs w:val="16"/>
              </w:rPr>
              <w:t>Total:</w:t>
            </w:r>
          </w:p>
        </w:tc>
        <w:tc>
          <w:tcPr>
            <w:tcW w:w="555" w:type="pct"/>
            <w:vAlign w:val="center"/>
          </w:tcPr>
          <w:p w:rsidRPr="008C6F21" w:rsidR="008C6F21" w:rsidP="00BD1BBB" w:rsidRDefault="008C6F21" w14:paraId="5A7B95A4" w14:textId="77777777">
            <w:pPr>
              <w:tabs>
                <w:tab w:val="left" w:pos="-720"/>
                <w:tab w:val="left" w:pos="0"/>
              </w:tabs>
              <w:suppressAutoHyphens/>
              <w:jc w:val="center"/>
              <w:rPr>
                <w:rFonts w:ascii="Arial" w:hAnsi="Arial" w:eastAsia="Times New Roman" w:cs="Arial"/>
                <w:sz w:val="16"/>
                <w:szCs w:val="16"/>
              </w:rPr>
            </w:pPr>
          </w:p>
          <w:p w:rsidRPr="008C6F21" w:rsidR="009F6366" w:rsidP="00BD1BBB" w:rsidRDefault="009F6366" w14:paraId="5BECEB6C" w14:textId="5D09C29B">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870</w:t>
            </w:r>
          </w:p>
          <w:p w:rsidRPr="008C6F21" w:rsidR="00052496" w:rsidP="00BD1BBB" w:rsidRDefault="00052496" w14:paraId="2B10800D" w14:textId="21DC1CC1">
            <w:pPr>
              <w:tabs>
                <w:tab w:val="left" w:pos="-720"/>
                <w:tab w:val="left" w:pos="0"/>
              </w:tabs>
              <w:suppressAutoHyphens/>
              <w:jc w:val="center"/>
              <w:rPr>
                <w:rFonts w:ascii="Arial" w:hAnsi="Arial" w:eastAsia="Times New Roman" w:cs="Arial"/>
                <w:sz w:val="16"/>
                <w:szCs w:val="16"/>
              </w:rPr>
            </w:pPr>
          </w:p>
        </w:tc>
        <w:tc>
          <w:tcPr>
            <w:tcW w:w="517" w:type="pct"/>
            <w:vAlign w:val="center"/>
          </w:tcPr>
          <w:p w:rsidRPr="008C6F21" w:rsidR="00052496" w:rsidP="00BD1BBB" w:rsidRDefault="009F6366" w14:paraId="330D4931" w14:textId="1447CAB1">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20</w:t>
            </w:r>
          </w:p>
        </w:tc>
        <w:tc>
          <w:tcPr>
            <w:tcW w:w="516" w:type="pct"/>
            <w:vAlign w:val="center"/>
          </w:tcPr>
          <w:p w:rsidRPr="008C6F21" w:rsidR="00052496" w:rsidP="00BD1BBB" w:rsidRDefault="008D2F83" w14:paraId="1FBDA7CE"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15</w:t>
            </w:r>
            <w:r w:rsidRPr="008C6F21" w:rsidR="009F6366">
              <w:rPr>
                <w:rFonts w:ascii="Arial" w:hAnsi="Arial" w:eastAsia="Times New Roman" w:cs="Arial"/>
                <w:sz w:val="16"/>
                <w:szCs w:val="16"/>
              </w:rPr>
              <w:t>.5</w:t>
            </w:r>
          </w:p>
        </w:tc>
        <w:tc>
          <w:tcPr>
            <w:tcW w:w="516" w:type="pct"/>
            <w:vAlign w:val="center"/>
          </w:tcPr>
          <w:p w:rsidRPr="008C6F21" w:rsidR="00052496" w:rsidP="008D2F83" w:rsidRDefault="009F6366" w14:paraId="49DB5CDB" w14:textId="70DDEABE">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29</w:t>
            </w:r>
          </w:p>
        </w:tc>
        <w:tc>
          <w:tcPr>
            <w:tcW w:w="437" w:type="pct"/>
            <w:vAlign w:val="center"/>
          </w:tcPr>
          <w:p w:rsidRPr="008C6F21" w:rsidR="00052496" w:rsidP="008D2F83" w:rsidRDefault="00037B3E" w14:paraId="7F862149"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3</w:t>
            </w:r>
            <w:r w:rsidRPr="008C6F21" w:rsidR="008D2F83">
              <w:rPr>
                <w:rFonts w:ascii="Arial" w:hAnsi="Arial" w:eastAsia="Times New Roman" w:cs="Arial"/>
                <w:sz w:val="16"/>
                <w:szCs w:val="16"/>
              </w:rPr>
              <w:t>85</w:t>
            </w:r>
          </w:p>
        </w:tc>
        <w:tc>
          <w:tcPr>
            <w:tcW w:w="516" w:type="pct"/>
            <w:vAlign w:val="center"/>
          </w:tcPr>
          <w:p w:rsidRPr="008C6F21" w:rsidR="008C6F21" w:rsidP="009F6366" w:rsidRDefault="008C6F21" w14:paraId="78A493C6" w14:textId="77777777">
            <w:pPr>
              <w:jc w:val="center"/>
              <w:rPr>
                <w:rFonts w:ascii="Arial" w:hAnsi="Arial" w:cs="Arial"/>
                <w:sz w:val="16"/>
                <w:szCs w:val="16"/>
              </w:rPr>
            </w:pPr>
          </w:p>
          <w:p w:rsidRPr="008C6F21" w:rsidR="009F6366" w:rsidP="009F6366" w:rsidRDefault="009F6366" w14:paraId="57B7E4A8" w14:textId="52288C8B">
            <w:pPr>
              <w:jc w:val="center"/>
              <w:rPr>
                <w:rFonts w:ascii="Arial" w:hAnsi="Arial" w:cs="Arial"/>
                <w:sz w:val="16"/>
                <w:szCs w:val="16"/>
              </w:rPr>
            </w:pPr>
            <w:r w:rsidRPr="008C6F21">
              <w:rPr>
                <w:rFonts w:ascii="Arial" w:hAnsi="Arial" w:cs="Arial"/>
                <w:sz w:val="16"/>
                <w:szCs w:val="16"/>
              </w:rPr>
              <w:t>2,239</w:t>
            </w:r>
          </w:p>
          <w:p w:rsidRPr="008C6F21" w:rsidR="00052496" w:rsidP="009F6366" w:rsidRDefault="00052496" w14:paraId="44CBD3AD" w14:textId="28B12D8D">
            <w:pPr>
              <w:jc w:val="center"/>
              <w:rPr>
                <w:rFonts w:ascii="Arial" w:hAnsi="Arial" w:cs="Arial"/>
                <w:sz w:val="16"/>
                <w:szCs w:val="16"/>
              </w:rPr>
            </w:pPr>
          </w:p>
        </w:tc>
        <w:tc>
          <w:tcPr>
            <w:tcW w:w="477" w:type="pct"/>
            <w:vAlign w:val="center"/>
          </w:tcPr>
          <w:p w:rsidRPr="008C6F21" w:rsidR="008C6F21" w:rsidP="00BD1BBB" w:rsidRDefault="008C6F21" w14:paraId="33F8C69F" w14:textId="77777777">
            <w:pPr>
              <w:tabs>
                <w:tab w:val="left" w:pos="-720"/>
                <w:tab w:val="left" w:pos="0"/>
              </w:tabs>
              <w:suppressAutoHyphens/>
              <w:jc w:val="center"/>
              <w:rPr>
                <w:rFonts w:ascii="Arial" w:hAnsi="Arial" w:eastAsia="Times New Roman" w:cs="Arial"/>
                <w:sz w:val="16"/>
                <w:szCs w:val="16"/>
              </w:rPr>
            </w:pPr>
          </w:p>
          <w:p w:rsidRPr="008C6F21" w:rsidR="009F6366" w:rsidP="00BD1BBB" w:rsidRDefault="009F6366" w14:paraId="5A847B19" w14:textId="2B68D2FA">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6,401</w:t>
            </w:r>
            <w:r w:rsidR="00A559AB">
              <w:rPr>
                <w:rStyle w:val="FootnoteReference"/>
                <w:rFonts w:ascii="Arial" w:hAnsi="Arial" w:eastAsia="Times New Roman" w:cs="Arial"/>
                <w:sz w:val="16"/>
                <w:szCs w:val="16"/>
              </w:rPr>
              <w:footnoteReference w:id="52"/>
            </w:r>
          </w:p>
          <w:p w:rsidRPr="008C6F21" w:rsidR="00052496" w:rsidP="00BD1BBB" w:rsidRDefault="00052496" w14:paraId="27735376" w14:textId="302D30EC">
            <w:pPr>
              <w:tabs>
                <w:tab w:val="left" w:pos="-720"/>
                <w:tab w:val="left" w:pos="0"/>
              </w:tabs>
              <w:suppressAutoHyphens/>
              <w:jc w:val="center"/>
              <w:rPr>
                <w:rFonts w:ascii="Arial" w:hAnsi="Arial" w:eastAsia="Times New Roman" w:cs="Arial"/>
                <w:sz w:val="16"/>
                <w:szCs w:val="16"/>
              </w:rPr>
            </w:pPr>
          </w:p>
        </w:tc>
        <w:tc>
          <w:tcPr>
            <w:tcW w:w="394" w:type="pct"/>
            <w:vAlign w:val="center"/>
          </w:tcPr>
          <w:p w:rsidRPr="008C6F21" w:rsidR="008C6F21" w:rsidP="00BD1BBB" w:rsidRDefault="008C6F21" w14:paraId="1B3BD968" w14:textId="77777777">
            <w:pPr>
              <w:tabs>
                <w:tab w:val="left" w:pos="-720"/>
                <w:tab w:val="left" w:pos="0"/>
              </w:tabs>
              <w:suppressAutoHyphens/>
              <w:jc w:val="center"/>
              <w:rPr>
                <w:rFonts w:ascii="Arial" w:hAnsi="Arial" w:eastAsia="Times New Roman" w:cs="Arial"/>
                <w:sz w:val="16"/>
                <w:szCs w:val="16"/>
              </w:rPr>
            </w:pPr>
          </w:p>
          <w:p w:rsidRPr="008C6F21" w:rsidR="009F6366" w:rsidP="00BD1BBB" w:rsidRDefault="009F6366" w14:paraId="0E55A67E" w14:textId="69E898D3">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6,427</w:t>
            </w:r>
          </w:p>
          <w:p w:rsidRPr="008C6F21" w:rsidR="00052496" w:rsidP="00BD1BBB" w:rsidRDefault="00052496" w14:paraId="06E0F456" w14:textId="50BA9823">
            <w:pPr>
              <w:tabs>
                <w:tab w:val="left" w:pos="-720"/>
                <w:tab w:val="left" w:pos="0"/>
              </w:tabs>
              <w:suppressAutoHyphens/>
              <w:jc w:val="center"/>
              <w:rPr>
                <w:rFonts w:ascii="Arial" w:hAnsi="Arial" w:eastAsia="Times New Roman" w:cs="Arial"/>
                <w:sz w:val="16"/>
                <w:szCs w:val="16"/>
              </w:rPr>
            </w:pPr>
          </w:p>
        </w:tc>
        <w:tc>
          <w:tcPr>
            <w:tcW w:w="516" w:type="pct"/>
            <w:vAlign w:val="center"/>
          </w:tcPr>
          <w:p w:rsidRPr="008C6F21" w:rsidR="008C6F21" w:rsidP="001861E2" w:rsidRDefault="008C6F21" w14:paraId="1F2EFE1C" w14:textId="77777777">
            <w:pPr>
              <w:tabs>
                <w:tab w:val="left" w:pos="-720"/>
                <w:tab w:val="left" w:pos="0"/>
              </w:tabs>
              <w:suppressAutoHyphens/>
              <w:jc w:val="center"/>
              <w:rPr>
                <w:rFonts w:ascii="Arial" w:hAnsi="Arial" w:eastAsia="Times New Roman" w:cs="Arial"/>
                <w:b/>
                <w:sz w:val="16"/>
                <w:szCs w:val="16"/>
              </w:rPr>
            </w:pPr>
          </w:p>
          <w:p w:rsidRPr="008C6F21" w:rsidR="009F6366" w:rsidP="001861E2" w:rsidRDefault="00052496" w14:paraId="7F0A426F" w14:textId="62101CD5">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w:t>
            </w:r>
            <w:r w:rsidRPr="008C6F21" w:rsidR="009F6366">
              <w:rPr>
                <w:rFonts w:ascii="Arial" w:hAnsi="Arial" w:eastAsia="Times New Roman" w:cs="Arial"/>
                <w:b/>
                <w:sz w:val="16"/>
                <w:szCs w:val="16"/>
              </w:rPr>
              <w:t>494,917</w:t>
            </w:r>
          </w:p>
          <w:p w:rsidRPr="008C6F21" w:rsidR="00052496" w:rsidP="001861E2" w:rsidRDefault="00052496" w14:paraId="47A38932" w14:textId="216B5EB8">
            <w:pPr>
              <w:tabs>
                <w:tab w:val="left" w:pos="-720"/>
                <w:tab w:val="left" w:pos="0"/>
              </w:tabs>
              <w:suppressAutoHyphens/>
              <w:jc w:val="center"/>
              <w:rPr>
                <w:rFonts w:ascii="Arial" w:hAnsi="Arial" w:eastAsia="Times New Roman" w:cs="Arial"/>
                <w:b/>
                <w:sz w:val="16"/>
                <w:szCs w:val="16"/>
              </w:rPr>
            </w:pPr>
          </w:p>
        </w:tc>
      </w:tr>
    </w:tbl>
    <w:p w:rsidR="005D0486" w:rsidP="005F1EF0" w:rsidRDefault="005D0486" w14:paraId="289F45F4" w14:textId="77777777">
      <w:pPr>
        <w:jc w:val="center"/>
        <w:rPr>
          <w:rFonts w:eastAsia="Times New Roman" w:cs="Times New Roman"/>
          <w:b/>
          <w:szCs w:val="24"/>
        </w:rPr>
      </w:pPr>
    </w:p>
    <w:p w:rsidRPr="00642B6A" w:rsidR="00A2011C" w:rsidP="00A2011C" w:rsidRDefault="005D0486" w14:paraId="014B57D1" w14:textId="77777777">
      <w:pPr>
        <w:keepNext/>
        <w:keepLines/>
        <w:jc w:val="center"/>
        <w:rPr>
          <w:rFonts w:eastAsia="Times New Roman" w:cs="Times New Roman"/>
          <w:b/>
          <w:szCs w:val="24"/>
        </w:rPr>
      </w:pPr>
      <w:r>
        <w:rPr>
          <w:rFonts w:eastAsia="Times New Roman" w:cs="Times New Roman"/>
          <w:b/>
          <w:szCs w:val="24"/>
        </w:rPr>
        <w:br w:type="page"/>
      </w:r>
      <w:r w:rsidRPr="007F3179" w:rsidR="00A2011C">
        <w:rPr>
          <w:rFonts w:eastAsia="Times New Roman" w:cs="Times New Roman"/>
          <w:b/>
          <w:szCs w:val="24"/>
        </w:rPr>
        <w:lastRenderedPageBreak/>
        <w:t>OMB Control Number 3038-</w:t>
      </w:r>
      <w:r w:rsidR="00A2011C">
        <w:rPr>
          <w:rFonts w:eastAsia="Times New Roman" w:cs="Times New Roman"/>
          <w:b/>
          <w:szCs w:val="24"/>
        </w:rPr>
        <w:t xml:space="preserve">0093 – Provisions Common to Registered Entities </w:t>
      </w:r>
    </w:p>
    <w:p w:rsidRPr="00642B6A" w:rsidR="00A2011C" w:rsidP="00A2011C" w:rsidRDefault="00A2011C" w14:paraId="4274ACEA" w14:textId="77777777">
      <w:pPr>
        <w:jc w:val="center"/>
        <w:rPr>
          <w:rFonts w:eastAsia="Times New Roman" w:cs="Times New Roman"/>
          <w:b/>
          <w:szCs w:val="24"/>
        </w:rPr>
      </w:pPr>
    </w:p>
    <w:p w:rsidR="00A2011C" w:rsidP="00A2011C" w:rsidRDefault="00A2011C" w14:paraId="111A6B7F" w14:textId="77777777">
      <w:pPr>
        <w:jc w:val="center"/>
        <w:rPr>
          <w:rFonts w:eastAsia="Times New Roman" w:cs="Times New Roman"/>
          <w:szCs w:val="24"/>
        </w:rPr>
      </w:pPr>
      <w:r w:rsidRPr="008F6D4A">
        <w:rPr>
          <w:rFonts w:eastAsia="Times New Roman" w:cs="Times New Roman"/>
          <w:szCs w:val="24"/>
        </w:rPr>
        <w:t>Reporting Burden</w:t>
      </w:r>
      <w:r>
        <w:rPr>
          <w:rFonts w:eastAsia="Times New Roman" w:cs="Times New Roman"/>
          <w:szCs w:val="24"/>
        </w:rPr>
        <w:t xml:space="preserve"> </w:t>
      </w:r>
    </w:p>
    <w:p w:rsidRPr="008F6D4A" w:rsidR="00A2011C" w:rsidP="00A2011C" w:rsidRDefault="00A2011C" w14:paraId="3D9AA7F3" w14:textId="77777777">
      <w:pPr>
        <w:jc w:val="center"/>
        <w:rPr>
          <w:rFonts w:eastAsia="Times New Roman" w:cs="Times New Roman"/>
          <w:szCs w:val="24"/>
        </w:rPr>
      </w:pPr>
    </w:p>
    <w:tbl>
      <w:tblPr>
        <w:tblW w:w="5921"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230"/>
        <w:gridCol w:w="1229"/>
        <w:gridCol w:w="1145"/>
        <w:gridCol w:w="1143"/>
        <w:gridCol w:w="1143"/>
        <w:gridCol w:w="968"/>
        <w:gridCol w:w="1143"/>
        <w:gridCol w:w="1056"/>
        <w:gridCol w:w="872"/>
        <w:gridCol w:w="1143"/>
      </w:tblGrid>
      <w:tr w:rsidRPr="008F6D4A" w:rsidR="00A2011C" w:rsidDel="009C6DB4" w:rsidTr="00132D6A" w14:paraId="2142CB30" w14:textId="77777777">
        <w:trPr>
          <w:trHeight w:val="1427"/>
        </w:trPr>
        <w:tc>
          <w:tcPr>
            <w:tcW w:w="556" w:type="pct"/>
          </w:tcPr>
          <w:p w:rsidRPr="00852157" w:rsidR="00A2011C" w:rsidP="00132D6A" w:rsidRDefault="00A2011C" w14:paraId="7129F3AF"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w:t>
            </w:r>
          </w:p>
          <w:p w:rsidRPr="00852157" w:rsidR="00A2011C" w:rsidP="00132D6A" w:rsidRDefault="00A2011C" w14:paraId="71767BAE"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Regulation(s)</w:t>
            </w:r>
          </w:p>
        </w:tc>
        <w:tc>
          <w:tcPr>
            <w:tcW w:w="555" w:type="pct"/>
          </w:tcPr>
          <w:p w:rsidRPr="00852157" w:rsidR="00A2011C" w:rsidP="00132D6A" w:rsidRDefault="00A2011C" w14:paraId="6973ACD5"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w:t>
            </w:r>
          </w:p>
          <w:p w:rsidRPr="00852157" w:rsidR="00A2011C" w:rsidP="00132D6A" w:rsidRDefault="00A2011C" w14:paraId="15BA538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Estimated Number of Respondents </w:t>
            </w:r>
          </w:p>
          <w:p w:rsidRPr="00852157" w:rsidR="00A2011C" w:rsidP="00132D6A" w:rsidRDefault="00A2011C" w14:paraId="28223376" w14:textId="77777777">
            <w:pPr>
              <w:tabs>
                <w:tab w:val="left" w:pos="-720"/>
                <w:tab w:val="left" w:pos="0"/>
              </w:tabs>
              <w:suppressAutoHyphens/>
              <w:jc w:val="center"/>
              <w:rPr>
                <w:rFonts w:ascii="Arial" w:hAnsi="Arial" w:eastAsia="Times New Roman" w:cs="Arial"/>
                <w:b/>
                <w:sz w:val="16"/>
                <w:szCs w:val="16"/>
              </w:rPr>
            </w:pPr>
          </w:p>
        </w:tc>
        <w:tc>
          <w:tcPr>
            <w:tcW w:w="517" w:type="pct"/>
          </w:tcPr>
          <w:p w:rsidRPr="00852157" w:rsidR="00A2011C" w:rsidP="00132D6A" w:rsidRDefault="00A2011C" w14:paraId="431D072A"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w:t>
            </w:r>
          </w:p>
          <w:p w:rsidRPr="00852157" w:rsidR="00A2011C" w:rsidP="00132D6A" w:rsidRDefault="00A2011C" w14:paraId="4BA8B32B"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Number of Reports</w:t>
            </w:r>
          </w:p>
          <w:p w:rsidRPr="00852157" w:rsidR="00A2011C" w:rsidP="00132D6A" w:rsidRDefault="00A2011C" w14:paraId="21EE5B74"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by Each Respondent</w:t>
            </w:r>
          </w:p>
        </w:tc>
        <w:tc>
          <w:tcPr>
            <w:tcW w:w="516" w:type="pct"/>
          </w:tcPr>
          <w:p w:rsidRPr="00852157" w:rsidR="00A2011C" w:rsidP="00132D6A" w:rsidRDefault="00A2011C" w14:paraId="50373B05"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4.</w:t>
            </w:r>
          </w:p>
          <w:p w:rsidRPr="00852157" w:rsidR="00A2011C" w:rsidP="00132D6A" w:rsidRDefault="00A2011C" w14:paraId="71E00C6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Number of Burden Hours per Response</w:t>
            </w:r>
          </w:p>
        </w:tc>
        <w:tc>
          <w:tcPr>
            <w:tcW w:w="516" w:type="pct"/>
          </w:tcPr>
          <w:p w:rsidRPr="00852157" w:rsidR="00A2011C" w:rsidP="00132D6A" w:rsidRDefault="00A2011C" w14:paraId="3B48A03D"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5.</w:t>
            </w:r>
          </w:p>
          <w:p w:rsidRPr="00852157" w:rsidR="00A2011C" w:rsidP="00132D6A" w:rsidRDefault="00A2011C" w14:paraId="6C380F50" w14:textId="77777777">
            <w:pPr>
              <w:tabs>
                <w:tab w:val="left" w:pos="-720"/>
                <w:tab w:val="left" w:pos="0"/>
              </w:tabs>
              <w:suppressAutoHyphens/>
              <w:jc w:val="center"/>
              <w:rPr>
                <w:rFonts w:ascii="Arial" w:hAnsi="Arial" w:eastAsia="Times New Roman" w:cs="Arial"/>
                <w:b/>
                <w:sz w:val="16"/>
                <w:szCs w:val="16"/>
              </w:rPr>
            </w:pPr>
            <w:proofErr w:type="gramStart"/>
            <w:r w:rsidRPr="00852157">
              <w:rPr>
                <w:rFonts w:ascii="Arial" w:hAnsi="Arial" w:eastAsia="Times New Roman" w:cs="Arial"/>
                <w:b/>
                <w:sz w:val="16"/>
                <w:szCs w:val="16"/>
              </w:rPr>
              <w:t>Annual  Number</w:t>
            </w:r>
            <w:proofErr w:type="gramEnd"/>
            <w:r w:rsidRPr="00852157">
              <w:rPr>
                <w:rFonts w:ascii="Arial" w:hAnsi="Arial" w:eastAsia="Times New Roman" w:cs="Arial"/>
                <w:b/>
                <w:sz w:val="16"/>
                <w:szCs w:val="16"/>
              </w:rPr>
              <w:t xml:space="preserve"> of Burden Hours per Respondent</w:t>
            </w:r>
          </w:p>
          <w:p w:rsidRPr="00852157" w:rsidR="00A2011C" w:rsidP="00132D6A" w:rsidRDefault="00A2011C" w14:paraId="3DB05105"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(3 x 4)</w:t>
            </w:r>
          </w:p>
        </w:tc>
        <w:tc>
          <w:tcPr>
            <w:tcW w:w="437" w:type="pct"/>
          </w:tcPr>
          <w:p w:rsidRPr="00852157" w:rsidR="00A2011C" w:rsidP="00132D6A" w:rsidRDefault="00A2011C" w14:paraId="30210874"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6. </w:t>
            </w:r>
          </w:p>
          <w:p w:rsidRPr="00852157" w:rsidR="00A2011C" w:rsidP="00132D6A" w:rsidRDefault="00A2011C" w14:paraId="7E4E2999"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Estimated Average Burden Hour Cost</w:t>
            </w:r>
            <w:r w:rsidRPr="00852157">
              <w:rPr>
                <w:rStyle w:val="FootnoteReference"/>
                <w:rFonts w:ascii="Arial" w:hAnsi="Arial" w:eastAsia="Times New Roman" w:cs="Arial"/>
                <w:sz w:val="16"/>
                <w:szCs w:val="16"/>
              </w:rPr>
              <w:footnoteReference w:id="53"/>
            </w:r>
          </w:p>
          <w:p w:rsidRPr="00852157" w:rsidR="00A2011C" w:rsidP="00132D6A" w:rsidRDefault="00A2011C" w14:paraId="179EBC29" w14:textId="77777777">
            <w:pPr>
              <w:tabs>
                <w:tab w:val="left" w:pos="-720"/>
                <w:tab w:val="left" w:pos="0"/>
              </w:tabs>
              <w:suppressAutoHyphens/>
              <w:jc w:val="center"/>
              <w:rPr>
                <w:rFonts w:ascii="Arial" w:hAnsi="Arial" w:eastAsia="Times New Roman" w:cs="Arial"/>
                <w:b/>
                <w:sz w:val="16"/>
                <w:szCs w:val="16"/>
              </w:rPr>
            </w:pPr>
          </w:p>
        </w:tc>
        <w:tc>
          <w:tcPr>
            <w:tcW w:w="516" w:type="pct"/>
          </w:tcPr>
          <w:p w:rsidRPr="00852157" w:rsidR="00A2011C" w:rsidP="00132D6A" w:rsidRDefault="00A2011C" w14:paraId="3FA521D3" w14:textId="77777777">
            <w:pPr>
              <w:jc w:val="center"/>
              <w:rPr>
                <w:rFonts w:ascii="Arial" w:hAnsi="Arial" w:cs="Arial"/>
                <w:b/>
                <w:sz w:val="16"/>
                <w:szCs w:val="16"/>
              </w:rPr>
            </w:pPr>
            <w:r w:rsidRPr="00852157">
              <w:rPr>
                <w:rFonts w:ascii="Arial" w:hAnsi="Arial" w:cs="Arial"/>
                <w:b/>
                <w:sz w:val="16"/>
                <w:szCs w:val="16"/>
              </w:rPr>
              <w:t>7.</w:t>
            </w:r>
          </w:p>
          <w:p w:rsidRPr="00852157" w:rsidR="00A2011C" w:rsidP="00132D6A" w:rsidRDefault="00A2011C" w14:paraId="3D0F6695" w14:textId="77777777">
            <w:pPr>
              <w:jc w:val="center"/>
              <w:rPr>
                <w:rFonts w:ascii="Arial" w:hAnsi="Arial" w:cs="Arial"/>
                <w:b/>
                <w:sz w:val="16"/>
                <w:szCs w:val="16"/>
              </w:rPr>
            </w:pPr>
            <w:r w:rsidRPr="00852157">
              <w:rPr>
                <w:rFonts w:ascii="Arial" w:hAnsi="Arial" w:cs="Arial"/>
                <w:b/>
                <w:sz w:val="16"/>
                <w:szCs w:val="16"/>
              </w:rPr>
              <w:t>Total Average Hour Burden Cost Per Respondent</w:t>
            </w:r>
          </w:p>
          <w:p w:rsidRPr="00852157" w:rsidR="00A2011C" w:rsidP="00132D6A" w:rsidRDefault="00A2011C" w14:paraId="12DF2E2F" w14:textId="77777777">
            <w:pPr>
              <w:jc w:val="center"/>
              <w:rPr>
                <w:rFonts w:ascii="Arial" w:hAnsi="Arial" w:cs="Arial"/>
                <w:b/>
                <w:sz w:val="16"/>
                <w:szCs w:val="16"/>
              </w:rPr>
            </w:pPr>
            <w:r w:rsidRPr="00852157">
              <w:rPr>
                <w:rFonts w:ascii="Arial" w:hAnsi="Arial" w:cs="Arial"/>
                <w:b/>
                <w:sz w:val="16"/>
                <w:szCs w:val="16"/>
              </w:rPr>
              <w:t>(5 x 6)</w:t>
            </w:r>
          </w:p>
        </w:tc>
        <w:tc>
          <w:tcPr>
            <w:tcW w:w="477" w:type="pct"/>
          </w:tcPr>
          <w:p w:rsidRPr="00852157" w:rsidR="00A2011C" w:rsidP="00132D6A" w:rsidRDefault="00A2011C" w14:paraId="16FB8290"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8.</w:t>
            </w:r>
          </w:p>
          <w:p w:rsidRPr="00852157" w:rsidR="00A2011C" w:rsidP="00132D6A" w:rsidRDefault="00A2011C" w14:paraId="49CC9EB6"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w:t>
            </w:r>
          </w:p>
          <w:p w:rsidRPr="00852157" w:rsidR="00A2011C" w:rsidP="00132D6A" w:rsidRDefault="00A2011C" w14:paraId="49F18222"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Responses</w:t>
            </w:r>
          </w:p>
          <w:p w:rsidRPr="00852157" w:rsidR="00A2011C" w:rsidP="00132D6A" w:rsidRDefault="00A2011C" w14:paraId="511A4045"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3)</w:t>
            </w:r>
          </w:p>
        </w:tc>
        <w:tc>
          <w:tcPr>
            <w:tcW w:w="394" w:type="pct"/>
          </w:tcPr>
          <w:p w:rsidRPr="00852157" w:rsidR="00A2011C" w:rsidP="00132D6A" w:rsidRDefault="00A2011C" w14:paraId="772082CF"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9.</w:t>
            </w:r>
          </w:p>
          <w:p w:rsidRPr="00852157" w:rsidR="00A2011C" w:rsidP="00132D6A" w:rsidRDefault="00A2011C" w14:paraId="3547470C"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 xml:space="preserve">Total </w:t>
            </w:r>
            <w:proofErr w:type="gramStart"/>
            <w:r w:rsidRPr="00852157">
              <w:rPr>
                <w:rFonts w:ascii="Arial" w:hAnsi="Arial" w:eastAsia="Times New Roman" w:cs="Arial"/>
                <w:b/>
                <w:sz w:val="16"/>
                <w:szCs w:val="16"/>
              </w:rPr>
              <w:t>Annual  Number</w:t>
            </w:r>
            <w:proofErr w:type="gramEnd"/>
            <w:r w:rsidRPr="00852157">
              <w:rPr>
                <w:rFonts w:ascii="Arial" w:hAnsi="Arial" w:eastAsia="Times New Roman" w:cs="Arial"/>
                <w:b/>
                <w:sz w:val="16"/>
                <w:szCs w:val="16"/>
              </w:rPr>
              <w:t xml:space="preserve"> of Burden Hours</w:t>
            </w:r>
          </w:p>
          <w:p w:rsidRPr="00852157" w:rsidR="00A2011C" w:rsidP="00132D6A" w:rsidRDefault="00A2011C" w14:paraId="0A7D56FA"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5)</w:t>
            </w:r>
          </w:p>
        </w:tc>
        <w:tc>
          <w:tcPr>
            <w:tcW w:w="516" w:type="pct"/>
          </w:tcPr>
          <w:p w:rsidRPr="00852157" w:rsidR="00A2011C" w:rsidP="00132D6A" w:rsidRDefault="00A2011C" w14:paraId="057E7078"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10.</w:t>
            </w:r>
          </w:p>
          <w:p w:rsidRPr="00852157" w:rsidR="00A2011C" w:rsidP="00132D6A" w:rsidRDefault="00A2011C" w14:paraId="5EAD4F2F"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Total Annual Burden Hour Cost of All Responses</w:t>
            </w:r>
          </w:p>
          <w:p w:rsidRPr="00852157" w:rsidR="00A2011C" w:rsidDel="009C6DB4" w:rsidP="00132D6A" w:rsidRDefault="00A2011C" w14:paraId="39C3A2A1" w14:textId="77777777">
            <w:pPr>
              <w:tabs>
                <w:tab w:val="left" w:pos="-720"/>
                <w:tab w:val="left" w:pos="0"/>
              </w:tabs>
              <w:suppressAutoHyphens/>
              <w:jc w:val="center"/>
              <w:rPr>
                <w:rFonts w:ascii="Arial" w:hAnsi="Arial" w:eastAsia="Times New Roman" w:cs="Arial"/>
                <w:b/>
                <w:sz w:val="16"/>
                <w:szCs w:val="16"/>
              </w:rPr>
            </w:pPr>
            <w:r w:rsidRPr="00852157">
              <w:rPr>
                <w:rFonts w:ascii="Arial" w:hAnsi="Arial" w:eastAsia="Times New Roman" w:cs="Arial"/>
                <w:b/>
                <w:sz w:val="16"/>
                <w:szCs w:val="16"/>
              </w:rPr>
              <w:t>(2 x 7)</w:t>
            </w:r>
          </w:p>
        </w:tc>
      </w:tr>
      <w:tr w:rsidRPr="008F6D4A" w:rsidR="00037B3E" w:rsidTr="00037B3E" w14:paraId="6F713EC8" w14:textId="77777777">
        <w:trPr>
          <w:trHeight w:val="977"/>
        </w:trPr>
        <w:tc>
          <w:tcPr>
            <w:tcW w:w="556" w:type="pct"/>
            <w:vAlign w:val="center"/>
          </w:tcPr>
          <w:p w:rsidRPr="008C6F21" w:rsidR="00037B3E" w:rsidP="00037B3E" w:rsidRDefault="00037B3E" w14:paraId="1A79BBF8" w14:textId="48026ACB">
            <w:pPr>
              <w:tabs>
                <w:tab w:val="left" w:pos="-720"/>
                <w:tab w:val="left" w:pos="0"/>
              </w:tabs>
              <w:suppressAutoHyphens/>
              <w:jc w:val="center"/>
              <w:rPr>
                <w:rFonts w:ascii="Arial" w:hAnsi="Arial" w:eastAsia="Times New Roman" w:cs="Arial"/>
                <w:b/>
                <w:sz w:val="16"/>
                <w:szCs w:val="16"/>
              </w:rPr>
            </w:pPr>
            <w:r w:rsidRPr="008C6F21">
              <w:rPr>
                <w:rFonts w:ascii="Arial" w:hAnsi="Arial" w:cs="Arial"/>
                <w:sz w:val="16"/>
                <w:szCs w:val="16"/>
              </w:rPr>
              <w:t>150.</w:t>
            </w:r>
            <w:r w:rsidR="0025180B">
              <w:rPr>
                <w:rFonts w:ascii="Arial" w:hAnsi="Arial" w:cs="Arial"/>
                <w:sz w:val="16"/>
                <w:szCs w:val="16"/>
              </w:rPr>
              <w:t>9</w:t>
            </w:r>
            <w:r w:rsidRPr="008C6F21">
              <w:rPr>
                <w:rFonts w:ascii="Arial" w:hAnsi="Arial" w:cs="Arial"/>
                <w:sz w:val="16"/>
                <w:szCs w:val="16"/>
              </w:rPr>
              <w:t>(</w:t>
            </w:r>
            <w:r w:rsidR="0025180B">
              <w:rPr>
                <w:rFonts w:ascii="Arial" w:hAnsi="Arial" w:cs="Arial"/>
                <w:sz w:val="16"/>
                <w:szCs w:val="16"/>
              </w:rPr>
              <w:t>a</w:t>
            </w:r>
            <w:r w:rsidRPr="008C6F21">
              <w:rPr>
                <w:rFonts w:ascii="Arial" w:hAnsi="Arial" w:cs="Arial"/>
                <w:sz w:val="16"/>
                <w:szCs w:val="16"/>
              </w:rPr>
              <w:t>)</w:t>
            </w:r>
          </w:p>
        </w:tc>
        <w:tc>
          <w:tcPr>
            <w:tcW w:w="555" w:type="pct"/>
            <w:vAlign w:val="center"/>
          </w:tcPr>
          <w:p w:rsidRPr="008C6F21" w:rsidR="00037B3E" w:rsidP="00132D6A" w:rsidRDefault="00037B3E" w14:paraId="4B2CD02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517" w:type="pct"/>
            <w:vAlign w:val="center"/>
          </w:tcPr>
          <w:p w:rsidRPr="008C6F21" w:rsidR="00037B3E" w:rsidP="00132D6A" w:rsidRDefault="00037B3E" w14:paraId="113AC882"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516" w:type="pct"/>
            <w:vAlign w:val="center"/>
          </w:tcPr>
          <w:p w:rsidRPr="008C6F21" w:rsidR="00037B3E" w:rsidP="00132D6A" w:rsidRDefault="00E157A0" w14:paraId="172AD043"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25</w:t>
            </w:r>
          </w:p>
        </w:tc>
        <w:tc>
          <w:tcPr>
            <w:tcW w:w="516" w:type="pct"/>
            <w:vAlign w:val="center"/>
          </w:tcPr>
          <w:p w:rsidRPr="008C6F21" w:rsidR="00037B3E" w:rsidP="00132D6A" w:rsidRDefault="00FC42F4" w14:paraId="6084542F"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25</w:t>
            </w:r>
          </w:p>
        </w:tc>
        <w:tc>
          <w:tcPr>
            <w:tcW w:w="437" w:type="pct"/>
            <w:vAlign w:val="center"/>
          </w:tcPr>
          <w:p w:rsidRPr="008C6F21" w:rsidR="00037B3E" w:rsidP="00132D6A" w:rsidRDefault="00037B3E" w14:paraId="4F9E719B" w14:textId="786EF956">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9</w:t>
            </w:r>
            <w:r w:rsidRPr="008C6F21" w:rsidR="001D1C46">
              <w:rPr>
                <w:rFonts w:ascii="Arial" w:hAnsi="Arial" w:eastAsia="Times New Roman" w:cs="Arial"/>
                <w:sz w:val="16"/>
                <w:szCs w:val="16"/>
              </w:rPr>
              <w:t>7</w:t>
            </w:r>
          </w:p>
        </w:tc>
        <w:tc>
          <w:tcPr>
            <w:tcW w:w="516" w:type="pct"/>
            <w:vAlign w:val="center"/>
          </w:tcPr>
          <w:p w:rsidRPr="008C6F21" w:rsidR="00037B3E" w:rsidP="00A95B78" w:rsidRDefault="00037B3E" w14:paraId="0C791BAE" w14:textId="54605A51">
            <w:pPr>
              <w:jc w:val="center"/>
              <w:rPr>
                <w:rFonts w:ascii="Arial" w:hAnsi="Arial" w:cs="Arial"/>
                <w:sz w:val="16"/>
                <w:szCs w:val="16"/>
              </w:rPr>
            </w:pPr>
            <w:r w:rsidRPr="008C6F21">
              <w:rPr>
                <w:rFonts w:ascii="Arial" w:hAnsi="Arial" w:cs="Arial"/>
                <w:sz w:val="16"/>
                <w:szCs w:val="16"/>
              </w:rPr>
              <w:t>2,</w:t>
            </w:r>
            <w:r w:rsidRPr="008C6F21" w:rsidR="00FC42F4">
              <w:rPr>
                <w:rFonts w:ascii="Arial" w:hAnsi="Arial" w:cs="Arial"/>
                <w:sz w:val="16"/>
                <w:szCs w:val="16"/>
              </w:rPr>
              <w:t>4</w:t>
            </w:r>
            <w:r w:rsidRPr="008C6F21" w:rsidR="00A95B78">
              <w:rPr>
                <w:rFonts w:ascii="Arial" w:hAnsi="Arial" w:cs="Arial"/>
                <w:sz w:val="16"/>
                <w:szCs w:val="16"/>
              </w:rPr>
              <w:t>25</w:t>
            </w:r>
          </w:p>
        </w:tc>
        <w:tc>
          <w:tcPr>
            <w:tcW w:w="477" w:type="pct"/>
            <w:vAlign w:val="center"/>
          </w:tcPr>
          <w:p w:rsidRPr="008C6F21" w:rsidR="00037B3E" w:rsidP="00132D6A" w:rsidRDefault="00037B3E" w14:paraId="1D27A9E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394" w:type="pct"/>
            <w:vAlign w:val="center"/>
          </w:tcPr>
          <w:p w:rsidRPr="008C6F21" w:rsidR="00037B3E" w:rsidP="00FC42F4" w:rsidRDefault="00037B3E" w14:paraId="15AE6FB2"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r w:rsidRPr="008C6F21" w:rsidR="00FC42F4">
              <w:rPr>
                <w:rFonts w:ascii="Arial" w:hAnsi="Arial" w:eastAsia="Times New Roman" w:cs="Arial"/>
                <w:sz w:val="16"/>
                <w:szCs w:val="16"/>
              </w:rPr>
              <w:t>5</w:t>
            </w:r>
            <w:r w:rsidRPr="008C6F21">
              <w:rPr>
                <w:rFonts w:ascii="Arial" w:hAnsi="Arial" w:eastAsia="Times New Roman" w:cs="Arial"/>
                <w:sz w:val="16"/>
                <w:szCs w:val="16"/>
              </w:rPr>
              <w:t>0</w:t>
            </w:r>
          </w:p>
        </w:tc>
        <w:tc>
          <w:tcPr>
            <w:tcW w:w="516" w:type="pct"/>
            <w:vAlign w:val="center"/>
          </w:tcPr>
          <w:p w:rsidRPr="008C6F21" w:rsidR="00037B3E" w:rsidP="00FC42F4" w:rsidRDefault="00037B3E" w14:paraId="5FFFB28A" w14:textId="0F75BBDB">
            <w:pPr>
              <w:tabs>
                <w:tab w:val="left" w:pos="-720"/>
                <w:tab w:val="left" w:pos="0"/>
              </w:tabs>
              <w:suppressAutoHyphens/>
              <w:rPr>
                <w:rFonts w:ascii="Arial" w:hAnsi="Arial" w:eastAsia="Times New Roman" w:cs="Arial"/>
                <w:b/>
                <w:sz w:val="16"/>
                <w:szCs w:val="16"/>
              </w:rPr>
            </w:pPr>
            <w:r w:rsidRPr="008C6F21">
              <w:rPr>
                <w:rFonts w:ascii="Arial" w:hAnsi="Arial" w:eastAsia="Times New Roman" w:cs="Arial"/>
                <w:b/>
                <w:sz w:val="16"/>
                <w:szCs w:val="16"/>
              </w:rPr>
              <w:t>$</w:t>
            </w:r>
            <w:r w:rsidRPr="008C6F21" w:rsidR="00FC42F4">
              <w:rPr>
                <w:rFonts w:ascii="Arial" w:hAnsi="Arial" w:eastAsia="Times New Roman" w:cs="Arial"/>
                <w:b/>
                <w:sz w:val="16"/>
                <w:szCs w:val="16"/>
              </w:rPr>
              <w:t>14,</w:t>
            </w:r>
            <w:r w:rsidRPr="008C6F21" w:rsidR="001D1C46">
              <w:rPr>
                <w:rFonts w:ascii="Arial" w:hAnsi="Arial" w:eastAsia="Times New Roman" w:cs="Arial"/>
                <w:b/>
                <w:sz w:val="16"/>
                <w:szCs w:val="16"/>
              </w:rPr>
              <w:t>550</w:t>
            </w:r>
          </w:p>
        </w:tc>
      </w:tr>
      <w:tr w:rsidRPr="008F6D4A" w:rsidR="00FC42F4" w:rsidTr="00132D6A" w14:paraId="620D1158" w14:textId="77777777">
        <w:trPr>
          <w:trHeight w:val="1222"/>
        </w:trPr>
        <w:tc>
          <w:tcPr>
            <w:tcW w:w="556" w:type="pct"/>
            <w:vAlign w:val="center"/>
          </w:tcPr>
          <w:p w:rsidRPr="008C6F21" w:rsidR="00FC42F4" w:rsidP="00132D6A" w:rsidRDefault="00FC42F4" w14:paraId="66827903" w14:textId="77777777">
            <w:pPr>
              <w:tabs>
                <w:tab w:val="left" w:pos="-720"/>
                <w:tab w:val="left" w:pos="0"/>
              </w:tabs>
              <w:suppressAutoHyphens/>
              <w:jc w:val="center"/>
              <w:rPr>
                <w:rFonts w:ascii="Arial" w:hAnsi="Arial" w:cs="Arial"/>
                <w:b/>
                <w:sz w:val="16"/>
                <w:szCs w:val="16"/>
              </w:rPr>
            </w:pPr>
            <w:r w:rsidRPr="008C6F21">
              <w:rPr>
                <w:rFonts w:ascii="Arial" w:hAnsi="Arial" w:cs="Arial"/>
                <w:b/>
                <w:sz w:val="16"/>
                <w:szCs w:val="16"/>
              </w:rPr>
              <w:t>Total:</w:t>
            </w:r>
          </w:p>
        </w:tc>
        <w:tc>
          <w:tcPr>
            <w:tcW w:w="555" w:type="pct"/>
            <w:vAlign w:val="center"/>
          </w:tcPr>
          <w:p w:rsidRPr="008C6F21" w:rsidR="00FC42F4" w:rsidP="00132D6A" w:rsidRDefault="00FC42F4" w14:paraId="366959C2"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517" w:type="pct"/>
            <w:vAlign w:val="center"/>
          </w:tcPr>
          <w:p w:rsidRPr="008C6F21" w:rsidR="00FC42F4" w:rsidP="00132D6A" w:rsidRDefault="00FC42F4" w14:paraId="02A53003"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w:t>
            </w:r>
          </w:p>
        </w:tc>
        <w:tc>
          <w:tcPr>
            <w:tcW w:w="516" w:type="pct"/>
            <w:vAlign w:val="center"/>
          </w:tcPr>
          <w:p w:rsidRPr="008C6F21" w:rsidR="00FC42F4" w:rsidP="00132D6A" w:rsidRDefault="00FC42F4" w14:paraId="162F8FF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25</w:t>
            </w:r>
          </w:p>
        </w:tc>
        <w:tc>
          <w:tcPr>
            <w:tcW w:w="516" w:type="pct"/>
            <w:vAlign w:val="center"/>
          </w:tcPr>
          <w:p w:rsidRPr="008C6F21" w:rsidR="00FC42F4" w:rsidP="00132D6A" w:rsidRDefault="00FC42F4" w14:paraId="39B315B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25</w:t>
            </w:r>
          </w:p>
        </w:tc>
        <w:tc>
          <w:tcPr>
            <w:tcW w:w="437" w:type="pct"/>
            <w:vAlign w:val="center"/>
          </w:tcPr>
          <w:p w:rsidRPr="008C6F21" w:rsidR="00FC42F4" w:rsidP="00132D6A" w:rsidRDefault="00FC42F4" w14:paraId="26558259" w14:textId="32B47FA6">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9</w:t>
            </w:r>
            <w:r w:rsidRPr="008C6F21" w:rsidR="001D1C46">
              <w:rPr>
                <w:rFonts w:ascii="Arial" w:hAnsi="Arial" w:eastAsia="Times New Roman" w:cs="Arial"/>
                <w:sz w:val="16"/>
                <w:szCs w:val="16"/>
              </w:rPr>
              <w:t>7</w:t>
            </w:r>
          </w:p>
        </w:tc>
        <w:tc>
          <w:tcPr>
            <w:tcW w:w="516" w:type="pct"/>
            <w:vAlign w:val="center"/>
          </w:tcPr>
          <w:p w:rsidRPr="008C6F21" w:rsidR="00FC42F4" w:rsidP="00132D6A" w:rsidRDefault="00FC42F4" w14:paraId="39765AE3" w14:textId="5191DAE5">
            <w:pPr>
              <w:jc w:val="center"/>
              <w:rPr>
                <w:rFonts w:ascii="Arial" w:hAnsi="Arial" w:cs="Arial"/>
                <w:sz w:val="16"/>
                <w:szCs w:val="16"/>
              </w:rPr>
            </w:pPr>
            <w:r w:rsidRPr="008C6F21">
              <w:rPr>
                <w:rFonts w:ascii="Arial" w:hAnsi="Arial" w:cs="Arial"/>
                <w:sz w:val="16"/>
                <w:szCs w:val="16"/>
              </w:rPr>
              <w:t>2,4</w:t>
            </w:r>
            <w:r w:rsidRPr="008C6F21" w:rsidR="00A95B78">
              <w:rPr>
                <w:rFonts w:ascii="Arial" w:hAnsi="Arial" w:cs="Arial"/>
                <w:sz w:val="16"/>
                <w:szCs w:val="16"/>
              </w:rPr>
              <w:t>25</w:t>
            </w:r>
          </w:p>
        </w:tc>
        <w:tc>
          <w:tcPr>
            <w:tcW w:w="477" w:type="pct"/>
            <w:vAlign w:val="center"/>
          </w:tcPr>
          <w:p w:rsidRPr="008C6F21" w:rsidR="00FC42F4" w:rsidP="00132D6A" w:rsidRDefault="00FC42F4" w14:paraId="0C89860B"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6</w:t>
            </w:r>
          </w:p>
        </w:tc>
        <w:tc>
          <w:tcPr>
            <w:tcW w:w="394" w:type="pct"/>
            <w:vAlign w:val="center"/>
          </w:tcPr>
          <w:p w:rsidRPr="008C6F21" w:rsidR="00FC42F4" w:rsidP="00132D6A" w:rsidRDefault="00FC42F4" w14:paraId="12E803BA" w14:textId="77777777">
            <w:pPr>
              <w:tabs>
                <w:tab w:val="left" w:pos="-720"/>
                <w:tab w:val="left" w:pos="0"/>
              </w:tabs>
              <w:suppressAutoHyphens/>
              <w:jc w:val="center"/>
              <w:rPr>
                <w:rFonts w:ascii="Arial" w:hAnsi="Arial" w:eastAsia="Times New Roman" w:cs="Arial"/>
                <w:sz w:val="16"/>
                <w:szCs w:val="16"/>
              </w:rPr>
            </w:pPr>
            <w:r w:rsidRPr="008C6F21">
              <w:rPr>
                <w:rFonts w:ascii="Arial" w:hAnsi="Arial" w:eastAsia="Times New Roman" w:cs="Arial"/>
                <w:sz w:val="16"/>
                <w:szCs w:val="16"/>
              </w:rPr>
              <w:t>150</w:t>
            </w:r>
          </w:p>
        </w:tc>
        <w:tc>
          <w:tcPr>
            <w:tcW w:w="516" w:type="pct"/>
            <w:vAlign w:val="center"/>
          </w:tcPr>
          <w:p w:rsidRPr="008C6F21" w:rsidR="00FC42F4" w:rsidP="00132D6A" w:rsidRDefault="00FC42F4" w14:paraId="69E3C518" w14:textId="638769FE">
            <w:pPr>
              <w:tabs>
                <w:tab w:val="left" w:pos="-720"/>
                <w:tab w:val="left" w:pos="0"/>
              </w:tabs>
              <w:suppressAutoHyphens/>
              <w:jc w:val="center"/>
              <w:rPr>
                <w:rFonts w:ascii="Arial" w:hAnsi="Arial" w:eastAsia="Times New Roman" w:cs="Arial"/>
                <w:b/>
                <w:sz w:val="16"/>
                <w:szCs w:val="16"/>
              </w:rPr>
            </w:pPr>
            <w:r w:rsidRPr="008C6F21">
              <w:rPr>
                <w:rFonts w:ascii="Arial" w:hAnsi="Arial" w:eastAsia="Times New Roman" w:cs="Arial"/>
                <w:b/>
                <w:sz w:val="16"/>
                <w:szCs w:val="16"/>
              </w:rPr>
              <w:t>$14,</w:t>
            </w:r>
            <w:r w:rsidRPr="008C6F21" w:rsidR="001D1C46">
              <w:rPr>
                <w:rFonts w:ascii="Arial" w:hAnsi="Arial" w:eastAsia="Times New Roman" w:cs="Arial"/>
                <w:b/>
                <w:sz w:val="16"/>
                <w:szCs w:val="16"/>
              </w:rPr>
              <w:t>550</w:t>
            </w:r>
          </w:p>
        </w:tc>
      </w:tr>
    </w:tbl>
    <w:p w:rsidR="005D0486" w:rsidRDefault="005D0486" w14:paraId="2A5F3ED4" w14:textId="77777777">
      <w:pPr>
        <w:spacing w:after="200" w:line="276" w:lineRule="auto"/>
        <w:rPr>
          <w:rFonts w:eastAsia="Times New Roman" w:cs="Times New Roman"/>
          <w:b/>
          <w:szCs w:val="24"/>
        </w:rPr>
      </w:pPr>
    </w:p>
    <w:sectPr w:rsidR="005D0486" w:rsidSect="0058571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823C8" w14:textId="77777777" w:rsidR="004A2CA1" w:rsidRDefault="004A2CA1" w:rsidP="009C6DB4">
      <w:r>
        <w:separator/>
      </w:r>
    </w:p>
  </w:endnote>
  <w:endnote w:type="continuationSeparator" w:id="0">
    <w:p w14:paraId="17903940" w14:textId="77777777" w:rsidR="004A2CA1" w:rsidRDefault="004A2CA1" w:rsidP="009C6DB4">
      <w:r>
        <w:continuationSeparator/>
      </w:r>
    </w:p>
  </w:endnote>
  <w:endnote w:type="continuationNotice" w:id="1">
    <w:p w14:paraId="44AE9BCD" w14:textId="77777777" w:rsidR="004A2CA1" w:rsidRDefault="004A2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0066320"/>
      <w:docPartObj>
        <w:docPartGallery w:val="Page Numbers (Bottom of Page)"/>
        <w:docPartUnique/>
      </w:docPartObj>
    </w:sdtPr>
    <w:sdtEndPr>
      <w:rPr>
        <w:noProof/>
      </w:rPr>
    </w:sdtEndPr>
    <w:sdtContent>
      <w:p w14:paraId="6352520E" w14:textId="77777777" w:rsidR="004A2CA1" w:rsidRDefault="004A2CA1">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6822D4C0" w14:textId="77777777" w:rsidR="004A2CA1" w:rsidRDefault="004A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39744" w14:textId="77777777" w:rsidR="004A2CA1" w:rsidRDefault="004A2CA1" w:rsidP="009C6DB4">
      <w:r>
        <w:separator/>
      </w:r>
    </w:p>
  </w:footnote>
  <w:footnote w:type="continuationSeparator" w:id="0">
    <w:p w14:paraId="705FF73D" w14:textId="77777777" w:rsidR="004A2CA1" w:rsidRDefault="004A2CA1" w:rsidP="009C6DB4">
      <w:r>
        <w:continuationSeparator/>
      </w:r>
    </w:p>
  </w:footnote>
  <w:footnote w:type="continuationNotice" w:id="1">
    <w:p w14:paraId="170F9D1B" w14:textId="77777777" w:rsidR="004A2CA1" w:rsidRDefault="004A2CA1"/>
  </w:footnote>
  <w:footnote w:id="2">
    <w:p w14:paraId="6E96B4B5" w14:textId="77777777" w:rsidR="004A2CA1" w:rsidRPr="0001216F" w:rsidRDefault="004A2CA1">
      <w:pPr>
        <w:pStyle w:val="FootnoteText"/>
      </w:pPr>
      <w:r w:rsidRPr="0001216F">
        <w:rPr>
          <w:rStyle w:val="FootnoteReference"/>
        </w:rPr>
        <w:footnoteRef/>
      </w:r>
      <w:r w:rsidRPr="0001216F">
        <w:t xml:space="preserve"> </w:t>
      </w:r>
      <w:r w:rsidRPr="0001216F">
        <w:rPr>
          <w:i/>
        </w:rPr>
        <w:t xml:space="preserve">See </w:t>
      </w:r>
      <w:r w:rsidRPr="0001216F">
        <w:t>7 U.S.C. 6a(a)(2) and 7 U.S.C. 6a(a)(5).</w:t>
      </w:r>
    </w:p>
  </w:footnote>
  <w:footnote w:id="3">
    <w:p w14:paraId="269F6E87" w14:textId="77777777" w:rsidR="004A2CA1" w:rsidRPr="0001216F" w:rsidRDefault="004A2CA1" w:rsidP="004F2D09">
      <w:pPr>
        <w:pStyle w:val="FootnoteText"/>
        <w:tabs>
          <w:tab w:val="left" w:pos="720"/>
        </w:tabs>
      </w:pPr>
      <w:r w:rsidRPr="0001216F">
        <w:rPr>
          <w:rStyle w:val="FootnoteReference"/>
        </w:rPr>
        <w:footnoteRef/>
      </w:r>
      <w:r w:rsidRPr="0001216F">
        <w:t xml:space="preserve"> Proposed Rule, </w:t>
      </w:r>
      <w:r w:rsidRPr="0001216F">
        <w:rPr>
          <w:i/>
        </w:rPr>
        <w:t>Position Limits for Derivatives</w:t>
      </w:r>
      <w:r w:rsidRPr="0001216F">
        <w:t xml:space="preserve">, RIN 3038-AD99, issued by the Commission on January 31, 2020 (“2020 Proposal”). </w:t>
      </w:r>
    </w:p>
  </w:footnote>
  <w:footnote w:id="4">
    <w:p w14:paraId="4D6004BD" w14:textId="77777777" w:rsidR="004A2CA1" w:rsidRPr="0001216F" w:rsidRDefault="004A2CA1">
      <w:pPr>
        <w:pStyle w:val="FootnoteText"/>
      </w:pPr>
      <w:r w:rsidRPr="0001216F">
        <w:rPr>
          <w:rStyle w:val="FootnoteReference"/>
        </w:rPr>
        <w:footnoteRef/>
      </w:r>
      <w:r w:rsidRPr="0001216F">
        <w:t xml:space="preserve"> Note that OMB control number 3038-0009 generally covers Commission regulations in parts 15 through 21. However, it does not cover §§ 16.02, 17.01, 18.04, or 18.05, which are under OMB control number 3038-0103.  </w:t>
      </w:r>
      <w:r w:rsidRPr="0001216F">
        <w:rPr>
          <w:i/>
        </w:rPr>
        <w:t>See</w:t>
      </w:r>
      <w:r w:rsidRPr="0001216F">
        <w:t xml:space="preserve"> 78 FR 69178 at 69200 (Nov. 18, 2013) (transferring §§ 16.02, 17.01, 18.04, and 18.05 to OMB Control Number 3038-0103).</w:t>
      </w:r>
    </w:p>
  </w:footnote>
  <w:footnote w:id="5">
    <w:p w14:paraId="77A29C60" w14:textId="77777777" w:rsidR="004A2CA1" w:rsidRPr="0001216F" w:rsidRDefault="004A2CA1" w:rsidP="004F2D09">
      <w:pPr>
        <w:pStyle w:val="FootnoteText"/>
        <w:tabs>
          <w:tab w:val="left" w:pos="720"/>
        </w:tabs>
      </w:pPr>
      <w:r w:rsidRPr="0001216F">
        <w:rPr>
          <w:rStyle w:val="FootnoteReference"/>
        </w:rPr>
        <w:footnoteRef/>
      </w:r>
      <w:r w:rsidRPr="0001216F">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01216F">
        <w:rPr>
          <w:i/>
        </w:rPr>
        <w:t>See</w:t>
      </w:r>
      <w:r w:rsidRPr="0001216F">
        <w:t xml:space="preserve"> 69 FR 76392 (December 21, 2004).  </w:t>
      </w:r>
    </w:p>
  </w:footnote>
  <w:footnote w:id="6">
    <w:p w14:paraId="34560749" w14:textId="77777777" w:rsidR="004A2CA1" w:rsidRPr="0001216F" w:rsidRDefault="004A2CA1" w:rsidP="00D616AE">
      <w:pPr>
        <w:pStyle w:val="FootnoteText"/>
      </w:pPr>
      <w:r w:rsidRPr="0001216F">
        <w:rPr>
          <w:rStyle w:val="FootnoteReference"/>
        </w:rPr>
        <w:footnoteRef/>
      </w:r>
      <w:r w:rsidRPr="0001216F">
        <w:t xml:space="preserve"> 7 U.S.C. 1 </w:t>
      </w:r>
      <w:r w:rsidRPr="0001216F">
        <w:rPr>
          <w:i/>
          <w:u w:val="single"/>
        </w:rPr>
        <w:t>et</w:t>
      </w:r>
      <w:r w:rsidRPr="0001216F">
        <w:rPr>
          <w:i/>
        </w:rPr>
        <w:t xml:space="preserve"> </w:t>
      </w:r>
      <w:r w:rsidRPr="0001216F">
        <w:rPr>
          <w:i/>
          <w:u w:val="single"/>
        </w:rPr>
        <w:t>seq</w:t>
      </w:r>
      <w:r w:rsidRPr="0001216F">
        <w:t>.</w:t>
      </w:r>
    </w:p>
  </w:footnote>
  <w:footnote w:id="7">
    <w:p w14:paraId="63625176" w14:textId="77777777" w:rsidR="004A2CA1" w:rsidRPr="0001216F" w:rsidRDefault="004A2CA1" w:rsidP="00D616AE">
      <w:pPr>
        <w:pStyle w:val="FootnoteText"/>
      </w:pPr>
      <w:r w:rsidRPr="0001216F">
        <w:rPr>
          <w:rStyle w:val="FootnoteReference"/>
        </w:rPr>
        <w:footnoteRef/>
      </w:r>
      <w:r w:rsidRPr="0001216F">
        <w:t xml:space="preserve"> 7 U.S.C. 6a.</w:t>
      </w:r>
    </w:p>
  </w:footnote>
  <w:footnote w:id="8">
    <w:p w14:paraId="4DDC02D1" w14:textId="77777777" w:rsidR="004A2CA1" w:rsidRPr="0001216F" w:rsidRDefault="004A2CA1" w:rsidP="00D616AE">
      <w:pPr>
        <w:pStyle w:val="FootnoteText"/>
      </w:pPr>
      <w:r w:rsidRPr="0001216F">
        <w:rPr>
          <w:rStyle w:val="FootnoteReference"/>
        </w:rPr>
        <w:footnoteRef/>
      </w:r>
      <w:r w:rsidRPr="0001216F">
        <w:t xml:space="preserve"> 7 U.S.C. 6c(b).</w:t>
      </w:r>
    </w:p>
  </w:footnote>
  <w:footnote w:id="9">
    <w:p w14:paraId="0C64FBCC" w14:textId="77777777" w:rsidR="004A2CA1" w:rsidRDefault="004A2CA1" w:rsidP="00D616AE">
      <w:pPr>
        <w:pStyle w:val="FootnoteText"/>
        <w:rPr>
          <w:szCs w:val="24"/>
        </w:rPr>
      </w:pPr>
      <w:r>
        <w:rPr>
          <w:rStyle w:val="FootnoteReference"/>
          <w:szCs w:val="24"/>
        </w:rPr>
        <w:footnoteRef/>
      </w:r>
      <w:r>
        <w:rPr>
          <w:szCs w:val="24"/>
        </w:rPr>
        <w:t xml:space="preserve"> 7 U.S.C. 6g.</w:t>
      </w:r>
    </w:p>
  </w:footnote>
  <w:footnote w:id="10">
    <w:p w14:paraId="191C7BDB" w14:textId="77777777" w:rsidR="004A2CA1" w:rsidRDefault="004A2CA1" w:rsidP="00D616AE">
      <w:pPr>
        <w:pStyle w:val="FootnoteText"/>
        <w:rPr>
          <w:szCs w:val="24"/>
        </w:rPr>
      </w:pPr>
      <w:r>
        <w:rPr>
          <w:rStyle w:val="FootnoteReference"/>
          <w:szCs w:val="24"/>
        </w:rPr>
        <w:footnoteRef/>
      </w:r>
      <w:r>
        <w:rPr>
          <w:szCs w:val="24"/>
        </w:rPr>
        <w:t xml:space="preserve"> 7 U.S.C. 6i.  In addition, CEA section 8</w:t>
      </w:r>
      <w:proofErr w:type="gramStart"/>
      <w:r>
        <w:rPr>
          <w:szCs w:val="24"/>
        </w:rPr>
        <w:t>a(</w:t>
      </w:r>
      <w:proofErr w:type="gramEnd"/>
      <w:r>
        <w:rPr>
          <w:szCs w:val="24"/>
        </w:rPr>
        <w:t>5) is an enabling provision that grants to the Commission the authority to adopt regulations that in its judgment are reasonably necessary to accomplish any of the purposes of the Act.  7 U.S.C. 12</w:t>
      </w:r>
      <w:proofErr w:type="gramStart"/>
      <w:r>
        <w:rPr>
          <w:szCs w:val="24"/>
        </w:rPr>
        <w:t>a(</w:t>
      </w:r>
      <w:proofErr w:type="gramEnd"/>
      <w:r>
        <w:rPr>
          <w:szCs w:val="24"/>
        </w:rPr>
        <w:t xml:space="preserve">5).  Pursuant to CEA section 3(b), the Act seeks to ensure the financial integrity of regulated transactions and to prevent price manipulation and other disruptions to market integrity.  7 U.S.C. 5(b).  Collectively, these purposes warrant the maintenance of an effective and vigorous system of market and financial surveillance.  </w:t>
      </w:r>
    </w:p>
  </w:footnote>
  <w:footnote w:id="11">
    <w:p w14:paraId="74C8439E" w14:textId="77777777" w:rsidR="004A2CA1" w:rsidRPr="00035602" w:rsidRDefault="004A2CA1">
      <w:pPr>
        <w:pStyle w:val="FootnoteText"/>
      </w:pPr>
      <w:r>
        <w:rPr>
          <w:rStyle w:val="FootnoteReference"/>
        </w:rPr>
        <w:footnoteRef/>
      </w:r>
      <w:r>
        <w:t xml:space="preserve"> The Commission has updated the mean hourly wage rate for Lawyers from $96 to $97 from its estimate submitted in connection with the 2020 Proposal to reflect the increase for this occupation as reported by the U.S. Bureau of Labor Statistics (“BLS”) in May 2019.  </w:t>
      </w:r>
      <w:r w:rsidRPr="00035602">
        <w:rPr>
          <w:i/>
        </w:rPr>
        <w:t xml:space="preserve">See </w:t>
      </w:r>
      <w:r w:rsidRPr="00242760">
        <w:t>May 201</w:t>
      </w:r>
      <w:r>
        <w:t>9</w:t>
      </w:r>
      <w:r w:rsidRPr="00242760">
        <w:t xml:space="preserve"> National Industry-Specific Occupational Employment and Wage Estimates, NAICS 523000 - Securities, Commodity Contracts, and Other Financial Investments and Related Activities, </w:t>
      </w:r>
      <w:r w:rsidRPr="00175A1A">
        <w:t>https://www.bls.gov/oes/current/naics4_523000.htm</w:t>
      </w:r>
      <w:r>
        <w:t xml:space="preserve">.  As a result, there is a slight increase from the 2020 Proposal with respect to the </w:t>
      </w:r>
      <w:r>
        <w:rPr>
          <w:szCs w:val="24"/>
        </w:rPr>
        <w:t>specific breakdown of the estimated burden for the collections of information in Attachment A, and as described below</w:t>
      </w:r>
      <w:r>
        <w:t>.  The Commission notes that this increase is not material.</w:t>
      </w:r>
    </w:p>
  </w:footnote>
  <w:footnote w:id="12">
    <w:p w14:paraId="41D6F40B" w14:textId="77777777" w:rsidR="004A2CA1" w:rsidRPr="00EF532B" w:rsidRDefault="004A2CA1">
      <w:pPr>
        <w:pStyle w:val="FootnoteText"/>
      </w:pPr>
      <w:r>
        <w:rPr>
          <w:rStyle w:val="FootnoteReference"/>
        </w:rPr>
        <w:footnoteRef/>
      </w:r>
      <w:r>
        <w:t xml:space="preserve"> </w:t>
      </w:r>
      <w:r>
        <w:rPr>
          <w:i/>
        </w:rPr>
        <w:t>See</w:t>
      </w:r>
      <w:r>
        <w:t xml:space="preserve"> ICR Ref. No. 201906-3038-008, </w:t>
      </w:r>
      <w:r>
        <w:rPr>
          <w:i/>
        </w:rPr>
        <w:t>available at</w:t>
      </w:r>
      <w:r>
        <w:t xml:space="preserve"> </w:t>
      </w:r>
      <w:r w:rsidRPr="00DF5D9A">
        <w:t>https://www.reginfo.gov/public/do/PRAOMBHistory?ombControlNumber=3038-0009#</w:t>
      </w:r>
      <w:r>
        <w:t>.</w:t>
      </w:r>
    </w:p>
  </w:footnote>
  <w:footnote w:id="13">
    <w:p w14:paraId="6E5D1658" w14:textId="77777777" w:rsidR="004A2CA1" w:rsidRPr="00992677" w:rsidRDefault="004A2CA1">
      <w:pPr>
        <w:pStyle w:val="FootnoteText"/>
      </w:pPr>
      <w:r>
        <w:rPr>
          <w:rStyle w:val="FootnoteReference"/>
        </w:rPr>
        <w:footnoteRef/>
      </w:r>
      <w:r>
        <w:t xml:space="preserve"> </w:t>
      </w:r>
      <w:r w:rsidRPr="00242760">
        <w:rPr>
          <w:i/>
        </w:rPr>
        <w:t>See</w:t>
      </w:r>
      <w:r w:rsidRPr="00242760">
        <w:t xml:space="preserve"> May 201</w:t>
      </w:r>
      <w:r>
        <w:t>9</w:t>
      </w:r>
      <w:r w:rsidRPr="00242760">
        <w:t xml:space="preserve"> National Industry-Specific Occupational Employment and Wage Estimates, NAICS 523000 - Securities, Commodity Contracts, and Other Financial Investments and Related Activities, </w:t>
      </w:r>
      <w:r w:rsidRPr="00992677">
        <w:t>https://www.bls.gov/oes/current/naics4_523000.htm.</w:t>
      </w:r>
    </w:p>
  </w:footnote>
  <w:footnote w:id="14">
    <w:p w14:paraId="042F31B2" w14:textId="77777777" w:rsidR="004A2CA1" w:rsidRDefault="004A2CA1">
      <w:pPr>
        <w:pStyle w:val="FootnoteText"/>
      </w:pPr>
      <w:r w:rsidRPr="00992677">
        <w:rPr>
          <w:rStyle w:val="FootnoteReference"/>
        </w:rPr>
        <w:footnoteRef/>
      </w:r>
      <w:r w:rsidRPr="00992677">
        <w:t xml:space="preserve"> 17 CFR 16.00 defines a reporting market as a DCM or a registered entity under section 1</w:t>
      </w:r>
      <w:proofErr w:type="gramStart"/>
      <w:r w:rsidRPr="00992677">
        <w:t>a(</w:t>
      </w:r>
      <w:proofErr w:type="gramEnd"/>
      <w:r w:rsidRPr="00992677">
        <w:t>4</w:t>
      </w:r>
      <w:r>
        <w:t>0</w:t>
      </w:r>
      <w:r w:rsidRPr="00992677">
        <w:t>) of the Act.</w:t>
      </w:r>
      <w:r>
        <w:t xml:space="preserve">  The term registered includes DCMs, SEFs, derivatives clearing organizations, and swap data repositories.  </w:t>
      </w:r>
      <w:r w:rsidRPr="00282A1D">
        <w:rPr>
          <w:i/>
        </w:rPr>
        <w:t>See</w:t>
      </w:r>
      <w:r>
        <w:t xml:space="preserve"> 7 U.S.C. 1</w:t>
      </w:r>
      <w:proofErr w:type="gramStart"/>
      <w:r>
        <w:t>a(</w:t>
      </w:r>
      <w:proofErr w:type="gramEnd"/>
      <w:r>
        <w:t>40).</w:t>
      </w:r>
    </w:p>
  </w:footnote>
  <w:footnote w:id="15">
    <w:p w14:paraId="219239BB" w14:textId="77777777" w:rsidR="004A2CA1" w:rsidRDefault="004A2CA1" w:rsidP="00DA11BB">
      <w:pPr>
        <w:pStyle w:val="FootnoteText"/>
      </w:pPr>
      <w:r>
        <w:rPr>
          <w:rStyle w:val="FootnoteReference"/>
        </w:rPr>
        <w:footnoteRef/>
      </w:r>
      <w:r>
        <w:t xml:space="preserve"> Additionally, each report should include the following details:  </w:t>
      </w:r>
      <w:r w:rsidRPr="00971F39">
        <w:t>(A) The date of disposition;</w:t>
      </w:r>
      <w:r>
        <w:t xml:space="preserve"> </w:t>
      </w:r>
      <w:r w:rsidRPr="00971F39">
        <w:t>(B) The effective date of the disposition;</w:t>
      </w:r>
      <w:r>
        <w:t xml:space="preserve"> </w:t>
      </w:r>
      <w:r w:rsidRPr="00971F39">
        <w:t>(C) The expiration date of any recognition or exemption;</w:t>
      </w:r>
      <w:r>
        <w:t xml:space="preserve"> </w:t>
      </w:r>
      <w:r w:rsidRPr="00971F39">
        <w:t xml:space="preserve">(D) Any unique identifier(s) the </w:t>
      </w:r>
      <w:r>
        <w:t xml:space="preserve">DCM </w:t>
      </w:r>
      <w:r w:rsidRPr="00971F39">
        <w:t xml:space="preserve">or </w:t>
      </w:r>
      <w:r>
        <w:t>SEF</w:t>
      </w:r>
      <w:r w:rsidRPr="00971F39">
        <w:t xml:space="preserve"> may assign to track the application, or the specific type of recognition or exemption; (E) If the application is for an enumerated bona fide hedging transaction or position, the name of the enumerated bona fide hedging transaction or position listed in Appendix A to this part;</w:t>
      </w:r>
      <w:r>
        <w:t xml:space="preserve"> </w:t>
      </w:r>
      <w:r w:rsidRPr="00971F39">
        <w:t>(F) If the application is for a spread transaction listed in the spread transaction definition in § 150.1, the name of the spread transaction as it is listed in § 150.1; (G) The identity of the applicant;</w:t>
      </w:r>
      <w:r>
        <w:t xml:space="preserve"> </w:t>
      </w:r>
      <w:r w:rsidRPr="00971F39">
        <w:t>(H) The listed commodity derivative contract or position(s) to which the application pertains;</w:t>
      </w:r>
      <w:r>
        <w:t xml:space="preserve"> </w:t>
      </w:r>
      <w:r w:rsidRPr="00971F39">
        <w:t>(I) The underlying cash commodity;</w:t>
      </w:r>
      <w:r>
        <w:t xml:space="preserve"> </w:t>
      </w:r>
      <w:r w:rsidRPr="00971F39">
        <w:t xml:space="preserve">(J) The maximum size of the commodity derivative position that is recognized by the </w:t>
      </w:r>
      <w:r>
        <w:t>DCM</w:t>
      </w:r>
      <w:r w:rsidRPr="00971F39">
        <w:t xml:space="preserve"> or </w:t>
      </w:r>
      <w:r>
        <w:t>SEF</w:t>
      </w:r>
      <w:r w:rsidRPr="00971F39">
        <w:t xml:space="preserve"> as a bona fide hedging transaction or position, specified by contract month and by the type of limit as spot month, single month, or all-months-combined, as applicable;</w:t>
      </w:r>
      <w:r>
        <w:t xml:space="preserve"> </w:t>
      </w:r>
      <w:r w:rsidRPr="00971F39">
        <w:t>(K) Any size limitations or conditions established for a spread exemption or other exemption; and</w:t>
      </w:r>
      <w:r>
        <w:t xml:space="preserve"> </w:t>
      </w:r>
      <w:r w:rsidRPr="00971F39">
        <w:t xml:space="preserve">(L) For bona fide hedging transactions or positions, a concise summary of the applicant’s activity in the cash markets and swaps markets for the commodity underlying the commodity derivative position for which the application was submitted. </w:t>
      </w:r>
    </w:p>
  </w:footnote>
  <w:footnote w:id="16">
    <w:p w14:paraId="01BD7A07" w14:textId="77777777" w:rsidR="004A2CA1" w:rsidRDefault="004A2CA1" w:rsidP="00DA11BB">
      <w:pPr>
        <w:pStyle w:val="FootnoteText"/>
      </w:pPr>
      <w:r>
        <w:rPr>
          <w:rStyle w:val="FootnoteReference"/>
        </w:rPr>
        <w:footnoteRef/>
      </w:r>
      <w:r>
        <w:t xml:space="preserve"> 6 exchanges x 12 months = 72 total monthly reports per year.</w:t>
      </w:r>
    </w:p>
  </w:footnote>
  <w:footnote w:id="17">
    <w:p w14:paraId="5CFF0FC5" w14:textId="77777777" w:rsidR="004A2CA1" w:rsidRDefault="004A2CA1" w:rsidP="00DA11BB">
      <w:pPr>
        <w:pStyle w:val="FootnoteText"/>
      </w:pPr>
      <w:r>
        <w:rPr>
          <w:rStyle w:val="FootnoteReference"/>
        </w:rPr>
        <w:footnoteRef/>
      </w:r>
      <w:r>
        <w:t xml:space="preserve"> 5 hours per monthly report x 12 months = 60 hours per year for each exchange. 60 annual hours x 6 exchanges = 360 aggregate annual hours for all exchanges.  </w:t>
      </w:r>
    </w:p>
  </w:footnote>
  <w:footnote w:id="18">
    <w:p w14:paraId="400CDF5F" w14:textId="77777777" w:rsidR="004A2CA1" w:rsidRPr="003F1340" w:rsidRDefault="004A2CA1" w:rsidP="000C6972">
      <w:pPr>
        <w:pStyle w:val="FootnoteText"/>
      </w:pPr>
      <w:r>
        <w:rPr>
          <w:rStyle w:val="FootnoteReference"/>
        </w:rPr>
        <w:footnoteRef/>
      </w:r>
      <w:r>
        <w:t xml:space="preserve"> </w:t>
      </w:r>
      <w:r w:rsidRPr="003F1340">
        <w:t xml:space="preserve">18 estimated annual submissions x 10 burden hours per submission = 180 aggregate annual burden hours. </w:t>
      </w:r>
      <w:r>
        <w:t xml:space="preserve"> </w:t>
      </w:r>
      <w:r w:rsidRPr="003F1340">
        <w:t xml:space="preserve">The preamble to the Final Rule states that </w:t>
      </w:r>
      <w:r w:rsidRPr="003F1340">
        <w:rPr>
          <w:rFonts w:cs="Times New Roman"/>
          <w:bCs/>
        </w:rPr>
        <w:t xml:space="preserve">it will take </w:t>
      </w:r>
      <w:r w:rsidRPr="003F1340">
        <w:rPr>
          <w:rFonts w:cs="Times New Roman"/>
        </w:rPr>
        <w:t>1</w:t>
      </w:r>
      <w:r w:rsidRPr="003F1340">
        <w:rPr>
          <w:rFonts w:cs="Times New Roman"/>
          <w:bCs/>
        </w:rPr>
        <w:t>0 hours to complete and file each submission for a total of 18 annual burden hours</w:t>
      </w:r>
      <w:r>
        <w:rPr>
          <w:rFonts w:cs="Times New Roman"/>
          <w:bCs/>
        </w:rPr>
        <w:t xml:space="preserve"> as opposed to 30 annual burden hours</w:t>
      </w:r>
      <w:r w:rsidRPr="003F1340">
        <w:rPr>
          <w:rFonts w:cs="Times New Roman"/>
          <w:bCs/>
        </w:rPr>
        <w:t xml:space="preserve"> for each exchange</w:t>
      </w:r>
      <w:r>
        <w:rPr>
          <w:rFonts w:cs="Times New Roman"/>
          <w:bCs/>
        </w:rPr>
        <w:t>, but correctly notes that</w:t>
      </w:r>
      <w:r w:rsidRPr="003F1340">
        <w:rPr>
          <w:rFonts w:cs="Times New Roman"/>
          <w:bCs/>
        </w:rPr>
        <w:t>180 burden hours</w:t>
      </w:r>
      <w:r>
        <w:rPr>
          <w:rFonts w:cs="Times New Roman"/>
          <w:bCs/>
        </w:rPr>
        <w:t xml:space="preserve"> is the total amount of burden hours</w:t>
      </w:r>
      <w:r w:rsidRPr="003F1340">
        <w:rPr>
          <w:rFonts w:cs="Times New Roman"/>
          <w:bCs/>
        </w:rPr>
        <w:t xml:space="preserve"> for all exchanges.</w:t>
      </w:r>
    </w:p>
  </w:footnote>
  <w:footnote w:id="19">
    <w:p w14:paraId="23DC8FEA" w14:textId="6D8679CE" w:rsidR="004A2CA1" w:rsidRDefault="004A2CA1" w:rsidP="00737D9F">
      <w:pPr>
        <w:pStyle w:val="FootnoteText"/>
      </w:pPr>
      <w:r>
        <w:rPr>
          <w:rStyle w:val="FootnoteReference"/>
        </w:rPr>
        <w:footnoteRef/>
      </w:r>
      <w:r>
        <w:t xml:space="preserve"> </w:t>
      </w:r>
      <w:r>
        <w:rPr>
          <w:bCs/>
        </w:rPr>
        <w:t>20 initial hours x 25 core referenced futures contracts = 500 one-time, aggregate burden hours.</w:t>
      </w:r>
      <w:r>
        <w:t xml:space="preserve">  While there is an initial annual submission, the Commission does not expect to require the exchanges to resubmit the supply estimates on an annual basis. </w:t>
      </w:r>
    </w:p>
  </w:footnote>
  <w:footnote w:id="20">
    <w:p w14:paraId="5F89C724" w14:textId="77777777" w:rsidR="004A2CA1" w:rsidRDefault="004A2CA1" w:rsidP="00737D9F">
      <w:pPr>
        <w:pStyle w:val="FootnoteText"/>
      </w:pPr>
      <w:r>
        <w:rPr>
          <w:rStyle w:val="FootnoteReference"/>
        </w:rPr>
        <w:footnoteRef/>
      </w:r>
      <w:r>
        <w:t xml:space="preserve"> The requirement includes all details of related cash, forward, futures, options, and swap positions and transactions, including anticipated requirements, production and royalties, contracts for services, cash commodity products and by-products, cross-commodity hedges, and a record of bona fide hedging swap counterparties.</w:t>
      </w:r>
    </w:p>
  </w:footnote>
  <w:footnote w:id="21">
    <w:p w14:paraId="43A9A6B1" w14:textId="77777777" w:rsidR="004A2CA1" w:rsidRDefault="004A2CA1">
      <w:pPr>
        <w:pStyle w:val="FootnoteText"/>
      </w:pPr>
      <w:r>
        <w:rPr>
          <w:rStyle w:val="FootnoteReference"/>
        </w:rPr>
        <w:footnoteRef/>
      </w:r>
      <w:r>
        <w:t xml:space="preserve"> As discussed above, the Commission anticipates that most traders will apply for exemptions under the process established under § 150.9, rather than under the §150.3 process.</w:t>
      </w:r>
    </w:p>
  </w:footnote>
  <w:footnote w:id="22">
    <w:p w14:paraId="5E6C9C61" w14:textId="77777777" w:rsidR="004A2CA1" w:rsidRPr="00925F5D" w:rsidRDefault="004A2CA1" w:rsidP="00204239">
      <w:pPr>
        <w:pStyle w:val="FootnoteText"/>
        <w:spacing w:after="40"/>
      </w:pPr>
      <w:r w:rsidRPr="00925F5D">
        <w:rPr>
          <w:rStyle w:val="FootnoteReference"/>
        </w:rPr>
        <w:footnoteRef/>
      </w:r>
      <w:r w:rsidRPr="00925F5D">
        <w:t xml:space="preserve"> The Commission believes the collections of information set forth above are necessary for the exchange to process requests for recognition of non-enumerated bona fide hedges for purposes of exchange-set position limits, and separately, if applicable, for the Commission to make its determination for purposes of federal position limits.  The information is used by the exchange to determine, and the Commission to review and determine, whether the facts and circumstances demonstrate it is appropriate to recognize a position as a non-enumerated bona fide hedging transaction or position.</w:t>
      </w:r>
    </w:p>
  </w:footnote>
  <w:footnote w:id="23">
    <w:p w14:paraId="07B82B67" w14:textId="77777777" w:rsidR="004A2CA1" w:rsidRPr="0001216F" w:rsidRDefault="004A2CA1" w:rsidP="0001216F">
      <w:pPr>
        <w:pStyle w:val="FootnoteText"/>
      </w:pPr>
      <w:r w:rsidRPr="0001216F">
        <w:rPr>
          <w:rStyle w:val="FootnoteReference"/>
        </w:rPr>
        <w:footnoteRef/>
      </w:r>
      <w:r w:rsidRPr="0001216F">
        <w:t xml:space="preserve"> As discussed above, the process and estimated burdens under § 150.9 do not apply to § 150.5(b) because § 150.5(b) applies to those physical commodity contracts that are not subject to federal position limits (as opposed to § 150.5(a), which applies to those contracts subject to federal position limits).  As a result, a trader that would use the process established under § 150.5(b) for exchange-set limits will not need to apply under § 150.9 since the trader would not need a bona fide hedge recognition or an exemption from federal position limits. </w:t>
      </w:r>
    </w:p>
  </w:footnote>
  <w:footnote w:id="24">
    <w:p w14:paraId="3F65D30D" w14:textId="77777777" w:rsidR="004A2CA1" w:rsidRPr="0001216F" w:rsidRDefault="004A2CA1" w:rsidP="00204239">
      <w:pPr>
        <w:pStyle w:val="FootnoteText"/>
        <w:spacing w:after="40"/>
      </w:pPr>
      <w:r w:rsidRPr="0001216F">
        <w:rPr>
          <w:rStyle w:val="FootnoteReference"/>
        </w:rPr>
        <w:footnoteRef/>
      </w:r>
      <w:r w:rsidRPr="0001216F">
        <w:t xml:space="preserve"> As discussed in connection with § 150.5(a) above, the Commission estimates that each</w:t>
      </w:r>
      <w:r>
        <w:t xml:space="preserve"> trader on average will make five</w:t>
      </w:r>
      <w:r w:rsidRPr="0001216F">
        <w:t xml:space="preserve"> application</w:t>
      </w:r>
      <w:r>
        <w:t>s each year for a total of 2,125</w:t>
      </w:r>
      <w:r w:rsidRPr="0001216F">
        <w:t xml:space="preserve"> applications across all exchanges.  The Commission further estimates that, for §§ 150.5(a) and 150.9(a), taken together, it will take two hours to complete and file eac</w:t>
      </w:r>
      <w:r>
        <w:t>h application for a total of ten</w:t>
      </w:r>
      <w:r w:rsidRPr="0001216F">
        <w:t xml:space="preserve"> annual burden hours for each trader and </w:t>
      </w:r>
      <w:r>
        <w:t>4,250</w:t>
      </w:r>
      <w:r w:rsidRPr="0001216F">
        <w:t xml:space="preserve"> aggregate annual burden hours for all trader</w:t>
      </w:r>
      <w:r>
        <w:t>s (2,125 annual applications x two</w:t>
      </w:r>
      <w:r w:rsidRPr="0001216F">
        <w:t xml:space="preserve"> burden hours </w:t>
      </w:r>
      <w:r>
        <w:t>per application = 4,250</w:t>
      </w:r>
      <w:r w:rsidRPr="0001216F">
        <w:t xml:space="preserve"> aggregate annual burden hours).  The Commission anticipates that compared to § 150.5(a), fewer traders will apply under § 150.9 since §150.9 applies only to non-enumerated bona fide hedge recognitions for federal purposes.  In comparison, while § 150.5</w:t>
      </w:r>
      <w:r w:rsidRPr="0001216F" w:rsidDel="00AB0019">
        <w:t xml:space="preserve"> </w:t>
      </w:r>
      <w:r w:rsidRPr="0001216F">
        <w:t xml:space="preserve">encompasses these same applications for non-enumerated bona fide hedge recognitions (but for the purpose of exchange-set limits), § 150.5(a) also includes enumerated bona fide hedge applications along with spread exemption requests.  </w:t>
      </w:r>
      <w:bookmarkStart w:id="7" w:name="_Hlk56510304"/>
      <w:r>
        <w:t>The Commission’s estimate of 4,250</w:t>
      </w:r>
      <w:r w:rsidRPr="0001216F">
        <w:t xml:space="preserve"> aggregate annual burden hours encompasses all such requests from all traders.</w:t>
      </w:r>
      <w:bookmarkEnd w:id="7"/>
      <w:r w:rsidRPr="0001216F">
        <w:t xml:space="preserve">  However, for the sake of clarity, the Commission anticipates that six exchanges each will receive one application per year for a non-enumerated bona fide hedge under § 150.9 (for a total of six applications across all exchanges); as noted, this burden is included in the Commission’s estimate of 425 annual applications in connection with its estimate under § 150.5(a).  </w:t>
      </w:r>
    </w:p>
  </w:footnote>
  <w:footnote w:id="25">
    <w:p w14:paraId="405E823F" w14:textId="77777777" w:rsidR="004A2CA1" w:rsidRPr="0001216F" w:rsidRDefault="004A2CA1" w:rsidP="00794CEF">
      <w:pPr>
        <w:pStyle w:val="FootnoteText"/>
      </w:pPr>
      <w:r w:rsidRPr="0001216F">
        <w:rPr>
          <w:rStyle w:val="FootnoteReference"/>
        </w:rPr>
        <w:footnoteRef/>
      </w:r>
      <w:r w:rsidRPr="0001216F">
        <w:t xml:space="preserve"> Regulation 150.9(d)(1) requires the exchange to keep full, complete, and systematic records, which include all pertinent data and memoranda, of all activities relating to the processing of such applications and the disposition thereof.  This requirement working in concert with § 1.31 allows the Commission to inspect any such records.  Separately, under § 150.9(e)(5), if the Commission determines additional information is required to conduct its review, then it would notify the exchange and the relevant market participant of any issues identified and provide them with an opportunity to provide supplemental information.  </w:t>
      </w:r>
      <w:r>
        <w:t xml:space="preserve">Further, </w:t>
      </w:r>
      <w:r w:rsidRPr="00F05FDD">
        <w:t>Regulation 150.9(g)(1) provides the Commission’s authority to, at its discretion, and at any time, review the exchange’s processes, retention of records, and compliance with requirements established and implemented under this section.  Under § 150.9(g)(2), if the Commission determines additional</w:t>
      </w:r>
      <w:r w:rsidRPr="009D0AB1">
        <w:t xml:space="preserve"> information is required to conduct its review, pursuant to § 150.9(g)(1), then it would notify the exchange and the relevant market participant of any issues identified and provide them with ten business days to provide supplemental information.  </w:t>
      </w:r>
    </w:p>
  </w:footnote>
  <w:footnote w:id="26">
    <w:p w14:paraId="04B793A4" w14:textId="77777777" w:rsidR="004A2CA1" w:rsidRPr="00F05FDD" w:rsidRDefault="004A2CA1" w:rsidP="00450D22">
      <w:pPr>
        <w:pStyle w:val="FootnoteText"/>
        <w:spacing w:after="40"/>
      </w:pPr>
      <w:r w:rsidRPr="00F05FDD">
        <w:rPr>
          <w:rStyle w:val="FootnoteReference"/>
        </w:rPr>
        <w:footnoteRef/>
      </w:r>
      <w:r w:rsidRPr="00F05FDD">
        <w:t xml:space="preserve"> Two exchanges per year subject to a Commission inspection x 4 hours per inspection request = 8 aggregate annual burden hours for all exchanges.</w:t>
      </w:r>
    </w:p>
  </w:footnote>
  <w:footnote w:id="27">
    <w:p w14:paraId="7B147B95" w14:textId="77777777" w:rsidR="004A2CA1" w:rsidRPr="00F05FDD" w:rsidRDefault="004A2CA1" w:rsidP="003442B3">
      <w:pPr>
        <w:pStyle w:val="FootnoteText"/>
      </w:pPr>
      <w:r w:rsidRPr="00F05FDD">
        <w:rPr>
          <w:rStyle w:val="FootnoteReference"/>
        </w:rPr>
        <w:footnoteRef/>
      </w:r>
      <w:r w:rsidRPr="00F05FDD">
        <w:t xml:space="preserve"> Twelve notices for all exchanges x 0.5 hours per notice = six (6) total burden hours across all exchanges.</w:t>
      </w:r>
    </w:p>
  </w:footnote>
  <w:footnote w:id="28">
    <w:p w14:paraId="5BD5EAFA" w14:textId="77777777" w:rsidR="004A2CA1" w:rsidRPr="00F05FDD" w:rsidRDefault="004A2CA1" w:rsidP="001A7562">
      <w:pPr>
        <w:pStyle w:val="FootnoteText"/>
        <w:spacing w:after="40"/>
      </w:pPr>
      <w:r w:rsidRPr="00F05FDD">
        <w:rPr>
          <w:rStyle w:val="FootnoteReference"/>
        </w:rPr>
        <w:footnoteRef/>
      </w:r>
      <w:r w:rsidRPr="00F05FDD">
        <w:t xml:space="preserve"> For example, exchanges have frequently submitted advance courtesy copies of new rule filings and product filings to the Commission under the part 40 regulations. </w:t>
      </w:r>
    </w:p>
  </w:footnote>
  <w:footnote w:id="29">
    <w:p w14:paraId="3BAFB625" w14:textId="77777777" w:rsidR="004A2CA1" w:rsidRDefault="004A2CA1">
      <w:pPr>
        <w:pStyle w:val="FootnoteText"/>
      </w:pPr>
      <w:r>
        <w:rPr>
          <w:rStyle w:val="FootnoteReference"/>
        </w:rPr>
        <w:footnoteRef/>
      </w:r>
      <w:r>
        <w:t xml:space="preserve"> This value excludes the estimated reporting burden of $110,000 for § 19.02, discussed below, which is included in Attachment A (OMB 3038-0013). </w:t>
      </w:r>
    </w:p>
  </w:footnote>
  <w:footnote w:id="30">
    <w:p w14:paraId="5EEB6F93" w14:textId="77777777" w:rsidR="004A2CA1" w:rsidRDefault="004A2CA1" w:rsidP="00384D83">
      <w:pPr>
        <w:pStyle w:val="FootnoteText"/>
      </w:pPr>
      <w:r>
        <w:rPr>
          <w:rStyle w:val="FootnoteReference"/>
        </w:rPr>
        <w:footnoteRef/>
      </w:r>
      <w:r>
        <w:t xml:space="preserve"> 55 Form 304 reports + 50 Form 204 reports = 105 reportable traders.</w:t>
      </w:r>
    </w:p>
  </w:footnote>
  <w:footnote w:id="31">
    <w:p w14:paraId="092434D8" w14:textId="77777777" w:rsidR="004A2CA1" w:rsidRDefault="004A2CA1" w:rsidP="00384D83">
      <w:pPr>
        <w:pStyle w:val="FootnoteText"/>
      </w:pPr>
      <w:r>
        <w:rPr>
          <w:rStyle w:val="FootnoteReference"/>
        </w:rPr>
        <w:footnoteRef/>
      </w:r>
      <w:r>
        <w:t xml:space="preserve"> 2,860 Form 304s + 600 Form 204s = 3,460 total annual series ’04 reports.</w:t>
      </w:r>
    </w:p>
  </w:footnote>
  <w:footnote w:id="32">
    <w:p w14:paraId="4D0BFF29" w14:textId="77777777" w:rsidR="004A2CA1" w:rsidRDefault="004A2CA1" w:rsidP="00384D83">
      <w:pPr>
        <w:pStyle w:val="FootnoteText"/>
      </w:pPr>
      <w:r>
        <w:rPr>
          <w:rStyle w:val="FootnoteReference"/>
        </w:rPr>
        <w:footnoteRef/>
      </w:r>
      <w:r>
        <w:t xml:space="preserve"> 3,460 series ’04 reports x 0.5 hours per report = 1,730 annual aggregate burden hours</w:t>
      </w:r>
      <w:r w:rsidDel="00A20FC5">
        <w:t xml:space="preserve">.  These revised estimates result in an increased estimate under existing part 19 of 355 </w:t>
      </w:r>
      <w:r>
        <w:t>s</w:t>
      </w:r>
      <w:r w:rsidDel="00A20FC5">
        <w:t xml:space="preserve">eries ’04 reports submitted by traders (3,460 estimated </w:t>
      </w:r>
      <w:r>
        <w:t>s</w:t>
      </w:r>
      <w:r w:rsidDel="00A20FC5">
        <w:t xml:space="preserve">eries ’04 reports – 3,105 submissions from the Commission’s previous estimate = </w:t>
      </w:r>
      <w:r>
        <w:t xml:space="preserve">an increase of </w:t>
      </w:r>
      <w:r w:rsidDel="00A20FC5">
        <w:t xml:space="preserve">355 response difference); an increase of 177 aggregate burden hours across all respondents (1,730 aggregate burden hours – 1,553 aggregate burden hours from the Commission’s previous estimate = </w:t>
      </w:r>
      <w:r>
        <w:t xml:space="preserve">an increase of </w:t>
      </w:r>
      <w:r w:rsidDel="00A20FC5">
        <w:t>177 aggregate burden hours); and a decrease of 30 respondent traders (105 respondents – 135 respondents from the Commission’s previous estimate = a decrease of 30 respondents).</w:t>
      </w:r>
    </w:p>
  </w:footnote>
  <w:footnote w:id="33">
    <w:p w14:paraId="5E2F326F" w14:textId="77777777" w:rsidR="004A2CA1" w:rsidRDefault="004A2CA1" w:rsidP="00384D83">
      <w:pPr>
        <w:pStyle w:val="FootnoteText"/>
      </w:pPr>
      <w:r>
        <w:rPr>
          <w:rStyle w:val="FootnoteReference"/>
        </w:rPr>
        <w:footnoteRef/>
      </w:r>
      <w:r>
        <w:t xml:space="preserve"> 50 monthly Form 204 reports x 12 months = 600 total annual reports.</w:t>
      </w:r>
    </w:p>
  </w:footnote>
  <w:footnote w:id="34">
    <w:p w14:paraId="53AEA244" w14:textId="77777777" w:rsidR="004A2CA1" w:rsidRDefault="004A2CA1" w:rsidP="00384D83">
      <w:pPr>
        <w:pStyle w:val="FootnoteText"/>
      </w:pPr>
      <w:r>
        <w:rPr>
          <w:rStyle w:val="FootnoteReference"/>
        </w:rPr>
        <w:footnoteRef/>
      </w:r>
      <w:r>
        <w:t xml:space="preserve"> 600 Form 204 reports x 0.5 burden hours per report = 300 aggregate annual burden hours.</w:t>
      </w:r>
    </w:p>
  </w:footnote>
  <w:footnote w:id="35">
    <w:p w14:paraId="6D93F1A7" w14:textId="77777777" w:rsidR="004A2CA1" w:rsidRDefault="004A2CA1" w:rsidP="00384D83">
      <w:pPr>
        <w:pStyle w:val="FootnoteText"/>
      </w:pPr>
      <w:r>
        <w:rPr>
          <w:rStyle w:val="FootnoteReference"/>
        </w:rPr>
        <w:footnoteRef/>
      </w:r>
      <w:r>
        <w:t xml:space="preserve"> Since the Commission’s Final Rule   eliminates Parts I and II of Form 304, amended Form 304 only refers to existing Part III of that form.</w:t>
      </w:r>
    </w:p>
  </w:footnote>
  <w:footnote w:id="36">
    <w:p w14:paraId="5FAA8389" w14:textId="77777777" w:rsidR="004A2CA1" w:rsidRDefault="004A2CA1" w:rsidP="00384D83">
      <w:pPr>
        <w:pStyle w:val="FootnoteText"/>
      </w:pPr>
      <w:r>
        <w:rPr>
          <w:rStyle w:val="FootnoteReference"/>
        </w:rPr>
        <w:footnoteRef/>
      </w:r>
      <w:r>
        <w:t xml:space="preserve"> 55 weekly Form 304 reports x 52 weeks = 2,860 total annual Form 304 reports.</w:t>
      </w:r>
    </w:p>
  </w:footnote>
  <w:footnote w:id="37">
    <w:p w14:paraId="2B84FFF4" w14:textId="77777777" w:rsidR="004A2CA1" w:rsidRDefault="004A2CA1" w:rsidP="00384D83">
      <w:pPr>
        <w:pStyle w:val="FootnoteText"/>
      </w:pPr>
      <w:r>
        <w:rPr>
          <w:rStyle w:val="FootnoteReference"/>
        </w:rPr>
        <w:footnoteRef/>
      </w:r>
      <w:r>
        <w:t xml:space="preserve"> 2,860 Form 304 reports x 0.5 burden hours per report = 1,430 aggregate annual burden hours.</w:t>
      </w:r>
    </w:p>
  </w:footnote>
  <w:footnote w:id="38">
    <w:p w14:paraId="285BFDAC" w14:textId="42224D82" w:rsidR="004A2CA1" w:rsidRPr="00712BA2" w:rsidRDefault="004A2CA1" w:rsidP="007D22E3">
      <w:pPr>
        <w:pStyle w:val="FootnoteText"/>
        <w:rPr>
          <w:sz w:val="16"/>
          <w:szCs w:val="16"/>
        </w:rPr>
      </w:pPr>
      <w:r w:rsidRPr="00712BA2">
        <w:rPr>
          <w:rStyle w:val="FootnoteReference"/>
          <w:sz w:val="16"/>
          <w:szCs w:val="16"/>
        </w:rPr>
        <w:footnoteRef/>
      </w:r>
      <w:r w:rsidRPr="00712BA2">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$91, lawyer is $97, and compliance officer is $44.  The average of those wages is $77.</w:t>
      </w:r>
    </w:p>
  </w:footnote>
  <w:footnote w:id="39">
    <w:p w14:paraId="6C1F74A4" w14:textId="52B30600" w:rsidR="004A2CA1" w:rsidRPr="00712BA2" w:rsidRDefault="004A2CA1">
      <w:pPr>
        <w:pStyle w:val="FootnoteText"/>
        <w:rPr>
          <w:sz w:val="16"/>
          <w:szCs w:val="16"/>
        </w:rPr>
      </w:pPr>
      <w:r w:rsidRPr="00712BA2">
        <w:rPr>
          <w:rStyle w:val="FootnoteReference"/>
          <w:sz w:val="16"/>
          <w:szCs w:val="16"/>
        </w:rPr>
        <w:footnoteRef/>
      </w:r>
      <w:r w:rsidRPr="00712BA2">
        <w:rPr>
          <w:sz w:val="16"/>
          <w:szCs w:val="16"/>
        </w:rPr>
        <w:t xml:space="preserve"> 71,31</w:t>
      </w:r>
      <w:r>
        <w:rPr>
          <w:sz w:val="16"/>
          <w:szCs w:val="16"/>
        </w:rPr>
        <w:t>2</w:t>
      </w:r>
      <w:r w:rsidRPr="00712BA2">
        <w:rPr>
          <w:sz w:val="16"/>
          <w:szCs w:val="16"/>
        </w:rPr>
        <w:t xml:space="preserve"> total annual responses (column 8)/ 34</w:t>
      </w:r>
      <w:r>
        <w:rPr>
          <w:sz w:val="16"/>
          <w:szCs w:val="16"/>
        </w:rPr>
        <w:t>4</w:t>
      </w:r>
      <w:r w:rsidRPr="00712BA2">
        <w:rPr>
          <w:sz w:val="16"/>
          <w:szCs w:val="16"/>
        </w:rPr>
        <w:t xml:space="preserve"> distinct entities or persons (column 2) = 20</w:t>
      </w:r>
      <w:r>
        <w:rPr>
          <w:sz w:val="16"/>
          <w:szCs w:val="16"/>
        </w:rPr>
        <w:t>7</w:t>
      </w:r>
      <w:r w:rsidRPr="00712BA2">
        <w:rPr>
          <w:sz w:val="16"/>
          <w:szCs w:val="16"/>
        </w:rPr>
        <w:t>.</w:t>
      </w:r>
      <w:r>
        <w:rPr>
          <w:sz w:val="16"/>
          <w:szCs w:val="16"/>
        </w:rPr>
        <w:t>3</w:t>
      </w:r>
      <w:r w:rsidRPr="00712BA2">
        <w:rPr>
          <w:sz w:val="16"/>
          <w:szCs w:val="16"/>
        </w:rPr>
        <w:t xml:space="preserve"> (rounded to 207) average responses per respondent.</w:t>
      </w:r>
    </w:p>
  </w:footnote>
  <w:footnote w:id="40">
    <w:p w14:paraId="0DCAAA86" w14:textId="6DF13369" w:rsidR="004A2CA1" w:rsidRPr="00712BA2" w:rsidRDefault="004A2CA1">
      <w:pPr>
        <w:pStyle w:val="FootnoteText"/>
        <w:rPr>
          <w:sz w:val="16"/>
          <w:szCs w:val="16"/>
        </w:rPr>
      </w:pPr>
      <w:r w:rsidRPr="00712BA2">
        <w:rPr>
          <w:rStyle w:val="FootnoteReference"/>
          <w:sz w:val="16"/>
          <w:szCs w:val="16"/>
        </w:rPr>
        <w:footnoteRef/>
      </w:r>
      <w:r w:rsidRPr="00712BA2">
        <w:rPr>
          <w:sz w:val="16"/>
          <w:szCs w:val="16"/>
        </w:rPr>
        <w:t xml:space="preserve"> 18,1</w:t>
      </w:r>
      <w:r>
        <w:rPr>
          <w:sz w:val="16"/>
          <w:szCs w:val="16"/>
        </w:rPr>
        <w:t>38</w:t>
      </w:r>
      <w:r w:rsidRPr="00712BA2">
        <w:rPr>
          <w:sz w:val="16"/>
          <w:szCs w:val="16"/>
        </w:rPr>
        <w:t xml:space="preserve"> total annual number of burden hours (column 9) / 71,31</w:t>
      </w:r>
      <w:r>
        <w:rPr>
          <w:sz w:val="16"/>
          <w:szCs w:val="16"/>
        </w:rPr>
        <w:t>2</w:t>
      </w:r>
      <w:r w:rsidRPr="00712BA2">
        <w:rPr>
          <w:sz w:val="16"/>
          <w:szCs w:val="16"/>
        </w:rPr>
        <w:t xml:space="preserve"> total annual responses (column 8) = 0.254.</w:t>
      </w:r>
    </w:p>
  </w:footnote>
  <w:footnote w:id="41">
    <w:p w14:paraId="32FC7C5F" w14:textId="7A18234B" w:rsidR="004A2CA1" w:rsidRPr="00712BA2" w:rsidRDefault="004A2CA1">
      <w:pPr>
        <w:pStyle w:val="FootnoteText"/>
        <w:rPr>
          <w:sz w:val="16"/>
          <w:szCs w:val="16"/>
        </w:rPr>
      </w:pPr>
      <w:r w:rsidRPr="00712BA2">
        <w:rPr>
          <w:rStyle w:val="FootnoteReference"/>
          <w:sz w:val="16"/>
          <w:szCs w:val="16"/>
        </w:rPr>
        <w:footnoteRef/>
      </w:r>
      <w:r w:rsidRPr="00712BA2">
        <w:rPr>
          <w:sz w:val="16"/>
          <w:szCs w:val="16"/>
        </w:rPr>
        <w:t xml:space="preserve"> 18,1</w:t>
      </w:r>
      <w:r>
        <w:rPr>
          <w:sz w:val="16"/>
          <w:szCs w:val="16"/>
        </w:rPr>
        <w:t>38</w:t>
      </w:r>
      <w:r w:rsidRPr="00712BA2">
        <w:rPr>
          <w:sz w:val="16"/>
          <w:szCs w:val="16"/>
        </w:rPr>
        <w:t xml:space="preserve"> total annual burden hours (column 9) / 34</w:t>
      </w:r>
      <w:r>
        <w:rPr>
          <w:sz w:val="16"/>
          <w:szCs w:val="16"/>
        </w:rPr>
        <w:t>4</w:t>
      </w:r>
      <w:r w:rsidRPr="00712BA2">
        <w:rPr>
          <w:sz w:val="16"/>
          <w:szCs w:val="16"/>
        </w:rPr>
        <w:t xml:space="preserve"> total respondents (column 2) = 52.</w:t>
      </w:r>
      <w:r>
        <w:rPr>
          <w:sz w:val="16"/>
          <w:szCs w:val="16"/>
        </w:rPr>
        <w:t>7</w:t>
      </w:r>
      <w:r w:rsidRPr="00712BA2">
        <w:rPr>
          <w:sz w:val="16"/>
          <w:szCs w:val="16"/>
        </w:rPr>
        <w:t xml:space="preserve"> (rounded up to 53).</w:t>
      </w:r>
    </w:p>
  </w:footnote>
  <w:footnote w:id="42">
    <w:p w14:paraId="1B3C0A00" w14:textId="40F25F47" w:rsidR="004A2CA1" w:rsidRPr="00712BA2" w:rsidRDefault="004A2CA1">
      <w:pPr>
        <w:pStyle w:val="FootnoteText"/>
        <w:rPr>
          <w:sz w:val="16"/>
          <w:szCs w:val="16"/>
        </w:rPr>
      </w:pPr>
      <w:r w:rsidRPr="00712BA2">
        <w:rPr>
          <w:rStyle w:val="FootnoteReference"/>
          <w:sz w:val="16"/>
          <w:szCs w:val="16"/>
        </w:rPr>
        <w:footnoteRef/>
      </w:r>
      <w:r w:rsidRPr="00712BA2">
        <w:rPr>
          <w:sz w:val="16"/>
          <w:szCs w:val="16"/>
        </w:rPr>
        <w:t xml:space="preserve"> $</w:t>
      </w:r>
      <w:r w:rsidRPr="00712BA2">
        <w:rPr>
          <w:rFonts w:eastAsia="Times New Roman" w:cs="Times New Roman"/>
          <w:sz w:val="16"/>
          <w:szCs w:val="16"/>
        </w:rPr>
        <w:t>1,396,682</w:t>
      </w:r>
      <w:r w:rsidRPr="00712BA2">
        <w:rPr>
          <w:sz w:val="16"/>
          <w:szCs w:val="16"/>
        </w:rPr>
        <w:t xml:space="preserve"> (total annual burden hours cost in column 10) / 34</w:t>
      </w:r>
      <w:r>
        <w:rPr>
          <w:sz w:val="16"/>
          <w:szCs w:val="16"/>
        </w:rPr>
        <w:t>4</w:t>
      </w:r>
      <w:r w:rsidRPr="00712BA2">
        <w:rPr>
          <w:sz w:val="16"/>
          <w:szCs w:val="16"/>
        </w:rPr>
        <w:t xml:space="preserve"> (total estimated respondents in column 2) = $4,0</w:t>
      </w:r>
      <w:r>
        <w:rPr>
          <w:sz w:val="16"/>
          <w:szCs w:val="16"/>
        </w:rPr>
        <w:t>60</w:t>
      </w:r>
      <w:r w:rsidRPr="00712BA2">
        <w:rPr>
          <w:sz w:val="16"/>
          <w:szCs w:val="16"/>
        </w:rPr>
        <w:t xml:space="preserve"> average burden hours cost per respondent</w:t>
      </w:r>
      <w:r>
        <w:rPr>
          <w:sz w:val="16"/>
          <w:szCs w:val="16"/>
        </w:rPr>
        <w:t>.</w:t>
      </w:r>
    </w:p>
  </w:footnote>
  <w:footnote w:id="43">
    <w:p w14:paraId="69587265" w14:textId="2FE7B2FD" w:rsidR="004A2CA1" w:rsidRPr="000B74E4" w:rsidRDefault="004A2CA1" w:rsidP="00242760">
      <w:pPr>
        <w:pStyle w:val="FootnoteText"/>
        <w:rPr>
          <w:sz w:val="16"/>
          <w:szCs w:val="16"/>
        </w:rPr>
      </w:pPr>
      <w:r w:rsidRPr="000B74E4">
        <w:rPr>
          <w:rStyle w:val="FootnoteReference"/>
          <w:sz w:val="16"/>
          <w:szCs w:val="16"/>
        </w:rPr>
        <w:footnoteRef/>
      </w:r>
      <w:r w:rsidRPr="000B74E4">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$91, lawyer is $97, and compliance officer is $44.  The average of those wages is $77.  </w:t>
      </w:r>
      <w:r w:rsidRPr="000B74E4">
        <w:rPr>
          <w:i/>
          <w:sz w:val="16"/>
          <w:szCs w:val="16"/>
        </w:rPr>
        <w:t>See</w:t>
      </w:r>
      <w:r w:rsidRPr="000B74E4">
        <w:rPr>
          <w:sz w:val="16"/>
          <w:szCs w:val="16"/>
        </w:rPr>
        <w:t xml:space="preserve"> May 2019 National Industry-Specific Occupational Employment and Wage Estimates, NAICS 523000 - Securities, Commodity Contracts, and Other Financial Investments and Related Activities, </w:t>
      </w:r>
      <w:r w:rsidRPr="000B74E4">
        <w:rPr>
          <w:i/>
          <w:sz w:val="16"/>
          <w:szCs w:val="16"/>
        </w:rPr>
        <w:t>available at</w:t>
      </w:r>
      <w:r w:rsidRPr="000B74E4">
        <w:rPr>
          <w:sz w:val="16"/>
          <w:szCs w:val="16"/>
        </w:rPr>
        <w:t>: https://www.bls.gov/oes/current/naics4_523000.htm.</w:t>
      </w:r>
    </w:p>
  </w:footnote>
  <w:footnote w:id="44">
    <w:p w14:paraId="01298914" w14:textId="4ED7EE45" w:rsidR="004A2CA1" w:rsidRPr="000B74E4" w:rsidRDefault="004A2CA1" w:rsidP="004D5FE6">
      <w:pPr>
        <w:pStyle w:val="FootnoteText"/>
        <w:rPr>
          <w:sz w:val="16"/>
          <w:szCs w:val="16"/>
        </w:rPr>
      </w:pPr>
      <w:r w:rsidRPr="000B74E4">
        <w:rPr>
          <w:rStyle w:val="FootnoteReference"/>
          <w:sz w:val="16"/>
          <w:szCs w:val="16"/>
        </w:rPr>
        <w:footnoteRef/>
      </w:r>
      <w:r w:rsidRPr="000B74E4">
        <w:rPr>
          <w:sz w:val="16"/>
          <w:szCs w:val="16"/>
        </w:rPr>
        <w:t xml:space="preserve"> The Commission is providing an industry specific wage for lawyers, who are likely to be primarily responsible for handling certain activities. Per the BLS, national industry-specific occupational employment and wage estimates with data collected from employers in the securities, commodity contracts, and other financial investments and related activities provides that the mean hourly wage for a lawyer is $97.  </w:t>
      </w:r>
      <w:r w:rsidRPr="000B74E4">
        <w:rPr>
          <w:i/>
          <w:sz w:val="16"/>
          <w:szCs w:val="16"/>
        </w:rPr>
        <w:t>See</w:t>
      </w:r>
      <w:r w:rsidRPr="000B74E4">
        <w:rPr>
          <w:sz w:val="16"/>
          <w:szCs w:val="16"/>
        </w:rPr>
        <w:t xml:space="preserve"> May 2019 National Industry-Specific Occupational Employment and Wage Estimates, NAICS 523000 - Securities, Commodity Contracts, and Other Financial Investments and Related Activities, </w:t>
      </w:r>
      <w:r w:rsidRPr="000B74E4">
        <w:rPr>
          <w:i/>
          <w:sz w:val="16"/>
          <w:szCs w:val="16"/>
        </w:rPr>
        <w:t>available at</w:t>
      </w:r>
      <w:r w:rsidRPr="000B74E4">
        <w:rPr>
          <w:sz w:val="16"/>
          <w:szCs w:val="16"/>
        </w:rPr>
        <w:t xml:space="preserve">: https://www.bls.gov/oes/current/naics4_523000.htm. </w:t>
      </w:r>
    </w:p>
  </w:footnote>
  <w:footnote w:id="45">
    <w:p w14:paraId="317C6576" w14:textId="77777777" w:rsidR="004A2CA1" w:rsidRPr="000B74E4" w:rsidRDefault="004A2CA1">
      <w:pPr>
        <w:pStyle w:val="FootnoteText"/>
        <w:rPr>
          <w:sz w:val="16"/>
          <w:szCs w:val="16"/>
        </w:rPr>
      </w:pPr>
      <w:r w:rsidRPr="000B74E4">
        <w:rPr>
          <w:rStyle w:val="FootnoteReference"/>
          <w:sz w:val="16"/>
          <w:szCs w:val="16"/>
        </w:rPr>
        <w:footnoteRef/>
      </w:r>
      <w:r w:rsidRPr="000B74E4">
        <w:rPr>
          <w:sz w:val="16"/>
          <w:szCs w:val="16"/>
        </w:rPr>
        <w:t xml:space="preserve"> The Commission expects to request one initial submission for each of the 25 core referenced futures contracts to be subject to position limits, which requires only the exchange that lists the product to make a filing.  This will not be an annual obligation.</w:t>
      </w:r>
    </w:p>
  </w:footnote>
  <w:footnote w:id="46">
    <w:p w14:paraId="49F40B96" w14:textId="0C6FE4C0" w:rsidR="004A2CA1" w:rsidRPr="00776C58" w:rsidRDefault="004A2CA1">
      <w:pPr>
        <w:pStyle w:val="FootnoteText"/>
        <w:rPr>
          <w:sz w:val="16"/>
          <w:szCs w:val="16"/>
        </w:rPr>
      </w:pPr>
      <w:r w:rsidRPr="00776C58">
        <w:rPr>
          <w:rStyle w:val="FootnoteReference"/>
          <w:sz w:val="16"/>
          <w:szCs w:val="16"/>
        </w:rPr>
        <w:footnoteRef/>
      </w:r>
      <w:r w:rsidRPr="00776C58">
        <w:rPr>
          <w:sz w:val="16"/>
          <w:szCs w:val="16"/>
        </w:rPr>
        <w:t xml:space="preserve"> This number has been rounded up to 500 because the 25 applications are spread across 6 respondent exchanges.</w:t>
      </w:r>
    </w:p>
  </w:footnote>
  <w:footnote w:id="47">
    <w:p w14:paraId="069AF53D" w14:textId="77777777" w:rsidR="004A2CA1" w:rsidRPr="000B74E4" w:rsidRDefault="004A2CA1">
      <w:pPr>
        <w:pStyle w:val="FootnoteText"/>
        <w:rPr>
          <w:sz w:val="16"/>
          <w:szCs w:val="16"/>
        </w:rPr>
      </w:pPr>
      <w:r w:rsidRPr="000B74E4">
        <w:rPr>
          <w:rStyle w:val="FootnoteReference"/>
          <w:sz w:val="16"/>
          <w:szCs w:val="16"/>
        </w:rPr>
        <w:footnoteRef/>
      </w:r>
      <w:r w:rsidRPr="000B74E4">
        <w:rPr>
          <w:sz w:val="16"/>
          <w:szCs w:val="16"/>
        </w:rPr>
        <w:t xml:space="preserve"> The 6 exchanges are only counted once towards the total.</w:t>
      </w:r>
    </w:p>
  </w:footnote>
  <w:footnote w:id="48">
    <w:p w14:paraId="3DA145B4" w14:textId="6060CE25" w:rsidR="004A2CA1" w:rsidRPr="008B6BA9" w:rsidRDefault="004A2CA1">
      <w:pPr>
        <w:pStyle w:val="FootnoteText"/>
        <w:rPr>
          <w:sz w:val="16"/>
          <w:szCs w:val="16"/>
        </w:rPr>
      </w:pPr>
      <w:r w:rsidRPr="008B6BA9">
        <w:rPr>
          <w:rStyle w:val="FootnoteReference"/>
          <w:sz w:val="16"/>
          <w:szCs w:val="16"/>
        </w:rPr>
        <w:footnoteRef/>
      </w:r>
      <w:r w:rsidRPr="008B6BA9">
        <w:rPr>
          <w:sz w:val="16"/>
          <w:szCs w:val="16"/>
        </w:rPr>
        <w:t xml:space="preserve"> </w:t>
      </w:r>
      <w:r>
        <w:rPr>
          <w:sz w:val="16"/>
          <w:szCs w:val="16"/>
        </w:rPr>
        <w:t>The total number of responses for all respondents is the product of the applicable responses for each applicable reporting or recordkeeping requirement to the effected respondent and not the product of the total number of responses per respondent set forth in the total for column 2.</w:t>
      </w:r>
    </w:p>
  </w:footnote>
  <w:footnote w:id="49">
    <w:p w14:paraId="01BECCFD" w14:textId="2B8DC298" w:rsidR="004A2CA1" w:rsidRPr="00DC34D2" w:rsidRDefault="004A2CA1" w:rsidP="008910C2">
      <w:pPr>
        <w:pStyle w:val="FootnoteText"/>
        <w:rPr>
          <w:sz w:val="16"/>
        </w:rPr>
      </w:pPr>
      <w:r w:rsidRPr="000B74E4">
        <w:rPr>
          <w:rStyle w:val="FootnoteReference"/>
          <w:sz w:val="16"/>
          <w:szCs w:val="16"/>
        </w:rPr>
        <w:footnoteRef/>
      </w:r>
      <w:r w:rsidRPr="000B74E4">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$91, lawyer is $97, and compliance officer is $44.  The average of those wages is $77.  </w:t>
      </w:r>
      <w:r w:rsidRPr="000B74E4">
        <w:rPr>
          <w:i/>
          <w:sz w:val="16"/>
          <w:szCs w:val="16"/>
        </w:rPr>
        <w:t>See</w:t>
      </w:r>
      <w:r w:rsidRPr="000B74E4">
        <w:rPr>
          <w:sz w:val="16"/>
          <w:szCs w:val="16"/>
        </w:rPr>
        <w:t xml:space="preserve"> May 2019 National Industry-Specific Occupational Employment and Wage Estimates, NAICS 523000 - Securities, Commodity Contracts, and Other Financial Investments and Related Activities, </w:t>
      </w:r>
      <w:r w:rsidRPr="000B74E4">
        <w:rPr>
          <w:i/>
          <w:sz w:val="16"/>
          <w:szCs w:val="16"/>
        </w:rPr>
        <w:t>available at</w:t>
      </w:r>
      <w:r w:rsidRPr="000B74E4">
        <w:rPr>
          <w:sz w:val="16"/>
          <w:szCs w:val="16"/>
        </w:rPr>
        <w:t>: https://www.bls.gov/oes/current/naics4_523000.htm.</w:t>
      </w:r>
    </w:p>
  </w:footnote>
  <w:footnote w:id="50">
    <w:p w14:paraId="0FCABB00" w14:textId="77777777" w:rsidR="004A2CA1" w:rsidRPr="00FC2BB1" w:rsidRDefault="004A2CA1">
      <w:pPr>
        <w:pStyle w:val="FootnoteText"/>
        <w:rPr>
          <w:sz w:val="16"/>
          <w:szCs w:val="16"/>
        </w:rPr>
      </w:pPr>
      <w:r w:rsidRPr="00FC2BB1">
        <w:rPr>
          <w:rStyle w:val="FootnoteReference"/>
          <w:sz w:val="16"/>
          <w:szCs w:val="16"/>
        </w:rPr>
        <w:footnoteRef/>
      </w:r>
      <w:r w:rsidRPr="00FC2BB1">
        <w:rPr>
          <w:sz w:val="16"/>
          <w:szCs w:val="16"/>
        </w:rPr>
        <w:t xml:space="preserve"> </w:t>
      </w:r>
      <w:r w:rsidRPr="00FC2BB1">
        <w:rPr>
          <w:rFonts w:cs="Times New Roman"/>
          <w:bCs/>
          <w:sz w:val="16"/>
          <w:szCs w:val="16"/>
        </w:rPr>
        <w:t>In addition to submitting a copy of any exchange-approved non-enumerated bona fide hedge application to the Commission under § 150.9(e), the preamble to the Final Rule clarifies that an exchange may, on a voluntary basis, send the Commission an advance courtesy copy of the non-enumerated bona fide hedge application when the exchange first receives it from the applicant.</w:t>
      </w:r>
    </w:p>
  </w:footnote>
  <w:footnote w:id="51">
    <w:p w14:paraId="6F74A9DB" w14:textId="77777777" w:rsidR="004A2CA1" w:rsidRDefault="004A2CA1">
      <w:pPr>
        <w:pStyle w:val="FootnoteText"/>
      </w:pPr>
      <w:r w:rsidRPr="00FC2BB1">
        <w:rPr>
          <w:rStyle w:val="FootnoteReference"/>
          <w:sz w:val="16"/>
          <w:szCs w:val="16"/>
        </w:rPr>
        <w:footnoteRef/>
      </w:r>
      <w:r w:rsidRPr="00FC2BB1">
        <w:rPr>
          <w:sz w:val="16"/>
          <w:szCs w:val="16"/>
        </w:rPr>
        <w:t xml:space="preserve"> Regulation 150.9(d)(1) requires the exchange to keep full, complete, and systematic records, which include all pertinent data and memoranda, of all activities relating to the processing of such applications and the disposition thereof.  This requirement working in concert with § 1.31 allows the Commission to inspect any such records.</w:t>
      </w:r>
      <w:r w:rsidRPr="00FC0A91">
        <w:rPr>
          <w:sz w:val="18"/>
          <w:szCs w:val="18"/>
        </w:rPr>
        <w:t xml:space="preserve">  </w:t>
      </w:r>
    </w:p>
  </w:footnote>
  <w:footnote w:id="52">
    <w:p w14:paraId="6F72793D" w14:textId="42693676" w:rsidR="004A2CA1" w:rsidRPr="00A559AB" w:rsidRDefault="004A2CA1">
      <w:pPr>
        <w:pStyle w:val="FootnoteText"/>
        <w:rPr>
          <w:sz w:val="16"/>
          <w:szCs w:val="16"/>
        </w:rPr>
      </w:pPr>
      <w:r w:rsidRPr="00A559AB">
        <w:rPr>
          <w:rStyle w:val="FootnoteReference"/>
          <w:sz w:val="16"/>
          <w:szCs w:val="16"/>
        </w:rPr>
        <w:footnoteRef/>
      </w:r>
      <w:r w:rsidRPr="00A559AB">
        <w:rPr>
          <w:sz w:val="16"/>
          <w:szCs w:val="16"/>
        </w:rPr>
        <w:t xml:space="preserve"> See supra comment 47.</w:t>
      </w:r>
    </w:p>
  </w:footnote>
  <w:footnote w:id="53">
    <w:p w14:paraId="69A52E41" w14:textId="376D6C08" w:rsidR="004A2CA1" w:rsidRPr="000B74E4" w:rsidRDefault="004A2CA1" w:rsidP="00A2011C">
      <w:pPr>
        <w:pStyle w:val="FootnoteText"/>
        <w:rPr>
          <w:sz w:val="16"/>
          <w:szCs w:val="16"/>
        </w:rPr>
      </w:pPr>
      <w:r w:rsidRPr="000B74E4">
        <w:rPr>
          <w:rStyle w:val="FootnoteReference"/>
          <w:sz w:val="16"/>
          <w:szCs w:val="16"/>
        </w:rPr>
        <w:footnoteRef/>
      </w:r>
      <w:r w:rsidRPr="000B74E4">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$91, lawyer is $97, and compliance officer is $44.  The average of those wages is $77.  </w:t>
      </w:r>
      <w:r w:rsidRPr="000B74E4">
        <w:rPr>
          <w:i/>
          <w:sz w:val="16"/>
          <w:szCs w:val="16"/>
        </w:rPr>
        <w:t>See</w:t>
      </w:r>
      <w:r w:rsidRPr="000B74E4">
        <w:rPr>
          <w:sz w:val="16"/>
          <w:szCs w:val="16"/>
        </w:rPr>
        <w:t xml:space="preserve"> May 2019 National Industry-Specific Occupational Employment and Wage Estimates, NAICS 523000 - Securities, Commodity Contracts, and Other Financial Investments and Related Activities, </w:t>
      </w:r>
      <w:r w:rsidRPr="000B74E4">
        <w:rPr>
          <w:i/>
          <w:sz w:val="16"/>
          <w:szCs w:val="16"/>
        </w:rPr>
        <w:t>available at</w:t>
      </w:r>
      <w:r w:rsidRPr="000B74E4">
        <w:rPr>
          <w:sz w:val="16"/>
          <w:szCs w:val="16"/>
        </w:rPr>
        <w:t>: https://www.bls.gov/oes/current/naics4_523000.htm.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185E"/>
    <w:multiLevelType w:val="hybridMultilevel"/>
    <w:tmpl w:val="B2EC792C"/>
    <w:lvl w:ilvl="0" w:tplc="24B0F5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257C8"/>
    <w:multiLevelType w:val="hybridMultilevel"/>
    <w:tmpl w:val="BA083330"/>
    <w:lvl w:ilvl="0" w:tplc="24B0F51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2F1A"/>
    <w:multiLevelType w:val="hybridMultilevel"/>
    <w:tmpl w:val="4A2CE0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F66744"/>
    <w:multiLevelType w:val="hybridMultilevel"/>
    <w:tmpl w:val="D78CA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86B"/>
    <w:multiLevelType w:val="hybridMultilevel"/>
    <w:tmpl w:val="D78CAA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523AE"/>
    <w:multiLevelType w:val="hybridMultilevel"/>
    <w:tmpl w:val="07FE0FB2"/>
    <w:lvl w:ilvl="0" w:tplc="A676653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70491"/>
    <w:multiLevelType w:val="hybridMultilevel"/>
    <w:tmpl w:val="5B728A6C"/>
    <w:lvl w:ilvl="0" w:tplc="04090015">
      <w:start w:val="1"/>
      <w:numFmt w:val="upperLetter"/>
      <w:lvlText w:val="%1."/>
      <w:lvlJc w:val="left"/>
      <w:pPr>
        <w:ind w:left="720" w:hanging="360"/>
      </w:pPr>
    </w:lvl>
    <w:lvl w:ilvl="1" w:tplc="CA42C35A">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65276"/>
    <w:multiLevelType w:val="hybridMultilevel"/>
    <w:tmpl w:val="8D384642"/>
    <w:lvl w:ilvl="0" w:tplc="1A92C26C">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25DF7"/>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D1FEC"/>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1A8"/>
    <w:multiLevelType w:val="hybridMultilevel"/>
    <w:tmpl w:val="BF48B9C4"/>
    <w:lvl w:ilvl="0" w:tplc="49ACDBD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14436E"/>
    <w:multiLevelType w:val="hybridMultilevel"/>
    <w:tmpl w:val="036CAB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22390"/>
    <w:multiLevelType w:val="hybridMultilevel"/>
    <w:tmpl w:val="2940E292"/>
    <w:lvl w:ilvl="0" w:tplc="BD04D33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338D5"/>
    <w:multiLevelType w:val="hybridMultilevel"/>
    <w:tmpl w:val="627C9A0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544031"/>
    <w:multiLevelType w:val="hybridMultilevel"/>
    <w:tmpl w:val="95B0EC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4BA58C4"/>
    <w:multiLevelType w:val="hybridMultilevel"/>
    <w:tmpl w:val="55FC3A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0"/>
  </w:num>
  <w:num w:numId="3">
    <w:abstractNumId w:val="11"/>
  </w:num>
  <w:num w:numId="4">
    <w:abstractNumId w:val="3"/>
  </w:num>
  <w:num w:numId="5">
    <w:abstractNumId w:val="6"/>
  </w:num>
  <w:num w:numId="6">
    <w:abstractNumId w:val="4"/>
  </w:num>
  <w:num w:numId="7">
    <w:abstractNumId w:val="13"/>
  </w:num>
  <w:num w:numId="8">
    <w:abstractNumId w:val="0"/>
  </w:num>
  <w:num w:numId="9">
    <w:abstractNumId w:val="8"/>
  </w:num>
  <w:num w:numId="10">
    <w:abstractNumId w:val="9"/>
  </w:num>
  <w:num w:numId="11">
    <w:abstractNumId w:val="2"/>
  </w:num>
  <w:num w:numId="12">
    <w:abstractNumId w:val="16"/>
  </w:num>
  <w:num w:numId="13">
    <w:abstractNumId w:val="15"/>
  </w:num>
  <w:num w:numId="14">
    <w:abstractNumId w:val="1"/>
  </w:num>
  <w:num w:numId="15">
    <w:abstractNumId w:val="7"/>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255C"/>
    <w:rsid w:val="00007547"/>
    <w:rsid w:val="000110B9"/>
    <w:rsid w:val="0001216F"/>
    <w:rsid w:val="000135EA"/>
    <w:rsid w:val="00014D2F"/>
    <w:rsid w:val="00015BE2"/>
    <w:rsid w:val="000216FE"/>
    <w:rsid w:val="000224F4"/>
    <w:rsid w:val="000233E3"/>
    <w:rsid w:val="00025D93"/>
    <w:rsid w:val="00025E5D"/>
    <w:rsid w:val="00032ADE"/>
    <w:rsid w:val="00035602"/>
    <w:rsid w:val="000356C5"/>
    <w:rsid w:val="00036389"/>
    <w:rsid w:val="00037B3E"/>
    <w:rsid w:val="00040090"/>
    <w:rsid w:val="00042D08"/>
    <w:rsid w:val="000509D9"/>
    <w:rsid w:val="000511D5"/>
    <w:rsid w:val="00051A84"/>
    <w:rsid w:val="00052496"/>
    <w:rsid w:val="00055A67"/>
    <w:rsid w:val="000573ED"/>
    <w:rsid w:val="000576BF"/>
    <w:rsid w:val="00060FB7"/>
    <w:rsid w:val="00062486"/>
    <w:rsid w:val="0006467D"/>
    <w:rsid w:val="00065485"/>
    <w:rsid w:val="00066304"/>
    <w:rsid w:val="000709B0"/>
    <w:rsid w:val="00072761"/>
    <w:rsid w:val="000728D4"/>
    <w:rsid w:val="00072D13"/>
    <w:rsid w:val="000730F8"/>
    <w:rsid w:val="00075C93"/>
    <w:rsid w:val="000803D6"/>
    <w:rsid w:val="00082B76"/>
    <w:rsid w:val="000835FF"/>
    <w:rsid w:val="00083F72"/>
    <w:rsid w:val="00084BC1"/>
    <w:rsid w:val="00084E9D"/>
    <w:rsid w:val="000851CB"/>
    <w:rsid w:val="00085C1D"/>
    <w:rsid w:val="00090643"/>
    <w:rsid w:val="00090B7C"/>
    <w:rsid w:val="00091B2A"/>
    <w:rsid w:val="00093330"/>
    <w:rsid w:val="000A137A"/>
    <w:rsid w:val="000A3815"/>
    <w:rsid w:val="000A46F0"/>
    <w:rsid w:val="000A5C43"/>
    <w:rsid w:val="000A61FC"/>
    <w:rsid w:val="000A6BEF"/>
    <w:rsid w:val="000B102C"/>
    <w:rsid w:val="000B282E"/>
    <w:rsid w:val="000B74E4"/>
    <w:rsid w:val="000C3307"/>
    <w:rsid w:val="000C49AC"/>
    <w:rsid w:val="000C5F9D"/>
    <w:rsid w:val="000C6972"/>
    <w:rsid w:val="000C7BA2"/>
    <w:rsid w:val="000E0987"/>
    <w:rsid w:val="000E106C"/>
    <w:rsid w:val="000E6A45"/>
    <w:rsid w:val="000F0799"/>
    <w:rsid w:val="000F15C2"/>
    <w:rsid w:val="000F35B5"/>
    <w:rsid w:val="000F5595"/>
    <w:rsid w:val="0010470A"/>
    <w:rsid w:val="001058EE"/>
    <w:rsid w:val="00105B11"/>
    <w:rsid w:val="00107C5F"/>
    <w:rsid w:val="001150B2"/>
    <w:rsid w:val="00116F58"/>
    <w:rsid w:val="00116FC7"/>
    <w:rsid w:val="001171CD"/>
    <w:rsid w:val="0012080B"/>
    <w:rsid w:val="00122E94"/>
    <w:rsid w:val="001233A4"/>
    <w:rsid w:val="00124B5A"/>
    <w:rsid w:val="001251C3"/>
    <w:rsid w:val="00127C62"/>
    <w:rsid w:val="00130C80"/>
    <w:rsid w:val="00132D6A"/>
    <w:rsid w:val="00136031"/>
    <w:rsid w:val="0013647D"/>
    <w:rsid w:val="0013740B"/>
    <w:rsid w:val="00137724"/>
    <w:rsid w:val="00137F2B"/>
    <w:rsid w:val="00141AA3"/>
    <w:rsid w:val="00141CC0"/>
    <w:rsid w:val="00142131"/>
    <w:rsid w:val="001453A0"/>
    <w:rsid w:val="00147608"/>
    <w:rsid w:val="0015223C"/>
    <w:rsid w:val="00154D5D"/>
    <w:rsid w:val="00155BB5"/>
    <w:rsid w:val="001577B2"/>
    <w:rsid w:val="00160D03"/>
    <w:rsid w:val="00167AB9"/>
    <w:rsid w:val="00167B68"/>
    <w:rsid w:val="00170209"/>
    <w:rsid w:val="0017265B"/>
    <w:rsid w:val="00175A1A"/>
    <w:rsid w:val="00176391"/>
    <w:rsid w:val="00176E7E"/>
    <w:rsid w:val="0017726D"/>
    <w:rsid w:val="001779A6"/>
    <w:rsid w:val="00180982"/>
    <w:rsid w:val="00181AA2"/>
    <w:rsid w:val="00182ABB"/>
    <w:rsid w:val="0018364F"/>
    <w:rsid w:val="001861E2"/>
    <w:rsid w:val="00186D4A"/>
    <w:rsid w:val="00193795"/>
    <w:rsid w:val="00193FDA"/>
    <w:rsid w:val="001A1F2E"/>
    <w:rsid w:val="001A3D66"/>
    <w:rsid w:val="001A3F0B"/>
    <w:rsid w:val="001A51FD"/>
    <w:rsid w:val="001A5469"/>
    <w:rsid w:val="001A7562"/>
    <w:rsid w:val="001B1D9F"/>
    <w:rsid w:val="001B73E0"/>
    <w:rsid w:val="001C127B"/>
    <w:rsid w:val="001C1C56"/>
    <w:rsid w:val="001C351A"/>
    <w:rsid w:val="001C588F"/>
    <w:rsid w:val="001C67E1"/>
    <w:rsid w:val="001D07DF"/>
    <w:rsid w:val="001D1A9B"/>
    <w:rsid w:val="001D1C46"/>
    <w:rsid w:val="001D1E17"/>
    <w:rsid w:val="001D5249"/>
    <w:rsid w:val="001D7B90"/>
    <w:rsid w:val="001E066F"/>
    <w:rsid w:val="001E30AD"/>
    <w:rsid w:val="001F0CD6"/>
    <w:rsid w:val="001F2E8A"/>
    <w:rsid w:val="001F3521"/>
    <w:rsid w:val="00200207"/>
    <w:rsid w:val="00203462"/>
    <w:rsid w:val="00204239"/>
    <w:rsid w:val="00205078"/>
    <w:rsid w:val="00206526"/>
    <w:rsid w:val="00211425"/>
    <w:rsid w:val="00214D35"/>
    <w:rsid w:val="00214E00"/>
    <w:rsid w:val="00214F88"/>
    <w:rsid w:val="00220181"/>
    <w:rsid w:val="0022292A"/>
    <w:rsid w:val="00225B18"/>
    <w:rsid w:val="00230061"/>
    <w:rsid w:val="00233D65"/>
    <w:rsid w:val="00242760"/>
    <w:rsid w:val="00243435"/>
    <w:rsid w:val="00250C4A"/>
    <w:rsid w:val="0025180B"/>
    <w:rsid w:val="00253D81"/>
    <w:rsid w:val="0025553A"/>
    <w:rsid w:val="00255BFC"/>
    <w:rsid w:val="002566D7"/>
    <w:rsid w:val="00257BBD"/>
    <w:rsid w:val="002600FA"/>
    <w:rsid w:val="00260C07"/>
    <w:rsid w:val="0026464C"/>
    <w:rsid w:val="00264801"/>
    <w:rsid w:val="0027498F"/>
    <w:rsid w:val="00276439"/>
    <w:rsid w:val="0027708A"/>
    <w:rsid w:val="00280808"/>
    <w:rsid w:val="00281736"/>
    <w:rsid w:val="00282A1D"/>
    <w:rsid w:val="0028456A"/>
    <w:rsid w:val="002879E8"/>
    <w:rsid w:val="0029181C"/>
    <w:rsid w:val="00293259"/>
    <w:rsid w:val="00293E65"/>
    <w:rsid w:val="00294A07"/>
    <w:rsid w:val="00295356"/>
    <w:rsid w:val="002A2AA5"/>
    <w:rsid w:val="002A6B48"/>
    <w:rsid w:val="002A7AAF"/>
    <w:rsid w:val="002B0680"/>
    <w:rsid w:val="002B5AC7"/>
    <w:rsid w:val="002B72D7"/>
    <w:rsid w:val="002C0622"/>
    <w:rsid w:val="002C69EB"/>
    <w:rsid w:val="002C7941"/>
    <w:rsid w:val="002C7D81"/>
    <w:rsid w:val="002C7E70"/>
    <w:rsid w:val="002D0489"/>
    <w:rsid w:val="002E0013"/>
    <w:rsid w:val="002E05BD"/>
    <w:rsid w:val="002E172E"/>
    <w:rsid w:val="002E27BF"/>
    <w:rsid w:val="002E3CA1"/>
    <w:rsid w:val="002E60EB"/>
    <w:rsid w:val="002E71B3"/>
    <w:rsid w:val="002F1D80"/>
    <w:rsid w:val="002F1E80"/>
    <w:rsid w:val="002F591B"/>
    <w:rsid w:val="00302CB0"/>
    <w:rsid w:val="00305637"/>
    <w:rsid w:val="00307CB1"/>
    <w:rsid w:val="00307E70"/>
    <w:rsid w:val="0031122B"/>
    <w:rsid w:val="003216B1"/>
    <w:rsid w:val="003224E8"/>
    <w:rsid w:val="0032355C"/>
    <w:rsid w:val="0032404E"/>
    <w:rsid w:val="00330DF8"/>
    <w:rsid w:val="00333B12"/>
    <w:rsid w:val="003442B3"/>
    <w:rsid w:val="0035033F"/>
    <w:rsid w:val="003532C8"/>
    <w:rsid w:val="00353578"/>
    <w:rsid w:val="00353871"/>
    <w:rsid w:val="0035419E"/>
    <w:rsid w:val="003544F8"/>
    <w:rsid w:val="00354AD6"/>
    <w:rsid w:val="00356238"/>
    <w:rsid w:val="00356933"/>
    <w:rsid w:val="00356C00"/>
    <w:rsid w:val="00357814"/>
    <w:rsid w:val="0035789E"/>
    <w:rsid w:val="003607A6"/>
    <w:rsid w:val="003613B5"/>
    <w:rsid w:val="00362663"/>
    <w:rsid w:val="00362860"/>
    <w:rsid w:val="00364DF6"/>
    <w:rsid w:val="003677B4"/>
    <w:rsid w:val="00370522"/>
    <w:rsid w:val="00372722"/>
    <w:rsid w:val="0037312F"/>
    <w:rsid w:val="0037421B"/>
    <w:rsid w:val="003755F4"/>
    <w:rsid w:val="00380859"/>
    <w:rsid w:val="00381B78"/>
    <w:rsid w:val="00384D83"/>
    <w:rsid w:val="00386A64"/>
    <w:rsid w:val="00386ADB"/>
    <w:rsid w:val="00391D5E"/>
    <w:rsid w:val="00394A77"/>
    <w:rsid w:val="00397A5E"/>
    <w:rsid w:val="00397BD0"/>
    <w:rsid w:val="003A153C"/>
    <w:rsid w:val="003A18D2"/>
    <w:rsid w:val="003A19BE"/>
    <w:rsid w:val="003A2611"/>
    <w:rsid w:val="003B6B98"/>
    <w:rsid w:val="003B7E39"/>
    <w:rsid w:val="003C173C"/>
    <w:rsid w:val="003C3A89"/>
    <w:rsid w:val="003C3F81"/>
    <w:rsid w:val="003D571B"/>
    <w:rsid w:val="003E3AD4"/>
    <w:rsid w:val="003E3BE8"/>
    <w:rsid w:val="003E4573"/>
    <w:rsid w:val="003E5F6A"/>
    <w:rsid w:val="003F0606"/>
    <w:rsid w:val="003F10C0"/>
    <w:rsid w:val="003F112A"/>
    <w:rsid w:val="003F1340"/>
    <w:rsid w:val="004105BE"/>
    <w:rsid w:val="00413DA1"/>
    <w:rsid w:val="004206B3"/>
    <w:rsid w:val="00421FD2"/>
    <w:rsid w:val="00422A41"/>
    <w:rsid w:val="00422FB0"/>
    <w:rsid w:val="00424E59"/>
    <w:rsid w:val="00424FA2"/>
    <w:rsid w:val="004256D6"/>
    <w:rsid w:val="004271F3"/>
    <w:rsid w:val="00427CC8"/>
    <w:rsid w:val="0043153E"/>
    <w:rsid w:val="00433E61"/>
    <w:rsid w:val="0043610E"/>
    <w:rsid w:val="00437CEA"/>
    <w:rsid w:val="00443D7B"/>
    <w:rsid w:val="00445E9C"/>
    <w:rsid w:val="0044799F"/>
    <w:rsid w:val="00450D22"/>
    <w:rsid w:val="00451AB5"/>
    <w:rsid w:val="00453D03"/>
    <w:rsid w:val="00453E51"/>
    <w:rsid w:val="00455482"/>
    <w:rsid w:val="004554EB"/>
    <w:rsid w:val="004556BD"/>
    <w:rsid w:val="0046140A"/>
    <w:rsid w:val="004618A5"/>
    <w:rsid w:val="00466E36"/>
    <w:rsid w:val="00470AE5"/>
    <w:rsid w:val="00475A0E"/>
    <w:rsid w:val="00476AB6"/>
    <w:rsid w:val="00482FFC"/>
    <w:rsid w:val="004846B5"/>
    <w:rsid w:val="004917AF"/>
    <w:rsid w:val="0049627F"/>
    <w:rsid w:val="004A054B"/>
    <w:rsid w:val="004A0F8A"/>
    <w:rsid w:val="004A2CA1"/>
    <w:rsid w:val="004A5F11"/>
    <w:rsid w:val="004B0B01"/>
    <w:rsid w:val="004B1ECB"/>
    <w:rsid w:val="004B4D2A"/>
    <w:rsid w:val="004C048A"/>
    <w:rsid w:val="004C2276"/>
    <w:rsid w:val="004C31EC"/>
    <w:rsid w:val="004C558D"/>
    <w:rsid w:val="004C6A1E"/>
    <w:rsid w:val="004C70A6"/>
    <w:rsid w:val="004D1C2B"/>
    <w:rsid w:val="004D3AE1"/>
    <w:rsid w:val="004D4BEA"/>
    <w:rsid w:val="004D529A"/>
    <w:rsid w:val="004D5C30"/>
    <w:rsid w:val="004D5FE6"/>
    <w:rsid w:val="004E0105"/>
    <w:rsid w:val="004E08BD"/>
    <w:rsid w:val="004E0D58"/>
    <w:rsid w:val="004E1035"/>
    <w:rsid w:val="004E6407"/>
    <w:rsid w:val="004E6D2F"/>
    <w:rsid w:val="004F0D84"/>
    <w:rsid w:val="004F2D09"/>
    <w:rsid w:val="004F30B6"/>
    <w:rsid w:val="004F4C42"/>
    <w:rsid w:val="004F796B"/>
    <w:rsid w:val="0050374E"/>
    <w:rsid w:val="00505251"/>
    <w:rsid w:val="00514044"/>
    <w:rsid w:val="00514F8E"/>
    <w:rsid w:val="005155A2"/>
    <w:rsid w:val="00515B5E"/>
    <w:rsid w:val="00520662"/>
    <w:rsid w:val="00525395"/>
    <w:rsid w:val="0052765D"/>
    <w:rsid w:val="00537A5E"/>
    <w:rsid w:val="00541356"/>
    <w:rsid w:val="00541837"/>
    <w:rsid w:val="00545204"/>
    <w:rsid w:val="005503C6"/>
    <w:rsid w:val="0055064F"/>
    <w:rsid w:val="005511F9"/>
    <w:rsid w:val="00552277"/>
    <w:rsid w:val="005528B9"/>
    <w:rsid w:val="00552CDB"/>
    <w:rsid w:val="00554929"/>
    <w:rsid w:val="00557EF2"/>
    <w:rsid w:val="0056136B"/>
    <w:rsid w:val="005750B5"/>
    <w:rsid w:val="00577F1F"/>
    <w:rsid w:val="005846E9"/>
    <w:rsid w:val="00585718"/>
    <w:rsid w:val="00585FDC"/>
    <w:rsid w:val="00590F60"/>
    <w:rsid w:val="00591C86"/>
    <w:rsid w:val="00594D35"/>
    <w:rsid w:val="00596C6B"/>
    <w:rsid w:val="005A120B"/>
    <w:rsid w:val="005A2D83"/>
    <w:rsid w:val="005A2DAD"/>
    <w:rsid w:val="005A4341"/>
    <w:rsid w:val="005A4F00"/>
    <w:rsid w:val="005A5C39"/>
    <w:rsid w:val="005A6489"/>
    <w:rsid w:val="005B11D3"/>
    <w:rsid w:val="005B192E"/>
    <w:rsid w:val="005B2F83"/>
    <w:rsid w:val="005B5C2B"/>
    <w:rsid w:val="005B5CDE"/>
    <w:rsid w:val="005B7F32"/>
    <w:rsid w:val="005C0158"/>
    <w:rsid w:val="005C5482"/>
    <w:rsid w:val="005D0486"/>
    <w:rsid w:val="005D0695"/>
    <w:rsid w:val="005D092C"/>
    <w:rsid w:val="005D1707"/>
    <w:rsid w:val="005D30BB"/>
    <w:rsid w:val="005D34A0"/>
    <w:rsid w:val="005D3B59"/>
    <w:rsid w:val="005E3C71"/>
    <w:rsid w:val="005E41B2"/>
    <w:rsid w:val="005E4E5C"/>
    <w:rsid w:val="005E56F9"/>
    <w:rsid w:val="005E602F"/>
    <w:rsid w:val="005E6600"/>
    <w:rsid w:val="005F1EF0"/>
    <w:rsid w:val="005F316D"/>
    <w:rsid w:val="005F51E6"/>
    <w:rsid w:val="00602D85"/>
    <w:rsid w:val="00603732"/>
    <w:rsid w:val="006069AC"/>
    <w:rsid w:val="00607800"/>
    <w:rsid w:val="00607CAA"/>
    <w:rsid w:val="00607D38"/>
    <w:rsid w:val="006130A6"/>
    <w:rsid w:val="00614A5E"/>
    <w:rsid w:val="00614CD0"/>
    <w:rsid w:val="00616EA0"/>
    <w:rsid w:val="00617B37"/>
    <w:rsid w:val="0062064D"/>
    <w:rsid w:val="00620C0E"/>
    <w:rsid w:val="00624175"/>
    <w:rsid w:val="006243BC"/>
    <w:rsid w:val="00630065"/>
    <w:rsid w:val="006302B1"/>
    <w:rsid w:val="006309A6"/>
    <w:rsid w:val="0063622E"/>
    <w:rsid w:val="006373AD"/>
    <w:rsid w:val="00637711"/>
    <w:rsid w:val="006404E1"/>
    <w:rsid w:val="00640784"/>
    <w:rsid w:val="00642B6A"/>
    <w:rsid w:val="00642EBA"/>
    <w:rsid w:val="00646995"/>
    <w:rsid w:val="00646EA2"/>
    <w:rsid w:val="00653547"/>
    <w:rsid w:val="006541FD"/>
    <w:rsid w:val="006542C5"/>
    <w:rsid w:val="00655498"/>
    <w:rsid w:val="00657776"/>
    <w:rsid w:val="00667CD6"/>
    <w:rsid w:val="00676042"/>
    <w:rsid w:val="00677356"/>
    <w:rsid w:val="0067738F"/>
    <w:rsid w:val="00677A8C"/>
    <w:rsid w:val="006821E5"/>
    <w:rsid w:val="0068348D"/>
    <w:rsid w:val="00683C75"/>
    <w:rsid w:val="00690D95"/>
    <w:rsid w:val="00691968"/>
    <w:rsid w:val="00693302"/>
    <w:rsid w:val="00693723"/>
    <w:rsid w:val="00697065"/>
    <w:rsid w:val="00697A59"/>
    <w:rsid w:val="006A25C1"/>
    <w:rsid w:val="006A70D3"/>
    <w:rsid w:val="006A7CD7"/>
    <w:rsid w:val="006B2A40"/>
    <w:rsid w:val="006B3F8F"/>
    <w:rsid w:val="006B3FDA"/>
    <w:rsid w:val="006B4A36"/>
    <w:rsid w:val="006B4C5A"/>
    <w:rsid w:val="006B50DF"/>
    <w:rsid w:val="006C2B70"/>
    <w:rsid w:val="006C3350"/>
    <w:rsid w:val="006C378B"/>
    <w:rsid w:val="006D0F85"/>
    <w:rsid w:val="006D2DC8"/>
    <w:rsid w:val="006D2EF6"/>
    <w:rsid w:val="006D2F8B"/>
    <w:rsid w:val="006D7499"/>
    <w:rsid w:val="006E4CA7"/>
    <w:rsid w:val="006E7B45"/>
    <w:rsid w:val="006F2A06"/>
    <w:rsid w:val="006F7E00"/>
    <w:rsid w:val="00700EDF"/>
    <w:rsid w:val="007029A9"/>
    <w:rsid w:val="007076AE"/>
    <w:rsid w:val="0071111D"/>
    <w:rsid w:val="00712BA2"/>
    <w:rsid w:val="00713F23"/>
    <w:rsid w:val="0071575B"/>
    <w:rsid w:val="00715F21"/>
    <w:rsid w:val="00717723"/>
    <w:rsid w:val="00720951"/>
    <w:rsid w:val="00721E89"/>
    <w:rsid w:val="00727908"/>
    <w:rsid w:val="007302A3"/>
    <w:rsid w:val="00734189"/>
    <w:rsid w:val="00737D9F"/>
    <w:rsid w:val="0074122B"/>
    <w:rsid w:val="00741A26"/>
    <w:rsid w:val="007447A7"/>
    <w:rsid w:val="00744C85"/>
    <w:rsid w:val="00747BF5"/>
    <w:rsid w:val="00751B4D"/>
    <w:rsid w:val="00751DC0"/>
    <w:rsid w:val="00752066"/>
    <w:rsid w:val="00753FBD"/>
    <w:rsid w:val="00755826"/>
    <w:rsid w:val="007579C9"/>
    <w:rsid w:val="00757FB4"/>
    <w:rsid w:val="007639AD"/>
    <w:rsid w:val="0076443A"/>
    <w:rsid w:val="00764799"/>
    <w:rsid w:val="00765EB9"/>
    <w:rsid w:val="00766564"/>
    <w:rsid w:val="00771B92"/>
    <w:rsid w:val="007724B6"/>
    <w:rsid w:val="007735D1"/>
    <w:rsid w:val="0077445B"/>
    <w:rsid w:val="00774F37"/>
    <w:rsid w:val="00775BEA"/>
    <w:rsid w:val="00776C58"/>
    <w:rsid w:val="007811AD"/>
    <w:rsid w:val="00783115"/>
    <w:rsid w:val="00783BDC"/>
    <w:rsid w:val="0078471A"/>
    <w:rsid w:val="0079168F"/>
    <w:rsid w:val="00794CEF"/>
    <w:rsid w:val="007A108B"/>
    <w:rsid w:val="007A10DF"/>
    <w:rsid w:val="007A5AC8"/>
    <w:rsid w:val="007B0095"/>
    <w:rsid w:val="007B1735"/>
    <w:rsid w:val="007B2657"/>
    <w:rsid w:val="007B7042"/>
    <w:rsid w:val="007B7CE3"/>
    <w:rsid w:val="007B7EAC"/>
    <w:rsid w:val="007C08E8"/>
    <w:rsid w:val="007C5B3F"/>
    <w:rsid w:val="007C5FFA"/>
    <w:rsid w:val="007D0A1E"/>
    <w:rsid w:val="007D22E3"/>
    <w:rsid w:val="007D3748"/>
    <w:rsid w:val="007D7035"/>
    <w:rsid w:val="007E01B5"/>
    <w:rsid w:val="007E10D4"/>
    <w:rsid w:val="007E119B"/>
    <w:rsid w:val="007E15A4"/>
    <w:rsid w:val="007E418F"/>
    <w:rsid w:val="007F0D5B"/>
    <w:rsid w:val="007F23A7"/>
    <w:rsid w:val="007F27F5"/>
    <w:rsid w:val="007F3179"/>
    <w:rsid w:val="007F3671"/>
    <w:rsid w:val="00800173"/>
    <w:rsid w:val="0080192C"/>
    <w:rsid w:val="00806644"/>
    <w:rsid w:val="008068DB"/>
    <w:rsid w:val="00810893"/>
    <w:rsid w:val="00810DFB"/>
    <w:rsid w:val="00813250"/>
    <w:rsid w:val="008147C3"/>
    <w:rsid w:val="00814D43"/>
    <w:rsid w:val="0081569C"/>
    <w:rsid w:val="00823F94"/>
    <w:rsid w:val="00826135"/>
    <w:rsid w:val="00836741"/>
    <w:rsid w:val="0084249B"/>
    <w:rsid w:val="008435FA"/>
    <w:rsid w:val="00843603"/>
    <w:rsid w:val="00843FB7"/>
    <w:rsid w:val="00851809"/>
    <w:rsid w:val="00852157"/>
    <w:rsid w:val="0085251F"/>
    <w:rsid w:val="0085312E"/>
    <w:rsid w:val="00855621"/>
    <w:rsid w:val="00857C27"/>
    <w:rsid w:val="008629B2"/>
    <w:rsid w:val="0086441C"/>
    <w:rsid w:val="00867019"/>
    <w:rsid w:val="00867DED"/>
    <w:rsid w:val="0087077A"/>
    <w:rsid w:val="00873461"/>
    <w:rsid w:val="00881A6D"/>
    <w:rsid w:val="008823D4"/>
    <w:rsid w:val="00882745"/>
    <w:rsid w:val="00883357"/>
    <w:rsid w:val="00883A62"/>
    <w:rsid w:val="008910C2"/>
    <w:rsid w:val="008B01CD"/>
    <w:rsid w:val="008B1BC4"/>
    <w:rsid w:val="008B22F2"/>
    <w:rsid w:val="008B2D7F"/>
    <w:rsid w:val="008B6BA9"/>
    <w:rsid w:val="008C1F62"/>
    <w:rsid w:val="008C200E"/>
    <w:rsid w:val="008C22BC"/>
    <w:rsid w:val="008C2368"/>
    <w:rsid w:val="008C35A9"/>
    <w:rsid w:val="008C6F21"/>
    <w:rsid w:val="008C796A"/>
    <w:rsid w:val="008D2F83"/>
    <w:rsid w:val="008D40CF"/>
    <w:rsid w:val="008D4997"/>
    <w:rsid w:val="008D5FD7"/>
    <w:rsid w:val="008D68CD"/>
    <w:rsid w:val="008D77E8"/>
    <w:rsid w:val="008D7F4C"/>
    <w:rsid w:val="008E3891"/>
    <w:rsid w:val="008E6345"/>
    <w:rsid w:val="008E6CB3"/>
    <w:rsid w:val="008E721B"/>
    <w:rsid w:val="008F0BF0"/>
    <w:rsid w:val="008F2F98"/>
    <w:rsid w:val="008F3ADD"/>
    <w:rsid w:val="008F3DF5"/>
    <w:rsid w:val="008F3FD7"/>
    <w:rsid w:val="008F45F8"/>
    <w:rsid w:val="008F5C89"/>
    <w:rsid w:val="008F6230"/>
    <w:rsid w:val="008F6D4A"/>
    <w:rsid w:val="00902356"/>
    <w:rsid w:val="00906381"/>
    <w:rsid w:val="00907414"/>
    <w:rsid w:val="00912F31"/>
    <w:rsid w:val="009138D7"/>
    <w:rsid w:val="00914089"/>
    <w:rsid w:val="0091541F"/>
    <w:rsid w:val="00916B38"/>
    <w:rsid w:val="00920905"/>
    <w:rsid w:val="00922A25"/>
    <w:rsid w:val="00925F5D"/>
    <w:rsid w:val="00927C6B"/>
    <w:rsid w:val="009309EC"/>
    <w:rsid w:val="00932912"/>
    <w:rsid w:val="00932F89"/>
    <w:rsid w:val="00933A70"/>
    <w:rsid w:val="0093548F"/>
    <w:rsid w:val="009364E1"/>
    <w:rsid w:val="00937E5D"/>
    <w:rsid w:val="0094007E"/>
    <w:rsid w:val="0094016A"/>
    <w:rsid w:val="009401EE"/>
    <w:rsid w:val="00940E28"/>
    <w:rsid w:val="00941451"/>
    <w:rsid w:val="00942835"/>
    <w:rsid w:val="0095307E"/>
    <w:rsid w:val="00963975"/>
    <w:rsid w:val="00964A33"/>
    <w:rsid w:val="0097170E"/>
    <w:rsid w:val="00971AD4"/>
    <w:rsid w:val="00974997"/>
    <w:rsid w:val="00976A43"/>
    <w:rsid w:val="009773F7"/>
    <w:rsid w:val="00980088"/>
    <w:rsid w:val="009806ED"/>
    <w:rsid w:val="009807B2"/>
    <w:rsid w:val="00981FF2"/>
    <w:rsid w:val="00986494"/>
    <w:rsid w:val="0098710D"/>
    <w:rsid w:val="00991FAF"/>
    <w:rsid w:val="00992677"/>
    <w:rsid w:val="0099551D"/>
    <w:rsid w:val="00995FD3"/>
    <w:rsid w:val="0099690D"/>
    <w:rsid w:val="009975A8"/>
    <w:rsid w:val="009A3232"/>
    <w:rsid w:val="009A3937"/>
    <w:rsid w:val="009A57CC"/>
    <w:rsid w:val="009A6F00"/>
    <w:rsid w:val="009B0077"/>
    <w:rsid w:val="009B13C9"/>
    <w:rsid w:val="009B1E93"/>
    <w:rsid w:val="009B2F52"/>
    <w:rsid w:val="009B418F"/>
    <w:rsid w:val="009B577D"/>
    <w:rsid w:val="009B5AA3"/>
    <w:rsid w:val="009B6AAC"/>
    <w:rsid w:val="009C3CD6"/>
    <w:rsid w:val="009C4C68"/>
    <w:rsid w:val="009C4E21"/>
    <w:rsid w:val="009C530B"/>
    <w:rsid w:val="009C6B18"/>
    <w:rsid w:val="009C6DB4"/>
    <w:rsid w:val="009D00FB"/>
    <w:rsid w:val="009D1C7A"/>
    <w:rsid w:val="009D7452"/>
    <w:rsid w:val="009E317C"/>
    <w:rsid w:val="009E54C7"/>
    <w:rsid w:val="009F5D20"/>
    <w:rsid w:val="009F6366"/>
    <w:rsid w:val="009F68F7"/>
    <w:rsid w:val="00A006F8"/>
    <w:rsid w:val="00A01600"/>
    <w:rsid w:val="00A05850"/>
    <w:rsid w:val="00A0679A"/>
    <w:rsid w:val="00A07022"/>
    <w:rsid w:val="00A07F12"/>
    <w:rsid w:val="00A10820"/>
    <w:rsid w:val="00A15CCD"/>
    <w:rsid w:val="00A2011C"/>
    <w:rsid w:val="00A257E3"/>
    <w:rsid w:val="00A2745A"/>
    <w:rsid w:val="00A27C66"/>
    <w:rsid w:val="00A34FBC"/>
    <w:rsid w:val="00A37755"/>
    <w:rsid w:val="00A37DDD"/>
    <w:rsid w:val="00A37EB8"/>
    <w:rsid w:val="00A40B9C"/>
    <w:rsid w:val="00A470DE"/>
    <w:rsid w:val="00A518C0"/>
    <w:rsid w:val="00A53046"/>
    <w:rsid w:val="00A53698"/>
    <w:rsid w:val="00A542AB"/>
    <w:rsid w:val="00A54471"/>
    <w:rsid w:val="00A54541"/>
    <w:rsid w:val="00A559AB"/>
    <w:rsid w:val="00A56A51"/>
    <w:rsid w:val="00A62891"/>
    <w:rsid w:val="00A708B1"/>
    <w:rsid w:val="00A71871"/>
    <w:rsid w:val="00A72E11"/>
    <w:rsid w:val="00A74C2D"/>
    <w:rsid w:val="00A75C2C"/>
    <w:rsid w:val="00A77366"/>
    <w:rsid w:val="00A7762D"/>
    <w:rsid w:val="00A80718"/>
    <w:rsid w:val="00A813E3"/>
    <w:rsid w:val="00A85069"/>
    <w:rsid w:val="00A94F7E"/>
    <w:rsid w:val="00A95B78"/>
    <w:rsid w:val="00A97E7B"/>
    <w:rsid w:val="00AA0BAF"/>
    <w:rsid w:val="00AA180B"/>
    <w:rsid w:val="00AB00BD"/>
    <w:rsid w:val="00AC0A75"/>
    <w:rsid w:val="00AC1689"/>
    <w:rsid w:val="00AC2529"/>
    <w:rsid w:val="00AC2DC6"/>
    <w:rsid w:val="00AC4DF9"/>
    <w:rsid w:val="00AC59BE"/>
    <w:rsid w:val="00AC6784"/>
    <w:rsid w:val="00AC6B10"/>
    <w:rsid w:val="00AD0B9F"/>
    <w:rsid w:val="00AD1AE7"/>
    <w:rsid w:val="00AD3629"/>
    <w:rsid w:val="00AD4B8B"/>
    <w:rsid w:val="00AE1765"/>
    <w:rsid w:val="00AE3F98"/>
    <w:rsid w:val="00AE42A0"/>
    <w:rsid w:val="00AE5880"/>
    <w:rsid w:val="00AE5A5B"/>
    <w:rsid w:val="00AE7240"/>
    <w:rsid w:val="00AF1BAB"/>
    <w:rsid w:val="00AF1FFA"/>
    <w:rsid w:val="00AF4514"/>
    <w:rsid w:val="00AF4F24"/>
    <w:rsid w:val="00AF5033"/>
    <w:rsid w:val="00AF5769"/>
    <w:rsid w:val="00AF6553"/>
    <w:rsid w:val="00B021C2"/>
    <w:rsid w:val="00B0474D"/>
    <w:rsid w:val="00B1090B"/>
    <w:rsid w:val="00B13EF4"/>
    <w:rsid w:val="00B16D91"/>
    <w:rsid w:val="00B17DF0"/>
    <w:rsid w:val="00B2410C"/>
    <w:rsid w:val="00B25A35"/>
    <w:rsid w:val="00B26085"/>
    <w:rsid w:val="00B261D9"/>
    <w:rsid w:val="00B27AC5"/>
    <w:rsid w:val="00B27DA5"/>
    <w:rsid w:val="00B328FB"/>
    <w:rsid w:val="00B33652"/>
    <w:rsid w:val="00B376FA"/>
    <w:rsid w:val="00B40280"/>
    <w:rsid w:val="00B4237F"/>
    <w:rsid w:val="00B44956"/>
    <w:rsid w:val="00B50970"/>
    <w:rsid w:val="00B52955"/>
    <w:rsid w:val="00B52D42"/>
    <w:rsid w:val="00B5456E"/>
    <w:rsid w:val="00B56CB0"/>
    <w:rsid w:val="00B60809"/>
    <w:rsid w:val="00B64A05"/>
    <w:rsid w:val="00B6776C"/>
    <w:rsid w:val="00B713AF"/>
    <w:rsid w:val="00B7210C"/>
    <w:rsid w:val="00B72ECA"/>
    <w:rsid w:val="00B74CE1"/>
    <w:rsid w:val="00B77434"/>
    <w:rsid w:val="00B83B16"/>
    <w:rsid w:val="00B86819"/>
    <w:rsid w:val="00B91704"/>
    <w:rsid w:val="00B94B14"/>
    <w:rsid w:val="00B96107"/>
    <w:rsid w:val="00B96514"/>
    <w:rsid w:val="00B968C3"/>
    <w:rsid w:val="00BA0A82"/>
    <w:rsid w:val="00BA6126"/>
    <w:rsid w:val="00BA643F"/>
    <w:rsid w:val="00BB3E4F"/>
    <w:rsid w:val="00BC25CF"/>
    <w:rsid w:val="00BC26B4"/>
    <w:rsid w:val="00BD0750"/>
    <w:rsid w:val="00BD1BBB"/>
    <w:rsid w:val="00BD4B81"/>
    <w:rsid w:val="00BD583C"/>
    <w:rsid w:val="00BD645B"/>
    <w:rsid w:val="00BE24A1"/>
    <w:rsid w:val="00BE37AF"/>
    <w:rsid w:val="00BE3923"/>
    <w:rsid w:val="00BE3C47"/>
    <w:rsid w:val="00BE6729"/>
    <w:rsid w:val="00BE67DF"/>
    <w:rsid w:val="00BE6AC8"/>
    <w:rsid w:val="00BF1627"/>
    <w:rsid w:val="00BF4849"/>
    <w:rsid w:val="00BF6F4C"/>
    <w:rsid w:val="00C01128"/>
    <w:rsid w:val="00C019C0"/>
    <w:rsid w:val="00C019D4"/>
    <w:rsid w:val="00C0203F"/>
    <w:rsid w:val="00C02297"/>
    <w:rsid w:val="00C032F4"/>
    <w:rsid w:val="00C03FBF"/>
    <w:rsid w:val="00C05517"/>
    <w:rsid w:val="00C05C0B"/>
    <w:rsid w:val="00C07B5B"/>
    <w:rsid w:val="00C11086"/>
    <w:rsid w:val="00C117F3"/>
    <w:rsid w:val="00C121DD"/>
    <w:rsid w:val="00C173E1"/>
    <w:rsid w:val="00C2000F"/>
    <w:rsid w:val="00C2268F"/>
    <w:rsid w:val="00C23A3C"/>
    <w:rsid w:val="00C255E6"/>
    <w:rsid w:val="00C27160"/>
    <w:rsid w:val="00C34616"/>
    <w:rsid w:val="00C367FA"/>
    <w:rsid w:val="00C42BA8"/>
    <w:rsid w:val="00C436DE"/>
    <w:rsid w:val="00C44F34"/>
    <w:rsid w:val="00C452ED"/>
    <w:rsid w:val="00C50022"/>
    <w:rsid w:val="00C51238"/>
    <w:rsid w:val="00C51B2D"/>
    <w:rsid w:val="00C52E7B"/>
    <w:rsid w:val="00C53522"/>
    <w:rsid w:val="00C5381D"/>
    <w:rsid w:val="00C54CB2"/>
    <w:rsid w:val="00C55217"/>
    <w:rsid w:val="00C56647"/>
    <w:rsid w:val="00C572AA"/>
    <w:rsid w:val="00C65CF4"/>
    <w:rsid w:val="00C661BB"/>
    <w:rsid w:val="00C715D1"/>
    <w:rsid w:val="00C7174B"/>
    <w:rsid w:val="00C859D6"/>
    <w:rsid w:val="00C901A0"/>
    <w:rsid w:val="00C91CA3"/>
    <w:rsid w:val="00C91CB5"/>
    <w:rsid w:val="00C94789"/>
    <w:rsid w:val="00C9497A"/>
    <w:rsid w:val="00C95B82"/>
    <w:rsid w:val="00C96D93"/>
    <w:rsid w:val="00CA2056"/>
    <w:rsid w:val="00CA3865"/>
    <w:rsid w:val="00CA74DA"/>
    <w:rsid w:val="00CA7597"/>
    <w:rsid w:val="00CA7E0E"/>
    <w:rsid w:val="00CB1EBC"/>
    <w:rsid w:val="00CB28AC"/>
    <w:rsid w:val="00CB2F6A"/>
    <w:rsid w:val="00CB4A56"/>
    <w:rsid w:val="00CB4E1E"/>
    <w:rsid w:val="00CB5353"/>
    <w:rsid w:val="00CC0135"/>
    <w:rsid w:val="00CC1953"/>
    <w:rsid w:val="00CC21E6"/>
    <w:rsid w:val="00CC2949"/>
    <w:rsid w:val="00CC2E67"/>
    <w:rsid w:val="00CC4801"/>
    <w:rsid w:val="00CD003B"/>
    <w:rsid w:val="00CD3060"/>
    <w:rsid w:val="00CE3EC5"/>
    <w:rsid w:val="00CE4435"/>
    <w:rsid w:val="00CE4D2E"/>
    <w:rsid w:val="00CE7301"/>
    <w:rsid w:val="00CE7A8E"/>
    <w:rsid w:val="00CF1C34"/>
    <w:rsid w:val="00CF2454"/>
    <w:rsid w:val="00CF250A"/>
    <w:rsid w:val="00CF302A"/>
    <w:rsid w:val="00CF5F51"/>
    <w:rsid w:val="00D01C54"/>
    <w:rsid w:val="00D02B2A"/>
    <w:rsid w:val="00D05EB4"/>
    <w:rsid w:val="00D06026"/>
    <w:rsid w:val="00D12FEB"/>
    <w:rsid w:val="00D13D2A"/>
    <w:rsid w:val="00D14C1A"/>
    <w:rsid w:val="00D20572"/>
    <w:rsid w:val="00D23657"/>
    <w:rsid w:val="00D23708"/>
    <w:rsid w:val="00D23882"/>
    <w:rsid w:val="00D24A02"/>
    <w:rsid w:val="00D25BD2"/>
    <w:rsid w:val="00D27AE8"/>
    <w:rsid w:val="00D30493"/>
    <w:rsid w:val="00D316C3"/>
    <w:rsid w:val="00D31D76"/>
    <w:rsid w:val="00D33C0A"/>
    <w:rsid w:val="00D36F0E"/>
    <w:rsid w:val="00D37F72"/>
    <w:rsid w:val="00D428B2"/>
    <w:rsid w:val="00D45A76"/>
    <w:rsid w:val="00D47358"/>
    <w:rsid w:val="00D53773"/>
    <w:rsid w:val="00D5403A"/>
    <w:rsid w:val="00D54684"/>
    <w:rsid w:val="00D5621D"/>
    <w:rsid w:val="00D5625F"/>
    <w:rsid w:val="00D56DAE"/>
    <w:rsid w:val="00D60F77"/>
    <w:rsid w:val="00D616AE"/>
    <w:rsid w:val="00D61BE3"/>
    <w:rsid w:val="00D625D7"/>
    <w:rsid w:val="00D62E99"/>
    <w:rsid w:val="00D63D75"/>
    <w:rsid w:val="00D65240"/>
    <w:rsid w:val="00D70900"/>
    <w:rsid w:val="00D72EF4"/>
    <w:rsid w:val="00D74EB0"/>
    <w:rsid w:val="00D75CE8"/>
    <w:rsid w:val="00D81EFB"/>
    <w:rsid w:val="00D82D78"/>
    <w:rsid w:val="00D85013"/>
    <w:rsid w:val="00D865F6"/>
    <w:rsid w:val="00D876AD"/>
    <w:rsid w:val="00D9064C"/>
    <w:rsid w:val="00D92FEB"/>
    <w:rsid w:val="00D93410"/>
    <w:rsid w:val="00D94060"/>
    <w:rsid w:val="00D945B5"/>
    <w:rsid w:val="00D94BBE"/>
    <w:rsid w:val="00DA05E9"/>
    <w:rsid w:val="00DA0C3F"/>
    <w:rsid w:val="00DA11BB"/>
    <w:rsid w:val="00DA302C"/>
    <w:rsid w:val="00DA77F5"/>
    <w:rsid w:val="00DB0099"/>
    <w:rsid w:val="00DB00E1"/>
    <w:rsid w:val="00DB1AD1"/>
    <w:rsid w:val="00DB4FE6"/>
    <w:rsid w:val="00DB7297"/>
    <w:rsid w:val="00DC34D2"/>
    <w:rsid w:val="00DC4F5F"/>
    <w:rsid w:val="00DC6B75"/>
    <w:rsid w:val="00DC77C0"/>
    <w:rsid w:val="00DD36CC"/>
    <w:rsid w:val="00DD51EE"/>
    <w:rsid w:val="00DE1D0D"/>
    <w:rsid w:val="00DE1D96"/>
    <w:rsid w:val="00DE275A"/>
    <w:rsid w:val="00DE34D9"/>
    <w:rsid w:val="00DE79A9"/>
    <w:rsid w:val="00DF1BC0"/>
    <w:rsid w:val="00DF3955"/>
    <w:rsid w:val="00DF5D9A"/>
    <w:rsid w:val="00DF6B91"/>
    <w:rsid w:val="00E000B2"/>
    <w:rsid w:val="00E023DC"/>
    <w:rsid w:val="00E028EC"/>
    <w:rsid w:val="00E05AEA"/>
    <w:rsid w:val="00E06B99"/>
    <w:rsid w:val="00E06D86"/>
    <w:rsid w:val="00E0766C"/>
    <w:rsid w:val="00E0787C"/>
    <w:rsid w:val="00E1224E"/>
    <w:rsid w:val="00E12337"/>
    <w:rsid w:val="00E157A0"/>
    <w:rsid w:val="00E15E4F"/>
    <w:rsid w:val="00E32D3C"/>
    <w:rsid w:val="00E32D73"/>
    <w:rsid w:val="00E3402F"/>
    <w:rsid w:val="00E348D3"/>
    <w:rsid w:val="00E37C3C"/>
    <w:rsid w:val="00E40602"/>
    <w:rsid w:val="00E446C6"/>
    <w:rsid w:val="00E467A3"/>
    <w:rsid w:val="00E522E7"/>
    <w:rsid w:val="00E543F4"/>
    <w:rsid w:val="00E60818"/>
    <w:rsid w:val="00E61415"/>
    <w:rsid w:val="00E654EB"/>
    <w:rsid w:val="00E6587E"/>
    <w:rsid w:val="00E703CC"/>
    <w:rsid w:val="00E73A61"/>
    <w:rsid w:val="00E87F36"/>
    <w:rsid w:val="00E87F90"/>
    <w:rsid w:val="00E93879"/>
    <w:rsid w:val="00E93F1E"/>
    <w:rsid w:val="00E95C6A"/>
    <w:rsid w:val="00E9770B"/>
    <w:rsid w:val="00E97DC8"/>
    <w:rsid w:val="00E97DF8"/>
    <w:rsid w:val="00EA0BCA"/>
    <w:rsid w:val="00EA14A5"/>
    <w:rsid w:val="00EA38B2"/>
    <w:rsid w:val="00EA58D6"/>
    <w:rsid w:val="00EB0CDC"/>
    <w:rsid w:val="00EB0FA7"/>
    <w:rsid w:val="00EB1974"/>
    <w:rsid w:val="00EB35AD"/>
    <w:rsid w:val="00EB6497"/>
    <w:rsid w:val="00EC1113"/>
    <w:rsid w:val="00EC238C"/>
    <w:rsid w:val="00EC2450"/>
    <w:rsid w:val="00EC3AA0"/>
    <w:rsid w:val="00ED0B22"/>
    <w:rsid w:val="00ED11E4"/>
    <w:rsid w:val="00ED2537"/>
    <w:rsid w:val="00ED71F1"/>
    <w:rsid w:val="00EE2C14"/>
    <w:rsid w:val="00EF009C"/>
    <w:rsid w:val="00EF119A"/>
    <w:rsid w:val="00EF12DA"/>
    <w:rsid w:val="00EF532B"/>
    <w:rsid w:val="00EF53E9"/>
    <w:rsid w:val="00F00BF7"/>
    <w:rsid w:val="00F02CC0"/>
    <w:rsid w:val="00F05FDD"/>
    <w:rsid w:val="00F16CB1"/>
    <w:rsid w:val="00F17949"/>
    <w:rsid w:val="00F21958"/>
    <w:rsid w:val="00F21E43"/>
    <w:rsid w:val="00F253E2"/>
    <w:rsid w:val="00F30051"/>
    <w:rsid w:val="00F3494B"/>
    <w:rsid w:val="00F378A6"/>
    <w:rsid w:val="00F4095A"/>
    <w:rsid w:val="00F413A5"/>
    <w:rsid w:val="00F4253E"/>
    <w:rsid w:val="00F4393B"/>
    <w:rsid w:val="00F4707F"/>
    <w:rsid w:val="00F50827"/>
    <w:rsid w:val="00F5091E"/>
    <w:rsid w:val="00F51BEE"/>
    <w:rsid w:val="00F5309C"/>
    <w:rsid w:val="00F5343E"/>
    <w:rsid w:val="00F542BA"/>
    <w:rsid w:val="00F55A9E"/>
    <w:rsid w:val="00F568E5"/>
    <w:rsid w:val="00F56D6E"/>
    <w:rsid w:val="00F57435"/>
    <w:rsid w:val="00F61796"/>
    <w:rsid w:val="00F62ACB"/>
    <w:rsid w:val="00F6322C"/>
    <w:rsid w:val="00F714FD"/>
    <w:rsid w:val="00F803D6"/>
    <w:rsid w:val="00F825B7"/>
    <w:rsid w:val="00F82D4B"/>
    <w:rsid w:val="00F84ADA"/>
    <w:rsid w:val="00F85892"/>
    <w:rsid w:val="00F8659B"/>
    <w:rsid w:val="00F91871"/>
    <w:rsid w:val="00F91E29"/>
    <w:rsid w:val="00F93D4B"/>
    <w:rsid w:val="00FA0975"/>
    <w:rsid w:val="00FA0A9A"/>
    <w:rsid w:val="00FA5C68"/>
    <w:rsid w:val="00FA7B73"/>
    <w:rsid w:val="00FB00A1"/>
    <w:rsid w:val="00FB0145"/>
    <w:rsid w:val="00FB308F"/>
    <w:rsid w:val="00FB3538"/>
    <w:rsid w:val="00FB3908"/>
    <w:rsid w:val="00FB5D31"/>
    <w:rsid w:val="00FC0A91"/>
    <w:rsid w:val="00FC28F4"/>
    <w:rsid w:val="00FC2BB1"/>
    <w:rsid w:val="00FC42F4"/>
    <w:rsid w:val="00FC4A17"/>
    <w:rsid w:val="00FC54D4"/>
    <w:rsid w:val="00FC7F37"/>
    <w:rsid w:val="00FD2FA3"/>
    <w:rsid w:val="00FD6D7D"/>
    <w:rsid w:val="00FE1133"/>
    <w:rsid w:val="00FE19F2"/>
    <w:rsid w:val="00FE39E8"/>
    <w:rsid w:val="00FE4133"/>
    <w:rsid w:val="00FE4405"/>
    <w:rsid w:val="00FE503D"/>
    <w:rsid w:val="00FE5222"/>
    <w:rsid w:val="00FE5CF0"/>
    <w:rsid w:val="00FE6FE8"/>
    <w:rsid w:val="00FE7439"/>
    <w:rsid w:val="00FE746E"/>
    <w:rsid w:val="00FE7DA0"/>
    <w:rsid w:val="00FF0A25"/>
    <w:rsid w:val="00FF2FA3"/>
    <w:rsid w:val="00FF3EDD"/>
    <w:rsid w:val="00FF418C"/>
    <w:rsid w:val="00FF5815"/>
    <w:rsid w:val="00FF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91E01E"/>
  <w15:docId w15:val="{43F18ED7-655D-4C68-ADFE-B294F13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13D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unhideWhenUsed/>
    <w:rsid w:val="003755F4"/>
    <w:rPr>
      <w:sz w:val="16"/>
      <w:szCs w:val="16"/>
    </w:rPr>
  </w:style>
  <w:style w:type="paragraph" w:styleId="CommentText">
    <w:name w:val="annotation text"/>
    <w:basedOn w:val="Normal"/>
    <w:link w:val="CommentTextChar"/>
    <w:uiPriority w:val="99"/>
    <w:unhideWhenUsed/>
    <w:qFormat/>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unhideWhenUsed/>
    <w:qFormat/>
    <w:rsid w:val="009C6DB4"/>
    <w:rPr>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fr,Style 19,Style 16,Style 35,Style 39,Style 14,12,Style 46"/>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ListParagraph">
    <w:name w:val="List Paragraph"/>
    <w:basedOn w:val="Normal"/>
    <w:uiPriority w:val="34"/>
    <w:qFormat/>
    <w:rsid w:val="00814D43"/>
    <w:pPr>
      <w:ind w:left="720"/>
      <w:contextualSpacing/>
    </w:pPr>
  </w:style>
  <w:style w:type="character" w:styleId="Hyperlink">
    <w:name w:val="Hyperlink"/>
    <w:basedOn w:val="DefaultParagraphFont"/>
    <w:uiPriority w:val="99"/>
    <w:unhideWhenUsed/>
    <w:rsid w:val="00EF532B"/>
    <w:rPr>
      <w:color w:val="0000FF" w:themeColor="hyperlink"/>
      <w:u w:val="single"/>
    </w:rPr>
  </w:style>
  <w:style w:type="table" w:customStyle="1" w:styleId="TableGrid2">
    <w:name w:val="Table Grid2"/>
    <w:basedOn w:val="TableNormal"/>
    <w:next w:val="TableGrid"/>
    <w:rsid w:val="008D7F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D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5343E"/>
    <w:rPr>
      <w:color w:val="800080" w:themeColor="followedHyperlink"/>
      <w:u w:val="single"/>
    </w:rPr>
  </w:style>
  <w:style w:type="paragraph" w:styleId="Revision">
    <w:name w:val="Revision"/>
    <w:hidden/>
    <w:uiPriority w:val="99"/>
    <w:semiHidden/>
    <w:rsid w:val="00D62E99"/>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13DA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6750">
      <w:bodyDiv w:val="1"/>
      <w:marLeft w:val="0"/>
      <w:marRight w:val="0"/>
      <w:marTop w:val="0"/>
      <w:marBottom w:val="0"/>
      <w:divBdr>
        <w:top w:val="none" w:sz="0" w:space="0" w:color="auto"/>
        <w:left w:val="none" w:sz="0" w:space="0" w:color="auto"/>
        <w:bottom w:val="none" w:sz="0" w:space="0" w:color="auto"/>
        <w:right w:val="none" w:sz="0" w:space="0" w:color="auto"/>
      </w:divBdr>
    </w:div>
    <w:div w:id="261883573">
      <w:bodyDiv w:val="1"/>
      <w:marLeft w:val="0"/>
      <w:marRight w:val="0"/>
      <w:marTop w:val="0"/>
      <w:marBottom w:val="0"/>
      <w:divBdr>
        <w:top w:val="none" w:sz="0" w:space="0" w:color="auto"/>
        <w:left w:val="none" w:sz="0" w:space="0" w:color="auto"/>
        <w:bottom w:val="none" w:sz="0" w:space="0" w:color="auto"/>
        <w:right w:val="none" w:sz="0" w:space="0" w:color="auto"/>
      </w:divBdr>
    </w:div>
    <w:div w:id="269633702">
      <w:bodyDiv w:val="1"/>
      <w:marLeft w:val="0"/>
      <w:marRight w:val="0"/>
      <w:marTop w:val="0"/>
      <w:marBottom w:val="0"/>
      <w:divBdr>
        <w:top w:val="none" w:sz="0" w:space="0" w:color="auto"/>
        <w:left w:val="none" w:sz="0" w:space="0" w:color="auto"/>
        <w:bottom w:val="none" w:sz="0" w:space="0" w:color="auto"/>
        <w:right w:val="none" w:sz="0" w:space="0" w:color="auto"/>
      </w:divBdr>
    </w:div>
    <w:div w:id="285284674">
      <w:bodyDiv w:val="1"/>
      <w:marLeft w:val="0"/>
      <w:marRight w:val="0"/>
      <w:marTop w:val="0"/>
      <w:marBottom w:val="0"/>
      <w:divBdr>
        <w:top w:val="none" w:sz="0" w:space="0" w:color="auto"/>
        <w:left w:val="none" w:sz="0" w:space="0" w:color="auto"/>
        <w:bottom w:val="none" w:sz="0" w:space="0" w:color="auto"/>
        <w:right w:val="none" w:sz="0" w:space="0" w:color="auto"/>
      </w:divBdr>
    </w:div>
    <w:div w:id="564996958">
      <w:bodyDiv w:val="1"/>
      <w:marLeft w:val="0"/>
      <w:marRight w:val="0"/>
      <w:marTop w:val="0"/>
      <w:marBottom w:val="0"/>
      <w:divBdr>
        <w:top w:val="none" w:sz="0" w:space="0" w:color="auto"/>
        <w:left w:val="none" w:sz="0" w:space="0" w:color="auto"/>
        <w:bottom w:val="none" w:sz="0" w:space="0" w:color="auto"/>
        <w:right w:val="none" w:sz="0" w:space="0" w:color="auto"/>
      </w:divBdr>
    </w:div>
    <w:div w:id="807161211">
      <w:bodyDiv w:val="1"/>
      <w:marLeft w:val="0"/>
      <w:marRight w:val="0"/>
      <w:marTop w:val="0"/>
      <w:marBottom w:val="0"/>
      <w:divBdr>
        <w:top w:val="none" w:sz="0" w:space="0" w:color="auto"/>
        <w:left w:val="none" w:sz="0" w:space="0" w:color="auto"/>
        <w:bottom w:val="none" w:sz="0" w:space="0" w:color="auto"/>
        <w:right w:val="none" w:sz="0" w:space="0" w:color="auto"/>
      </w:divBdr>
    </w:div>
    <w:div w:id="1052927886">
      <w:bodyDiv w:val="1"/>
      <w:marLeft w:val="0"/>
      <w:marRight w:val="0"/>
      <w:marTop w:val="0"/>
      <w:marBottom w:val="0"/>
      <w:divBdr>
        <w:top w:val="none" w:sz="0" w:space="0" w:color="auto"/>
        <w:left w:val="none" w:sz="0" w:space="0" w:color="auto"/>
        <w:bottom w:val="none" w:sz="0" w:space="0" w:color="auto"/>
        <w:right w:val="none" w:sz="0" w:space="0" w:color="auto"/>
      </w:divBdr>
    </w:div>
    <w:div w:id="1151949700">
      <w:bodyDiv w:val="1"/>
      <w:marLeft w:val="0"/>
      <w:marRight w:val="0"/>
      <w:marTop w:val="0"/>
      <w:marBottom w:val="0"/>
      <w:divBdr>
        <w:top w:val="none" w:sz="0" w:space="0" w:color="auto"/>
        <w:left w:val="none" w:sz="0" w:space="0" w:color="auto"/>
        <w:bottom w:val="none" w:sz="0" w:space="0" w:color="auto"/>
        <w:right w:val="none" w:sz="0" w:space="0" w:color="auto"/>
      </w:divBdr>
    </w:div>
    <w:div w:id="1437214712">
      <w:bodyDiv w:val="1"/>
      <w:marLeft w:val="0"/>
      <w:marRight w:val="0"/>
      <w:marTop w:val="0"/>
      <w:marBottom w:val="0"/>
      <w:divBdr>
        <w:top w:val="none" w:sz="0" w:space="0" w:color="auto"/>
        <w:left w:val="none" w:sz="0" w:space="0" w:color="auto"/>
        <w:bottom w:val="none" w:sz="0" w:space="0" w:color="auto"/>
        <w:right w:val="none" w:sz="0" w:space="0" w:color="auto"/>
      </w:divBdr>
    </w:div>
    <w:div w:id="1504203902">
      <w:bodyDiv w:val="1"/>
      <w:marLeft w:val="0"/>
      <w:marRight w:val="0"/>
      <w:marTop w:val="0"/>
      <w:marBottom w:val="0"/>
      <w:divBdr>
        <w:top w:val="none" w:sz="0" w:space="0" w:color="auto"/>
        <w:left w:val="none" w:sz="0" w:space="0" w:color="auto"/>
        <w:bottom w:val="none" w:sz="0" w:space="0" w:color="auto"/>
        <w:right w:val="none" w:sz="0" w:space="0" w:color="auto"/>
      </w:divBdr>
    </w:div>
    <w:div w:id="1579944072">
      <w:bodyDiv w:val="1"/>
      <w:marLeft w:val="0"/>
      <w:marRight w:val="0"/>
      <w:marTop w:val="0"/>
      <w:marBottom w:val="0"/>
      <w:divBdr>
        <w:top w:val="none" w:sz="0" w:space="0" w:color="auto"/>
        <w:left w:val="none" w:sz="0" w:space="0" w:color="auto"/>
        <w:bottom w:val="none" w:sz="0" w:space="0" w:color="auto"/>
        <w:right w:val="none" w:sz="0" w:space="0" w:color="auto"/>
      </w:divBdr>
    </w:div>
    <w:div w:id="1631594814">
      <w:bodyDiv w:val="1"/>
      <w:marLeft w:val="0"/>
      <w:marRight w:val="0"/>
      <w:marTop w:val="0"/>
      <w:marBottom w:val="0"/>
      <w:divBdr>
        <w:top w:val="none" w:sz="0" w:space="0" w:color="auto"/>
        <w:left w:val="none" w:sz="0" w:space="0" w:color="auto"/>
        <w:bottom w:val="none" w:sz="0" w:space="0" w:color="auto"/>
        <w:right w:val="none" w:sz="0" w:space="0" w:color="auto"/>
      </w:divBdr>
    </w:div>
    <w:div w:id="180303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223255B8EC6E46AEB35DD75B089988" ma:contentTypeVersion="" ma:contentTypeDescription="Create a new document." ma:contentTypeScope="" ma:versionID="4d8766eef8f8f9173ba361d136dd477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2.xml><?xml version="1.0" encoding="utf-8"?>
<ds:datastoreItem xmlns:ds="http://schemas.openxmlformats.org/officeDocument/2006/customXml" ds:itemID="{0E367CBB-B949-4A71-ACFE-8DD0396879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697EF23-6EC8-4437-BBA7-68FB41BC2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BBC74A-51F2-4DF2-9DB3-2FD22973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9472</Words>
  <Characters>53992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63338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WMcobb</dc:creator>
  <cp:keywords>PRA Blank</cp:keywords>
  <cp:lastModifiedBy>OGC-HC</cp:lastModifiedBy>
  <cp:revision>3</cp:revision>
  <cp:lastPrinted>2020-02-26T21:40:00Z</cp:lastPrinted>
  <dcterms:created xsi:type="dcterms:W3CDTF">2020-12-14T21:08:00Z</dcterms:created>
  <dcterms:modified xsi:type="dcterms:W3CDTF">2020-12-14T21:09:00Z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0x0101002C223255B8EC6E46AEB35DD75B089988</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2268;#PRA Blank|bbbd82c5-0437-4006-80e0-1ee767fc1cab</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