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35B7" w:rsidR="00D635B7" w:rsidP="00D635B7" w:rsidRDefault="00D635B7" w14:paraId="6A6C8779" w14:textId="6A759ADE">
      <w:pPr>
        <w:jc w:val="center"/>
        <w:rPr>
          <w:rFonts w:eastAsia="Times New Roman" w:cs="Times New Roman"/>
          <w:b/>
          <w:szCs w:val="24"/>
        </w:rPr>
      </w:pPr>
      <w:bookmarkStart w:name="_GoBack" w:id="0"/>
      <w:bookmarkEnd w:id="0"/>
      <w:r w:rsidRPr="00D635B7">
        <w:rPr>
          <w:rFonts w:eastAsia="Times New Roman" w:cs="Times New Roman"/>
          <w:b/>
          <w:szCs w:val="24"/>
        </w:rPr>
        <w:t xml:space="preserve">SUPPORTING STATEMENT FOR </w:t>
      </w:r>
    </w:p>
    <w:p w:rsidRPr="00D635B7" w:rsidR="00D635B7" w:rsidP="00D635B7" w:rsidRDefault="00D635B7" w14:paraId="60962105" w14:textId="23031595">
      <w:pPr>
        <w:jc w:val="center"/>
        <w:rPr>
          <w:rFonts w:eastAsia="Times New Roman" w:cs="Times New Roman"/>
          <w:b/>
          <w:szCs w:val="24"/>
        </w:rPr>
      </w:pPr>
      <w:r>
        <w:rPr>
          <w:rFonts w:eastAsia="Times New Roman" w:cs="Times New Roman"/>
          <w:b/>
          <w:szCs w:val="24"/>
        </w:rPr>
        <w:t>REVISED INFORMATION COLLECTION</w:t>
      </w:r>
    </w:p>
    <w:p w:rsidRPr="00642B6A" w:rsidR="00642B6A" w:rsidP="009B3431" w:rsidRDefault="00642B6A" w14:paraId="5A55EC6F" w14:textId="2BD1FF39">
      <w:pPr>
        <w:jc w:val="center"/>
        <w:rPr>
          <w:rFonts w:eastAsia="Times New Roman" w:cs="Times New Roman"/>
          <w:b/>
          <w:szCs w:val="24"/>
        </w:rPr>
      </w:pPr>
    </w:p>
    <w:p w:rsidR="009876CF" w:rsidP="009876CF" w:rsidRDefault="006B2795" w14:paraId="52BC4ED6" w14:textId="631DC474">
      <w:pPr>
        <w:suppressAutoHyphens/>
        <w:spacing w:after="240"/>
        <w:jc w:val="center"/>
        <w:rPr>
          <w:rFonts w:eastAsia="Times New Roman" w:cs="Times New Roman"/>
          <w:b/>
          <w:szCs w:val="24"/>
        </w:rPr>
      </w:pPr>
      <w:proofErr w:type="gramStart"/>
      <w:r>
        <w:rPr>
          <w:rFonts w:eastAsia="Times New Roman" w:cs="Times New Roman"/>
          <w:b/>
          <w:szCs w:val="24"/>
        </w:rPr>
        <w:t xml:space="preserve">Final </w:t>
      </w:r>
      <w:r w:rsidR="00CC11BF">
        <w:rPr>
          <w:rFonts w:eastAsia="Times New Roman" w:cs="Times New Roman"/>
          <w:b/>
          <w:szCs w:val="24"/>
        </w:rPr>
        <w:t xml:space="preserve"> Rule</w:t>
      </w:r>
      <w:proofErr w:type="gramEnd"/>
      <w:r w:rsidR="00CC11BF">
        <w:rPr>
          <w:rFonts w:eastAsia="Times New Roman" w:cs="Times New Roman"/>
          <w:b/>
          <w:szCs w:val="24"/>
        </w:rPr>
        <w:t>—</w:t>
      </w:r>
      <w:r w:rsidR="009876CF">
        <w:rPr>
          <w:rFonts w:eastAsia="Times New Roman" w:cs="Times New Roman"/>
          <w:b/>
          <w:szCs w:val="24"/>
        </w:rPr>
        <w:t xml:space="preserve"> </w:t>
      </w:r>
      <w:r w:rsidR="00D635B7">
        <w:rPr>
          <w:rFonts w:eastAsia="Times New Roman" w:cs="Times New Roman"/>
          <w:b/>
          <w:szCs w:val="24"/>
        </w:rPr>
        <w:t>Electronic Trading Risk Principles</w:t>
      </w:r>
    </w:p>
    <w:p w:rsidRPr="00642B6A" w:rsidR="00D12FEB" w:rsidP="00CB0776" w:rsidRDefault="00642B6A" w14:paraId="5A55EC71" w14:textId="1CCCA45B">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FE58F8">
        <w:rPr>
          <w:rFonts w:eastAsia="Times New Roman" w:cs="Times New Roman"/>
          <w:b/>
          <w:szCs w:val="24"/>
        </w:rPr>
        <w:t>0052</w:t>
      </w:r>
    </w:p>
    <w:p w:rsidRPr="00642B6A" w:rsidR="00642B6A" w:rsidP="00642B6A" w:rsidRDefault="00642B6A" w14:paraId="5A55EC72" w14:textId="77777777">
      <w:pPr>
        <w:spacing w:after="240"/>
        <w:outlineLvl w:val="0"/>
        <w:rPr>
          <w:rFonts w:eastAsia="Times New Roman" w:cs="Times New Roman"/>
          <w:b/>
          <w:szCs w:val="24"/>
        </w:rPr>
      </w:pPr>
      <w:r w:rsidRPr="00642B6A">
        <w:rPr>
          <w:rFonts w:eastAsia="Times New Roman" w:cs="Times New Roman"/>
          <w:b/>
          <w:szCs w:val="24"/>
        </w:rPr>
        <w:t>Justification</w:t>
      </w:r>
    </w:p>
    <w:p w:rsidRPr="00CC11BF" w:rsidR="00EF2E68" w:rsidP="002712C5" w:rsidRDefault="00642B6A" w14:paraId="486E8172" w14:textId="36C0EC43">
      <w:pPr>
        <w:pStyle w:val="ListParagraph"/>
        <w:numPr>
          <w:ilvl w:val="0"/>
          <w:numId w:val="5"/>
        </w:numPr>
        <w:tabs>
          <w:tab w:val="left" w:pos="-720"/>
        </w:tabs>
        <w:spacing w:after="240"/>
        <w:ind w:hanging="720"/>
        <w:jc w:val="both"/>
        <w:rPr>
          <w:rFonts w:eastAsia="Times New Roman" w:cs="Times New Roman"/>
          <w:szCs w:val="24"/>
        </w:rPr>
      </w:pPr>
      <w:r w:rsidRPr="00CC11BF">
        <w:rPr>
          <w:rFonts w:eastAsia="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11BF" w:rsidP="00EB4636" w:rsidRDefault="00CC11BF" w14:paraId="04E55E73" w14:textId="77777777">
      <w:pPr>
        <w:ind w:left="360"/>
        <w:rPr>
          <w:rFonts w:eastAsia="PMingLiU" w:cs="Times New Roman"/>
          <w:szCs w:val="24"/>
        </w:rPr>
      </w:pPr>
    </w:p>
    <w:p w:rsidR="008C7D77" w:rsidP="008C7D77" w:rsidRDefault="00F060D9" w14:paraId="31F60862" w14:textId="4EBBC344">
      <w:pPr>
        <w:ind w:firstLine="720"/>
        <w:rPr>
          <w:rFonts w:eastAsia="PMingLiU" w:cs="Times New Roman"/>
          <w:szCs w:val="24"/>
        </w:rPr>
      </w:pPr>
      <w:proofErr w:type="gramStart"/>
      <w:r w:rsidRPr="00F060D9">
        <w:rPr>
          <w:rFonts w:eastAsia="PMingLiU" w:cs="Times New Roman"/>
          <w:szCs w:val="24"/>
        </w:rPr>
        <w:t>The  regulations</w:t>
      </w:r>
      <w:proofErr w:type="gramEnd"/>
      <w:r w:rsidRPr="00F060D9">
        <w:rPr>
          <w:rFonts w:eastAsia="PMingLiU" w:cs="Times New Roman"/>
          <w:szCs w:val="24"/>
        </w:rPr>
        <w:t xml:space="preserve"> are intended to prevent, detect, and mitigate market disruptions or system anomalies associated with electronic trading</w:t>
      </w:r>
      <w:r w:rsidRPr="00F060D9" w:rsidDel="00573A7C" w:rsidR="00573A7C">
        <w:rPr>
          <w:rFonts w:eastAsia="PMingLiU" w:cs="Times New Roman"/>
          <w:szCs w:val="24"/>
        </w:rPr>
        <w:t xml:space="preserve"> </w:t>
      </w:r>
      <w:r>
        <w:rPr>
          <w:rFonts w:eastAsia="PMingLiU" w:cs="Times New Roman"/>
          <w:szCs w:val="24"/>
        </w:rPr>
        <w:t xml:space="preserve"> </w:t>
      </w:r>
      <w:r w:rsidRPr="008C7D77" w:rsidR="008C7D77">
        <w:rPr>
          <w:rFonts w:eastAsia="PMingLiU" w:cs="Times New Roman"/>
          <w:szCs w:val="24"/>
        </w:rPr>
        <w:t xml:space="preserve">on </w:t>
      </w:r>
      <w:r w:rsidR="008C7D77">
        <w:rPr>
          <w:rFonts w:eastAsia="PMingLiU" w:cs="Times New Roman"/>
          <w:szCs w:val="24"/>
        </w:rPr>
        <w:t>designated contract markets (“DCMs”)</w:t>
      </w:r>
      <w:r w:rsidR="000C376D">
        <w:rPr>
          <w:rFonts w:eastAsia="PMingLiU" w:cs="Times New Roman"/>
          <w:szCs w:val="24"/>
        </w:rPr>
        <w:t>,</w:t>
      </w:r>
      <w:r w:rsidR="008C7D77">
        <w:rPr>
          <w:rFonts w:eastAsia="PMingLiU" w:cs="Times New Roman"/>
          <w:szCs w:val="24"/>
        </w:rPr>
        <w:t xml:space="preserve"> while also modernizing the Commission’s regulatory regime </w:t>
      </w:r>
      <w:r w:rsidR="000C376D">
        <w:rPr>
          <w:rFonts w:eastAsia="PMingLiU" w:cs="Times New Roman"/>
          <w:szCs w:val="24"/>
        </w:rPr>
        <w:t>given</w:t>
      </w:r>
      <w:r w:rsidR="008C7D77">
        <w:rPr>
          <w:rFonts w:eastAsia="PMingLiU" w:cs="Times New Roman"/>
          <w:szCs w:val="24"/>
        </w:rPr>
        <w:t xml:space="preserve"> the change from </w:t>
      </w:r>
      <w:r w:rsidR="00A40B11">
        <w:rPr>
          <w:rFonts w:eastAsia="PMingLiU" w:cs="Times New Roman"/>
          <w:szCs w:val="24"/>
        </w:rPr>
        <w:t xml:space="preserve">open-outcry </w:t>
      </w:r>
      <w:r w:rsidR="008C7D77">
        <w:rPr>
          <w:rFonts w:eastAsia="PMingLiU" w:cs="Times New Roman"/>
          <w:szCs w:val="24"/>
        </w:rPr>
        <w:t xml:space="preserve">floor trading to electronic trading.  </w:t>
      </w:r>
      <w:proofErr w:type="gramStart"/>
      <w:r w:rsidR="008C7D77">
        <w:rPr>
          <w:rFonts w:eastAsia="PMingLiU" w:cs="Times New Roman"/>
          <w:szCs w:val="24"/>
        </w:rPr>
        <w:t>The  regulations</w:t>
      </w:r>
      <w:proofErr w:type="gramEnd"/>
      <w:r w:rsidR="008C7D77">
        <w:rPr>
          <w:rFonts w:eastAsia="PMingLiU" w:cs="Times New Roman"/>
          <w:szCs w:val="24"/>
        </w:rPr>
        <w:t xml:space="preserve">  also </w:t>
      </w:r>
      <w:r w:rsidRPr="008C7D77" w:rsidR="008C7D77">
        <w:rPr>
          <w:rFonts w:eastAsia="PMingLiU" w:cs="Times New Roman"/>
          <w:szCs w:val="24"/>
        </w:rPr>
        <w:t>promote market integrity on all DCMs</w:t>
      </w:r>
      <w:r w:rsidR="008C7D77">
        <w:rPr>
          <w:rFonts w:eastAsia="PMingLiU" w:cs="Times New Roman"/>
          <w:szCs w:val="24"/>
        </w:rPr>
        <w:t xml:space="preserve">.  </w:t>
      </w:r>
    </w:p>
    <w:p w:rsidR="00F060D9" w:rsidP="008C7D77" w:rsidRDefault="00F060D9" w14:paraId="7F54BC4E" w14:textId="77777777">
      <w:pPr>
        <w:ind w:firstLine="720"/>
        <w:rPr>
          <w:rFonts w:eastAsia="PMingLiU" w:cs="Times New Roman"/>
          <w:szCs w:val="24"/>
        </w:rPr>
      </w:pPr>
    </w:p>
    <w:p w:rsidRPr="008C7D77" w:rsidR="00F060D9" w:rsidP="008C7D77" w:rsidRDefault="00F060D9" w14:paraId="70C8F5A4" w14:textId="143EDB1A">
      <w:pPr>
        <w:ind w:firstLine="720"/>
        <w:rPr>
          <w:rFonts w:eastAsia="PMingLiU" w:cs="Times New Roman"/>
          <w:szCs w:val="24"/>
        </w:rPr>
      </w:pPr>
      <w:r w:rsidRPr="00F060D9">
        <w:rPr>
          <w:rFonts w:eastAsia="PMingLiU" w:cs="Times New Roman"/>
          <w:szCs w:val="24"/>
        </w:rPr>
        <w:t xml:space="preserve">The Commission believes that the obligations created by the </w:t>
      </w:r>
      <w:proofErr w:type="gramStart"/>
      <w:r w:rsidR="00230C3D">
        <w:rPr>
          <w:rFonts w:eastAsia="PMingLiU" w:cs="Times New Roman"/>
          <w:szCs w:val="24"/>
        </w:rPr>
        <w:t xml:space="preserve">new </w:t>
      </w:r>
      <w:r w:rsidRPr="00F060D9">
        <w:rPr>
          <w:rFonts w:eastAsia="PMingLiU" w:cs="Times New Roman"/>
          <w:szCs w:val="24"/>
        </w:rPr>
        <w:t xml:space="preserve"> rules</w:t>
      </w:r>
      <w:proofErr w:type="gramEnd"/>
      <w:r w:rsidRPr="00F060D9">
        <w:rPr>
          <w:rFonts w:eastAsia="PMingLiU" w:cs="Times New Roman"/>
          <w:szCs w:val="24"/>
        </w:rPr>
        <w:t xml:space="preserve"> are essential to </w:t>
      </w:r>
      <w:r w:rsidR="000C376D">
        <w:rPr>
          <w:rFonts w:eastAsia="PMingLiU" w:cs="Times New Roman"/>
          <w:szCs w:val="24"/>
        </w:rPr>
        <w:t>ensure</w:t>
      </w:r>
      <w:r w:rsidRPr="00F060D9">
        <w:rPr>
          <w:rFonts w:eastAsia="PMingLiU" w:cs="Times New Roman"/>
          <w:szCs w:val="24"/>
        </w:rPr>
        <w:t xml:space="preserve"> market integrity and avoid systemic risk.  </w:t>
      </w:r>
    </w:p>
    <w:p w:rsidR="00A40B11" w:rsidP="008C7D77" w:rsidRDefault="00A40B11" w14:paraId="36C70818" w14:textId="77777777">
      <w:pPr>
        <w:ind w:firstLine="720"/>
        <w:rPr>
          <w:rFonts w:eastAsia="PMingLiU" w:cs="Times New Roman"/>
          <w:szCs w:val="24"/>
        </w:rPr>
      </w:pPr>
    </w:p>
    <w:p w:rsidRPr="008D0711" w:rsidR="00082089" w:rsidP="008C7D77" w:rsidRDefault="008C7D77" w14:paraId="09F56BFA" w14:textId="19C4AF6B">
      <w:pPr>
        <w:ind w:firstLine="720"/>
        <w:rPr>
          <w:rFonts w:eastAsia="PMingLiU" w:cs="Times New Roman"/>
          <w:lang w:val="en"/>
        </w:rPr>
      </w:pPr>
      <w:r w:rsidRPr="008C7D77">
        <w:rPr>
          <w:rFonts w:eastAsia="PMingLiU" w:cs="Times New Roman"/>
          <w:szCs w:val="24"/>
        </w:rPr>
        <w:t xml:space="preserve">The Commission </w:t>
      </w:r>
      <w:r w:rsidR="00A40B11">
        <w:rPr>
          <w:rFonts w:eastAsia="PMingLiU" w:cs="Times New Roman"/>
          <w:szCs w:val="24"/>
        </w:rPr>
        <w:t xml:space="preserve">believes that the regulations in the form of “risk </w:t>
      </w:r>
      <w:proofErr w:type="gramStart"/>
      <w:r w:rsidR="00A40B11">
        <w:rPr>
          <w:rFonts w:eastAsia="PMingLiU" w:cs="Times New Roman"/>
          <w:szCs w:val="24"/>
        </w:rPr>
        <w:t xml:space="preserve">principles”  </w:t>
      </w:r>
      <w:r w:rsidRPr="008C7D77">
        <w:rPr>
          <w:rFonts w:eastAsia="PMingLiU" w:cs="Times New Roman"/>
          <w:szCs w:val="24"/>
        </w:rPr>
        <w:t>address</w:t>
      </w:r>
      <w:proofErr w:type="gramEnd"/>
      <w:r w:rsidRPr="008C7D77">
        <w:rPr>
          <w:rFonts w:eastAsia="PMingLiU" w:cs="Times New Roman"/>
          <w:szCs w:val="24"/>
        </w:rPr>
        <w:t xml:space="preserve"> and update its rules in response to the threat of market disruptions caused by </w:t>
      </w:r>
      <w:r w:rsidR="00F11AB5">
        <w:rPr>
          <w:rFonts w:eastAsia="PMingLiU" w:cs="Times New Roman"/>
          <w:szCs w:val="24"/>
        </w:rPr>
        <w:t xml:space="preserve">potential </w:t>
      </w:r>
      <w:r w:rsidRPr="008C7D77">
        <w:rPr>
          <w:rFonts w:eastAsia="PMingLiU" w:cs="Times New Roman"/>
          <w:szCs w:val="24"/>
        </w:rPr>
        <w:t xml:space="preserve">malfunctions in </w:t>
      </w:r>
      <w:r w:rsidR="00F060D9">
        <w:rPr>
          <w:rFonts w:eastAsia="PMingLiU" w:cs="Times New Roman"/>
          <w:szCs w:val="24"/>
        </w:rPr>
        <w:t xml:space="preserve">electronic </w:t>
      </w:r>
      <w:r w:rsidRPr="008C7D77">
        <w:rPr>
          <w:rFonts w:eastAsia="PMingLiU" w:cs="Times New Roman"/>
          <w:szCs w:val="24"/>
        </w:rPr>
        <w:t>trading system</w:t>
      </w:r>
      <w:r w:rsidR="00F060D9">
        <w:rPr>
          <w:rFonts w:eastAsia="PMingLiU" w:cs="Times New Roman"/>
          <w:szCs w:val="24"/>
        </w:rPr>
        <w:t>s</w:t>
      </w:r>
      <w:r w:rsidRPr="008C7D77">
        <w:rPr>
          <w:rFonts w:eastAsia="PMingLiU" w:cs="Times New Roman"/>
          <w:szCs w:val="24"/>
        </w:rPr>
        <w:t>.</w:t>
      </w:r>
      <w:r w:rsidR="00F11AB5">
        <w:rPr>
          <w:rFonts w:eastAsia="PMingLiU" w:cs="Times New Roman"/>
          <w:szCs w:val="24"/>
        </w:rPr>
        <w:t xml:space="preserve">  </w:t>
      </w:r>
      <w:r w:rsidRPr="008C7D77">
        <w:rPr>
          <w:rFonts w:eastAsia="PMingLiU" w:cs="Times New Roman"/>
          <w:szCs w:val="24"/>
        </w:rPr>
        <w:t xml:space="preserve">The </w:t>
      </w:r>
      <w:r w:rsidRPr="00042708" w:rsidR="00042708">
        <w:rPr>
          <w:rFonts w:eastAsia="PMingLiU" w:cs="Times New Roman"/>
          <w:szCs w:val="24"/>
        </w:rPr>
        <w:t xml:space="preserve">implementation of </w:t>
      </w:r>
      <w:r w:rsidR="002B2127">
        <w:rPr>
          <w:rFonts w:eastAsia="PMingLiU" w:cs="Times New Roman"/>
          <w:szCs w:val="24"/>
        </w:rPr>
        <w:t xml:space="preserve">DCM </w:t>
      </w:r>
      <w:r w:rsidRPr="00042708" w:rsidR="00042708">
        <w:rPr>
          <w:rFonts w:eastAsia="PMingLiU" w:cs="Times New Roman"/>
          <w:szCs w:val="24"/>
        </w:rPr>
        <w:t>rules to prevent, detect, and mitigate market disruptions and system anomalies associated with electronic trading</w:t>
      </w:r>
      <w:r w:rsidR="000C376D">
        <w:rPr>
          <w:rFonts w:eastAsia="PMingLiU" w:cs="Times New Roman"/>
          <w:szCs w:val="24"/>
        </w:rPr>
        <w:t>,</w:t>
      </w:r>
      <w:r w:rsidR="00042708">
        <w:rPr>
          <w:rFonts w:eastAsia="PMingLiU" w:cs="Times New Roman"/>
          <w:szCs w:val="24"/>
        </w:rPr>
        <w:t xml:space="preserve"> as well as the adoption</w:t>
      </w:r>
      <w:r w:rsidRPr="00042708" w:rsidR="00042708">
        <w:rPr>
          <w:rFonts w:eastAsia="PMingLiU" w:cs="Times New Roman"/>
          <w:szCs w:val="24"/>
        </w:rPr>
        <w:t xml:space="preserve"> of </w:t>
      </w:r>
      <w:r w:rsidR="002B2127">
        <w:rPr>
          <w:rFonts w:eastAsia="PMingLiU" w:cs="Times New Roman"/>
          <w:szCs w:val="24"/>
        </w:rPr>
        <w:t>DCM</w:t>
      </w:r>
      <w:r w:rsidRPr="00042708" w:rsidR="00042708">
        <w:rPr>
          <w:rFonts w:eastAsia="PMingLiU" w:cs="Times New Roman"/>
          <w:szCs w:val="24"/>
        </w:rPr>
        <w:t>-based pre-trade risk controls for all electronic orders</w:t>
      </w:r>
      <w:r w:rsidR="000C376D">
        <w:rPr>
          <w:rFonts w:eastAsia="PMingLiU" w:cs="Times New Roman"/>
          <w:szCs w:val="24"/>
        </w:rPr>
        <w:t>,</w:t>
      </w:r>
      <w:r w:rsidR="00042708">
        <w:rPr>
          <w:rFonts w:eastAsia="PMingLiU" w:cs="Times New Roman"/>
          <w:szCs w:val="24"/>
        </w:rPr>
        <w:t xml:space="preserve"> </w:t>
      </w:r>
      <w:r w:rsidRPr="008C7D77">
        <w:rPr>
          <w:rFonts w:eastAsia="PMingLiU" w:cs="Times New Roman"/>
          <w:szCs w:val="24"/>
        </w:rPr>
        <w:t xml:space="preserve">are important elements in ensuring the integrity of Commission-regulated markets and fostering market participants’ confidence in the transactions being executed on DCM platforms. </w:t>
      </w:r>
    </w:p>
    <w:p w:rsidR="00082089" w:rsidP="00FE58F8" w:rsidRDefault="00082089" w14:paraId="614303AF" w14:textId="77777777">
      <w:pPr>
        <w:ind w:firstLine="720"/>
        <w:rPr>
          <w:rFonts w:eastAsia="PMingLiU" w:cs="Times New Roman"/>
          <w:szCs w:val="24"/>
        </w:rPr>
      </w:pPr>
    </w:p>
    <w:p w:rsidR="00FE58F8" w:rsidP="00FE58F8" w:rsidRDefault="00FE58F8" w14:paraId="63CA259D" w14:textId="1DB2CE8B">
      <w:pPr>
        <w:tabs>
          <w:tab w:val="left" w:pos="-720"/>
        </w:tabs>
        <w:suppressAutoHyphens/>
        <w:ind w:firstLine="720"/>
      </w:pPr>
      <w:r>
        <w:rPr>
          <w:rFonts w:eastAsia="PMingLiU" w:cs="Times New Roman"/>
          <w:szCs w:val="24"/>
        </w:rPr>
        <w:t xml:space="preserve">The Commission is seeking to amend control number 3038-0052.  </w:t>
      </w:r>
      <w:r>
        <w:t xml:space="preserve">The regulations governing DCMs were </w:t>
      </w:r>
      <w:r w:rsidR="00077196">
        <w:t xml:space="preserve">originally </w:t>
      </w:r>
      <w:r>
        <w:t>adopted pursuant to the requirements of the Commodity Futures Modernization Act of 2000 (CFMA)</w:t>
      </w:r>
      <w:r>
        <w:rPr>
          <w:rStyle w:val="FootnoteReference"/>
        </w:rPr>
        <w:footnoteReference w:id="2"/>
      </w:r>
      <w:r w:rsidR="000C376D">
        <w:t xml:space="preserve"> </w:t>
      </w:r>
      <w:r w:rsidR="00077196">
        <w:t xml:space="preserve">and more recently updated as part of the requirements under the </w:t>
      </w:r>
      <w:r w:rsidRPr="00F11AB5" w:rsidR="00F11AB5">
        <w:t>Dodd-Frank Wall Street Reform and Consumer Protection Act</w:t>
      </w:r>
      <w:r w:rsidR="00F11AB5">
        <w:t xml:space="preserve"> (</w:t>
      </w:r>
      <w:r w:rsidR="00077196">
        <w:t>Dodd-Frank Act</w:t>
      </w:r>
      <w:r w:rsidR="00F11AB5">
        <w:t>)</w:t>
      </w:r>
      <w:r w:rsidR="00077196">
        <w:t>.</w:t>
      </w:r>
      <w:r w:rsidR="00077196">
        <w:rPr>
          <w:rStyle w:val="FootnoteReference"/>
        </w:rPr>
        <w:footnoteReference w:id="3"/>
      </w:r>
      <w:r w:rsidR="00077196">
        <w:t xml:space="preserve"> </w:t>
      </w:r>
      <w:r>
        <w:t xml:space="preserve"> Part 38 of the Commission’s regulations governs the activities of DCMs.  The information collected pursuant to </w:t>
      </w:r>
      <w:r w:rsidR="00077196">
        <w:t>p</w:t>
      </w:r>
      <w:r>
        <w:t>art 38 is necessary for the Commission to evaluate whether entities operating as, or applying to become</w:t>
      </w:r>
      <w:r w:rsidR="000C376D">
        <w:t>,</w:t>
      </w:r>
      <w:r>
        <w:t xml:space="preserve"> DCMs comply with </w:t>
      </w:r>
      <w:r w:rsidR="00077196">
        <w:t>p</w:t>
      </w:r>
      <w:r>
        <w:t xml:space="preserve">art 38 requirements.  Collection 3038-0052 was created in response to the </w:t>
      </w:r>
      <w:r w:rsidR="000C376D">
        <w:t>p</w:t>
      </w:r>
      <w:r>
        <w:t xml:space="preserve">art 38 regulatory requirements for DCMs. </w:t>
      </w:r>
    </w:p>
    <w:p w:rsidR="00FE58F8" w:rsidP="004049D0" w:rsidRDefault="00FE58F8" w14:paraId="06424EBC" w14:textId="77777777">
      <w:pPr>
        <w:ind w:firstLine="720"/>
        <w:rPr>
          <w:rFonts w:eastAsia="PMingLiU" w:cs="Times New Roman"/>
          <w:szCs w:val="24"/>
        </w:rPr>
      </w:pPr>
    </w:p>
    <w:p w:rsidR="00CB0776" w:rsidP="00AC12BC" w:rsidRDefault="00FE58F8" w14:paraId="0694A36A" w14:textId="78790D61">
      <w:pPr>
        <w:ind w:firstLine="720"/>
        <w:rPr>
          <w:rFonts w:eastAsia="PMingLiU" w:cs="Times New Roman"/>
          <w:szCs w:val="24"/>
        </w:rPr>
      </w:pPr>
      <w:r>
        <w:rPr>
          <w:rFonts w:eastAsia="PMingLiU" w:cs="Times New Roman"/>
          <w:szCs w:val="24"/>
        </w:rPr>
        <w:t>In addition, t</w:t>
      </w:r>
      <w:r w:rsidRPr="004049D0" w:rsidR="00BF2E68">
        <w:rPr>
          <w:rFonts w:eastAsia="PMingLiU" w:cs="Times New Roman"/>
          <w:szCs w:val="24"/>
        </w:rPr>
        <w:t xml:space="preserve">his </w:t>
      </w:r>
      <w:r>
        <w:rPr>
          <w:rFonts w:eastAsia="PMingLiU" w:cs="Times New Roman"/>
          <w:szCs w:val="24"/>
        </w:rPr>
        <w:t xml:space="preserve">revised information </w:t>
      </w:r>
      <w:r w:rsidRPr="004049D0" w:rsidR="00BF2E68">
        <w:rPr>
          <w:rFonts w:eastAsia="PMingLiU" w:cs="Times New Roman"/>
          <w:szCs w:val="24"/>
        </w:rPr>
        <w:t xml:space="preserve">collection is necessary to implement </w:t>
      </w:r>
      <w:r w:rsidR="00082089">
        <w:rPr>
          <w:rFonts w:eastAsia="PMingLiU" w:cs="Times New Roman"/>
          <w:szCs w:val="24"/>
        </w:rPr>
        <w:t>the following</w:t>
      </w:r>
      <w:r w:rsidRPr="004049D0" w:rsidR="00BF2E68">
        <w:rPr>
          <w:rFonts w:eastAsia="PMingLiU" w:cs="Times New Roman"/>
          <w:szCs w:val="24"/>
        </w:rPr>
        <w:t xml:space="preserve"> provisions of </w:t>
      </w:r>
      <w:r w:rsidRPr="004049D0" w:rsidR="00B6544D">
        <w:rPr>
          <w:rFonts w:eastAsia="Times New Roman" w:cs="Times New Roman"/>
          <w:szCs w:val="24"/>
        </w:rPr>
        <w:t xml:space="preserve">the </w:t>
      </w:r>
      <w:r w:rsidRPr="004049D0" w:rsidR="00D56B0E">
        <w:rPr>
          <w:rFonts w:eastAsia="Times New Roman" w:cs="Times New Roman"/>
          <w:szCs w:val="24"/>
        </w:rPr>
        <w:t>Act</w:t>
      </w:r>
      <w:r w:rsidRPr="004049D0" w:rsidR="00B6544D">
        <w:rPr>
          <w:rFonts w:eastAsia="Times New Roman" w:cs="Times New Roman"/>
          <w:szCs w:val="24"/>
        </w:rPr>
        <w:t xml:space="preserve">.  </w:t>
      </w:r>
      <w:r w:rsidRPr="004049D0" w:rsidR="004049D0">
        <w:rPr>
          <w:rFonts w:eastAsia="PMingLiU" w:cs="Times New Roman"/>
          <w:szCs w:val="24"/>
        </w:rPr>
        <w:t>Section 3(b) provides that it is the purpose of the Act to</w:t>
      </w:r>
      <w:r w:rsidRPr="004049D0" w:rsidR="004049D0">
        <w:rPr>
          <w:rFonts w:eastAsia="PMingLiU" w:cs="Times New Roman"/>
          <w:lang w:val="en"/>
        </w:rPr>
        <w:t xml:space="preserve"> deter and prevent price manipulation or any other disruptions to market integrity; to ensure the financial integrity </w:t>
      </w:r>
      <w:r w:rsidRPr="004049D0" w:rsidR="004049D0">
        <w:rPr>
          <w:rFonts w:eastAsia="PMingLiU" w:cs="Times New Roman"/>
          <w:lang w:val="en"/>
        </w:rPr>
        <w:lastRenderedPageBreak/>
        <w:t xml:space="preserve">of all transactions subject to this chapter and the avoidance of systemic risk; to protect all market participants from fraudulent or other abusive sales practices and misuses of customer assets; and to promote responsible innovation and fair competition among boards of trade, other markets and market </w:t>
      </w:r>
      <w:r w:rsidRPr="004049D0" w:rsidR="004049D0">
        <w:rPr>
          <w:rFonts w:eastAsia="PMingLiU" w:cs="Times New Roman"/>
          <w:szCs w:val="24"/>
          <w:lang w:val="en"/>
        </w:rPr>
        <w:t>participa</w:t>
      </w:r>
      <w:r w:rsidRPr="00D23D7B" w:rsidR="004049D0">
        <w:rPr>
          <w:rFonts w:eastAsia="PMingLiU" w:cs="Times New Roman"/>
          <w:szCs w:val="24"/>
          <w:lang w:val="en"/>
        </w:rPr>
        <w:t xml:space="preserve">nts.  </w:t>
      </w:r>
      <w:r w:rsidRPr="00D23D7B" w:rsidR="00BF2E68">
        <w:rPr>
          <w:rFonts w:eastAsia="PMingLiU" w:cs="Times New Roman"/>
          <w:szCs w:val="24"/>
        </w:rPr>
        <w:t>Section 8</w:t>
      </w:r>
      <w:proofErr w:type="gramStart"/>
      <w:r w:rsidRPr="00D23D7B" w:rsidR="00BF2E68">
        <w:rPr>
          <w:rFonts w:eastAsia="PMingLiU" w:cs="Times New Roman"/>
          <w:szCs w:val="24"/>
        </w:rPr>
        <w:t>a(</w:t>
      </w:r>
      <w:proofErr w:type="gramEnd"/>
      <w:r w:rsidRPr="00D23D7B" w:rsidR="00BF2E68">
        <w:rPr>
          <w:rFonts w:eastAsia="PMingLiU" w:cs="Times New Roman"/>
          <w:szCs w:val="24"/>
        </w:rPr>
        <w:t xml:space="preserve">5) provides the </w:t>
      </w:r>
      <w:r w:rsidRPr="00D23D7B" w:rsidR="00B6544D">
        <w:rPr>
          <w:rFonts w:eastAsia="PMingLiU" w:cs="Times New Roman"/>
          <w:szCs w:val="24"/>
        </w:rPr>
        <w:t>Commission</w:t>
      </w:r>
      <w:r w:rsidRPr="00D23D7B" w:rsidR="00BF2E68">
        <w:rPr>
          <w:rFonts w:eastAsia="PMingLiU" w:cs="Times New Roman"/>
          <w:szCs w:val="24"/>
        </w:rPr>
        <w:t xml:space="preserve"> with authority to promulgate rules as reasonably necessary to effectuate any of the provisions or to accomplish</w:t>
      </w:r>
      <w:r w:rsidRPr="00D23D7B" w:rsidR="00B6544D">
        <w:rPr>
          <w:rFonts w:eastAsia="PMingLiU" w:cs="Times New Roman"/>
          <w:szCs w:val="24"/>
        </w:rPr>
        <w:t xml:space="preserve"> any of the purposes of the Act. </w:t>
      </w:r>
      <w:r w:rsidRPr="00D23D7B" w:rsidR="00BF2E68">
        <w:rPr>
          <w:rFonts w:eastAsia="PMingLiU" w:cs="Times New Roman"/>
          <w:szCs w:val="24"/>
        </w:rPr>
        <w:t xml:space="preserve"> </w:t>
      </w:r>
      <w:r w:rsidRPr="00D23D7B" w:rsidR="00B6544D">
        <w:rPr>
          <w:rFonts w:eastAsia="PMingLiU" w:cs="Times New Roman"/>
          <w:szCs w:val="24"/>
        </w:rPr>
        <w:t xml:space="preserve">Section </w:t>
      </w:r>
      <w:r w:rsidRPr="00D23D7B" w:rsidR="00546BED">
        <w:rPr>
          <w:rStyle w:val="st"/>
          <w:rFonts w:cs="Times New Roman"/>
          <w:color w:val="222222"/>
          <w:lang w:val="en"/>
        </w:rPr>
        <w:t>4c(a)(6)</w:t>
      </w:r>
      <w:r w:rsidRPr="00D23D7B" w:rsidR="00546BED">
        <w:rPr>
          <w:rFonts w:eastAsia="PMingLiU" w:cs="Times New Roman"/>
          <w:szCs w:val="24"/>
        </w:rPr>
        <w:t xml:space="preserve"> of the Act</w:t>
      </w:r>
      <w:r w:rsidRPr="00D23D7B" w:rsidR="00B6544D">
        <w:rPr>
          <w:rFonts w:eastAsia="PMingLiU" w:cs="Times New Roman"/>
          <w:szCs w:val="24"/>
        </w:rPr>
        <w:t xml:space="preserve"> provides rulemaking authority to prohibit</w:t>
      </w:r>
      <w:r w:rsidRPr="00D23D7B" w:rsidR="00D56B0E">
        <w:rPr>
          <w:rFonts w:eastAsia="PMingLiU" w:cs="Times New Roman"/>
          <w:szCs w:val="24"/>
        </w:rPr>
        <w:t xml:space="preserve"> disruptive trading practices.  </w:t>
      </w:r>
      <w:r w:rsidR="00AC12BC">
        <w:rPr>
          <w:rFonts w:eastAsia="PMingLiU" w:cs="Times New Roman"/>
          <w:szCs w:val="24"/>
        </w:rPr>
        <w:t xml:space="preserve">Section </w:t>
      </w:r>
      <w:r w:rsidRPr="00AC12BC" w:rsidR="00AC12BC">
        <w:rPr>
          <w:rFonts w:eastAsia="PMingLiU" w:cs="Times New Roman"/>
          <w:szCs w:val="24"/>
        </w:rPr>
        <w:t>5(d)(4)</w:t>
      </w:r>
      <w:r w:rsidR="00AC12BC">
        <w:rPr>
          <w:rFonts w:eastAsia="PMingLiU" w:cs="Times New Roman"/>
          <w:szCs w:val="24"/>
        </w:rPr>
        <w:t xml:space="preserve"> requires boards of trade to </w:t>
      </w:r>
      <w:r w:rsidRPr="00AC12BC" w:rsidR="00AC12BC">
        <w:rPr>
          <w:rFonts w:eastAsia="PMingLiU" w:cs="Times New Roman"/>
          <w:szCs w:val="24"/>
        </w:rPr>
        <w:t>have the capacity and responsibility to prevent manipulation, price distortion</w:t>
      </w:r>
      <w:r w:rsidR="00AC12BC">
        <w:rPr>
          <w:rFonts w:eastAsia="PMingLiU" w:cs="Times New Roman"/>
          <w:szCs w:val="24"/>
        </w:rPr>
        <w:t xml:space="preserve"> </w:t>
      </w:r>
      <w:r w:rsidRPr="00AC12BC" w:rsidR="00AC12BC">
        <w:rPr>
          <w:rFonts w:eastAsia="PMingLiU" w:cs="Times New Roman"/>
          <w:szCs w:val="24"/>
        </w:rPr>
        <w:t>and disruptions of the delivery or cash-settlement process through market surveillance, compliance, and enforcement practices and procedures</w:t>
      </w:r>
      <w:r w:rsidR="00AC12BC">
        <w:rPr>
          <w:rFonts w:eastAsia="PMingLiU" w:cs="Times New Roman"/>
          <w:szCs w:val="24"/>
        </w:rPr>
        <w:t>.</w:t>
      </w:r>
    </w:p>
    <w:p w:rsidR="00FE58F8" w:rsidP="00FE58F8" w:rsidRDefault="00FE58F8" w14:paraId="3A5172B7" w14:textId="77777777">
      <w:pPr>
        <w:ind w:firstLine="720"/>
        <w:rPr>
          <w:rFonts w:eastAsia="PMingLiU" w:cs="Times New Roman"/>
          <w:szCs w:val="24"/>
        </w:rPr>
      </w:pPr>
    </w:p>
    <w:p w:rsidRPr="000B6BBD" w:rsidR="00FE58F8" w:rsidP="000B6BBD" w:rsidRDefault="00FE58F8" w14:paraId="6C5A2597" w14:textId="78E3A894">
      <w:pPr>
        <w:tabs>
          <w:tab w:val="left" w:pos="-720"/>
        </w:tabs>
        <w:suppressAutoHyphens/>
      </w:pPr>
      <w:r>
        <w:tab/>
        <w:t xml:space="preserve">This collection </w:t>
      </w:r>
      <w:r w:rsidR="000B6BBD">
        <w:t>revises control number 3038-0052</w:t>
      </w:r>
      <w:r w:rsidR="000C376D">
        <w:t xml:space="preserve"> by</w:t>
      </w:r>
      <w:r w:rsidR="000B6BBD">
        <w:t xml:space="preserve"> </w:t>
      </w:r>
      <w:proofErr w:type="gramStart"/>
      <w:r w:rsidR="00AC12BC">
        <w:t xml:space="preserve">adding </w:t>
      </w:r>
      <w:r w:rsidR="003C2EC2">
        <w:rPr>
          <w:rFonts w:cs="Times New Roman"/>
        </w:rPr>
        <w:t xml:space="preserve"> regulation</w:t>
      </w:r>
      <w:proofErr w:type="gramEnd"/>
      <w:r w:rsidR="000B6BBD">
        <w:t xml:space="preserve"> 38.</w:t>
      </w:r>
      <w:r w:rsidR="00AC12BC">
        <w:t>251(</w:t>
      </w:r>
      <w:r w:rsidR="00136FFE">
        <w:t>g</w:t>
      </w:r>
      <w:r w:rsidR="00AC12BC">
        <w:t>) in connection with the reporting of specific market disruption events to the Commission.</w:t>
      </w:r>
      <w:r w:rsidR="000B6BBD">
        <w:t xml:space="preserve">  </w:t>
      </w:r>
    </w:p>
    <w:p w:rsidRPr="00F56608" w:rsidR="001C1A68" w:rsidP="00D945B5" w:rsidRDefault="001C1A68" w14:paraId="5BCD8F09" w14:textId="0AFEBC00">
      <w:pPr>
        <w:autoSpaceDE w:val="0"/>
        <w:autoSpaceDN w:val="0"/>
        <w:adjustRightInd w:val="0"/>
        <w:jc w:val="both"/>
        <w:rPr>
          <w:rFonts w:eastAsia="PMingLiU"/>
          <w:bCs/>
        </w:rPr>
      </w:pPr>
    </w:p>
    <w:p w:rsidR="000160C1" w:rsidP="000160C1" w:rsidRDefault="00230C3D" w14:paraId="65CCB316" w14:textId="6BC6AFB8">
      <w:pPr>
        <w:autoSpaceDE w:val="0"/>
        <w:autoSpaceDN w:val="0"/>
        <w:adjustRightInd w:val="0"/>
        <w:ind w:firstLine="720"/>
        <w:rPr>
          <w:rFonts w:eastAsia="PMingLiU"/>
        </w:rPr>
      </w:pPr>
      <w:proofErr w:type="gramStart"/>
      <w:r>
        <w:rPr>
          <w:rFonts w:eastAsia="PMingLiU"/>
        </w:rPr>
        <w:t xml:space="preserve">Commission </w:t>
      </w:r>
      <w:r w:rsidRPr="000160C1" w:rsidR="000160C1">
        <w:rPr>
          <w:rFonts w:eastAsia="PMingLiU"/>
        </w:rPr>
        <w:t xml:space="preserve"> regulation</w:t>
      </w:r>
      <w:proofErr w:type="gramEnd"/>
      <w:r w:rsidRPr="000160C1" w:rsidR="000160C1">
        <w:rPr>
          <w:rFonts w:eastAsia="PMingLiU"/>
        </w:rPr>
        <w:t xml:space="preserve"> 38.251(</w:t>
      </w:r>
      <w:r w:rsidR="00C74CD0">
        <w:rPr>
          <w:rFonts w:eastAsia="PMingLiU"/>
        </w:rPr>
        <w:t>g</w:t>
      </w:r>
      <w:r w:rsidRPr="000160C1" w:rsidR="000160C1">
        <w:rPr>
          <w:rFonts w:eastAsia="PMingLiU"/>
        </w:rPr>
        <w:t>)</w:t>
      </w:r>
      <w:r w:rsidR="000160C1">
        <w:rPr>
          <w:rFonts w:eastAsia="PMingLiU"/>
        </w:rPr>
        <w:t xml:space="preserve"> require</w:t>
      </w:r>
      <w:r>
        <w:rPr>
          <w:rFonts w:eastAsia="PMingLiU"/>
        </w:rPr>
        <w:t>s</w:t>
      </w:r>
      <w:r w:rsidR="000160C1">
        <w:rPr>
          <w:rFonts w:eastAsia="PMingLiU"/>
        </w:rPr>
        <w:t xml:space="preserve"> </w:t>
      </w:r>
      <w:r w:rsidRPr="000160C1" w:rsidR="000160C1">
        <w:rPr>
          <w:rFonts w:eastAsia="PMingLiU"/>
        </w:rPr>
        <w:t xml:space="preserve">a DCM </w:t>
      </w:r>
      <w:r w:rsidR="000160C1">
        <w:rPr>
          <w:rFonts w:eastAsia="PMingLiU"/>
        </w:rPr>
        <w:t xml:space="preserve">to </w:t>
      </w:r>
      <w:r w:rsidRPr="000160C1" w:rsidR="000160C1">
        <w:rPr>
          <w:rFonts w:eastAsia="PMingLiU"/>
        </w:rPr>
        <w:t xml:space="preserve">promptly notify Commission staff of a significant </w:t>
      </w:r>
      <w:r>
        <w:rPr>
          <w:rFonts w:eastAsia="PMingLiU"/>
        </w:rPr>
        <w:t xml:space="preserve">market </w:t>
      </w:r>
      <w:r w:rsidRPr="000160C1" w:rsidR="000160C1">
        <w:rPr>
          <w:rFonts w:eastAsia="PMingLiU"/>
        </w:rPr>
        <w:t>disruption to its electronic trading platform(s) and provide timely information on the cause</w:t>
      </w:r>
      <w:r w:rsidR="000C376D">
        <w:rPr>
          <w:rFonts w:eastAsia="PMingLiU"/>
        </w:rPr>
        <w:t>s</w:t>
      </w:r>
      <w:r w:rsidRPr="000160C1" w:rsidR="000160C1">
        <w:rPr>
          <w:rFonts w:eastAsia="PMingLiU"/>
        </w:rPr>
        <w:t xml:space="preserve"> and remediation</w:t>
      </w:r>
      <w:r w:rsidR="000C376D">
        <w:rPr>
          <w:rFonts w:eastAsia="PMingLiU"/>
        </w:rPr>
        <w:t>s</w:t>
      </w:r>
      <w:r w:rsidRPr="000160C1" w:rsidR="000160C1">
        <w:rPr>
          <w:rFonts w:eastAsia="PMingLiU"/>
        </w:rPr>
        <w:t>.</w:t>
      </w:r>
      <w:r w:rsidR="000160C1">
        <w:rPr>
          <w:rFonts w:eastAsia="PMingLiU"/>
        </w:rPr>
        <w:t xml:space="preserve">  A significant </w:t>
      </w:r>
      <w:r>
        <w:rPr>
          <w:rFonts w:eastAsia="PMingLiU"/>
        </w:rPr>
        <w:t xml:space="preserve">market </w:t>
      </w:r>
      <w:r w:rsidR="000160C1">
        <w:rPr>
          <w:rFonts w:eastAsia="PMingLiU"/>
        </w:rPr>
        <w:t xml:space="preserve">disruption is deemed to be one that </w:t>
      </w:r>
      <w:r w:rsidRPr="000160C1" w:rsidR="000160C1">
        <w:rPr>
          <w:rFonts w:eastAsia="PMingLiU"/>
        </w:rPr>
        <w:t xml:space="preserve">causes </w:t>
      </w:r>
      <w:proofErr w:type="gramStart"/>
      <w:r w:rsidRPr="000160C1" w:rsidR="000160C1">
        <w:rPr>
          <w:rFonts w:eastAsia="PMingLiU"/>
        </w:rPr>
        <w:t>a  disruption</w:t>
      </w:r>
      <w:proofErr w:type="gramEnd"/>
      <w:r w:rsidRPr="000160C1" w:rsidR="000160C1">
        <w:rPr>
          <w:rFonts w:eastAsia="PMingLiU"/>
        </w:rPr>
        <w:t xml:space="preserve"> affecting the </w:t>
      </w:r>
      <w:r w:rsidR="002B2127">
        <w:rPr>
          <w:rFonts w:eastAsia="PMingLiU"/>
        </w:rPr>
        <w:t xml:space="preserve">operation of the </w:t>
      </w:r>
      <w:r w:rsidRPr="000160C1" w:rsidR="000160C1">
        <w:rPr>
          <w:rFonts w:eastAsia="PMingLiU"/>
        </w:rPr>
        <w:t xml:space="preserve">DCM’s trading platform </w:t>
      </w:r>
      <w:r w:rsidR="002B2127">
        <w:rPr>
          <w:rFonts w:eastAsia="PMingLiU"/>
        </w:rPr>
        <w:t xml:space="preserve">or the ability of </w:t>
      </w:r>
      <w:r w:rsidRPr="000160C1" w:rsidR="000160C1">
        <w:rPr>
          <w:rFonts w:eastAsia="PMingLiU"/>
        </w:rPr>
        <w:t>other market participants</w:t>
      </w:r>
      <w:r w:rsidR="002B2127">
        <w:rPr>
          <w:rFonts w:eastAsia="PMingLiU"/>
        </w:rPr>
        <w:t xml:space="preserve"> to trade on such DCM</w:t>
      </w:r>
      <w:r w:rsidRPr="000160C1" w:rsidR="000160C1">
        <w:rPr>
          <w:rFonts w:eastAsia="PMingLiU"/>
        </w:rPr>
        <w:t>.</w:t>
      </w:r>
      <w:r w:rsidR="000160C1">
        <w:rPr>
          <w:rFonts w:eastAsia="PMingLiU"/>
        </w:rPr>
        <w:t xml:space="preserve"> </w:t>
      </w:r>
    </w:p>
    <w:p w:rsidRPr="000160C1" w:rsidR="000160C1" w:rsidP="000160C1" w:rsidRDefault="000160C1" w14:paraId="12F193FC" w14:textId="77777777">
      <w:pPr>
        <w:autoSpaceDE w:val="0"/>
        <w:autoSpaceDN w:val="0"/>
        <w:adjustRightInd w:val="0"/>
        <w:ind w:firstLine="720"/>
        <w:rPr>
          <w:rFonts w:eastAsia="PMingLiU"/>
        </w:rPr>
      </w:pPr>
    </w:p>
    <w:p w:rsidR="000160C1" w:rsidP="000160C1" w:rsidRDefault="000160C1" w14:paraId="39F97CF3" w14:textId="40501C02">
      <w:pPr>
        <w:autoSpaceDE w:val="0"/>
        <w:autoSpaceDN w:val="0"/>
        <w:adjustRightInd w:val="0"/>
        <w:ind w:firstLine="720"/>
        <w:rPr>
          <w:rFonts w:eastAsia="PMingLiU"/>
        </w:rPr>
      </w:pPr>
      <w:r w:rsidRPr="000160C1">
        <w:rPr>
          <w:rFonts w:eastAsia="PMingLiU"/>
        </w:rPr>
        <w:t xml:space="preserve">The Commission believes that the notification requirement </w:t>
      </w:r>
      <w:proofErr w:type="gramStart"/>
      <w:r w:rsidRPr="000160C1">
        <w:rPr>
          <w:rFonts w:eastAsia="PMingLiU"/>
        </w:rPr>
        <w:t>under  regulation</w:t>
      </w:r>
      <w:proofErr w:type="gramEnd"/>
      <w:r w:rsidRPr="000160C1">
        <w:rPr>
          <w:rFonts w:eastAsia="PMingLiU"/>
        </w:rPr>
        <w:t xml:space="preserve"> 38.251(</w:t>
      </w:r>
      <w:r w:rsidR="00C74CD0">
        <w:rPr>
          <w:rFonts w:eastAsia="PMingLiU"/>
        </w:rPr>
        <w:t>g</w:t>
      </w:r>
      <w:r w:rsidRPr="000160C1">
        <w:rPr>
          <w:rFonts w:eastAsia="PMingLiU"/>
        </w:rPr>
        <w:t xml:space="preserve">) will assist the Commission’s oversight and its ability to monitor and assess market disruptions across all DCMs. </w:t>
      </w:r>
      <w:r>
        <w:rPr>
          <w:rFonts w:eastAsia="PMingLiU"/>
        </w:rPr>
        <w:t xml:space="preserve">  </w:t>
      </w:r>
    </w:p>
    <w:p w:rsidR="000160C1" w:rsidP="00FE58F8" w:rsidRDefault="000160C1" w14:paraId="333B42A1" w14:textId="77777777">
      <w:pPr>
        <w:autoSpaceDE w:val="0"/>
        <w:autoSpaceDN w:val="0"/>
        <w:adjustRightInd w:val="0"/>
        <w:ind w:firstLine="720"/>
        <w:rPr>
          <w:rFonts w:eastAsia="PMingLiU"/>
        </w:rPr>
      </w:pPr>
    </w:p>
    <w:p w:rsidR="000160C1" w:rsidP="00FE58F8" w:rsidRDefault="000160C1" w14:paraId="0377F7DA" w14:textId="77777777">
      <w:pPr>
        <w:autoSpaceDE w:val="0"/>
        <w:autoSpaceDN w:val="0"/>
        <w:adjustRightInd w:val="0"/>
        <w:ind w:firstLine="720"/>
        <w:rPr>
          <w:rFonts w:eastAsia="PMingLiU"/>
        </w:rPr>
      </w:pPr>
    </w:p>
    <w:p w:rsidR="002E0580" w:rsidP="002712C5" w:rsidRDefault="00642B6A" w14:paraId="004A3F56" w14:textId="58846FC9">
      <w:pPr>
        <w:pStyle w:val="ListParagraph"/>
        <w:numPr>
          <w:ilvl w:val="0"/>
          <w:numId w:val="5"/>
        </w:numPr>
        <w:tabs>
          <w:tab w:val="left" w:pos="-720"/>
        </w:tabs>
        <w:spacing w:after="240"/>
        <w:ind w:hanging="720"/>
        <w:jc w:val="both"/>
        <w:rPr>
          <w:rFonts w:eastAsia="Times New Roman" w:cs="Times New Roman"/>
          <w:b/>
          <w:szCs w:val="24"/>
        </w:rPr>
      </w:pPr>
      <w:r w:rsidRPr="00CC11BF">
        <w:rPr>
          <w:rFonts w:eastAsia="Times New Roman" w:cs="Times New Roman"/>
          <w:b/>
          <w:szCs w:val="24"/>
        </w:rPr>
        <w:t>Indicate how, by whom, and for what purpose the data would be used.  Except for a new collection, indicate the actual use the agency has made of the information recei</w:t>
      </w:r>
      <w:r w:rsidRPr="00CC11BF" w:rsidR="002E0580">
        <w:rPr>
          <w:rFonts w:eastAsia="Times New Roman" w:cs="Times New Roman"/>
          <w:b/>
          <w:szCs w:val="24"/>
        </w:rPr>
        <w:t>ved from the current collection.</w:t>
      </w:r>
    </w:p>
    <w:p w:rsidRPr="00CC11BF" w:rsidR="008D7B2A" w:rsidP="00EB4636" w:rsidRDefault="008D7B2A" w14:paraId="6406591E" w14:textId="77777777">
      <w:pPr>
        <w:pStyle w:val="ListParagraph"/>
        <w:tabs>
          <w:tab w:val="left" w:pos="-720"/>
        </w:tabs>
        <w:spacing w:after="240"/>
        <w:jc w:val="both"/>
        <w:rPr>
          <w:rFonts w:eastAsia="Times New Roman" w:cs="Times New Roman"/>
          <w:b/>
          <w:szCs w:val="24"/>
        </w:rPr>
      </w:pPr>
    </w:p>
    <w:p w:rsidR="00777A51" w:rsidP="001C1A68" w:rsidRDefault="00777A51" w14:paraId="083C482C" w14:textId="02AD1E30">
      <w:pPr>
        <w:autoSpaceDE w:val="0"/>
        <w:autoSpaceDN w:val="0"/>
        <w:adjustRightInd w:val="0"/>
        <w:ind w:firstLine="720"/>
        <w:rPr>
          <w:rFonts w:eastAsia="PMingLiU" w:cs="Times New Roman"/>
        </w:rPr>
      </w:pPr>
      <w:r>
        <w:rPr>
          <w:rFonts w:eastAsia="PMingLiU" w:cs="Times New Roman"/>
        </w:rPr>
        <w:t>The Commission will continue to use all information previously collected under OMB Control Number 3038-0052.</w:t>
      </w:r>
      <w:r w:rsidR="000C2981">
        <w:rPr>
          <w:rFonts w:eastAsia="PMingLiU" w:cs="Times New Roman"/>
        </w:rPr>
        <w:t xml:space="preserve">  </w:t>
      </w:r>
    </w:p>
    <w:p w:rsidR="000C2981" w:rsidP="001C1A68" w:rsidRDefault="000C2981" w14:paraId="6B1E40E9" w14:textId="77777777">
      <w:pPr>
        <w:autoSpaceDE w:val="0"/>
        <w:autoSpaceDN w:val="0"/>
        <w:adjustRightInd w:val="0"/>
        <w:ind w:firstLine="720"/>
        <w:rPr>
          <w:rFonts w:eastAsia="PMingLiU" w:cs="Times New Roman"/>
        </w:rPr>
      </w:pPr>
    </w:p>
    <w:p w:rsidR="002E0580" w:rsidP="009B3431" w:rsidRDefault="000C2981" w14:paraId="75984FA8" w14:textId="6A64533E">
      <w:pPr>
        <w:widowControl w:val="0"/>
        <w:autoSpaceDE w:val="0"/>
        <w:autoSpaceDN w:val="0"/>
        <w:adjustRightInd w:val="0"/>
        <w:ind w:firstLine="720"/>
      </w:pPr>
      <w:r>
        <w:rPr>
          <w:rFonts w:eastAsia="PMingLiU" w:cs="Times New Roman"/>
        </w:rPr>
        <w:t>With respect to</w:t>
      </w:r>
      <w:r w:rsidR="00430FCE">
        <w:rPr>
          <w:rFonts w:eastAsia="PMingLiU" w:cs="Times New Roman"/>
          <w:b/>
        </w:rPr>
        <w:t xml:space="preserve"> </w:t>
      </w:r>
      <w:proofErr w:type="gramStart"/>
      <w:r w:rsidR="00230C3D">
        <w:rPr>
          <w:rFonts w:eastAsia="PMingLiU" w:cs="Times New Roman"/>
          <w:b/>
        </w:rPr>
        <w:t xml:space="preserve">new </w:t>
      </w:r>
      <w:r w:rsidR="00430FCE">
        <w:rPr>
          <w:rFonts w:eastAsia="PMingLiU" w:cs="Times New Roman"/>
          <w:b/>
        </w:rPr>
        <w:t xml:space="preserve"> </w:t>
      </w:r>
      <w:r w:rsidR="003C2EC2">
        <w:rPr>
          <w:rFonts w:eastAsia="PMingLiU" w:cs="Times New Roman"/>
          <w:b/>
        </w:rPr>
        <w:t>regulation</w:t>
      </w:r>
      <w:proofErr w:type="gramEnd"/>
      <w:r w:rsidRPr="004B7B89" w:rsidR="007F00B6">
        <w:rPr>
          <w:rFonts w:eastAsia="PMingLiU"/>
          <w:b/>
        </w:rPr>
        <w:t xml:space="preserve"> </w:t>
      </w:r>
      <w:r w:rsidRPr="009B3431" w:rsidR="007F00B6">
        <w:rPr>
          <w:rFonts w:eastAsia="PMingLiU"/>
        </w:rPr>
        <w:t>38.</w:t>
      </w:r>
      <w:r w:rsidR="000F154D">
        <w:rPr>
          <w:rFonts w:eastAsia="PMingLiU"/>
        </w:rPr>
        <w:t>251(</w:t>
      </w:r>
      <w:r w:rsidR="00C74CD0">
        <w:rPr>
          <w:rFonts w:eastAsia="PMingLiU"/>
        </w:rPr>
        <w:t>g</w:t>
      </w:r>
      <w:r w:rsidR="000F154D">
        <w:rPr>
          <w:rFonts w:eastAsia="PMingLiU"/>
        </w:rPr>
        <w:t xml:space="preserve">), </w:t>
      </w:r>
      <w:r w:rsidR="00430FCE">
        <w:rPr>
          <w:rFonts w:eastAsia="PMingLiU"/>
        </w:rPr>
        <w:t>t</w:t>
      </w:r>
      <w:r w:rsidR="001C1A68">
        <w:t>his data disclosed by DCMs</w:t>
      </w:r>
      <w:r w:rsidR="007F00B6">
        <w:t xml:space="preserve"> </w:t>
      </w:r>
      <w:r w:rsidR="006D0819">
        <w:t xml:space="preserve">to the Commission </w:t>
      </w:r>
      <w:r w:rsidRPr="000F154D" w:rsidR="000F154D">
        <w:t>w</w:t>
      </w:r>
      <w:r w:rsidR="00230C3D">
        <w:t xml:space="preserve">ill </w:t>
      </w:r>
      <w:r w:rsidR="000F154D">
        <w:t xml:space="preserve"> </w:t>
      </w:r>
      <w:r w:rsidRPr="000F154D" w:rsidR="000F154D">
        <w:t xml:space="preserve">assist </w:t>
      </w:r>
      <w:r w:rsidR="000F154D">
        <w:t>in market o</w:t>
      </w:r>
      <w:r w:rsidRPr="000F154D" w:rsidR="000F154D">
        <w:t xml:space="preserve">versight and </w:t>
      </w:r>
      <w:r w:rsidR="000F154D">
        <w:t>the ability of the Commission t</w:t>
      </w:r>
      <w:r w:rsidRPr="000F154D" w:rsidR="000F154D">
        <w:t xml:space="preserve">o monitor and assess </w:t>
      </w:r>
      <w:r w:rsidR="00230C3D">
        <w:t xml:space="preserve">significant </w:t>
      </w:r>
      <w:r w:rsidRPr="000F154D" w:rsidR="000F154D">
        <w:t>market disruptions across all DCMs.</w:t>
      </w:r>
      <w:r w:rsidR="007F00B6">
        <w:t xml:space="preserve"> </w:t>
      </w:r>
    </w:p>
    <w:p w:rsidR="00C52CF3" w:rsidP="00E60439" w:rsidRDefault="00C52CF3" w14:paraId="1841CF0D" w14:textId="6E325C4D">
      <w:pPr>
        <w:autoSpaceDE w:val="0"/>
        <w:autoSpaceDN w:val="0"/>
        <w:adjustRightInd w:val="0"/>
        <w:ind w:firstLine="720"/>
        <w:rPr>
          <w:rFonts w:eastAsia="PMingLiU"/>
        </w:rPr>
      </w:pPr>
    </w:p>
    <w:p w:rsidRPr="00CC11BF" w:rsidR="00642B6A" w:rsidP="002712C5" w:rsidRDefault="00642B6A" w14:paraId="5A55EC81" w14:textId="6BC15F6A">
      <w:pPr>
        <w:pStyle w:val="ListParagraph"/>
        <w:keepNext/>
        <w:numPr>
          <w:ilvl w:val="0"/>
          <w:numId w:val="5"/>
        </w:numPr>
        <w:tabs>
          <w:tab w:val="left" w:pos="-720"/>
        </w:tabs>
        <w:spacing w:after="240"/>
        <w:ind w:hanging="720"/>
        <w:jc w:val="both"/>
        <w:rPr>
          <w:rFonts w:eastAsia="Times New Roman" w:cs="Times New Roman"/>
          <w:b/>
          <w:szCs w:val="24"/>
        </w:rPr>
      </w:pPr>
      <w:r w:rsidRPr="00CC11BF">
        <w:rPr>
          <w:rFonts w:eastAsia="Times New Roman"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2CF3" w:rsidP="00CC11BF" w:rsidRDefault="00C52CF3" w14:paraId="0B6CEB5A" w14:textId="77777777">
      <w:pPr>
        <w:pStyle w:val="ListParagraph"/>
        <w:keepNext/>
        <w:tabs>
          <w:tab w:val="left" w:pos="-720"/>
          <w:tab w:val="left" w:pos="0"/>
        </w:tabs>
        <w:spacing w:after="240"/>
        <w:jc w:val="both"/>
        <w:rPr>
          <w:rFonts w:eastAsia="Times New Roman" w:cs="Times New Roman"/>
          <w:b/>
          <w:szCs w:val="24"/>
        </w:rPr>
      </w:pPr>
    </w:p>
    <w:p w:rsidR="00AD2AF1" w:rsidP="00D945B5" w:rsidRDefault="00836741" w14:paraId="76BD57E3" w14:textId="25DA5B19">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A051AF">
        <w:rPr>
          <w:rFonts w:eastAsia="Times New Roman" w:cs="Times New Roman"/>
          <w:szCs w:val="24"/>
        </w:rPr>
        <w:t>s</w:t>
      </w:r>
      <w:r w:rsidRPr="00642B6A" w:rsidR="00642B6A">
        <w:rPr>
          <w:rFonts w:eastAsia="Times New Roman" w:cs="Times New Roman"/>
          <w:szCs w:val="24"/>
        </w:rPr>
        <w:t xml:space="preserve"> of information </w:t>
      </w:r>
      <w:r w:rsidR="00A051AF">
        <w:rPr>
          <w:rFonts w:eastAsia="Times New Roman" w:cs="Times New Roman"/>
          <w:szCs w:val="24"/>
        </w:rPr>
        <w:t xml:space="preserve">described </w:t>
      </w:r>
      <w:r w:rsidR="00153931">
        <w:rPr>
          <w:rFonts w:eastAsia="Times New Roman" w:cs="Times New Roman"/>
          <w:szCs w:val="24"/>
        </w:rPr>
        <w:t xml:space="preserve">above </w:t>
      </w:r>
      <w:proofErr w:type="gramStart"/>
      <w:r w:rsidR="00B10527">
        <w:rPr>
          <w:rFonts w:eastAsia="Times New Roman" w:cs="Times New Roman"/>
          <w:szCs w:val="24"/>
        </w:rPr>
        <w:t xml:space="preserve">will </w:t>
      </w:r>
      <w:r w:rsidR="00153931">
        <w:rPr>
          <w:rFonts w:eastAsia="Times New Roman" w:cs="Times New Roman"/>
          <w:szCs w:val="24"/>
        </w:rPr>
        <w:t xml:space="preserve"> be</w:t>
      </w:r>
      <w:proofErr w:type="gramEnd"/>
      <w:r w:rsidR="00153931">
        <w:rPr>
          <w:rFonts w:eastAsia="Times New Roman" w:cs="Times New Roman"/>
          <w:szCs w:val="24"/>
        </w:rPr>
        <w:t xml:space="preserve"> reported electronically</w:t>
      </w:r>
      <w:r w:rsidR="000C376D">
        <w:rPr>
          <w:rFonts w:eastAsia="Times New Roman" w:cs="Times New Roman"/>
          <w:szCs w:val="24"/>
        </w:rPr>
        <w:t xml:space="preserve"> and</w:t>
      </w:r>
      <w:r w:rsidR="00153931">
        <w:rPr>
          <w:rFonts w:eastAsia="Times New Roman" w:cs="Times New Roman"/>
          <w:szCs w:val="24"/>
        </w:rPr>
        <w:t xml:space="preserve"> </w:t>
      </w:r>
      <w:r w:rsidRPr="00153931" w:rsidR="00153931">
        <w:rPr>
          <w:rFonts w:eastAsia="Times New Roman" w:cs="Times New Roman"/>
          <w:szCs w:val="24"/>
        </w:rPr>
        <w:t>contain sufficient information to convey the nature of the disruption</w:t>
      </w:r>
      <w:r w:rsidR="00153931">
        <w:rPr>
          <w:rFonts w:eastAsia="Times New Roman" w:cs="Times New Roman"/>
          <w:szCs w:val="24"/>
        </w:rPr>
        <w:t xml:space="preserve">.  </w:t>
      </w:r>
    </w:p>
    <w:p w:rsidRPr="009B3431" w:rsidR="00A051AF" w:rsidP="002712C5" w:rsidRDefault="009B3431" w14:paraId="70F970D4" w14:textId="55127C13">
      <w:pPr>
        <w:spacing w:after="240"/>
        <w:ind w:left="720" w:hanging="720"/>
        <w:jc w:val="both"/>
        <w:rPr>
          <w:rFonts w:eastAsia="Times New Roman" w:cs="Times New Roman"/>
          <w:b/>
          <w:szCs w:val="24"/>
        </w:rPr>
      </w:pPr>
      <w:r>
        <w:rPr>
          <w:rFonts w:eastAsia="Times New Roman" w:cs="Times New Roman"/>
          <w:b/>
          <w:szCs w:val="24"/>
        </w:rPr>
        <w:lastRenderedPageBreak/>
        <w:t>4.</w:t>
      </w:r>
      <w:r>
        <w:rPr>
          <w:rFonts w:eastAsia="Times New Roman" w:cs="Times New Roman"/>
          <w:b/>
          <w:szCs w:val="24"/>
        </w:rPr>
        <w:tab/>
      </w:r>
      <w:r w:rsidRPr="009B3431" w:rsidR="00642B6A">
        <w:rPr>
          <w:rFonts w:eastAsia="Times New Roman" w:cs="Times New Roman"/>
          <w:b/>
          <w:szCs w:val="24"/>
        </w:rPr>
        <w:t>Describe efforts to identify duplication.  Show specifically why any similar information already available cannot be used or modified for use for the purposes described in Item 2 above.</w:t>
      </w:r>
    </w:p>
    <w:p w:rsidR="00E069FE" w:rsidP="00E069FE" w:rsidRDefault="00B73821" w14:paraId="189FB860" w14:textId="7875E8F5">
      <w:pPr>
        <w:tabs>
          <w:tab w:val="left" w:pos="-720"/>
        </w:tabs>
        <w:spacing w:after="240"/>
        <w:rPr>
          <w:rFonts w:eastAsia="PMingLiU"/>
          <w:lang w:eastAsia="zh-TW"/>
        </w:rPr>
      </w:pPr>
      <w:r>
        <w:rPr>
          <w:rFonts w:eastAsia="Times New Roman" w:cs="Times New Roman"/>
          <w:szCs w:val="24"/>
        </w:rPr>
        <w:tab/>
      </w:r>
      <w:r w:rsidR="000B6BBD">
        <w:rPr>
          <w:rFonts w:eastAsia="Times New Roman" w:cs="Times New Roman"/>
          <w:szCs w:val="24"/>
        </w:rPr>
        <w:t xml:space="preserve">The </w:t>
      </w:r>
      <w:r w:rsidR="00207ED0">
        <w:rPr>
          <w:rFonts w:eastAsia="Times New Roman" w:cs="Times New Roman"/>
          <w:szCs w:val="24"/>
        </w:rPr>
        <w:t>information</w:t>
      </w:r>
      <w:r w:rsidR="000B6BBD">
        <w:rPr>
          <w:rFonts w:eastAsia="Times New Roman" w:cs="Times New Roman"/>
          <w:szCs w:val="24"/>
        </w:rPr>
        <w:t xml:space="preserve"> collection</w:t>
      </w:r>
      <w:r w:rsidR="00207ED0">
        <w:rPr>
          <w:rFonts w:eastAsia="Times New Roman" w:cs="Times New Roman"/>
          <w:szCs w:val="24"/>
        </w:rPr>
        <w:t xml:space="preserve"> pursuant </w:t>
      </w:r>
      <w:proofErr w:type="gramStart"/>
      <w:r w:rsidR="00207ED0">
        <w:rPr>
          <w:rFonts w:eastAsia="Times New Roman" w:cs="Times New Roman"/>
          <w:szCs w:val="24"/>
        </w:rPr>
        <w:t>to</w:t>
      </w:r>
      <w:r w:rsidR="00153931">
        <w:rPr>
          <w:rFonts w:eastAsia="Times New Roman" w:cs="Times New Roman"/>
          <w:szCs w:val="24"/>
        </w:rPr>
        <w:t xml:space="preserve"> </w:t>
      </w:r>
      <w:r w:rsidR="00207ED0">
        <w:rPr>
          <w:rFonts w:eastAsia="Times New Roman" w:cs="Times New Roman"/>
          <w:szCs w:val="24"/>
        </w:rPr>
        <w:t xml:space="preserve"> </w:t>
      </w:r>
      <w:r w:rsidR="003C2EC2">
        <w:rPr>
          <w:rFonts w:eastAsia="PMingLiU" w:cs="Times New Roman"/>
        </w:rPr>
        <w:t>regulation</w:t>
      </w:r>
      <w:proofErr w:type="gramEnd"/>
      <w:r w:rsidRPr="00F11AB5" w:rsidR="00994CC8">
        <w:rPr>
          <w:rFonts w:eastAsia="PMingLiU"/>
        </w:rPr>
        <w:t xml:space="preserve"> 38.</w:t>
      </w:r>
      <w:r w:rsidRPr="00F11AB5" w:rsidR="00153931">
        <w:rPr>
          <w:rFonts w:eastAsia="PMingLiU"/>
        </w:rPr>
        <w:t>251(</w:t>
      </w:r>
      <w:r w:rsidR="00C74CD0">
        <w:rPr>
          <w:rFonts w:eastAsia="PMingLiU"/>
        </w:rPr>
        <w:t>g</w:t>
      </w:r>
      <w:r w:rsidRPr="00F11AB5" w:rsidR="00153931">
        <w:rPr>
          <w:rFonts w:eastAsia="PMingLiU"/>
        </w:rPr>
        <w:t>)</w:t>
      </w:r>
      <w:r w:rsidR="00AA0863">
        <w:rPr>
          <w:rFonts w:eastAsia="PMingLiU"/>
          <w:bCs/>
        </w:rPr>
        <w:t xml:space="preserve"> add</w:t>
      </w:r>
      <w:r w:rsidR="00153931">
        <w:rPr>
          <w:rFonts w:eastAsia="PMingLiU"/>
          <w:bCs/>
        </w:rPr>
        <w:t>s</w:t>
      </w:r>
      <w:r w:rsidR="00AA0863">
        <w:rPr>
          <w:rFonts w:eastAsia="PMingLiU"/>
          <w:bCs/>
        </w:rPr>
        <w:t xml:space="preserve"> </w:t>
      </w:r>
      <w:r w:rsidR="00153931">
        <w:rPr>
          <w:rFonts w:eastAsia="PMingLiU"/>
          <w:bCs/>
        </w:rPr>
        <w:t xml:space="preserve">a </w:t>
      </w:r>
      <w:r w:rsidR="00AA0863">
        <w:rPr>
          <w:rFonts w:eastAsia="PMingLiU"/>
          <w:bCs/>
        </w:rPr>
        <w:t>new</w:t>
      </w:r>
      <w:r w:rsidR="00153931">
        <w:rPr>
          <w:rFonts w:eastAsia="PMingLiU"/>
          <w:bCs/>
        </w:rPr>
        <w:t xml:space="preserve"> DCM reporting requirement</w:t>
      </w:r>
      <w:r w:rsidR="00AA0863">
        <w:rPr>
          <w:rFonts w:eastAsia="PMingLiU"/>
          <w:bCs/>
        </w:rPr>
        <w:t>.  Accordingly, such requirement</w:t>
      </w:r>
      <w:r w:rsidR="00153931">
        <w:rPr>
          <w:rFonts w:eastAsia="PMingLiU"/>
          <w:bCs/>
        </w:rPr>
        <w:t xml:space="preserve"> is</w:t>
      </w:r>
      <w:r w:rsidR="00AA0863">
        <w:rPr>
          <w:rFonts w:eastAsia="PMingLiU"/>
          <w:bCs/>
        </w:rPr>
        <w:t xml:space="preserve"> not duplicative. </w:t>
      </w:r>
      <w:r w:rsidRPr="003B5288" w:rsidR="003B5288">
        <w:rPr>
          <w:rFonts w:eastAsia="PMingLiU"/>
          <w:lang w:eastAsia="zh-TW"/>
        </w:rPr>
        <w:t xml:space="preserve"> </w:t>
      </w:r>
      <w:proofErr w:type="gramStart"/>
      <w:r w:rsidRPr="003B5288" w:rsidR="003B5288">
        <w:rPr>
          <w:rFonts w:eastAsia="Times New Roman" w:cs="Times New Roman"/>
          <w:szCs w:val="24"/>
        </w:rPr>
        <w:t xml:space="preserve">The  </w:t>
      </w:r>
      <w:r w:rsidR="00430FCE">
        <w:rPr>
          <w:rFonts w:eastAsia="Times New Roman" w:cs="Times New Roman"/>
          <w:szCs w:val="24"/>
        </w:rPr>
        <w:t>r</w:t>
      </w:r>
      <w:r w:rsidR="00153931">
        <w:rPr>
          <w:rFonts w:eastAsia="Times New Roman" w:cs="Times New Roman"/>
          <w:szCs w:val="24"/>
        </w:rPr>
        <w:t>egulation</w:t>
      </w:r>
      <w:proofErr w:type="gramEnd"/>
      <w:r w:rsidR="00153931">
        <w:rPr>
          <w:rFonts w:eastAsia="Times New Roman" w:cs="Times New Roman"/>
          <w:szCs w:val="24"/>
        </w:rPr>
        <w:t xml:space="preserve"> </w:t>
      </w:r>
      <w:r w:rsidR="00430FCE">
        <w:rPr>
          <w:rFonts w:eastAsia="Times New Roman" w:cs="Times New Roman"/>
          <w:szCs w:val="24"/>
        </w:rPr>
        <w:t>is</w:t>
      </w:r>
      <w:r w:rsidRPr="003B5288" w:rsidR="003B5288">
        <w:rPr>
          <w:rFonts w:eastAsia="Times New Roman" w:cs="Times New Roman"/>
          <w:szCs w:val="24"/>
        </w:rPr>
        <w:t xml:space="preserve"> necessary to</w:t>
      </w:r>
      <w:r w:rsidR="003B5288">
        <w:rPr>
          <w:rFonts w:eastAsia="Times New Roman" w:cs="Times New Roman"/>
          <w:b/>
          <w:szCs w:val="24"/>
        </w:rPr>
        <w:t xml:space="preserve"> </w:t>
      </w:r>
      <w:r w:rsidRPr="00B20669" w:rsidR="003B5288">
        <w:rPr>
          <w:rFonts w:eastAsia="PMingLiU"/>
          <w:lang w:eastAsia="zh-TW"/>
        </w:rPr>
        <w:t xml:space="preserve">make clear that </w:t>
      </w:r>
      <w:r w:rsidR="00153931">
        <w:rPr>
          <w:rFonts w:eastAsia="PMingLiU"/>
          <w:lang w:eastAsia="zh-TW"/>
        </w:rPr>
        <w:t xml:space="preserve">DCMs must report to the Commission </w:t>
      </w:r>
      <w:r w:rsidR="000C376D">
        <w:rPr>
          <w:rFonts w:eastAsia="PMingLiU"/>
          <w:lang w:eastAsia="zh-TW"/>
        </w:rPr>
        <w:t xml:space="preserve">promptly </w:t>
      </w:r>
      <w:r w:rsidR="00153931">
        <w:rPr>
          <w:rFonts w:eastAsia="PMingLiU"/>
          <w:lang w:eastAsia="zh-TW"/>
        </w:rPr>
        <w:t xml:space="preserve">any </w:t>
      </w:r>
      <w:r w:rsidR="00E069FE">
        <w:rPr>
          <w:rFonts w:eastAsia="PMingLiU"/>
          <w:lang w:eastAsia="zh-TW"/>
        </w:rPr>
        <w:t xml:space="preserve">significant </w:t>
      </w:r>
      <w:r w:rsidR="00153931">
        <w:rPr>
          <w:rFonts w:eastAsia="PMingLiU"/>
          <w:lang w:eastAsia="zh-TW"/>
        </w:rPr>
        <w:t xml:space="preserve">market disruption resulting from electronic trading that </w:t>
      </w:r>
      <w:r w:rsidRPr="00E069FE" w:rsidR="00E069FE">
        <w:rPr>
          <w:rFonts w:eastAsia="PMingLiU"/>
          <w:lang w:eastAsia="zh-TW"/>
        </w:rPr>
        <w:t>affect</w:t>
      </w:r>
      <w:r w:rsidR="00E069FE">
        <w:rPr>
          <w:rFonts w:eastAsia="PMingLiU"/>
          <w:lang w:eastAsia="zh-TW"/>
        </w:rPr>
        <w:t>s</w:t>
      </w:r>
      <w:r w:rsidRPr="00E069FE" w:rsidR="00E069FE">
        <w:rPr>
          <w:rFonts w:eastAsia="PMingLiU"/>
          <w:lang w:eastAsia="zh-TW"/>
        </w:rPr>
        <w:t xml:space="preserve"> the operation of </w:t>
      </w:r>
      <w:r w:rsidR="00E069FE">
        <w:rPr>
          <w:rFonts w:eastAsia="PMingLiU"/>
          <w:lang w:eastAsia="zh-TW"/>
        </w:rPr>
        <w:t xml:space="preserve">a </w:t>
      </w:r>
      <w:r w:rsidRPr="00E069FE" w:rsidR="00E069FE">
        <w:rPr>
          <w:rFonts w:eastAsia="PMingLiU"/>
          <w:lang w:eastAsia="zh-TW"/>
        </w:rPr>
        <w:t>DCM’s trading platform or the ability of market participants to trade on such DCM</w:t>
      </w:r>
      <w:r w:rsidR="00153931">
        <w:rPr>
          <w:rFonts w:eastAsia="PMingLiU"/>
          <w:lang w:eastAsia="zh-TW"/>
        </w:rPr>
        <w:t>.</w:t>
      </w:r>
      <w:r w:rsidRPr="00B20669" w:rsidR="003B5288">
        <w:rPr>
          <w:rFonts w:eastAsia="PMingLiU"/>
          <w:lang w:eastAsia="zh-TW"/>
        </w:rPr>
        <w:t xml:space="preserve"> </w:t>
      </w:r>
    </w:p>
    <w:p w:rsidRPr="00411593" w:rsidR="00642B6A" w:rsidP="00E069FE" w:rsidRDefault="00E069FE" w14:paraId="5A55EC85" w14:textId="73D5B059">
      <w:pPr>
        <w:tabs>
          <w:tab w:val="left" w:pos="-720"/>
        </w:tabs>
        <w:spacing w:after="240"/>
        <w:ind w:left="720" w:hanging="720"/>
        <w:rPr>
          <w:rFonts w:eastAsia="PMingLiU"/>
          <w:bCs/>
        </w:rPr>
      </w:pPr>
      <w:r>
        <w:rPr>
          <w:rFonts w:eastAsia="Times New Roman" w:cs="Times New Roman"/>
          <w:b/>
          <w:szCs w:val="24"/>
        </w:rPr>
        <w:t xml:space="preserve">5. </w:t>
      </w:r>
      <w:r>
        <w:rPr>
          <w:rFonts w:eastAsia="Times New Roman" w:cs="Times New Roman"/>
          <w:b/>
          <w:szCs w:val="24"/>
        </w:rPr>
        <w:tab/>
      </w:r>
      <w:r w:rsidRPr="00411593" w:rsidR="00642B6A">
        <w:rPr>
          <w:rFonts w:eastAsia="Times New Roman" w:cs="Times New Roman"/>
          <w:b/>
          <w:szCs w:val="24"/>
        </w:rPr>
        <w:t xml:space="preserve">If the collection of information involves small business or other small entities (Item 5 of OMB </w:t>
      </w:r>
      <w:proofErr w:type="gramStart"/>
      <w:r w:rsidRPr="00411593" w:rsidR="00642B6A">
        <w:rPr>
          <w:rFonts w:eastAsia="Times New Roman" w:cs="Times New Roman"/>
          <w:b/>
          <w:szCs w:val="24"/>
        </w:rPr>
        <w:t>From</w:t>
      </w:r>
      <w:proofErr w:type="gramEnd"/>
      <w:r w:rsidRPr="00411593" w:rsidR="00642B6A">
        <w:rPr>
          <w:rFonts w:eastAsia="Times New Roman" w:cs="Times New Roman"/>
          <w:b/>
          <w:szCs w:val="24"/>
        </w:rPr>
        <w:t xml:space="preserve"> 83-I), describe the methods used to minimize burden.</w:t>
      </w:r>
    </w:p>
    <w:p w:rsidR="00BD7D8C" w:rsidP="00527327" w:rsidRDefault="004D1B4F" w14:paraId="2E04CDE4" w14:textId="0B969397">
      <w:pPr>
        <w:tabs>
          <w:tab w:val="left" w:pos="-720"/>
        </w:tabs>
        <w:spacing w:after="240"/>
      </w:pPr>
      <w:r>
        <w:rPr>
          <w:rFonts w:eastAsia="Times New Roman" w:cs="Times New Roman"/>
          <w:szCs w:val="24"/>
        </w:rPr>
        <w:tab/>
      </w:r>
      <w:r w:rsidR="00430FCE">
        <w:t xml:space="preserve">The required </w:t>
      </w:r>
      <w:proofErr w:type="spellStart"/>
      <w:proofErr w:type="gramStart"/>
      <w:r w:rsidR="00430FCE">
        <w:t>inform</w:t>
      </w:r>
      <w:r w:rsidR="00E069FE">
        <w:t>.</w:t>
      </w:r>
      <w:r w:rsidR="00430FCE">
        <w:t>ation</w:t>
      </w:r>
      <w:proofErr w:type="spellEnd"/>
      <w:proofErr w:type="gramEnd"/>
      <w:r w:rsidR="00430FCE">
        <w:t xml:space="preserve"> collected under this OMB Control Number does not involve any small businesses or other small entities.  The Commission has established certain definitions of “small entities” to be used by the Commission in evaluating the impact of its rules on such entities in accordance with the Regulatory Flexibility Act (RFA).  The Commission previously determined that DCMs are not small entities for the purpose of the RFA.</w:t>
      </w:r>
    </w:p>
    <w:p w:rsidR="00642B6A" w:rsidP="002712C5" w:rsidRDefault="00642B6A" w14:paraId="5A55EC87" w14:textId="620942CE">
      <w:pPr>
        <w:tabs>
          <w:tab w:val="left" w:pos="-720"/>
        </w:tabs>
        <w:spacing w:after="240"/>
        <w:ind w:left="720" w:hanging="72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743C4" w:rsidP="00B743C4" w:rsidRDefault="00A8233C" w14:paraId="10A8FD92" w14:textId="5E770367">
      <w:pPr>
        <w:autoSpaceDE w:val="0"/>
        <w:autoSpaceDN w:val="0"/>
        <w:adjustRightInd w:val="0"/>
        <w:spacing w:after="120"/>
        <w:ind w:firstLine="720"/>
        <w:rPr>
          <w:rFonts w:eastAsia="PMingLiU" w:cs="Times New Roman"/>
          <w:szCs w:val="24"/>
          <w:lang w:val="en"/>
        </w:rPr>
      </w:pPr>
      <w:proofErr w:type="gramStart"/>
      <w:r w:rsidRPr="00A8233C">
        <w:t xml:space="preserve">The </w:t>
      </w:r>
      <w:r>
        <w:t xml:space="preserve"> frequency</w:t>
      </w:r>
      <w:proofErr w:type="gramEnd"/>
      <w:r>
        <w:t xml:space="preserve"> of collection requirements reflect the Commission’s balancing of </w:t>
      </w:r>
      <w:r w:rsidR="004F3AFA">
        <w:t xml:space="preserve">its goal </w:t>
      </w:r>
      <w:r w:rsidR="00275798">
        <w:t xml:space="preserve">of promoting market integrity </w:t>
      </w:r>
      <w:r w:rsidRPr="00A8233C">
        <w:rPr>
          <w:szCs w:val="28"/>
          <w:lang w:eastAsia="zh-TW"/>
        </w:rPr>
        <w:t xml:space="preserve">and risk reduction against the burden placed on </w:t>
      </w:r>
      <w:r>
        <w:rPr>
          <w:szCs w:val="28"/>
          <w:lang w:eastAsia="zh-TW"/>
        </w:rPr>
        <w:t xml:space="preserve">the </w:t>
      </w:r>
      <w:r w:rsidR="004F3AFA">
        <w:rPr>
          <w:szCs w:val="28"/>
          <w:lang w:eastAsia="zh-TW"/>
        </w:rPr>
        <w:t>affected</w:t>
      </w:r>
      <w:r w:rsidRPr="00A8233C">
        <w:rPr>
          <w:szCs w:val="28"/>
          <w:lang w:eastAsia="zh-TW"/>
        </w:rPr>
        <w:t>.</w:t>
      </w:r>
      <w:r w:rsidR="004F3AFA">
        <w:rPr>
          <w:szCs w:val="28"/>
          <w:lang w:eastAsia="zh-TW"/>
        </w:rPr>
        <w:t xml:space="preserve"> </w:t>
      </w:r>
      <w:r w:rsidR="000B6BBD">
        <w:rPr>
          <w:szCs w:val="28"/>
          <w:lang w:eastAsia="zh-TW"/>
        </w:rPr>
        <w:t xml:space="preserve"> The</w:t>
      </w:r>
      <w:r>
        <w:rPr>
          <w:szCs w:val="28"/>
          <w:lang w:eastAsia="zh-TW"/>
        </w:rPr>
        <w:t xml:space="preserve"> frequency of collection </w:t>
      </w:r>
      <w:r w:rsidR="004F3AFA">
        <w:rPr>
          <w:szCs w:val="28"/>
          <w:lang w:eastAsia="zh-TW"/>
        </w:rPr>
        <w:t>depends</w:t>
      </w:r>
      <w:r w:rsidR="000B6BBD">
        <w:rPr>
          <w:szCs w:val="28"/>
          <w:lang w:eastAsia="zh-TW"/>
        </w:rPr>
        <w:t xml:space="preserve"> on the </w:t>
      </w:r>
      <w:r w:rsidR="00275798">
        <w:rPr>
          <w:szCs w:val="28"/>
          <w:lang w:eastAsia="zh-TW"/>
        </w:rPr>
        <w:t xml:space="preserve">substantial </w:t>
      </w:r>
      <w:r w:rsidR="000B6BBD">
        <w:rPr>
          <w:szCs w:val="28"/>
          <w:lang w:eastAsia="zh-TW"/>
        </w:rPr>
        <w:t>nature of a</w:t>
      </w:r>
      <w:r w:rsidR="00275798">
        <w:rPr>
          <w:szCs w:val="28"/>
          <w:lang w:eastAsia="zh-TW"/>
        </w:rPr>
        <w:t xml:space="preserve"> market disruption</w:t>
      </w:r>
      <w:r w:rsidR="000B6BBD">
        <w:rPr>
          <w:szCs w:val="28"/>
          <w:lang w:eastAsia="zh-TW"/>
        </w:rPr>
        <w:t xml:space="preserve"> </w:t>
      </w:r>
      <w:r w:rsidR="00275798">
        <w:rPr>
          <w:szCs w:val="28"/>
          <w:lang w:eastAsia="zh-TW"/>
        </w:rPr>
        <w:t xml:space="preserve">that </w:t>
      </w:r>
      <w:r w:rsidR="00E069FE">
        <w:rPr>
          <w:szCs w:val="28"/>
          <w:lang w:eastAsia="zh-TW"/>
        </w:rPr>
        <w:t xml:space="preserve">may </w:t>
      </w:r>
      <w:r w:rsidR="00275798">
        <w:rPr>
          <w:szCs w:val="28"/>
          <w:lang w:eastAsia="zh-TW"/>
        </w:rPr>
        <w:t>occur on a DCM.</w:t>
      </w:r>
      <w:r w:rsidR="000B6BBD">
        <w:rPr>
          <w:szCs w:val="28"/>
          <w:lang w:eastAsia="zh-TW"/>
        </w:rPr>
        <w:t xml:space="preserve">  </w:t>
      </w:r>
      <w:r>
        <w:rPr>
          <w:rFonts w:cs="Times New Roman"/>
          <w:szCs w:val="28"/>
          <w:lang w:eastAsia="zh-TW"/>
        </w:rPr>
        <w:t xml:space="preserve">The Commission believes that </w:t>
      </w:r>
      <w:r w:rsidR="004F3AFA">
        <w:rPr>
          <w:rFonts w:cs="Times New Roman"/>
          <w:szCs w:val="28"/>
          <w:lang w:eastAsia="zh-TW"/>
        </w:rPr>
        <w:t>the requirements</w:t>
      </w:r>
      <w:r>
        <w:rPr>
          <w:szCs w:val="28"/>
          <w:lang w:eastAsia="zh-TW"/>
        </w:rPr>
        <w:t xml:space="preserve"> reflect the minimum reporting and disclosure that is necessary to </w:t>
      </w:r>
      <w:r w:rsidR="004F3AFA">
        <w:rPr>
          <w:szCs w:val="28"/>
          <w:lang w:eastAsia="zh-TW"/>
        </w:rPr>
        <w:t>achieve</w:t>
      </w:r>
      <w:r>
        <w:rPr>
          <w:szCs w:val="28"/>
          <w:lang w:eastAsia="zh-TW"/>
        </w:rPr>
        <w:t xml:space="preserve"> the Commission’s objectives</w:t>
      </w:r>
      <w:r w:rsidR="004F3AFA">
        <w:rPr>
          <w:szCs w:val="28"/>
          <w:lang w:eastAsia="zh-TW"/>
        </w:rPr>
        <w:t xml:space="preserve"> of</w:t>
      </w:r>
      <w:r w:rsidRPr="004F3AFA" w:rsidR="004F3AFA">
        <w:rPr>
          <w:rFonts w:eastAsia="PMingLiU" w:cs="Times New Roman"/>
          <w:szCs w:val="24"/>
        </w:rPr>
        <w:t xml:space="preserve"> </w:t>
      </w:r>
      <w:r w:rsidR="00177C8E">
        <w:rPr>
          <w:rFonts w:eastAsia="PMingLiU" w:cs="Times New Roman"/>
          <w:szCs w:val="24"/>
        </w:rPr>
        <w:t xml:space="preserve">ensuring </w:t>
      </w:r>
      <w:r w:rsidRPr="004049D0" w:rsidR="004F3AFA">
        <w:rPr>
          <w:rFonts w:eastAsia="PMingLiU" w:cs="Times New Roman"/>
          <w:lang w:val="en"/>
        </w:rPr>
        <w:t>market inte</w:t>
      </w:r>
      <w:r w:rsidRPr="008D0711" w:rsidR="004F3AFA">
        <w:rPr>
          <w:rFonts w:eastAsia="PMingLiU" w:cs="Times New Roman"/>
          <w:lang w:val="en"/>
        </w:rPr>
        <w:t>grity</w:t>
      </w:r>
      <w:r w:rsidR="00275798">
        <w:rPr>
          <w:rFonts w:eastAsia="PMingLiU" w:cs="Times New Roman"/>
          <w:lang w:val="en"/>
        </w:rPr>
        <w:t xml:space="preserve"> and</w:t>
      </w:r>
      <w:r w:rsidRPr="008D0711" w:rsidR="004F3AFA">
        <w:rPr>
          <w:rFonts w:eastAsia="PMingLiU" w:cs="Times New Roman"/>
          <w:lang w:val="en"/>
        </w:rPr>
        <w:t xml:space="preserve"> avoid</w:t>
      </w:r>
      <w:r w:rsidR="004F3AFA">
        <w:rPr>
          <w:rFonts w:eastAsia="PMingLiU" w:cs="Times New Roman"/>
          <w:lang w:val="en"/>
        </w:rPr>
        <w:t>ing</w:t>
      </w:r>
      <w:r w:rsidRPr="008D0711" w:rsidR="004F3AFA">
        <w:rPr>
          <w:rFonts w:eastAsia="PMingLiU" w:cs="Times New Roman"/>
          <w:szCs w:val="24"/>
        </w:rPr>
        <w:t xml:space="preserve"> </w:t>
      </w:r>
      <w:r w:rsidR="004F3AFA">
        <w:rPr>
          <w:rFonts w:eastAsia="PMingLiU" w:cs="Times New Roman"/>
          <w:szCs w:val="24"/>
        </w:rPr>
        <w:t>systemic risk</w:t>
      </w:r>
      <w:r w:rsidRPr="008D0711" w:rsidR="004F3AFA">
        <w:rPr>
          <w:rFonts w:eastAsia="PMingLiU" w:cs="Times New Roman"/>
          <w:szCs w:val="24"/>
          <w:lang w:val="en"/>
        </w:rPr>
        <w:t xml:space="preserve">.  </w:t>
      </w:r>
    </w:p>
    <w:p w:rsidR="00EF0922" w:rsidP="00B743C4" w:rsidRDefault="00EF0922" w14:paraId="1D45CF9A" w14:textId="77777777">
      <w:pPr>
        <w:autoSpaceDE w:val="0"/>
        <w:autoSpaceDN w:val="0"/>
        <w:adjustRightInd w:val="0"/>
        <w:spacing w:after="120"/>
        <w:ind w:firstLine="720"/>
        <w:rPr>
          <w:rFonts w:eastAsia="PMingLiU" w:cs="Times New Roman"/>
          <w:szCs w:val="24"/>
          <w:lang w:val="en"/>
        </w:rPr>
      </w:pPr>
    </w:p>
    <w:p w:rsidRPr="00642B6A" w:rsidR="00642B6A" w:rsidP="002712C5" w:rsidRDefault="00642B6A" w14:paraId="5A55EC8C"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A668B2" w:rsidP="00102259" w:rsidRDefault="00642B6A" w14:paraId="37FB3173" w14:textId="03500CE4">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403743" w:rsidP="00642B6A" w:rsidRDefault="00777A51" w14:paraId="02981E99" w14:textId="16CA5EC3">
      <w:pPr>
        <w:tabs>
          <w:tab w:val="left" w:pos="-720"/>
        </w:tabs>
        <w:spacing w:after="240"/>
        <w:rPr>
          <w:bCs/>
        </w:rPr>
      </w:pPr>
      <w:r>
        <w:rPr>
          <w:b/>
          <w:bCs/>
        </w:rPr>
        <w:tab/>
      </w:r>
      <w:r w:rsidR="00102259">
        <w:rPr>
          <w:bCs/>
        </w:rPr>
        <w:t xml:space="preserve">The Commission believes that </w:t>
      </w:r>
      <w:r w:rsidR="00403743">
        <w:rPr>
          <w:bCs/>
        </w:rPr>
        <w:t xml:space="preserve">the reporting of those instances of </w:t>
      </w:r>
      <w:r w:rsidR="002B2127">
        <w:rPr>
          <w:bCs/>
        </w:rPr>
        <w:t xml:space="preserve">significant </w:t>
      </w:r>
      <w:r w:rsidR="00403743">
        <w:rPr>
          <w:bCs/>
        </w:rPr>
        <w:t>market disruption</w:t>
      </w:r>
      <w:r w:rsidR="00177C8E">
        <w:rPr>
          <w:bCs/>
        </w:rPr>
        <w:t>s</w:t>
      </w:r>
      <w:r w:rsidR="00403743">
        <w:rPr>
          <w:bCs/>
        </w:rPr>
        <w:t xml:space="preserve"> </w:t>
      </w:r>
      <w:r w:rsidRPr="00403743" w:rsidR="00403743">
        <w:rPr>
          <w:bCs/>
        </w:rPr>
        <w:t>are important elements in ensuring the integrity of Commission-regulated markets and fostering market participants’ confidence in the transactions being executed on DCM platforms.</w:t>
      </w:r>
      <w:r w:rsidR="00403743">
        <w:rPr>
          <w:bCs/>
        </w:rPr>
        <w:t xml:space="preserve">  </w:t>
      </w:r>
      <w:r w:rsidRPr="00403743" w:rsidR="00403743">
        <w:rPr>
          <w:bCs/>
        </w:rPr>
        <w:t xml:space="preserve">The Commission believes that </w:t>
      </w:r>
      <w:r w:rsidR="00C53D51">
        <w:rPr>
          <w:bCs/>
        </w:rPr>
        <w:t xml:space="preserve">prompt </w:t>
      </w:r>
      <w:r w:rsidRPr="00403743" w:rsidR="00403743">
        <w:rPr>
          <w:bCs/>
        </w:rPr>
        <w:t xml:space="preserve">notification </w:t>
      </w:r>
      <w:r w:rsidR="00C53D51">
        <w:rPr>
          <w:bCs/>
        </w:rPr>
        <w:t xml:space="preserve">of a market disruption event </w:t>
      </w:r>
      <w:proofErr w:type="gramStart"/>
      <w:r w:rsidRPr="00403743" w:rsidR="00403743">
        <w:rPr>
          <w:bCs/>
        </w:rPr>
        <w:t>under  regulation</w:t>
      </w:r>
      <w:proofErr w:type="gramEnd"/>
      <w:r w:rsidRPr="00403743" w:rsidR="00403743">
        <w:rPr>
          <w:bCs/>
        </w:rPr>
        <w:t xml:space="preserve"> 38.251(</w:t>
      </w:r>
      <w:r w:rsidR="00C74CD0">
        <w:rPr>
          <w:bCs/>
        </w:rPr>
        <w:t>g</w:t>
      </w:r>
      <w:r w:rsidRPr="00403743" w:rsidR="00403743">
        <w:rPr>
          <w:bCs/>
        </w:rPr>
        <w:t xml:space="preserve">) will </w:t>
      </w:r>
      <w:r w:rsidR="00403743">
        <w:rPr>
          <w:bCs/>
        </w:rPr>
        <w:t xml:space="preserve">greatly </w:t>
      </w:r>
      <w:r w:rsidRPr="00403743" w:rsidR="00403743">
        <w:rPr>
          <w:bCs/>
        </w:rPr>
        <w:t>assist the Commission’s oversight and its ability to monitor and assess market disruptions across all DCMs.</w:t>
      </w:r>
    </w:p>
    <w:p w:rsidRPr="00E60439" w:rsidR="00EF0922" w:rsidP="00EF0922" w:rsidRDefault="00777A51" w14:paraId="40386C59" w14:textId="6CEDA391">
      <w:pPr>
        <w:tabs>
          <w:tab w:val="left" w:pos="-720"/>
        </w:tabs>
        <w:spacing w:after="240"/>
        <w:rPr>
          <w:rFonts w:eastAsia="PMingLiU"/>
        </w:rPr>
      </w:pPr>
      <w:r>
        <w:rPr>
          <w:bCs/>
        </w:rPr>
        <w:tab/>
      </w:r>
      <w:r>
        <w:rPr>
          <w:rFonts w:eastAsia="PMingLiU"/>
        </w:rPr>
        <w:t xml:space="preserve"> </w:t>
      </w:r>
    </w:p>
    <w:p w:rsidRPr="00CC11BF" w:rsidR="00642B6A" w:rsidP="00FE503D" w:rsidRDefault="00642B6A" w14:paraId="5A55EC8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9B3431" w:rsidR="00EA3010" w:rsidP="00642B6A" w:rsidRDefault="00B91FAD" w14:paraId="604E29D8" w14:textId="44C87ACC">
      <w:pPr>
        <w:tabs>
          <w:tab w:val="left" w:pos="-720"/>
          <w:tab w:val="left" w:pos="0"/>
          <w:tab w:val="left" w:pos="720"/>
        </w:tabs>
        <w:spacing w:after="240"/>
      </w:pPr>
      <w:r>
        <w:rPr>
          <w:rFonts w:eastAsia="Times New Roman" w:cs="Times New Roman"/>
          <w:b/>
          <w:szCs w:val="24"/>
        </w:rPr>
        <w:lastRenderedPageBreak/>
        <w:tab/>
      </w:r>
      <w:r w:rsidRPr="009B3431" w:rsidR="00C53D51">
        <w:rPr>
          <w:rFonts w:eastAsia="Times New Roman" w:cs="Times New Roman"/>
          <w:szCs w:val="24"/>
        </w:rPr>
        <w:t>Not applicable.</w:t>
      </w:r>
    </w:p>
    <w:p w:rsidR="00EF0922" w:rsidP="00CC11BF" w:rsidRDefault="00EF0922" w14:paraId="44F8638C" w14:textId="7330BD85">
      <w:pPr>
        <w:tabs>
          <w:tab w:val="left" w:pos="-720"/>
        </w:tabs>
        <w:suppressAutoHyphens/>
        <w:rPr>
          <w:rFonts w:eastAsia="Times New Roman" w:cs="Times New Roman"/>
          <w:szCs w:val="20"/>
        </w:rPr>
      </w:pPr>
      <w:r w:rsidRPr="00EF0922">
        <w:rPr>
          <w:rFonts w:eastAsia="Times New Roman" w:cs="Times New Roman"/>
          <w:szCs w:val="20"/>
        </w:rPr>
        <w:t xml:space="preserve"> </w:t>
      </w:r>
    </w:p>
    <w:p w:rsidR="00642B6A" w:rsidP="00FE503D" w:rsidRDefault="00642B6A" w14:paraId="5A55EC91"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642B6A" w:rsidP="009B3431" w:rsidRDefault="00747BF5" w14:paraId="5A55EC92" w14:textId="4B4584E4">
      <w:pPr>
        <w:tabs>
          <w:tab w:val="left" w:pos="-720"/>
          <w:tab w:val="left" w:pos="0"/>
          <w:tab w:val="left" w:pos="720"/>
        </w:tabs>
        <w:spacing w:after="360"/>
        <w:rPr>
          <w:rFonts w:eastAsia="Times New Roman" w:cs="Times New Roman"/>
          <w:szCs w:val="24"/>
        </w:rPr>
      </w:pPr>
      <w:r>
        <w:rPr>
          <w:rFonts w:eastAsia="Times New Roman" w:cs="Times New Roman"/>
          <w:szCs w:val="24"/>
        </w:rPr>
        <w:tab/>
      </w:r>
      <w:r w:rsidRPr="00642B6A" w:rsidR="00642B6A">
        <w:rPr>
          <w:rFonts w:eastAsia="Times New Roman" w:cs="Times New Roman"/>
          <w:szCs w:val="24"/>
        </w:rPr>
        <w:t>Respondents are not required to submit more than an original and two copies of any documents to the Commission or third parties.</w:t>
      </w:r>
    </w:p>
    <w:p w:rsidR="00642B6A" w:rsidP="009B3431" w:rsidRDefault="00642B6A" w14:paraId="5A55EC93" w14:textId="77777777">
      <w:pPr>
        <w:numPr>
          <w:ilvl w:val="0"/>
          <w:numId w:val="1"/>
        </w:numPr>
        <w:tabs>
          <w:tab w:val="clear" w:pos="936"/>
          <w:tab w:val="left" w:pos="-720"/>
          <w:tab w:val="left" w:pos="0"/>
          <w:tab w:val="left" w:pos="720"/>
        </w:tabs>
        <w:spacing w:after="36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B91FAD" w:rsidP="00642B6A" w:rsidRDefault="00642B6A" w14:paraId="0A320DE9" w14:textId="36C3C81C">
      <w:pPr>
        <w:tabs>
          <w:tab w:val="left" w:pos="-720"/>
          <w:tab w:val="left" w:pos="0"/>
          <w:tab w:val="left" w:pos="720"/>
        </w:tabs>
        <w:spacing w:after="240"/>
      </w:pPr>
      <w:r w:rsidRPr="00642B6A">
        <w:rPr>
          <w:rFonts w:eastAsia="Times New Roman" w:cs="Times New Roman"/>
          <w:szCs w:val="24"/>
        </w:rPr>
        <w:tab/>
      </w:r>
      <w:r w:rsidR="00B91FAD">
        <w:t>DCMs are required to maintain records of all activities related to their business as a contract market, in a form and manner acceptable to the Commission, for a period of five years from the date thereof and shall be readily accessible during the first two years of the five year period, pursuant to Commission Regulation</w:t>
      </w:r>
      <w:r w:rsidR="00177C8E">
        <w:t>s</w:t>
      </w:r>
      <w:r w:rsidR="00B91FAD">
        <w:t xml:space="preserve"> 1.31 and </w:t>
      </w:r>
      <w:r w:rsidR="00C53D51">
        <w:t xml:space="preserve">38.950 </w:t>
      </w:r>
      <w:r w:rsidR="00B91FAD">
        <w:t xml:space="preserve"> (Recordkeeping).  All such books and records are open to inspection by any representative of the Commission or the U.S. Department of Justice.</w:t>
      </w:r>
    </w:p>
    <w:p w:rsidR="00642B6A" w:rsidP="00FE503D" w:rsidRDefault="00642B6A" w14:paraId="5A55EC9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P="00834222" w:rsidRDefault="00834222" w14:paraId="5A55EC96" w14:textId="374F89B7">
      <w:pPr>
        <w:tabs>
          <w:tab w:val="left" w:pos="-720"/>
          <w:tab w:val="left" w:pos="0"/>
          <w:tab w:val="left" w:pos="720"/>
        </w:tabs>
        <w:spacing w:after="240"/>
        <w:contextualSpacing/>
        <w:rPr>
          <w:rFonts w:eastAsia="Times New Roman" w:cs="Times New Roman"/>
        </w:rPr>
      </w:pPr>
      <w:r>
        <w:rPr>
          <w:rFonts w:eastAsia="Times New Roman" w:cs="Times New Roman"/>
        </w:rPr>
        <w:tab/>
      </w:r>
      <w:r w:rsidRPr="00642B6A" w:rsidR="00642B6A">
        <w:rPr>
          <w:rFonts w:eastAsia="Times New Roman" w:cs="Times New Roman"/>
        </w:rPr>
        <w:t>Not applicable.</w:t>
      </w:r>
    </w:p>
    <w:p w:rsidR="00EF0922" w:rsidP="00D945B5" w:rsidRDefault="00EF0922" w14:paraId="06F74DB7" w14:textId="77777777">
      <w:pPr>
        <w:tabs>
          <w:tab w:val="left" w:pos="-720"/>
          <w:tab w:val="left" w:pos="0"/>
          <w:tab w:val="left" w:pos="720"/>
        </w:tabs>
        <w:spacing w:after="240"/>
        <w:ind w:left="936" w:hanging="216"/>
        <w:contextualSpacing/>
        <w:rPr>
          <w:rFonts w:eastAsia="Times New Roman" w:cs="Times New Roman"/>
        </w:rPr>
      </w:pPr>
    </w:p>
    <w:p w:rsidR="00642B6A" w:rsidP="002712C5" w:rsidRDefault="00642B6A" w14:paraId="5A55EC98" w14:textId="77777777">
      <w:pPr>
        <w:numPr>
          <w:ilvl w:val="0"/>
          <w:numId w:val="1"/>
        </w:numPr>
        <w:tabs>
          <w:tab w:val="left" w:pos="-720"/>
          <w:tab w:val="left" w:pos="0"/>
          <w:tab w:val="left" w:pos="720"/>
          <w:tab w:val="num" w:pos="1080"/>
        </w:tabs>
        <w:spacing w:after="36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P="002712C5" w:rsidRDefault="00642B6A" w14:paraId="5A55EC99" w14:textId="77777777">
      <w:pPr>
        <w:tabs>
          <w:tab w:val="left" w:pos="-720"/>
          <w:tab w:val="left" w:pos="0"/>
          <w:tab w:val="left" w:pos="720"/>
        </w:tabs>
        <w:spacing w:after="360"/>
        <w:rPr>
          <w:rFonts w:eastAsia="Times New Roman" w:cs="Times New Roman"/>
          <w:szCs w:val="24"/>
        </w:rPr>
      </w:pPr>
      <w:r w:rsidRPr="00642B6A">
        <w:rPr>
          <w:rFonts w:eastAsia="Times New Roman" w:cs="Times New Roman"/>
          <w:szCs w:val="24"/>
        </w:rPr>
        <w:tab/>
        <w:t>Not applicable.</w:t>
      </w:r>
    </w:p>
    <w:p w:rsidRPr="003607A6" w:rsidR="00642B6A" w:rsidP="00FE503D" w:rsidRDefault="00642B6A" w14:paraId="5A55EC9A"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Pr="00B86819" w:rsidR="00642B6A" w:rsidP="00FE503D" w:rsidRDefault="00642B6A" w14:paraId="5A55EC9B"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67D1F" w:rsidP="00EB4636" w:rsidRDefault="00642B6A" w14:paraId="216D6DF6" w14:textId="6623E011">
      <w:pPr>
        <w:autoSpaceDE w:val="0"/>
        <w:autoSpaceDN w:val="0"/>
        <w:adjustRightInd w:val="0"/>
        <w:rPr>
          <w:rFonts w:eastAsia="Times New Roman" w:cs="Times New Roman"/>
          <w:b/>
          <w:szCs w:val="24"/>
        </w:rPr>
      </w:pPr>
      <w:r w:rsidRPr="00642B6A">
        <w:rPr>
          <w:rFonts w:eastAsia="Times New Roman" w:cs="Times New Roman"/>
          <w:szCs w:val="24"/>
        </w:rPr>
        <w:tab/>
      </w:r>
      <w:r w:rsidRPr="00EB4636" w:rsidR="00767D1F">
        <w:rPr>
          <w:rFonts w:cs="Times New Roman"/>
          <w:b/>
          <w:szCs w:val="24"/>
        </w:rPr>
        <w:t xml:space="preserve"> </w:t>
      </w:r>
    </w:p>
    <w:p w:rsidR="00642B6A" w:rsidP="002712C5" w:rsidRDefault="008D7B2A" w14:paraId="5A55EC9C" w14:textId="0EEE2438">
      <w:pPr>
        <w:tabs>
          <w:tab w:val="left" w:pos="-720"/>
          <w:tab w:val="left" w:pos="0"/>
          <w:tab w:val="left" w:pos="720"/>
        </w:tabs>
        <w:spacing w:after="360"/>
        <w:rPr>
          <w:rFonts w:eastAsia="Times New Roman" w:cs="Times New Roman"/>
          <w:szCs w:val="24"/>
        </w:rPr>
      </w:pPr>
      <w:r>
        <w:rPr>
          <w:rFonts w:eastAsia="Times New Roman" w:cs="Times New Roman"/>
          <w:szCs w:val="24"/>
        </w:rPr>
        <w:tab/>
      </w:r>
      <w:r w:rsidRPr="00642B6A" w:rsidR="00642B6A">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r w:rsidR="007B1158">
        <w:rPr>
          <w:rFonts w:eastAsia="Times New Roman" w:cs="Times New Roman"/>
          <w:szCs w:val="24"/>
        </w:rPr>
        <w:t xml:space="preserve">  </w:t>
      </w:r>
      <w:r w:rsidRPr="007B1158" w:rsidR="007B1158">
        <w:rPr>
          <w:rFonts w:eastAsia="Times New Roman" w:cs="Times New Roman"/>
          <w:szCs w:val="24"/>
        </w:rPr>
        <w:t xml:space="preserve">In addition, section 8(a) of the Act provides that, “unless specifically authorized in this Act, the Commission may not publish data and information that would separately disclose the business transactions or market positions of any person and trade secrets or names of customers.”  A number of narrow exceptions are set forth in Sections </w:t>
      </w:r>
      <w:r w:rsidRPr="007B1158" w:rsidR="007B1158">
        <w:rPr>
          <w:rFonts w:eastAsia="Times New Roman" w:cs="Times New Roman"/>
          <w:szCs w:val="24"/>
        </w:rPr>
        <w:lastRenderedPageBreak/>
        <w:t>8(b) and (e) of the Act permitting the Commission to disclose “Section 8 material” for (</w:t>
      </w:r>
      <w:proofErr w:type="spellStart"/>
      <w:r w:rsidRPr="007B1158" w:rsidR="007B1158">
        <w:rPr>
          <w:rFonts w:eastAsia="Times New Roman" w:cs="Times New Roman"/>
          <w:szCs w:val="24"/>
        </w:rPr>
        <w:t>i</w:t>
      </w:r>
      <w:proofErr w:type="spellEnd"/>
      <w:r w:rsidRPr="007B1158" w:rsidR="007B1158">
        <w:rPr>
          <w:rFonts w:eastAsia="Times New Roman" w:cs="Times New Roman"/>
          <w:szCs w:val="24"/>
        </w:rPr>
        <w:t>) prior public disclosures, (ii) congressional, administrative and/or judicial proceedings, (iii) other federal departments and agencies, individual states and foreign futures authorities, and (iv) registered entity investigations.</w:t>
      </w:r>
    </w:p>
    <w:p w:rsidR="00642B6A" w:rsidP="002712C5" w:rsidRDefault="00642B6A" w14:paraId="5A55EC9D" w14:textId="77777777">
      <w:pPr>
        <w:tabs>
          <w:tab w:val="left" w:pos="-720"/>
        </w:tabs>
        <w:spacing w:after="36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3547" w:rsidP="002712C5" w:rsidRDefault="00F934B2" w14:paraId="5A55EC9E" w14:textId="6CA2183C">
      <w:pPr>
        <w:tabs>
          <w:tab w:val="left" w:pos="-720"/>
        </w:tabs>
        <w:autoSpaceDE w:val="0"/>
        <w:autoSpaceDN w:val="0"/>
        <w:adjustRightInd w:val="0"/>
        <w:ind w:firstLine="720"/>
        <w:rPr>
          <w:rFonts w:eastAsia="Times New Roman" w:cs="Times New Roman"/>
          <w:szCs w:val="24"/>
        </w:rPr>
      </w:pPr>
      <w:r w:rsidRPr="00F934B2">
        <w:rPr>
          <w:rFonts w:eastAsia="Times New Roman" w:cs="Times New Roman"/>
          <w:szCs w:val="20"/>
        </w:rPr>
        <w:t xml:space="preserve">A copy of the proposed regulation was published in the </w:t>
      </w:r>
      <w:r w:rsidRPr="00233CA2">
        <w:rPr>
          <w:rFonts w:eastAsia="Times New Roman" w:cs="Times New Roman"/>
          <w:szCs w:val="20"/>
        </w:rPr>
        <w:t>Federal Register on July 15, 2020, 85 FR 42761 (July 15, 2020).</w:t>
      </w:r>
      <w:r w:rsidRPr="00233CA2" w:rsidDel="00BC0DD2">
        <w:rPr>
          <w:rFonts w:eastAsia="Times New Roman" w:cs="Times New Roman"/>
          <w:szCs w:val="20"/>
        </w:rPr>
        <w:t xml:space="preserve"> </w:t>
      </w:r>
      <w:r w:rsidRPr="00554929" w:rsidR="00554929">
        <w:rPr>
          <w:rFonts w:eastAsia="Times New Roman" w:cs="Times New Roman"/>
          <w:szCs w:val="24"/>
        </w:rPr>
        <w:t xml:space="preserve">In the proposing Federal Register release, the Commission </w:t>
      </w:r>
      <w:proofErr w:type="gramStart"/>
      <w:r w:rsidRPr="00554929" w:rsidR="00554929">
        <w:rPr>
          <w:rFonts w:eastAsia="Times New Roman" w:cs="Times New Roman"/>
          <w:szCs w:val="24"/>
        </w:rPr>
        <w:t>s</w:t>
      </w:r>
      <w:r>
        <w:rPr>
          <w:rFonts w:eastAsia="Times New Roman" w:cs="Times New Roman"/>
          <w:szCs w:val="24"/>
        </w:rPr>
        <w:t xml:space="preserve">ought </w:t>
      </w:r>
      <w:r w:rsidRPr="00554929" w:rsidR="00554929">
        <w:rPr>
          <w:rFonts w:eastAsia="Times New Roman" w:cs="Times New Roman"/>
          <w:szCs w:val="24"/>
        </w:rPr>
        <w:t xml:space="preserve"> public</w:t>
      </w:r>
      <w:proofErr w:type="gramEnd"/>
      <w:r w:rsidRPr="00554929" w:rsidR="00554929">
        <w:rPr>
          <w:rFonts w:eastAsia="Times New Roman" w:cs="Times New Roman"/>
          <w:szCs w:val="24"/>
        </w:rPr>
        <w:t xml:space="preserve"> comment on any aspect of the proposed collection of information</w:t>
      </w:r>
      <w:r w:rsidR="00831294">
        <w:rPr>
          <w:rFonts w:eastAsia="Times New Roman" w:cs="Times New Roman"/>
          <w:szCs w:val="24"/>
        </w:rPr>
        <w:t xml:space="preserve"> 3038-0052</w:t>
      </w:r>
      <w:r w:rsidRPr="00554929" w:rsidR="00554929">
        <w:rPr>
          <w:rFonts w:eastAsia="Times New Roman" w:cs="Times New Roman"/>
          <w:szCs w:val="24"/>
        </w:rPr>
        <w:t xml:space="preserve">. </w:t>
      </w:r>
    </w:p>
    <w:p w:rsidR="00F934B2" w:rsidP="002712C5" w:rsidRDefault="00F934B2" w14:paraId="5F4D4763" w14:textId="32B88153">
      <w:pPr>
        <w:tabs>
          <w:tab w:val="left" w:pos="-720"/>
        </w:tabs>
        <w:autoSpaceDE w:val="0"/>
        <w:autoSpaceDN w:val="0"/>
        <w:adjustRightInd w:val="0"/>
        <w:ind w:firstLine="720"/>
        <w:rPr>
          <w:rFonts w:eastAsia="Times New Roman" w:cs="Times New Roman"/>
          <w:szCs w:val="24"/>
        </w:rPr>
      </w:pPr>
    </w:p>
    <w:p w:rsidR="00F934B2" w:rsidP="001D57CD" w:rsidRDefault="00F934B2" w14:paraId="75B59DE0" w14:textId="46E3501C">
      <w:pPr>
        <w:tabs>
          <w:tab w:val="left" w:pos="-720"/>
        </w:tabs>
        <w:autoSpaceDE w:val="0"/>
        <w:autoSpaceDN w:val="0"/>
        <w:adjustRightInd w:val="0"/>
        <w:ind w:firstLine="720"/>
        <w:rPr>
          <w:rFonts w:eastAsia="Times New Roman" w:cs="Times New Roman"/>
          <w:szCs w:val="24"/>
        </w:rPr>
      </w:pPr>
      <w:r w:rsidRPr="00F934B2">
        <w:rPr>
          <w:rFonts w:eastAsia="Times New Roman" w:cs="Times New Roman"/>
          <w:szCs w:val="24"/>
        </w:rPr>
        <w:t>The Commission received one comment regarding its PRA burden analysis in the preamble to the proposal.</w:t>
      </w:r>
      <w:r w:rsidRPr="00F934B2">
        <w:rPr>
          <w:rFonts w:eastAsia="Times New Roman" w:cs="Times New Roman"/>
          <w:szCs w:val="24"/>
          <w:vertAlign w:val="superscript"/>
        </w:rPr>
        <w:footnoteReference w:id="4"/>
      </w:r>
      <w:r w:rsidRPr="00F934B2">
        <w:rPr>
          <w:rFonts w:eastAsia="Times New Roman" w:cs="Times New Roman"/>
          <w:szCs w:val="24"/>
        </w:rPr>
        <w:t xml:space="preserve"> CME in its comment letter asserted the operation of </w:t>
      </w:r>
      <w:r>
        <w:rPr>
          <w:rFonts w:eastAsia="Times New Roman" w:cs="Times New Roman"/>
          <w:szCs w:val="24"/>
        </w:rPr>
        <w:t xml:space="preserve">proposed regulation 38.251(g) </w:t>
      </w:r>
      <w:r w:rsidRPr="00F934B2">
        <w:rPr>
          <w:rFonts w:eastAsia="Times New Roman" w:cs="Times New Roman"/>
          <w:szCs w:val="24"/>
        </w:rPr>
        <w:t xml:space="preserve">is unclear, and the Commission’s estimate of approximately 50 notifications per year is </w:t>
      </w:r>
      <w:r>
        <w:rPr>
          <w:rFonts w:eastAsia="Times New Roman" w:cs="Times New Roman"/>
          <w:szCs w:val="24"/>
        </w:rPr>
        <w:t>much higher than what CME would have expected.</w:t>
      </w:r>
      <w:r w:rsidR="001D57CD">
        <w:rPr>
          <w:rFonts w:eastAsia="Times New Roman" w:cs="Times New Roman"/>
          <w:szCs w:val="24"/>
        </w:rPr>
        <w:t xml:space="preserve">  CME asserted that since 2011 it brought approximately 59 </w:t>
      </w:r>
      <w:r w:rsidRPr="001D57CD" w:rsidR="001D57CD">
        <w:rPr>
          <w:rFonts w:eastAsia="Times New Roman" w:cs="Times New Roman"/>
          <w:szCs w:val="24"/>
        </w:rPr>
        <w:t>disciplinary actions for electronic trading activity that may have disrupted markets or other participants</w:t>
      </w:r>
      <w:r w:rsidR="001D57CD">
        <w:rPr>
          <w:rFonts w:eastAsia="Times New Roman" w:cs="Times New Roman"/>
          <w:szCs w:val="24"/>
        </w:rPr>
        <w:t xml:space="preserve"> but only three of those cases were determined to be </w:t>
      </w:r>
      <w:r w:rsidRPr="001D57CD" w:rsidR="001D57CD">
        <w:rPr>
          <w:rFonts w:eastAsia="Times New Roman" w:cs="Times New Roman"/>
          <w:szCs w:val="24"/>
        </w:rPr>
        <w:t xml:space="preserve">a </w:t>
      </w:r>
      <w:r w:rsidR="001D57CD">
        <w:rPr>
          <w:rFonts w:eastAsia="Times New Roman" w:cs="Times New Roman"/>
          <w:szCs w:val="24"/>
        </w:rPr>
        <w:t xml:space="preserve">potential </w:t>
      </w:r>
      <w:r w:rsidRPr="001D57CD" w:rsidR="001D57CD">
        <w:rPr>
          <w:rFonts w:eastAsia="Times New Roman" w:cs="Times New Roman"/>
          <w:szCs w:val="24"/>
        </w:rPr>
        <w:t xml:space="preserve">significant disruption to the operations of the </w:t>
      </w:r>
      <w:r w:rsidR="001D57CD">
        <w:rPr>
          <w:rFonts w:eastAsia="Times New Roman" w:cs="Times New Roman"/>
          <w:szCs w:val="24"/>
        </w:rPr>
        <w:t>CME</w:t>
      </w:r>
      <w:r w:rsidRPr="001D57CD" w:rsidR="001D57CD">
        <w:rPr>
          <w:rFonts w:eastAsia="Times New Roman" w:cs="Times New Roman"/>
          <w:szCs w:val="24"/>
        </w:rPr>
        <w:t>.</w:t>
      </w:r>
      <w:r>
        <w:rPr>
          <w:rFonts w:eastAsia="Times New Roman" w:cs="Times New Roman"/>
          <w:szCs w:val="24"/>
        </w:rPr>
        <w:t xml:space="preserve">  Accordingly, </w:t>
      </w:r>
      <w:r w:rsidRPr="00F934B2">
        <w:rPr>
          <w:rFonts w:eastAsia="Times New Roman" w:cs="Times New Roman"/>
          <w:szCs w:val="24"/>
        </w:rPr>
        <w:t>CME question</w:t>
      </w:r>
      <w:r>
        <w:rPr>
          <w:rFonts w:eastAsia="Times New Roman" w:cs="Times New Roman"/>
          <w:szCs w:val="24"/>
        </w:rPr>
        <w:t>ed</w:t>
      </w:r>
      <w:r w:rsidRPr="00F934B2">
        <w:rPr>
          <w:rFonts w:eastAsia="Times New Roman" w:cs="Times New Roman"/>
          <w:szCs w:val="24"/>
        </w:rPr>
        <w:t xml:space="preserve"> “whether the Commission has an interpretation of ‘significant disruption’ that is not reflected in its proposal” based on the apparent differences in notification estimates by the Commission and CME.</w:t>
      </w:r>
      <w:r w:rsidRPr="00F934B2">
        <w:rPr>
          <w:rFonts w:eastAsia="Times New Roman" w:cs="Times New Roman"/>
          <w:szCs w:val="24"/>
          <w:vertAlign w:val="superscript"/>
        </w:rPr>
        <w:footnoteReference w:id="5"/>
      </w:r>
    </w:p>
    <w:p w:rsidRPr="00F934B2" w:rsidR="00F934B2" w:rsidP="00F934B2" w:rsidRDefault="00F934B2" w14:paraId="0623B45F" w14:textId="77777777">
      <w:pPr>
        <w:tabs>
          <w:tab w:val="left" w:pos="-720"/>
        </w:tabs>
        <w:autoSpaceDE w:val="0"/>
        <w:autoSpaceDN w:val="0"/>
        <w:adjustRightInd w:val="0"/>
        <w:ind w:firstLine="720"/>
        <w:rPr>
          <w:rFonts w:eastAsia="Times New Roman" w:cs="Times New Roman"/>
          <w:szCs w:val="24"/>
        </w:rPr>
      </w:pPr>
    </w:p>
    <w:p w:rsidR="00F934B2" w:rsidP="001D57CD" w:rsidRDefault="001D57CD" w14:paraId="078817EE" w14:textId="13D84525">
      <w:pPr>
        <w:tabs>
          <w:tab w:val="left" w:pos="-720"/>
        </w:tabs>
        <w:autoSpaceDE w:val="0"/>
        <w:autoSpaceDN w:val="0"/>
        <w:adjustRightInd w:val="0"/>
        <w:ind w:firstLine="720"/>
        <w:rPr>
          <w:rFonts w:eastAsia="Times New Roman" w:cs="Times New Roman"/>
          <w:szCs w:val="24"/>
        </w:rPr>
      </w:pPr>
      <w:r>
        <w:rPr>
          <w:rFonts w:eastAsia="Times New Roman" w:cs="Times New Roman"/>
          <w:szCs w:val="24"/>
        </w:rPr>
        <w:t xml:space="preserve">The Commission notes that the </w:t>
      </w:r>
      <w:r w:rsidR="003C3CC6">
        <w:rPr>
          <w:rFonts w:eastAsia="Times New Roman" w:cs="Times New Roman"/>
          <w:szCs w:val="24"/>
        </w:rPr>
        <w:t xml:space="preserve">CME </w:t>
      </w:r>
      <w:r w:rsidRPr="00F934B2" w:rsidR="00F934B2">
        <w:rPr>
          <w:rFonts w:eastAsia="Times New Roman" w:cs="Times New Roman"/>
          <w:szCs w:val="24"/>
        </w:rPr>
        <w:t>did not in its comments explain how their estimate was determined or what criteria or standard was employed as part of this analysi</w:t>
      </w:r>
      <w:r>
        <w:rPr>
          <w:rFonts w:eastAsia="Times New Roman" w:cs="Times New Roman"/>
          <w:szCs w:val="24"/>
        </w:rPr>
        <w:t>s</w:t>
      </w:r>
      <w:r w:rsidRPr="00F934B2" w:rsidR="00F934B2">
        <w:rPr>
          <w:rFonts w:eastAsia="Times New Roman" w:cs="Times New Roman"/>
          <w:szCs w:val="24"/>
        </w:rPr>
        <w:t>.</w:t>
      </w:r>
      <w:r>
        <w:rPr>
          <w:rFonts w:eastAsia="Times New Roman" w:cs="Times New Roman"/>
          <w:szCs w:val="24"/>
        </w:rPr>
        <w:t xml:space="preserve">  In effect, </w:t>
      </w:r>
      <w:r w:rsidRPr="00F934B2" w:rsidR="00F934B2">
        <w:rPr>
          <w:rFonts w:eastAsia="Times New Roman" w:cs="Times New Roman"/>
          <w:szCs w:val="24"/>
        </w:rPr>
        <w:t>CME is</w:t>
      </w:r>
      <w:r>
        <w:rPr>
          <w:rFonts w:eastAsia="Times New Roman" w:cs="Times New Roman"/>
          <w:szCs w:val="24"/>
        </w:rPr>
        <w:t xml:space="preserve"> attempting to use t</w:t>
      </w:r>
      <w:r w:rsidRPr="00F934B2" w:rsidR="00F934B2">
        <w:rPr>
          <w:rFonts w:eastAsia="Times New Roman" w:cs="Times New Roman"/>
          <w:szCs w:val="24"/>
        </w:rPr>
        <w:t xml:space="preserve">he number of actual disciplinary actions brought against market participants for disruptions that could be detrimental to the exchange as a “proxy” for the “substantial disruption” standard set forth in </w:t>
      </w:r>
      <w:r>
        <w:rPr>
          <w:rFonts w:eastAsia="Times New Roman" w:cs="Times New Roman"/>
          <w:szCs w:val="24"/>
        </w:rPr>
        <w:t>Regulation 38.251(g)</w:t>
      </w:r>
      <w:r w:rsidRPr="00F934B2" w:rsidR="00F934B2">
        <w:rPr>
          <w:rFonts w:eastAsia="Times New Roman" w:cs="Times New Roman"/>
          <w:szCs w:val="24"/>
        </w:rPr>
        <w:t xml:space="preserve">. </w:t>
      </w:r>
      <w:r>
        <w:rPr>
          <w:rFonts w:eastAsia="Times New Roman" w:cs="Times New Roman"/>
          <w:szCs w:val="24"/>
        </w:rPr>
        <w:t>T</w:t>
      </w:r>
      <w:r w:rsidRPr="00F934B2" w:rsidR="00F934B2">
        <w:rPr>
          <w:rFonts w:eastAsia="Times New Roman" w:cs="Times New Roman"/>
          <w:szCs w:val="24"/>
        </w:rPr>
        <w:t>he Commission does not believe the number of actual disciplinary cases brought by an exchange is an appropriate proxy for reportable market disruption events</w:t>
      </w:r>
      <w:r>
        <w:rPr>
          <w:rFonts w:eastAsia="Times New Roman" w:cs="Times New Roman"/>
          <w:szCs w:val="24"/>
        </w:rPr>
        <w:t>,</w:t>
      </w:r>
      <w:r w:rsidRPr="00F934B2" w:rsidR="00F934B2">
        <w:rPr>
          <w:rFonts w:eastAsia="Times New Roman" w:cs="Times New Roman"/>
          <w:szCs w:val="24"/>
          <w:vertAlign w:val="superscript"/>
        </w:rPr>
        <w:footnoteReference w:id="6"/>
      </w:r>
      <w:r w:rsidRPr="00F934B2" w:rsidR="00F934B2">
        <w:rPr>
          <w:rFonts w:eastAsia="Times New Roman" w:cs="Times New Roman"/>
          <w:szCs w:val="24"/>
        </w:rPr>
        <w:t xml:space="preserve"> </w:t>
      </w:r>
      <w:r>
        <w:rPr>
          <w:rFonts w:eastAsia="Times New Roman" w:cs="Times New Roman"/>
          <w:szCs w:val="24"/>
        </w:rPr>
        <w:t xml:space="preserve">and submits that </w:t>
      </w:r>
      <w:r w:rsidRPr="00F934B2" w:rsidR="00F934B2">
        <w:rPr>
          <w:rFonts w:eastAsia="Times New Roman" w:cs="Times New Roman"/>
          <w:szCs w:val="24"/>
        </w:rPr>
        <w:t xml:space="preserve">basing </w:t>
      </w:r>
      <w:r>
        <w:rPr>
          <w:rFonts w:eastAsia="Times New Roman" w:cs="Times New Roman"/>
          <w:szCs w:val="24"/>
        </w:rPr>
        <w:t xml:space="preserve">a market disruption </w:t>
      </w:r>
      <w:r w:rsidRPr="00F934B2" w:rsidR="00F934B2">
        <w:rPr>
          <w:rFonts w:eastAsia="Times New Roman" w:cs="Times New Roman"/>
          <w:szCs w:val="24"/>
        </w:rPr>
        <w:t xml:space="preserve">reportable event on whether it is subject to a formal disciplinary action would be under-inclusive. </w:t>
      </w:r>
    </w:p>
    <w:p w:rsidRPr="00F934B2" w:rsidR="00F934B2" w:rsidP="00F934B2" w:rsidRDefault="00F934B2" w14:paraId="720A17CC" w14:textId="77777777">
      <w:pPr>
        <w:tabs>
          <w:tab w:val="left" w:pos="-720"/>
        </w:tabs>
        <w:autoSpaceDE w:val="0"/>
        <w:autoSpaceDN w:val="0"/>
        <w:adjustRightInd w:val="0"/>
        <w:ind w:firstLine="720"/>
        <w:rPr>
          <w:rFonts w:eastAsia="Times New Roman" w:cs="Times New Roman"/>
          <w:szCs w:val="24"/>
        </w:rPr>
      </w:pPr>
    </w:p>
    <w:p w:rsidR="00F934B2" w:rsidP="001D57CD" w:rsidRDefault="00F934B2" w14:paraId="0B0AAA2E" w14:textId="077EFE12">
      <w:pPr>
        <w:tabs>
          <w:tab w:val="left" w:pos="-720"/>
        </w:tabs>
        <w:autoSpaceDE w:val="0"/>
        <w:autoSpaceDN w:val="0"/>
        <w:adjustRightInd w:val="0"/>
        <w:ind w:firstLine="720"/>
        <w:rPr>
          <w:rFonts w:eastAsia="Times New Roman" w:cs="Times New Roman"/>
          <w:szCs w:val="24"/>
        </w:rPr>
      </w:pPr>
      <w:r w:rsidRPr="00F934B2">
        <w:rPr>
          <w:rFonts w:eastAsia="Times New Roman" w:cs="Times New Roman"/>
          <w:szCs w:val="24"/>
        </w:rPr>
        <w:lastRenderedPageBreak/>
        <w:t>The Commission</w:t>
      </w:r>
      <w:r w:rsidR="001D57CD">
        <w:rPr>
          <w:rFonts w:eastAsia="Times New Roman" w:cs="Times New Roman"/>
          <w:szCs w:val="24"/>
        </w:rPr>
        <w:t xml:space="preserve">, however, has revised its estimate of annual reportable market disruption events per DCM to be within a range of </w:t>
      </w:r>
      <w:r w:rsidR="00477E99">
        <w:rPr>
          <w:rFonts w:eastAsia="Times New Roman" w:cs="Times New Roman"/>
          <w:szCs w:val="24"/>
        </w:rPr>
        <w:t>0</w:t>
      </w:r>
      <w:r w:rsidR="001D57CD">
        <w:rPr>
          <w:rFonts w:eastAsia="Times New Roman" w:cs="Times New Roman"/>
          <w:szCs w:val="24"/>
        </w:rPr>
        <w:t>-25 rather than the proposed estimate of approximately 50 per DCM.  T</w:t>
      </w:r>
      <w:r w:rsidRPr="00F934B2">
        <w:rPr>
          <w:rFonts w:eastAsia="Times New Roman" w:cs="Times New Roman"/>
          <w:szCs w:val="24"/>
        </w:rPr>
        <w:t xml:space="preserve">he Commission </w:t>
      </w:r>
      <w:r w:rsidR="001D57CD">
        <w:rPr>
          <w:rFonts w:eastAsia="Times New Roman" w:cs="Times New Roman"/>
          <w:szCs w:val="24"/>
        </w:rPr>
        <w:t xml:space="preserve">believes </w:t>
      </w:r>
      <w:r w:rsidRPr="00F934B2">
        <w:rPr>
          <w:rFonts w:eastAsia="Times New Roman" w:cs="Times New Roman"/>
          <w:szCs w:val="24"/>
        </w:rPr>
        <w:t xml:space="preserve">that a range of reportable events between </w:t>
      </w:r>
      <w:r w:rsidR="00477E99">
        <w:rPr>
          <w:rFonts w:eastAsia="Times New Roman" w:cs="Times New Roman"/>
          <w:szCs w:val="24"/>
        </w:rPr>
        <w:t>0</w:t>
      </w:r>
      <w:r w:rsidRPr="00F934B2">
        <w:rPr>
          <w:rFonts w:eastAsia="Times New Roman" w:cs="Times New Roman"/>
          <w:szCs w:val="24"/>
        </w:rPr>
        <w:t xml:space="preserve">-25 may better reflect the potential number of </w:t>
      </w:r>
      <w:r w:rsidR="001D57CD">
        <w:rPr>
          <w:rFonts w:eastAsia="Times New Roman" w:cs="Times New Roman"/>
          <w:szCs w:val="24"/>
        </w:rPr>
        <w:t xml:space="preserve">annual </w:t>
      </w:r>
      <w:r w:rsidRPr="00F934B2">
        <w:rPr>
          <w:rFonts w:eastAsia="Times New Roman" w:cs="Times New Roman"/>
          <w:szCs w:val="24"/>
        </w:rPr>
        <w:t>reportable significant market disruption events for each DCM</w:t>
      </w:r>
      <w:r w:rsidR="003C3CC6">
        <w:rPr>
          <w:rFonts w:eastAsia="Times New Roman" w:cs="Times New Roman"/>
          <w:szCs w:val="24"/>
        </w:rPr>
        <w:t xml:space="preserve"> based on differences in DCM operations and market participants accessing those DCMs</w:t>
      </w:r>
      <w:r w:rsidRPr="00F934B2">
        <w:rPr>
          <w:rFonts w:eastAsia="Times New Roman" w:cs="Times New Roman"/>
          <w:szCs w:val="24"/>
        </w:rPr>
        <w:t xml:space="preserve">. The Commission is accordingly revising </w:t>
      </w:r>
      <w:r w:rsidR="00805426">
        <w:rPr>
          <w:rFonts w:eastAsia="Times New Roman" w:cs="Times New Roman"/>
          <w:szCs w:val="24"/>
        </w:rPr>
        <w:t xml:space="preserve">this OMB Collection </w:t>
      </w:r>
      <w:r w:rsidRPr="00F934B2">
        <w:rPr>
          <w:rFonts w:eastAsia="Times New Roman" w:cs="Times New Roman"/>
          <w:szCs w:val="24"/>
        </w:rPr>
        <w:t xml:space="preserve">3038-0052 to reflect the range of potential annual reportable events by each DCM to be between </w:t>
      </w:r>
      <w:r w:rsidR="00477E99">
        <w:rPr>
          <w:rFonts w:eastAsia="Times New Roman" w:cs="Times New Roman"/>
          <w:szCs w:val="24"/>
        </w:rPr>
        <w:t>0</w:t>
      </w:r>
      <w:r w:rsidRPr="00F934B2">
        <w:rPr>
          <w:rFonts w:eastAsia="Times New Roman" w:cs="Times New Roman"/>
          <w:szCs w:val="24"/>
        </w:rPr>
        <w:t xml:space="preserve"> and 25</w:t>
      </w:r>
      <w:r w:rsidR="003C3CC6">
        <w:rPr>
          <w:rFonts w:eastAsia="Times New Roman" w:cs="Times New Roman"/>
          <w:szCs w:val="24"/>
        </w:rPr>
        <w:t>.</w:t>
      </w:r>
    </w:p>
    <w:p w:rsidRPr="00F934B2" w:rsidR="00F934B2" w:rsidP="00F934B2" w:rsidRDefault="00F934B2" w14:paraId="175A8991" w14:textId="77777777">
      <w:pPr>
        <w:tabs>
          <w:tab w:val="left" w:pos="-720"/>
        </w:tabs>
        <w:autoSpaceDE w:val="0"/>
        <w:autoSpaceDN w:val="0"/>
        <w:adjustRightInd w:val="0"/>
        <w:ind w:firstLine="720"/>
        <w:rPr>
          <w:rFonts w:eastAsia="Times New Roman" w:cs="Times New Roman"/>
          <w:szCs w:val="24"/>
        </w:rPr>
      </w:pPr>
    </w:p>
    <w:p w:rsidR="00F934B2" w:rsidP="00F934B2" w:rsidRDefault="00805426" w14:paraId="332F5A56" w14:textId="2799F0A6">
      <w:pPr>
        <w:tabs>
          <w:tab w:val="left" w:pos="-720"/>
        </w:tabs>
        <w:autoSpaceDE w:val="0"/>
        <w:autoSpaceDN w:val="0"/>
        <w:adjustRightInd w:val="0"/>
        <w:ind w:firstLine="720"/>
        <w:rPr>
          <w:rFonts w:eastAsia="Times New Roman" w:cs="Times New Roman"/>
          <w:szCs w:val="24"/>
        </w:rPr>
      </w:pPr>
      <w:r>
        <w:rPr>
          <w:rFonts w:eastAsia="Times New Roman" w:cs="Times New Roman"/>
          <w:szCs w:val="24"/>
        </w:rPr>
        <w:t xml:space="preserve">In connection with </w:t>
      </w:r>
      <w:r w:rsidRPr="00F934B2" w:rsidR="00F934B2">
        <w:rPr>
          <w:rFonts w:eastAsia="Times New Roman" w:cs="Times New Roman"/>
          <w:szCs w:val="24"/>
        </w:rPr>
        <w:t xml:space="preserve">the </w:t>
      </w:r>
      <w:r>
        <w:rPr>
          <w:rFonts w:eastAsia="Times New Roman" w:cs="Times New Roman"/>
          <w:szCs w:val="24"/>
        </w:rPr>
        <w:t xml:space="preserve">Commission’s </w:t>
      </w:r>
      <w:r w:rsidRPr="00F934B2" w:rsidR="00F934B2">
        <w:rPr>
          <w:rFonts w:eastAsia="Times New Roman" w:cs="Times New Roman"/>
          <w:szCs w:val="24"/>
        </w:rPr>
        <w:t xml:space="preserve">request for comment in the </w:t>
      </w:r>
      <w:r>
        <w:rPr>
          <w:rFonts w:eastAsia="Times New Roman" w:cs="Times New Roman"/>
          <w:szCs w:val="24"/>
        </w:rPr>
        <w:t xml:space="preserve">proposal </w:t>
      </w:r>
      <w:r w:rsidRPr="00F934B2" w:rsidR="00F934B2">
        <w:rPr>
          <w:rFonts w:eastAsia="Times New Roman" w:cs="Times New Roman"/>
          <w:szCs w:val="24"/>
        </w:rPr>
        <w:t xml:space="preserve">regarding whether the proposed information collections are necessary for the proper performance of Commission functions, </w:t>
      </w:r>
      <w:r>
        <w:rPr>
          <w:rFonts w:eastAsia="Times New Roman" w:cs="Times New Roman"/>
          <w:szCs w:val="24"/>
        </w:rPr>
        <w:t xml:space="preserve">the </w:t>
      </w:r>
      <w:r w:rsidRPr="00F934B2" w:rsidR="00F934B2">
        <w:rPr>
          <w:rFonts w:eastAsia="Times New Roman" w:cs="Times New Roman"/>
          <w:szCs w:val="24"/>
        </w:rPr>
        <w:t xml:space="preserve">CME </w:t>
      </w:r>
      <w:r>
        <w:rPr>
          <w:rFonts w:eastAsia="Times New Roman" w:cs="Times New Roman"/>
          <w:szCs w:val="24"/>
        </w:rPr>
        <w:t xml:space="preserve">questioned the “practical utility” of receiving notification pursuant to Regulation 38.251(g) arguing that the </w:t>
      </w:r>
      <w:r w:rsidRPr="00F934B2" w:rsidR="00F934B2">
        <w:rPr>
          <w:rFonts w:eastAsia="Times New Roman" w:cs="Times New Roman"/>
          <w:szCs w:val="24"/>
        </w:rPr>
        <w:t>Commission already collects information on these types of events through regular engagement and review of a DCM’s compliance with core principles.”</w:t>
      </w:r>
      <w:r w:rsidRPr="00F934B2" w:rsidR="00F934B2">
        <w:rPr>
          <w:rFonts w:eastAsia="Times New Roman" w:cs="Times New Roman"/>
          <w:szCs w:val="24"/>
          <w:vertAlign w:val="superscript"/>
        </w:rPr>
        <w:footnoteReference w:id="7"/>
      </w:r>
      <w:r w:rsidRPr="00F934B2" w:rsidR="00F934B2">
        <w:rPr>
          <w:rFonts w:eastAsia="Times New Roman" w:cs="Times New Roman"/>
          <w:szCs w:val="24"/>
        </w:rPr>
        <w:t xml:space="preserve"> The Commission does not agree with the CME’s assertion that the notification may serve no practical utility based on the assumption that the Commission collects this type of information from the CME through regular engagement and review of CME’s compliance with core principles. </w:t>
      </w:r>
      <w:r>
        <w:rPr>
          <w:rFonts w:eastAsia="Times New Roman" w:cs="Times New Roman"/>
          <w:szCs w:val="24"/>
        </w:rPr>
        <w:t xml:space="preserve"> The </w:t>
      </w:r>
      <w:r w:rsidRPr="00F934B2" w:rsidR="00F934B2">
        <w:rPr>
          <w:rFonts w:eastAsia="Times New Roman" w:cs="Times New Roman"/>
          <w:szCs w:val="24"/>
        </w:rPr>
        <w:t xml:space="preserve">purpose of the notification requirement adopted in Commission regulation § 38.251(g) is for Commission staff to receive prompt notice of a market disruption impacting a DCM’s trading platform(s). This notification is intended to assist the Commission in its oversight of the derivatives markets with the ability to monitor and assess market disruptions across DCMs on a near real-time basis. CME’s argument that the current “regular” engagement and review of CME’s compliance with core principles is sufficient for this purpose is not persuasive and would not otherwise provide the Commission with sufficient capability to address and monitor significant market disruptions on a near real-time basis.   </w:t>
      </w:r>
    </w:p>
    <w:p w:rsidRPr="00F934B2" w:rsidR="00F934B2" w:rsidP="00F934B2" w:rsidRDefault="00F934B2" w14:paraId="7B701F4E" w14:textId="77777777">
      <w:pPr>
        <w:tabs>
          <w:tab w:val="left" w:pos="-720"/>
        </w:tabs>
        <w:autoSpaceDE w:val="0"/>
        <w:autoSpaceDN w:val="0"/>
        <w:adjustRightInd w:val="0"/>
        <w:ind w:firstLine="720"/>
        <w:rPr>
          <w:rFonts w:eastAsia="Times New Roman" w:cs="Times New Roman"/>
          <w:szCs w:val="24"/>
        </w:rPr>
      </w:pPr>
    </w:p>
    <w:p w:rsidR="00F934B2" w:rsidP="00F934B2" w:rsidRDefault="00805426" w14:paraId="3AA974DA" w14:textId="37C59C0C">
      <w:pPr>
        <w:tabs>
          <w:tab w:val="left" w:pos="-720"/>
        </w:tabs>
        <w:autoSpaceDE w:val="0"/>
        <w:autoSpaceDN w:val="0"/>
        <w:adjustRightInd w:val="0"/>
        <w:ind w:firstLine="720"/>
        <w:rPr>
          <w:rFonts w:eastAsia="Times New Roman" w:cs="Times New Roman"/>
          <w:szCs w:val="24"/>
        </w:rPr>
      </w:pPr>
      <w:r>
        <w:rPr>
          <w:rFonts w:eastAsia="Times New Roman" w:cs="Times New Roman"/>
          <w:szCs w:val="24"/>
        </w:rPr>
        <w:t xml:space="preserve">Lastly, </w:t>
      </w:r>
      <w:r w:rsidRPr="00F934B2" w:rsidR="00F934B2">
        <w:rPr>
          <w:rFonts w:eastAsia="Times New Roman" w:cs="Times New Roman"/>
          <w:szCs w:val="24"/>
        </w:rPr>
        <w:t xml:space="preserve">CME commented on the Commission’s request in the </w:t>
      </w:r>
      <w:r>
        <w:rPr>
          <w:rFonts w:eastAsia="Times New Roman" w:cs="Times New Roman"/>
          <w:szCs w:val="24"/>
        </w:rPr>
        <w:t>proposal</w:t>
      </w:r>
      <w:r w:rsidRPr="00F934B2" w:rsidR="00F934B2">
        <w:rPr>
          <w:rFonts w:eastAsia="Times New Roman" w:cs="Times New Roman"/>
          <w:szCs w:val="24"/>
        </w:rPr>
        <w:t xml:space="preserve"> relating to whether there are ways to minimize the burden of the proposed collections of information on DCMs, including through the use of appropriate automated, electronic, mechanical, or other technological information collection techniques. In its comment to this request, CME indicated that it “currently provides CFTC staff near real-time notifications of velocity logic events. Although the Commission believes that the daily file that CME voluntarily provides relating to velocity logic events</w:t>
      </w:r>
      <w:r w:rsidRPr="00F934B2" w:rsidR="00F934B2">
        <w:rPr>
          <w:rFonts w:eastAsia="Times New Roman" w:cs="Times New Roman"/>
          <w:szCs w:val="24"/>
          <w:vertAlign w:val="superscript"/>
        </w:rPr>
        <w:footnoteReference w:id="8"/>
      </w:r>
      <w:r w:rsidRPr="00F934B2" w:rsidR="00F934B2">
        <w:rPr>
          <w:rFonts w:eastAsia="Times New Roman" w:cs="Times New Roman"/>
          <w:szCs w:val="24"/>
        </w:rPr>
        <w:t xml:space="preserve"> to be helpful in certain circumstances, the Commission believes that a uniform standard across DCMs relating to “reportable events” for significant market disruption events is necessary for its oversight and regulatory responsibilities under the CEA. </w:t>
      </w:r>
    </w:p>
    <w:p w:rsidRPr="00F934B2" w:rsidR="00F934B2" w:rsidP="00F934B2" w:rsidRDefault="00F934B2" w14:paraId="6F41B105" w14:textId="77777777">
      <w:pPr>
        <w:tabs>
          <w:tab w:val="left" w:pos="-720"/>
        </w:tabs>
        <w:autoSpaceDE w:val="0"/>
        <w:autoSpaceDN w:val="0"/>
        <w:adjustRightInd w:val="0"/>
        <w:ind w:firstLine="720"/>
        <w:rPr>
          <w:rFonts w:eastAsia="Times New Roman" w:cs="Times New Roman"/>
          <w:szCs w:val="24"/>
        </w:rPr>
      </w:pPr>
    </w:p>
    <w:p w:rsidR="00F934B2" w:rsidP="002712C5" w:rsidRDefault="00F934B2" w14:paraId="5F115203" w14:textId="36843188">
      <w:pPr>
        <w:tabs>
          <w:tab w:val="left" w:pos="-720"/>
        </w:tabs>
        <w:autoSpaceDE w:val="0"/>
        <w:autoSpaceDN w:val="0"/>
        <w:adjustRightInd w:val="0"/>
        <w:ind w:firstLine="720"/>
        <w:rPr>
          <w:rFonts w:eastAsia="Times New Roman" w:cs="Times New Roman"/>
          <w:szCs w:val="24"/>
        </w:rPr>
      </w:pPr>
    </w:p>
    <w:p w:rsidR="00F934B2" w:rsidP="002712C5" w:rsidRDefault="00F934B2" w14:paraId="086CEC3A" w14:textId="55AF1AED">
      <w:pPr>
        <w:tabs>
          <w:tab w:val="left" w:pos="-720"/>
        </w:tabs>
        <w:autoSpaceDE w:val="0"/>
        <w:autoSpaceDN w:val="0"/>
        <w:adjustRightInd w:val="0"/>
        <w:ind w:firstLine="720"/>
        <w:rPr>
          <w:rFonts w:eastAsia="Times New Roman" w:cs="Times New Roman"/>
          <w:szCs w:val="24"/>
        </w:rPr>
      </w:pPr>
    </w:p>
    <w:p w:rsidR="00F934B2" w:rsidP="002712C5" w:rsidRDefault="00F934B2" w14:paraId="39A8D63B" w14:textId="1D2F7100">
      <w:pPr>
        <w:tabs>
          <w:tab w:val="left" w:pos="-720"/>
        </w:tabs>
        <w:autoSpaceDE w:val="0"/>
        <w:autoSpaceDN w:val="0"/>
        <w:adjustRightInd w:val="0"/>
        <w:ind w:firstLine="720"/>
        <w:rPr>
          <w:rFonts w:eastAsia="Times New Roman" w:cs="Times New Roman"/>
          <w:szCs w:val="24"/>
        </w:rPr>
      </w:pPr>
    </w:p>
    <w:p w:rsidR="00642B6A" w:rsidP="002712C5" w:rsidRDefault="00642B6A" w14:paraId="5A55EC9F" w14:textId="77777777">
      <w:pPr>
        <w:tabs>
          <w:tab w:val="left" w:pos="-720"/>
          <w:tab w:val="left" w:pos="0"/>
        </w:tabs>
        <w:spacing w:after="360"/>
        <w:ind w:left="720" w:hanging="720"/>
        <w:jc w:val="both"/>
        <w:rPr>
          <w:rFonts w:eastAsia="Times New Roman" w:cs="Times New Roman"/>
          <w:b/>
          <w:szCs w:val="24"/>
        </w:rPr>
      </w:pPr>
      <w:r w:rsidRPr="00642B6A">
        <w:rPr>
          <w:rFonts w:eastAsia="Times New Roman" w:cs="Times New Roman"/>
          <w:b/>
          <w:szCs w:val="24"/>
        </w:rPr>
        <w:lastRenderedPageBreak/>
        <w:t>9.</w:t>
      </w:r>
      <w:r w:rsidRPr="00642B6A">
        <w:rPr>
          <w:rFonts w:eastAsia="Times New Roman" w:cs="Times New Roman"/>
          <w:b/>
          <w:szCs w:val="24"/>
        </w:rPr>
        <w:tab/>
        <w:t>Explain any decision to provide any payment or gift to respondents, other than remuneration of contractors or grantees.</w:t>
      </w:r>
    </w:p>
    <w:p w:rsidR="00CB0776" w:rsidP="002712C5" w:rsidRDefault="00172E0A" w14:paraId="2D063B1C" w14:textId="1B64BD68">
      <w:pPr>
        <w:tabs>
          <w:tab w:val="left" w:pos="-720"/>
        </w:tabs>
        <w:spacing w:after="360"/>
        <w:jc w:val="both"/>
        <w:rPr>
          <w:rFonts w:eastAsia="Times New Roman" w:cs="Times New Roman"/>
          <w:szCs w:val="24"/>
        </w:rPr>
      </w:pPr>
      <w:r>
        <w:rPr>
          <w:rFonts w:cs="Times New Roman"/>
          <w:szCs w:val="24"/>
        </w:rPr>
        <w:tab/>
      </w:r>
      <w:r w:rsidR="0027708A">
        <w:rPr>
          <w:rFonts w:eastAsia="Times New Roman" w:cs="Times New Roman"/>
          <w:szCs w:val="24"/>
        </w:rPr>
        <w:t>Not applicable.</w:t>
      </w:r>
      <w:r w:rsidRPr="002C7E70" w:rsidR="002C7E70">
        <w:t xml:space="preserve"> </w:t>
      </w:r>
      <w:r w:rsidR="00F14C08">
        <w:t xml:space="preserve"> </w:t>
      </w:r>
      <w:r w:rsidRPr="002C7E70" w:rsidR="002C7E70">
        <w:rPr>
          <w:rFonts w:eastAsia="Times New Roman" w:cs="Times New Roman"/>
          <w:szCs w:val="24"/>
        </w:rPr>
        <w:t>The Commission has neither considered nor made any payment or gift to a respondent.</w:t>
      </w:r>
    </w:p>
    <w:p w:rsidR="00642B6A" w:rsidP="002712C5" w:rsidRDefault="00642B6A" w14:paraId="5A55ECA1" w14:textId="77777777">
      <w:pPr>
        <w:tabs>
          <w:tab w:val="left" w:pos="-720"/>
        </w:tabs>
        <w:spacing w:after="36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183707" w:rsidP="002712C5" w:rsidRDefault="00700A79" w14:paraId="3FAA1761" w14:textId="423BE805">
      <w:pPr>
        <w:tabs>
          <w:tab w:val="left" w:pos="-720"/>
        </w:tabs>
        <w:spacing w:after="240"/>
        <w:jc w:val="both"/>
        <w:rPr>
          <w:rFonts w:eastAsia="Times New Roman" w:cs="Times New Roman"/>
          <w:szCs w:val="24"/>
        </w:rPr>
      </w:pPr>
      <w:r>
        <w:rPr>
          <w:rFonts w:eastAsia="Times New Roman" w:cs="Times New Roman"/>
          <w:szCs w:val="24"/>
        </w:rPr>
        <w:tab/>
      </w:r>
      <w:r w:rsidRPr="00642B6A" w:rsid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Pr="00E15E4F" w:rsid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rsidR="00700A79" w:rsidP="00CB0776" w:rsidRDefault="00700A79" w14:paraId="579E44B2" w14:textId="77777777">
      <w:pPr>
        <w:ind w:firstLine="720"/>
        <w:rPr>
          <w:rFonts w:eastAsia="Times New Roman" w:cs="Times New Roman"/>
          <w:szCs w:val="24"/>
        </w:rPr>
      </w:pPr>
    </w:p>
    <w:p w:rsidR="00642B6A" w:rsidP="00FE503D" w:rsidRDefault="00642B6A" w14:paraId="5A55ECA4"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P="002712C5" w:rsidRDefault="00700A79" w14:paraId="5A55ECA5" w14:textId="0F40D79E">
      <w:pPr>
        <w:tabs>
          <w:tab w:val="left" w:pos="-720"/>
        </w:tabs>
        <w:spacing w:after="240"/>
        <w:jc w:val="both"/>
        <w:rPr>
          <w:rFonts w:eastAsia="Times New Roman" w:cs="Times New Roman"/>
          <w:szCs w:val="24"/>
        </w:rPr>
      </w:pPr>
      <w:r>
        <w:rPr>
          <w:rFonts w:eastAsia="Times New Roman" w:cs="Times New Roman"/>
          <w:szCs w:val="24"/>
        </w:rPr>
        <w:tab/>
      </w:r>
      <w:r w:rsidRPr="00642B6A" w:rsidR="00642B6A">
        <w:rPr>
          <w:rFonts w:eastAsia="Times New Roman" w:cs="Times New Roman"/>
          <w:szCs w:val="24"/>
        </w:rPr>
        <w:t>The regulations covered by this collection do not require the giving of sensitive information, as that term is used in Question 11.</w:t>
      </w:r>
    </w:p>
    <w:p w:rsidRPr="00642B6A" w:rsidR="0027708A" w:rsidP="00642B6A" w:rsidRDefault="0027708A" w14:paraId="5A55ECA6" w14:textId="77777777">
      <w:pPr>
        <w:tabs>
          <w:tab w:val="left" w:pos="-720"/>
        </w:tabs>
        <w:suppressAutoHyphens/>
        <w:ind w:firstLine="720"/>
        <w:rPr>
          <w:rFonts w:eastAsia="Times New Roman" w:cs="Times New Roman"/>
          <w:szCs w:val="24"/>
        </w:rPr>
      </w:pPr>
    </w:p>
    <w:p w:rsidRPr="00642B6A" w:rsidR="00642B6A" w:rsidP="00FE503D" w:rsidRDefault="00642B6A" w14:paraId="5A55ECA7" w14:textId="77777777">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P="00FE503D" w:rsidRDefault="00642B6A" w14:paraId="5A55ECA8"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42B6A" w:rsidR="00642B6A" w:rsidP="00FE503D" w:rsidRDefault="00642B6A" w14:paraId="5A55EC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P="00FE503D" w:rsidRDefault="00642B6A" w14:paraId="5A55ECAA"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P="002712C5" w:rsidRDefault="00F14C08" w14:paraId="5A55ECAB" w14:textId="459C8D08">
      <w:pPr>
        <w:tabs>
          <w:tab w:val="left" w:pos="-720"/>
          <w:tab w:val="left" w:pos="0"/>
          <w:tab w:val="left" w:pos="720"/>
        </w:tabs>
        <w:spacing w:after="240"/>
        <w:jc w:val="both"/>
      </w:pPr>
      <w:r>
        <w:rPr>
          <w:rFonts w:eastAsia="Times New Roman" w:cs="Times New Roman"/>
          <w:b/>
          <w:szCs w:val="24"/>
        </w:rPr>
        <w:tab/>
      </w:r>
      <w:r w:rsidRPr="00642B6A" w:rsidR="00642B6A">
        <w:rPr>
          <w:rFonts w:eastAsia="Times New Roman" w:cs="Times New Roman"/>
          <w:color w:val="000000"/>
          <w:szCs w:val="24"/>
        </w:rPr>
        <w:t>See Attachment A.</w:t>
      </w:r>
      <w:r w:rsidRPr="00B328FB" w:rsidR="00B328FB">
        <w:t xml:space="preserve"> </w:t>
      </w:r>
    </w:p>
    <w:p w:rsidRPr="00642B6A" w:rsidR="00183707" w:rsidP="00FE503D" w:rsidRDefault="00183707" w14:paraId="3CDA1B56" w14:textId="77777777">
      <w:pPr>
        <w:ind w:firstLine="720"/>
        <w:jc w:val="both"/>
        <w:rPr>
          <w:rFonts w:eastAsia="Times New Roman" w:cs="Times New Roman"/>
          <w:color w:val="000000"/>
          <w:szCs w:val="24"/>
        </w:rPr>
      </w:pPr>
    </w:p>
    <w:p w:rsidRPr="00642B6A" w:rsidR="00642B6A" w:rsidP="00FE503D" w:rsidRDefault="00642B6A" w14:paraId="5A55ECAD"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Pr="00642B6A" w:rsidR="00642B6A" w:rsidP="00FE503D" w:rsidRDefault="00642B6A" w14:paraId="5A55ECAE"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A55ECA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A55EC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77EB" w:rsidP="00AF77EB" w:rsidRDefault="00AF77EB" w14:paraId="2EA1AD36" w14:textId="7CF97F11">
      <w:pPr>
        <w:ind w:left="360" w:firstLine="720"/>
        <w:jc w:val="both"/>
      </w:pPr>
      <w:r>
        <w:t xml:space="preserve">Please see attachment A for the estimated hour burden for </w:t>
      </w:r>
      <w:proofErr w:type="gramStart"/>
      <w:r>
        <w:t xml:space="preserve">the  </w:t>
      </w:r>
      <w:r w:rsidR="006209AC">
        <w:t>amended</w:t>
      </w:r>
      <w:proofErr w:type="gramEnd"/>
      <w:r w:rsidR="006209AC">
        <w:t xml:space="preserve"> </w:t>
      </w:r>
      <w:r>
        <w:t>collection of information discussed in this supporting statement.</w:t>
      </w:r>
    </w:p>
    <w:p w:rsidR="00AF77EB" w:rsidP="00AF77EB" w:rsidRDefault="00AF77EB" w14:paraId="0B7EC8A9" w14:textId="77777777">
      <w:pPr>
        <w:ind w:left="360" w:firstLine="720"/>
        <w:jc w:val="both"/>
      </w:pPr>
    </w:p>
    <w:p w:rsidRPr="00C74CD0" w:rsidR="00997DEB" w:rsidP="00AF77EB" w:rsidRDefault="00AF77EB" w14:paraId="41ACB7A8" w14:textId="18EAF143">
      <w:pPr>
        <w:ind w:left="360" w:firstLine="720"/>
        <w:jc w:val="both"/>
      </w:pPr>
      <w:r w:rsidRPr="00C74CD0">
        <w:t>In calculating this cost estimate</w:t>
      </w:r>
      <w:r w:rsidRPr="00C74CD0" w:rsidR="00997DEB">
        <w:t xml:space="preserve"> for reporting</w:t>
      </w:r>
      <w:r w:rsidRPr="00C74CD0">
        <w:t>, the Commission estimates the appropriate wage rate based on salary information for the securities industry compiled by the Department of Labor’s Bureau of Labor Statistics (“BLS”). Commission staff arrived at an hourly rate of $</w:t>
      </w:r>
      <w:r w:rsidRPr="00C74CD0" w:rsidR="006F3373">
        <w:t>76.44</w:t>
      </w:r>
      <w:r w:rsidRPr="00C74CD0">
        <w:t xml:space="preserve"> using figures from a weighted average of salaries and bonuses across different professions contained in the most recent BLS Occupational Employment and </w:t>
      </w:r>
      <w:r w:rsidRPr="00C74CD0">
        <w:lastRenderedPageBreak/>
        <w:t>Wages Report (May 201</w:t>
      </w:r>
      <w:r w:rsidRPr="00C74CD0" w:rsidR="001505D1">
        <w:t>9</w:t>
      </w:r>
      <w:r w:rsidRPr="00C74CD0">
        <w:t>) 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w:t>
      </w:r>
      <w:r w:rsidRPr="00C74CD0" w:rsidR="006F3373">
        <w:t>25</w:t>
      </w:r>
      <w:r w:rsidRPr="00C74CD0">
        <w:t>% weight); “compliance officer – industry: securities, commodity contracts, and other financial investment and related activities” (</w:t>
      </w:r>
      <w:r w:rsidRPr="00C74CD0" w:rsidR="006F3373">
        <w:t>50</w:t>
      </w:r>
      <w:r w:rsidRPr="00C74CD0">
        <w:t>%); and “lawyer – legal services” (25%). Commission staff chose this methodology to account for the variance in skill sets that may be used to accomplish the collection of information.</w:t>
      </w:r>
    </w:p>
    <w:p w:rsidRPr="00C74CD0" w:rsidR="00997DEB" w:rsidP="00AF77EB" w:rsidRDefault="00997DEB" w14:paraId="36D8F05F" w14:textId="77777777">
      <w:pPr>
        <w:ind w:left="360" w:firstLine="720"/>
        <w:jc w:val="both"/>
      </w:pPr>
    </w:p>
    <w:p w:rsidR="00777A51" w:rsidP="00AF77EB" w:rsidRDefault="00997DEB" w14:paraId="0A4A2B47" w14:textId="08364952">
      <w:pPr>
        <w:ind w:left="360" w:firstLine="720"/>
        <w:jc w:val="both"/>
        <w:rPr>
          <w:b/>
        </w:rPr>
      </w:pPr>
      <w:r w:rsidRPr="00C74CD0">
        <w:t>In calculating this cost estimate for recordkeeping, the Commission estimates the appropriate wage rate based on salary information for the securities industry compiled by the Department of Labor’s Bureau of Labor Statistics (“BLS”). Commission staff arrived at an hourly rate of $</w:t>
      </w:r>
      <w:r w:rsidRPr="00C74CD0" w:rsidR="007503F5">
        <w:t>71.019</w:t>
      </w:r>
      <w:r w:rsidRPr="00C74CD0">
        <w:t xml:space="preserve"> using figures from the most recent BLS Occupational Employment and Wages Report (May 2019) multiplied by 1.3 to account for overhead and other benefits. The Commission estimated appropriate wage rate is </w:t>
      </w:r>
      <w:proofErr w:type="gramStart"/>
      <w:r w:rsidRPr="00C74CD0">
        <w:t xml:space="preserve">a </w:t>
      </w:r>
      <w:r w:rsidRPr="00C74CD0" w:rsidR="007503F5">
        <w:t>the</w:t>
      </w:r>
      <w:proofErr w:type="gramEnd"/>
      <w:r w:rsidRPr="00C74CD0" w:rsidR="007503F5">
        <w:t xml:space="preserve"> </w:t>
      </w:r>
      <w:r w:rsidRPr="00C74CD0">
        <w:t xml:space="preserve">mean hourly wages for </w:t>
      </w:r>
      <w:r w:rsidRPr="00C74CD0" w:rsidR="007503F5">
        <w:t>“database administrators and architects”</w:t>
      </w:r>
      <w:r w:rsidRPr="00C74CD0">
        <w:t>. Commission staff chose this methodology to account for the variance in skill sets that may be used to accomplish the collection of information.</w:t>
      </w:r>
    </w:p>
    <w:p w:rsidR="00997DEB" w:rsidP="00AF77EB" w:rsidRDefault="00997DEB" w14:paraId="7AE62E38" w14:textId="77777777">
      <w:pPr>
        <w:ind w:left="360" w:firstLine="720"/>
        <w:jc w:val="both"/>
        <w:rPr>
          <w:b/>
        </w:rPr>
      </w:pPr>
    </w:p>
    <w:p w:rsidRPr="00642B6A" w:rsidR="00637711" w:rsidP="00642B6A" w:rsidRDefault="00637711" w14:paraId="5A55ECB2" w14:textId="77777777">
      <w:pPr>
        <w:ind w:firstLine="720"/>
        <w:rPr>
          <w:rFonts w:eastAsia="Times New Roman" w:cs="Times New Roman"/>
          <w:color w:val="000000"/>
          <w:szCs w:val="24"/>
        </w:rPr>
      </w:pPr>
    </w:p>
    <w:p w:rsidRPr="00642B6A" w:rsidR="00642B6A" w:rsidP="00FE503D" w:rsidRDefault="00642B6A" w14:paraId="5A55ECB3"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183707" w:rsidP="005E0ED0" w:rsidRDefault="00700A79" w14:paraId="16577E4C" w14:textId="0FEFDCE7">
      <w:pPr>
        <w:tabs>
          <w:tab w:val="left" w:pos="-720"/>
        </w:tabs>
        <w:spacing w:after="240"/>
        <w:rPr>
          <w:rFonts w:eastAsia="Times New Roman" w:cs="Times New Roman"/>
          <w:szCs w:val="24"/>
        </w:rPr>
      </w:pPr>
      <w:r>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rsidR="00700A79" w:rsidP="00EB4636" w:rsidRDefault="00642B6A" w14:paraId="34AA3CE4" w14:textId="23D1D29B">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r w:rsidR="005E0ED0">
        <w:rPr>
          <w:rFonts w:eastAsia="Times New Roman" w:cs="Times New Roman"/>
          <w:szCs w:val="24"/>
        </w:rPr>
        <w:tab/>
      </w:r>
    </w:p>
    <w:p w:rsidR="00777A51" w:rsidP="009B3431" w:rsidRDefault="00700A79" w14:paraId="31E93069" w14:textId="4098E044">
      <w:pPr>
        <w:tabs>
          <w:tab w:val="left" w:pos="-720"/>
        </w:tabs>
        <w:spacing w:after="240"/>
        <w:jc w:val="both"/>
        <w:rPr>
          <w:rFonts w:eastAsia="PMingLiU" w:cs="Times New Roman"/>
          <w:szCs w:val="24"/>
          <w:lang w:val="en"/>
        </w:rPr>
      </w:pPr>
      <w:r>
        <w:rPr>
          <w:rFonts w:eastAsia="Times New Roman" w:cs="Times New Roman"/>
          <w:szCs w:val="24"/>
        </w:rPr>
        <w:tab/>
      </w:r>
      <w:r w:rsidR="00E86335">
        <w:rPr>
          <w:rFonts w:eastAsia="Times New Roman" w:cs="Times New Roman"/>
          <w:szCs w:val="24"/>
        </w:rPr>
        <w:t>See Response to Item 12 above.</w:t>
      </w:r>
      <w:r w:rsidRPr="00A9694D" w:rsidR="00777A51">
        <w:rPr>
          <w:lang w:eastAsia="zh-TW"/>
        </w:rPr>
        <w:t xml:space="preserve"> </w:t>
      </w:r>
    </w:p>
    <w:p w:rsidRPr="00CB0776" w:rsidR="00777A51" w:rsidP="00FE503D" w:rsidRDefault="00777A51" w14:paraId="0ED5E867" w14:textId="77777777">
      <w:pPr>
        <w:tabs>
          <w:tab w:val="left" w:pos="-720"/>
        </w:tabs>
        <w:spacing w:after="240"/>
        <w:jc w:val="both"/>
        <w:rPr>
          <w:rFonts w:eastAsia="PMingLiU" w:cs="Times New Roman"/>
          <w:szCs w:val="24"/>
          <w:lang w:val="en"/>
        </w:rPr>
      </w:pPr>
    </w:p>
    <w:p w:rsidR="00642B6A" w:rsidP="00FE503D" w:rsidRDefault="00642B6A" w14:paraId="5A55ECB7"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F14C08" w:rsidR="00700A79" w:rsidP="002712C5" w:rsidRDefault="00700A79" w14:paraId="55B33377" w14:textId="76210191">
      <w:pPr>
        <w:tabs>
          <w:tab w:val="left" w:pos="-720"/>
          <w:tab w:val="left" w:pos="0"/>
        </w:tabs>
        <w:spacing w:after="360"/>
        <w:ind w:left="720" w:hanging="720"/>
        <w:jc w:val="both"/>
        <w:rPr>
          <w:rFonts w:eastAsia="Times New Roman" w:cs="Times New Roman"/>
          <w:b/>
          <w:szCs w:val="24"/>
        </w:rPr>
      </w:pPr>
      <w:r>
        <w:rPr>
          <w:rFonts w:eastAsia="Times New Roman" w:cs="Times New Roman"/>
          <w:szCs w:val="24"/>
        </w:rPr>
        <w:tab/>
      </w:r>
      <w:r w:rsidR="00E86335">
        <w:rPr>
          <w:rFonts w:eastAsia="Times New Roman" w:cs="Times New Roman"/>
          <w:szCs w:val="24"/>
        </w:rPr>
        <w:t>Not applicable.</w:t>
      </w:r>
    </w:p>
    <w:p w:rsidR="00642B6A" w:rsidP="002712C5" w:rsidRDefault="00642B6A" w14:paraId="5A55ECB9" w14:textId="6317C511">
      <w:pPr>
        <w:tabs>
          <w:tab w:val="left" w:pos="-720"/>
        </w:tabs>
        <w:spacing w:after="360"/>
        <w:ind w:left="720" w:hanging="72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183707" w:rsidP="00642B6A" w:rsidRDefault="008F6A96" w14:paraId="3DC8BAB4" w14:textId="1E3066D0">
      <w:pPr>
        <w:tabs>
          <w:tab w:val="left" w:pos="-720"/>
        </w:tabs>
        <w:spacing w:after="240"/>
        <w:rPr>
          <w:rFonts w:eastAsia="Times New Roman" w:cs="Times New Roman"/>
          <w:szCs w:val="24"/>
        </w:rPr>
      </w:pPr>
      <w:r>
        <w:rPr>
          <w:rFonts w:eastAsia="Times New Roman" w:cs="Times New Roman"/>
          <w:szCs w:val="24"/>
        </w:rPr>
        <w:lastRenderedPageBreak/>
        <w:tab/>
      </w:r>
      <w:r w:rsidR="00E86335">
        <w:rPr>
          <w:rFonts w:eastAsia="Times New Roman" w:cs="Times New Roman"/>
          <w:szCs w:val="24"/>
        </w:rPr>
        <w:t>Not applicable</w:t>
      </w:r>
      <w:r w:rsidRPr="00642B6A" w:rsidR="00642B6A">
        <w:rPr>
          <w:rFonts w:eastAsia="Times New Roman" w:cs="Times New Roman"/>
          <w:szCs w:val="24"/>
        </w:rPr>
        <w:t>.</w:t>
      </w:r>
    </w:p>
    <w:p w:rsidR="00642B6A" w:rsidP="00FE503D" w:rsidRDefault="00642B6A" w14:paraId="5A55ECBB"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585718" w:rsidP="002712C5" w:rsidRDefault="008F6A96" w14:paraId="5A55ED68" w14:textId="6DD3BDB0">
      <w:pPr>
        <w:tabs>
          <w:tab w:val="left" w:pos="-720"/>
        </w:tabs>
        <w:spacing w:after="240"/>
        <w:jc w:val="both"/>
        <w:rPr>
          <w:rFonts w:eastAsia="Times New Roman" w:cs="Times New Roman"/>
          <w:szCs w:val="24"/>
        </w:rPr>
      </w:pPr>
      <w:r>
        <w:rPr>
          <w:rFonts w:eastAsia="Times New Roman" w:cs="Times New Roman"/>
          <w:szCs w:val="24"/>
        </w:rPr>
        <w:tab/>
      </w:r>
      <w:r w:rsidR="00E86335">
        <w:rPr>
          <w:rFonts w:eastAsia="Times New Roman" w:cs="Times New Roman"/>
          <w:szCs w:val="24"/>
        </w:rPr>
        <w:t>Not applicable.</w:t>
      </w:r>
    </w:p>
    <w:p w:rsidR="00700A79" w:rsidP="00CB0776" w:rsidRDefault="00700A79" w14:paraId="74A40864" w14:textId="77777777">
      <w:pPr>
        <w:tabs>
          <w:tab w:val="left" w:pos="-720"/>
        </w:tabs>
        <w:spacing w:after="240"/>
        <w:rPr>
          <w:rFonts w:eastAsia="Times New Roman" w:cs="Times New Roman"/>
          <w:szCs w:val="24"/>
        </w:rPr>
      </w:pPr>
    </w:p>
    <w:p w:rsidR="00DB2D73" w:rsidP="00CB0776" w:rsidRDefault="00DB2D73" w14:paraId="556B60CB" w14:textId="21BE47CB">
      <w:pPr>
        <w:tabs>
          <w:tab w:val="left" w:pos="-720"/>
        </w:tabs>
        <w:spacing w:after="240"/>
        <w:rPr>
          <w:rFonts w:eastAsia="Times New Roman" w:cs="Times New Roman"/>
          <w:szCs w:val="24"/>
        </w:rPr>
      </w:pPr>
    </w:p>
    <w:p w:rsidR="00DB2D73" w:rsidRDefault="00DB2D73" w14:paraId="765EF612" w14:textId="77777777">
      <w:pPr>
        <w:spacing w:after="200" w:line="276" w:lineRule="auto"/>
        <w:rPr>
          <w:rFonts w:eastAsia="Times New Roman" w:cs="Times New Roman"/>
          <w:szCs w:val="24"/>
        </w:rPr>
      </w:pPr>
      <w:r>
        <w:rPr>
          <w:rFonts w:eastAsia="Times New Roman" w:cs="Times New Roman"/>
          <w:szCs w:val="24"/>
        </w:rPr>
        <w:br w:type="page"/>
      </w:r>
    </w:p>
    <w:p w:rsidR="00DB2D73" w:rsidP="00DB2D73" w:rsidRDefault="00DB2D73" w14:paraId="3580DB14" w14:textId="77777777">
      <w:pPr>
        <w:tabs>
          <w:tab w:val="left" w:pos="-720"/>
        </w:tabs>
        <w:spacing w:after="240"/>
        <w:jc w:val="center"/>
        <w:rPr>
          <w:rFonts w:eastAsia="Times New Roman" w:cs="Times New Roman"/>
          <w:b/>
          <w:szCs w:val="24"/>
        </w:rPr>
      </w:pPr>
      <w:r>
        <w:rPr>
          <w:rFonts w:eastAsia="Times New Roman" w:cs="Times New Roman"/>
          <w:b/>
          <w:szCs w:val="24"/>
        </w:rPr>
        <w:lastRenderedPageBreak/>
        <w:t>Attachment A</w:t>
      </w:r>
    </w:p>
    <w:p w:rsidR="00DB2D73" w:rsidP="00DB2D73" w:rsidRDefault="00DB2D73" w14:paraId="2B615A9E" w14:textId="77777777">
      <w:pPr>
        <w:jc w:val="center"/>
        <w:rPr>
          <w:rFonts w:eastAsia="Times New Roman" w:cs="Times New Roman"/>
          <w:b/>
          <w:szCs w:val="24"/>
        </w:rPr>
      </w:pPr>
    </w:p>
    <w:p w:rsidR="002D4B3B" w:rsidP="002D4B3B" w:rsidRDefault="00DB2D73" w14:paraId="285608D5" w14:textId="77777777">
      <w:pPr>
        <w:jc w:val="center"/>
        <w:rPr>
          <w:rFonts w:eastAsia="Times New Roman" w:cs="Times New Roman"/>
          <w:b/>
          <w:szCs w:val="24"/>
        </w:rPr>
      </w:pPr>
      <w:r>
        <w:rPr>
          <w:rFonts w:eastAsia="Times New Roman" w:cs="Times New Roman"/>
          <w:b/>
          <w:szCs w:val="24"/>
        </w:rPr>
        <w:t>OMB Control Number 3038</w:t>
      </w:r>
      <w:r w:rsidR="002D4B3B">
        <w:rPr>
          <w:rFonts w:eastAsia="Times New Roman" w:cs="Times New Roman"/>
          <w:b/>
          <w:szCs w:val="24"/>
        </w:rPr>
        <w:t xml:space="preserve">-0052 </w:t>
      </w:r>
    </w:p>
    <w:p w:rsidR="002D4B3B" w:rsidP="002D4B3B" w:rsidRDefault="002D4B3B" w14:paraId="4698892D" w14:textId="4689B4D6">
      <w:pPr>
        <w:jc w:val="center"/>
        <w:rPr>
          <w:rFonts w:eastAsia="Times New Roman" w:cs="Times New Roman"/>
          <w:b/>
          <w:szCs w:val="24"/>
        </w:rPr>
      </w:pPr>
      <w:r>
        <w:rPr>
          <w:rFonts w:eastAsia="Times New Roman" w:cs="Times New Roman"/>
          <w:b/>
          <w:szCs w:val="24"/>
        </w:rPr>
        <w:t>Core Principles and Other Requirements for DCMs</w:t>
      </w:r>
    </w:p>
    <w:p w:rsidR="002D4B3B" w:rsidP="00DB2D73" w:rsidRDefault="002D4B3B" w14:paraId="6BA226ED" w14:textId="77777777">
      <w:pPr>
        <w:jc w:val="center"/>
        <w:rPr>
          <w:rFonts w:eastAsia="Times New Roman" w:cs="Times New Roman"/>
          <w:b/>
          <w:szCs w:val="24"/>
        </w:rPr>
      </w:pPr>
    </w:p>
    <w:p w:rsidR="00DB2D73" w:rsidP="00DB2D73" w:rsidRDefault="00DB2D73" w14:paraId="78CDC4C0" w14:textId="77777777">
      <w:pPr>
        <w:jc w:val="center"/>
        <w:rPr>
          <w:rFonts w:eastAsia="Times New Roman" w:cs="Times New Roman"/>
          <w:b/>
          <w:szCs w:val="24"/>
        </w:rPr>
      </w:pPr>
    </w:p>
    <w:p w:rsidR="00DB2D73" w:rsidP="00DB2D73" w:rsidRDefault="00DB2D73" w14:paraId="0901F7A2" w14:textId="77777777">
      <w:pPr>
        <w:jc w:val="center"/>
        <w:rPr>
          <w:rFonts w:eastAsia="Times New Roman" w:cs="Times New Roman"/>
          <w:szCs w:val="24"/>
        </w:rPr>
      </w:pPr>
      <w:r>
        <w:rPr>
          <w:rFonts w:eastAsia="Times New Roman" w:cs="Times New Roman"/>
          <w:szCs w:val="24"/>
        </w:rPr>
        <w:t xml:space="preserve">Reporting Burden </w:t>
      </w:r>
    </w:p>
    <w:p w:rsidR="00DB2D73" w:rsidP="00DB2D73" w:rsidRDefault="00DB2D73" w14:paraId="2B85BB53" w14:textId="77777777">
      <w:pPr>
        <w:jc w:val="center"/>
        <w:rPr>
          <w:rFonts w:eastAsia="Times New Roman" w:cs="Times New Roman"/>
          <w:szCs w:val="24"/>
        </w:rPr>
      </w:pPr>
    </w:p>
    <w:tbl>
      <w:tblPr>
        <w:tblW w:w="5900"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13"/>
        <w:gridCol w:w="1302"/>
        <w:gridCol w:w="1168"/>
        <w:gridCol w:w="990"/>
        <w:gridCol w:w="1168"/>
        <w:gridCol w:w="988"/>
        <w:gridCol w:w="1257"/>
        <w:gridCol w:w="1071"/>
        <w:gridCol w:w="884"/>
        <w:gridCol w:w="1159"/>
      </w:tblGrid>
      <w:tr w:rsidR="00E86335" w:rsidTr="00E86335" w14:paraId="7B8766D3" w14:textId="77777777">
        <w:trPr>
          <w:trHeight w:val="1427"/>
        </w:trPr>
        <w:tc>
          <w:tcPr>
            <w:tcW w:w="581" w:type="pct"/>
            <w:tcBorders>
              <w:top w:val="single" w:color="000000" w:sz="4" w:space="0"/>
              <w:left w:val="single" w:color="000000" w:sz="4" w:space="0"/>
              <w:bottom w:val="single" w:color="000000" w:sz="4" w:space="0"/>
              <w:right w:val="single" w:color="000000" w:sz="4" w:space="0"/>
            </w:tcBorders>
            <w:hideMark/>
          </w:tcPr>
          <w:p w:rsidR="00DB2D73" w:rsidRDefault="00DB2D73" w14:paraId="44701ED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w:t>
            </w:r>
          </w:p>
          <w:p w:rsidR="00DB2D73" w:rsidRDefault="00DB2D73" w14:paraId="1C5C071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Regulation(s)</w:t>
            </w:r>
          </w:p>
        </w:tc>
        <w:tc>
          <w:tcPr>
            <w:tcW w:w="576" w:type="pct"/>
            <w:tcBorders>
              <w:top w:val="single" w:color="000000" w:sz="4" w:space="0"/>
              <w:left w:val="single" w:color="000000" w:sz="4" w:space="0"/>
              <w:bottom w:val="single" w:color="000000" w:sz="4" w:space="0"/>
              <w:right w:val="single" w:color="000000" w:sz="4" w:space="0"/>
            </w:tcBorders>
          </w:tcPr>
          <w:p w:rsidR="00DB2D73" w:rsidRDefault="00DB2D73" w14:paraId="1188767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w:t>
            </w:r>
          </w:p>
          <w:p w:rsidR="00DB2D73" w:rsidRDefault="00DB2D73" w14:paraId="3B3571CC"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Estimated Number of Respondents </w:t>
            </w:r>
          </w:p>
          <w:p w:rsidR="00DB2D73" w:rsidRDefault="00DB2D73" w14:paraId="0C5B6C4A"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17" w:type="pct"/>
            <w:tcBorders>
              <w:top w:val="single" w:color="000000" w:sz="4" w:space="0"/>
              <w:left w:val="single" w:color="000000" w:sz="4" w:space="0"/>
              <w:bottom w:val="single" w:color="000000" w:sz="4" w:space="0"/>
              <w:right w:val="single" w:color="000000" w:sz="4" w:space="0"/>
            </w:tcBorders>
            <w:hideMark/>
          </w:tcPr>
          <w:p w:rsidR="00DB2D73" w:rsidRDefault="00DB2D73" w14:paraId="2A5609C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w:t>
            </w:r>
          </w:p>
          <w:p w:rsidR="00DB2D73" w:rsidRDefault="00DB2D73" w14:paraId="41C3032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Number of Reports</w:t>
            </w:r>
          </w:p>
          <w:p w:rsidR="00DB2D73" w:rsidRDefault="00DB2D73" w14:paraId="715C7E1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by Each Respondent</w:t>
            </w:r>
          </w:p>
        </w:tc>
        <w:tc>
          <w:tcPr>
            <w:tcW w:w="438" w:type="pct"/>
            <w:tcBorders>
              <w:top w:val="single" w:color="000000" w:sz="4" w:space="0"/>
              <w:left w:val="single" w:color="000000" w:sz="4" w:space="0"/>
              <w:bottom w:val="single" w:color="000000" w:sz="4" w:space="0"/>
              <w:right w:val="single" w:color="000000" w:sz="4" w:space="0"/>
            </w:tcBorders>
            <w:hideMark/>
          </w:tcPr>
          <w:p w:rsidR="00DB2D73" w:rsidRDefault="00DB2D73" w14:paraId="045DA4B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4.</w:t>
            </w:r>
          </w:p>
          <w:p w:rsidR="00DB2D73" w:rsidRDefault="00DB2D73" w14:paraId="178536E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Number of Burden Hours per Response</w:t>
            </w:r>
          </w:p>
        </w:tc>
        <w:tc>
          <w:tcPr>
            <w:tcW w:w="517" w:type="pct"/>
            <w:tcBorders>
              <w:top w:val="single" w:color="000000" w:sz="4" w:space="0"/>
              <w:left w:val="single" w:color="000000" w:sz="4" w:space="0"/>
              <w:bottom w:val="single" w:color="000000" w:sz="4" w:space="0"/>
              <w:right w:val="single" w:color="000000" w:sz="4" w:space="0"/>
            </w:tcBorders>
            <w:hideMark/>
          </w:tcPr>
          <w:p w:rsidR="00DB2D73" w:rsidRDefault="00DB2D73" w14:paraId="6C992D9D"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5.</w:t>
            </w:r>
          </w:p>
          <w:p w:rsidR="00DB2D73" w:rsidRDefault="00DB2D73" w14:paraId="4B77C21E"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Annual  Number of Burden Hours per Respondent</w:t>
            </w:r>
          </w:p>
          <w:p w:rsidR="00DB2D73" w:rsidRDefault="00DB2D73" w14:paraId="4C5EC9E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Borders>
              <w:top w:val="single" w:color="000000" w:sz="4" w:space="0"/>
              <w:left w:val="single" w:color="000000" w:sz="4" w:space="0"/>
              <w:bottom w:val="single" w:color="000000" w:sz="4" w:space="0"/>
              <w:right w:val="single" w:color="000000" w:sz="4" w:space="0"/>
            </w:tcBorders>
          </w:tcPr>
          <w:p w:rsidR="00DB2D73" w:rsidRDefault="00DB2D73" w14:paraId="6B743D9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6. </w:t>
            </w:r>
          </w:p>
          <w:p w:rsidR="00DB2D73" w:rsidRDefault="00DB2D73" w14:paraId="656BBD2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Burden Hour Cost</w:t>
            </w:r>
          </w:p>
          <w:p w:rsidR="00DB2D73" w:rsidRDefault="00DB2D73" w14:paraId="71450970"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56" w:type="pct"/>
            <w:tcBorders>
              <w:top w:val="single" w:color="000000" w:sz="4" w:space="0"/>
              <w:left w:val="single" w:color="000000" w:sz="4" w:space="0"/>
              <w:bottom w:val="single" w:color="000000" w:sz="4" w:space="0"/>
              <w:right w:val="single" w:color="000000" w:sz="4" w:space="0"/>
            </w:tcBorders>
            <w:hideMark/>
          </w:tcPr>
          <w:p w:rsidR="00DB2D73" w:rsidRDefault="00DB2D73" w14:paraId="00880055" w14:textId="77777777">
            <w:pPr>
              <w:spacing w:line="276" w:lineRule="auto"/>
              <w:jc w:val="center"/>
              <w:rPr>
                <w:rFonts w:ascii="Arial" w:hAnsi="Arial" w:cs="Arial"/>
                <w:b/>
                <w:sz w:val="16"/>
                <w:szCs w:val="16"/>
              </w:rPr>
            </w:pPr>
            <w:r>
              <w:rPr>
                <w:rFonts w:ascii="Arial" w:hAnsi="Arial" w:cs="Arial"/>
                <w:b/>
                <w:sz w:val="16"/>
                <w:szCs w:val="16"/>
              </w:rPr>
              <w:t>7.</w:t>
            </w:r>
          </w:p>
          <w:p w:rsidR="00DB2D73" w:rsidRDefault="00DB2D73" w14:paraId="7C816D0E" w14:textId="77777777">
            <w:pPr>
              <w:spacing w:line="276" w:lineRule="auto"/>
              <w:jc w:val="center"/>
              <w:rPr>
                <w:rFonts w:ascii="Arial" w:hAnsi="Arial" w:cs="Arial"/>
                <w:b/>
                <w:sz w:val="16"/>
                <w:szCs w:val="16"/>
              </w:rPr>
            </w:pPr>
            <w:r>
              <w:rPr>
                <w:rFonts w:ascii="Arial" w:hAnsi="Arial" w:cs="Arial"/>
                <w:b/>
                <w:sz w:val="16"/>
                <w:szCs w:val="16"/>
              </w:rPr>
              <w:t>Total Average Hour Burden Cost Per Respondent</w:t>
            </w:r>
          </w:p>
          <w:p w:rsidR="00DB2D73" w:rsidRDefault="00DB2D73" w14:paraId="0C41AA6D" w14:textId="77777777">
            <w:pPr>
              <w:spacing w:line="276" w:lineRule="auto"/>
              <w:jc w:val="center"/>
              <w:rPr>
                <w:rFonts w:ascii="Arial" w:hAnsi="Arial" w:cs="Arial"/>
                <w:b/>
                <w:sz w:val="16"/>
                <w:szCs w:val="16"/>
              </w:rPr>
            </w:pPr>
            <w:r>
              <w:rPr>
                <w:rFonts w:ascii="Arial" w:hAnsi="Arial" w:cs="Arial"/>
                <w:b/>
                <w:sz w:val="16"/>
                <w:szCs w:val="16"/>
              </w:rPr>
              <w:t>(5 x 6)</w:t>
            </w:r>
          </w:p>
        </w:tc>
        <w:tc>
          <w:tcPr>
            <w:tcW w:w="474" w:type="pct"/>
            <w:tcBorders>
              <w:top w:val="single" w:color="000000" w:sz="4" w:space="0"/>
              <w:left w:val="single" w:color="000000" w:sz="4" w:space="0"/>
              <w:bottom w:val="single" w:color="000000" w:sz="4" w:space="0"/>
              <w:right w:val="single" w:color="000000" w:sz="4" w:space="0"/>
            </w:tcBorders>
            <w:hideMark/>
          </w:tcPr>
          <w:p w:rsidR="00DB2D73" w:rsidRDefault="00DB2D73" w14:paraId="4E33CBAC"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8.</w:t>
            </w:r>
          </w:p>
          <w:p w:rsidR="00DB2D73" w:rsidRDefault="00DB2D73" w14:paraId="3419688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w:t>
            </w:r>
          </w:p>
          <w:p w:rsidR="00DB2D73" w:rsidRDefault="00DB2D73" w14:paraId="4DCC54E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Responses</w:t>
            </w:r>
          </w:p>
          <w:p w:rsidR="00DB2D73" w:rsidRDefault="00DB2D73" w14:paraId="32E28C98"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3)</w:t>
            </w:r>
          </w:p>
        </w:tc>
        <w:tc>
          <w:tcPr>
            <w:tcW w:w="391" w:type="pct"/>
            <w:tcBorders>
              <w:top w:val="single" w:color="000000" w:sz="4" w:space="0"/>
              <w:left w:val="single" w:color="000000" w:sz="4" w:space="0"/>
              <w:bottom w:val="single" w:color="000000" w:sz="4" w:space="0"/>
              <w:right w:val="single" w:color="000000" w:sz="4" w:space="0"/>
            </w:tcBorders>
            <w:hideMark/>
          </w:tcPr>
          <w:p w:rsidR="00DB2D73" w:rsidRDefault="00DB2D73" w14:paraId="3838792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9.</w:t>
            </w:r>
          </w:p>
          <w:p w:rsidR="00DB2D73" w:rsidRDefault="00DB2D73" w14:paraId="698D00D8"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Number of Burden Hours</w:t>
            </w:r>
          </w:p>
          <w:p w:rsidR="00DB2D73" w:rsidRDefault="00DB2D73" w14:paraId="61664E56"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3" w:type="pct"/>
            <w:tcBorders>
              <w:top w:val="single" w:color="000000" w:sz="4" w:space="0"/>
              <w:left w:val="single" w:color="000000" w:sz="4" w:space="0"/>
              <w:bottom w:val="single" w:color="000000" w:sz="4" w:space="0"/>
              <w:right w:val="single" w:color="000000" w:sz="4" w:space="0"/>
            </w:tcBorders>
            <w:hideMark/>
          </w:tcPr>
          <w:p w:rsidR="00DB2D73" w:rsidRDefault="00DB2D73" w14:paraId="2CD81A5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10.</w:t>
            </w:r>
          </w:p>
          <w:p w:rsidR="00DB2D73" w:rsidRDefault="00DB2D73" w14:paraId="7977B1C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Burden Hour Cost of All Responses</w:t>
            </w:r>
          </w:p>
          <w:p w:rsidR="00DB2D73" w:rsidRDefault="00DB2D73" w14:paraId="7FEB28C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00E86335" w:rsidTr="00E86335" w14:paraId="1CA365CD" w14:textId="77777777">
        <w:trPr>
          <w:trHeight w:val="1222"/>
        </w:trPr>
        <w:tc>
          <w:tcPr>
            <w:tcW w:w="581"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5961FE" w14:paraId="1480B074" w14:textId="27205229">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38.251(</w:t>
            </w:r>
            <w:r w:rsidRPr="00C74CD0" w:rsidR="00C74CD0">
              <w:rPr>
                <w:rFonts w:ascii="Arial" w:hAnsi="Arial" w:eastAsia="Times New Roman" w:cs="Times New Roman"/>
                <w:sz w:val="16"/>
                <w:szCs w:val="16"/>
              </w:rPr>
              <w:t>g</w:t>
            </w:r>
            <w:r w:rsidRPr="00C74CD0">
              <w:rPr>
                <w:rFonts w:ascii="Arial" w:hAnsi="Arial" w:eastAsia="Times New Roman" w:cs="Times New Roman"/>
                <w:sz w:val="16"/>
                <w:szCs w:val="16"/>
              </w:rPr>
              <w:t>)</w:t>
            </w:r>
          </w:p>
        </w:tc>
        <w:tc>
          <w:tcPr>
            <w:tcW w:w="576" w:type="pct"/>
            <w:tcBorders>
              <w:top w:val="single" w:color="000000" w:sz="4" w:space="0"/>
              <w:left w:val="single" w:color="000000" w:sz="4" w:space="0"/>
              <w:bottom w:val="single" w:color="000000" w:sz="4" w:space="0"/>
              <w:right w:val="single" w:color="000000" w:sz="4" w:space="0"/>
            </w:tcBorders>
            <w:hideMark/>
          </w:tcPr>
          <w:p w:rsidRPr="00C74CD0" w:rsidR="00DB2D73" w:rsidRDefault="00DB2D73" w14:paraId="27FE1919" w14:textId="0A8CB9DF">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1</w:t>
            </w:r>
            <w:r w:rsidR="00D865BD">
              <w:rPr>
                <w:rFonts w:ascii="Arial" w:hAnsi="Arial" w:eastAsia="Times New Roman" w:cs="Times New Roman"/>
                <w:sz w:val="16"/>
                <w:szCs w:val="16"/>
              </w:rPr>
              <w:t>7</w:t>
            </w:r>
          </w:p>
        </w:tc>
        <w:tc>
          <w:tcPr>
            <w:tcW w:w="517"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2456A" w14:paraId="5A15AE72" w14:textId="53C35BE1">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00BC2456">
              <w:rPr>
                <w:rFonts w:ascii="Arial" w:hAnsi="Arial" w:eastAsia="Times New Roman" w:cs="Times New Roman"/>
                <w:sz w:val="16"/>
                <w:szCs w:val="16"/>
              </w:rPr>
              <w:t>0</w:t>
            </w:r>
            <w:r>
              <w:rPr>
                <w:rFonts w:ascii="Arial" w:hAnsi="Arial" w:eastAsia="Times New Roman" w:cs="Times New Roman"/>
                <w:sz w:val="16"/>
                <w:szCs w:val="16"/>
              </w:rPr>
              <w:t>-25]</w:t>
            </w:r>
          </w:p>
        </w:tc>
        <w:tc>
          <w:tcPr>
            <w:tcW w:w="438"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0CD22781" w14:textId="55562E97">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 xml:space="preserve"> </w:t>
            </w:r>
            <w:r w:rsidRPr="00C74CD0" w:rsidR="00413D9C">
              <w:rPr>
                <w:rFonts w:ascii="Arial" w:hAnsi="Arial" w:eastAsia="Times New Roman" w:cs="Times New Roman"/>
                <w:sz w:val="16"/>
                <w:szCs w:val="16"/>
              </w:rPr>
              <w:t>5</w:t>
            </w:r>
          </w:p>
        </w:tc>
        <w:tc>
          <w:tcPr>
            <w:tcW w:w="517"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75423C67" w14:textId="08A8A59A">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 xml:space="preserve"> </w:t>
            </w:r>
            <w:r w:rsidR="0082456A">
              <w:rPr>
                <w:rFonts w:ascii="Arial" w:hAnsi="Arial" w:eastAsia="Times New Roman" w:cs="Times New Roman"/>
                <w:sz w:val="16"/>
                <w:szCs w:val="16"/>
              </w:rPr>
              <w:t>[</w:t>
            </w:r>
            <w:r w:rsidR="00BC2456">
              <w:rPr>
                <w:rFonts w:ascii="Arial" w:hAnsi="Arial" w:eastAsia="Times New Roman" w:cs="Times New Roman"/>
                <w:sz w:val="16"/>
                <w:szCs w:val="16"/>
              </w:rPr>
              <w:t>0</w:t>
            </w:r>
            <w:r w:rsidR="0082456A">
              <w:rPr>
                <w:rFonts w:ascii="Arial" w:hAnsi="Arial" w:eastAsia="Times New Roman" w:cs="Times New Roman"/>
                <w:sz w:val="16"/>
                <w:szCs w:val="16"/>
              </w:rPr>
              <w:t>-125]</w:t>
            </w:r>
          </w:p>
        </w:tc>
        <w:tc>
          <w:tcPr>
            <w:tcW w:w="437"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091432A2" w14:textId="4EF5613D">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w:t>
            </w:r>
            <w:r w:rsidRPr="00C74CD0" w:rsidR="00413D9C">
              <w:rPr>
                <w:rFonts w:ascii="Arial" w:hAnsi="Arial" w:eastAsia="Times New Roman" w:cs="Times New Roman"/>
                <w:sz w:val="16"/>
                <w:szCs w:val="16"/>
              </w:rPr>
              <w:t>76.44</w:t>
            </w:r>
            <w:r w:rsidRPr="00C74CD0" w:rsidR="00925300">
              <w:rPr>
                <w:rStyle w:val="FootnoteReference"/>
                <w:rFonts w:ascii="Arial" w:hAnsi="Arial" w:eastAsia="Times New Roman" w:cs="Times New Roman"/>
                <w:sz w:val="16"/>
                <w:szCs w:val="16"/>
              </w:rPr>
              <w:footnoteReference w:id="9"/>
            </w:r>
          </w:p>
        </w:tc>
        <w:tc>
          <w:tcPr>
            <w:tcW w:w="556"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2456A" w14:paraId="66E72407" w14:textId="48E5B6C6">
            <w:pPr>
              <w:spacing w:line="276" w:lineRule="auto"/>
              <w:jc w:val="center"/>
              <w:rPr>
                <w:rFonts w:ascii="Arial" w:hAnsi="Arial" w:cs="Arial"/>
                <w:sz w:val="16"/>
                <w:szCs w:val="16"/>
              </w:rPr>
            </w:pPr>
            <w:r>
              <w:rPr>
                <w:rFonts w:ascii="Arial" w:hAnsi="Arial" w:cs="Arial"/>
                <w:sz w:val="16"/>
                <w:szCs w:val="16"/>
              </w:rPr>
              <w:t>[</w:t>
            </w:r>
            <w:r w:rsidRPr="00C74CD0" w:rsidR="008A16F8">
              <w:rPr>
                <w:rFonts w:ascii="Arial" w:hAnsi="Arial" w:cs="Arial"/>
                <w:sz w:val="16"/>
                <w:szCs w:val="16"/>
              </w:rPr>
              <w:t>$</w:t>
            </w:r>
            <w:r w:rsidR="00BC2456">
              <w:rPr>
                <w:rFonts w:ascii="Arial" w:hAnsi="Arial" w:cs="Arial"/>
                <w:sz w:val="16"/>
                <w:szCs w:val="16"/>
              </w:rPr>
              <w:t>0-</w:t>
            </w:r>
            <w:r>
              <w:rPr>
                <w:rFonts w:ascii="Arial" w:hAnsi="Arial" w:cs="Arial"/>
                <w:sz w:val="16"/>
                <w:szCs w:val="16"/>
              </w:rPr>
              <w:t>9,555]</w:t>
            </w:r>
          </w:p>
        </w:tc>
        <w:tc>
          <w:tcPr>
            <w:tcW w:w="474"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2456A" w14:paraId="4C5DFCB4" w14:textId="2FA19BC1">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00BC2456">
              <w:rPr>
                <w:rFonts w:ascii="Arial" w:hAnsi="Arial" w:eastAsia="Times New Roman" w:cs="Times New Roman"/>
                <w:sz w:val="16"/>
                <w:szCs w:val="16"/>
              </w:rPr>
              <w:t>0-</w:t>
            </w:r>
            <w:r w:rsidR="00650EBD">
              <w:rPr>
                <w:rFonts w:ascii="Arial" w:hAnsi="Arial" w:eastAsia="Times New Roman" w:cs="Times New Roman"/>
                <w:sz w:val="16"/>
                <w:szCs w:val="16"/>
              </w:rPr>
              <w:t>4</w:t>
            </w:r>
            <w:r w:rsidR="00D865BD">
              <w:rPr>
                <w:rFonts w:ascii="Arial" w:hAnsi="Arial" w:eastAsia="Times New Roman" w:cs="Times New Roman"/>
                <w:sz w:val="16"/>
                <w:szCs w:val="16"/>
              </w:rPr>
              <w:t>25</w:t>
            </w:r>
            <w:r>
              <w:rPr>
                <w:rFonts w:ascii="Arial" w:hAnsi="Arial" w:eastAsia="Times New Roman" w:cs="Times New Roman"/>
                <w:sz w:val="16"/>
                <w:szCs w:val="16"/>
              </w:rPr>
              <w:t>]</w:t>
            </w:r>
            <w:r w:rsidR="000A5358">
              <w:rPr>
                <w:rStyle w:val="FootnoteReference"/>
                <w:rFonts w:ascii="Arial" w:hAnsi="Arial" w:eastAsia="Times New Roman" w:cs="Times New Roman"/>
                <w:sz w:val="16"/>
                <w:szCs w:val="16"/>
              </w:rPr>
              <w:footnoteReference w:id="10"/>
            </w:r>
          </w:p>
        </w:tc>
        <w:tc>
          <w:tcPr>
            <w:tcW w:w="391"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2456A" w14:paraId="4CB46F44" w14:textId="03335141">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00BC2456">
              <w:rPr>
                <w:rFonts w:ascii="Arial" w:hAnsi="Arial" w:eastAsia="Times New Roman" w:cs="Times New Roman"/>
                <w:sz w:val="16"/>
                <w:szCs w:val="16"/>
              </w:rPr>
              <w:t>0</w:t>
            </w:r>
            <w:r>
              <w:rPr>
                <w:rFonts w:ascii="Arial" w:hAnsi="Arial" w:eastAsia="Times New Roman" w:cs="Times New Roman"/>
                <w:sz w:val="16"/>
                <w:szCs w:val="16"/>
              </w:rPr>
              <w:t>-</w:t>
            </w:r>
            <w:r w:rsidR="00650EBD">
              <w:rPr>
                <w:rFonts w:ascii="Arial" w:hAnsi="Arial" w:eastAsia="Times New Roman" w:cs="Times New Roman"/>
                <w:sz w:val="16"/>
                <w:szCs w:val="16"/>
              </w:rPr>
              <w:t>2,</w:t>
            </w:r>
            <w:r w:rsidR="00D865BD">
              <w:rPr>
                <w:rFonts w:ascii="Arial" w:hAnsi="Arial" w:eastAsia="Times New Roman" w:cs="Times New Roman"/>
                <w:sz w:val="16"/>
                <w:szCs w:val="16"/>
              </w:rPr>
              <w:t>125</w:t>
            </w:r>
            <w:r>
              <w:rPr>
                <w:rFonts w:ascii="Arial" w:hAnsi="Arial" w:eastAsia="Times New Roman" w:cs="Times New Roman"/>
                <w:sz w:val="16"/>
                <w:szCs w:val="16"/>
              </w:rPr>
              <w:t>]</w:t>
            </w:r>
            <w:r w:rsidR="00060EB0">
              <w:rPr>
                <w:rStyle w:val="FootnoteReference"/>
                <w:rFonts w:ascii="Arial" w:hAnsi="Arial" w:eastAsia="Times New Roman" w:cs="Times New Roman"/>
                <w:sz w:val="16"/>
                <w:szCs w:val="16"/>
              </w:rPr>
              <w:footnoteReference w:id="11"/>
            </w:r>
          </w:p>
        </w:tc>
        <w:tc>
          <w:tcPr>
            <w:tcW w:w="513"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2456A" w14:paraId="411D506E" w14:textId="62C0D0C0">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Pr="00C74CD0" w:rsidR="008A16F8">
              <w:rPr>
                <w:rFonts w:ascii="Arial" w:hAnsi="Arial" w:eastAsia="Times New Roman" w:cs="Times New Roman"/>
                <w:sz w:val="16"/>
                <w:szCs w:val="16"/>
              </w:rPr>
              <w:t>$</w:t>
            </w:r>
            <w:r w:rsidR="00BC2456">
              <w:rPr>
                <w:rFonts w:ascii="Arial" w:hAnsi="Arial" w:eastAsia="Times New Roman" w:cs="Times New Roman"/>
                <w:sz w:val="16"/>
                <w:szCs w:val="16"/>
              </w:rPr>
              <w:t>0-</w:t>
            </w:r>
            <w:r w:rsidR="00650EBD">
              <w:rPr>
                <w:rFonts w:ascii="Arial" w:hAnsi="Arial" w:eastAsia="Times New Roman" w:cs="Times New Roman"/>
                <w:sz w:val="16"/>
                <w:szCs w:val="16"/>
              </w:rPr>
              <w:t>1</w:t>
            </w:r>
            <w:r w:rsidR="00D865BD">
              <w:rPr>
                <w:rFonts w:ascii="Arial" w:hAnsi="Arial" w:eastAsia="Times New Roman" w:cs="Times New Roman"/>
                <w:sz w:val="16"/>
                <w:szCs w:val="16"/>
              </w:rPr>
              <w:t>62,435</w:t>
            </w:r>
            <w:r>
              <w:rPr>
                <w:rFonts w:ascii="Arial" w:hAnsi="Arial" w:eastAsia="Times New Roman" w:cs="Times New Roman"/>
                <w:sz w:val="16"/>
                <w:szCs w:val="16"/>
              </w:rPr>
              <w:t>]</w:t>
            </w:r>
          </w:p>
        </w:tc>
      </w:tr>
    </w:tbl>
    <w:p w:rsidR="00DB2D73" w:rsidP="00DB2D73" w:rsidRDefault="00DB2D73" w14:paraId="43853B25" w14:textId="77777777">
      <w:pPr>
        <w:rPr>
          <w:rFonts w:eastAsia="Times New Roman" w:cs="Times New Roman"/>
          <w:szCs w:val="24"/>
        </w:rPr>
      </w:pPr>
    </w:p>
    <w:p w:rsidR="001505D1" w:rsidRDefault="001505D1" w14:paraId="0B364512" w14:textId="77777777">
      <w:pPr>
        <w:spacing w:after="200" w:line="276" w:lineRule="auto"/>
        <w:rPr>
          <w:rFonts w:eastAsia="Times New Roman" w:cs="Times New Roman"/>
          <w:szCs w:val="24"/>
        </w:rPr>
      </w:pPr>
      <w:r>
        <w:rPr>
          <w:rFonts w:eastAsia="Times New Roman" w:cs="Times New Roman"/>
          <w:szCs w:val="24"/>
        </w:rPr>
        <w:br w:type="page"/>
      </w:r>
    </w:p>
    <w:p w:rsidR="003308EE" w:rsidP="003308EE" w:rsidRDefault="003308EE" w14:paraId="00CF137E" w14:textId="12A62716">
      <w:pPr>
        <w:jc w:val="center"/>
        <w:rPr>
          <w:rFonts w:eastAsia="Times New Roman" w:cs="Times New Roman"/>
          <w:szCs w:val="24"/>
        </w:rPr>
      </w:pPr>
      <w:r>
        <w:rPr>
          <w:rFonts w:eastAsia="Times New Roman" w:cs="Times New Roman"/>
          <w:szCs w:val="24"/>
        </w:rPr>
        <w:lastRenderedPageBreak/>
        <w:t xml:space="preserve">Recordkeeping Burden </w:t>
      </w:r>
    </w:p>
    <w:p w:rsidR="003308EE" w:rsidP="003308EE" w:rsidRDefault="003308EE" w14:paraId="232B8A6A" w14:textId="77777777">
      <w:pPr>
        <w:jc w:val="center"/>
        <w:rPr>
          <w:rFonts w:eastAsia="Times New Roman" w:cs="Times New Roman"/>
          <w:szCs w:val="24"/>
        </w:rPr>
      </w:pPr>
    </w:p>
    <w:tbl>
      <w:tblPr>
        <w:tblW w:w="6156" w:type="pct"/>
        <w:tblInd w:w="-1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30"/>
        <w:gridCol w:w="1231"/>
        <w:gridCol w:w="1141"/>
        <w:gridCol w:w="981"/>
        <w:gridCol w:w="1141"/>
        <w:gridCol w:w="981"/>
        <w:gridCol w:w="1507"/>
        <w:gridCol w:w="1068"/>
        <w:gridCol w:w="894"/>
        <w:gridCol w:w="1516"/>
      </w:tblGrid>
      <w:tr w:rsidR="00CE2B27" w:rsidTr="00411593" w14:paraId="4B7FF938" w14:textId="77777777">
        <w:trPr>
          <w:trHeight w:val="1427"/>
        </w:trPr>
        <w:tc>
          <w:tcPr>
            <w:tcW w:w="564"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5869BC7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w:t>
            </w:r>
          </w:p>
          <w:p w:rsidR="003308EE" w:rsidP="002E40C6" w:rsidRDefault="003308EE" w14:paraId="6B7093F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Regulation(s)</w:t>
            </w:r>
          </w:p>
        </w:tc>
        <w:tc>
          <w:tcPr>
            <w:tcW w:w="522" w:type="pct"/>
            <w:tcBorders>
              <w:top w:val="single" w:color="000000" w:sz="4" w:space="0"/>
              <w:left w:val="single" w:color="000000" w:sz="4" w:space="0"/>
              <w:bottom w:val="single" w:color="000000" w:sz="4" w:space="0"/>
              <w:right w:val="single" w:color="000000" w:sz="4" w:space="0"/>
            </w:tcBorders>
          </w:tcPr>
          <w:p w:rsidR="003308EE" w:rsidP="002E40C6" w:rsidRDefault="003308EE" w14:paraId="58E91B5C"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w:t>
            </w:r>
          </w:p>
          <w:p w:rsidR="003308EE" w:rsidP="002E40C6" w:rsidRDefault="003308EE" w14:paraId="01CB6DE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Estimated Number of Respondents </w:t>
            </w:r>
          </w:p>
          <w:p w:rsidR="003308EE" w:rsidP="002E40C6" w:rsidRDefault="003308EE" w14:paraId="74448D82"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484"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04F5BCD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w:t>
            </w:r>
          </w:p>
          <w:p w:rsidR="003308EE" w:rsidP="002E40C6" w:rsidRDefault="003308EE" w14:paraId="6259BA26"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Number of Reports</w:t>
            </w:r>
          </w:p>
          <w:p w:rsidR="003308EE" w:rsidP="002E40C6" w:rsidRDefault="003308EE" w14:paraId="2747394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by Each Respondent</w:t>
            </w:r>
          </w:p>
        </w:tc>
        <w:tc>
          <w:tcPr>
            <w:tcW w:w="416"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726DC4E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4.</w:t>
            </w:r>
          </w:p>
          <w:p w:rsidR="003308EE" w:rsidP="002E40C6" w:rsidRDefault="003308EE" w14:paraId="7827461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Number of Burden Hours per Response</w:t>
            </w:r>
          </w:p>
        </w:tc>
        <w:tc>
          <w:tcPr>
            <w:tcW w:w="484"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15B852A6"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5.</w:t>
            </w:r>
          </w:p>
          <w:p w:rsidR="003308EE" w:rsidP="002E40C6" w:rsidRDefault="003308EE" w14:paraId="5B4754A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Annual  Number of Burden Hours per Respondent</w:t>
            </w:r>
          </w:p>
          <w:p w:rsidR="003308EE" w:rsidP="002E40C6" w:rsidRDefault="003308EE" w14:paraId="5A86E31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16" w:type="pct"/>
            <w:tcBorders>
              <w:top w:val="single" w:color="000000" w:sz="4" w:space="0"/>
              <w:left w:val="single" w:color="000000" w:sz="4" w:space="0"/>
              <w:bottom w:val="single" w:color="000000" w:sz="4" w:space="0"/>
              <w:right w:val="single" w:color="000000" w:sz="4" w:space="0"/>
            </w:tcBorders>
          </w:tcPr>
          <w:p w:rsidR="003308EE" w:rsidP="002E40C6" w:rsidRDefault="003308EE" w14:paraId="03C36040"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6. </w:t>
            </w:r>
          </w:p>
          <w:p w:rsidR="003308EE" w:rsidP="002E40C6" w:rsidRDefault="003308EE" w14:paraId="795017C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Burden Hour Cost</w:t>
            </w:r>
          </w:p>
          <w:p w:rsidR="003308EE" w:rsidP="002E40C6" w:rsidRDefault="003308EE" w14:paraId="10ACB3F7"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639"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4C80C4A6" w14:textId="77777777">
            <w:pPr>
              <w:spacing w:line="276" w:lineRule="auto"/>
              <w:jc w:val="center"/>
              <w:rPr>
                <w:rFonts w:ascii="Arial" w:hAnsi="Arial" w:cs="Arial"/>
                <w:b/>
                <w:sz w:val="16"/>
                <w:szCs w:val="16"/>
              </w:rPr>
            </w:pPr>
            <w:r>
              <w:rPr>
                <w:rFonts w:ascii="Arial" w:hAnsi="Arial" w:cs="Arial"/>
                <w:b/>
                <w:sz w:val="16"/>
                <w:szCs w:val="16"/>
              </w:rPr>
              <w:t>7.</w:t>
            </w:r>
          </w:p>
          <w:p w:rsidR="003308EE" w:rsidP="002E40C6" w:rsidRDefault="003308EE" w14:paraId="0304FDCF" w14:textId="77777777">
            <w:pPr>
              <w:spacing w:line="276" w:lineRule="auto"/>
              <w:jc w:val="center"/>
              <w:rPr>
                <w:rFonts w:ascii="Arial" w:hAnsi="Arial" w:cs="Arial"/>
                <w:b/>
                <w:sz w:val="16"/>
                <w:szCs w:val="16"/>
              </w:rPr>
            </w:pPr>
            <w:r>
              <w:rPr>
                <w:rFonts w:ascii="Arial" w:hAnsi="Arial" w:cs="Arial"/>
                <w:b/>
                <w:sz w:val="16"/>
                <w:szCs w:val="16"/>
              </w:rPr>
              <w:t>Total Average Hour Burden Cost Per Respondent</w:t>
            </w:r>
          </w:p>
          <w:p w:rsidR="003308EE" w:rsidP="002E40C6" w:rsidRDefault="003308EE" w14:paraId="71899815" w14:textId="77777777">
            <w:pPr>
              <w:spacing w:line="276" w:lineRule="auto"/>
              <w:jc w:val="center"/>
              <w:rPr>
                <w:rFonts w:ascii="Arial" w:hAnsi="Arial" w:cs="Arial"/>
                <w:b/>
                <w:sz w:val="16"/>
                <w:szCs w:val="16"/>
              </w:rPr>
            </w:pPr>
            <w:r>
              <w:rPr>
                <w:rFonts w:ascii="Arial" w:hAnsi="Arial" w:cs="Arial"/>
                <w:b/>
                <w:sz w:val="16"/>
                <w:szCs w:val="16"/>
              </w:rPr>
              <w:t>(5 x 6)</w:t>
            </w:r>
          </w:p>
        </w:tc>
        <w:tc>
          <w:tcPr>
            <w:tcW w:w="453"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469C4C1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8.</w:t>
            </w:r>
          </w:p>
          <w:p w:rsidR="003308EE" w:rsidP="002E40C6" w:rsidRDefault="003308EE" w14:paraId="751F5BA0"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w:t>
            </w:r>
          </w:p>
          <w:p w:rsidR="003308EE" w:rsidP="002E40C6" w:rsidRDefault="003308EE" w14:paraId="4F0B0A7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Responses</w:t>
            </w:r>
          </w:p>
          <w:p w:rsidR="003308EE" w:rsidP="002E40C6" w:rsidRDefault="003308EE" w14:paraId="759CCB3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3)</w:t>
            </w:r>
          </w:p>
        </w:tc>
        <w:tc>
          <w:tcPr>
            <w:tcW w:w="379"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1B2E183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9.</w:t>
            </w:r>
          </w:p>
          <w:p w:rsidR="003308EE" w:rsidP="002E40C6" w:rsidRDefault="003308EE" w14:paraId="5262BD48"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Number of Burden Hours</w:t>
            </w:r>
          </w:p>
          <w:p w:rsidR="003308EE" w:rsidP="002E40C6" w:rsidRDefault="003308EE" w14:paraId="310456D0"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643"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0E83335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10.</w:t>
            </w:r>
          </w:p>
          <w:p w:rsidR="003308EE" w:rsidP="002E40C6" w:rsidRDefault="003308EE" w14:paraId="5A5673C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Burden Hour Cost of All Responses</w:t>
            </w:r>
          </w:p>
          <w:p w:rsidR="003308EE" w:rsidP="002E40C6" w:rsidRDefault="003308EE" w14:paraId="41A3FF2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00CE2B27" w:rsidTr="00411593" w14:paraId="399407E5" w14:textId="77777777">
        <w:trPr>
          <w:trHeight w:val="977"/>
        </w:trPr>
        <w:tc>
          <w:tcPr>
            <w:tcW w:w="564" w:type="pct"/>
            <w:tcBorders>
              <w:top w:val="single" w:color="000000" w:sz="4" w:space="0"/>
              <w:left w:val="single" w:color="000000" w:sz="4" w:space="0"/>
              <w:bottom w:val="single" w:color="000000" w:sz="4" w:space="0"/>
              <w:right w:val="single" w:color="000000" w:sz="4" w:space="0"/>
            </w:tcBorders>
            <w:hideMark/>
          </w:tcPr>
          <w:p w:rsidRPr="00C74CD0" w:rsidR="003308EE" w:rsidP="003308EE" w:rsidRDefault="003308EE" w14:paraId="0788BDD4" w14:textId="6B970FA7">
            <w:pPr>
              <w:tabs>
                <w:tab w:val="left" w:pos="-720"/>
                <w:tab w:val="left" w:pos="0"/>
              </w:tabs>
              <w:suppressAutoHyphens/>
              <w:spacing w:line="276" w:lineRule="auto"/>
              <w:jc w:val="center"/>
              <w:rPr>
                <w:rFonts w:ascii="Arial" w:hAnsi="Arial" w:eastAsia="Times New Roman" w:cs="Arial"/>
                <w:sz w:val="16"/>
                <w:szCs w:val="16"/>
              </w:rPr>
            </w:pPr>
            <w:r w:rsidRPr="00C74CD0">
              <w:rPr>
                <w:rFonts w:ascii="Arial" w:hAnsi="Arial" w:cs="Arial"/>
                <w:bCs/>
                <w:sz w:val="16"/>
                <w:szCs w:val="16"/>
              </w:rPr>
              <w:t>38.950 and 38.951</w:t>
            </w:r>
          </w:p>
        </w:tc>
        <w:tc>
          <w:tcPr>
            <w:tcW w:w="522" w:type="pct"/>
            <w:tcBorders>
              <w:top w:val="single" w:color="000000" w:sz="4" w:space="0"/>
              <w:left w:val="single" w:color="000000" w:sz="4" w:space="0"/>
              <w:bottom w:val="single" w:color="000000" w:sz="4" w:space="0"/>
              <w:right w:val="single" w:color="000000" w:sz="4" w:space="0"/>
            </w:tcBorders>
            <w:hideMark/>
          </w:tcPr>
          <w:p w:rsidRPr="00C74CD0" w:rsidR="003308EE" w:rsidP="002E40C6" w:rsidRDefault="003308EE" w14:paraId="23E71162" w14:textId="1A15410D">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1</w:t>
            </w:r>
            <w:r w:rsidR="00D865BD">
              <w:rPr>
                <w:rFonts w:ascii="Arial" w:hAnsi="Arial" w:eastAsia="Times New Roman" w:cs="Times New Roman"/>
                <w:sz w:val="16"/>
                <w:szCs w:val="16"/>
              </w:rPr>
              <w:t>7</w:t>
            </w:r>
          </w:p>
        </w:tc>
        <w:tc>
          <w:tcPr>
            <w:tcW w:w="484"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CE7391" w14:paraId="7292AC3F" w14:textId="4ACB3E41">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002C4782">
              <w:rPr>
                <w:rFonts w:ascii="Arial" w:hAnsi="Arial" w:eastAsia="Times New Roman" w:cs="Times New Roman"/>
                <w:sz w:val="16"/>
                <w:szCs w:val="16"/>
              </w:rPr>
              <w:t>0</w:t>
            </w:r>
            <w:r>
              <w:rPr>
                <w:rFonts w:ascii="Arial" w:hAnsi="Arial" w:eastAsia="Times New Roman" w:cs="Times New Roman"/>
                <w:sz w:val="16"/>
                <w:szCs w:val="16"/>
              </w:rPr>
              <w:t>-25]</w:t>
            </w:r>
          </w:p>
        </w:tc>
        <w:tc>
          <w:tcPr>
            <w:tcW w:w="416"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3308EE" w14:paraId="7FE6F04F" w14:textId="0680053A">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 xml:space="preserve"> </w:t>
            </w:r>
            <w:r w:rsidRPr="00C74CD0" w:rsidR="00F53672">
              <w:rPr>
                <w:rFonts w:ascii="Arial" w:hAnsi="Arial" w:eastAsia="Times New Roman" w:cs="Times New Roman"/>
                <w:sz w:val="16"/>
                <w:szCs w:val="16"/>
              </w:rPr>
              <w:t>2</w:t>
            </w:r>
          </w:p>
        </w:tc>
        <w:tc>
          <w:tcPr>
            <w:tcW w:w="484"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CE7391" w14:paraId="599DF777" w14:textId="550E1D33">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002C4782">
              <w:rPr>
                <w:rFonts w:ascii="Arial" w:hAnsi="Arial" w:eastAsia="Times New Roman" w:cs="Times New Roman"/>
                <w:sz w:val="16"/>
                <w:szCs w:val="16"/>
              </w:rPr>
              <w:t>0</w:t>
            </w:r>
            <w:r>
              <w:rPr>
                <w:rFonts w:ascii="Arial" w:hAnsi="Arial" w:eastAsia="Times New Roman" w:cs="Times New Roman"/>
                <w:sz w:val="16"/>
                <w:szCs w:val="16"/>
              </w:rPr>
              <w:t xml:space="preserve"> – 50]</w:t>
            </w:r>
          </w:p>
        </w:tc>
        <w:tc>
          <w:tcPr>
            <w:tcW w:w="416"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D05F35" w14:paraId="1C2B784F" w14:textId="3D6DDC50">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w:t>
            </w:r>
            <w:r w:rsidRPr="00C74CD0" w:rsidR="007503F5">
              <w:rPr>
                <w:rFonts w:ascii="Arial" w:hAnsi="Arial" w:eastAsia="Times New Roman" w:cs="Times New Roman"/>
                <w:sz w:val="16"/>
                <w:szCs w:val="16"/>
              </w:rPr>
              <w:t>71</w:t>
            </w:r>
            <w:r w:rsidRPr="00C74CD0" w:rsidR="00A91A76">
              <w:rPr>
                <w:rFonts w:ascii="Arial" w:hAnsi="Arial" w:eastAsia="Times New Roman" w:cs="Times New Roman"/>
                <w:sz w:val="16"/>
                <w:szCs w:val="16"/>
              </w:rPr>
              <w:t>.019</w:t>
            </w:r>
            <w:r w:rsidRPr="00C74CD0" w:rsidR="004626E5">
              <w:rPr>
                <w:rStyle w:val="FootnoteReference"/>
                <w:rFonts w:ascii="Arial" w:hAnsi="Arial" w:eastAsia="Times New Roman" w:cs="Times New Roman"/>
                <w:sz w:val="16"/>
                <w:szCs w:val="16"/>
              </w:rPr>
              <w:footnoteReference w:id="12"/>
            </w:r>
            <w:r w:rsidRPr="00C74CD0" w:rsidR="00925300">
              <w:rPr>
                <w:rFonts w:ascii="Arial" w:hAnsi="Arial" w:eastAsia="Times New Roman" w:cs="Times New Roman"/>
                <w:sz w:val="16"/>
                <w:szCs w:val="16"/>
              </w:rPr>
              <w:t xml:space="preserve"> </w:t>
            </w:r>
          </w:p>
        </w:tc>
        <w:tc>
          <w:tcPr>
            <w:tcW w:w="639"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82456A" w14:paraId="4AB32DA3" w14:textId="1983135C">
            <w:pPr>
              <w:spacing w:line="276" w:lineRule="auto"/>
              <w:jc w:val="center"/>
              <w:rPr>
                <w:rFonts w:ascii="Arial" w:hAnsi="Arial" w:cs="Arial"/>
                <w:sz w:val="16"/>
                <w:szCs w:val="16"/>
              </w:rPr>
            </w:pPr>
            <w:r>
              <w:rPr>
                <w:rFonts w:ascii="Arial" w:hAnsi="Arial" w:cs="Arial"/>
                <w:sz w:val="16"/>
                <w:szCs w:val="16"/>
              </w:rPr>
              <w:t>[</w:t>
            </w:r>
            <w:r w:rsidRPr="00C74CD0" w:rsidR="003308EE">
              <w:rPr>
                <w:rFonts w:ascii="Arial" w:hAnsi="Arial" w:cs="Arial"/>
                <w:sz w:val="16"/>
                <w:szCs w:val="16"/>
              </w:rPr>
              <w:t>$</w:t>
            </w:r>
            <w:r w:rsidR="002C4782">
              <w:rPr>
                <w:rFonts w:ascii="Arial" w:hAnsi="Arial" w:cs="Arial"/>
                <w:sz w:val="16"/>
                <w:szCs w:val="16"/>
              </w:rPr>
              <w:t>0</w:t>
            </w:r>
            <w:r w:rsidR="00CE2B27">
              <w:rPr>
                <w:rFonts w:ascii="Arial" w:hAnsi="Arial" w:cs="Arial"/>
                <w:sz w:val="16"/>
                <w:szCs w:val="16"/>
              </w:rPr>
              <w:t>-3,550.95]</w:t>
            </w:r>
          </w:p>
        </w:tc>
        <w:tc>
          <w:tcPr>
            <w:tcW w:w="453"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CE7391" w14:paraId="56EAB63B" w14:textId="5B49EA2F">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002C4782">
              <w:rPr>
                <w:rFonts w:ascii="Arial" w:hAnsi="Arial" w:eastAsia="Times New Roman" w:cs="Times New Roman"/>
                <w:sz w:val="16"/>
                <w:szCs w:val="16"/>
              </w:rPr>
              <w:t>0-</w:t>
            </w:r>
            <w:r w:rsidR="00650EBD">
              <w:rPr>
                <w:rFonts w:ascii="Arial" w:hAnsi="Arial" w:eastAsia="Times New Roman" w:cs="Times New Roman"/>
                <w:sz w:val="16"/>
                <w:szCs w:val="16"/>
              </w:rPr>
              <w:t>4</w:t>
            </w:r>
            <w:r w:rsidR="00D865BD">
              <w:rPr>
                <w:rFonts w:ascii="Arial" w:hAnsi="Arial" w:eastAsia="Times New Roman" w:cs="Times New Roman"/>
                <w:sz w:val="16"/>
                <w:szCs w:val="16"/>
              </w:rPr>
              <w:t>25</w:t>
            </w:r>
            <w:r>
              <w:rPr>
                <w:rFonts w:ascii="Arial" w:hAnsi="Arial" w:eastAsia="Times New Roman" w:cs="Times New Roman"/>
                <w:sz w:val="16"/>
                <w:szCs w:val="16"/>
              </w:rPr>
              <w:t>]</w:t>
            </w:r>
          </w:p>
        </w:tc>
        <w:tc>
          <w:tcPr>
            <w:tcW w:w="379"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CE7391" w14:paraId="055DE47B" w14:textId="48693923">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00D369A6">
              <w:rPr>
                <w:rFonts w:ascii="Arial" w:hAnsi="Arial" w:eastAsia="Times New Roman" w:cs="Times New Roman"/>
                <w:sz w:val="16"/>
                <w:szCs w:val="16"/>
              </w:rPr>
              <w:t>0</w:t>
            </w:r>
            <w:r>
              <w:rPr>
                <w:rFonts w:ascii="Arial" w:hAnsi="Arial" w:eastAsia="Times New Roman" w:cs="Times New Roman"/>
                <w:sz w:val="16"/>
                <w:szCs w:val="16"/>
              </w:rPr>
              <w:t>-</w:t>
            </w:r>
            <w:r w:rsidR="00650EBD">
              <w:rPr>
                <w:rFonts w:ascii="Arial" w:hAnsi="Arial" w:eastAsia="Times New Roman" w:cs="Times New Roman"/>
                <w:sz w:val="16"/>
                <w:szCs w:val="16"/>
              </w:rPr>
              <w:t>8</w:t>
            </w:r>
            <w:r w:rsidR="00D865BD">
              <w:rPr>
                <w:rFonts w:ascii="Arial" w:hAnsi="Arial" w:eastAsia="Times New Roman" w:cs="Times New Roman"/>
                <w:sz w:val="16"/>
                <w:szCs w:val="16"/>
              </w:rPr>
              <w:t>50</w:t>
            </w:r>
            <w:r>
              <w:rPr>
                <w:rFonts w:ascii="Arial" w:hAnsi="Arial" w:eastAsia="Times New Roman" w:cs="Times New Roman"/>
                <w:sz w:val="16"/>
                <w:szCs w:val="16"/>
              </w:rPr>
              <w:t>]</w:t>
            </w:r>
            <w:r w:rsidR="00060EB0">
              <w:rPr>
                <w:rStyle w:val="FootnoteReference"/>
                <w:rFonts w:ascii="Arial" w:hAnsi="Arial" w:eastAsia="Times New Roman" w:cs="Times New Roman"/>
                <w:sz w:val="16"/>
                <w:szCs w:val="16"/>
              </w:rPr>
              <w:footnoteReference w:id="13"/>
            </w:r>
          </w:p>
        </w:tc>
        <w:tc>
          <w:tcPr>
            <w:tcW w:w="643"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CE2B27" w14:paraId="7E12FD80" w14:textId="07C1DDD1">
            <w:pPr>
              <w:tabs>
                <w:tab w:val="left" w:pos="-720"/>
                <w:tab w:val="left" w:pos="0"/>
              </w:tabs>
              <w:suppressAutoHyphens/>
              <w:spacing w:line="276" w:lineRule="auto"/>
              <w:jc w:val="center"/>
              <w:rPr>
                <w:rFonts w:ascii="Arial" w:hAnsi="Arial" w:eastAsia="Times New Roman" w:cs="Times New Roman"/>
                <w:sz w:val="16"/>
                <w:szCs w:val="16"/>
              </w:rPr>
            </w:pPr>
            <w:r>
              <w:rPr>
                <w:rFonts w:ascii="Arial" w:hAnsi="Arial" w:eastAsia="Times New Roman" w:cs="Times New Roman"/>
                <w:sz w:val="16"/>
                <w:szCs w:val="16"/>
              </w:rPr>
              <w:t>[</w:t>
            </w:r>
            <w:r w:rsidRPr="00C74CD0" w:rsidR="003308EE">
              <w:rPr>
                <w:rFonts w:ascii="Arial" w:hAnsi="Arial" w:eastAsia="Times New Roman" w:cs="Times New Roman"/>
                <w:sz w:val="16"/>
                <w:szCs w:val="16"/>
              </w:rPr>
              <w:t>$</w:t>
            </w:r>
            <w:r w:rsidR="00650EBD">
              <w:rPr>
                <w:rFonts w:ascii="Arial" w:hAnsi="Arial" w:eastAsia="Times New Roman" w:cs="Times New Roman"/>
                <w:sz w:val="16"/>
                <w:szCs w:val="16"/>
              </w:rPr>
              <w:t>0</w:t>
            </w:r>
            <w:r>
              <w:rPr>
                <w:rFonts w:ascii="Arial" w:hAnsi="Arial" w:eastAsia="Times New Roman" w:cs="Times New Roman"/>
                <w:sz w:val="16"/>
                <w:szCs w:val="16"/>
              </w:rPr>
              <w:t>-</w:t>
            </w:r>
            <w:r w:rsidR="00D865BD">
              <w:rPr>
                <w:rFonts w:ascii="Arial" w:hAnsi="Arial" w:eastAsia="Times New Roman" w:cs="Times New Roman"/>
                <w:sz w:val="16"/>
                <w:szCs w:val="16"/>
              </w:rPr>
              <w:t>60,366.15</w:t>
            </w:r>
            <w:r>
              <w:rPr>
                <w:rFonts w:ascii="Arial" w:hAnsi="Arial" w:eastAsia="Times New Roman" w:cs="Times New Roman"/>
                <w:sz w:val="16"/>
                <w:szCs w:val="16"/>
              </w:rPr>
              <w:t>]</w:t>
            </w:r>
          </w:p>
        </w:tc>
      </w:tr>
    </w:tbl>
    <w:p w:rsidR="003308EE" w:rsidP="003308EE" w:rsidRDefault="003308EE" w14:paraId="7EFFA159" w14:textId="77777777">
      <w:pPr>
        <w:jc w:val="center"/>
        <w:rPr>
          <w:rFonts w:eastAsia="Times New Roman" w:cs="Times New Roman"/>
          <w:szCs w:val="24"/>
        </w:rPr>
      </w:pPr>
    </w:p>
    <w:p w:rsidR="003308EE" w:rsidP="00DB2D73" w:rsidRDefault="003308EE" w14:paraId="3BEA23D1" w14:textId="77777777">
      <w:pPr>
        <w:spacing w:line="480" w:lineRule="auto"/>
        <w:ind w:firstLine="720"/>
        <w:rPr>
          <w:szCs w:val="24"/>
        </w:rPr>
      </w:pPr>
    </w:p>
    <w:p w:rsidRPr="00854AE1" w:rsidR="008F6A96" w:rsidP="00CB0776" w:rsidRDefault="008F6A96" w14:paraId="4333E3B1" w14:textId="77777777">
      <w:pPr>
        <w:tabs>
          <w:tab w:val="left" w:pos="-720"/>
        </w:tabs>
        <w:spacing w:after="240"/>
        <w:rPr>
          <w:rFonts w:eastAsia="Times New Roman" w:cs="Times New Roman"/>
          <w:szCs w:val="24"/>
        </w:rPr>
      </w:pPr>
    </w:p>
    <w:sectPr w:rsidRPr="00854AE1" w:rsidR="008F6A96" w:rsidSect="00A131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C9D9" w14:textId="77777777" w:rsidR="00403743" w:rsidRDefault="00403743" w:rsidP="009C6DB4">
      <w:r>
        <w:separator/>
      </w:r>
    </w:p>
  </w:endnote>
  <w:endnote w:type="continuationSeparator" w:id="0">
    <w:p w14:paraId="4CB9E028" w14:textId="77777777" w:rsidR="00403743" w:rsidRDefault="00403743" w:rsidP="009C6DB4">
      <w:r>
        <w:continuationSeparator/>
      </w:r>
    </w:p>
  </w:endnote>
  <w:endnote w:type="continuationNotice" w:id="1">
    <w:p w14:paraId="55B90D1F" w14:textId="77777777" w:rsidR="00403743" w:rsidRDefault="00403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5FD4" w14:textId="77777777" w:rsidR="00D00E5D" w:rsidRDefault="00D00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760245"/>
      <w:docPartObj>
        <w:docPartGallery w:val="Page Numbers (Bottom of Page)"/>
        <w:docPartUnique/>
      </w:docPartObj>
    </w:sdtPr>
    <w:sdtEndPr>
      <w:rPr>
        <w:noProof/>
      </w:rPr>
    </w:sdtEndPr>
    <w:sdtContent>
      <w:p w14:paraId="553D1698" w14:textId="329C02CB" w:rsidR="00403743" w:rsidRDefault="00403743">
        <w:pPr>
          <w:pStyle w:val="Footer"/>
          <w:jc w:val="center"/>
        </w:pPr>
        <w:r>
          <w:fldChar w:fldCharType="begin"/>
        </w:r>
        <w:r>
          <w:instrText xml:space="preserve"> PAGE   \* MERGEFORMAT </w:instrText>
        </w:r>
        <w:r>
          <w:fldChar w:fldCharType="separate"/>
        </w:r>
        <w:r w:rsidR="00BA787B">
          <w:rPr>
            <w:noProof/>
          </w:rPr>
          <w:t>10</w:t>
        </w:r>
        <w:r>
          <w:rPr>
            <w:noProof/>
          </w:rPr>
          <w:fldChar w:fldCharType="end"/>
        </w:r>
      </w:p>
    </w:sdtContent>
  </w:sdt>
  <w:p w14:paraId="792EB3B1" w14:textId="77777777" w:rsidR="00403743" w:rsidRDefault="00403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D413" w14:textId="77777777" w:rsidR="00D00E5D" w:rsidRDefault="00D0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326C0" w14:textId="77777777" w:rsidR="00403743" w:rsidRDefault="00403743" w:rsidP="009C6DB4">
      <w:r>
        <w:separator/>
      </w:r>
    </w:p>
  </w:footnote>
  <w:footnote w:type="continuationSeparator" w:id="0">
    <w:p w14:paraId="25C5A6D5" w14:textId="77777777" w:rsidR="00403743" w:rsidRDefault="00403743" w:rsidP="009C6DB4">
      <w:r>
        <w:continuationSeparator/>
      </w:r>
    </w:p>
  </w:footnote>
  <w:footnote w:type="continuationNotice" w:id="1">
    <w:p w14:paraId="0C572866" w14:textId="77777777" w:rsidR="00403743" w:rsidRDefault="00403743"/>
  </w:footnote>
  <w:footnote w:id="2">
    <w:p w14:paraId="138183F3" w14:textId="57931AE1" w:rsidR="00403743" w:rsidRPr="00F11AB5" w:rsidRDefault="00403743" w:rsidP="00FE58F8">
      <w:pPr>
        <w:pStyle w:val="FootnoteText"/>
        <w:rPr>
          <w:i/>
          <w:sz w:val="18"/>
          <w:szCs w:val="18"/>
        </w:rPr>
      </w:pPr>
      <w:r w:rsidRPr="00F11AB5">
        <w:rPr>
          <w:rStyle w:val="FootnoteReference"/>
          <w:sz w:val="18"/>
          <w:szCs w:val="18"/>
        </w:rPr>
        <w:footnoteRef/>
      </w:r>
      <w:r w:rsidRPr="00F11AB5">
        <w:rPr>
          <w:sz w:val="18"/>
          <w:szCs w:val="18"/>
        </w:rPr>
        <w:t xml:space="preserve"> 7 U.S.C. 1 </w:t>
      </w:r>
      <w:r w:rsidRPr="00F11AB5">
        <w:rPr>
          <w:i/>
          <w:sz w:val="18"/>
          <w:szCs w:val="18"/>
        </w:rPr>
        <w:t>et seq.</w:t>
      </w:r>
    </w:p>
  </w:footnote>
  <w:footnote w:id="3">
    <w:p w14:paraId="5C7E5E5E" w14:textId="50BF57AB" w:rsidR="00403743" w:rsidRPr="00F11AB5" w:rsidRDefault="00403743">
      <w:pPr>
        <w:pStyle w:val="FootnoteText"/>
        <w:rPr>
          <w:sz w:val="18"/>
          <w:szCs w:val="18"/>
        </w:rPr>
      </w:pPr>
      <w:r w:rsidRPr="00F11AB5">
        <w:rPr>
          <w:rStyle w:val="FootnoteReference"/>
          <w:sz w:val="18"/>
          <w:szCs w:val="18"/>
        </w:rPr>
        <w:footnoteRef/>
      </w:r>
      <w:r w:rsidRPr="00F11AB5">
        <w:rPr>
          <w:sz w:val="18"/>
          <w:szCs w:val="18"/>
        </w:rPr>
        <w:t xml:space="preserve"> </w:t>
      </w:r>
      <w:r w:rsidR="00F11AB5" w:rsidRPr="00F11AB5">
        <w:rPr>
          <w:sz w:val="18"/>
          <w:szCs w:val="18"/>
          <w:u w:val="single"/>
        </w:rPr>
        <w:t>See</w:t>
      </w:r>
      <w:r w:rsidR="00F11AB5" w:rsidRPr="00F11AB5">
        <w:rPr>
          <w:sz w:val="18"/>
          <w:szCs w:val="18"/>
        </w:rPr>
        <w:t xml:space="preserve"> Dodd-Frank Wall Street Reform and Consumer Protection Act, Public Law 111-203, 124 Stat. 1376 (2010).</w:t>
      </w:r>
    </w:p>
  </w:footnote>
  <w:footnote w:id="4">
    <w:p w14:paraId="79CB778F" w14:textId="34F519E0" w:rsidR="003C3CC6" w:rsidRDefault="00F934B2" w:rsidP="00411593">
      <w:pPr>
        <w:pStyle w:val="FootnoteText"/>
      </w:pPr>
      <w:r>
        <w:rPr>
          <w:rStyle w:val="FootnoteReference"/>
        </w:rPr>
        <w:footnoteRef/>
      </w:r>
      <w:r>
        <w:t xml:space="preserve"> </w:t>
      </w:r>
      <w:r w:rsidRPr="00B47454">
        <w:rPr>
          <w:i/>
        </w:rPr>
        <w:t>See</w:t>
      </w:r>
      <w:r>
        <w:t xml:space="preserve"> </w:t>
      </w:r>
      <w:r w:rsidR="003C3CC6">
        <w:t xml:space="preserve">letter from </w:t>
      </w:r>
      <w:r w:rsidR="003C3CC6" w:rsidRPr="003C3CC6">
        <w:t xml:space="preserve">Julie </w:t>
      </w:r>
      <w:proofErr w:type="spellStart"/>
      <w:proofErr w:type="gramStart"/>
      <w:r w:rsidR="003C3CC6" w:rsidRPr="003C3CC6">
        <w:t>Holzrichter</w:t>
      </w:r>
      <w:proofErr w:type="spellEnd"/>
      <w:r w:rsidR="003C3CC6">
        <w:t xml:space="preserve">, </w:t>
      </w:r>
      <w:r w:rsidR="003C3CC6" w:rsidRPr="003C3CC6">
        <w:t xml:space="preserve"> Chief</w:t>
      </w:r>
      <w:proofErr w:type="gramEnd"/>
      <w:r w:rsidR="003C3CC6" w:rsidRPr="003C3CC6">
        <w:t xml:space="preserve"> Operating Officer</w:t>
      </w:r>
      <w:r w:rsidR="003C3CC6">
        <w:t xml:space="preserve">, CME Group Inc. (“CME”) to Christopher Kirkpatrick, </w:t>
      </w:r>
    </w:p>
    <w:p w14:paraId="6287EE9F" w14:textId="2D195B4C" w:rsidR="00F934B2" w:rsidRDefault="003C3CC6" w:rsidP="00411593">
      <w:pPr>
        <w:pStyle w:val="FootnoteText"/>
      </w:pPr>
      <w:r>
        <w:t>Secretary, Commission, dated August 21, 2020 (“CME Letter”)</w:t>
      </w:r>
      <w:r w:rsidR="00F934B2">
        <w:t>, at 8</w:t>
      </w:r>
      <w:r w:rsidR="00F934B2" w:rsidRPr="007A6854">
        <w:t>.</w:t>
      </w:r>
    </w:p>
  </w:footnote>
  <w:footnote w:id="5">
    <w:p w14:paraId="35D6371D" w14:textId="2736A747" w:rsidR="00F934B2" w:rsidRDefault="00F934B2" w:rsidP="00F934B2">
      <w:pPr>
        <w:pStyle w:val="FootnoteText"/>
        <w:spacing w:after="120"/>
      </w:pPr>
      <w:r>
        <w:rPr>
          <w:rStyle w:val="FootnoteReference"/>
        </w:rPr>
        <w:footnoteRef/>
      </w:r>
      <w:r>
        <w:t xml:space="preserve"> </w:t>
      </w:r>
      <w:r w:rsidR="003C3CC6">
        <w:t>I</w:t>
      </w:r>
      <w:r w:rsidRPr="00D66353">
        <w:rPr>
          <w:i/>
        </w:rPr>
        <w:t>d</w:t>
      </w:r>
      <w:r>
        <w:t>.</w:t>
      </w:r>
    </w:p>
  </w:footnote>
  <w:footnote w:id="6">
    <w:p w14:paraId="4C324E95" w14:textId="77777777" w:rsidR="00F934B2" w:rsidRDefault="00F934B2" w:rsidP="00F934B2">
      <w:pPr>
        <w:pStyle w:val="FootnoteText"/>
        <w:spacing w:after="120"/>
      </w:pPr>
      <w:r>
        <w:rPr>
          <w:rStyle w:val="FootnoteReference"/>
        </w:rPr>
        <w:footnoteRef/>
      </w:r>
      <w:r>
        <w:t xml:space="preserve"> The Commission submits that a </w:t>
      </w:r>
      <w:r w:rsidRPr="00F92351">
        <w:t xml:space="preserve">reportable event does not necessarily mean that a disciplinary case is </w:t>
      </w:r>
      <w:r>
        <w:t xml:space="preserve">required but instead </w:t>
      </w:r>
      <w:r w:rsidRPr="00F92351">
        <w:t>suggests that there has been a problem</w:t>
      </w:r>
      <w:r>
        <w:t xml:space="preserve"> with the operation of the electronic trading platform that requires additional review and oversight. Accordingly, the notification of a significant market disruption would typically start a specific regulatory oversight process by the Commission not establish the particular requirements that may or may not merit the bringing of a disciplinary action, </w:t>
      </w:r>
      <w:r w:rsidRPr="00F92351">
        <w:t xml:space="preserve">as CME </w:t>
      </w:r>
      <w:r>
        <w:t>suggests</w:t>
      </w:r>
      <w:r w:rsidRPr="00F92351">
        <w:t>.</w:t>
      </w:r>
    </w:p>
  </w:footnote>
  <w:footnote w:id="7">
    <w:p w14:paraId="40FD8D42" w14:textId="183FD559" w:rsidR="00F934B2" w:rsidRDefault="00F934B2" w:rsidP="00F934B2">
      <w:pPr>
        <w:pStyle w:val="FootnoteText"/>
        <w:spacing w:after="120"/>
      </w:pPr>
      <w:r>
        <w:rPr>
          <w:rStyle w:val="FootnoteReference"/>
        </w:rPr>
        <w:footnoteRef/>
      </w:r>
      <w:r>
        <w:t xml:space="preserve"> CME </w:t>
      </w:r>
      <w:r w:rsidR="00734D0E">
        <w:t>L</w:t>
      </w:r>
      <w:r>
        <w:t>etter</w:t>
      </w:r>
      <w:r w:rsidR="00734D0E">
        <w:t xml:space="preserve"> </w:t>
      </w:r>
      <w:r>
        <w:t>at 16.</w:t>
      </w:r>
    </w:p>
  </w:footnote>
  <w:footnote w:id="8">
    <w:p w14:paraId="3F728D09" w14:textId="22E536C2" w:rsidR="00F934B2" w:rsidRDefault="00F934B2" w:rsidP="00F934B2">
      <w:pPr>
        <w:pStyle w:val="FootnoteText"/>
        <w:spacing w:after="120"/>
      </w:pPr>
      <w:r>
        <w:rPr>
          <w:rStyle w:val="FootnoteReference"/>
        </w:rPr>
        <w:footnoteRef/>
      </w:r>
      <w:r>
        <w:t xml:space="preserve"> Although not explained in CME’s </w:t>
      </w:r>
      <w:proofErr w:type="spellStart"/>
      <w:proofErr w:type="gramStart"/>
      <w:r w:rsidR="00734D0E">
        <w:t>Letter</w:t>
      </w:r>
      <w:r>
        <w:t>“</w:t>
      </w:r>
      <w:proofErr w:type="gramEnd"/>
      <w:r>
        <w:t>Velocity</w:t>
      </w:r>
      <w:proofErr w:type="spellEnd"/>
      <w:r>
        <w:t xml:space="preserve"> Logic” is detailed on CME’s website to be “</w:t>
      </w:r>
      <w:r w:rsidRPr="000B6CD5">
        <w:t>designed to detect market movement of a predefined number of points either up or down within a predefined time. Velocity Logic introduces a momentary suspension in matching by transitioning the futures instrument(s) and related options into the Reserved/Pause State.</w:t>
      </w:r>
      <w:r w:rsidRPr="001F7212">
        <w:rPr>
          <w:rFonts w:asciiTheme="minorHAnsi" w:hAnsiTheme="minorHAnsi"/>
          <w:sz w:val="22"/>
          <w:szCs w:val="22"/>
        </w:rPr>
        <w:t xml:space="preserve"> </w:t>
      </w:r>
      <w:hyperlink r:id="rId1" w:history="1">
        <w:r w:rsidRPr="001F7212">
          <w:rPr>
            <w:rStyle w:val="Hyperlink"/>
          </w:rPr>
          <w:t>https://www.cmegroup.com/confluence/display/EPICSANDBOX/Velocity+Logic</w:t>
        </w:r>
      </w:hyperlink>
      <w:r>
        <w:t xml:space="preserve">.  </w:t>
      </w:r>
    </w:p>
  </w:footnote>
  <w:footnote w:id="9">
    <w:p w14:paraId="4A8745A7" w14:textId="01EE402B" w:rsidR="00925300" w:rsidRDefault="00925300">
      <w:pPr>
        <w:pStyle w:val="FootnoteText"/>
      </w:pPr>
      <w:r>
        <w:rPr>
          <w:rStyle w:val="FootnoteReference"/>
        </w:rPr>
        <w:footnoteRef/>
      </w:r>
      <w:r>
        <w:t xml:space="preserve"> </w:t>
      </w:r>
      <w:r w:rsidRPr="001505D1">
        <w:rPr>
          <w:sz w:val="16"/>
          <w:szCs w:val="16"/>
        </w:rPr>
        <w:t>The Commission is providing a blended rate using estimated industry specific wages for Computer Programmer, Compliance Officer and Lawyers</w:t>
      </w:r>
      <w:r w:rsidR="007503F5">
        <w:rPr>
          <w:sz w:val="16"/>
          <w:szCs w:val="16"/>
        </w:rPr>
        <w:t xml:space="preserve"> </w:t>
      </w:r>
      <w:r w:rsidR="007503F5" w:rsidRPr="007503F5">
        <w:rPr>
          <w:sz w:val="16"/>
          <w:szCs w:val="16"/>
        </w:rPr>
        <w:t>multiplied by 1.3 to account for overhead and other benefits.</w:t>
      </w:r>
      <w:r w:rsidR="007503F5">
        <w:rPr>
          <w:sz w:val="16"/>
          <w:szCs w:val="16"/>
        </w:rPr>
        <w:t xml:space="preserve"> </w:t>
      </w:r>
      <w:r w:rsidRPr="001505D1">
        <w:rPr>
          <w:sz w:val="16"/>
          <w:szCs w:val="16"/>
        </w:rPr>
        <w:t xml:space="preserve">  Per the U.S. Bureau of Labor Statistics, national industry-specific occupational employment and wage estimates with data collected from employers in the securities, commodity contracts, and other financial investments and related activities provides that the mean hourly wage for a computer programmer is $</w:t>
      </w:r>
      <w:r w:rsidR="001505D1" w:rsidRPr="001505D1">
        <w:rPr>
          <w:sz w:val="16"/>
          <w:szCs w:val="16"/>
        </w:rPr>
        <w:t>51.02</w:t>
      </w:r>
      <w:r w:rsidRPr="001505D1">
        <w:rPr>
          <w:sz w:val="16"/>
          <w:szCs w:val="16"/>
        </w:rPr>
        <w:t xml:space="preserve">, </w:t>
      </w:r>
      <w:r w:rsidR="001505D1" w:rsidRPr="001505D1">
        <w:rPr>
          <w:sz w:val="16"/>
          <w:szCs w:val="16"/>
        </w:rPr>
        <w:t xml:space="preserve">compliance officer is </w:t>
      </w:r>
      <w:r w:rsidRPr="001505D1">
        <w:rPr>
          <w:sz w:val="16"/>
          <w:szCs w:val="16"/>
        </w:rPr>
        <w:t>$</w:t>
      </w:r>
      <w:r w:rsidR="001505D1" w:rsidRPr="001505D1">
        <w:rPr>
          <w:sz w:val="16"/>
          <w:szCs w:val="16"/>
        </w:rPr>
        <w:t>44.14</w:t>
      </w:r>
      <w:r w:rsidRPr="001505D1">
        <w:rPr>
          <w:sz w:val="16"/>
          <w:szCs w:val="16"/>
        </w:rPr>
        <w:t xml:space="preserve">, and </w:t>
      </w:r>
      <w:r w:rsidR="001505D1" w:rsidRPr="001505D1">
        <w:rPr>
          <w:sz w:val="16"/>
          <w:szCs w:val="16"/>
        </w:rPr>
        <w:t xml:space="preserve">lawyer </w:t>
      </w:r>
      <w:r w:rsidRPr="001505D1">
        <w:rPr>
          <w:sz w:val="16"/>
          <w:szCs w:val="16"/>
        </w:rPr>
        <w:t>is $</w:t>
      </w:r>
      <w:r w:rsidR="001505D1" w:rsidRPr="001505D1">
        <w:rPr>
          <w:sz w:val="16"/>
          <w:szCs w:val="16"/>
        </w:rPr>
        <w:t>97.88</w:t>
      </w:r>
      <w:r w:rsidRPr="001505D1">
        <w:rPr>
          <w:sz w:val="16"/>
          <w:szCs w:val="16"/>
        </w:rPr>
        <w:t>.  The average of those wages is $</w:t>
      </w:r>
      <w:r w:rsidR="007503F5">
        <w:rPr>
          <w:sz w:val="16"/>
          <w:szCs w:val="16"/>
        </w:rPr>
        <w:t>58.8</w:t>
      </w:r>
      <w:r w:rsidRPr="001505D1">
        <w:rPr>
          <w:sz w:val="16"/>
          <w:szCs w:val="16"/>
        </w:rPr>
        <w:t xml:space="preserve">.  </w:t>
      </w:r>
      <w:proofErr w:type="gramStart"/>
      <w:r w:rsidRPr="001505D1">
        <w:rPr>
          <w:sz w:val="16"/>
          <w:szCs w:val="16"/>
        </w:rPr>
        <w:t>See,  May</w:t>
      </w:r>
      <w:proofErr w:type="gramEnd"/>
      <w:r w:rsidRPr="001505D1">
        <w:rPr>
          <w:sz w:val="16"/>
          <w:szCs w:val="16"/>
        </w:rPr>
        <w:t xml:space="preserve"> 201</w:t>
      </w:r>
      <w:r w:rsidR="001505D1" w:rsidRPr="001505D1">
        <w:rPr>
          <w:sz w:val="16"/>
          <w:szCs w:val="16"/>
        </w:rPr>
        <w:t>9</w:t>
      </w:r>
      <w:r w:rsidRPr="001505D1">
        <w:rPr>
          <w:sz w:val="16"/>
          <w:szCs w:val="16"/>
        </w:rPr>
        <w:t xml:space="preserve"> National Industry-Specific Occupational Employment and Wage Estimates, NAICS 523000 - Securities, Commodity Contracts, and Other Financial Investments and Related Activities, available at: </w:t>
      </w:r>
      <w:hyperlink r:id="rId2" w:history="1">
        <w:r w:rsidR="001505D1" w:rsidRPr="001505D1">
          <w:rPr>
            <w:rStyle w:val="Hyperlink"/>
            <w:sz w:val="16"/>
            <w:szCs w:val="16"/>
          </w:rPr>
          <w:t>https://www.bls.gov/oes/current/naics4_523000.htm</w:t>
        </w:r>
      </w:hyperlink>
      <w:r w:rsidRPr="001505D1">
        <w:rPr>
          <w:sz w:val="16"/>
          <w:szCs w:val="16"/>
        </w:rPr>
        <w:t>.</w:t>
      </w:r>
      <w:r w:rsidR="001505D1" w:rsidRPr="001505D1">
        <w:rPr>
          <w:sz w:val="16"/>
          <w:szCs w:val="16"/>
        </w:rPr>
        <w:t xml:space="preserve"> </w:t>
      </w:r>
      <w:r w:rsidR="001505D1">
        <w:t xml:space="preserve"> </w:t>
      </w:r>
    </w:p>
  </w:footnote>
  <w:footnote w:id="10">
    <w:p w14:paraId="13113A7A" w14:textId="1C479930" w:rsidR="000A5358" w:rsidRPr="00411593" w:rsidRDefault="000A5358">
      <w:pPr>
        <w:pStyle w:val="FootnoteText"/>
        <w:rPr>
          <w:sz w:val="16"/>
          <w:szCs w:val="16"/>
        </w:rPr>
      </w:pPr>
      <w:r>
        <w:rPr>
          <w:rStyle w:val="FootnoteReference"/>
        </w:rPr>
        <w:footnoteRef/>
      </w:r>
      <w:r>
        <w:t xml:space="preserve"> </w:t>
      </w:r>
      <w:r w:rsidR="00060EB0" w:rsidRPr="00411593">
        <w:rPr>
          <w:sz w:val="16"/>
          <w:szCs w:val="16"/>
        </w:rPr>
        <w:t xml:space="preserve">Based on the annual aggregate range of potential notifications under final §38.251(g) from </w:t>
      </w:r>
      <w:r w:rsidR="00BC2456">
        <w:rPr>
          <w:sz w:val="16"/>
          <w:szCs w:val="16"/>
        </w:rPr>
        <w:t xml:space="preserve">0 </w:t>
      </w:r>
      <w:r w:rsidR="00060EB0" w:rsidRPr="00411593">
        <w:rPr>
          <w:sz w:val="16"/>
          <w:szCs w:val="16"/>
        </w:rPr>
        <w:t xml:space="preserve">to </w:t>
      </w:r>
      <w:r w:rsidR="00650EBD">
        <w:rPr>
          <w:sz w:val="16"/>
          <w:szCs w:val="16"/>
        </w:rPr>
        <w:t>4</w:t>
      </w:r>
      <w:r w:rsidR="00D865BD">
        <w:rPr>
          <w:sz w:val="16"/>
          <w:szCs w:val="16"/>
        </w:rPr>
        <w:t>25</w:t>
      </w:r>
      <w:r w:rsidR="00060EB0" w:rsidRPr="00411593">
        <w:rPr>
          <w:sz w:val="16"/>
          <w:szCs w:val="16"/>
        </w:rPr>
        <w:t xml:space="preserve"> for all DCMs, the Commission estimates that the average annual aggregate notifications for all DCMs is </w:t>
      </w:r>
      <w:r w:rsidR="00BE239A">
        <w:rPr>
          <w:sz w:val="16"/>
          <w:szCs w:val="16"/>
        </w:rPr>
        <w:t>2</w:t>
      </w:r>
      <w:r w:rsidR="00D865BD">
        <w:rPr>
          <w:sz w:val="16"/>
          <w:szCs w:val="16"/>
        </w:rPr>
        <w:t xml:space="preserve">12.50 </w:t>
      </w:r>
      <w:r w:rsidR="00060EB0" w:rsidRPr="00411593">
        <w:rPr>
          <w:sz w:val="16"/>
          <w:szCs w:val="16"/>
        </w:rPr>
        <w:t>with the annual average number of notifications per DCM to be</w:t>
      </w:r>
      <w:r w:rsidR="00BE239A">
        <w:rPr>
          <w:sz w:val="16"/>
          <w:szCs w:val="16"/>
        </w:rPr>
        <w:t xml:space="preserve"> </w:t>
      </w:r>
      <w:r w:rsidR="00D865BD" w:rsidRPr="00D865BD">
        <w:rPr>
          <w:sz w:val="16"/>
          <w:szCs w:val="16"/>
        </w:rPr>
        <w:t>13.28</w:t>
      </w:r>
      <w:r w:rsidR="00060EB0" w:rsidRPr="00411593">
        <w:rPr>
          <w:sz w:val="16"/>
          <w:szCs w:val="16"/>
        </w:rPr>
        <w:t>.</w:t>
      </w:r>
    </w:p>
  </w:footnote>
  <w:footnote w:id="11">
    <w:p w14:paraId="4A8AA2FA" w14:textId="25A4EA34" w:rsidR="00060EB0" w:rsidRDefault="00060EB0">
      <w:pPr>
        <w:pStyle w:val="FootnoteText"/>
      </w:pPr>
      <w:r>
        <w:rPr>
          <w:rStyle w:val="FootnoteReference"/>
        </w:rPr>
        <w:footnoteRef/>
      </w:r>
      <w:r>
        <w:rPr>
          <w:sz w:val="16"/>
          <w:szCs w:val="16"/>
        </w:rPr>
        <w:t xml:space="preserve"> </w:t>
      </w:r>
      <w:r w:rsidRPr="00411593">
        <w:rPr>
          <w:sz w:val="16"/>
          <w:szCs w:val="16"/>
        </w:rPr>
        <w:t xml:space="preserve">The Commission estimates that the total aggregate annual burden hours for DCMs under final §38.251(g) would be a range between </w:t>
      </w:r>
      <w:r w:rsidR="00650EBD">
        <w:rPr>
          <w:sz w:val="16"/>
          <w:szCs w:val="16"/>
        </w:rPr>
        <w:t>0</w:t>
      </w:r>
      <w:r w:rsidRPr="00411593">
        <w:rPr>
          <w:sz w:val="16"/>
          <w:szCs w:val="16"/>
        </w:rPr>
        <w:t xml:space="preserve"> and </w:t>
      </w:r>
      <w:r w:rsidR="00650EBD">
        <w:rPr>
          <w:sz w:val="16"/>
          <w:szCs w:val="16"/>
        </w:rPr>
        <w:t>2,</w:t>
      </w:r>
      <w:r w:rsidR="00D865BD">
        <w:rPr>
          <w:sz w:val="16"/>
          <w:szCs w:val="16"/>
        </w:rPr>
        <w:t>125</w:t>
      </w:r>
      <w:r w:rsidR="00650EBD">
        <w:rPr>
          <w:sz w:val="16"/>
          <w:szCs w:val="16"/>
        </w:rPr>
        <w:t xml:space="preserve"> </w:t>
      </w:r>
      <w:r w:rsidRPr="00411593">
        <w:rPr>
          <w:sz w:val="16"/>
          <w:szCs w:val="16"/>
        </w:rPr>
        <w:t xml:space="preserve">hours based on each DCM incurring between </w:t>
      </w:r>
      <w:r w:rsidR="00BC2456">
        <w:rPr>
          <w:sz w:val="16"/>
          <w:szCs w:val="16"/>
        </w:rPr>
        <w:t xml:space="preserve">0 </w:t>
      </w:r>
      <w:r w:rsidRPr="00411593">
        <w:rPr>
          <w:sz w:val="16"/>
          <w:szCs w:val="16"/>
        </w:rPr>
        <w:t>hours (</w:t>
      </w:r>
      <w:r w:rsidR="00BC2456">
        <w:rPr>
          <w:sz w:val="16"/>
          <w:szCs w:val="16"/>
        </w:rPr>
        <w:t>0</w:t>
      </w:r>
      <w:r w:rsidRPr="00411593">
        <w:rPr>
          <w:sz w:val="16"/>
          <w:szCs w:val="16"/>
        </w:rPr>
        <w:t xml:space="preserve"> x 1</w:t>
      </w:r>
      <w:r w:rsidR="00D865BD">
        <w:rPr>
          <w:sz w:val="16"/>
          <w:szCs w:val="16"/>
        </w:rPr>
        <w:t>7</w:t>
      </w:r>
      <w:r w:rsidRPr="00411593">
        <w:rPr>
          <w:sz w:val="16"/>
          <w:szCs w:val="16"/>
        </w:rPr>
        <w:t xml:space="preserve"> </w:t>
      </w:r>
      <w:proofErr w:type="gramStart"/>
      <w:r w:rsidRPr="00411593">
        <w:rPr>
          <w:sz w:val="16"/>
          <w:szCs w:val="16"/>
        </w:rPr>
        <w:t xml:space="preserve">= </w:t>
      </w:r>
      <w:r w:rsidR="00BC2456">
        <w:rPr>
          <w:sz w:val="16"/>
          <w:szCs w:val="16"/>
        </w:rPr>
        <w:t xml:space="preserve"> 0</w:t>
      </w:r>
      <w:proofErr w:type="gramEnd"/>
      <w:r w:rsidR="00BC2456">
        <w:rPr>
          <w:sz w:val="16"/>
          <w:szCs w:val="16"/>
        </w:rPr>
        <w:t xml:space="preserve"> </w:t>
      </w:r>
      <w:r w:rsidRPr="00411593">
        <w:rPr>
          <w:sz w:val="16"/>
          <w:szCs w:val="16"/>
        </w:rPr>
        <w:t xml:space="preserve">burden hours) and </w:t>
      </w:r>
      <w:r w:rsidR="009E7E5F">
        <w:rPr>
          <w:sz w:val="16"/>
          <w:szCs w:val="16"/>
        </w:rPr>
        <w:t>2,</w:t>
      </w:r>
      <w:r w:rsidR="00D865BD">
        <w:rPr>
          <w:sz w:val="16"/>
          <w:szCs w:val="16"/>
        </w:rPr>
        <w:t xml:space="preserve">125 </w:t>
      </w:r>
      <w:r w:rsidRPr="00411593">
        <w:rPr>
          <w:sz w:val="16"/>
          <w:szCs w:val="16"/>
        </w:rPr>
        <w:t>hours (125 x 1</w:t>
      </w:r>
      <w:r w:rsidR="00D865BD">
        <w:rPr>
          <w:sz w:val="16"/>
          <w:szCs w:val="16"/>
        </w:rPr>
        <w:t>7</w:t>
      </w:r>
      <w:r w:rsidRPr="00411593">
        <w:rPr>
          <w:sz w:val="16"/>
          <w:szCs w:val="16"/>
        </w:rPr>
        <w:t xml:space="preserve"> = </w:t>
      </w:r>
      <w:r w:rsidR="00650EBD">
        <w:rPr>
          <w:sz w:val="16"/>
          <w:szCs w:val="16"/>
        </w:rPr>
        <w:t xml:space="preserve"> 2,</w:t>
      </w:r>
      <w:r w:rsidR="00D865BD">
        <w:rPr>
          <w:sz w:val="16"/>
          <w:szCs w:val="16"/>
        </w:rPr>
        <w:t xml:space="preserve">125 </w:t>
      </w:r>
      <w:r w:rsidRPr="00411593">
        <w:rPr>
          <w:sz w:val="16"/>
          <w:szCs w:val="16"/>
        </w:rPr>
        <w:t xml:space="preserve">burden hours). Based on these estimates, the Commission has determined that the annual average aggregate burden hours for all DCMs to be </w:t>
      </w:r>
      <w:r w:rsidR="00BE239A">
        <w:rPr>
          <w:sz w:val="16"/>
          <w:szCs w:val="16"/>
        </w:rPr>
        <w:t>1,0</w:t>
      </w:r>
      <w:r w:rsidR="00D865BD">
        <w:rPr>
          <w:sz w:val="16"/>
          <w:szCs w:val="16"/>
        </w:rPr>
        <w:t xml:space="preserve">62.50 </w:t>
      </w:r>
      <w:r w:rsidRPr="00411593">
        <w:rPr>
          <w:sz w:val="16"/>
          <w:szCs w:val="16"/>
        </w:rPr>
        <w:t xml:space="preserve">burden hours with an annual average burden hour for each DCM to be </w:t>
      </w:r>
      <w:r w:rsidR="00D865BD" w:rsidRPr="00D865BD">
        <w:rPr>
          <w:sz w:val="16"/>
          <w:szCs w:val="16"/>
        </w:rPr>
        <w:t>66.406</w:t>
      </w:r>
      <w:r w:rsidR="00D865BD">
        <w:rPr>
          <w:sz w:val="16"/>
          <w:szCs w:val="16"/>
        </w:rPr>
        <w:t xml:space="preserve"> </w:t>
      </w:r>
      <w:r w:rsidRPr="00411593">
        <w:rPr>
          <w:sz w:val="16"/>
          <w:szCs w:val="16"/>
        </w:rPr>
        <w:t>burden hours.</w:t>
      </w:r>
    </w:p>
  </w:footnote>
  <w:footnote w:id="12">
    <w:p w14:paraId="43950CBF" w14:textId="40693AA6" w:rsidR="004626E5" w:rsidRPr="000C74A4" w:rsidRDefault="004626E5">
      <w:pPr>
        <w:pStyle w:val="FootnoteText"/>
        <w:rPr>
          <w:sz w:val="16"/>
          <w:szCs w:val="16"/>
        </w:rPr>
      </w:pPr>
      <w:r w:rsidRPr="000C74A4">
        <w:rPr>
          <w:rStyle w:val="FootnoteReference"/>
          <w:sz w:val="16"/>
          <w:szCs w:val="16"/>
        </w:rPr>
        <w:footnoteRef/>
      </w:r>
      <w:r w:rsidRPr="000C74A4">
        <w:rPr>
          <w:sz w:val="16"/>
          <w:szCs w:val="16"/>
        </w:rPr>
        <w:t xml:space="preserve"> </w:t>
      </w:r>
      <w:r w:rsidR="00925300" w:rsidRPr="000C74A4">
        <w:rPr>
          <w:sz w:val="16"/>
          <w:szCs w:val="16"/>
        </w:rPr>
        <w:t xml:space="preserve">The Commission is providing a </w:t>
      </w:r>
      <w:r w:rsidR="001505D1" w:rsidRPr="000C74A4">
        <w:rPr>
          <w:sz w:val="16"/>
          <w:szCs w:val="16"/>
        </w:rPr>
        <w:t xml:space="preserve">rate </w:t>
      </w:r>
      <w:r w:rsidR="00925300" w:rsidRPr="000C74A4">
        <w:rPr>
          <w:sz w:val="16"/>
          <w:szCs w:val="16"/>
        </w:rPr>
        <w:t xml:space="preserve">using estimated industry specific wages for </w:t>
      </w:r>
      <w:r w:rsidR="000C74A4" w:rsidRPr="000C74A4">
        <w:rPr>
          <w:sz w:val="16"/>
          <w:szCs w:val="16"/>
        </w:rPr>
        <w:t>Database Administrators and Architects</w:t>
      </w:r>
      <w:r w:rsidR="007503F5">
        <w:rPr>
          <w:sz w:val="16"/>
          <w:szCs w:val="16"/>
        </w:rPr>
        <w:t xml:space="preserve"> </w:t>
      </w:r>
      <w:r w:rsidR="007503F5" w:rsidRPr="007503F5">
        <w:rPr>
          <w:sz w:val="16"/>
          <w:szCs w:val="16"/>
        </w:rPr>
        <w:t>multiplied by 1.3 to account for overhead and other benefits</w:t>
      </w:r>
      <w:r w:rsidR="00925300" w:rsidRPr="000C74A4">
        <w:rPr>
          <w:sz w:val="16"/>
          <w:szCs w:val="16"/>
        </w:rPr>
        <w:t xml:space="preserve">. </w:t>
      </w:r>
      <w:r w:rsidR="000C74A4" w:rsidRPr="000C74A4">
        <w:rPr>
          <w:sz w:val="16"/>
          <w:szCs w:val="16"/>
        </w:rPr>
        <w:t xml:space="preserve"> </w:t>
      </w:r>
      <w:r w:rsidR="00925300" w:rsidRPr="000C74A4">
        <w:rPr>
          <w:sz w:val="16"/>
          <w:szCs w:val="16"/>
        </w:rPr>
        <w:t>Per the U.S. Bureau of Labor Statistics, national industry-specific occupational employment and wage estimates with data collected from employers in the securities, commodity contracts, and other financial investments and related activities provides that the mean hourly wage for a</w:t>
      </w:r>
      <w:r w:rsidR="000C74A4" w:rsidRPr="000C74A4">
        <w:rPr>
          <w:sz w:val="16"/>
          <w:szCs w:val="16"/>
        </w:rPr>
        <w:t xml:space="preserve"> database administrator and architect is $54.63.  </w:t>
      </w:r>
      <w:proofErr w:type="gramStart"/>
      <w:r w:rsidR="00925300" w:rsidRPr="000C74A4">
        <w:rPr>
          <w:i/>
          <w:sz w:val="16"/>
          <w:szCs w:val="16"/>
        </w:rPr>
        <w:t>See</w:t>
      </w:r>
      <w:r w:rsidR="00925300" w:rsidRPr="000C74A4">
        <w:rPr>
          <w:sz w:val="16"/>
          <w:szCs w:val="16"/>
        </w:rPr>
        <w:t>,  May</w:t>
      </w:r>
      <w:proofErr w:type="gramEnd"/>
      <w:r w:rsidR="00925300" w:rsidRPr="000C74A4">
        <w:rPr>
          <w:sz w:val="16"/>
          <w:szCs w:val="16"/>
        </w:rPr>
        <w:t xml:space="preserve"> 201</w:t>
      </w:r>
      <w:r w:rsidR="000C74A4" w:rsidRPr="000C74A4">
        <w:rPr>
          <w:sz w:val="16"/>
          <w:szCs w:val="16"/>
        </w:rPr>
        <w:t>9</w:t>
      </w:r>
      <w:r w:rsidR="00925300" w:rsidRPr="000C74A4">
        <w:rPr>
          <w:sz w:val="16"/>
          <w:szCs w:val="16"/>
        </w:rPr>
        <w:t xml:space="preserve"> National Industry-Specific Occupational Employment and Wage Estimates, NAICS 523000 - Securities, Commodity Contracts, and Other Financial Investments and Related Activities, available at: </w:t>
      </w:r>
      <w:hyperlink r:id="rId3" w:history="1">
        <w:r w:rsidR="000C74A4" w:rsidRPr="000C74A4">
          <w:rPr>
            <w:rStyle w:val="Hyperlink"/>
            <w:sz w:val="16"/>
            <w:szCs w:val="16"/>
          </w:rPr>
          <w:t>https://www.bls.gov/oes/current/naics4_523000.htm</w:t>
        </w:r>
      </w:hyperlink>
      <w:r w:rsidR="00925300" w:rsidRPr="000C74A4">
        <w:rPr>
          <w:sz w:val="16"/>
          <w:szCs w:val="16"/>
        </w:rPr>
        <w:t>.</w:t>
      </w:r>
      <w:r w:rsidR="000C74A4" w:rsidRPr="000C74A4">
        <w:rPr>
          <w:sz w:val="16"/>
          <w:szCs w:val="16"/>
        </w:rPr>
        <w:t xml:space="preserve"> </w:t>
      </w:r>
      <w:r w:rsidR="007503F5">
        <w:rPr>
          <w:sz w:val="16"/>
          <w:szCs w:val="16"/>
        </w:rPr>
        <w:t xml:space="preserve"> </w:t>
      </w:r>
    </w:p>
  </w:footnote>
  <w:footnote w:id="13">
    <w:p w14:paraId="42B70314" w14:textId="1374A145" w:rsidR="00060EB0" w:rsidRPr="00411593" w:rsidRDefault="00060EB0">
      <w:pPr>
        <w:pStyle w:val="FootnoteText"/>
        <w:rPr>
          <w:sz w:val="16"/>
          <w:szCs w:val="16"/>
        </w:rPr>
      </w:pPr>
      <w:r w:rsidRPr="00411593">
        <w:rPr>
          <w:rStyle w:val="FootnoteReference"/>
          <w:sz w:val="16"/>
          <w:szCs w:val="16"/>
        </w:rPr>
        <w:footnoteRef/>
      </w:r>
      <w:r w:rsidRPr="00411593">
        <w:rPr>
          <w:sz w:val="16"/>
          <w:szCs w:val="16"/>
        </w:rPr>
        <w:t xml:space="preserve"> </w:t>
      </w:r>
      <w:r>
        <w:rPr>
          <w:sz w:val="16"/>
          <w:szCs w:val="16"/>
        </w:rPr>
        <w:t>T</w:t>
      </w:r>
      <w:r w:rsidRPr="00411593">
        <w:rPr>
          <w:sz w:val="16"/>
          <w:szCs w:val="16"/>
        </w:rPr>
        <w:t xml:space="preserve">he Commission calculates that the annual average aggregate recordkeeping burden hours for all DCMs to be </w:t>
      </w:r>
      <w:r w:rsidR="00FA62D0">
        <w:rPr>
          <w:sz w:val="16"/>
          <w:szCs w:val="16"/>
        </w:rPr>
        <w:t>4</w:t>
      </w:r>
      <w:r w:rsidR="00A95437">
        <w:rPr>
          <w:sz w:val="16"/>
          <w:szCs w:val="16"/>
        </w:rPr>
        <w:t>00</w:t>
      </w:r>
      <w:r w:rsidRPr="00411593">
        <w:rPr>
          <w:sz w:val="16"/>
          <w:szCs w:val="16"/>
        </w:rPr>
        <w:t xml:space="preserve"> burden hours with an annual average recordkeeping burden hour for each DCM to be </w:t>
      </w:r>
      <w:r w:rsidR="00FA62D0">
        <w:rPr>
          <w:sz w:val="16"/>
          <w:szCs w:val="16"/>
        </w:rPr>
        <w:t>2</w:t>
      </w:r>
      <w:r w:rsidR="00A95437">
        <w:rPr>
          <w:sz w:val="16"/>
          <w:szCs w:val="16"/>
        </w:rPr>
        <w:t>5</w:t>
      </w:r>
      <w:r w:rsidRPr="00411593">
        <w:rPr>
          <w:sz w:val="16"/>
          <w:szCs w:val="16"/>
        </w:rPr>
        <w:t xml:space="preserve"> burden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3D55" w14:textId="77777777" w:rsidR="00D00E5D" w:rsidRDefault="00D00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3B34" w14:textId="06751A6C" w:rsidR="00403743" w:rsidRPr="00A1312B" w:rsidRDefault="00403743">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C9A5" w14:textId="6AEC3B76" w:rsidR="00403743" w:rsidRPr="00A1312B" w:rsidRDefault="00403743">
    <w:pPr>
      <w:pStyle w:val="Header"/>
      <w:rPr>
        <w:b/>
      </w:rPr>
    </w:pPr>
    <w:r>
      <w:rPr>
        <w:b/>
      </w:rPr>
      <w:t>CONFIDENTIAL – ATTORNEY WORK PRODUCT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223A"/>
    <w:multiLevelType w:val="hybridMultilevel"/>
    <w:tmpl w:val="AF7CDEFC"/>
    <w:lvl w:ilvl="0" w:tplc="2F264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1515F"/>
    <w:multiLevelType w:val="hybridMultilevel"/>
    <w:tmpl w:val="E0BE7C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9C01AB"/>
    <w:multiLevelType w:val="hybridMultilevel"/>
    <w:tmpl w:val="63182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F50161"/>
    <w:multiLevelType w:val="hybridMultilevel"/>
    <w:tmpl w:val="67405C72"/>
    <w:lvl w:ilvl="0" w:tplc="B9B6FD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E81985"/>
    <w:multiLevelType w:val="hybridMultilevel"/>
    <w:tmpl w:val="73CE0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C21F58"/>
    <w:multiLevelType w:val="hybridMultilevel"/>
    <w:tmpl w:val="73CE0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E370A5"/>
    <w:multiLevelType w:val="hybridMultilevel"/>
    <w:tmpl w:val="D96E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0"/>
  </w:num>
  <w:num w:numId="6">
    <w:abstractNumId w:val="5"/>
  </w:num>
  <w:num w:numId="7">
    <w:abstractNumId w:val="9"/>
  </w:num>
  <w:num w:numId="8">
    <w:abstractNumId w:val="8"/>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134EA"/>
    <w:rsid w:val="000160C1"/>
    <w:rsid w:val="00042708"/>
    <w:rsid w:val="00042B78"/>
    <w:rsid w:val="000536ED"/>
    <w:rsid w:val="000576BF"/>
    <w:rsid w:val="00060EB0"/>
    <w:rsid w:val="000669B9"/>
    <w:rsid w:val="0006754E"/>
    <w:rsid w:val="00072761"/>
    <w:rsid w:val="00077196"/>
    <w:rsid w:val="000803D6"/>
    <w:rsid w:val="00082089"/>
    <w:rsid w:val="000822F9"/>
    <w:rsid w:val="000835FF"/>
    <w:rsid w:val="00083F72"/>
    <w:rsid w:val="000A5358"/>
    <w:rsid w:val="000B6BBD"/>
    <w:rsid w:val="000C2981"/>
    <w:rsid w:val="000C3307"/>
    <w:rsid w:val="000C376D"/>
    <w:rsid w:val="000C74A4"/>
    <w:rsid w:val="000E0987"/>
    <w:rsid w:val="000F154D"/>
    <w:rsid w:val="000F6FBD"/>
    <w:rsid w:val="00102259"/>
    <w:rsid w:val="00110B3D"/>
    <w:rsid w:val="00116FC7"/>
    <w:rsid w:val="0012080B"/>
    <w:rsid w:val="00136FFE"/>
    <w:rsid w:val="001505D1"/>
    <w:rsid w:val="00153931"/>
    <w:rsid w:val="001577B2"/>
    <w:rsid w:val="001659CE"/>
    <w:rsid w:val="00170AA9"/>
    <w:rsid w:val="00172E0A"/>
    <w:rsid w:val="00176391"/>
    <w:rsid w:val="00177C8E"/>
    <w:rsid w:val="00180982"/>
    <w:rsid w:val="00183707"/>
    <w:rsid w:val="0018632D"/>
    <w:rsid w:val="001C1A68"/>
    <w:rsid w:val="001C524C"/>
    <w:rsid w:val="001D57CD"/>
    <w:rsid w:val="00200207"/>
    <w:rsid w:val="00207ED0"/>
    <w:rsid w:val="00212560"/>
    <w:rsid w:val="00214994"/>
    <w:rsid w:val="00230C3D"/>
    <w:rsid w:val="00233CA2"/>
    <w:rsid w:val="00233D65"/>
    <w:rsid w:val="00243435"/>
    <w:rsid w:val="0025084E"/>
    <w:rsid w:val="002600FA"/>
    <w:rsid w:val="00260C07"/>
    <w:rsid w:val="002712C5"/>
    <w:rsid w:val="00275798"/>
    <w:rsid w:val="0027708A"/>
    <w:rsid w:val="002879E8"/>
    <w:rsid w:val="002A4D66"/>
    <w:rsid w:val="002A7308"/>
    <w:rsid w:val="002B2127"/>
    <w:rsid w:val="002C4782"/>
    <w:rsid w:val="002C7E70"/>
    <w:rsid w:val="002D0489"/>
    <w:rsid w:val="002D4B3B"/>
    <w:rsid w:val="002E0580"/>
    <w:rsid w:val="002E05BD"/>
    <w:rsid w:val="002E40C6"/>
    <w:rsid w:val="002F1E80"/>
    <w:rsid w:val="00307E70"/>
    <w:rsid w:val="003308EE"/>
    <w:rsid w:val="00330D12"/>
    <w:rsid w:val="00330DF8"/>
    <w:rsid w:val="00356A31"/>
    <w:rsid w:val="003607A6"/>
    <w:rsid w:val="003677B4"/>
    <w:rsid w:val="0037088D"/>
    <w:rsid w:val="0037312F"/>
    <w:rsid w:val="0037421B"/>
    <w:rsid w:val="003755F4"/>
    <w:rsid w:val="00385AAF"/>
    <w:rsid w:val="0038772F"/>
    <w:rsid w:val="003969BE"/>
    <w:rsid w:val="003B1C75"/>
    <w:rsid w:val="003B5288"/>
    <w:rsid w:val="003B5FAA"/>
    <w:rsid w:val="003C2EC2"/>
    <w:rsid w:val="003C3CC6"/>
    <w:rsid w:val="00403743"/>
    <w:rsid w:val="004049D0"/>
    <w:rsid w:val="00411593"/>
    <w:rsid w:val="00413D9C"/>
    <w:rsid w:val="00425685"/>
    <w:rsid w:val="00430FCE"/>
    <w:rsid w:val="00443D7B"/>
    <w:rsid w:val="00444A8C"/>
    <w:rsid w:val="0044799F"/>
    <w:rsid w:val="004514E2"/>
    <w:rsid w:val="004529E9"/>
    <w:rsid w:val="004626E5"/>
    <w:rsid w:val="004649D6"/>
    <w:rsid w:val="00476AB6"/>
    <w:rsid w:val="00477E99"/>
    <w:rsid w:val="00480A28"/>
    <w:rsid w:val="004917AF"/>
    <w:rsid w:val="004A5F11"/>
    <w:rsid w:val="004B07F1"/>
    <w:rsid w:val="004B7B89"/>
    <w:rsid w:val="004C2276"/>
    <w:rsid w:val="004D1B4F"/>
    <w:rsid w:val="004D3A5F"/>
    <w:rsid w:val="004D4BEA"/>
    <w:rsid w:val="004E43F0"/>
    <w:rsid w:val="004F3AFA"/>
    <w:rsid w:val="004F4C42"/>
    <w:rsid w:val="00523488"/>
    <w:rsid w:val="00525395"/>
    <w:rsid w:val="00527327"/>
    <w:rsid w:val="00546BED"/>
    <w:rsid w:val="005503C6"/>
    <w:rsid w:val="00553925"/>
    <w:rsid w:val="0055437E"/>
    <w:rsid w:val="00554929"/>
    <w:rsid w:val="00555376"/>
    <w:rsid w:val="005573E6"/>
    <w:rsid w:val="00557EF2"/>
    <w:rsid w:val="00573A7C"/>
    <w:rsid w:val="00577F1F"/>
    <w:rsid w:val="00585718"/>
    <w:rsid w:val="00596192"/>
    <w:rsid w:val="005961FE"/>
    <w:rsid w:val="005B7F59"/>
    <w:rsid w:val="005D34A0"/>
    <w:rsid w:val="005E0ED0"/>
    <w:rsid w:val="005E41B2"/>
    <w:rsid w:val="005E4E5C"/>
    <w:rsid w:val="005F3881"/>
    <w:rsid w:val="00607D38"/>
    <w:rsid w:val="006209AC"/>
    <w:rsid w:val="006243BC"/>
    <w:rsid w:val="00635BDB"/>
    <w:rsid w:val="0063622E"/>
    <w:rsid w:val="00637711"/>
    <w:rsid w:val="00640784"/>
    <w:rsid w:val="00642B6A"/>
    <w:rsid w:val="00650EBD"/>
    <w:rsid w:val="00653547"/>
    <w:rsid w:val="00667CD6"/>
    <w:rsid w:val="00697065"/>
    <w:rsid w:val="006A19C0"/>
    <w:rsid w:val="006B2795"/>
    <w:rsid w:val="006B2A40"/>
    <w:rsid w:val="006D0819"/>
    <w:rsid w:val="006F3373"/>
    <w:rsid w:val="006F5877"/>
    <w:rsid w:val="00700A79"/>
    <w:rsid w:val="007029A9"/>
    <w:rsid w:val="00703B41"/>
    <w:rsid w:val="00707AB0"/>
    <w:rsid w:val="00710C2F"/>
    <w:rsid w:val="00715F21"/>
    <w:rsid w:val="007211AB"/>
    <w:rsid w:val="00731300"/>
    <w:rsid w:val="00734D0E"/>
    <w:rsid w:val="00740573"/>
    <w:rsid w:val="0074122B"/>
    <w:rsid w:val="00747BF5"/>
    <w:rsid w:val="007503F5"/>
    <w:rsid w:val="00751B4D"/>
    <w:rsid w:val="00755826"/>
    <w:rsid w:val="00757795"/>
    <w:rsid w:val="0076443A"/>
    <w:rsid w:val="00767D1F"/>
    <w:rsid w:val="007713DE"/>
    <w:rsid w:val="007724B6"/>
    <w:rsid w:val="00772B9C"/>
    <w:rsid w:val="00777A51"/>
    <w:rsid w:val="0078471A"/>
    <w:rsid w:val="00793975"/>
    <w:rsid w:val="00796BCB"/>
    <w:rsid w:val="0079756B"/>
    <w:rsid w:val="007B1158"/>
    <w:rsid w:val="007B1735"/>
    <w:rsid w:val="007B7CE3"/>
    <w:rsid w:val="007C1FC8"/>
    <w:rsid w:val="007C5B3F"/>
    <w:rsid w:val="007D0DFB"/>
    <w:rsid w:val="007D22E3"/>
    <w:rsid w:val="007D593D"/>
    <w:rsid w:val="007E10D4"/>
    <w:rsid w:val="007F00B6"/>
    <w:rsid w:val="007F27F5"/>
    <w:rsid w:val="007F3179"/>
    <w:rsid w:val="00805426"/>
    <w:rsid w:val="0081737B"/>
    <w:rsid w:val="008177DE"/>
    <w:rsid w:val="0082456A"/>
    <w:rsid w:val="00831294"/>
    <w:rsid w:val="00834222"/>
    <w:rsid w:val="00836741"/>
    <w:rsid w:val="008435FA"/>
    <w:rsid w:val="00843603"/>
    <w:rsid w:val="00852DF4"/>
    <w:rsid w:val="00854AE1"/>
    <w:rsid w:val="0087450C"/>
    <w:rsid w:val="0088013C"/>
    <w:rsid w:val="00882745"/>
    <w:rsid w:val="008A16F8"/>
    <w:rsid w:val="008C3501"/>
    <w:rsid w:val="008C7D77"/>
    <w:rsid w:val="008D0156"/>
    <w:rsid w:val="008D0711"/>
    <w:rsid w:val="008D7B2A"/>
    <w:rsid w:val="008F2F98"/>
    <w:rsid w:val="008F6A96"/>
    <w:rsid w:val="008F6D4A"/>
    <w:rsid w:val="008F6F03"/>
    <w:rsid w:val="00902356"/>
    <w:rsid w:val="009138D7"/>
    <w:rsid w:val="00925300"/>
    <w:rsid w:val="009309EC"/>
    <w:rsid w:val="009357CC"/>
    <w:rsid w:val="00963975"/>
    <w:rsid w:val="009876CF"/>
    <w:rsid w:val="00994CC8"/>
    <w:rsid w:val="0099690D"/>
    <w:rsid w:val="00996B14"/>
    <w:rsid w:val="00997DEB"/>
    <w:rsid w:val="009B1E93"/>
    <w:rsid w:val="009B2F52"/>
    <w:rsid w:val="009B3431"/>
    <w:rsid w:val="009C6DB4"/>
    <w:rsid w:val="009D00FB"/>
    <w:rsid w:val="009E7E00"/>
    <w:rsid w:val="009E7E5F"/>
    <w:rsid w:val="00A051AF"/>
    <w:rsid w:val="00A1312B"/>
    <w:rsid w:val="00A2087E"/>
    <w:rsid w:val="00A21622"/>
    <w:rsid w:val="00A257E3"/>
    <w:rsid w:val="00A34FBC"/>
    <w:rsid w:val="00A40B11"/>
    <w:rsid w:val="00A54471"/>
    <w:rsid w:val="00A60859"/>
    <w:rsid w:val="00A668B2"/>
    <w:rsid w:val="00A708B1"/>
    <w:rsid w:val="00A8233C"/>
    <w:rsid w:val="00A91A76"/>
    <w:rsid w:val="00A9272D"/>
    <w:rsid w:val="00A95437"/>
    <w:rsid w:val="00AA0863"/>
    <w:rsid w:val="00AA2F92"/>
    <w:rsid w:val="00AB0E26"/>
    <w:rsid w:val="00AC12BC"/>
    <w:rsid w:val="00AC2529"/>
    <w:rsid w:val="00AC59BE"/>
    <w:rsid w:val="00AC5B6C"/>
    <w:rsid w:val="00AD0B9F"/>
    <w:rsid w:val="00AD2AF1"/>
    <w:rsid w:val="00AF77EB"/>
    <w:rsid w:val="00B10527"/>
    <w:rsid w:val="00B1090B"/>
    <w:rsid w:val="00B1574B"/>
    <w:rsid w:val="00B20669"/>
    <w:rsid w:val="00B213BC"/>
    <w:rsid w:val="00B328FB"/>
    <w:rsid w:val="00B33652"/>
    <w:rsid w:val="00B35DD0"/>
    <w:rsid w:val="00B6544D"/>
    <w:rsid w:val="00B6776C"/>
    <w:rsid w:val="00B73821"/>
    <w:rsid w:val="00B740CF"/>
    <w:rsid w:val="00B743C4"/>
    <w:rsid w:val="00B74CE1"/>
    <w:rsid w:val="00B85063"/>
    <w:rsid w:val="00B86819"/>
    <w:rsid w:val="00B91704"/>
    <w:rsid w:val="00B91FAD"/>
    <w:rsid w:val="00B9549F"/>
    <w:rsid w:val="00B978AF"/>
    <w:rsid w:val="00BA0A82"/>
    <w:rsid w:val="00BA1A57"/>
    <w:rsid w:val="00BA787B"/>
    <w:rsid w:val="00BC2456"/>
    <w:rsid w:val="00BC71A3"/>
    <w:rsid w:val="00BD7D8C"/>
    <w:rsid w:val="00BE239A"/>
    <w:rsid w:val="00BE3923"/>
    <w:rsid w:val="00BE6AC8"/>
    <w:rsid w:val="00BF2E68"/>
    <w:rsid w:val="00C032F4"/>
    <w:rsid w:val="00C03FBF"/>
    <w:rsid w:val="00C173E1"/>
    <w:rsid w:val="00C2000F"/>
    <w:rsid w:val="00C23A3C"/>
    <w:rsid w:val="00C52CF3"/>
    <w:rsid w:val="00C53D51"/>
    <w:rsid w:val="00C74CD0"/>
    <w:rsid w:val="00C81EBA"/>
    <w:rsid w:val="00C857A2"/>
    <w:rsid w:val="00C91CB5"/>
    <w:rsid w:val="00C9497A"/>
    <w:rsid w:val="00CA575A"/>
    <w:rsid w:val="00CB0776"/>
    <w:rsid w:val="00CC11BF"/>
    <w:rsid w:val="00CE2B27"/>
    <w:rsid w:val="00CE7391"/>
    <w:rsid w:val="00CF1C34"/>
    <w:rsid w:val="00CF4195"/>
    <w:rsid w:val="00D00E5D"/>
    <w:rsid w:val="00D05F35"/>
    <w:rsid w:val="00D128BF"/>
    <w:rsid w:val="00D12FEB"/>
    <w:rsid w:val="00D14EFB"/>
    <w:rsid w:val="00D23D7B"/>
    <w:rsid w:val="00D24E31"/>
    <w:rsid w:val="00D25BD2"/>
    <w:rsid w:val="00D27AE8"/>
    <w:rsid w:val="00D369A6"/>
    <w:rsid w:val="00D37F72"/>
    <w:rsid w:val="00D46920"/>
    <w:rsid w:val="00D56B0E"/>
    <w:rsid w:val="00D635B7"/>
    <w:rsid w:val="00D85C82"/>
    <w:rsid w:val="00D865BD"/>
    <w:rsid w:val="00D945B5"/>
    <w:rsid w:val="00DA6954"/>
    <w:rsid w:val="00DB00E1"/>
    <w:rsid w:val="00DB1AD1"/>
    <w:rsid w:val="00DB2D73"/>
    <w:rsid w:val="00DB5503"/>
    <w:rsid w:val="00DB5682"/>
    <w:rsid w:val="00DB7297"/>
    <w:rsid w:val="00DD36CC"/>
    <w:rsid w:val="00DD51EE"/>
    <w:rsid w:val="00DE684B"/>
    <w:rsid w:val="00E015E1"/>
    <w:rsid w:val="00E069FE"/>
    <w:rsid w:val="00E07B0D"/>
    <w:rsid w:val="00E1358B"/>
    <w:rsid w:val="00E15E4F"/>
    <w:rsid w:val="00E17384"/>
    <w:rsid w:val="00E3054F"/>
    <w:rsid w:val="00E446C6"/>
    <w:rsid w:val="00E60439"/>
    <w:rsid w:val="00E60FE3"/>
    <w:rsid w:val="00E73A61"/>
    <w:rsid w:val="00E86335"/>
    <w:rsid w:val="00E8648F"/>
    <w:rsid w:val="00E87F36"/>
    <w:rsid w:val="00E87F90"/>
    <w:rsid w:val="00EA3010"/>
    <w:rsid w:val="00EB0FA7"/>
    <w:rsid w:val="00EB1831"/>
    <w:rsid w:val="00EB4636"/>
    <w:rsid w:val="00EC238C"/>
    <w:rsid w:val="00EF0922"/>
    <w:rsid w:val="00EF2E68"/>
    <w:rsid w:val="00F02CC0"/>
    <w:rsid w:val="00F060D9"/>
    <w:rsid w:val="00F11AB5"/>
    <w:rsid w:val="00F14C08"/>
    <w:rsid w:val="00F21958"/>
    <w:rsid w:val="00F21A24"/>
    <w:rsid w:val="00F378A6"/>
    <w:rsid w:val="00F4707F"/>
    <w:rsid w:val="00F53672"/>
    <w:rsid w:val="00F56608"/>
    <w:rsid w:val="00F568E5"/>
    <w:rsid w:val="00F62536"/>
    <w:rsid w:val="00F934B2"/>
    <w:rsid w:val="00FA62D0"/>
    <w:rsid w:val="00FA7B73"/>
    <w:rsid w:val="00FB0145"/>
    <w:rsid w:val="00FB68D6"/>
    <w:rsid w:val="00FC54D4"/>
    <w:rsid w:val="00FD6D7D"/>
    <w:rsid w:val="00FE1133"/>
    <w:rsid w:val="00FE503D"/>
    <w:rsid w:val="00FE58F8"/>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A55EC6E"/>
  <w15:docId w15:val="{7075A12A-A891-487F-9851-11A02082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Style 46,o,Style 13,Style 12,Style 15,Style 17,Style 9,o1,fr1,o2,fr2,o3,fr3,Style 18,(NECG) Footnote Reference,Style 20,Style 7,Style 8,Tory Footnotes,Style 28,Style 11,Nota,Footnote"/>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styleId="Caption">
    <w:name w:val="caption"/>
    <w:basedOn w:val="Normal"/>
    <w:next w:val="Normal"/>
    <w:qFormat/>
    <w:rsid w:val="00700A79"/>
    <w:rPr>
      <w:rFonts w:ascii="Courier" w:eastAsia="Times New Roman" w:hAnsi="Courier" w:cs="Times New Roman"/>
      <w:szCs w:val="20"/>
    </w:rPr>
  </w:style>
  <w:style w:type="character" w:styleId="Hyperlink">
    <w:name w:val="Hyperlink"/>
    <w:basedOn w:val="DefaultParagraphFont"/>
    <w:uiPriority w:val="99"/>
    <w:unhideWhenUsed/>
    <w:rsid w:val="001505D1"/>
    <w:rPr>
      <w:color w:val="0000FF" w:themeColor="hyperlink"/>
      <w:u w:val="single"/>
    </w:rPr>
  </w:style>
  <w:style w:type="character" w:styleId="FollowedHyperlink">
    <w:name w:val="FollowedHyperlink"/>
    <w:basedOn w:val="DefaultParagraphFont"/>
    <w:uiPriority w:val="99"/>
    <w:semiHidden/>
    <w:unhideWhenUsed/>
    <w:rsid w:val="000C7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01">
      <w:bodyDiv w:val="1"/>
      <w:marLeft w:val="0"/>
      <w:marRight w:val="0"/>
      <w:marTop w:val="0"/>
      <w:marBottom w:val="0"/>
      <w:divBdr>
        <w:top w:val="none" w:sz="0" w:space="0" w:color="auto"/>
        <w:left w:val="none" w:sz="0" w:space="0" w:color="auto"/>
        <w:bottom w:val="none" w:sz="0" w:space="0" w:color="auto"/>
        <w:right w:val="none" w:sz="0" w:space="0" w:color="auto"/>
      </w:divBdr>
    </w:div>
    <w:div w:id="17654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4_523000.htm" TargetMode="External"/><Relationship Id="rId2" Type="http://schemas.openxmlformats.org/officeDocument/2006/relationships/hyperlink" Target="https://www.bls.gov/oes/current/naics4_523000.htm" TargetMode="External"/><Relationship Id="rId1" Type="http://schemas.openxmlformats.org/officeDocument/2006/relationships/hyperlink" Target="https://www.cmegroup.com/confluence/display/EPICSANDBOX/Velocity+Log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EB7A-A515-45DB-BE4A-B9073D50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3797</Words>
  <Characters>21644</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Scott, Gail B.</cp:lastModifiedBy>
  <cp:revision>2</cp:revision>
  <cp:lastPrinted>2015-09-28T14:21:00Z</cp:lastPrinted>
  <dcterms:created xsi:type="dcterms:W3CDTF">2020-12-18T02:54:00Z</dcterms:created>
  <dcterms:modified xsi:type="dcterms:W3CDTF">2020-12-18T02:54:00Z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