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4785" w:rsidR="005F7C62" w:rsidP="00ED010C" w:rsidRDefault="001B27E7" w14:paraId="02087EFA" w14:textId="3C8F882F">
      <w:pPr>
        <w:rPr>
          <w:rFonts w:eastAsia="Times New Roman" w:cs="Times New Roman"/>
          <w:sz w:val="20"/>
          <w:szCs w:val="20"/>
        </w:rPr>
      </w:pPr>
      <w:r w:rsidRPr="00AD4785">
        <w:rPr>
          <w:rFonts w:eastAsia="Times New Roman" w:cs="Times New Roman"/>
          <w:sz w:val="20"/>
          <w:szCs w:val="20"/>
        </w:rPr>
        <w:t xml:space="preserve">  </w:t>
      </w:r>
    </w:p>
    <w:p w:rsidRPr="00AD4785" w:rsidR="005F7C62" w:rsidP="00ED010C" w:rsidRDefault="005F7C62" w14:paraId="1AFBEF1A" w14:textId="77777777">
      <w:pPr>
        <w:rPr>
          <w:rFonts w:eastAsia="Times New Roman" w:cs="Times New Roman"/>
          <w:sz w:val="20"/>
          <w:szCs w:val="20"/>
        </w:rPr>
      </w:pPr>
    </w:p>
    <w:p w:rsidRPr="00AD4785" w:rsidR="005F7C62" w:rsidP="00ED010C" w:rsidRDefault="005F7C62" w14:paraId="4E10675A" w14:textId="77777777">
      <w:pPr>
        <w:rPr>
          <w:rFonts w:eastAsia="Times New Roman" w:cs="Times New Roman"/>
          <w:sz w:val="20"/>
          <w:szCs w:val="20"/>
        </w:rPr>
      </w:pPr>
    </w:p>
    <w:p w:rsidRPr="00AD4785" w:rsidR="005F7C62" w:rsidP="00ED010C" w:rsidRDefault="005F7C62" w14:paraId="6659CD4C" w14:textId="77777777">
      <w:pPr>
        <w:rPr>
          <w:rFonts w:eastAsia="Times New Roman" w:cs="Times New Roman"/>
          <w:sz w:val="20"/>
          <w:szCs w:val="20"/>
        </w:rPr>
      </w:pPr>
    </w:p>
    <w:p w:rsidRPr="00AD4785" w:rsidR="005F7C62" w:rsidP="00342B07" w:rsidRDefault="005F7C62" w14:paraId="1E25C224" w14:textId="77777777">
      <w:pPr>
        <w:rPr>
          <w:rFonts w:eastAsia="Times New Roman" w:cs="Times New Roman"/>
          <w:sz w:val="23"/>
          <w:szCs w:val="23"/>
        </w:rPr>
      </w:pPr>
      <w:bookmarkStart w:name="_Hlk56782375" w:id="0"/>
    </w:p>
    <w:p w:rsidRPr="00AD4785" w:rsidR="00DE456E" w:rsidP="00DE456E" w:rsidRDefault="00DE456E" w14:paraId="577DDF9C" w14:textId="77777777">
      <w:pPr>
        <w:ind w:right="119"/>
        <w:jc w:val="center"/>
        <w:rPr>
          <w:rFonts w:eastAsia="Times New Roman" w:cs="Times New Roman"/>
          <w:spacing w:val="-22"/>
          <w:sz w:val="56"/>
          <w:szCs w:val="56"/>
        </w:rPr>
      </w:pPr>
      <w:r w:rsidRPr="00AD4785">
        <w:rPr>
          <w:rFonts w:eastAsia="Times New Roman" w:cs="Times New Roman"/>
          <w:spacing w:val="-22"/>
          <w:sz w:val="56"/>
          <w:szCs w:val="56"/>
        </w:rPr>
        <w:t>2020</w:t>
      </w:r>
    </w:p>
    <w:p w:rsidRPr="00AD4785" w:rsidR="00DE456E" w:rsidP="00DE456E" w:rsidRDefault="00DE456E" w14:paraId="12F840A9" w14:textId="77777777">
      <w:pPr>
        <w:ind w:right="119"/>
        <w:jc w:val="center"/>
        <w:rPr>
          <w:sz w:val="56"/>
          <w:szCs w:val="56"/>
        </w:rPr>
      </w:pPr>
      <w:r w:rsidRPr="00AD4785">
        <w:rPr>
          <w:rFonts w:eastAsia="Times New Roman" w:cs="Times New Roman"/>
          <w:sz w:val="56"/>
          <w:szCs w:val="56"/>
        </w:rPr>
        <w:t>Higher Education Research and Development</w:t>
      </w:r>
      <w:r w:rsidRPr="00AD4785">
        <w:rPr>
          <w:sz w:val="56"/>
          <w:szCs w:val="56"/>
        </w:rPr>
        <w:t xml:space="preserve"> Survey</w:t>
      </w:r>
    </w:p>
    <w:p w:rsidRPr="00AD4785" w:rsidR="00DE456E" w:rsidP="00DE456E" w:rsidRDefault="00DE456E" w14:paraId="58D556D4" w14:textId="77777777">
      <w:pPr>
        <w:ind w:right="119"/>
        <w:jc w:val="center"/>
        <w:rPr>
          <w:sz w:val="56"/>
          <w:szCs w:val="56"/>
        </w:rPr>
      </w:pPr>
      <w:r w:rsidRPr="00AD4785">
        <w:rPr>
          <w:sz w:val="56"/>
          <w:szCs w:val="56"/>
        </w:rPr>
        <w:t>and</w:t>
      </w:r>
    </w:p>
    <w:p w:rsidRPr="00AD4785" w:rsidR="00DE456E" w:rsidP="00DE456E" w:rsidRDefault="00DE456E" w14:paraId="0B70EF24" w14:textId="77777777">
      <w:pPr>
        <w:ind w:right="119"/>
        <w:jc w:val="center"/>
        <w:rPr>
          <w:sz w:val="56"/>
          <w:szCs w:val="56"/>
        </w:rPr>
      </w:pPr>
      <w:r w:rsidRPr="00AD4785">
        <w:rPr>
          <w:sz w:val="56"/>
          <w:szCs w:val="56"/>
        </w:rPr>
        <w:t>Federally Funded Research and</w:t>
      </w:r>
    </w:p>
    <w:p w:rsidRPr="00AD4785" w:rsidR="00DE456E" w:rsidP="00DE456E" w:rsidRDefault="00DE456E" w14:paraId="0692EFAE" w14:textId="77777777">
      <w:pPr>
        <w:ind w:right="119"/>
        <w:jc w:val="center"/>
        <w:rPr>
          <w:rFonts w:eastAsia="Times New Roman" w:cs="Times New Roman"/>
          <w:sz w:val="56"/>
          <w:szCs w:val="56"/>
        </w:rPr>
      </w:pPr>
      <w:r w:rsidRPr="00AD4785">
        <w:rPr>
          <w:sz w:val="56"/>
          <w:szCs w:val="56"/>
        </w:rPr>
        <w:t>Development Centers R&amp;D Survey</w:t>
      </w:r>
    </w:p>
    <w:p w:rsidRPr="00AD4785" w:rsidR="00DE456E" w:rsidP="00DE456E" w:rsidRDefault="00DE456E" w14:paraId="4E019125" w14:textId="77777777">
      <w:pPr>
        <w:rPr>
          <w:rFonts w:eastAsia="Times New Roman" w:cs="Times New Roman"/>
          <w:sz w:val="56"/>
          <w:szCs w:val="56"/>
        </w:rPr>
      </w:pPr>
    </w:p>
    <w:p w:rsidRPr="00AD4785" w:rsidR="00DE456E" w:rsidP="00DE456E" w:rsidRDefault="00DE456E" w14:paraId="2D2A155B" w14:textId="77777777">
      <w:pPr>
        <w:spacing w:after="240"/>
        <w:ind w:right="115"/>
        <w:jc w:val="center"/>
        <w:rPr>
          <w:spacing w:val="-1"/>
          <w:sz w:val="56"/>
        </w:rPr>
      </w:pPr>
      <w:r w:rsidRPr="00AD4785">
        <w:rPr>
          <w:sz w:val="56"/>
        </w:rPr>
        <w:t>OMB</w:t>
      </w:r>
      <w:r w:rsidRPr="00AD4785">
        <w:rPr>
          <w:spacing w:val="-32"/>
          <w:sz w:val="56"/>
        </w:rPr>
        <w:t xml:space="preserve"> </w:t>
      </w:r>
      <w:r w:rsidRPr="00AD4785">
        <w:rPr>
          <w:sz w:val="56"/>
        </w:rPr>
        <w:t>Supporting</w:t>
      </w:r>
      <w:r w:rsidRPr="00AD4785">
        <w:rPr>
          <w:spacing w:val="-31"/>
          <w:sz w:val="56"/>
        </w:rPr>
        <w:t xml:space="preserve"> </w:t>
      </w:r>
      <w:r w:rsidRPr="00AD4785">
        <w:rPr>
          <w:spacing w:val="-1"/>
          <w:sz w:val="56"/>
        </w:rPr>
        <w:t>Statement</w:t>
      </w:r>
    </w:p>
    <w:p w:rsidRPr="00AD4785" w:rsidR="00DE456E" w:rsidP="00DE456E" w:rsidRDefault="00DE456E" w14:paraId="42820087" w14:textId="600C78D3">
      <w:pPr>
        <w:spacing w:after="360"/>
        <w:ind w:right="115"/>
        <w:jc w:val="center"/>
        <w:rPr>
          <w:rFonts w:eastAsia="Times New Roman" w:cs="Times New Roman"/>
          <w:sz w:val="56"/>
          <w:szCs w:val="56"/>
        </w:rPr>
      </w:pPr>
      <w:r w:rsidRPr="00AD4785">
        <w:rPr>
          <w:spacing w:val="-1"/>
          <w:sz w:val="56"/>
        </w:rPr>
        <w:t>Section A</w:t>
      </w:r>
    </w:p>
    <w:p w:rsidRPr="00AD4785" w:rsidR="005F7C62" w:rsidP="00ED010C" w:rsidRDefault="005F7C62" w14:paraId="4BBD16E0" w14:textId="77777777">
      <w:pPr>
        <w:rPr>
          <w:rFonts w:eastAsia="Times New Roman" w:cs="Times New Roman"/>
          <w:sz w:val="56"/>
          <w:szCs w:val="56"/>
        </w:rPr>
      </w:pPr>
    </w:p>
    <w:p w:rsidRPr="00AD4785" w:rsidR="005F7C62" w:rsidP="00ED010C" w:rsidRDefault="005F7C62" w14:paraId="30236193" w14:textId="77777777">
      <w:pPr>
        <w:rPr>
          <w:rFonts w:eastAsia="Times New Roman" w:cs="Times New Roman"/>
          <w:sz w:val="56"/>
          <w:szCs w:val="56"/>
        </w:rPr>
      </w:pPr>
    </w:p>
    <w:p w:rsidRPr="00AD4785" w:rsidR="005F7C62" w:rsidP="00ED010C" w:rsidRDefault="005F7C62" w14:paraId="586301D8" w14:textId="77777777">
      <w:pPr>
        <w:rPr>
          <w:rFonts w:eastAsia="Times New Roman" w:cs="Times New Roman"/>
          <w:sz w:val="56"/>
          <w:szCs w:val="56"/>
        </w:rPr>
      </w:pPr>
    </w:p>
    <w:p w:rsidRPr="00AD4785" w:rsidR="005F7C62" w:rsidP="00ED010C" w:rsidRDefault="005F7C62" w14:paraId="694A9335" w14:textId="77777777">
      <w:pPr>
        <w:rPr>
          <w:rFonts w:eastAsia="Times New Roman" w:cs="Times New Roman"/>
          <w:sz w:val="56"/>
          <w:szCs w:val="56"/>
        </w:rPr>
      </w:pPr>
    </w:p>
    <w:p w:rsidRPr="00AD4785" w:rsidR="005F7C62" w:rsidP="00342B07" w:rsidRDefault="005F7C62" w14:paraId="6CFE4CFD" w14:textId="4B600C4B">
      <w:pPr>
        <w:rPr>
          <w:rFonts w:eastAsia="Times New Roman" w:cs="Times New Roman"/>
          <w:sz w:val="47"/>
          <w:szCs w:val="47"/>
        </w:rPr>
      </w:pPr>
    </w:p>
    <w:p w:rsidRPr="00AD4785" w:rsidR="005F7C62" w:rsidP="00DE456E" w:rsidRDefault="002C5109" w14:paraId="72DC85F6" w14:textId="5D774294">
      <w:pPr>
        <w:ind w:right="115"/>
        <w:jc w:val="center"/>
        <w:rPr>
          <w:rFonts w:eastAsia="Times New Roman" w:cs="Times New Roman"/>
          <w:sz w:val="36"/>
          <w:szCs w:val="36"/>
        </w:rPr>
      </w:pPr>
      <w:r w:rsidRPr="00AD4785">
        <w:rPr>
          <w:sz w:val="36"/>
        </w:rPr>
        <w:t xml:space="preserve">December </w:t>
      </w:r>
      <w:r w:rsidRPr="00AD4785" w:rsidR="00D04D06">
        <w:rPr>
          <w:sz w:val="36"/>
        </w:rPr>
        <w:t>2020</w:t>
      </w:r>
    </w:p>
    <w:bookmarkEnd w:id="0"/>
    <w:p w:rsidRPr="00AD4785" w:rsidR="005F7C62" w:rsidP="00ED010C" w:rsidRDefault="005F7C62" w14:paraId="4B9EEC45" w14:textId="77777777">
      <w:pPr>
        <w:jc w:val="right"/>
        <w:rPr>
          <w:rFonts w:eastAsia="Times New Roman" w:cs="Times New Roman"/>
          <w:sz w:val="36"/>
          <w:szCs w:val="36"/>
        </w:rPr>
      </w:pPr>
    </w:p>
    <w:p w:rsidRPr="00AD4785" w:rsidR="00DE456E" w:rsidP="00ED010C" w:rsidRDefault="00DE456E" w14:paraId="69E2B412" w14:textId="77777777">
      <w:pPr>
        <w:jc w:val="right"/>
        <w:rPr>
          <w:rFonts w:eastAsia="Times New Roman" w:cs="Times New Roman"/>
          <w:sz w:val="36"/>
          <w:szCs w:val="36"/>
        </w:rPr>
      </w:pPr>
    </w:p>
    <w:p w:rsidRPr="00AD4785" w:rsidR="00DE456E" w:rsidP="00ED010C" w:rsidRDefault="00DE456E" w14:paraId="124067CB" w14:textId="77777777">
      <w:pPr>
        <w:jc w:val="right"/>
        <w:rPr>
          <w:rFonts w:eastAsia="Times New Roman" w:cs="Times New Roman"/>
          <w:sz w:val="36"/>
          <w:szCs w:val="36"/>
        </w:rPr>
      </w:pPr>
    </w:p>
    <w:p w:rsidRPr="00AD4785" w:rsidR="00DE456E" w:rsidP="00ED010C" w:rsidRDefault="00DE456E" w14:paraId="1B514EBC" w14:textId="77777777">
      <w:pPr>
        <w:jc w:val="right"/>
        <w:rPr>
          <w:rFonts w:eastAsia="Times New Roman" w:cs="Times New Roman"/>
          <w:sz w:val="36"/>
          <w:szCs w:val="36"/>
        </w:rPr>
      </w:pPr>
    </w:p>
    <w:p w:rsidRPr="00AD4785" w:rsidR="00DE456E" w:rsidP="00ED010C" w:rsidRDefault="00DE456E" w14:paraId="357B5F40" w14:textId="77777777">
      <w:pPr>
        <w:jc w:val="right"/>
        <w:rPr>
          <w:rFonts w:eastAsia="Times New Roman" w:cs="Times New Roman"/>
          <w:sz w:val="36"/>
          <w:szCs w:val="36"/>
        </w:rPr>
      </w:pPr>
    </w:p>
    <w:p w:rsidRPr="00AD4785" w:rsidR="00DE456E" w:rsidP="00DE456E" w:rsidRDefault="00DE456E" w14:paraId="5901E1E1" w14:textId="77777777">
      <w:pPr>
        <w:pStyle w:val="TOC0"/>
        <w:spacing w:before="0"/>
        <w:rPr>
          <w:sz w:val="26"/>
          <w:szCs w:val="26"/>
        </w:rPr>
      </w:pPr>
      <w:r w:rsidRPr="00AD4785">
        <w:rPr>
          <w:sz w:val="26"/>
          <w:szCs w:val="26"/>
        </w:rPr>
        <w:lastRenderedPageBreak/>
        <w:t>TABLE OF</w:t>
      </w:r>
      <w:r w:rsidRPr="00AD4785">
        <w:rPr>
          <w:spacing w:val="-3"/>
          <w:sz w:val="26"/>
          <w:szCs w:val="26"/>
        </w:rPr>
        <w:t xml:space="preserve"> </w:t>
      </w:r>
      <w:r w:rsidRPr="00AD4785">
        <w:rPr>
          <w:sz w:val="26"/>
          <w:szCs w:val="26"/>
        </w:rPr>
        <w:t>CONTENTS</w:t>
      </w:r>
    </w:p>
    <w:bookmarkStart w:name="_Toc490122263" w:displacedByCustomXml="next" w:id="1"/>
    <w:bookmarkStart w:name="_Toc488073257" w:displacedByCustomXml="next" w:id="2"/>
    <w:bookmarkStart w:name="_Hlk56782309" w:displacedByCustomXml="next" w:id="3"/>
    <w:sdt>
      <w:sdtPr>
        <w:rPr>
          <w:rFonts w:eastAsia="Times New Roman"/>
          <w:b w:val="0"/>
          <w:spacing w:val="0"/>
          <w:szCs w:val="24"/>
        </w:rPr>
        <w:id w:val="-230316862"/>
        <w:docPartObj>
          <w:docPartGallery w:val="Table of Contents"/>
          <w:docPartUnique/>
        </w:docPartObj>
      </w:sdtPr>
      <w:sdtEndPr>
        <w:rPr>
          <w:bCs/>
          <w:noProof/>
        </w:rPr>
      </w:sdtEndPr>
      <w:sdtContent>
        <w:p w:rsidRPr="00AD4785" w:rsidR="00AD4785" w:rsidP="00DE456E" w:rsidRDefault="00DE456E" w14:paraId="2F3574DA" w14:textId="77777777">
          <w:pPr>
            <w:pStyle w:val="TOCHead"/>
            <w:jc w:val="left"/>
            <w:rPr>
              <w:noProof/>
            </w:rPr>
          </w:pPr>
          <w:r w:rsidRPr="00AD4785">
            <w:t>Section</w:t>
          </w:r>
          <w:r w:rsidRPr="00AD4785">
            <w:fldChar w:fldCharType="begin"/>
          </w:r>
          <w:r w:rsidRPr="00AD4785">
            <w:instrText xml:space="preserve"> TOC \o "2-9" \h \z \t "Heading 1,1,App Heading 1,1" </w:instrText>
          </w:r>
          <w:r w:rsidRPr="00AD4785">
            <w:fldChar w:fldCharType="separate"/>
          </w:r>
        </w:p>
        <w:p w:rsidRPr="00AD4785" w:rsidR="00AD4785" w:rsidRDefault="00C5013C" w14:paraId="30D09D1F" w14:textId="56B3F5C6">
          <w:pPr>
            <w:pStyle w:val="TOC2"/>
            <w:tabs>
              <w:tab w:val="right" w:pos="9980"/>
            </w:tabs>
            <w:rPr>
              <w:rFonts w:asciiTheme="minorHAnsi" w:hAnsiTheme="minorHAnsi" w:eastAsiaTheme="minorEastAsia"/>
              <w:noProof/>
              <w:sz w:val="22"/>
              <w:szCs w:val="22"/>
            </w:rPr>
          </w:pPr>
          <w:hyperlink w:history="1" w:anchor="_Toc57726725">
            <w:r w:rsidRPr="00AD4785" w:rsidR="00AD4785">
              <w:rPr>
                <w:rStyle w:val="Hyperlink"/>
                <w:noProof/>
                <w:color w:val="auto"/>
              </w:rPr>
              <w:t>A.  JUSTIFICATION</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_Toc57726725 \h </w:instrText>
            </w:r>
            <w:r w:rsidRPr="00AD4785" w:rsidR="00AD4785">
              <w:rPr>
                <w:noProof/>
                <w:webHidden/>
              </w:rPr>
            </w:r>
            <w:r w:rsidRPr="00AD4785" w:rsidR="00AD4785">
              <w:rPr>
                <w:noProof/>
                <w:webHidden/>
              </w:rPr>
              <w:fldChar w:fldCharType="separate"/>
            </w:r>
            <w:r w:rsidRPr="00AD4785" w:rsidR="00AD4785">
              <w:rPr>
                <w:noProof/>
                <w:webHidden/>
              </w:rPr>
              <w:t>1</w:t>
            </w:r>
            <w:r w:rsidRPr="00AD4785" w:rsidR="00AD4785">
              <w:rPr>
                <w:noProof/>
                <w:webHidden/>
              </w:rPr>
              <w:fldChar w:fldCharType="end"/>
            </w:r>
          </w:hyperlink>
        </w:p>
        <w:p w:rsidRPr="00AD4785" w:rsidR="00AD4785" w:rsidRDefault="00C5013C" w14:paraId="4E288481" w14:textId="34BD9D03">
          <w:pPr>
            <w:pStyle w:val="TOC3"/>
            <w:tabs>
              <w:tab w:val="left" w:pos="2091"/>
              <w:tab w:val="right" w:pos="9980"/>
            </w:tabs>
            <w:rPr>
              <w:rFonts w:asciiTheme="minorHAnsi" w:hAnsiTheme="minorHAnsi" w:eastAsiaTheme="minorEastAsia"/>
              <w:noProof/>
              <w:sz w:val="22"/>
              <w:szCs w:val="22"/>
            </w:rPr>
          </w:pPr>
          <w:hyperlink w:history="1" w:anchor="_Toc57726726">
            <w:r w:rsidRPr="00AD4785" w:rsidR="00AD4785">
              <w:rPr>
                <w:rStyle w:val="Hyperlink"/>
                <w:iCs/>
                <w:noProof/>
                <w:color w:val="auto"/>
              </w:rPr>
              <w:t>A.1</w:t>
            </w:r>
            <w:r w:rsidRPr="00AD4785" w:rsidR="00AD4785">
              <w:rPr>
                <w:rFonts w:asciiTheme="minorHAnsi" w:hAnsiTheme="minorHAnsi" w:eastAsiaTheme="minorEastAsia"/>
                <w:noProof/>
                <w:sz w:val="22"/>
                <w:szCs w:val="22"/>
              </w:rPr>
              <w:tab/>
            </w:r>
            <w:r w:rsidRPr="00AD4785" w:rsidR="00AD4785">
              <w:rPr>
                <w:rStyle w:val="Hyperlink"/>
                <w:iCs/>
                <w:noProof/>
                <w:color w:val="auto"/>
              </w:rPr>
              <w:t>Necessity for Information Collection</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_Toc57726726 \h </w:instrText>
            </w:r>
            <w:r w:rsidRPr="00AD4785" w:rsidR="00AD4785">
              <w:rPr>
                <w:noProof/>
                <w:webHidden/>
              </w:rPr>
            </w:r>
            <w:r w:rsidRPr="00AD4785" w:rsidR="00AD4785">
              <w:rPr>
                <w:noProof/>
                <w:webHidden/>
              </w:rPr>
              <w:fldChar w:fldCharType="separate"/>
            </w:r>
            <w:r w:rsidRPr="00AD4785" w:rsidR="00AD4785">
              <w:rPr>
                <w:noProof/>
                <w:webHidden/>
              </w:rPr>
              <w:t>2</w:t>
            </w:r>
            <w:r w:rsidRPr="00AD4785" w:rsidR="00AD4785">
              <w:rPr>
                <w:noProof/>
                <w:webHidden/>
              </w:rPr>
              <w:fldChar w:fldCharType="end"/>
            </w:r>
          </w:hyperlink>
        </w:p>
        <w:p w:rsidRPr="00AD4785" w:rsidR="00AD4785" w:rsidRDefault="00C5013C" w14:paraId="03702554" w14:textId="77C5719B">
          <w:pPr>
            <w:pStyle w:val="TOC3"/>
            <w:tabs>
              <w:tab w:val="left" w:pos="2124"/>
              <w:tab w:val="right" w:pos="9980"/>
            </w:tabs>
            <w:rPr>
              <w:rFonts w:asciiTheme="minorHAnsi" w:hAnsiTheme="minorHAnsi" w:eastAsiaTheme="minorEastAsia"/>
              <w:noProof/>
              <w:sz w:val="22"/>
              <w:szCs w:val="22"/>
            </w:rPr>
          </w:pPr>
          <w:hyperlink w:history="1" w:anchor="_Toc57726727">
            <w:r w:rsidRPr="00AD4785" w:rsidR="00AD4785">
              <w:rPr>
                <w:rStyle w:val="Hyperlink"/>
                <w:noProof/>
                <w:color w:val="auto"/>
              </w:rPr>
              <w:t>A.1.1</w:t>
            </w:r>
            <w:r w:rsidRPr="00AD4785" w:rsidR="00AD4785">
              <w:rPr>
                <w:rFonts w:asciiTheme="minorHAnsi" w:hAnsiTheme="minorHAnsi" w:eastAsiaTheme="minorEastAsia"/>
                <w:noProof/>
                <w:sz w:val="22"/>
                <w:szCs w:val="22"/>
              </w:rPr>
              <w:tab/>
            </w:r>
            <w:r w:rsidRPr="00AD4785" w:rsidR="00AD4785">
              <w:rPr>
                <w:rStyle w:val="Hyperlink"/>
                <w:noProof/>
                <w:color w:val="auto"/>
              </w:rPr>
              <w:t>HERD and FFRDC Background</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_Toc57726727 \h </w:instrText>
            </w:r>
            <w:r w:rsidRPr="00AD4785" w:rsidR="00AD4785">
              <w:rPr>
                <w:noProof/>
                <w:webHidden/>
              </w:rPr>
            </w:r>
            <w:r w:rsidRPr="00AD4785" w:rsidR="00AD4785">
              <w:rPr>
                <w:noProof/>
                <w:webHidden/>
              </w:rPr>
              <w:fldChar w:fldCharType="separate"/>
            </w:r>
            <w:r w:rsidRPr="00AD4785" w:rsidR="00AD4785">
              <w:rPr>
                <w:noProof/>
                <w:webHidden/>
              </w:rPr>
              <w:t>2</w:t>
            </w:r>
            <w:r w:rsidRPr="00AD4785" w:rsidR="00AD4785">
              <w:rPr>
                <w:noProof/>
                <w:webHidden/>
              </w:rPr>
              <w:fldChar w:fldCharType="end"/>
            </w:r>
          </w:hyperlink>
        </w:p>
        <w:p w:rsidRPr="00AD4785" w:rsidR="00AD4785" w:rsidRDefault="00C5013C" w14:paraId="0054C08A" w14:textId="1651A4E5">
          <w:pPr>
            <w:pStyle w:val="TOC3"/>
            <w:tabs>
              <w:tab w:val="left" w:pos="2124"/>
              <w:tab w:val="right" w:pos="9980"/>
            </w:tabs>
            <w:rPr>
              <w:rFonts w:asciiTheme="minorHAnsi" w:hAnsiTheme="minorHAnsi" w:eastAsiaTheme="minorEastAsia"/>
              <w:noProof/>
              <w:sz w:val="22"/>
              <w:szCs w:val="22"/>
            </w:rPr>
          </w:pPr>
          <w:hyperlink w:history="1" w:anchor="_Toc57726728">
            <w:r w:rsidRPr="00AD4785" w:rsidR="00AD4785">
              <w:rPr>
                <w:rStyle w:val="Hyperlink"/>
                <w:noProof/>
                <w:color w:val="auto"/>
              </w:rPr>
              <w:t>A.1.2</w:t>
            </w:r>
            <w:r w:rsidRPr="00AD4785" w:rsidR="00AD4785">
              <w:rPr>
                <w:rFonts w:asciiTheme="minorHAnsi" w:hAnsiTheme="minorHAnsi" w:eastAsiaTheme="minorEastAsia"/>
                <w:noProof/>
                <w:sz w:val="22"/>
                <w:szCs w:val="22"/>
              </w:rPr>
              <w:tab/>
            </w:r>
            <w:r w:rsidRPr="00AD4785" w:rsidR="00AD4785">
              <w:rPr>
                <w:rStyle w:val="Hyperlink"/>
                <w:noProof/>
                <w:color w:val="auto"/>
              </w:rPr>
              <w:t>Addition of New Questions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_Toc57726728 \h </w:instrText>
            </w:r>
            <w:r w:rsidRPr="00AD4785" w:rsidR="00AD4785">
              <w:rPr>
                <w:noProof/>
                <w:webHidden/>
              </w:rPr>
            </w:r>
            <w:r w:rsidRPr="00AD4785" w:rsidR="00AD4785">
              <w:rPr>
                <w:noProof/>
                <w:webHidden/>
              </w:rPr>
              <w:fldChar w:fldCharType="separate"/>
            </w:r>
            <w:r w:rsidRPr="00AD4785" w:rsidR="00AD4785">
              <w:rPr>
                <w:noProof/>
                <w:webHidden/>
              </w:rPr>
              <w:t>3</w:t>
            </w:r>
            <w:r w:rsidRPr="00AD4785" w:rsidR="00AD4785">
              <w:rPr>
                <w:noProof/>
                <w:webHidden/>
              </w:rPr>
              <w:fldChar w:fldCharType="end"/>
            </w:r>
          </w:hyperlink>
        </w:p>
        <w:p w:rsidRPr="00AD4785" w:rsidR="00AD4785" w:rsidRDefault="00C5013C" w14:paraId="4E6B2A60" w14:textId="2AF961D4">
          <w:pPr>
            <w:pStyle w:val="TOC2"/>
            <w:tabs>
              <w:tab w:val="left" w:pos="1371"/>
              <w:tab w:val="right" w:pos="9980"/>
            </w:tabs>
            <w:rPr>
              <w:rFonts w:asciiTheme="minorHAnsi" w:hAnsiTheme="minorHAnsi" w:eastAsiaTheme="minorEastAsia"/>
              <w:noProof/>
              <w:sz w:val="22"/>
              <w:szCs w:val="22"/>
            </w:rPr>
          </w:pPr>
          <w:hyperlink w:history="1" w:anchor="_Toc57726729">
            <w:r w:rsidRPr="00AD4785" w:rsidR="00AD4785">
              <w:rPr>
                <w:rStyle w:val="Hyperlink"/>
                <w:noProof/>
                <w:color w:val="auto"/>
              </w:rPr>
              <w:t>A.2</w:t>
            </w:r>
            <w:r w:rsidRPr="00AD4785" w:rsidR="00AD4785">
              <w:rPr>
                <w:rFonts w:asciiTheme="minorHAnsi" w:hAnsiTheme="minorHAnsi" w:eastAsiaTheme="minorEastAsia"/>
                <w:noProof/>
                <w:sz w:val="22"/>
                <w:szCs w:val="22"/>
              </w:rPr>
              <w:tab/>
            </w:r>
            <w:r w:rsidRPr="00AD4785" w:rsidR="00AD4785">
              <w:rPr>
                <w:rStyle w:val="Hyperlink"/>
                <w:noProof/>
                <w:color w:val="auto"/>
              </w:rPr>
              <w:t>Uses of Information</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_Toc57726729 \h </w:instrText>
            </w:r>
            <w:r w:rsidRPr="00AD4785" w:rsidR="00AD4785">
              <w:rPr>
                <w:noProof/>
                <w:webHidden/>
              </w:rPr>
            </w:r>
            <w:r w:rsidRPr="00AD4785" w:rsidR="00AD4785">
              <w:rPr>
                <w:noProof/>
                <w:webHidden/>
              </w:rPr>
              <w:fldChar w:fldCharType="separate"/>
            </w:r>
            <w:r w:rsidRPr="00AD4785" w:rsidR="00AD4785">
              <w:rPr>
                <w:noProof/>
                <w:webHidden/>
              </w:rPr>
              <w:t>5</w:t>
            </w:r>
            <w:r w:rsidRPr="00AD4785" w:rsidR="00AD4785">
              <w:rPr>
                <w:noProof/>
                <w:webHidden/>
              </w:rPr>
              <w:fldChar w:fldCharType="end"/>
            </w:r>
          </w:hyperlink>
        </w:p>
        <w:p w:rsidRPr="00AD4785" w:rsidR="00AD4785" w:rsidRDefault="00C5013C" w14:paraId="00458038" w14:textId="22CC0DA4">
          <w:pPr>
            <w:pStyle w:val="TOC3"/>
            <w:tabs>
              <w:tab w:val="left" w:pos="2124"/>
              <w:tab w:val="right" w:pos="9980"/>
            </w:tabs>
            <w:rPr>
              <w:rFonts w:asciiTheme="minorHAnsi" w:hAnsiTheme="minorHAnsi" w:eastAsiaTheme="minorEastAsia"/>
              <w:noProof/>
              <w:sz w:val="22"/>
              <w:szCs w:val="22"/>
            </w:rPr>
          </w:pPr>
          <w:hyperlink w:history="1" w:anchor="_Toc57726730">
            <w:r w:rsidRPr="00AD4785" w:rsidR="00AD4785">
              <w:rPr>
                <w:rStyle w:val="Hyperlink"/>
                <w:noProof/>
                <w:color w:val="auto"/>
              </w:rPr>
              <w:t>A.2.1</w:t>
            </w:r>
            <w:r w:rsidRPr="00AD4785" w:rsidR="00AD4785">
              <w:rPr>
                <w:rFonts w:asciiTheme="minorHAnsi" w:hAnsiTheme="minorHAnsi" w:eastAsiaTheme="minorEastAsia"/>
                <w:noProof/>
                <w:sz w:val="22"/>
                <w:szCs w:val="22"/>
              </w:rPr>
              <w:tab/>
            </w:r>
            <w:r w:rsidRPr="00AD4785" w:rsidR="00AD4785">
              <w:rPr>
                <w:rStyle w:val="Hyperlink"/>
                <w:noProof/>
                <w:color w:val="auto"/>
              </w:rPr>
              <w:t>Use by the Federal Government</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_Toc57726730 \h </w:instrText>
            </w:r>
            <w:r w:rsidRPr="00AD4785" w:rsidR="00AD4785">
              <w:rPr>
                <w:noProof/>
                <w:webHidden/>
              </w:rPr>
            </w:r>
            <w:r w:rsidRPr="00AD4785" w:rsidR="00AD4785">
              <w:rPr>
                <w:noProof/>
                <w:webHidden/>
              </w:rPr>
              <w:fldChar w:fldCharType="separate"/>
            </w:r>
            <w:r w:rsidRPr="00AD4785" w:rsidR="00AD4785">
              <w:rPr>
                <w:noProof/>
                <w:webHidden/>
              </w:rPr>
              <w:t>6</w:t>
            </w:r>
            <w:r w:rsidRPr="00AD4785" w:rsidR="00AD4785">
              <w:rPr>
                <w:noProof/>
                <w:webHidden/>
              </w:rPr>
              <w:fldChar w:fldCharType="end"/>
            </w:r>
          </w:hyperlink>
        </w:p>
        <w:p w:rsidRPr="00AD4785" w:rsidR="00AD4785" w:rsidRDefault="00C5013C" w14:paraId="05548FF5" w14:textId="73F59684">
          <w:pPr>
            <w:pStyle w:val="TOC3"/>
            <w:tabs>
              <w:tab w:val="left" w:pos="2124"/>
              <w:tab w:val="right" w:pos="9980"/>
            </w:tabs>
            <w:rPr>
              <w:rFonts w:asciiTheme="minorHAnsi" w:hAnsiTheme="minorHAnsi" w:eastAsiaTheme="minorEastAsia"/>
              <w:noProof/>
              <w:sz w:val="22"/>
              <w:szCs w:val="22"/>
            </w:rPr>
          </w:pPr>
          <w:hyperlink w:history="1" w:anchor="_Toc57726731">
            <w:r w:rsidRPr="00AD4785" w:rsidR="00AD4785">
              <w:rPr>
                <w:rStyle w:val="Hyperlink"/>
                <w:noProof/>
                <w:color w:val="auto"/>
              </w:rPr>
              <w:t>A.2.2</w:t>
            </w:r>
            <w:r w:rsidRPr="00AD4785" w:rsidR="00AD4785">
              <w:rPr>
                <w:rFonts w:asciiTheme="minorHAnsi" w:hAnsiTheme="minorHAnsi" w:eastAsiaTheme="minorEastAsia"/>
                <w:noProof/>
                <w:sz w:val="22"/>
                <w:szCs w:val="22"/>
              </w:rPr>
              <w:tab/>
            </w:r>
            <w:r w:rsidRPr="00AD4785" w:rsidR="00AD4785">
              <w:rPr>
                <w:rStyle w:val="Hyperlink"/>
                <w:noProof/>
                <w:color w:val="auto"/>
              </w:rPr>
              <w:t>Use by Academic Institutions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_Toc57726731 \h </w:instrText>
            </w:r>
            <w:r w:rsidRPr="00AD4785" w:rsidR="00AD4785">
              <w:rPr>
                <w:noProof/>
                <w:webHidden/>
              </w:rPr>
            </w:r>
            <w:r w:rsidRPr="00AD4785" w:rsidR="00AD4785">
              <w:rPr>
                <w:noProof/>
                <w:webHidden/>
              </w:rPr>
              <w:fldChar w:fldCharType="separate"/>
            </w:r>
            <w:r w:rsidRPr="00AD4785" w:rsidR="00AD4785">
              <w:rPr>
                <w:noProof/>
                <w:webHidden/>
              </w:rPr>
              <w:t>7</w:t>
            </w:r>
            <w:r w:rsidRPr="00AD4785" w:rsidR="00AD4785">
              <w:rPr>
                <w:noProof/>
                <w:webHidden/>
              </w:rPr>
              <w:fldChar w:fldCharType="end"/>
            </w:r>
          </w:hyperlink>
        </w:p>
        <w:p w:rsidRPr="00AD4785" w:rsidR="00AD4785" w:rsidRDefault="00C5013C" w14:paraId="1823528B" w14:textId="3FBA8C36">
          <w:pPr>
            <w:pStyle w:val="TOC3"/>
            <w:tabs>
              <w:tab w:val="left" w:pos="2124"/>
              <w:tab w:val="right" w:pos="9980"/>
            </w:tabs>
            <w:rPr>
              <w:rFonts w:asciiTheme="minorHAnsi" w:hAnsiTheme="minorHAnsi" w:eastAsiaTheme="minorEastAsia"/>
              <w:noProof/>
              <w:sz w:val="22"/>
              <w:szCs w:val="22"/>
            </w:rPr>
          </w:pPr>
          <w:hyperlink w:history="1" w:anchor="_Toc57726732">
            <w:r w:rsidRPr="00AD4785" w:rsidR="00AD4785">
              <w:rPr>
                <w:rStyle w:val="Hyperlink"/>
                <w:noProof/>
                <w:color w:val="auto"/>
              </w:rPr>
              <w:t>A.2.3</w:t>
            </w:r>
            <w:r w:rsidRPr="00AD4785" w:rsidR="00AD4785">
              <w:rPr>
                <w:rFonts w:asciiTheme="minorHAnsi" w:hAnsiTheme="minorHAnsi" w:eastAsiaTheme="minorEastAsia"/>
                <w:noProof/>
                <w:sz w:val="22"/>
                <w:szCs w:val="22"/>
              </w:rPr>
              <w:tab/>
            </w:r>
            <w:r w:rsidRPr="00AD4785" w:rsidR="00AD4785">
              <w:rPr>
                <w:rStyle w:val="Hyperlink"/>
                <w:noProof/>
                <w:color w:val="auto"/>
              </w:rPr>
              <w:t>Use by Professional Societies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_Toc57726732 \h </w:instrText>
            </w:r>
            <w:r w:rsidRPr="00AD4785" w:rsidR="00AD4785">
              <w:rPr>
                <w:noProof/>
                <w:webHidden/>
              </w:rPr>
            </w:r>
            <w:r w:rsidRPr="00AD4785" w:rsidR="00AD4785">
              <w:rPr>
                <w:noProof/>
                <w:webHidden/>
              </w:rPr>
              <w:fldChar w:fldCharType="separate"/>
            </w:r>
            <w:r w:rsidRPr="00AD4785" w:rsidR="00AD4785">
              <w:rPr>
                <w:noProof/>
                <w:webHidden/>
              </w:rPr>
              <w:t>7</w:t>
            </w:r>
            <w:r w:rsidRPr="00AD4785" w:rsidR="00AD4785">
              <w:rPr>
                <w:noProof/>
                <w:webHidden/>
              </w:rPr>
              <w:fldChar w:fldCharType="end"/>
            </w:r>
          </w:hyperlink>
        </w:p>
        <w:p w:rsidRPr="00AD4785" w:rsidR="00AD4785" w:rsidRDefault="00C5013C" w14:paraId="1E226A9D" w14:textId="41077F58">
          <w:pPr>
            <w:pStyle w:val="TOC3"/>
            <w:tabs>
              <w:tab w:val="left" w:pos="2124"/>
              <w:tab w:val="right" w:pos="9980"/>
            </w:tabs>
            <w:rPr>
              <w:rFonts w:asciiTheme="minorHAnsi" w:hAnsiTheme="minorHAnsi" w:eastAsiaTheme="minorEastAsia"/>
              <w:noProof/>
              <w:sz w:val="22"/>
              <w:szCs w:val="22"/>
            </w:rPr>
          </w:pPr>
          <w:hyperlink w:history="1" w:anchor="_Toc57726733">
            <w:r w:rsidRPr="00AD4785" w:rsidR="00AD4785">
              <w:rPr>
                <w:rStyle w:val="Hyperlink"/>
                <w:noProof/>
                <w:color w:val="auto"/>
              </w:rPr>
              <w:t>A.2.4</w:t>
            </w:r>
            <w:r w:rsidRPr="00AD4785" w:rsidR="00AD4785">
              <w:rPr>
                <w:rFonts w:asciiTheme="minorHAnsi" w:hAnsiTheme="minorHAnsi" w:eastAsiaTheme="minorEastAsia"/>
                <w:noProof/>
                <w:sz w:val="22"/>
                <w:szCs w:val="22"/>
              </w:rPr>
              <w:tab/>
            </w:r>
            <w:r w:rsidRPr="00AD4785" w:rsidR="00AD4785">
              <w:rPr>
                <w:rStyle w:val="Hyperlink"/>
                <w:noProof/>
                <w:color w:val="auto"/>
              </w:rPr>
              <w:t>Use by State Governments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_Toc57726733 \h </w:instrText>
            </w:r>
            <w:r w:rsidRPr="00AD4785" w:rsidR="00AD4785">
              <w:rPr>
                <w:noProof/>
                <w:webHidden/>
              </w:rPr>
            </w:r>
            <w:r w:rsidRPr="00AD4785" w:rsidR="00AD4785">
              <w:rPr>
                <w:noProof/>
                <w:webHidden/>
              </w:rPr>
              <w:fldChar w:fldCharType="separate"/>
            </w:r>
            <w:r w:rsidRPr="00AD4785" w:rsidR="00AD4785">
              <w:rPr>
                <w:noProof/>
                <w:webHidden/>
              </w:rPr>
              <w:t>7</w:t>
            </w:r>
            <w:r w:rsidRPr="00AD4785" w:rsidR="00AD4785">
              <w:rPr>
                <w:noProof/>
                <w:webHidden/>
              </w:rPr>
              <w:fldChar w:fldCharType="end"/>
            </w:r>
          </w:hyperlink>
        </w:p>
        <w:p w:rsidRPr="00AD4785" w:rsidR="00AD4785" w:rsidRDefault="00C5013C" w14:paraId="2960BA9A" w14:textId="6E5165AD">
          <w:pPr>
            <w:pStyle w:val="TOC3"/>
            <w:tabs>
              <w:tab w:val="left" w:pos="2124"/>
              <w:tab w:val="right" w:pos="9980"/>
            </w:tabs>
            <w:rPr>
              <w:rFonts w:asciiTheme="minorHAnsi" w:hAnsiTheme="minorHAnsi" w:eastAsiaTheme="minorEastAsia"/>
              <w:noProof/>
              <w:sz w:val="22"/>
              <w:szCs w:val="22"/>
            </w:rPr>
          </w:pPr>
          <w:hyperlink w:history="1" w:anchor="_Toc57726734">
            <w:r w:rsidRPr="00AD4785" w:rsidR="00AD4785">
              <w:rPr>
                <w:rStyle w:val="Hyperlink"/>
                <w:noProof/>
                <w:color w:val="auto"/>
              </w:rPr>
              <w:t>A.2.5</w:t>
            </w:r>
            <w:r w:rsidRPr="00AD4785" w:rsidR="00AD4785">
              <w:rPr>
                <w:rFonts w:asciiTheme="minorHAnsi" w:hAnsiTheme="minorHAnsi" w:eastAsiaTheme="minorEastAsia"/>
                <w:noProof/>
                <w:sz w:val="22"/>
                <w:szCs w:val="22"/>
              </w:rPr>
              <w:tab/>
            </w:r>
            <w:r w:rsidRPr="00AD4785" w:rsidR="00AD4785">
              <w:rPr>
                <w:rStyle w:val="Hyperlink"/>
                <w:noProof/>
                <w:color w:val="auto"/>
              </w:rPr>
              <w:t>Use by the Media</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_Toc57726734 \h </w:instrText>
            </w:r>
            <w:r w:rsidRPr="00AD4785" w:rsidR="00AD4785">
              <w:rPr>
                <w:noProof/>
                <w:webHidden/>
              </w:rPr>
            </w:r>
            <w:r w:rsidRPr="00AD4785" w:rsidR="00AD4785">
              <w:rPr>
                <w:noProof/>
                <w:webHidden/>
              </w:rPr>
              <w:fldChar w:fldCharType="separate"/>
            </w:r>
            <w:r w:rsidRPr="00AD4785" w:rsidR="00AD4785">
              <w:rPr>
                <w:noProof/>
                <w:webHidden/>
              </w:rPr>
              <w:t>8</w:t>
            </w:r>
            <w:r w:rsidRPr="00AD4785" w:rsidR="00AD4785">
              <w:rPr>
                <w:noProof/>
                <w:webHidden/>
              </w:rPr>
              <w:fldChar w:fldCharType="end"/>
            </w:r>
          </w:hyperlink>
        </w:p>
        <w:p w:rsidRPr="00AD4785" w:rsidR="00AD4785" w:rsidRDefault="00C5013C" w14:paraId="7EE3728E" w14:textId="10CD1564">
          <w:pPr>
            <w:pStyle w:val="TOC3"/>
            <w:tabs>
              <w:tab w:val="left" w:pos="2124"/>
              <w:tab w:val="right" w:pos="9980"/>
            </w:tabs>
            <w:rPr>
              <w:rFonts w:asciiTheme="minorHAnsi" w:hAnsiTheme="minorHAnsi" w:eastAsiaTheme="minorEastAsia"/>
              <w:noProof/>
              <w:sz w:val="22"/>
              <w:szCs w:val="22"/>
            </w:rPr>
          </w:pPr>
          <w:hyperlink w:history="1" w:anchor="_Toc57726735">
            <w:r w:rsidRPr="00AD4785" w:rsidR="00AD4785">
              <w:rPr>
                <w:rStyle w:val="Hyperlink"/>
                <w:noProof/>
                <w:color w:val="auto"/>
              </w:rPr>
              <w:t>A.2.6</w:t>
            </w:r>
            <w:r w:rsidRPr="00AD4785" w:rsidR="00AD4785">
              <w:rPr>
                <w:rFonts w:asciiTheme="minorHAnsi" w:hAnsiTheme="minorHAnsi" w:eastAsiaTheme="minorEastAsia"/>
                <w:noProof/>
                <w:sz w:val="22"/>
                <w:szCs w:val="22"/>
              </w:rPr>
              <w:tab/>
            </w:r>
            <w:r w:rsidRPr="00AD4785" w:rsidR="00AD4785">
              <w:rPr>
                <w:rStyle w:val="Hyperlink"/>
                <w:noProof/>
                <w:color w:val="auto"/>
              </w:rPr>
              <w:t>Use by International Organizations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_Toc57726735 \h </w:instrText>
            </w:r>
            <w:r w:rsidRPr="00AD4785" w:rsidR="00AD4785">
              <w:rPr>
                <w:noProof/>
                <w:webHidden/>
              </w:rPr>
            </w:r>
            <w:r w:rsidRPr="00AD4785" w:rsidR="00AD4785">
              <w:rPr>
                <w:noProof/>
                <w:webHidden/>
              </w:rPr>
              <w:fldChar w:fldCharType="separate"/>
            </w:r>
            <w:r w:rsidRPr="00AD4785" w:rsidR="00AD4785">
              <w:rPr>
                <w:noProof/>
                <w:webHidden/>
              </w:rPr>
              <w:t>8</w:t>
            </w:r>
            <w:r w:rsidRPr="00AD4785" w:rsidR="00AD4785">
              <w:rPr>
                <w:noProof/>
                <w:webHidden/>
              </w:rPr>
              <w:fldChar w:fldCharType="end"/>
            </w:r>
          </w:hyperlink>
        </w:p>
        <w:p w:rsidRPr="00AD4785" w:rsidR="00AD4785" w:rsidRDefault="00C5013C" w14:paraId="76AEBA84" w14:textId="0D35970E">
          <w:pPr>
            <w:pStyle w:val="TOC2"/>
            <w:tabs>
              <w:tab w:val="left" w:pos="1371"/>
              <w:tab w:val="right" w:pos="9980"/>
            </w:tabs>
            <w:rPr>
              <w:rFonts w:asciiTheme="minorHAnsi" w:hAnsiTheme="minorHAnsi" w:eastAsiaTheme="minorEastAsia"/>
              <w:noProof/>
              <w:sz w:val="22"/>
              <w:szCs w:val="22"/>
            </w:rPr>
          </w:pPr>
          <w:hyperlink w:history="1" w:anchor="_Toc57726736">
            <w:r w:rsidRPr="00AD4785" w:rsidR="00AD4785">
              <w:rPr>
                <w:rStyle w:val="Hyperlink"/>
                <w:noProof/>
                <w:color w:val="auto"/>
              </w:rPr>
              <w:t>A.3</w:t>
            </w:r>
            <w:r w:rsidRPr="00AD4785" w:rsidR="00AD4785">
              <w:rPr>
                <w:rFonts w:asciiTheme="minorHAnsi" w:hAnsiTheme="minorHAnsi" w:eastAsiaTheme="minorEastAsia"/>
                <w:noProof/>
                <w:sz w:val="22"/>
                <w:szCs w:val="22"/>
              </w:rPr>
              <w:tab/>
            </w:r>
            <w:r w:rsidRPr="00AD4785" w:rsidR="00AD4785">
              <w:rPr>
                <w:rStyle w:val="Hyperlink"/>
                <w:noProof/>
                <w:color w:val="auto"/>
              </w:rPr>
              <w:t>Consideration of</w:t>
            </w:r>
            <w:r w:rsidRPr="00AD4785" w:rsidR="00AD4785">
              <w:rPr>
                <w:rStyle w:val="Hyperlink"/>
                <w:noProof/>
                <w:color w:val="auto"/>
                <w:spacing w:val="1"/>
              </w:rPr>
              <w:t xml:space="preserve"> </w:t>
            </w:r>
            <w:r w:rsidRPr="00AD4785" w:rsidR="00AD4785">
              <w:rPr>
                <w:rStyle w:val="Hyperlink"/>
                <w:noProof/>
                <w:color w:val="auto"/>
              </w:rPr>
              <w:t>Using</w:t>
            </w:r>
            <w:r w:rsidRPr="00AD4785" w:rsidR="00AD4785">
              <w:rPr>
                <w:rStyle w:val="Hyperlink"/>
                <w:noProof/>
                <w:color w:val="auto"/>
                <w:spacing w:val="-3"/>
              </w:rPr>
              <w:t xml:space="preserve"> </w:t>
            </w:r>
            <w:r w:rsidRPr="00AD4785" w:rsidR="00AD4785">
              <w:rPr>
                <w:rStyle w:val="Hyperlink"/>
                <w:noProof/>
                <w:color w:val="auto"/>
              </w:rPr>
              <w:t>Improved Technology</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_Toc57726736 \h </w:instrText>
            </w:r>
            <w:r w:rsidRPr="00AD4785" w:rsidR="00AD4785">
              <w:rPr>
                <w:noProof/>
                <w:webHidden/>
              </w:rPr>
            </w:r>
            <w:r w:rsidRPr="00AD4785" w:rsidR="00AD4785">
              <w:rPr>
                <w:noProof/>
                <w:webHidden/>
              </w:rPr>
              <w:fldChar w:fldCharType="separate"/>
            </w:r>
            <w:r w:rsidRPr="00AD4785" w:rsidR="00AD4785">
              <w:rPr>
                <w:noProof/>
                <w:webHidden/>
              </w:rPr>
              <w:t>8</w:t>
            </w:r>
            <w:r w:rsidRPr="00AD4785" w:rsidR="00AD4785">
              <w:rPr>
                <w:noProof/>
                <w:webHidden/>
              </w:rPr>
              <w:fldChar w:fldCharType="end"/>
            </w:r>
          </w:hyperlink>
        </w:p>
        <w:p w:rsidRPr="00AD4785" w:rsidR="00AD4785" w:rsidRDefault="00C5013C" w14:paraId="28364507" w14:textId="02014458">
          <w:pPr>
            <w:pStyle w:val="TOC2"/>
            <w:tabs>
              <w:tab w:val="left" w:pos="1371"/>
              <w:tab w:val="right" w:pos="9980"/>
            </w:tabs>
            <w:rPr>
              <w:rFonts w:asciiTheme="minorHAnsi" w:hAnsiTheme="minorHAnsi" w:eastAsiaTheme="minorEastAsia"/>
              <w:noProof/>
              <w:sz w:val="22"/>
              <w:szCs w:val="22"/>
            </w:rPr>
          </w:pPr>
          <w:hyperlink w:history="1" w:anchor="_Toc57726737">
            <w:r w:rsidRPr="00AD4785" w:rsidR="00AD4785">
              <w:rPr>
                <w:rStyle w:val="Hyperlink"/>
                <w:noProof/>
                <w:color w:val="auto"/>
              </w:rPr>
              <w:t>A.4</w:t>
            </w:r>
            <w:r w:rsidRPr="00AD4785" w:rsidR="00AD4785">
              <w:rPr>
                <w:rFonts w:asciiTheme="minorHAnsi" w:hAnsiTheme="minorHAnsi" w:eastAsiaTheme="minorEastAsia"/>
                <w:noProof/>
                <w:sz w:val="22"/>
                <w:szCs w:val="22"/>
              </w:rPr>
              <w:tab/>
            </w:r>
            <w:r w:rsidRPr="00AD4785" w:rsidR="00AD4785">
              <w:rPr>
                <w:rStyle w:val="Hyperlink"/>
                <w:noProof/>
                <w:color w:val="auto"/>
              </w:rPr>
              <w:t>Efforts to Identify</w:t>
            </w:r>
            <w:r w:rsidRPr="00AD4785" w:rsidR="00AD4785">
              <w:rPr>
                <w:rStyle w:val="Hyperlink"/>
                <w:noProof/>
                <w:color w:val="auto"/>
                <w:spacing w:val="1"/>
              </w:rPr>
              <w:t xml:space="preserve"> </w:t>
            </w:r>
            <w:r w:rsidRPr="00AD4785" w:rsidR="00AD4785">
              <w:rPr>
                <w:rStyle w:val="Hyperlink"/>
                <w:noProof/>
                <w:color w:val="auto"/>
              </w:rPr>
              <w:t>Duplication</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_Toc57726737 \h </w:instrText>
            </w:r>
            <w:r w:rsidRPr="00AD4785" w:rsidR="00AD4785">
              <w:rPr>
                <w:noProof/>
                <w:webHidden/>
              </w:rPr>
            </w:r>
            <w:r w:rsidRPr="00AD4785" w:rsidR="00AD4785">
              <w:rPr>
                <w:noProof/>
                <w:webHidden/>
              </w:rPr>
              <w:fldChar w:fldCharType="separate"/>
            </w:r>
            <w:r w:rsidRPr="00AD4785" w:rsidR="00AD4785">
              <w:rPr>
                <w:noProof/>
                <w:webHidden/>
              </w:rPr>
              <w:t>9</w:t>
            </w:r>
            <w:r w:rsidRPr="00AD4785" w:rsidR="00AD4785">
              <w:rPr>
                <w:noProof/>
                <w:webHidden/>
              </w:rPr>
              <w:fldChar w:fldCharType="end"/>
            </w:r>
          </w:hyperlink>
        </w:p>
        <w:p w:rsidRPr="00AD4785" w:rsidR="00AD4785" w:rsidRDefault="00C5013C" w14:paraId="4502E6BF" w14:textId="7307F87D">
          <w:pPr>
            <w:pStyle w:val="TOC2"/>
            <w:tabs>
              <w:tab w:val="left" w:pos="1371"/>
              <w:tab w:val="right" w:pos="9980"/>
            </w:tabs>
            <w:rPr>
              <w:rFonts w:asciiTheme="minorHAnsi" w:hAnsiTheme="minorHAnsi" w:eastAsiaTheme="minorEastAsia"/>
              <w:noProof/>
              <w:sz w:val="22"/>
              <w:szCs w:val="22"/>
            </w:rPr>
          </w:pPr>
          <w:hyperlink w:history="1" w:anchor="_Toc57726738">
            <w:r w:rsidRPr="00AD4785" w:rsidR="00AD4785">
              <w:rPr>
                <w:rStyle w:val="Hyperlink"/>
                <w:noProof/>
                <w:color w:val="auto"/>
              </w:rPr>
              <w:t>A.5</w:t>
            </w:r>
            <w:r w:rsidRPr="00AD4785" w:rsidR="00AD4785">
              <w:rPr>
                <w:rFonts w:asciiTheme="minorHAnsi" w:hAnsiTheme="minorHAnsi" w:eastAsiaTheme="minorEastAsia"/>
                <w:noProof/>
                <w:sz w:val="22"/>
                <w:szCs w:val="22"/>
              </w:rPr>
              <w:tab/>
            </w:r>
            <w:r w:rsidRPr="00AD4785" w:rsidR="00AD4785">
              <w:rPr>
                <w:rStyle w:val="Hyperlink"/>
                <w:noProof/>
                <w:color w:val="auto"/>
              </w:rPr>
              <w:t>Efforts to Minimize Burden on Small Business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_Toc57726738 \h </w:instrText>
            </w:r>
            <w:r w:rsidRPr="00AD4785" w:rsidR="00AD4785">
              <w:rPr>
                <w:noProof/>
                <w:webHidden/>
              </w:rPr>
            </w:r>
            <w:r w:rsidRPr="00AD4785" w:rsidR="00AD4785">
              <w:rPr>
                <w:noProof/>
                <w:webHidden/>
              </w:rPr>
              <w:fldChar w:fldCharType="separate"/>
            </w:r>
            <w:r w:rsidRPr="00AD4785" w:rsidR="00AD4785">
              <w:rPr>
                <w:noProof/>
                <w:webHidden/>
              </w:rPr>
              <w:t>10</w:t>
            </w:r>
            <w:r w:rsidRPr="00AD4785" w:rsidR="00AD4785">
              <w:rPr>
                <w:noProof/>
                <w:webHidden/>
              </w:rPr>
              <w:fldChar w:fldCharType="end"/>
            </w:r>
          </w:hyperlink>
        </w:p>
        <w:p w:rsidRPr="00AD4785" w:rsidR="00AD4785" w:rsidRDefault="00C5013C" w14:paraId="1B5B18FC" w14:textId="188B2773">
          <w:pPr>
            <w:pStyle w:val="TOC2"/>
            <w:tabs>
              <w:tab w:val="left" w:pos="1371"/>
              <w:tab w:val="right" w:pos="9980"/>
            </w:tabs>
            <w:rPr>
              <w:rFonts w:asciiTheme="minorHAnsi" w:hAnsiTheme="minorHAnsi" w:eastAsiaTheme="minorEastAsia"/>
              <w:noProof/>
              <w:sz w:val="22"/>
              <w:szCs w:val="22"/>
            </w:rPr>
          </w:pPr>
          <w:hyperlink w:history="1" w:anchor="_Toc57726739">
            <w:r w:rsidRPr="00AD4785" w:rsidR="00AD4785">
              <w:rPr>
                <w:rStyle w:val="Hyperlink"/>
                <w:noProof/>
                <w:color w:val="auto"/>
              </w:rPr>
              <w:t>A.6</w:t>
            </w:r>
            <w:r w:rsidRPr="00AD4785" w:rsidR="00AD4785">
              <w:rPr>
                <w:rFonts w:asciiTheme="minorHAnsi" w:hAnsiTheme="minorHAnsi" w:eastAsiaTheme="minorEastAsia"/>
                <w:noProof/>
                <w:sz w:val="22"/>
                <w:szCs w:val="22"/>
              </w:rPr>
              <w:tab/>
            </w:r>
            <w:r w:rsidRPr="00AD4785" w:rsidR="00AD4785">
              <w:rPr>
                <w:rStyle w:val="Hyperlink"/>
                <w:noProof/>
                <w:color w:val="auto"/>
              </w:rPr>
              <w:t>Consequences of</w:t>
            </w:r>
            <w:r w:rsidRPr="00AD4785" w:rsidR="00AD4785">
              <w:rPr>
                <w:rStyle w:val="Hyperlink"/>
                <w:noProof/>
                <w:color w:val="auto"/>
                <w:spacing w:val="1"/>
              </w:rPr>
              <w:t xml:space="preserve"> </w:t>
            </w:r>
            <w:r w:rsidRPr="00AD4785" w:rsidR="00AD4785">
              <w:rPr>
                <w:rStyle w:val="Hyperlink"/>
                <w:noProof/>
                <w:color w:val="auto"/>
              </w:rPr>
              <w:t>Less Frequent Data Collection</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_Toc57726739 \h </w:instrText>
            </w:r>
            <w:r w:rsidRPr="00AD4785" w:rsidR="00AD4785">
              <w:rPr>
                <w:noProof/>
                <w:webHidden/>
              </w:rPr>
            </w:r>
            <w:r w:rsidRPr="00AD4785" w:rsidR="00AD4785">
              <w:rPr>
                <w:noProof/>
                <w:webHidden/>
              </w:rPr>
              <w:fldChar w:fldCharType="separate"/>
            </w:r>
            <w:r w:rsidRPr="00AD4785" w:rsidR="00AD4785">
              <w:rPr>
                <w:noProof/>
                <w:webHidden/>
              </w:rPr>
              <w:t>10</w:t>
            </w:r>
            <w:r w:rsidRPr="00AD4785" w:rsidR="00AD4785">
              <w:rPr>
                <w:noProof/>
                <w:webHidden/>
              </w:rPr>
              <w:fldChar w:fldCharType="end"/>
            </w:r>
          </w:hyperlink>
        </w:p>
        <w:p w:rsidRPr="00AD4785" w:rsidR="00AD4785" w:rsidRDefault="00C5013C" w14:paraId="10DA4F18" w14:textId="5932D5CB">
          <w:pPr>
            <w:pStyle w:val="TOC2"/>
            <w:tabs>
              <w:tab w:val="left" w:pos="1371"/>
              <w:tab w:val="right" w:pos="9980"/>
            </w:tabs>
            <w:rPr>
              <w:rFonts w:asciiTheme="minorHAnsi" w:hAnsiTheme="minorHAnsi" w:eastAsiaTheme="minorEastAsia"/>
              <w:noProof/>
              <w:sz w:val="22"/>
              <w:szCs w:val="22"/>
            </w:rPr>
          </w:pPr>
          <w:hyperlink w:history="1" w:anchor="_Toc57726740">
            <w:r w:rsidRPr="00AD4785" w:rsidR="00AD4785">
              <w:rPr>
                <w:rStyle w:val="Hyperlink"/>
                <w:noProof/>
                <w:color w:val="auto"/>
              </w:rPr>
              <w:t>A.7</w:t>
            </w:r>
            <w:r w:rsidRPr="00AD4785" w:rsidR="00AD4785">
              <w:rPr>
                <w:rFonts w:asciiTheme="minorHAnsi" w:hAnsiTheme="minorHAnsi" w:eastAsiaTheme="minorEastAsia"/>
                <w:noProof/>
                <w:sz w:val="22"/>
                <w:szCs w:val="22"/>
              </w:rPr>
              <w:tab/>
            </w:r>
            <w:r w:rsidRPr="00AD4785" w:rsidR="00AD4785">
              <w:rPr>
                <w:rStyle w:val="Hyperlink"/>
                <w:noProof/>
                <w:color w:val="auto"/>
              </w:rPr>
              <w:t>Special Circumstances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_Toc57726740 \h </w:instrText>
            </w:r>
            <w:r w:rsidRPr="00AD4785" w:rsidR="00AD4785">
              <w:rPr>
                <w:noProof/>
                <w:webHidden/>
              </w:rPr>
            </w:r>
            <w:r w:rsidRPr="00AD4785" w:rsidR="00AD4785">
              <w:rPr>
                <w:noProof/>
                <w:webHidden/>
              </w:rPr>
              <w:fldChar w:fldCharType="separate"/>
            </w:r>
            <w:r w:rsidRPr="00AD4785" w:rsidR="00AD4785">
              <w:rPr>
                <w:noProof/>
                <w:webHidden/>
              </w:rPr>
              <w:t>11</w:t>
            </w:r>
            <w:r w:rsidRPr="00AD4785" w:rsidR="00AD4785">
              <w:rPr>
                <w:noProof/>
                <w:webHidden/>
              </w:rPr>
              <w:fldChar w:fldCharType="end"/>
            </w:r>
          </w:hyperlink>
        </w:p>
        <w:p w:rsidRPr="00AD4785" w:rsidR="00AD4785" w:rsidRDefault="00C5013C" w14:paraId="22191381" w14:textId="240BBA6D">
          <w:pPr>
            <w:pStyle w:val="TOC2"/>
            <w:tabs>
              <w:tab w:val="left" w:pos="1371"/>
              <w:tab w:val="right" w:pos="9980"/>
            </w:tabs>
            <w:rPr>
              <w:rFonts w:asciiTheme="minorHAnsi" w:hAnsiTheme="minorHAnsi" w:eastAsiaTheme="minorEastAsia"/>
              <w:noProof/>
              <w:sz w:val="22"/>
              <w:szCs w:val="22"/>
            </w:rPr>
          </w:pPr>
          <w:hyperlink w:history="1" w:anchor="_Toc57726741">
            <w:r w:rsidRPr="00AD4785" w:rsidR="00AD4785">
              <w:rPr>
                <w:rStyle w:val="Hyperlink"/>
                <w:noProof/>
                <w:color w:val="auto"/>
              </w:rPr>
              <w:t>A.8</w:t>
            </w:r>
            <w:r w:rsidRPr="00AD4785" w:rsidR="00AD4785">
              <w:rPr>
                <w:rFonts w:asciiTheme="minorHAnsi" w:hAnsiTheme="minorHAnsi" w:eastAsiaTheme="minorEastAsia"/>
                <w:noProof/>
                <w:sz w:val="22"/>
                <w:szCs w:val="22"/>
              </w:rPr>
              <w:tab/>
            </w:r>
            <w:r w:rsidRPr="00AD4785" w:rsidR="00AD4785">
              <w:rPr>
                <w:rStyle w:val="Hyperlink"/>
                <w:noProof/>
                <w:color w:val="auto"/>
              </w:rPr>
              <w:t>Federal Register Announcement and Consultations Outside the Agency</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_Toc57726741 \h </w:instrText>
            </w:r>
            <w:r w:rsidRPr="00AD4785" w:rsidR="00AD4785">
              <w:rPr>
                <w:noProof/>
                <w:webHidden/>
              </w:rPr>
            </w:r>
            <w:r w:rsidRPr="00AD4785" w:rsidR="00AD4785">
              <w:rPr>
                <w:noProof/>
                <w:webHidden/>
              </w:rPr>
              <w:fldChar w:fldCharType="separate"/>
            </w:r>
            <w:r w:rsidRPr="00AD4785" w:rsidR="00AD4785">
              <w:rPr>
                <w:noProof/>
                <w:webHidden/>
              </w:rPr>
              <w:t>11</w:t>
            </w:r>
            <w:r w:rsidRPr="00AD4785" w:rsidR="00AD4785">
              <w:rPr>
                <w:noProof/>
                <w:webHidden/>
              </w:rPr>
              <w:fldChar w:fldCharType="end"/>
            </w:r>
          </w:hyperlink>
        </w:p>
        <w:p w:rsidRPr="00AD4785" w:rsidR="00AD4785" w:rsidRDefault="00C5013C" w14:paraId="370DEFCA" w14:textId="366B6558">
          <w:pPr>
            <w:pStyle w:val="TOC3"/>
            <w:tabs>
              <w:tab w:val="left" w:pos="2124"/>
              <w:tab w:val="right" w:pos="9980"/>
            </w:tabs>
            <w:rPr>
              <w:rFonts w:asciiTheme="minorHAnsi" w:hAnsiTheme="minorHAnsi" w:eastAsiaTheme="minorEastAsia"/>
              <w:noProof/>
              <w:sz w:val="22"/>
              <w:szCs w:val="22"/>
            </w:rPr>
          </w:pPr>
          <w:hyperlink w:history="1" w:anchor="_Toc57726742">
            <w:r w:rsidRPr="00AD4785" w:rsidR="00AD4785">
              <w:rPr>
                <w:rStyle w:val="Hyperlink"/>
                <w:noProof/>
                <w:color w:val="auto"/>
              </w:rPr>
              <w:t>A.8.1</w:t>
            </w:r>
            <w:r w:rsidRPr="00AD4785" w:rsidR="00AD4785">
              <w:rPr>
                <w:rFonts w:asciiTheme="minorHAnsi" w:hAnsiTheme="minorHAnsi" w:eastAsiaTheme="minorEastAsia"/>
                <w:noProof/>
                <w:sz w:val="22"/>
                <w:szCs w:val="22"/>
              </w:rPr>
              <w:tab/>
            </w:r>
            <w:r w:rsidRPr="00AD4785" w:rsidR="00AD4785">
              <w:rPr>
                <w:rStyle w:val="Hyperlink"/>
                <w:noProof/>
                <w:color w:val="auto"/>
              </w:rPr>
              <w:t>Site Visits and Workshop</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_Toc57726742 \h </w:instrText>
            </w:r>
            <w:r w:rsidRPr="00AD4785" w:rsidR="00AD4785">
              <w:rPr>
                <w:noProof/>
                <w:webHidden/>
              </w:rPr>
            </w:r>
            <w:r w:rsidRPr="00AD4785" w:rsidR="00AD4785">
              <w:rPr>
                <w:noProof/>
                <w:webHidden/>
              </w:rPr>
              <w:fldChar w:fldCharType="separate"/>
            </w:r>
            <w:r w:rsidRPr="00AD4785" w:rsidR="00AD4785">
              <w:rPr>
                <w:noProof/>
                <w:webHidden/>
              </w:rPr>
              <w:t>12</w:t>
            </w:r>
            <w:r w:rsidRPr="00AD4785" w:rsidR="00AD4785">
              <w:rPr>
                <w:noProof/>
                <w:webHidden/>
              </w:rPr>
              <w:fldChar w:fldCharType="end"/>
            </w:r>
          </w:hyperlink>
        </w:p>
        <w:p w:rsidRPr="00AD4785" w:rsidR="00AD4785" w:rsidRDefault="00C5013C" w14:paraId="2CB4ED81" w14:textId="6924BFF9">
          <w:pPr>
            <w:pStyle w:val="TOC3"/>
            <w:tabs>
              <w:tab w:val="left" w:pos="2124"/>
              <w:tab w:val="right" w:pos="9980"/>
            </w:tabs>
            <w:rPr>
              <w:rFonts w:asciiTheme="minorHAnsi" w:hAnsiTheme="minorHAnsi" w:eastAsiaTheme="minorEastAsia"/>
              <w:noProof/>
              <w:sz w:val="22"/>
              <w:szCs w:val="22"/>
            </w:rPr>
          </w:pPr>
          <w:hyperlink w:history="1" w:anchor="_Toc57726743">
            <w:r w:rsidRPr="00AD4785" w:rsidR="00AD4785">
              <w:rPr>
                <w:rStyle w:val="Hyperlink"/>
                <w:noProof/>
                <w:color w:val="auto"/>
              </w:rPr>
              <w:t>A.8.2</w:t>
            </w:r>
            <w:r w:rsidRPr="00AD4785" w:rsidR="00AD4785">
              <w:rPr>
                <w:rFonts w:asciiTheme="minorHAnsi" w:hAnsiTheme="minorHAnsi" w:eastAsiaTheme="minorEastAsia"/>
                <w:noProof/>
                <w:sz w:val="22"/>
                <w:szCs w:val="22"/>
              </w:rPr>
              <w:tab/>
            </w:r>
            <w:r w:rsidRPr="00AD4785" w:rsidR="00AD4785">
              <w:rPr>
                <w:rStyle w:val="Hyperlink"/>
                <w:noProof/>
                <w:color w:val="auto"/>
              </w:rPr>
              <w:t>Cognitive Interviews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_Toc57726743 \h </w:instrText>
            </w:r>
            <w:r w:rsidRPr="00AD4785" w:rsidR="00AD4785">
              <w:rPr>
                <w:noProof/>
                <w:webHidden/>
              </w:rPr>
            </w:r>
            <w:r w:rsidRPr="00AD4785" w:rsidR="00AD4785">
              <w:rPr>
                <w:noProof/>
                <w:webHidden/>
              </w:rPr>
              <w:fldChar w:fldCharType="separate"/>
            </w:r>
            <w:r w:rsidRPr="00AD4785" w:rsidR="00AD4785">
              <w:rPr>
                <w:noProof/>
                <w:webHidden/>
              </w:rPr>
              <w:t>12</w:t>
            </w:r>
            <w:r w:rsidRPr="00AD4785" w:rsidR="00AD4785">
              <w:rPr>
                <w:noProof/>
                <w:webHidden/>
              </w:rPr>
              <w:fldChar w:fldCharType="end"/>
            </w:r>
          </w:hyperlink>
        </w:p>
        <w:p w:rsidRPr="00AD4785" w:rsidR="00AD4785" w:rsidRDefault="00C5013C" w14:paraId="34082E87" w14:textId="20847B10">
          <w:pPr>
            <w:pStyle w:val="TOC3"/>
            <w:tabs>
              <w:tab w:val="left" w:pos="2304"/>
              <w:tab w:val="right" w:pos="9980"/>
            </w:tabs>
            <w:rPr>
              <w:rFonts w:asciiTheme="minorHAnsi" w:hAnsiTheme="minorHAnsi" w:eastAsiaTheme="minorEastAsia"/>
              <w:noProof/>
              <w:sz w:val="22"/>
              <w:szCs w:val="22"/>
            </w:rPr>
          </w:pPr>
          <w:hyperlink w:history="1" w:anchor="_Toc57726744">
            <w:r w:rsidRPr="00AD4785" w:rsidR="00AD4785">
              <w:rPr>
                <w:rStyle w:val="Hyperlink"/>
                <w:noProof/>
                <w:color w:val="auto"/>
              </w:rPr>
              <w:t>A.8.2.1</w:t>
            </w:r>
            <w:r w:rsidRPr="00AD4785" w:rsidR="00AD4785">
              <w:rPr>
                <w:rFonts w:asciiTheme="minorHAnsi" w:hAnsiTheme="minorHAnsi" w:eastAsiaTheme="minorEastAsia"/>
                <w:noProof/>
                <w:sz w:val="22"/>
                <w:szCs w:val="22"/>
              </w:rPr>
              <w:tab/>
            </w:r>
            <w:r w:rsidRPr="00AD4785" w:rsidR="00AD4785">
              <w:rPr>
                <w:rStyle w:val="Hyperlink"/>
                <w:noProof/>
                <w:color w:val="auto"/>
              </w:rPr>
              <w:t xml:space="preserve">   Personnel Question Interviews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_Toc57726744 \h </w:instrText>
            </w:r>
            <w:r w:rsidRPr="00AD4785" w:rsidR="00AD4785">
              <w:rPr>
                <w:noProof/>
                <w:webHidden/>
              </w:rPr>
            </w:r>
            <w:r w:rsidRPr="00AD4785" w:rsidR="00AD4785">
              <w:rPr>
                <w:noProof/>
                <w:webHidden/>
              </w:rPr>
              <w:fldChar w:fldCharType="separate"/>
            </w:r>
            <w:r w:rsidRPr="00AD4785" w:rsidR="00AD4785">
              <w:rPr>
                <w:noProof/>
                <w:webHidden/>
              </w:rPr>
              <w:t>12</w:t>
            </w:r>
            <w:r w:rsidRPr="00AD4785" w:rsidR="00AD4785">
              <w:rPr>
                <w:noProof/>
                <w:webHidden/>
              </w:rPr>
              <w:fldChar w:fldCharType="end"/>
            </w:r>
          </w:hyperlink>
        </w:p>
        <w:p w:rsidRPr="00AD4785" w:rsidR="00AD4785" w:rsidRDefault="00C5013C" w14:paraId="38EDC184" w14:textId="2536BB00">
          <w:pPr>
            <w:pStyle w:val="TOC3"/>
            <w:tabs>
              <w:tab w:val="left" w:pos="2304"/>
              <w:tab w:val="right" w:pos="9980"/>
            </w:tabs>
            <w:rPr>
              <w:rFonts w:asciiTheme="minorHAnsi" w:hAnsiTheme="minorHAnsi" w:eastAsiaTheme="minorEastAsia"/>
              <w:noProof/>
              <w:sz w:val="22"/>
              <w:szCs w:val="22"/>
            </w:rPr>
          </w:pPr>
          <w:hyperlink w:history="1" w:anchor="_Toc57726745">
            <w:r w:rsidRPr="00AD4785" w:rsidR="00AD4785">
              <w:rPr>
                <w:rStyle w:val="Hyperlink"/>
                <w:noProof/>
                <w:color w:val="auto"/>
              </w:rPr>
              <w:t>A.8.2.2</w:t>
            </w:r>
            <w:r w:rsidRPr="00AD4785" w:rsidR="00AD4785">
              <w:rPr>
                <w:rFonts w:asciiTheme="minorHAnsi" w:hAnsiTheme="minorHAnsi" w:eastAsiaTheme="minorEastAsia"/>
                <w:noProof/>
                <w:sz w:val="22"/>
                <w:szCs w:val="22"/>
              </w:rPr>
              <w:tab/>
            </w:r>
            <w:r w:rsidRPr="00AD4785" w:rsidR="00AD4785">
              <w:rPr>
                <w:rStyle w:val="Hyperlink"/>
                <w:noProof/>
                <w:color w:val="auto"/>
              </w:rPr>
              <w:t xml:space="preserve">   COVID-19 Impact Question Interviews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_Toc57726745 \h </w:instrText>
            </w:r>
            <w:r w:rsidRPr="00AD4785" w:rsidR="00AD4785">
              <w:rPr>
                <w:noProof/>
                <w:webHidden/>
              </w:rPr>
            </w:r>
            <w:r w:rsidRPr="00AD4785" w:rsidR="00AD4785">
              <w:rPr>
                <w:noProof/>
                <w:webHidden/>
              </w:rPr>
              <w:fldChar w:fldCharType="separate"/>
            </w:r>
            <w:r w:rsidRPr="00AD4785" w:rsidR="00AD4785">
              <w:rPr>
                <w:noProof/>
                <w:webHidden/>
              </w:rPr>
              <w:t>14</w:t>
            </w:r>
            <w:r w:rsidRPr="00AD4785" w:rsidR="00AD4785">
              <w:rPr>
                <w:noProof/>
                <w:webHidden/>
              </w:rPr>
              <w:fldChar w:fldCharType="end"/>
            </w:r>
          </w:hyperlink>
        </w:p>
        <w:p w:rsidRPr="00AD4785" w:rsidR="00AD4785" w:rsidRDefault="00C5013C" w14:paraId="1425C1F1" w14:textId="5080383A">
          <w:pPr>
            <w:pStyle w:val="TOC3"/>
            <w:tabs>
              <w:tab w:val="left" w:pos="2124"/>
              <w:tab w:val="right" w:pos="9980"/>
            </w:tabs>
            <w:rPr>
              <w:rFonts w:asciiTheme="minorHAnsi" w:hAnsiTheme="minorHAnsi" w:eastAsiaTheme="minorEastAsia"/>
              <w:noProof/>
              <w:sz w:val="22"/>
              <w:szCs w:val="22"/>
            </w:rPr>
          </w:pPr>
          <w:hyperlink w:history="1" w:anchor="_Toc57726746">
            <w:r w:rsidRPr="00AD4785" w:rsidR="00AD4785">
              <w:rPr>
                <w:rStyle w:val="Hyperlink"/>
                <w:noProof/>
                <w:color w:val="auto"/>
              </w:rPr>
              <w:t>A.8.3</w:t>
            </w:r>
            <w:r w:rsidRPr="00AD4785" w:rsidR="00AD4785">
              <w:rPr>
                <w:rFonts w:asciiTheme="minorHAnsi" w:hAnsiTheme="minorHAnsi" w:eastAsiaTheme="minorEastAsia"/>
                <w:noProof/>
                <w:sz w:val="22"/>
                <w:szCs w:val="22"/>
              </w:rPr>
              <w:tab/>
            </w:r>
            <w:r w:rsidRPr="00AD4785" w:rsidR="00AD4785">
              <w:rPr>
                <w:rStyle w:val="Hyperlink"/>
                <w:noProof/>
                <w:color w:val="auto"/>
              </w:rPr>
              <w:t>Other Consultations and Presentations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_Toc57726746 \h </w:instrText>
            </w:r>
            <w:r w:rsidRPr="00AD4785" w:rsidR="00AD4785">
              <w:rPr>
                <w:noProof/>
                <w:webHidden/>
              </w:rPr>
            </w:r>
            <w:r w:rsidRPr="00AD4785" w:rsidR="00AD4785">
              <w:rPr>
                <w:noProof/>
                <w:webHidden/>
              </w:rPr>
              <w:fldChar w:fldCharType="separate"/>
            </w:r>
            <w:r w:rsidRPr="00AD4785" w:rsidR="00AD4785">
              <w:rPr>
                <w:noProof/>
                <w:webHidden/>
              </w:rPr>
              <w:t>17</w:t>
            </w:r>
            <w:r w:rsidRPr="00AD4785" w:rsidR="00AD4785">
              <w:rPr>
                <w:noProof/>
                <w:webHidden/>
              </w:rPr>
              <w:fldChar w:fldCharType="end"/>
            </w:r>
          </w:hyperlink>
        </w:p>
        <w:p w:rsidRPr="00AD4785" w:rsidR="00AD4785" w:rsidRDefault="00C5013C" w14:paraId="078DFDFD" w14:textId="37C72BA6">
          <w:pPr>
            <w:pStyle w:val="TOC2"/>
            <w:tabs>
              <w:tab w:val="left" w:pos="1371"/>
              <w:tab w:val="right" w:pos="9980"/>
            </w:tabs>
            <w:rPr>
              <w:rFonts w:asciiTheme="minorHAnsi" w:hAnsiTheme="minorHAnsi" w:eastAsiaTheme="minorEastAsia"/>
              <w:noProof/>
              <w:sz w:val="22"/>
              <w:szCs w:val="22"/>
            </w:rPr>
          </w:pPr>
          <w:hyperlink w:history="1" w:anchor="_Toc57726747">
            <w:r w:rsidRPr="00AD4785" w:rsidR="00AD4785">
              <w:rPr>
                <w:rStyle w:val="Hyperlink"/>
                <w:noProof/>
                <w:color w:val="auto"/>
              </w:rPr>
              <w:t>A.9</w:t>
            </w:r>
            <w:r w:rsidRPr="00AD4785" w:rsidR="00AD4785">
              <w:rPr>
                <w:rFonts w:asciiTheme="minorHAnsi" w:hAnsiTheme="minorHAnsi" w:eastAsiaTheme="minorEastAsia"/>
                <w:noProof/>
                <w:sz w:val="22"/>
                <w:szCs w:val="22"/>
              </w:rPr>
              <w:tab/>
            </w:r>
            <w:r w:rsidRPr="00AD4785" w:rsidR="00AD4785">
              <w:rPr>
                <w:rStyle w:val="Hyperlink"/>
                <w:noProof/>
                <w:color w:val="auto"/>
              </w:rPr>
              <w:t>Payment or</w:t>
            </w:r>
            <w:r w:rsidRPr="00AD4785" w:rsidR="00AD4785">
              <w:rPr>
                <w:rStyle w:val="Hyperlink"/>
                <w:noProof/>
                <w:color w:val="auto"/>
                <w:spacing w:val="1"/>
              </w:rPr>
              <w:t xml:space="preserve"> </w:t>
            </w:r>
            <w:r w:rsidRPr="00AD4785" w:rsidR="00AD4785">
              <w:rPr>
                <w:rStyle w:val="Hyperlink"/>
                <w:noProof/>
                <w:color w:val="auto"/>
              </w:rPr>
              <w:t>Gifts to Respondents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_Toc57726747 \h </w:instrText>
            </w:r>
            <w:r w:rsidRPr="00AD4785" w:rsidR="00AD4785">
              <w:rPr>
                <w:noProof/>
                <w:webHidden/>
              </w:rPr>
            </w:r>
            <w:r w:rsidRPr="00AD4785" w:rsidR="00AD4785">
              <w:rPr>
                <w:noProof/>
                <w:webHidden/>
              </w:rPr>
              <w:fldChar w:fldCharType="separate"/>
            </w:r>
            <w:r w:rsidRPr="00AD4785" w:rsidR="00AD4785">
              <w:rPr>
                <w:noProof/>
                <w:webHidden/>
              </w:rPr>
              <w:t>20</w:t>
            </w:r>
            <w:r w:rsidRPr="00AD4785" w:rsidR="00AD4785">
              <w:rPr>
                <w:noProof/>
                <w:webHidden/>
              </w:rPr>
              <w:fldChar w:fldCharType="end"/>
            </w:r>
          </w:hyperlink>
        </w:p>
        <w:p w:rsidRPr="00AD4785" w:rsidR="00AD4785" w:rsidRDefault="00C5013C" w14:paraId="6D5598AA" w14:textId="1A4DE4F2">
          <w:pPr>
            <w:pStyle w:val="TOC2"/>
            <w:tabs>
              <w:tab w:val="left" w:pos="2091"/>
              <w:tab w:val="right" w:pos="9980"/>
            </w:tabs>
            <w:rPr>
              <w:rFonts w:asciiTheme="minorHAnsi" w:hAnsiTheme="minorHAnsi" w:eastAsiaTheme="minorEastAsia"/>
              <w:noProof/>
              <w:sz w:val="22"/>
              <w:szCs w:val="22"/>
            </w:rPr>
          </w:pPr>
          <w:hyperlink w:history="1" w:anchor="_Toc57726748">
            <w:r w:rsidRPr="00AD4785" w:rsidR="00AD4785">
              <w:rPr>
                <w:rStyle w:val="Hyperlink"/>
                <w:noProof/>
                <w:color w:val="auto"/>
              </w:rPr>
              <w:t>A.10</w:t>
            </w:r>
            <w:r w:rsidRPr="00AD4785" w:rsidR="00AD4785">
              <w:rPr>
                <w:rFonts w:asciiTheme="minorHAnsi" w:hAnsiTheme="minorHAnsi" w:eastAsiaTheme="minorEastAsia"/>
                <w:noProof/>
                <w:sz w:val="22"/>
                <w:szCs w:val="22"/>
              </w:rPr>
              <w:tab/>
            </w:r>
            <w:r w:rsidRPr="00AD4785" w:rsidR="00AD4785">
              <w:rPr>
                <w:rStyle w:val="Hyperlink"/>
                <w:noProof/>
                <w:color w:val="auto"/>
              </w:rPr>
              <w:t>Assurance of</w:t>
            </w:r>
            <w:r w:rsidRPr="00AD4785" w:rsidR="00AD4785">
              <w:rPr>
                <w:rStyle w:val="Hyperlink"/>
                <w:noProof/>
                <w:color w:val="auto"/>
                <w:spacing w:val="1"/>
              </w:rPr>
              <w:t xml:space="preserve"> </w:t>
            </w:r>
            <w:r w:rsidRPr="00AD4785" w:rsidR="00AD4785">
              <w:rPr>
                <w:rStyle w:val="Hyperlink"/>
                <w:noProof/>
                <w:color w:val="auto"/>
              </w:rPr>
              <w:t>Confidentiality</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_Toc57726748 \h </w:instrText>
            </w:r>
            <w:r w:rsidRPr="00AD4785" w:rsidR="00AD4785">
              <w:rPr>
                <w:noProof/>
                <w:webHidden/>
              </w:rPr>
            </w:r>
            <w:r w:rsidRPr="00AD4785" w:rsidR="00AD4785">
              <w:rPr>
                <w:noProof/>
                <w:webHidden/>
              </w:rPr>
              <w:fldChar w:fldCharType="separate"/>
            </w:r>
            <w:r w:rsidRPr="00AD4785" w:rsidR="00AD4785">
              <w:rPr>
                <w:noProof/>
                <w:webHidden/>
              </w:rPr>
              <w:t>20</w:t>
            </w:r>
            <w:r w:rsidRPr="00AD4785" w:rsidR="00AD4785">
              <w:rPr>
                <w:noProof/>
                <w:webHidden/>
              </w:rPr>
              <w:fldChar w:fldCharType="end"/>
            </w:r>
          </w:hyperlink>
        </w:p>
        <w:p w:rsidRPr="00AD4785" w:rsidR="00AD4785" w:rsidRDefault="00C5013C" w14:paraId="07CEB616" w14:textId="0886BD1F">
          <w:pPr>
            <w:pStyle w:val="TOC2"/>
            <w:tabs>
              <w:tab w:val="left" w:pos="2091"/>
              <w:tab w:val="right" w:pos="9980"/>
            </w:tabs>
            <w:rPr>
              <w:rFonts w:asciiTheme="minorHAnsi" w:hAnsiTheme="minorHAnsi" w:eastAsiaTheme="minorEastAsia"/>
              <w:noProof/>
              <w:sz w:val="22"/>
              <w:szCs w:val="22"/>
            </w:rPr>
          </w:pPr>
          <w:hyperlink w:history="1" w:anchor="_Toc57726749">
            <w:r w:rsidRPr="00AD4785" w:rsidR="00AD4785">
              <w:rPr>
                <w:rStyle w:val="Hyperlink"/>
                <w:noProof/>
                <w:color w:val="auto"/>
              </w:rPr>
              <w:t>A.11</w:t>
            </w:r>
            <w:r w:rsidRPr="00AD4785" w:rsidR="00AD4785">
              <w:rPr>
                <w:rFonts w:asciiTheme="minorHAnsi" w:hAnsiTheme="minorHAnsi" w:eastAsiaTheme="minorEastAsia"/>
                <w:noProof/>
                <w:sz w:val="22"/>
                <w:szCs w:val="22"/>
              </w:rPr>
              <w:tab/>
            </w:r>
            <w:r w:rsidRPr="00AD4785" w:rsidR="00AD4785">
              <w:rPr>
                <w:rStyle w:val="Hyperlink"/>
                <w:noProof/>
                <w:color w:val="auto"/>
              </w:rPr>
              <w:t>Justification for Sensitive Questions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_Toc57726749 \h </w:instrText>
            </w:r>
            <w:r w:rsidRPr="00AD4785" w:rsidR="00AD4785">
              <w:rPr>
                <w:noProof/>
                <w:webHidden/>
              </w:rPr>
            </w:r>
            <w:r w:rsidRPr="00AD4785" w:rsidR="00AD4785">
              <w:rPr>
                <w:noProof/>
                <w:webHidden/>
              </w:rPr>
              <w:fldChar w:fldCharType="separate"/>
            </w:r>
            <w:r w:rsidRPr="00AD4785" w:rsidR="00AD4785">
              <w:rPr>
                <w:noProof/>
                <w:webHidden/>
              </w:rPr>
              <w:t>21</w:t>
            </w:r>
            <w:r w:rsidRPr="00AD4785" w:rsidR="00AD4785">
              <w:rPr>
                <w:noProof/>
                <w:webHidden/>
              </w:rPr>
              <w:fldChar w:fldCharType="end"/>
            </w:r>
          </w:hyperlink>
        </w:p>
        <w:p w:rsidRPr="00AD4785" w:rsidR="00AD4785" w:rsidRDefault="00C5013C" w14:paraId="202C1514" w14:textId="2E7549CE">
          <w:pPr>
            <w:pStyle w:val="TOC2"/>
            <w:tabs>
              <w:tab w:val="left" w:pos="2091"/>
              <w:tab w:val="right" w:pos="9980"/>
            </w:tabs>
            <w:rPr>
              <w:rFonts w:asciiTheme="minorHAnsi" w:hAnsiTheme="minorHAnsi" w:eastAsiaTheme="minorEastAsia"/>
              <w:noProof/>
              <w:sz w:val="22"/>
              <w:szCs w:val="22"/>
            </w:rPr>
          </w:pPr>
          <w:hyperlink w:history="1" w:anchor="_Toc57726750">
            <w:r w:rsidRPr="00AD4785" w:rsidR="00AD4785">
              <w:rPr>
                <w:rStyle w:val="Hyperlink"/>
                <w:noProof/>
                <w:color w:val="auto"/>
              </w:rPr>
              <w:t>A.12</w:t>
            </w:r>
            <w:r w:rsidRPr="00AD4785" w:rsidR="00AD4785">
              <w:rPr>
                <w:rFonts w:asciiTheme="minorHAnsi" w:hAnsiTheme="minorHAnsi" w:eastAsiaTheme="minorEastAsia"/>
                <w:noProof/>
                <w:sz w:val="22"/>
                <w:szCs w:val="22"/>
              </w:rPr>
              <w:tab/>
            </w:r>
            <w:r w:rsidRPr="00AD4785" w:rsidR="00AD4785">
              <w:rPr>
                <w:rStyle w:val="Hyperlink"/>
                <w:noProof/>
                <w:color w:val="auto"/>
              </w:rPr>
              <w:t>Estimate of Respondent Burden</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_Toc57726750 \h </w:instrText>
            </w:r>
            <w:r w:rsidRPr="00AD4785" w:rsidR="00AD4785">
              <w:rPr>
                <w:noProof/>
                <w:webHidden/>
              </w:rPr>
            </w:r>
            <w:r w:rsidRPr="00AD4785" w:rsidR="00AD4785">
              <w:rPr>
                <w:noProof/>
                <w:webHidden/>
              </w:rPr>
              <w:fldChar w:fldCharType="separate"/>
            </w:r>
            <w:r w:rsidRPr="00AD4785" w:rsidR="00AD4785">
              <w:rPr>
                <w:noProof/>
                <w:webHidden/>
              </w:rPr>
              <w:t>21</w:t>
            </w:r>
            <w:r w:rsidRPr="00AD4785" w:rsidR="00AD4785">
              <w:rPr>
                <w:noProof/>
                <w:webHidden/>
              </w:rPr>
              <w:fldChar w:fldCharType="end"/>
            </w:r>
          </w:hyperlink>
        </w:p>
        <w:p w:rsidRPr="00AD4785" w:rsidR="00AD4785" w:rsidRDefault="00C5013C" w14:paraId="563164C0" w14:textId="177993F8">
          <w:pPr>
            <w:pStyle w:val="TOC2"/>
            <w:tabs>
              <w:tab w:val="left" w:pos="2091"/>
              <w:tab w:val="right" w:pos="9980"/>
            </w:tabs>
            <w:rPr>
              <w:rFonts w:asciiTheme="minorHAnsi" w:hAnsiTheme="minorHAnsi" w:eastAsiaTheme="minorEastAsia"/>
              <w:noProof/>
              <w:sz w:val="22"/>
              <w:szCs w:val="22"/>
            </w:rPr>
          </w:pPr>
          <w:hyperlink w:history="1" w:anchor="_Toc57726751">
            <w:r w:rsidRPr="00AD4785" w:rsidR="00AD4785">
              <w:rPr>
                <w:rStyle w:val="Hyperlink"/>
                <w:noProof/>
                <w:color w:val="auto"/>
              </w:rPr>
              <w:t>A.13</w:t>
            </w:r>
            <w:r w:rsidRPr="00AD4785" w:rsidR="00AD4785">
              <w:rPr>
                <w:rFonts w:asciiTheme="minorHAnsi" w:hAnsiTheme="minorHAnsi" w:eastAsiaTheme="minorEastAsia"/>
                <w:noProof/>
                <w:sz w:val="22"/>
                <w:szCs w:val="22"/>
              </w:rPr>
              <w:tab/>
            </w:r>
            <w:r w:rsidRPr="00AD4785" w:rsidR="00AD4785">
              <w:rPr>
                <w:rStyle w:val="Hyperlink"/>
                <w:noProof/>
                <w:color w:val="auto"/>
              </w:rPr>
              <w:t>Cost Burden to Respondents</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_Toc57726751 \h </w:instrText>
            </w:r>
            <w:r w:rsidRPr="00AD4785" w:rsidR="00AD4785">
              <w:rPr>
                <w:noProof/>
                <w:webHidden/>
              </w:rPr>
            </w:r>
            <w:r w:rsidRPr="00AD4785" w:rsidR="00AD4785">
              <w:rPr>
                <w:noProof/>
                <w:webHidden/>
              </w:rPr>
              <w:fldChar w:fldCharType="separate"/>
            </w:r>
            <w:r w:rsidRPr="00AD4785" w:rsidR="00AD4785">
              <w:rPr>
                <w:noProof/>
                <w:webHidden/>
              </w:rPr>
              <w:t>23</w:t>
            </w:r>
            <w:r w:rsidRPr="00AD4785" w:rsidR="00AD4785">
              <w:rPr>
                <w:noProof/>
                <w:webHidden/>
              </w:rPr>
              <w:fldChar w:fldCharType="end"/>
            </w:r>
          </w:hyperlink>
        </w:p>
        <w:p w:rsidRPr="00AD4785" w:rsidR="00AD4785" w:rsidRDefault="00C5013C" w14:paraId="3FF2F457" w14:textId="6BCA7E80">
          <w:pPr>
            <w:pStyle w:val="TOC2"/>
            <w:tabs>
              <w:tab w:val="left" w:pos="2091"/>
              <w:tab w:val="right" w:pos="9980"/>
            </w:tabs>
            <w:rPr>
              <w:rFonts w:asciiTheme="minorHAnsi" w:hAnsiTheme="minorHAnsi" w:eastAsiaTheme="minorEastAsia"/>
              <w:noProof/>
              <w:sz w:val="22"/>
              <w:szCs w:val="22"/>
            </w:rPr>
          </w:pPr>
          <w:hyperlink w:history="1" w:anchor="_Toc57726752">
            <w:r w:rsidRPr="00AD4785" w:rsidR="00AD4785">
              <w:rPr>
                <w:rStyle w:val="Hyperlink"/>
                <w:noProof/>
                <w:color w:val="auto"/>
              </w:rPr>
              <w:t>A.14</w:t>
            </w:r>
            <w:r w:rsidRPr="00AD4785" w:rsidR="00AD4785">
              <w:rPr>
                <w:rFonts w:asciiTheme="minorHAnsi" w:hAnsiTheme="minorHAnsi" w:eastAsiaTheme="minorEastAsia"/>
                <w:noProof/>
                <w:sz w:val="22"/>
                <w:szCs w:val="22"/>
              </w:rPr>
              <w:tab/>
            </w:r>
            <w:r w:rsidRPr="00AD4785" w:rsidR="00AD4785">
              <w:rPr>
                <w:rStyle w:val="Hyperlink"/>
                <w:noProof/>
                <w:color w:val="auto"/>
              </w:rPr>
              <w:t>Cost to the</w:t>
            </w:r>
            <w:r w:rsidRPr="00AD4785" w:rsidR="00AD4785">
              <w:rPr>
                <w:rStyle w:val="Hyperlink"/>
                <w:noProof/>
                <w:color w:val="auto"/>
                <w:spacing w:val="1"/>
              </w:rPr>
              <w:t xml:space="preserve"> </w:t>
            </w:r>
            <w:r w:rsidRPr="00AD4785" w:rsidR="00AD4785">
              <w:rPr>
                <w:rStyle w:val="Hyperlink"/>
                <w:noProof/>
                <w:color w:val="auto"/>
              </w:rPr>
              <w:t>Federal</w:t>
            </w:r>
            <w:r w:rsidRPr="00AD4785" w:rsidR="00AD4785">
              <w:rPr>
                <w:rStyle w:val="Hyperlink"/>
                <w:noProof/>
                <w:color w:val="auto"/>
                <w:spacing w:val="2"/>
              </w:rPr>
              <w:t xml:space="preserve"> </w:t>
            </w:r>
            <w:r w:rsidRPr="00AD4785" w:rsidR="00AD4785">
              <w:rPr>
                <w:rStyle w:val="Hyperlink"/>
                <w:noProof/>
                <w:color w:val="auto"/>
              </w:rPr>
              <w:t>Government</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_Toc57726752 \h </w:instrText>
            </w:r>
            <w:r w:rsidRPr="00AD4785" w:rsidR="00AD4785">
              <w:rPr>
                <w:noProof/>
                <w:webHidden/>
              </w:rPr>
            </w:r>
            <w:r w:rsidRPr="00AD4785" w:rsidR="00AD4785">
              <w:rPr>
                <w:noProof/>
                <w:webHidden/>
              </w:rPr>
              <w:fldChar w:fldCharType="separate"/>
            </w:r>
            <w:r w:rsidRPr="00AD4785" w:rsidR="00AD4785">
              <w:rPr>
                <w:noProof/>
                <w:webHidden/>
              </w:rPr>
              <w:t>23</w:t>
            </w:r>
            <w:r w:rsidRPr="00AD4785" w:rsidR="00AD4785">
              <w:rPr>
                <w:noProof/>
                <w:webHidden/>
              </w:rPr>
              <w:fldChar w:fldCharType="end"/>
            </w:r>
          </w:hyperlink>
        </w:p>
        <w:p w:rsidRPr="00AD4785" w:rsidR="00AD4785" w:rsidRDefault="00C5013C" w14:paraId="6694783B" w14:textId="741B5AA4">
          <w:pPr>
            <w:pStyle w:val="TOC2"/>
            <w:tabs>
              <w:tab w:val="left" w:pos="2091"/>
              <w:tab w:val="right" w:pos="9980"/>
            </w:tabs>
            <w:rPr>
              <w:rFonts w:asciiTheme="minorHAnsi" w:hAnsiTheme="minorHAnsi" w:eastAsiaTheme="minorEastAsia"/>
              <w:noProof/>
              <w:sz w:val="22"/>
              <w:szCs w:val="22"/>
            </w:rPr>
          </w:pPr>
          <w:hyperlink w:history="1" w:anchor="_Toc57726753">
            <w:r w:rsidRPr="00AD4785" w:rsidR="00AD4785">
              <w:rPr>
                <w:rStyle w:val="Hyperlink"/>
                <w:noProof/>
                <w:color w:val="auto"/>
              </w:rPr>
              <w:t>A.15</w:t>
            </w:r>
            <w:r w:rsidRPr="00AD4785" w:rsidR="00AD4785">
              <w:rPr>
                <w:rFonts w:asciiTheme="minorHAnsi" w:hAnsiTheme="minorHAnsi" w:eastAsiaTheme="minorEastAsia"/>
                <w:noProof/>
                <w:sz w:val="22"/>
                <w:szCs w:val="22"/>
              </w:rPr>
              <w:tab/>
            </w:r>
            <w:r w:rsidRPr="00AD4785" w:rsidR="00AD4785">
              <w:rPr>
                <w:rStyle w:val="Hyperlink"/>
                <w:noProof/>
                <w:color w:val="auto"/>
              </w:rPr>
              <w:t>Program Changes or Adjustments in Burden</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_Toc57726753 \h </w:instrText>
            </w:r>
            <w:r w:rsidRPr="00AD4785" w:rsidR="00AD4785">
              <w:rPr>
                <w:noProof/>
                <w:webHidden/>
              </w:rPr>
            </w:r>
            <w:r w:rsidRPr="00AD4785" w:rsidR="00AD4785">
              <w:rPr>
                <w:noProof/>
                <w:webHidden/>
              </w:rPr>
              <w:fldChar w:fldCharType="separate"/>
            </w:r>
            <w:r w:rsidRPr="00AD4785" w:rsidR="00AD4785">
              <w:rPr>
                <w:noProof/>
                <w:webHidden/>
              </w:rPr>
              <w:t>23</w:t>
            </w:r>
            <w:r w:rsidRPr="00AD4785" w:rsidR="00AD4785">
              <w:rPr>
                <w:noProof/>
                <w:webHidden/>
              </w:rPr>
              <w:fldChar w:fldCharType="end"/>
            </w:r>
          </w:hyperlink>
        </w:p>
        <w:p w:rsidRPr="00AD4785" w:rsidR="00AD4785" w:rsidRDefault="00C5013C" w14:paraId="68D56C56" w14:textId="4BDD4BC2">
          <w:pPr>
            <w:pStyle w:val="TOC2"/>
            <w:tabs>
              <w:tab w:val="left" w:pos="2091"/>
              <w:tab w:val="right" w:pos="9980"/>
            </w:tabs>
            <w:rPr>
              <w:rFonts w:asciiTheme="minorHAnsi" w:hAnsiTheme="minorHAnsi" w:eastAsiaTheme="minorEastAsia"/>
              <w:noProof/>
              <w:sz w:val="22"/>
              <w:szCs w:val="22"/>
            </w:rPr>
          </w:pPr>
          <w:hyperlink w:history="1" w:anchor="_Toc57726754">
            <w:r w:rsidRPr="00AD4785" w:rsidR="00AD4785">
              <w:rPr>
                <w:rStyle w:val="Hyperlink"/>
                <w:noProof/>
                <w:color w:val="auto"/>
              </w:rPr>
              <w:t>A.16</w:t>
            </w:r>
            <w:r w:rsidRPr="00AD4785" w:rsidR="00AD4785">
              <w:rPr>
                <w:rFonts w:asciiTheme="minorHAnsi" w:hAnsiTheme="minorHAnsi" w:eastAsiaTheme="minorEastAsia"/>
                <w:noProof/>
                <w:sz w:val="22"/>
                <w:szCs w:val="22"/>
              </w:rPr>
              <w:tab/>
            </w:r>
            <w:r w:rsidRPr="00AD4785" w:rsidR="00AD4785">
              <w:rPr>
                <w:rStyle w:val="Hyperlink"/>
                <w:noProof/>
                <w:color w:val="auto"/>
              </w:rPr>
              <w:t>Publication Plan and Project Schedule</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_Toc57726754 \h </w:instrText>
            </w:r>
            <w:r w:rsidRPr="00AD4785" w:rsidR="00AD4785">
              <w:rPr>
                <w:noProof/>
                <w:webHidden/>
              </w:rPr>
            </w:r>
            <w:r w:rsidRPr="00AD4785" w:rsidR="00AD4785">
              <w:rPr>
                <w:noProof/>
                <w:webHidden/>
              </w:rPr>
              <w:fldChar w:fldCharType="separate"/>
            </w:r>
            <w:r w:rsidRPr="00AD4785" w:rsidR="00AD4785">
              <w:rPr>
                <w:noProof/>
                <w:webHidden/>
              </w:rPr>
              <w:t>24</w:t>
            </w:r>
            <w:r w:rsidRPr="00AD4785" w:rsidR="00AD4785">
              <w:rPr>
                <w:noProof/>
                <w:webHidden/>
              </w:rPr>
              <w:fldChar w:fldCharType="end"/>
            </w:r>
          </w:hyperlink>
        </w:p>
        <w:p w:rsidRPr="00AD4785" w:rsidR="00AD4785" w:rsidRDefault="00C5013C" w14:paraId="5EAA1793" w14:textId="22645F7E">
          <w:pPr>
            <w:pStyle w:val="TOC2"/>
            <w:tabs>
              <w:tab w:val="left" w:pos="2091"/>
              <w:tab w:val="right" w:pos="9980"/>
            </w:tabs>
            <w:rPr>
              <w:rFonts w:asciiTheme="minorHAnsi" w:hAnsiTheme="minorHAnsi" w:eastAsiaTheme="minorEastAsia"/>
              <w:noProof/>
              <w:sz w:val="22"/>
              <w:szCs w:val="22"/>
            </w:rPr>
          </w:pPr>
          <w:hyperlink w:history="1" w:anchor="_Toc57726755">
            <w:r w:rsidRPr="00AD4785" w:rsidR="00AD4785">
              <w:rPr>
                <w:rStyle w:val="Hyperlink"/>
                <w:noProof/>
                <w:color w:val="auto"/>
              </w:rPr>
              <w:t>A.17</w:t>
            </w:r>
            <w:r w:rsidRPr="00AD4785" w:rsidR="00AD4785">
              <w:rPr>
                <w:rFonts w:asciiTheme="minorHAnsi" w:hAnsiTheme="minorHAnsi" w:eastAsiaTheme="minorEastAsia"/>
                <w:noProof/>
                <w:sz w:val="22"/>
                <w:szCs w:val="22"/>
              </w:rPr>
              <w:tab/>
            </w:r>
            <w:r w:rsidRPr="00AD4785" w:rsidR="00AD4785">
              <w:rPr>
                <w:rStyle w:val="Hyperlink"/>
                <w:noProof/>
                <w:color w:val="auto"/>
              </w:rPr>
              <w:t>Exceptions to Displaying of OMB Expiration Date</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_Toc57726755 \h </w:instrText>
            </w:r>
            <w:r w:rsidRPr="00AD4785" w:rsidR="00AD4785">
              <w:rPr>
                <w:noProof/>
                <w:webHidden/>
              </w:rPr>
            </w:r>
            <w:r w:rsidRPr="00AD4785" w:rsidR="00AD4785">
              <w:rPr>
                <w:noProof/>
                <w:webHidden/>
              </w:rPr>
              <w:fldChar w:fldCharType="separate"/>
            </w:r>
            <w:r w:rsidRPr="00AD4785" w:rsidR="00AD4785">
              <w:rPr>
                <w:noProof/>
                <w:webHidden/>
              </w:rPr>
              <w:t>25</w:t>
            </w:r>
            <w:r w:rsidRPr="00AD4785" w:rsidR="00AD4785">
              <w:rPr>
                <w:noProof/>
                <w:webHidden/>
              </w:rPr>
              <w:fldChar w:fldCharType="end"/>
            </w:r>
          </w:hyperlink>
        </w:p>
        <w:p w:rsidRPr="00AD4785" w:rsidR="00AD4785" w:rsidRDefault="00C5013C" w14:paraId="3E5757AA" w14:textId="3D71B7BE">
          <w:pPr>
            <w:pStyle w:val="TOC2"/>
            <w:tabs>
              <w:tab w:val="left" w:pos="2091"/>
              <w:tab w:val="right" w:pos="9980"/>
            </w:tabs>
            <w:rPr>
              <w:rFonts w:asciiTheme="minorHAnsi" w:hAnsiTheme="minorHAnsi" w:eastAsiaTheme="minorEastAsia"/>
              <w:noProof/>
              <w:sz w:val="22"/>
              <w:szCs w:val="22"/>
            </w:rPr>
          </w:pPr>
          <w:hyperlink w:history="1" w:anchor="_Toc57726756">
            <w:r w:rsidRPr="00AD4785" w:rsidR="00AD4785">
              <w:rPr>
                <w:rStyle w:val="Hyperlink"/>
                <w:noProof/>
                <w:color w:val="auto"/>
              </w:rPr>
              <w:t>A.18</w:t>
            </w:r>
            <w:r w:rsidRPr="00AD4785" w:rsidR="00AD4785">
              <w:rPr>
                <w:rFonts w:asciiTheme="minorHAnsi" w:hAnsiTheme="minorHAnsi" w:eastAsiaTheme="minorEastAsia"/>
                <w:noProof/>
                <w:sz w:val="22"/>
                <w:szCs w:val="22"/>
              </w:rPr>
              <w:tab/>
            </w:r>
            <w:r w:rsidRPr="00AD4785" w:rsidR="00AD4785">
              <w:rPr>
                <w:rStyle w:val="Hyperlink"/>
                <w:noProof/>
                <w:color w:val="auto"/>
              </w:rPr>
              <w:t>Exceptions to the Certification Statement</w:t>
            </w:r>
            <w:r w:rsidRPr="00AD4785" w:rsidR="00AD4785">
              <w:rPr>
                <w:noProof/>
                <w:webHidden/>
              </w:rPr>
              <w:tab/>
            </w:r>
            <w:r w:rsidRPr="00AD4785" w:rsidR="00AD4785">
              <w:rPr>
                <w:noProof/>
                <w:webHidden/>
              </w:rPr>
              <w:fldChar w:fldCharType="begin"/>
            </w:r>
            <w:r w:rsidRPr="00AD4785" w:rsidR="00AD4785">
              <w:rPr>
                <w:noProof/>
                <w:webHidden/>
              </w:rPr>
              <w:instrText xml:space="preserve"> PAGEREF _Toc57726756 \h </w:instrText>
            </w:r>
            <w:r w:rsidRPr="00AD4785" w:rsidR="00AD4785">
              <w:rPr>
                <w:noProof/>
                <w:webHidden/>
              </w:rPr>
            </w:r>
            <w:r w:rsidRPr="00AD4785" w:rsidR="00AD4785">
              <w:rPr>
                <w:noProof/>
                <w:webHidden/>
              </w:rPr>
              <w:fldChar w:fldCharType="separate"/>
            </w:r>
            <w:r w:rsidRPr="00AD4785" w:rsidR="00AD4785">
              <w:rPr>
                <w:noProof/>
                <w:webHidden/>
              </w:rPr>
              <w:t>25</w:t>
            </w:r>
            <w:r w:rsidRPr="00AD4785" w:rsidR="00AD4785">
              <w:rPr>
                <w:noProof/>
                <w:webHidden/>
              </w:rPr>
              <w:fldChar w:fldCharType="end"/>
            </w:r>
          </w:hyperlink>
        </w:p>
        <w:p w:rsidRPr="00AD4785" w:rsidR="00DE456E" w:rsidP="00DE456E" w:rsidRDefault="00DE456E" w14:paraId="54CB212A" w14:textId="694A019F">
          <w:pPr>
            <w:pStyle w:val="TOC2"/>
            <w:tabs>
              <w:tab w:val="left" w:pos="2091"/>
              <w:tab w:val="right" w:leader="dot" w:pos="10070"/>
            </w:tabs>
            <w:spacing w:after="120"/>
            <w:rPr>
              <w:rFonts w:asciiTheme="minorHAnsi" w:hAnsiTheme="minorHAnsi" w:eastAsiaTheme="minorEastAsia"/>
              <w:noProof/>
              <w:sz w:val="22"/>
              <w:szCs w:val="22"/>
            </w:rPr>
          </w:pPr>
          <w:r w:rsidRPr="00AD4785">
            <w:fldChar w:fldCharType="end"/>
          </w:r>
        </w:p>
      </w:sdtContent>
    </w:sdt>
    <w:bookmarkEnd w:id="3"/>
    <w:bookmarkEnd w:id="2"/>
    <w:bookmarkEnd w:id="1"/>
    <w:p w:rsidRPr="00AD4785" w:rsidR="00B44820" w:rsidP="009630A5" w:rsidRDefault="006525B7" w14:paraId="18CF7109" w14:textId="552E71FC">
      <w:pPr>
        <w:pStyle w:val="BodyText"/>
        <w:spacing w:after="240"/>
        <w:ind w:firstLine="0"/>
      </w:pPr>
      <w:r w:rsidRPr="00AD4785">
        <w:tab/>
      </w:r>
      <w:r w:rsidRPr="00AD4785">
        <w:tab/>
      </w:r>
      <w:r w:rsidRPr="00AD4785">
        <w:tab/>
      </w:r>
      <w:r w:rsidRPr="00AD4785">
        <w:tab/>
      </w:r>
      <w:r w:rsidRPr="00AD4785">
        <w:tab/>
      </w:r>
      <w:r w:rsidRPr="00AD4785">
        <w:tab/>
        <w:t xml:space="preserve">   </w:t>
      </w:r>
    </w:p>
    <w:p w:rsidRPr="00AD4785" w:rsidR="005F7C62" w:rsidP="009F4BE5" w:rsidRDefault="008C752D" w14:paraId="5909C9B6" w14:textId="598AA16A">
      <w:pPr>
        <w:pStyle w:val="BodyText"/>
        <w:spacing w:after="300"/>
        <w:ind w:left="216" w:hanging="306"/>
        <w:jc w:val="center"/>
        <w:rPr>
          <w:b/>
        </w:rPr>
      </w:pPr>
      <w:bookmarkStart w:name="_Toc488073258" w:id="4"/>
      <w:bookmarkStart w:name="_Toc490122265" w:id="5"/>
      <w:r w:rsidRPr="00AD4785">
        <w:rPr>
          <w:b/>
        </w:rPr>
        <w:t>LIST OF</w:t>
      </w:r>
      <w:r w:rsidRPr="00AD4785">
        <w:rPr>
          <w:b/>
          <w:spacing w:val="-3"/>
        </w:rPr>
        <w:t xml:space="preserve"> </w:t>
      </w:r>
      <w:r w:rsidRPr="00AD4785">
        <w:rPr>
          <w:b/>
        </w:rPr>
        <w:t>ATTACHMENTS</w:t>
      </w:r>
      <w:bookmarkEnd w:id="4"/>
      <w:bookmarkEnd w:id="5"/>
    </w:p>
    <w:p w:rsidRPr="00AD4785" w:rsidR="004135C7" w:rsidP="009F4BE5" w:rsidRDefault="00191E4A" w14:paraId="2AB60252" w14:textId="01036DA3">
      <w:pPr>
        <w:pStyle w:val="TOC1"/>
        <w:spacing w:before="0" w:after="300"/>
        <w:ind w:hanging="202"/>
        <w:rPr>
          <w:b w:val="0"/>
        </w:rPr>
      </w:pPr>
      <w:r w:rsidRPr="00AD4785">
        <w:rPr>
          <w:b w:val="0"/>
        </w:rPr>
        <w:t>Attachment 1.</w:t>
      </w:r>
      <w:r w:rsidRPr="00AD4785">
        <w:rPr>
          <w:b w:val="0"/>
        </w:rPr>
        <w:tab/>
      </w:r>
      <w:r w:rsidRPr="00AD4785" w:rsidR="004135C7">
        <w:rPr>
          <w:b w:val="0"/>
        </w:rPr>
        <w:t>OMB Notice of Approval 3145-0100 2019</w:t>
      </w:r>
    </w:p>
    <w:p w:rsidRPr="00AD4785" w:rsidR="004135C7" w:rsidP="009F4BE5" w:rsidRDefault="004135C7" w14:paraId="7DFD1FE7" w14:textId="68997EFB">
      <w:pPr>
        <w:pStyle w:val="TOC1"/>
        <w:spacing w:before="0" w:after="300"/>
        <w:ind w:hanging="202"/>
        <w:rPr>
          <w:b w:val="0"/>
        </w:rPr>
      </w:pPr>
      <w:r w:rsidRPr="00AD4785">
        <w:rPr>
          <w:b w:val="0"/>
        </w:rPr>
        <w:t>Attachment 2.</w:t>
      </w:r>
      <w:r w:rsidRPr="00AD4785">
        <w:rPr>
          <w:b w:val="0"/>
        </w:rPr>
        <w:tab/>
      </w:r>
      <w:r w:rsidRPr="00AD4785">
        <w:rPr>
          <w:b w:val="0"/>
          <w:bCs/>
        </w:rPr>
        <w:t>FY 2020 Higher Education R&amp;D Survey Standard Questionnaire</w:t>
      </w:r>
    </w:p>
    <w:p w:rsidRPr="00AD4785" w:rsidR="004135C7" w:rsidP="004135C7" w:rsidRDefault="004135C7" w14:paraId="751E5C90" w14:textId="74034262">
      <w:pPr>
        <w:pStyle w:val="TOC1"/>
        <w:spacing w:before="0" w:after="300"/>
        <w:ind w:hanging="202"/>
        <w:rPr>
          <w:b w:val="0"/>
        </w:rPr>
      </w:pPr>
      <w:r w:rsidRPr="00AD4785">
        <w:rPr>
          <w:b w:val="0"/>
        </w:rPr>
        <w:t>Attachment 3.</w:t>
      </w:r>
      <w:r w:rsidRPr="00AD4785">
        <w:rPr>
          <w:b w:val="0"/>
        </w:rPr>
        <w:tab/>
      </w:r>
      <w:r w:rsidRPr="00AD4785">
        <w:rPr>
          <w:b w:val="0"/>
          <w:bCs/>
        </w:rPr>
        <w:t>FY 2020 Higher Education R&amp;D Short Form Survey Questionnaire</w:t>
      </w:r>
    </w:p>
    <w:p w:rsidRPr="00AD4785" w:rsidR="004135C7" w:rsidP="009F4BE5" w:rsidRDefault="004135C7" w14:paraId="7894DE0A" w14:textId="77777777">
      <w:pPr>
        <w:pStyle w:val="TOC1"/>
        <w:spacing w:before="0" w:after="300"/>
        <w:ind w:hanging="202"/>
        <w:rPr>
          <w:b w:val="0"/>
        </w:rPr>
      </w:pPr>
    </w:p>
    <w:p w:rsidRPr="00AD4785" w:rsidR="00191E4A" w:rsidP="009F4BE5" w:rsidRDefault="00E81BF8" w14:paraId="3599FCE5" w14:textId="473292E1">
      <w:pPr>
        <w:pStyle w:val="TOC1"/>
        <w:spacing w:before="0" w:after="300"/>
        <w:ind w:hanging="202"/>
        <w:rPr>
          <w:b w:val="0"/>
        </w:rPr>
      </w:pPr>
      <w:r w:rsidRPr="00AD4785">
        <w:rPr>
          <w:b w:val="0"/>
        </w:rPr>
        <w:t>Attachment 4.</w:t>
      </w:r>
      <w:r w:rsidRPr="00AD4785">
        <w:rPr>
          <w:b w:val="0"/>
        </w:rPr>
        <w:tab/>
      </w:r>
      <w:r w:rsidRPr="00AD4785" w:rsidR="00191E4A">
        <w:rPr>
          <w:b w:val="0"/>
        </w:rPr>
        <w:t>America COMPETES Reauthorization Act of 2010</w:t>
      </w:r>
    </w:p>
    <w:p w:rsidRPr="00AD4785" w:rsidR="00191E4A" w:rsidP="009F4BE5" w:rsidRDefault="00191E4A" w14:paraId="45575623" w14:textId="3FDAC41B">
      <w:pPr>
        <w:pStyle w:val="TOC1"/>
        <w:spacing w:before="0" w:after="300"/>
        <w:ind w:hanging="202"/>
        <w:rPr>
          <w:b w:val="0"/>
        </w:rPr>
      </w:pPr>
      <w:r w:rsidRPr="00AD4785">
        <w:rPr>
          <w:b w:val="0"/>
        </w:rPr>
        <w:t xml:space="preserve">Attachment </w:t>
      </w:r>
      <w:r w:rsidRPr="00AD4785" w:rsidR="00E81BF8">
        <w:rPr>
          <w:b w:val="0"/>
        </w:rPr>
        <w:t>5</w:t>
      </w:r>
      <w:r w:rsidRPr="00AD4785">
        <w:rPr>
          <w:b w:val="0"/>
        </w:rPr>
        <w:t>.</w:t>
      </w:r>
      <w:r w:rsidRPr="00AD4785">
        <w:rPr>
          <w:b w:val="0"/>
        </w:rPr>
        <w:tab/>
      </w:r>
      <w:r w:rsidRPr="00AD4785" w:rsidR="00E81BF8">
        <w:rPr>
          <w:b w:val="0"/>
          <w:bCs/>
        </w:rPr>
        <w:t xml:space="preserve">FY 2020 </w:t>
      </w:r>
      <w:bookmarkStart w:name="_Hlk9497849" w:id="6"/>
      <w:r w:rsidRPr="00AD4785" w:rsidR="00E81BF8">
        <w:rPr>
          <w:b w:val="0"/>
          <w:bCs/>
        </w:rPr>
        <w:t>Higher Education R&amp;D Survey Population Screening Methodology</w:t>
      </w:r>
      <w:bookmarkEnd w:id="6"/>
    </w:p>
    <w:p w:rsidRPr="00AD4785" w:rsidR="005F7C62" w:rsidP="009F4BE5" w:rsidRDefault="008C752D" w14:paraId="08A60355" w14:textId="2B473BB3">
      <w:pPr>
        <w:pStyle w:val="TOC1"/>
        <w:spacing w:before="0" w:after="300"/>
        <w:ind w:hanging="202"/>
        <w:rPr>
          <w:b w:val="0"/>
          <w:bCs/>
        </w:rPr>
      </w:pPr>
      <w:r w:rsidRPr="00AD4785">
        <w:rPr>
          <w:b w:val="0"/>
        </w:rPr>
        <w:t xml:space="preserve">Attachment </w:t>
      </w:r>
      <w:r w:rsidRPr="00AD4785" w:rsidR="00E81BF8">
        <w:rPr>
          <w:b w:val="0"/>
        </w:rPr>
        <w:t>6</w:t>
      </w:r>
      <w:r w:rsidRPr="00AD4785">
        <w:rPr>
          <w:b w:val="0"/>
        </w:rPr>
        <w:t>.</w:t>
      </w:r>
      <w:r w:rsidRPr="00AD4785" w:rsidR="00AC7ADA">
        <w:rPr>
          <w:b w:val="0"/>
        </w:rPr>
        <w:tab/>
      </w:r>
      <w:r w:rsidRPr="00AD4785" w:rsidR="00E81BF8">
        <w:rPr>
          <w:b w:val="0"/>
          <w:bCs/>
        </w:rPr>
        <w:t>FY 2020 Higher Education R&amp;D Survey population review questionnaire</w:t>
      </w:r>
    </w:p>
    <w:p w:rsidRPr="00AD4785" w:rsidR="00CD0F61" w:rsidP="009F4BE5" w:rsidRDefault="008C752D" w14:paraId="7550DA44" w14:textId="77777777">
      <w:pPr>
        <w:pStyle w:val="TOC1"/>
        <w:spacing w:before="0" w:after="300"/>
        <w:ind w:left="2160" w:hanging="1620"/>
        <w:rPr>
          <w:b w:val="0"/>
        </w:rPr>
      </w:pPr>
      <w:r w:rsidRPr="00AD4785">
        <w:rPr>
          <w:b w:val="0"/>
        </w:rPr>
        <w:t xml:space="preserve">Attachment </w:t>
      </w:r>
      <w:r w:rsidRPr="00AD4785" w:rsidR="00CD0F61">
        <w:rPr>
          <w:b w:val="0"/>
        </w:rPr>
        <w:t>7</w:t>
      </w:r>
      <w:r w:rsidRPr="00AD4785">
        <w:rPr>
          <w:b w:val="0"/>
        </w:rPr>
        <w:t>.</w:t>
      </w:r>
      <w:r w:rsidRPr="00AD4785" w:rsidR="00AC7ADA">
        <w:rPr>
          <w:b w:val="0"/>
        </w:rPr>
        <w:tab/>
      </w:r>
      <w:r w:rsidRPr="00AD4785" w:rsidR="00CD0F61">
        <w:rPr>
          <w:b w:val="0"/>
          <w:bCs/>
        </w:rPr>
        <w:t>FY 2020 FFRDC R&amp;D Survey questionnaire</w:t>
      </w:r>
      <w:r w:rsidRPr="00AD4785" w:rsidR="00CD0F61">
        <w:rPr>
          <w:b w:val="0"/>
        </w:rPr>
        <w:t xml:space="preserve"> </w:t>
      </w:r>
    </w:p>
    <w:p w:rsidRPr="00AD4785" w:rsidR="005668B2" w:rsidP="005668B2" w:rsidRDefault="005668B2" w14:paraId="293126FC" w14:textId="140CF40C">
      <w:pPr>
        <w:pStyle w:val="TOC1"/>
        <w:spacing w:before="0" w:after="300"/>
        <w:ind w:hanging="202"/>
        <w:rPr>
          <w:b w:val="0"/>
        </w:rPr>
      </w:pPr>
      <w:r w:rsidRPr="00AD4785">
        <w:rPr>
          <w:b w:val="0"/>
        </w:rPr>
        <w:t>Attachment 8.</w:t>
      </w:r>
      <w:r w:rsidRPr="00AD4785">
        <w:rPr>
          <w:b w:val="0"/>
        </w:rPr>
        <w:tab/>
        <w:t>OMB Notice of Approval 3145-0174 2020 Generic Personnel Cognitive</w:t>
      </w:r>
    </w:p>
    <w:p w:rsidRPr="00AD4785" w:rsidR="005668B2" w:rsidP="005668B2" w:rsidRDefault="005668B2" w14:paraId="174F3C2D" w14:textId="226401E0">
      <w:pPr>
        <w:pStyle w:val="TOC1"/>
        <w:spacing w:before="0" w:after="300"/>
        <w:ind w:hanging="202"/>
        <w:rPr>
          <w:b w:val="0"/>
        </w:rPr>
      </w:pPr>
      <w:r w:rsidRPr="00AD4785">
        <w:rPr>
          <w:b w:val="0"/>
        </w:rPr>
        <w:t>Attachment 9.</w:t>
      </w:r>
      <w:r w:rsidRPr="00AD4785">
        <w:rPr>
          <w:b w:val="0"/>
        </w:rPr>
        <w:tab/>
        <w:t>OMB Notice of Approval 3145-0174 2020 Generic COVID Cognitive</w:t>
      </w:r>
    </w:p>
    <w:p w:rsidRPr="00AD4785" w:rsidR="004A388F" w:rsidP="004A388F" w:rsidRDefault="004A388F" w14:paraId="193623A6" w14:textId="6B73E5FF">
      <w:pPr>
        <w:pStyle w:val="TOC1"/>
        <w:spacing w:before="0" w:after="300"/>
        <w:ind w:left="2160" w:hanging="1620"/>
        <w:rPr>
          <w:b w:val="0"/>
        </w:rPr>
      </w:pPr>
      <w:r w:rsidRPr="00AD4785">
        <w:rPr>
          <w:b w:val="0"/>
        </w:rPr>
        <w:t>Attachment 10.</w:t>
      </w:r>
      <w:r w:rsidRPr="00AD4785">
        <w:rPr>
          <w:b w:val="0"/>
        </w:rPr>
        <w:tab/>
      </w:r>
      <w:r w:rsidRPr="00AD4785">
        <w:rPr>
          <w:b w:val="0"/>
          <w:bCs/>
        </w:rPr>
        <w:t>Federal Register Notice for the 2020 Higher Education R&amp;D Survey</w:t>
      </w:r>
    </w:p>
    <w:p w:rsidRPr="00AD4785" w:rsidR="002D73B8" w:rsidP="002D73B8" w:rsidRDefault="002D73B8" w14:paraId="6BF27E73" w14:textId="77777777">
      <w:pPr>
        <w:pStyle w:val="TOC1"/>
        <w:spacing w:before="0" w:after="300"/>
        <w:ind w:hanging="202"/>
        <w:rPr>
          <w:b w:val="0"/>
        </w:rPr>
      </w:pPr>
      <w:r w:rsidRPr="00AD4785">
        <w:rPr>
          <w:b w:val="0"/>
        </w:rPr>
        <w:t>Attachment 11.</w:t>
      </w:r>
      <w:r w:rsidRPr="00AD4785">
        <w:rPr>
          <w:b w:val="0"/>
        </w:rPr>
        <w:tab/>
        <w:t xml:space="preserve">HERD 2019 Workshop Summary on </w:t>
      </w:r>
      <w:proofErr w:type="spellStart"/>
      <w:r w:rsidRPr="00AD4785">
        <w:rPr>
          <w:b w:val="0"/>
        </w:rPr>
        <w:t>CapEx</w:t>
      </w:r>
      <w:proofErr w:type="spellEnd"/>
      <w:r w:rsidRPr="00AD4785">
        <w:rPr>
          <w:b w:val="0"/>
        </w:rPr>
        <w:t xml:space="preserve"> and Research Personnel</w:t>
      </w:r>
    </w:p>
    <w:p w:rsidRPr="00AD4785" w:rsidR="00C503E4" w:rsidP="00C503E4" w:rsidRDefault="00C503E4" w14:paraId="6C707A5B" w14:textId="77777777">
      <w:pPr>
        <w:pStyle w:val="TOC1"/>
        <w:spacing w:before="0" w:after="300"/>
        <w:ind w:hanging="202"/>
        <w:rPr>
          <w:b w:val="0"/>
        </w:rPr>
      </w:pPr>
      <w:r w:rsidRPr="00AD4785">
        <w:rPr>
          <w:b w:val="0"/>
        </w:rPr>
        <w:t>Attachment 12.</w:t>
      </w:r>
      <w:r w:rsidRPr="00AD4785">
        <w:rPr>
          <w:b w:val="0"/>
        </w:rPr>
        <w:tab/>
        <w:t>HERD Personnel Questions Cognitive Interview Report</w:t>
      </w:r>
    </w:p>
    <w:p w:rsidRPr="00AD4785" w:rsidR="00CC2556" w:rsidP="00CC2556" w:rsidRDefault="00CC2556" w14:paraId="1F63B075" w14:textId="77777777">
      <w:pPr>
        <w:pStyle w:val="TOC1"/>
        <w:spacing w:before="0" w:after="300"/>
        <w:ind w:hanging="202"/>
        <w:rPr>
          <w:b w:val="0"/>
        </w:rPr>
      </w:pPr>
      <w:r w:rsidRPr="00AD4785">
        <w:rPr>
          <w:b w:val="0"/>
        </w:rPr>
        <w:t>Attachment 13.</w:t>
      </w:r>
      <w:r w:rsidRPr="00AD4785">
        <w:rPr>
          <w:b w:val="0"/>
        </w:rPr>
        <w:tab/>
        <w:t>HERD COVID-19 Questions Cognitive Interview Report</w:t>
      </w:r>
    </w:p>
    <w:p w:rsidRPr="00AD4785" w:rsidR="0053714D" w:rsidP="0053714D" w:rsidRDefault="0053714D" w14:paraId="13B3BFC5" w14:textId="77777777">
      <w:pPr>
        <w:pStyle w:val="TOC1"/>
        <w:spacing w:before="0" w:after="300"/>
        <w:ind w:hanging="202"/>
        <w:rPr>
          <w:b w:val="0"/>
        </w:rPr>
      </w:pPr>
      <w:r w:rsidRPr="00AD4785">
        <w:rPr>
          <w:b w:val="0"/>
        </w:rPr>
        <w:t>Attachment 14.</w:t>
      </w:r>
      <w:r w:rsidRPr="00AD4785">
        <w:rPr>
          <w:b w:val="0"/>
        </w:rPr>
        <w:tab/>
        <w:t>Federal Demonstration Partnership 2019 HERD Presentation</w:t>
      </w:r>
    </w:p>
    <w:p w:rsidRPr="00AD4785" w:rsidR="0053714D" w:rsidP="0053714D" w:rsidRDefault="0053714D" w14:paraId="16F92912" w14:textId="77777777">
      <w:pPr>
        <w:pStyle w:val="TOC1"/>
        <w:spacing w:before="0" w:after="300"/>
        <w:ind w:hanging="202"/>
        <w:rPr>
          <w:b w:val="0"/>
        </w:rPr>
      </w:pPr>
      <w:r w:rsidRPr="00AD4785">
        <w:rPr>
          <w:b w:val="0"/>
        </w:rPr>
        <w:t>Attachment 15.</w:t>
      </w:r>
      <w:r w:rsidRPr="00AD4785">
        <w:rPr>
          <w:b w:val="0"/>
        </w:rPr>
        <w:tab/>
        <w:t>HERD Survey 2020 Respondent Webinar Presentation</w:t>
      </w:r>
    </w:p>
    <w:p w:rsidRPr="00AD4785" w:rsidR="00185315" w:rsidP="00185315" w:rsidRDefault="00185315" w14:paraId="2F248C04" w14:textId="2C819B0B">
      <w:pPr>
        <w:pStyle w:val="BodyText2"/>
        <w:spacing w:line="360" w:lineRule="auto"/>
        <w:ind w:firstLine="540"/>
      </w:pPr>
      <w:r w:rsidRPr="00AD4785">
        <w:rPr>
          <w:bCs/>
        </w:rPr>
        <w:t>Attachment 16.</w:t>
      </w:r>
      <w:r w:rsidRPr="00AD4785">
        <w:rPr>
          <w:bCs/>
        </w:rPr>
        <w:tab/>
        <w:t>Contact</w:t>
      </w:r>
      <w:r w:rsidRPr="00AD4785">
        <w:t xml:space="preserve"> Materials for FY 2020 Higher Education R&amp;D Survey</w:t>
      </w:r>
    </w:p>
    <w:p w:rsidRPr="00AD4785" w:rsidR="006A6D71" w:rsidP="006A6D71" w:rsidRDefault="006A6D71" w14:paraId="59801BD0" w14:textId="77777777">
      <w:pPr>
        <w:spacing w:after="120" w:line="360" w:lineRule="auto"/>
        <w:ind w:left="742" w:hanging="202"/>
        <w:rPr>
          <w:rFonts w:eastAsia="Calibri"/>
        </w:rPr>
      </w:pPr>
      <w:r w:rsidRPr="00AD4785">
        <w:rPr>
          <w:rFonts w:eastAsia="Calibri"/>
          <w:bCs/>
        </w:rPr>
        <w:t>Attachment 17.</w:t>
      </w:r>
      <w:r w:rsidRPr="00AD4785">
        <w:rPr>
          <w:rFonts w:eastAsia="Calibri"/>
          <w:bCs/>
        </w:rPr>
        <w:tab/>
        <w:t>FY 2018 HERD Imputation Procedures</w:t>
      </w:r>
    </w:p>
    <w:p w:rsidRPr="00AD4785" w:rsidR="006A6D71" w:rsidP="00185315" w:rsidRDefault="006A6D71" w14:paraId="0325BAE9" w14:textId="77777777">
      <w:pPr>
        <w:pStyle w:val="BodyText2"/>
        <w:spacing w:line="360" w:lineRule="auto"/>
        <w:ind w:firstLine="540"/>
      </w:pPr>
    </w:p>
    <w:p w:rsidRPr="00AD4785" w:rsidR="00185315" w:rsidP="00185315" w:rsidRDefault="00185315" w14:paraId="09822314" w14:textId="281C325F">
      <w:pPr>
        <w:pStyle w:val="TOC1"/>
        <w:spacing w:before="0" w:after="300"/>
        <w:ind w:hanging="202"/>
        <w:rPr>
          <w:b w:val="0"/>
        </w:rPr>
      </w:pPr>
    </w:p>
    <w:p w:rsidRPr="00AD4785" w:rsidR="00CD0F61" w:rsidP="009F4BE5" w:rsidRDefault="00CD0F61" w14:paraId="56F5725B" w14:textId="77777777">
      <w:pPr>
        <w:pStyle w:val="TOC1"/>
        <w:spacing w:before="0" w:after="300"/>
        <w:ind w:left="2160" w:hanging="1620"/>
        <w:rPr>
          <w:b w:val="0"/>
        </w:rPr>
      </w:pPr>
    </w:p>
    <w:p w:rsidRPr="00AD4785" w:rsidR="00E170C6" w:rsidP="009630A5" w:rsidRDefault="00E170C6" w14:paraId="232F62EF" w14:textId="77777777">
      <w:pPr>
        <w:pStyle w:val="BodyText"/>
        <w:tabs>
          <w:tab w:val="left" w:pos="1710"/>
        </w:tabs>
        <w:spacing w:before="120"/>
        <w:ind w:right="40"/>
        <w:rPr>
          <w:spacing w:val="-1"/>
        </w:rPr>
        <w:sectPr w:rsidRPr="00AD4785" w:rsidR="00E170C6" w:rsidSect="00CB55F9">
          <w:footerReference w:type="default" r:id="rId8"/>
          <w:type w:val="oddPage"/>
          <w:pgSz w:w="12240" w:h="15840" w:code="1"/>
          <w:pgMar w:top="1170" w:right="1260" w:bottom="1260" w:left="990" w:header="720" w:footer="720" w:gutter="0"/>
          <w:pgNumType w:fmt="lowerRoman" w:start="1"/>
          <w:cols w:space="720"/>
        </w:sectPr>
      </w:pPr>
    </w:p>
    <w:p w:rsidRPr="00AD4785" w:rsidR="005F7C62" w:rsidP="009630A5" w:rsidRDefault="009E66C1" w14:paraId="430D657C" w14:textId="7C733052">
      <w:pPr>
        <w:pStyle w:val="Heading2"/>
      </w:pPr>
      <w:bookmarkStart w:name="_Toc488073259" w:id="7"/>
      <w:bookmarkStart w:name="_Toc57726725" w:id="8"/>
      <w:r w:rsidRPr="00AD4785">
        <w:lastRenderedPageBreak/>
        <w:t xml:space="preserve">A.  </w:t>
      </w:r>
      <w:r w:rsidRPr="00AD4785" w:rsidR="008C752D">
        <w:t>JUSTIFICATION</w:t>
      </w:r>
      <w:bookmarkEnd w:id="7"/>
      <w:bookmarkEnd w:id="8"/>
    </w:p>
    <w:p w:rsidRPr="00AD4785" w:rsidR="00A87BA9" w:rsidP="00A87BA9" w:rsidRDefault="009F04FB" w14:paraId="54B88BA9" w14:textId="11681D3D">
      <w:pPr>
        <w:pStyle w:val="BodyText"/>
      </w:pPr>
      <w:r w:rsidRPr="00AD4785">
        <w:t xml:space="preserve">The National Center for Science and Engineering Statistics (NCSES) requests approval for a revision to the OMB clearance for the Higher Education R&amp;D and FFRDC R&amp;D </w:t>
      </w:r>
      <w:r w:rsidRPr="00AD4785" w:rsidR="0048799E">
        <w:t>s</w:t>
      </w:r>
      <w:r w:rsidRPr="00AD4785">
        <w:t xml:space="preserve">urveys. This </w:t>
      </w:r>
      <w:r w:rsidRPr="00AD4785" w:rsidR="00442B61">
        <w:t>request</w:t>
      </w:r>
      <w:r w:rsidRPr="00AD4785">
        <w:t xml:space="preserve"> specifically concerns the FY 2020 Higher Education R&amp;D (HERD) </w:t>
      </w:r>
      <w:r w:rsidRPr="00AD4785" w:rsidR="0048799E">
        <w:t>s</w:t>
      </w:r>
      <w:r w:rsidRPr="00AD4785">
        <w:t xml:space="preserve">urvey questionnaire; it does not apply to the FFRDC questionnaire. NCSES requests a revision to the current question on R&amp;D personnel to collect demographic headcounts </w:t>
      </w:r>
      <w:r w:rsidRPr="00AD4785" w:rsidR="000E5B5F">
        <w:t xml:space="preserve">for </w:t>
      </w:r>
      <w:r w:rsidRPr="00AD4785" w:rsidR="001975D9">
        <w:t>three</w:t>
      </w:r>
      <w:r w:rsidRPr="00AD4785" w:rsidR="000E5B5F">
        <w:t xml:space="preserve"> R&amp;D personnel functions: </w:t>
      </w:r>
      <w:r w:rsidRPr="00AD4785">
        <w:t>researchers, R&amp;D technicians,</w:t>
      </w:r>
      <w:r w:rsidRPr="00AD4785" w:rsidR="00BA163F">
        <w:t xml:space="preserve"> and</w:t>
      </w:r>
      <w:r w:rsidRPr="00AD4785">
        <w:t xml:space="preserve"> R&amp;D support staff</w:t>
      </w:r>
      <w:r w:rsidRPr="00AD4785" w:rsidR="000E5B5F">
        <w:t>.</w:t>
      </w:r>
      <w:r w:rsidRPr="00AD4785">
        <w:t xml:space="preserve"> </w:t>
      </w:r>
      <w:r w:rsidRPr="00AD4785" w:rsidR="000E5B5F">
        <w:t xml:space="preserve">Total headcount data on researchers will be collected </w:t>
      </w:r>
      <w:r w:rsidRPr="00AD4785">
        <w:t>by sex, citizenship, and highest level of education completed</w:t>
      </w:r>
      <w:r w:rsidRPr="00AD4785" w:rsidR="000E5B5F">
        <w:t>. Total headcount data on R&amp;D technicians and R&amp;D support staff will only be collected by sex and citizenship. Furthermore, NCSES requests</w:t>
      </w:r>
      <w:r w:rsidRPr="00AD4785">
        <w:t xml:space="preserve"> the addition of a new question on the number of full-time equivalents for the </w:t>
      </w:r>
      <w:r w:rsidRPr="00AD4785" w:rsidR="001975D9">
        <w:t xml:space="preserve">three </w:t>
      </w:r>
      <w:r w:rsidRPr="00AD4785">
        <w:t>personnel</w:t>
      </w:r>
      <w:r w:rsidRPr="00AD4785" w:rsidR="001975D9">
        <w:t xml:space="preserve"> functions</w:t>
      </w:r>
      <w:r w:rsidRPr="00AD4785">
        <w:t xml:space="preserve">. </w:t>
      </w:r>
      <w:r w:rsidRPr="00AD4785" w:rsidR="00857FC4">
        <w:t xml:space="preserve">These questions were developed over a four-year period through site visits, a workshop, and cognitive testing. Iterations of these questions were also presented at seven meetings and conferences </w:t>
      </w:r>
      <w:r w:rsidRPr="00AD4785" w:rsidR="000E5B5F">
        <w:t xml:space="preserve">that </w:t>
      </w:r>
      <w:r w:rsidRPr="00AD4785" w:rsidR="00E66CF2">
        <w:t>includ</w:t>
      </w:r>
      <w:r w:rsidRPr="00AD4785" w:rsidR="000E5B5F">
        <w:t>ed</w:t>
      </w:r>
      <w:r w:rsidRPr="00AD4785" w:rsidR="00E66CF2">
        <w:t xml:space="preserve"> many </w:t>
      </w:r>
      <w:r w:rsidRPr="00AD4785" w:rsidR="00857FC4">
        <w:t xml:space="preserve">research administrators from HERD survey institutions over this period. </w:t>
      </w:r>
      <w:r w:rsidRPr="00AD4785" w:rsidR="002E0C04">
        <w:t xml:space="preserve">As noted below under “uses of information,” these data are currently lacking for international comparisons and they will prove valuable for NCSES and National Science Board publications. </w:t>
      </w:r>
      <w:r w:rsidRPr="00AD4785" w:rsidR="00857FC4">
        <w:t xml:space="preserve">They will also </w:t>
      </w:r>
      <w:r w:rsidRPr="00AD4785" w:rsidR="002D5D12">
        <w:t>provide value</w:t>
      </w:r>
      <w:r w:rsidRPr="00AD4785" w:rsidR="00857FC4">
        <w:t xml:space="preserve"> for researchers</w:t>
      </w:r>
      <w:r w:rsidRPr="00AD4785" w:rsidR="00D542C3">
        <w:t>, analysts, and others seeking</w:t>
      </w:r>
      <w:r w:rsidRPr="00AD4785" w:rsidR="00857FC4">
        <w:t xml:space="preserve"> to address R&amp;D personnel effort and demographic issues.</w:t>
      </w:r>
      <w:r w:rsidRPr="00AD4785" w:rsidR="00A87BA9">
        <w:t xml:space="preserve"> The proposed research personnel questions will only appear on the HERD standard form that is provided to approximately 650 institutions reporting </w:t>
      </w:r>
      <w:r w:rsidRPr="00AD4785" w:rsidR="001C10F7">
        <w:t xml:space="preserve">at least </w:t>
      </w:r>
      <w:r w:rsidRPr="00AD4785" w:rsidR="00A87BA9">
        <w:t>$1 million</w:t>
      </w:r>
      <w:r w:rsidRPr="00AD4785" w:rsidR="001C10F7">
        <w:t xml:space="preserve"> </w:t>
      </w:r>
      <w:r w:rsidRPr="00AD4785" w:rsidR="00A87BA9">
        <w:t xml:space="preserve">in R&amp;D. </w:t>
      </w:r>
    </w:p>
    <w:p w:rsidRPr="00AD4785" w:rsidR="000037F4" w:rsidP="000037F4" w:rsidRDefault="002E0C04" w14:paraId="7487E7C6" w14:textId="6DCB1212">
      <w:pPr>
        <w:pStyle w:val="BodyText"/>
        <w:rPr>
          <w:rFonts w:eastAsia="Calibri" w:cstheme="minorHAnsi"/>
        </w:rPr>
      </w:pPr>
      <w:r w:rsidRPr="00AD4785">
        <w:t xml:space="preserve"> </w:t>
      </w:r>
      <w:r w:rsidRPr="00AD4785" w:rsidR="009F04FB">
        <w:rPr>
          <w:rFonts w:cstheme="minorHAnsi"/>
        </w:rPr>
        <w:t xml:space="preserve">NCSES also requests the addition of </w:t>
      </w:r>
      <w:r w:rsidRPr="00AD4785" w:rsidR="008576A6">
        <w:rPr>
          <w:rFonts w:eastAsia="Calibri" w:cstheme="minorHAnsi"/>
        </w:rPr>
        <w:t xml:space="preserve">three qualitative questions that would provide more insight into the impacts of the COVID-19 pandemic on higher education R&amp;D activity beyond the reported R&amp;D expenditure totals. </w:t>
      </w:r>
      <w:r w:rsidRPr="00AD4785" w:rsidR="000037F4">
        <w:rPr>
          <w:rFonts w:eastAsia="Calibri" w:cstheme="minorHAnsi"/>
        </w:rPr>
        <w:t>The closures and social distancing requirements resulting from the COVID-19 pandemic disrupted R&amp;D at colleges and universities beginning in March 2020.  At the same time, additional funding to address pandemic-related topics became available and some researchers pivoted their work to these topics. However, questions asking for detailed expenditure amounts would likely take too long to develop and would be too burdensome for survey respondents to complete. For these reasons, NCSES proposes the three new COVID-19 impact questions. The</w:t>
      </w:r>
      <w:r w:rsidRPr="00AD4785" w:rsidR="00E66CF2">
        <w:rPr>
          <w:rFonts w:eastAsia="Calibri" w:cstheme="minorHAnsi"/>
        </w:rPr>
        <w:t>se additions</w:t>
      </w:r>
      <w:r w:rsidRPr="00AD4785" w:rsidR="000037F4">
        <w:rPr>
          <w:rFonts w:eastAsia="Calibri" w:cstheme="minorHAnsi"/>
        </w:rPr>
        <w:t xml:space="preserve"> are designed to </w:t>
      </w:r>
      <w:r w:rsidRPr="00AD4785" w:rsidR="00E66CF2">
        <w:rPr>
          <w:rFonts w:eastAsia="Calibri" w:cstheme="minorHAnsi"/>
        </w:rPr>
        <w:t>inform the following research questions</w:t>
      </w:r>
      <w:r w:rsidRPr="00AD4785" w:rsidR="000037F4">
        <w:rPr>
          <w:rFonts w:eastAsia="Calibri" w:cstheme="minorHAnsi"/>
        </w:rPr>
        <w:t>:</w:t>
      </w:r>
    </w:p>
    <w:p w:rsidRPr="00AD4785" w:rsidR="000037F4" w:rsidP="000037F4" w:rsidRDefault="000037F4" w14:paraId="1CD38C7F" w14:textId="46BE6E6C">
      <w:pPr>
        <w:pStyle w:val="BodyText"/>
        <w:numPr>
          <w:ilvl w:val="0"/>
          <w:numId w:val="54"/>
        </w:numPr>
        <w:rPr>
          <w:rFonts w:eastAsia="Calibri" w:cstheme="minorHAnsi"/>
        </w:rPr>
      </w:pPr>
      <w:r w:rsidRPr="00AD4785">
        <w:rPr>
          <w:rFonts w:eastAsia="Calibri" w:cstheme="minorHAnsi"/>
        </w:rPr>
        <w:t>T</w:t>
      </w:r>
      <w:r w:rsidRPr="00AD4785" w:rsidR="00E66CF2">
        <w:rPr>
          <w:rFonts w:eastAsia="Calibri" w:cstheme="minorHAnsi"/>
        </w:rPr>
        <w:t>o what d</w:t>
      </w:r>
      <w:r w:rsidRPr="00AD4785">
        <w:rPr>
          <w:rFonts w:eastAsia="Calibri" w:cstheme="minorHAnsi"/>
        </w:rPr>
        <w:t xml:space="preserve">egree </w:t>
      </w:r>
      <w:r w:rsidRPr="00AD4785" w:rsidR="00E66CF2">
        <w:rPr>
          <w:rFonts w:eastAsia="Calibri" w:cstheme="minorHAnsi"/>
        </w:rPr>
        <w:t xml:space="preserve">were </w:t>
      </w:r>
      <w:r w:rsidRPr="00AD4785">
        <w:rPr>
          <w:rFonts w:eastAsia="Calibri" w:cstheme="minorHAnsi"/>
        </w:rPr>
        <w:t>institutions’ expected R&amp;D activities disrupted as a result of the pandemic</w:t>
      </w:r>
      <w:r w:rsidRPr="00AD4785" w:rsidR="00E66CF2">
        <w:rPr>
          <w:rFonts w:eastAsia="Calibri" w:cstheme="minorHAnsi"/>
        </w:rPr>
        <w:t>?</w:t>
      </w:r>
    </w:p>
    <w:p w:rsidRPr="00AD4785" w:rsidR="000037F4" w:rsidP="000037F4" w:rsidRDefault="00E66CF2" w14:paraId="7AC19776" w14:textId="39B50837">
      <w:pPr>
        <w:pStyle w:val="BodyText"/>
        <w:numPr>
          <w:ilvl w:val="0"/>
          <w:numId w:val="54"/>
        </w:numPr>
        <w:rPr>
          <w:rFonts w:eastAsia="Calibri" w:cstheme="minorHAnsi"/>
        </w:rPr>
      </w:pPr>
      <w:r w:rsidRPr="00AD4785">
        <w:rPr>
          <w:rFonts w:eastAsia="Calibri" w:cstheme="minorHAnsi"/>
        </w:rPr>
        <w:lastRenderedPageBreak/>
        <w:t xml:space="preserve">How many institutions had </w:t>
      </w:r>
      <w:r w:rsidRPr="00AD4785" w:rsidR="000037F4">
        <w:rPr>
          <w:rFonts w:eastAsia="Calibri" w:cstheme="minorHAnsi"/>
        </w:rPr>
        <w:t xml:space="preserve">R&amp;D funds diverted from their </w:t>
      </w:r>
      <w:proofErr w:type="gramStart"/>
      <w:r w:rsidRPr="00AD4785" w:rsidR="000037F4">
        <w:rPr>
          <w:rFonts w:eastAsia="Calibri" w:cstheme="minorHAnsi"/>
        </w:rPr>
        <w:t>originally-intended</w:t>
      </w:r>
      <w:proofErr w:type="gramEnd"/>
      <w:r w:rsidRPr="00AD4785" w:rsidR="000037F4">
        <w:rPr>
          <w:rFonts w:eastAsia="Calibri" w:cstheme="minorHAnsi"/>
        </w:rPr>
        <w:t xml:space="preserve"> research focus as a result of the pandemic</w:t>
      </w:r>
      <w:r w:rsidRPr="00AD4785">
        <w:rPr>
          <w:rFonts w:eastAsia="Calibri" w:cstheme="minorHAnsi"/>
        </w:rPr>
        <w:t>?</w:t>
      </w:r>
    </w:p>
    <w:p w:rsidRPr="00AD4785" w:rsidR="000037F4" w:rsidP="000037F4" w:rsidRDefault="00E66CF2" w14:paraId="6FDC73F7" w14:textId="5F9F2C9D">
      <w:pPr>
        <w:pStyle w:val="BodyText"/>
        <w:numPr>
          <w:ilvl w:val="0"/>
          <w:numId w:val="54"/>
        </w:numPr>
        <w:rPr>
          <w:rFonts w:eastAsia="Calibri" w:cstheme="minorHAnsi"/>
        </w:rPr>
      </w:pPr>
      <w:r w:rsidRPr="00AD4785">
        <w:rPr>
          <w:rFonts w:eastAsia="Calibri" w:cstheme="minorHAnsi"/>
        </w:rPr>
        <w:t>How many</w:t>
      </w:r>
      <w:r w:rsidRPr="00AD4785" w:rsidR="000037F4">
        <w:rPr>
          <w:rFonts w:eastAsia="Calibri" w:cstheme="minorHAnsi"/>
        </w:rPr>
        <w:t xml:space="preserve"> institutions received new funds for R&amp;D as a result of the pandemic and </w:t>
      </w:r>
      <w:r w:rsidRPr="00AD4785">
        <w:rPr>
          <w:rFonts w:eastAsia="Calibri" w:cstheme="minorHAnsi"/>
        </w:rPr>
        <w:t xml:space="preserve">what were </w:t>
      </w:r>
      <w:r w:rsidRPr="00AD4785" w:rsidR="000037F4">
        <w:rPr>
          <w:rFonts w:eastAsia="Calibri" w:cstheme="minorHAnsi"/>
        </w:rPr>
        <w:t xml:space="preserve">the external source of those funds (i.e., federal government, state or local government, businesses, nonprofit organizations, other sources).  </w:t>
      </w:r>
    </w:p>
    <w:p w:rsidRPr="00AD4785" w:rsidR="009F04FB" w:rsidP="000037F4" w:rsidRDefault="000037F4" w14:paraId="04DCBDB4" w14:textId="1DF85F47">
      <w:pPr>
        <w:pStyle w:val="BodyText"/>
        <w:ind w:firstLine="0"/>
      </w:pPr>
      <w:r w:rsidRPr="00AD4785">
        <w:t xml:space="preserve">These questions are intended to provide insights unavailable through the financial and personnel data collected on the HERD survey. </w:t>
      </w:r>
    </w:p>
    <w:p w:rsidRPr="00AD4785" w:rsidR="005F7C62" w:rsidP="008164C1" w:rsidRDefault="008C752D" w14:paraId="052E0BB1" w14:textId="46DA904F">
      <w:pPr>
        <w:pStyle w:val="BodyText"/>
      </w:pPr>
      <w:r w:rsidRPr="00AD4785">
        <w:t xml:space="preserve">The </w:t>
      </w:r>
      <w:r w:rsidRPr="00AD4785" w:rsidR="008576A6">
        <w:t xml:space="preserve">HERD and the FFRDC R&amp;D surveys are </w:t>
      </w:r>
      <w:r w:rsidRPr="00AD4785">
        <w:t>annual survey</w:t>
      </w:r>
      <w:r w:rsidRPr="00AD4785" w:rsidR="008576A6">
        <w:t>s</w:t>
      </w:r>
      <w:r w:rsidRPr="00AD4785">
        <w:t xml:space="preserve"> that w</w:t>
      </w:r>
      <w:r w:rsidRPr="00AD4785" w:rsidR="008576A6">
        <w:t>ere</w:t>
      </w:r>
      <w:r w:rsidRPr="00AD4785">
        <w:t xml:space="preserve"> last conducted in fall </w:t>
      </w:r>
      <w:r w:rsidRPr="00AD4785" w:rsidR="00B140A1">
        <w:t>201</w:t>
      </w:r>
      <w:r w:rsidRPr="00AD4785" w:rsidR="001B27E7">
        <w:t>9</w:t>
      </w:r>
      <w:r w:rsidRPr="00AD4785" w:rsidR="00A574DE">
        <w:t xml:space="preserve"> for FY 2019</w:t>
      </w:r>
      <w:r w:rsidRPr="00AD4785">
        <w:t xml:space="preserve">. The OMB clearance for the </w:t>
      </w:r>
      <w:r w:rsidRPr="00AD4785" w:rsidR="00A574DE">
        <w:t>surveys</w:t>
      </w:r>
      <w:r w:rsidRPr="00AD4785">
        <w:t xml:space="preserve"> will expire on </w:t>
      </w:r>
      <w:r w:rsidRPr="00AD4785" w:rsidR="00A574DE">
        <w:t>August</w:t>
      </w:r>
      <w:r w:rsidRPr="00AD4785" w:rsidR="00B140A1">
        <w:t xml:space="preserve"> </w:t>
      </w:r>
      <w:r w:rsidRPr="00AD4785" w:rsidR="007D250B">
        <w:t>3</w:t>
      </w:r>
      <w:r w:rsidRPr="00AD4785" w:rsidR="00B140A1">
        <w:t>1</w:t>
      </w:r>
      <w:r w:rsidRPr="00AD4785">
        <w:t>, 20</w:t>
      </w:r>
      <w:r w:rsidRPr="00AD4785" w:rsidR="00B140A1">
        <w:t>2</w:t>
      </w:r>
      <w:r w:rsidRPr="00AD4785" w:rsidR="00A574DE">
        <w:t>2</w:t>
      </w:r>
      <w:r w:rsidRPr="00AD4785" w:rsidR="005A57F8">
        <w:t xml:space="preserve"> (Attachment 1)</w:t>
      </w:r>
      <w:r w:rsidRPr="00AD4785">
        <w:t xml:space="preserve">. </w:t>
      </w:r>
    </w:p>
    <w:p w:rsidRPr="00AD4785" w:rsidR="009D5391" w:rsidP="006D5CFB" w:rsidRDefault="009E66C1" w14:paraId="4FF2EFDF" w14:textId="23D3473D">
      <w:pPr>
        <w:pStyle w:val="Heading3"/>
        <w:rPr>
          <w:i w:val="0"/>
          <w:iCs/>
          <w:color w:val="auto"/>
        </w:rPr>
      </w:pPr>
      <w:bookmarkStart w:name="_Toc57726726" w:id="9"/>
      <w:r w:rsidRPr="00AD4785">
        <w:rPr>
          <w:i w:val="0"/>
          <w:iCs/>
          <w:color w:val="auto"/>
        </w:rPr>
        <w:t>A.</w:t>
      </w:r>
      <w:r w:rsidRPr="00AD4785" w:rsidR="00FD1B33">
        <w:rPr>
          <w:i w:val="0"/>
          <w:iCs/>
          <w:color w:val="auto"/>
        </w:rPr>
        <w:t>1</w:t>
      </w:r>
      <w:r w:rsidRPr="00AD4785" w:rsidR="00FD1B33">
        <w:rPr>
          <w:i w:val="0"/>
          <w:iCs/>
          <w:color w:val="auto"/>
        </w:rPr>
        <w:tab/>
        <w:t>Necessity for Information Collection</w:t>
      </w:r>
      <w:bookmarkEnd w:id="9"/>
      <w:r w:rsidRPr="00AD4785" w:rsidR="00FD1B33">
        <w:rPr>
          <w:i w:val="0"/>
          <w:iCs/>
          <w:color w:val="auto"/>
        </w:rPr>
        <w:t xml:space="preserve"> </w:t>
      </w:r>
    </w:p>
    <w:p w:rsidRPr="00AD4785" w:rsidR="00031C79" w:rsidP="00371570" w:rsidRDefault="00031C79" w14:paraId="724D674C" w14:textId="4D156EA7">
      <w:pPr>
        <w:pStyle w:val="BodyText"/>
      </w:pPr>
      <w:r w:rsidRPr="00AD4785">
        <w:t>In 2010, the America COMPETES Reauthorization Act of 2010</w:t>
      </w:r>
      <w:r w:rsidRPr="00AD4785">
        <w:rPr>
          <w:vertAlign w:val="superscript"/>
        </w:rPr>
        <w:footnoteReference w:id="2"/>
      </w:r>
      <w:r w:rsidRPr="00AD4785">
        <w:t xml:space="preserve"> established the previously named Science Resources Statistics division as NCSES and directed NCSES to “...collect, acquire, analyze, report, and disseminate statistical data related to the science and engineering enterprise in the United States and other nations that is relevant and useful to practitioners, researchers, policymakers, and the public...” Information obtained through the HERD and FFRDC surveys is critically important to NCSES’s ability to measure science</w:t>
      </w:r>
      <w:r w:rsidRPr="00AD4785">
        <w:rPr>
          <w:spacing w:val="1"/>
        </w:rPr>
        <w:t xml:space="preserve"> </w:t>
      </w:r>
      <w:r w:rsidRPr="00AD4785">
        <w:t>and engineering</w:t>
      </w:r>
      <w:r w:rsidRPr="00AD4785">
        <w:rPr>
          <w:spacing w:val="-3"/>
        </w:rPr>
        <w:t xml:space="preserve"> </w:t>
      </w:r>
      <w:r w:rsidRPr="00AD4785">
        <w:t>resources in the United States. Furthermore, t</w:t>
      </w:r>
      <w:r w:rsidRPr="00AD4785" w:rsidR="00371570">
        <w:t xml:space="preserve">he HERD </w:t>
      </w:r>
      <w:r w:rsidRPr="00AD4785" w:rsidR="0048799E">
        <w:t>s</w:t>
      </w:r>
      <w:r w:rsidRPr="00AD4785" w:rsidR="00371570">
        <w:t>urvey (Attachment</w:t>
      </w:r>
      <w:r w:rsidRPr="00AD4785" w:rsidR="00CD6B9C">
        <w:t>s</w:t>
      </w:r>
      <w:r w:rsidRPr="00AD4785" w:rsidR="00371570">
        <w:t xml:space="preserve"> 2</w:t>
      </w:r>
      <w:r w:rsidRPr="00AD4785" w:rsidR="00CD6B9C">
        <w:t xml:space="preserve"> and </w:t>
      </w:r>
      <w:r w:rsidRPr="00AD4785" w:rsidR="004135C7">
        <w:t>3</w:t>
      </w:r>
      <w:r w:rsidRPr="00AD4785" w:rsidR="00371570">
        <w:t xml:space="preserve">) provides essential data on the resources devoted to </w:t>
      </w:r>
      <w:r w:rsidRPr="00AD4785" w:rsidR="00371402">
        <w:t>R&amp;D</w:t>
      </w:r>
      <w:r w:rsidRPr="00AD4785" w:rsidR="00371570">
        <w:t xml:space="preserve"> in the higher education sector where over one</w:t>
      </w:r>
      <w:r w:rsidRPr="00AD4785" w:rsidR="00371570">
        <w:noBreakHyphen/>
        <w:t xml:space="preserve">half of the Nation's basic research is conducted. </w:t>
      </w:r>
    </w:p>
    <w:p w:rsidRPr="00AD4785" w:rsidR="00844DAC" w:rsidP="00844DAC" w:rsidRDefault="00844DAC" w14:paraId="6F71F9FE" w14:textId="316CC098">
      <w:pPr>
        <w:pStyle w:val="Heading3"/>
        <w:rPr>
          <w:color w:val="auto"/>
        </w:rPr>
      </w:pPr>
      <w:bookmarkStart w:name="_Toc57726727" w:id="10"/>
      <w:r w:rsidRPr="00AD4785">
        <w:rPr>
          <w:color w:val="auto"/>
        </w:rPr>
        <w:t>A.1.1</w:t>
      </w:r>
      <w:r w:rsidRPr="00AD4785">
        <w:rPr>
          <w:color w:val="auto"/>
        </w:rPr>
        <w:tab/>
        <w:t>HERD and FFRDC Background</w:t>
      </w:r>
      <w:bookmarkEnd w:id="10"/>
    </w:p>
    <w:p w:rsidRPr="00AD4785" w:rsidR="00371570" w:rsidP="00371570" w:rsidRDefault="00371570" w14:paraId="56B20CCF" w14:textId="63559CC1">
      <w:pPr>
        <w:pStyle w:val="BodyText"/>
      </w:pPr>
      <w:r w:rsidRPr="00AD4785">
        <w:t xml:space="preserve">Conducted annually since FY 1972, the </w:t>
      </w:r>
      <w:r w:rsidRPr="00AD4785" w:rsidR="00031C79">
        <w:t xml:space="preserve">HERD </w:t>
      </w:r>
      <w:r w:rsidRPr="00AD4785">
        <w:t xml:space="preserve">survey provides both summary data on R&amp;D resources, by source and discipline, and data on individual institutions.  Between 2007 and 2010, the survey underwent a full-scale redesign of both content and methodology. Beginning in FY 2012, institutions reporting $1 million or more in R&amp;D expenditures in the previous fiscal year were asked to respond to the full HERD survey in the current survey fiscal year, whereas institutions reporting under $1 million were sent a short form version of the survey containing </w:t>
      </w:r>
      <w:r w:rsidRPr="00AD4785">
        <w:lastRenderedPageBreak/>
        <w:t xml:space="preserve">only a few questions.  A population screener is sent each year to institutions not currently in the survey to determine eligibility (Attachment </w:t>
      </w:r>
      <w:r w:rsidRPr="00AD4785" w:rsidR="00E81BF8">
        <w:t>5</w:t>
      </w:r>
      <w:r w:rsidRPr="00AD4785">
        <w:t xml:space="preserve"> and Attachment </w:t>
      </w:r>
      <w:r w:rsidRPr="00AD4785" w:rsidR="00E81BF8">
        <w:t>6</w:t>
      </w:r>
      <w:r w:rsidRPr="00AD4785">
        <w:t xml:space="preserve">). </w:t>
      </w:r>
    </w:p>
    <w:p w:rsidRPr="00AD4785" w:rsidR="00371570" w:rsidP="00371570" w:rsidRDefault="00371570" w14:paraId="757AC368" w14:textId="1D26A24C">
      <w:pPr>
        <w:pStyle w:val="BodyText"/>
      </w:pPr>
      <w:r w:rsidRPr="00AD4785">
        <w:t xml:space="preserve">Results of this survey are combined with other NCSES data for the federal and business sectors to arrive at national levels of R&amp;D spending, as required by the law cited above. Without information from the HERD Survey, NSF policymakers and planners, as well as other policymakers in the Executive Branch, Congress and the states, would have an incomplete and inaccurate understanding of the Nation’s R&amp;D activities.  </w:t>
      </w:r>
      <w:r w:rsidRPr="00AD4785" w:rsidR="00031C79">
        <w:t>T</w:t>
      </w:r>
      <w:r w:rsidRPr="00AD4785">
        <w:t xml:space="preserve">he data from this survey are used in conjunction with information from other surveys of academic science and engineering (S&amp;E)—such as the Survey of Graduate Students and </w:t>
      </w:r>
      <w:proofErr w:type="spellStart"/>
      <w:r w:rsidRPr="00AD4785">
        <w:t>Postdoctorates</w:t>
      </w:r>
      <w:proofErr w:type="spellEnd"/>
      <w:r w:rsidRPr="00AD4785">
        <w:t xml:space="preserve"> in Science and Engineering and the Survey of Science and Engineering Research Facilities—to provide the background statistics that are critical for obtaining a meaningful understanding of research activities in the academic sector.</w:t>
      </w:r>
    </w:p>
    <w:p w:rsidRPr="00AD4785" w:rsidR="00371570" w:rsidP="00371570" w:rsidRDefault="00371570" w14:paraId="0C8EAE02" w14:textId="16165C5C">
      <w:pPr>
        <w:pStyle w:val="BodyText"/>
      </w:pPr>
      <w:r w:rsidRPr="00AD4785">
        <w:t xml:space="preserve">Additionally, the population of academic institutions surveyed in the HERD </w:t>
      </w:r>
      <w:r w:rsidRPr="00AD4785" w:rsidR="0048799E">
        <w:t>s</w:t>
      </w:r>
      <w:r w:rsidRPr="00AD4785">
        <w:t xml:space="preserve">urvey serves as the universe for a related survey effort mandated by the United States Congress: the </w:t>
      </w:r>
      <w:proofErr w:type="gramStart"/>
      <w:r w:rsidRPr="00AD4785">
        <w:t>previously-mentioned</w:t>
      </w:r>
      <w:proofErr w:type="gramEnd"/>
      <w:r w:rsidRPr="00AD4785">
        <w:t xml:space="preserve"> Survey of Science and Engineering Research Facilities (Section 108, Public Law 99</w:t>
      </w:r>
      <w:r w:rsidRPr="00AD4785">
        <w:noBreakHyphen/>
        <w:t>159 [1986]).</w:t>
      </w:r>
    </w:p>
    <w:p w:rsidRPr="00AD4785" w:rsidR="00371570" w:rsidP="00A04DEF" w:rsidRDefault="00371570" w14:paraId="73A00546" w14:textId="19496F00">
      <w:pPr>
        <w:pStyle w:val="BodyText"/>
      </w:pPr>
      <w:r w:rsidRPr="00AD4785">
        <w:t>NCSES utilizes a subset of questions from the HERD survey to collect R&amp;D performance data and the funding sources from all FFRDCs (42 FFRDCs in FY 201</w:t>
      </w:r>
      <w:r w:rsidRPr="00AD4785" w:rsidR="00031C79">
        <w:t>9</w:t>
      </w:r>
      <w:r w:rsidRPr="00AD4785">
        <w:t xml:space="preserve">) (Attachment </w:t>
      </w:r>
      <w:r w:rsidRPr="00AD4785" w:rsidR="00CD0F61">
        <w:t>7</w:t>
      </w:r>
      <w:r w:rsidRPr="00AD4785">
        <w:t>).  According to responsibilities assigned to the NSF in 1990 under the Federal Acquisition Regulations as recorded in the Federal Register (vol. 55, no. 24, February 5, 1990), the NCSES “maintains a list of FFRDCs… and information on each FFRDC, including sponsoring agreements, mission statements, funding data, the type of R&amp;D being performed…” The data collected through this FFRDC R&amp;D survey are used to inform the public on individual FFRDC R&amp;D expenditures and to provide information on this sector’s contribution to the national R&amp;D total.</w:t>
      </w:r>
      <w:r w:rsidRPr="00AD4785" w:rsidR="00110294">
        <w:t xml:space="preserve">  </w:t>
      </w:r>
    </w:p>
    <w:p w:rsidRPr="00AD4785" w:rsidR="00844DAC" w:rsidP="00844DAC" w:rsidRDefault="00844DAC" w14:paraId="4AE89259" w14:textId="5DB3FB3C">
      <w:pPr>
        <w:pStyle w:val="Heading3"/>
        <w:rPr>
          <w:color w:val="auto"/>
        </w:rPr>
      </w:pPr>
      <w:bookmarkStart w:name="_Toc57726728" w:id="11"/>
      <w:r w:rsidRPr="00AD4785">
        <w:rPr>
          <w:color w:val="auto"/>
        </w:rPr>
        <w:t>A.1.2</w:t>
      </w:r>
      <w:r w:rsidRPr="00AD4785">
        <w:rPr>
          <w:color w:val="auto"/>
        </w:rPr>
        <w:tab/>
        <w:t>Addition of New Questions</w:t>
      </w:r>
      <w:bookmarkEnd w:id="11"/>
    </w:p>
    <w:p w:rsidRPr="00AD4785" w:rsidR="00E26072" w:rsidP="00322EBE" w:rsidRDefault="00E26072" w14:paraId="32EA1516" w14:textId="1C8BA9BC">
      <w:pPr>
        <w:pStyle w:val="BodyText"/>
      </w:pPr>
      <w:r w:rsidRPr="00AD4785">
        <w:t xml:space="preserve">The HERD survey is one of several surveys at NCSES that collects comparable information on R&amp;D from different sectors of the economy (e.g., businesses, nonprofits, government). However, the HERD survey does not currently collect much information about the personnel carrying out R&amp;D activities </w:t>
      </w:r>
      <w:r w:rsidRPr="00AD4785" w:rsidR="00C61ACC">
        <w:t xml:space="preserve">compared, for example with the NCSES Business R&amp;D </w:t>
      </w:r>
      <w:r w:rsidRPr="00AD4785" w:rsidR="00C61ACC">
        <w:lastRenderedPageBreak/>
        <w:t>survey</w:t>
      </w:r>
      <w:r w:rsidRPr="00AD4785">
        <w:t>, making it less useful for measurements of the R&amp;D workforce in the United States.</w:t>
      </w:r>
      <w:r w:rsidRPr="00AD4785" w:rsidR="00322EBE">
        <w:t xml:space="preserve"> The Frascati Manual, which is published by the OECD and is the internationally recognized methodology for collecting and using R&amp;D statistics, has a full chapter </w:t>
      </w:r>
      <w:r w:rsidRPr="00AD4785" w:rsidR="00C61ACC">
        <w:t xml:space="preserve">with recommendations </w:t>
      </w:r>
      <w:r w:rsidRPr="00AD4785" w:rsidR="00322EBE">
        <w:t>on measuring R&amp;D personnel</w:t>
      </w:r>
      <w:r w:rsidRPr="00AD4785" w:rsidR="00C61ACC">
        <w:t xml:space="preserve"> in establishment R&amp;D surveys</w:t>
      </w:r>
      <w:r w:rsidRPr="00AD4785" w:rsidR="00322EBE">
        <w:t>.</w:t>
      </w:r>
      <w:r w:rsidRPr="00AD4785" w:rsidR="00322EBE">
        <w:rPr>
          <w:rStyle w:val="FootnoteReference"/>
        </w:rPr>
        <w:footnoteReference w:id="3"/>
      </w:r>
      <w:r w:rsidRPr="00AD4785">
        <w:t xml:space="preserve"> </w:t>
      </w:r>
      <w:r w:rsidRPr="00AD4785" w:rsidR="00C61ACC">
        <w:t>Further, t</w:t>
      </w:r>
      <w:r w:rsidRPr="00AD4785" w:rsidR="00322EBE">
        <w:t xml:space="preserve">he United States is the only OECD member country that does not report higher education </w:t>
      </w:r>
      <w:r w:rsidRPr="00AD4785" w:rsidR="00D02C24">
        <w:t xml:space="preserve">FTE </w:t>
      </w:r>
      <w:r w:rsidRPr="00AD4785" w:rsidR="00C61ACC">
        <w:t xml:space="preserve">R&amp;D personnel </w:t>
      </w:r>
      <w:r w:rsidRPr="00AD4785" w:rsidR="00322EBE">
        <w:t>as published in the OECD’s Main Science and Technology Indicators report.</w:t>
      </w:r>
    </w:p>
    <w:p w:rsidRPr="00AD4785" w:rsidR="00E26072" w:rsidP="00E26072" w:rsidRDefault="00E26072" w14:paraId="5937B320" w14:textId="26E62D77">
      <w:pPr>
        <w:pStyle w:val="BodyText"/>
      </w:pPr>
      <w:r w:rsidRPr="00AD4785">
        <w:t>NCSES address</w:t>
      </w:r>
      <w:r w:rsidRPr="00AD4785" w:rsidR="004F0F52">
        <w:t>es</w:t>
      </w:r>
      <w:r w:rsidRPr="00AD4785">
        <w:t xml:space="preserve"> </w:t>
      </w:r>
      <w:r w:rsidRPr="00AD4785" w:rsidR="00C61ACC">
        <w:t xml:space="preserve">these </w:t>
      </w:r>
      <w:r w:rsidRPr="00AD4785">
        <w:t>shortcoming</w:t>
      </w:r>
      <w:r w:rsidRPr="00AD4785" w:rsidR="00C61ACC">
        <w:t>s</w:t>
      </w:r>
      <w:r w:rsidRPr="00AD4785">
        <w:t xml:space="preserve"> through the proposed revisions to the personnel questions in the FY 2020 HERD survey. The survey will collect data on the number of R&amp;D personnel by function </w:t>
      </w:r>
      <w:r w:rsidRPr="00AD4785" w:rsidR="004F0F52">
        <w:t>(researchers, R&amp;D technicians, R&amp;D support staff), by sex, citizenship</w:t>
      </w:r>
      <w:r w:rsidRPr="00AD4785" w:rsidR="00CD6B9C">
        <w:t xml:space="preserve"> (for all functions)</w:t>
      </w:r>
      <w:r w:rsidRPr="00AD4785" w:rsidR="004F0F52">
        <w:t>, and highest level of education completed</w:t>
      </w:r>
      <w:r w:rsidRPr="00AD4785" w:rsidR="00CD6B9C">
        <w:t xml:space="preserve"> (for researchers)</w:t>
      </w:r>
      <w:r w:rsidRPr="00AD4785" w:rsidR="004F0F52">
        <w:t>,</w:t>
      </w:r>
      <w:r w:rsidRPr="00AD4785">
        <w:t xml:space="preserve"> and </w:t>
      </w:r>
      <w:r w:rsidRPr="00AD4785" w:rsidR="004F0F52">
        <w:t xml:space="preserve">by </w:t>
      </w:r>
      <w:r w:rsidRPr="00AD4785">
        <w:t xml:space="preserve">the number of full-time equivalents (FTEs) </w:t>
      </w:r>
      <w:r w:rsidRPr="00AD4785" w:rsidR="004F0F52">
        <w:t>of each</w:t>
      </w:r>
      <w:r w:rsidRPr="00AD4785">
        <w:t xml:space="preserve"> R&amp;D function. </w:t>
      </w:r>
      <w:r w:rsidRPr="00AD4785" w:rsidR="00322EBE">
        <w:t>T</w:t>
      </w:r>
      <w:r w:rsidRPr="00AD4785">
        <w:t xml:space="preserve">he demographic data for R&amp;D personnel paid specifically from R&amp;D accounts at higher education institutions are not available in other surveys. These new R&amp;D personnel variables will, in </w:t>
      </w:r>
      <w:r w:rsidRPr="00AD4785" w:rsidR="003C168E">
        <w:t xml:space="preserve">combination </w:t>
      </w:r>
      <w:r w:rsidRPr="00AD4785">
        <w:t xml:space="preserve">with the R&amp;D expenditure data, allow NCSES to provide new analyses of national data as well as internationally comparable information not available elsewhere to data users interested in science policy, the nature of the science and engineering workforce, and U.S. R&amp;D competitiveness. </w:t>
      </w:r>
    </w:p>
    <w:p w:rsidRPr="00AD4785" w:rsidR="00D937AD" w:rsidP="00D937AD" w:rsidRDefault="00D937AD" w14:paraId="04162043" w14:textId="06396313">
      <w:pPr>
        <w:pStyle w:val="BodyText"/>
      </w:pPr>
      <w:r w:rsidRPr="00AD4785">
        <w:t xml:space="preserve">The previous version of </w:t>
      </w:r>
      <w:r w:rsidRPr="00AD4785" w:rsidR="004F0F52">
        <w:t>R&amp;D personnel question</w:t>
      </w:r>
      <w:r w:rsidRPr="00AD4785">
        <w:t xml:space="preserve"> collected headcounts for two categories: principal investigators and all other personnel, without demographics. </w:t>
      </w:r>
      <w:r w:rsidRPr="00AD4785" w:rsidR="00AE115C">
        <w:t xml:space="preserve">NCSES has been using principal investigator headcounts as a proxy for “researchers” and FTEs were not collected. </w:t>
      </w:r>
      <w:r w:rsidRPr="00AD4785">
        <w:t>The</w:t>
      </w:r>
      <w:r w:rsidRPr="00AD4785" w:rsidR="004F0F52">
        <w:t xml:space="preserve"> proposed new</w:t>
      </w:r>
      <w:r w:rsidRPr="00AD4785">
        <w:t xml:space="preserve"> questions will only appear on the HERD standard form that is provided to approximately 650 institutions reporting at least $1 million in R&amp;D in the previous year. The HERD short form respondents, those reporting at least $150 thousand but less than $1 million, will not receive these questions. </w:t>
      </w:r>
      <w:r w:rsidRPr="00AD4785" w:rsidR="00A50085">
        <w:t xml:space="preserve">Question development </w:t>
      </w:r>
      <w:r w:rsidRPr="00AD4785" w:rsidR="00A50085">
        <w:rPr>
          <w:rFonts w:cstheme="minorHAnsi"/>
        </w:rPr>
        <w:t>was approved under the generic clearance (OMB Control Number 3145-0174, ICR Ref. Number – 201905-3145-003) on April 8, 2020 (</w:t>
      </w:r>
      <w:r w:rsidRPr="00AD4785" w:rsidR="0019094D">
        <w:rPr>
          <w:rFonts w:cstheme="minorHAnsi"/>
        </w:rPr>
        <w:t>s</w:t>
      </w:r>
      <w:r w:rsidRPr="00AD4785" w:rsidR="00A50085">
        <w:rPr>
          <w:rFonts w:cstheme="minorHAnsi"/>
        </w:rPr>
        <w:t xml:space="preserve">ee </w:t>
      </w:r>
      <w:r w:rsidRPr="00AD4785" w:rsidR="009B6740">
        <w:rPr>
          <w:rFonts w:cstheme="minorHAnsi"/>
        </w:rPr>
        <w:t>A</w:t>
      </w:r>
      <w:r w:rsidRPr="00AD4785" w:rsidR="00A50085">
        <w:rPr>
          <w:rFonts w:cstheme="minorHAnsi"/>
        </w:rPr>
        <w:t>ttachment</w:t>
      </w:r>
      <w:r w:rsidRPr="00AD4785" w:rsidR="009B6740">
        <w:rPr>
          <w:rFonts w:cstheme="minorHAnsi"/>
        </w:rPr>
        <w:t xml:space="preserve"> 8</w:t>
      </w:r>
      <w:r w:rsidRPr="00AD4785" w:rsidR="00A50085">
        <w:rPr>
          <w:rFonts w:cstheme="minorHAnsi"/>
        </w:rPr>
        <w:t xml:space="preserve">). </w:t>
      </w:r>
    </w:p>
    <w:p w:rsidRPr="00AD4785" w:rsidR="00C03F00" w:rsidP="00D937AD" w:rsidRDefault="00C03F00" w14:paraId="4333DE33" w14:textId="37BB8931">
      <w:pPr>
        <w:pStyle w:val="BodyText"/>
      </w:pPr>
      <w:r w:rsidRPr="00AD4785">
        <w:t>T</w:t>
      </w:r>
      <w:r w:rsidRPr="00AD4785" w:rsidR="00F57F70">
        <w:t>he coronavirus pandemic</w:t>
      </w:r>
      <w:r w:rsidRPr="00AD4785" w:rsidR="008D0167">
        <w:t xml:space="preserve"> is having a substantial impact on colleges</w:t>
      </w:r>
      <w:r w:rsidRPr="00AD4785">
        <w:t xml:space="preserve">, </w:t>
      </w:r>
      <w:r w:rsidRPr="00AD4785" w:rsidR="008D0167">
        <w:t>universities,</w:t>
      </w:r>
      <w:r w:rsidRPr="00AD4785">
        <w:t xml:space="preserve"> and the nation’s workforce</w:t>
      </w:r>
      <w:r w:rsidRPr="00AD4785" w:rsidR="00C95D57">
        <w:t>.</w:t>
      </w:r>
      <w:r w:rsidRPr="00AD4785">
        <w:t xml:space="preserve"> In response, </w:t>
      </w:r>
      <w:r w:rsidRPr="00AD4785" w:rsidR="008D0167">
        <w:t>NCSES is adding short modules to some surveys</w:t>
      </w:r>
      <w:r w:rsidRPr="00AD4785">
        <w:t xml:space="preserve"> to assess </w:t>
      </w:r>
      <w:r w:rsidRPr="00AD4785">
        <w:lastRenderedPageBreak/>
        <w:t xml:space="preserve">the </w:t>
      </w:r>
      <w:r w:rsidRPr="00AD4785" w:rsidR="008D0167">
        <w:t>pandemic</w:t>
      </w:r>
      <w:r w:rsidRPr="00AD4785">
        <w:t>’s disruption and impact</w:t>
      </w:r>
      <w:r w:rsidRPr="00AD4785" w:rsidR="009633F9">
        <w:t xml:space="preserve"> in their </w:t>
      </w:r>
      <w:r w:rsidRPr="00AD4785" w:rsidR="005275DF">
        <w:t>specific area</w:t>
      </w:r>
      <w:r w:rsidRPr="00AD4785" w:rsidR="008D0167">
        <w:t xml:space="preserve"> </w:t>
      </w:r>
      <w:r w:rsidRPr="00AD4785" w:rsidR="005275DF">
        <w:t>of</w:t>
      </w:r>
      <w:r w:rsidRPr="00AD4785">
        <w:t xml:space="preserve"> the nation’s science and engineering enterprise. </w:t>
      </w:r>
    </w:p>
    <w:p w:rsidRPr="00AD4785" w:rsidR="00155444" w:rsidP="00B13DD0" w:rsidRDefault="00BE32E3" w14:paraId="04A9FB5C" w14:textId="5A02D0B0">
      <w:pPr>
        <w:pStyle w:val="BodyText"/>
        <w:rPr>
          <w:rFonts w:cs="Times New Roman"/>
        </w:rPr>
      </w:pPr>
      <w:r w:rsidRPr="00AD4785">
        <w:t xml:space="preserve">The COVID-19 impact questions being </w:t>
      </w:r>
      <w:r w:rsidRPr="00AD4785" w:rsidR="00CA153A">
        <w:t>requested for</w:t>
      </w:r>
      <w:r w:rsidRPr="00AD4785">
        <w:t xml:space="preserve"> the FY 2020 HERD survey will contribute to this effort. </w:t>
      </w:r>
      <w:r w:rsidRPr="00AD4785" w:rsidR="00CA153A">
        <w:rPr>
          <w:rFonts w:cstheme="minorHAnsi"/>
        </w:rPr>
        <w:t xml:space="preserve">As noted elsewhere in this submission, these questions will </w:t>
      </w:r>
      <w:r w:rsidRPr="00AD4785" w:rsidR="007D58F8">
        <w:rPr>
          <w:rFonts w:cstheme="minorHAnsi"/>
        </w:rPr>
        <w:t>specifically provide</w:t>
      </w:r>
      <w:r w:rsidRPr="00AD4785" w:rsidR="00CA153A">
        <w:rPr>
          <w:rFonts w:cstheme="minorHAnsi"/>
        </w:rPr>
        <w:t xml:space="preserve"> NCSES </w:t>
      </w:r>
      <w:r w:rsidRPr="00AD4785" w:rsidR="007D58F8">
        <w:rPr>
          <w:rFonts w:cstheme="minorHAnsi"/>
        </w:rPr>
        <w:t xml:space="preserve">with </w:t>
      </w:r>
      <w:r w:rsidRPr="00AD4785" w:rsidR="00CA153A">
        <w:rPr>
          <w:rFonts w:cstheme="minorHAnsi"/>
        </w:rPr>
        <w:t xml:space="preserve">insights into national totals and trends from the FY 2020 HERD survey that would not be available strictly through the reporting of R&amp;D financial and personnel data. </w:t>
      </w:r>
      <w:r w:rsidRPr="00AD4785" w:rsidR="007D58F8">
        <w:t xml:space="preserve">Question development </w:t>
      </w:r>
      <w:r w:rsidRPr="00AD4785" w:rsidR="007D58F8">
        <w:rPr>
          <w:rFonts w:cstheme="minorHAnsi"/>
        </w:rPr>
        <w:t>was approved under the generic clearance (OMB Control Number 3145-0174, ICR Ref. Number – 201905-3145-003) on September 03, 2020 (</w:t>
      </w:r>
      <w:r w:rsidRPr="00AD4785" w:rsidR="0019094D">
        <w:rPr>
          <w:rFonts w:cstheme="minorHAnsi"/>
        </w:rPr>
        <w:t>s</w:t>
      </w:r>
      <w:r w:rsidRPr="00AD4785" w:rsidR="007D58F8">
        <w:rPr>
          <w:rFonts w:cstheme="minorHAnsi"/>
        </w:rPr>
        <w:t xml:space="preserve">ee </w:t>
      </w:r>
      <w:r w:rsidRPr="00AD4785" w:rsidR="005668B2">
        <w:rPr>
          <w:rFonts w:cstheme="minorHAnsi"/>
        </w:rPr>
        <w:t>A</w:t>
      </w:r>
      <w:r w:rsidRPr="00AD4785" w:rsidR="007D58F8">
        <w:rPr>
          <w:rFonts w:cstheme="minorHAnsi"/>
        </w:rPr>
        <w:t>ttachment</w:t>
      </w:r>
      <w:r w:rsidRPr="00AD4785" w:rsidR="005668B2">
        <w:rPr>
          <w:rFonts w:cstheme="minorHAnsi"/>
        </w:rPr>
        <w:t xml:space="preserve"> 9</w:t>
      </w:r>
      <w:r w:rsidRPr="00AD4785" w:rsidR="007D58F8">
        <w:rPr>
          <w:rFonts w:cstheme="minorHAnsi"/>
        </w:rPr>
        <w:t>).</w:t>
      </w:r>
    </w:p>
    <w:p w:rsidRPr="00AD4785" w:rsidR="005F7C62" w:rsidP="008B2E43" w:rsidRDefault="009E66C1" w14:paraId="3BEE210C" w14:textId="121E39CB">
      <w:pPr>
        <w:pStyle w:val="Heading2"/>
      </w:pPr>
      <w:bookmarkStart w:name="_Toc488073261" w:id="12"/>
      <w:bookmarkStart w:name="_Toc57726729" w:id="13"/>
      <w:r w:rsidRPr="00AD4785">
        <w:t>A.</w:t>
      </w:r>
      <w:r w:rsidRPr="00AD4785" w:rsidR="00510E99">
        <w:t>2</w:t>
      </w:r>
      <w:r w:rsidRPr="00AD4785" w:rsidR="00510E99">
        <w:tab/>
      </w:r>
      <w:r w:rsidRPr="00AD4785" w:rsidR="008B2E43">
        <w:t>Uses of</w:t>
      </w:r>
      <w:r w:rsidRPr="00AD4785" w:rsidR="008C752D">
        <w:t xml:space="preserve"> Information</w:t>
      </w:r>
      <w:bookmarkEnd w:id="12"/>
      <w:bookmarkEnd w:id="13"/>
    </w:p>
    <w:p w:rsidRPr="00AD4785" w:rsidR="00390BB8" w:rsidP="00CC2953" w:rsidRDefault="00CC2953" w14:paraId="1A145903" w14:textId="7573C3E1">
      <w:pPr>
        <w:pStyle w:val="BodyText"/>
      </w:pPr>
      <w:r w:rsidRPr="00AD4785">
        <w:t xml:space="preserve">The </w:t>
      </w:r>
      <w:r w:rsidRPr="00AD4785" w:rsidR="00A27EA8">
        <w:t xml:space="preserve">data from the proposed </w:t>
      </w:r>
      <w:r w:rsidRPr="00AD4785">
        <w:t xml:space="preserve">new </w:t>
      </w:r>
      <w:r w:rsidRPr="00AD4785" w:rsidR="00A27EA8">
        <w:t xml:space="preserve">R&amp;D personnel questions </w:t>
      </w:r>
      <w:r w:rsidRPr="00AD4785">
        <w:t xml:space="preserve">will </w:t>
      </w:r>
      <w:r w:rsidRPr="00AD4785" w:rsidR="006A44FC">
        <w:t>be used by several audiences</w:t>
      </w:r>
      <w:r w:rsidRPr="00AD4785" w:rsidR="00964BCE">
        <w:t>, including NCSES</w:t>
      </w:r>
      <w:r w:rsidRPr="00AD4785" w:rsidR="006A44FC">
        <w:t>.</w:t>
      </w:r>
      <w:r w:rsidRPr="00AD4785" w:rsidR="00964BCE">
        <w:t xml:space="preserve"> The data will be incorporated into the annual HERD data release </w:t>
      </w:r>
      <w:proofErr w:type="spellStart"/>
      <w:r w:rsidRPr="00AD4785" w:rsidR="00964BCE">
        <w:t>InfoBrief</w:t>
      </w:r>
      <w:proofErr w:type="spellEnd"/>
      <w:r w:rsidRPr="00AD4785" w:rsidR="00964BCE">
        <w:t xml:space="preserve"> and data tables as noted in more detail below. Since the demographic data are confidential, only aggregated totals will be used in any published tables or analyses. </w:t>
      </w:r>
      <w:r w:rsidRPr="00AD4785" w:rsidR="006A44FC">
        <w:t xml:space="preserve">The data will </w:t>
      </w:r>
      <w:r w:rsidRPr="00AD4785" w:rsidR="00964BCE">
        <w:t xml:space="preserve">also </w:t>
      </w:r>
      <w:r w:rsidRPr="00AD4785" w:rsidR="00A27EA8">
        <w:t xml:space="preserve">contribute to the U.S. </w:t>
      </w:r>
      <w:r w:rsidRPr="00AD4785" w:rsidR="00390BB8">
        <w:t xml:space="preserve">R&amp;D </w:t>
      </w:r>
      <w:r w:rsidRPr="00AD4785" w:rsidR="00A27EA8">
        <w:t xml:space="preserve">national totals published in the </w:t>
      </w:r>
      <w:proofErr w:type="spellStart"/>
      <w:r w:rsidRPr="00AD4785" w:rsidR="00390BB8">
        <w:t>Organisation</w:t>
      </w:r>
      <w:proofErr w:type="spellEnd"/>
      <w:r w:rsidRPr="00AD4785" w:rsidR="00390BB8">
        <w:t xml:space="preserve"> for Economic Co-operation and Development’s (OECD) </w:t>
      </w:r>
      <w:r w:rsidRPr="00AD4785" w:rsidR="00A27EA8">
        <w:t>Main Science and Technology Indicators report.</w:t>
      </w:r>
      <w:r w:rsidRPr="00AD4785" w:rsidR="00390BB8">
        <w:t xml:space="preserve"> </w:t>
      </w:r>
      <w:r w:rsidRPr="00AD4785" w:rsidR="00A27EA8">
        <w:t xml:space="preserve">The United States is the only </w:t>
      </w:r>
      <w:r w:rsidRPr="00AD4785" w:rsidR="00390BB8">
        <w:t xml:space="preserve">OECD </w:t>
      </w:r>
      <w:r w:rsidRPr="00AD4785" w:rsidR="00A27EA8">
        <w:t xml:space="preserve">member country that does not report higher education sector </w:t>
      </w:r>
      <w:r w:rsidRPr="00AD4785" w:rsidR="001F3E4E">
        <w:t xml:space="preserve">R&amp;D </w:t>
      </w:r>
      <w:r w:rsidRPr="00AD4785" w:rsidR="00A27EA8">
        <w:t xml:space="preserve">FTEs </w:t>
      </w:r>
      <w:r w:rsidRPr="00AD4785" w:rsidR="00390BB8">
        <w:t xml:space="preserve">in this report. </w:t>
      </w:r>
      <w:r w:rsidRPr="00AD4785" w:rsidR="00375F1D">
        <w:t xml:space="preserve">Collecting both headcounts and FTE data </w:t>
      </w:r>
      <w:r w:rsidRPr="00AD4785" w:rsidR="001C10F7">
        <w:t>are</w:t>
      </w:r>
      <w:r w:rsidRPr="00AD4785" w:rsidR="00375F1D">
        <w:t xml:space="preserve"> critical because headcounts alone create an overestimation of R&amp;D effort, and FTEs alone do not provide an understanding of personnel characteristics. </w:t>
      </w:r>
      <w:r w:rsidRPr="00AD4785" w:rsidR="00585A38">
        <w:t xml:space="preserve">The </w:t>
      </w:r>
      <w:r w:rsidRPr="00AD4785" w:rsidR="00D02C24">
        <w:t xml:space="preserve">FTE </w:t>
      </w:r>
      <w:r w:rsidRPr="00AD4785" w:rsidR="006A44FC">
        <w:t xml:space="preserve">R&amp;D personnel </w:t>
      </w:r>
      <w:r w:rsidRPr="00AD4785" w:rsidR="00585A38">
        <w:t xml:space="preserve">and demographic data will </w:t>
      </w:r>
      <w:r w:rsidRPr="00AD4785" w:rsidR="006A44FC">
        <w:t>enable</w:t>
      </w:r>
      <w:r w:rsidRPr="00AD4785" w:rsidR="00585A38">
        <w:t xml:space="preserve"> previously unavailable </w:t>
      </w:r>
      <w:r w:rsidRPr="00AD4785" w:rsidR="006A44FC">
        <w:t>analyses</w:t>
      </w:r>
      <w:r w:rsidRPr="00AD4785" w:rsidR="00585A38">
        <w:t xml:space="preserve"> for </w:t>
      </w:r>
      <w:r w:rsidRPr="00AD4785" w:rsidR="006A44FC">
        <w:t xml:space="preserve">the </w:t>
      </w:r>
      <w:r w:rsidRPr="00AD4785" w:rsidR="006A44FC">
        <w:rPr>
          <w:i/>
          <w:iCs/>
        </w:rPr>
        <w:t>Academic Research and Development</w:t>
      </w:r>
      <w:r w:rsidRPr="00AD4785" w:rsidR="006A44FC">
        <w:t xml:space="preserve"> and </w:t>
      </w:r>
      <w:r w:rsidRPr="00AD4785" w:rsidR="006A44FC">
        <w:rPr>
          <w:i/>
          <w:iCs/>
        </w:rPr>
        <w:t>Science and Engineering Labor Force</w:t>
      </w:r>
      <w:r w:rsidRPr="00AD4785" w:rsidR="006A44FC">
        <w:t xml:space="preserve"> thematic reports in the biennial</w:t>
      </w:r>
      <w:r w:rsidRPr="00AD4785" w:rsidR="00C04987">
        <w:t xml:space="preserve">, </w:t>
      </w:r>
      <w:proofErr w:type="gramStart"/>
      <w:r w:rsidRPr="00AD4785" w:rsidR="00C04987">
        <w:t>Congressionally-mandated</w:t>
      </w:r>
      <w:proofErr w:type="gramEnd"/>
      <w:r w:rsidRPr="00AD4785" w:rsidR="00C04987">
        <w:t>,</w:t>
      </w:r>
      <w:r w:rsidRPr="00AD4785" w:rsidR="006A44FC">
        <w:t xml:space="preserve"> </w:t>
      </w:r>
      <w:r w:rsidRPr="00AD4785" w:rsidR="006A44FC">
        <w:rPr>
          <w:i/>
          <w:iCs/>
        </w:rPr>
        <w:t>Science and Engineering Indicators</w:t>
      </w:r>
      <w:r w:rsidRPr="00AD4785" w:rsidR="006A44FC">
        <w:t xml:space="preserve"> </w:t>
      </w:r>
      <w:r w:rsidRPr="00AD4785" w:rsidR="00C83243">
        <w:t xml:space="preserve">report </w:t>
      </w:r>
      <w:r w:rsidRPr="00AD4785" w:rsidR="006A44FC">
        <w:t xml:space="preserve">published by NCSES for the National Science Board. </w:t>
      </w:r>
      <w:r w:rsidRPr="00AD4785" w:rsidR="00375F1D">
        <w:t xml:space="preserve">NCSES believes these added benefits to the data user community </w:t>
      </w:r>
      <w:r w:rsidRPr="00AD4785" w:rsidR="003E6DFB">
        <w:t xml:space="preserve">provide a reasonable justification for </w:t>
      </w:r>
      <w:r w:rsidRPr="00AD4785" w:rsidR="00375F1D">
        <w:t xml:space="preserve">the additional survey burden. </w:t>
      </w:r>
    </w:p>
    <w:p w:rsidRPr="00AD4785" w:rsidR="001F3E4E" w:rsidP="00CC2953" w:rsidRDefault="00742661" w14:paraId="62331A29" w14:textId="13E9DF6D">
      <w:pPr>
        <w:pStyle w:val="BodyText"/>
      </w:pPr>
      <w:r w:rsidRPr="00AD4785">
        <w:t xml:space="preserve">As noted earlier, the disruptions to R&amp;D at colleges and universities in FY 2020 from the </w:t>
      </w:r>
      <w:r w:rsidRPr="00AD4785" w:rsidR="00E24E8F">
        <w:t xml:space="preserve">COVID-19 </w:t>
      </w:r>
      <w:r w:rsidRPr="00AD4785">
        <w:t xml:space="preserve">pandemic </w:t>
      </w:r>
      <w:r w:rsidRPr="00AD4785" w:rsidR="00C04987">
        <w:t xml:space="preserve">were </w:t>
      </w:r>
      <w:r w:rsidRPr="00AD4785">
        <w:t>potentially very impactful. The FY 2020 HERD survey data will provide some insight into these impacts</w:t>
      </w:r>
      <w:r w:rsidRPr="00AD4785" w:rsidR="00E24E8F">
        <w:t>, but financial totals have limitations</w:t>
      </w:r>
      <w:r w:rsidRPr="00AD4785">
        <w:t xml:space="preserve">. </w:t>
      </w:r>
      <w:r w:rsidRPr="00AD4785" w:rsidR="001F3E4E">
        <w:t>The data from the proposed new COVID-19 impact questions will</w:t>
      </w:r>
      <w:r w:rsidRPr="00AD4785" w:rsidR="009152B7">
        <w:t xml:space="preserve"> enable NCSES to provide greater insights into </w:t>
      </w:r>
      <w:r w:rsidRPr="00AD4785">
        <w:t xml:space="preserve">the </w:t>
      </w:r>
      <w:r w:rsidRPr="00AD4785" w:rsidR="009152B7">
        <w:t xml:space="preserve">national totals and trends. NCSES intends to supplement the annual HERD data release </w:t>
      </w:r>
      <w:proofErr w:type="spellStart"/>
      <w:r w:rsidRPr="00AD4785" w:rsidR="009152B7">
        <w:t>InfoBrief</w:t>
      </w:r>
      <w:proofErr w:type="spellEnd"/>
      <w:r w:rsidRPr="00AD4785" w:rsidR="009152B7">
        <w:t xml:space="preserve"> with results from these three questions. NCSES does not plan to publish separate tables </w:t>
      </w:r>
      <w:r w:rsidRPr="00AD4785" w:rsidR="009152B7">
        <w:lastRenderedPageBreak/>
        <w:t xml:space="preserve">as part of its </w:t>
      </w:r>
      <w:r w:rsidRPr="00AD4785">
        <w:t>annual series of detailed tables. Data from the</w:t>
      </w:r>
      <w:r w:rsidRPr="00AD4785" w:rsidR="00964BCE">
        <w:t xml:space="preserve"> COVID-19 impact</w:t>
      </w:r>
      <w:r w:rsidRPr="00AD4785">
        <w:t xml:space="preserve"> questions will only be presented in the aggregate. </w:t>
      </w:r>
    </w:p>
    <w:p w:rsidRPr="00AD4785" w:rsidR="00CC2953" w:rsidP="00CC2953" w:rsidRDefault="00390BB8" w14:paraId="2C9BCA68" w14:textId="68C2AAFC">
      <w:pPr>
        <w:pStyle w:val="BodyText"/>
      </w:pPr>
      <w:r w:rsidRPr="00AD4785">
        <w:t xml:space="preserve">These proposed new data </w:t>
      </w:r>
      <w:r w:rsidRPr="00AD4785" w:rsidR="006A44FC">
        <w:t xml:space="preserve">will </w:t>
      </w:r>
      <w:r w:rsidRPr="00AD4785" w:rsidR="00D02B27">
        <w:t xml:space="preserve">also create more opportunities for analyses for the following audiences, in addition to the </w:t>
      </w:r>
      <w:r w:rsidRPr="00AD4785">
        <w:t xml:space="preserve">established </w:t>
      </w:r>
      <w:r w:rsidRPr="00AD4785" w:rsidR="00D02B27">
        <w:t xml:space="preserve">usage of the </w:t>
      </w:r>
      <w:r w:rsidRPr="00AD4785">
        <w:t>HERD and FFRDC survey</w:t>
      </w:r>
      <w:r w:rsidRPr="00AD4785" w:rsidR="00D02B27">
        <w:t xml:space="preserve"> data as outlined </w:t>
      </w:r>
      <w:r w:rsidRPr="00AD4785">
        <w:t xml:space="preserve">below.  </w:t>
      </w:r>
      <w:r w:rsidRPr="00AD4785" w:rsidR="00A27EA8">
        <w:t xml:space="preserve"> </w:t>
      </w:r>
    </w:p>
    <w:p w:rsidRPr="00AD4785" w:rsidR="005F7C62" w:rsidP="001D398B" w:rsidRDefault="009E66C1" w14:paraId="15C1BFD3" w14:textId="16EF32C5">
      <w:pPr>
        <w:pStyle w:val="Heading3"/>
        <w:rPr>
          <w:bCs/>
          <w:color w:val="auto"/>
        </w:rPr>
      </w:pPr>
      <w:bookmarkStart w:name="_Toc488073262" w:id="14"/>
      <w:bookmarkStart w:name="_Toc57726730" w:id="15"/>
      <w:r w:rsidRPr="00AD4785">
        <w:rPr>
          <w:color w:val="auto"/>
        </w:rPr>
        <w:t>A.</w:t>
      </w:r>
      <w:r w:rsidRPr="00AD4785" w:rsidR="00510E99">
        <w:rPr>
          <w:color w:val="auto"/>
        </w:rPr>
        <w:t>2.</w:t>
      </w:r>
      <w:r w:rsidRPr="00AD4785" w:rsidR="009D5391">
        <w:rPr>
          <w:color w:val="auto"/>
        </w:rPr>
        <w:t>1</w:t>
      </w:r>
      <w:r w:rsidRPr="00AD4785" w:rsidR="00510E99">
        <w:rPr>
          <w:color w:val="auto"/>
        </w:rPr>
        <w:tab/>
      </w:r>
      <w:r w:rsidRPr="00AD4785" w:rsidR="00975A4A">
        <w:rPr>
          <w:color w:val="auto"/>
        </w:rPr>
        <w:t xml:space="preserve">Use by the </w:t>
      </w:r>
      <w:r w:rsidRPr="00AD4785" w:rsidR="008C752D">
        <w:rPr>
          <w:color w:val="auto"/>
        </w:rPr>
        <w:t xml:space="preserve">Federal </w:t>
      </w:r>
      <w:bookmarkEnd w:id="14"/>
      <w:r w:rsidRPr="00AD4785" w:rsidR="00975A4A">
        <w:rPr>
          <w:color w:val="auto"/>
        </w:rPr>
        <w:t>Government</w:t>
      </w:r>
      <w:bookmarkEnd w:id="15"/>
    </w:p>
    <w:p w:rsidRPr="00AD4785" w:rsidR="00110294" w:rsidP="00390BB8" w:rsidRDefault="00110294" w14:paraId="0EA271FC" w14:textId="51C44BFF">
      <w:pPr>
        <w:pStyle w:val="BodyText"/>
      </w:pPr>
      <w:bookmarkStart w:name="_Hlk56689394" w:id="16"/>
      <w:r w:rsidRPr="00AD4785">
        <w:t xml:space="preserve">The HERD and FFRDC </w:t>
      </w:r>
      <w:r w:rsidRPr="00AD4785" w:rsidR="0048799E">
        <w:t>s</w:t>
      </w:r>
      <w:r w:rsidRPr="00AD4785">
        <w:t xml:space="preserve">urveys meet many information needs for federal policy makers.  The data are used in policy formulation, implementation and evaluation, budget analyses, congressional hearings, program planning, and annual publications mandated by Congress.  The </w:t>
      </w:r>
      <w:bookmarkEnd w:id="16"/>
      <w:r w:rsidRPr="00AD4785">
        <w:t>information is provided to Congress, the Office of Management and Budget, and the Office of Science and Technology Policy through published reports, briefings by the NSF Director and staff, and in special tabulations.</w:t>
      </w:r>
    </w:p>
    <w:p w:rsidRPr="00AD4785" w:rsidR="00110294" w:rsidP="00110294" w:rsidRDefault="00110294" w14:paraId="374EE5F6" w14:textId="4A26EF77">
      <w:pPr>
        <w:pStyle w:val="BodyText"/>
      </w:pPr>
      <w:r w:rsidRPr="00AD4785">
        <w:t xml:space="preserve"> </w:t>
      </w:r>
      <w:r w:rsidRPr="00AD4785">
        <w:tab/>
      </w:r>
      <w:r w:rsidRPr="00AD4785">
        <w:tab/>
        <w:t xml:space="preserve">The National Science Board, the Director of NSF, and NSF program directors and managers use the HERD and FFRDC </w:t>
      </w:r>
      <w:r w:rsidRPr="00AD4785" w:rsidR="0048799E">
        <w:t>s</w:t>
      </w:r>
      <w:r w:rsidRPr="00AD4785">
        <w:t>urvey data for long</w:t>
      </w:r>
      <w:r w:rsidRPr="00AD4785">
        <w:noBreakHyphen/>
        <w:t>range planning and policy formulation. Specific uses include the following:</w:t>
      </w:r>
    </w:p>
    <w:p w:rsidRPr="00AD4785" w:rsidR="00110294" w:rsidP="00110294" w:rsidRDefault="00110294" w14:paraId="61854B20" w14:textId="2C89C795">
      <w:pPr>
        <w:pStyle w:val="BodyText"/>
      </w:pPr>
      <w:r w:rsidRPr="00AD4785">
        <w:t xml:space="preserve">        </w:t>
      </w:r>
      <w:r w:rsidRPr="00AD4785">
        <w:tab/>
      </w:r>
      <w:r w:rsidRPr="00AD4785">
        <w:tab/>
        <w:t>(1)</w:t>
      </w:r>
      <w:r w:rsidRPr="00AD4785">
        <w:tab/>
        <w:t>The NSF Office of Integrative Activities uses HERD data to help assess the need for and the impact of special NSF programs in the Office of Experimental Programs to Stimulate Competitive Research.</w:t>
      </w:r>
    </w:p>
    <w:p w:rsidRPr="00AD4785" w:rsidR="00110294" w:rsidP="00110294" w:rsidRDefault="00110294" w14:paraId="02482A27" w14:textId="4BF175AD">
      <w:pPr>
        <w:pStyle w:val="BodyText"/>
      </w:pPr>
      <w:r w:rsidRPr="00AD4785">
        <w:tab/>
        <w:t xml:space="preserve">         </w:t>
      </w:r>
      <w:r w:rsidRPr="00AD4785">
        <w:tab/>
      </w:r>
      <w:r w:rsidRPr="00AD4785">
        <w:tab/>
        <w:t>(2)</w:t>
      </w:r>
      <w:r w:rsidRPr="00AD4785">
        <w:tab/>
        <w:t xml:space="preserve">Data from the HERD and FFRDC </w:t>
      </w:r>
      <w:r w:rsidRPr="00AD4785" w:rsidR="0048799E">
        <w:t>s</w:t>
      </w:r>
      <w:r w:rsidRPr="00AD4785">
        <w:t xml:space="preserve">urveys are incorporated into NCSES's periodic analytical report, </w:t>
      </w:r>
      <w:r w:rsidRPr="00AD4785">
        <w:rPr>
          <w:i/>
        </w:rPr>
        <w:t>National Patterns of R&amp;D Resources</w:t>
      </w:r>
      <w:r w:rsidRPr="00AD4785">
        <w:t xml:space="preserve">, and the National Science Board’s biennial report, </w:t>
      </w:r>
      <w:r w:rsidRPr="00AD4785">
        <w:rPr>
          <w:i/>
        </w:rPr>
        <w:t>Science and Engineering Indicators</w:t>
      </w:r>
      <w:r w:rsidRPr="00AD4785">
        <w:t xml:space="preserve"> (</w:t>
      </w:r>
      <w:r w:rsidRPr="00AD4785">
        <w:rPr>
          <w:i/>
        </w:rPr>
        <w:t>SEI</w:t>
      </w:r>
      <w:r w:rsidRPr="00AD4785">
        <w:t xml:space="preserve">).  The </w:t>
      </w:r>
      <w:r w:rsidRPr="00AD4785">
        <w:rPr>
          <w:i/>
        </w:rPr>
        <w:t>SEI</w:t>
      </w:r>
      <w:r w:rsidRPr="00AD4785">
        <w:t xml:space="preserve"> report is mandated by Congress (42 U.S.C. 1863, Section 4(j)), as follows:</w:t>
      </w:r>
    </w:p>
    <w:p w:rsidRPr="00AD4785" w:rsidR="00110294" w:rsidP="00110294" w:rsidRDefault="00110294" w14:paraId="1640C65F" w14:textId="58245ABF">
      <w:pPr>
        <w:pStyle w:val="BodyText"/>
      </w:pPr>
      <w:r w:rsidRPr="00AD4785">
        <w:t xml:space="preserve">        </w:t>
      </w:r>
      <w:r w:rsidRPr="00AD4785">
        <w:tab/>
        <w:t>"The Board shall render to the President and Congress, no later than January 15 of each even numbered year, a report on indicators of the state of science and engineering in the United States.”</w:t>
      </w:r>
    </w:p>
    <w:p w:rsidRPr="00AD4785" w:rsidR="00110294" w:rsidP="00110294" w:rsidRDefault="00110294" w14:paraId="7C16DB32" w14:textId="32014616">
      <w:pPr>
        <w:pStyle w:val="BodyText"/>
      </w:pPr>
      <w:r w:rsidRPr="00AD4785">
        <w:t xml:space="preserve">  </w:t>
      </w:r>
      <w:r w:rsidRPr="00AD4785">
        <w:tab/>
      </w:r>
      <w:r w:rsidRPr="00AD4785">
        <w:tab/>
        <w:t>(3)</w:t>
      </w:r>
      <w:r w:rsidRPr="00AD4785">
        <w:tab/>
        <w:t xml:space="preserve">Data on HERD and FFRDC R&amp;D expenditures are used in conjunction with other data sources for maintaining current information on funding, staffing, and impacts of the Nation's scientific, engineering, and technological activities.  </w:t>
      </w:r>
      <w:r w:rsidRPr="00AD4785" w:rsidR="00964BCE">
        <w:t xml:space="preserve">NCSES produces annual and periodic analytical reports highlighting these data. Detailed data tables for both </w:t>
      </w:r>
      <w:r w:rsidRPr="00AD4785" w:rsidR="00964BCE">
        <w:lastRenderedPageBreak/>
        <w:t xml:space="preserve">surveys </w:t>
      </w:r>
      <w:proofErr w:type="spellStart"/>
      <w:r w:rsidRPr="00AD4785" w:rsidR="00964BCE">
        <w:t>a</w:t>
      </w:r>
      <w:r w:rsidR="00C5013C">
        <w:t>h</w:t>
      </w:r>
      <w:r w:rsidRPr="00AD4785" w:rsidR="00964BCE">
        <w:t>re</w:t>
      </w:r>
      <w:proofErr w:type="spellEnd"/>
      <w:r w:rsidRPr="00AD4785" w:rsidR="00964BCE">
        <w:t xml:space="preserve"> also produced annually</w:t>
      </w:r>
      <w:r w:rsidRPr="00AD4785" w:rsidR="001E0327">
        <w:t xml:space="preserve"> in addition to public use files</w:t>
      </w:r>
      <w:r w:rsidRPr="00AD4785" w:rsidR="00FD5285">
        <w:t>. NCSES enables users to run reports for HERD data, and other surveys, from 2010 to 201</w:t>
      </w:r>
      <w:r w:rsidRPr="00AD4785" w:rsidR="006B7A4A">
        <w:t>8</w:t>
      </w:r>
      <w:r w:rsidRPr="00AD4785" w:rsidR="00FD5285">
        <w:t xml:space="preserve"> through its Interactive Data Tool. These resources </w:t>
      </w:r>
      <w:r w:rsidRPr="00AD4785" w:rsidR="00964BCE">
        <w:t xml:space="preserve">are available on </w:t>
      </w:r>
      <w:r w:rsidRPr="00AD4785">
        <w:t xml:space="preserve">the NCSES website at </w:t>
      </w:r>
      <w:hyperlink w:history="1" r:id="rId9">
        <w:r w:rsidRPr="00AD4785">
          <w:rPr>
            <w:rStyle w:val="Hyperlink"/>
            <w:color w:val="auto"/>
          </w:rPr>
          <w:t>http://www.nsf.gov/statistics/</w:t>
        </w:r>
      </w:hyperlink>
      <w:r w:rsidRPr="00AD4785">
        <w:t>.</w:t>
      </w:r>
    </w:p>
    <w:p w:rsidRPr="00AD4785" w:rsidR="0006292A" w:rsidP="00110294" w:rsidRDefault="00110294" w14:paraId="1CFC389C" w14:textId="68018355">
      <w:pPr>
        <w:pStyle w:val="BodyText"/>
      </w:pPr>
      <w:r w:rsidRPr="00AD4785">
        <w:t xml:space="preserve"> </w:t>
      </w:r>
      <w:r w:rsidRPr="00AD4785">
        <w:tab/>
      </w:r>
      <w:r w:rsidRPr="00AD4785">
        <w:tab/>
        <w:t xml:space="preserve">(4) </w:t>
      </w:r>
      <w:r w:rsidRPr="00AD4785">
        <w:tab/>
        <w:t xml:space="preserve">The Bureau of Economic </w:t>
      </w:r>
      <w:r w:rsidRPr="00AD4785">
        <w:rPr>
          <w:bCs/>
        </w:rPr>
        <w:t>Analysis</w:t>
      </w:r>
      <w:r w:rsidRPr="00AD4785">
        <w:t xml:space="preserve"> (BEA/DOC) uses data from the HERD and FFRDC </w:t>
      </w:r>
      <w:r w:rsidRPr="00AD4785" w:rsidR="0048799E">
        <w:t>s</w:t>
      </w:r>
      <w:r w:rsidRPr="00AD4785">
        <w:t>urveys for the development of R&amp;D investment in the core accounts of U.S. gross domestic product (GDP) and other National Income and Product Accounts (NIPAs).</w:t>
      </w:r>
    </w:p>
    <w:p w:rsidRPr="00AD4785" w:rsidR="005F7C62" w:rsidP="001D398B" w:rsidRDefault="00510E99" w14:paraId="4F5627C8" w14:textId="7ECF3468">
      <w:pPr>
        <w:pStyle w:val="Heading3"/>
        <w:rPr>
          <w:bCs/>
          <w:color w:val="auto"/>
        </w:rPr>
      </w:pPr>
      <w:bookmarkStart w:name="_Toc488073263" w:id="17"/>
      <w:bookmarkStart w:name="_Toc57726731" w:id="18"/>
      <w:r w:rsidRPr="00AD4785">
        <w:rPr>
          <w:color w:val="auto"/>
        </w:rPr>
        <w:t>A.2.</w:t>
      </w:r>
      <w:r w:rsidRPr="00AD4785" w:rsidR="00975A4A">
        <w:rPr>
          <w:color w:val="auto"/>
        </w:rPr>
        <w:t>2</w:t>
      </w:r>
      <w:r w:rsidRPr="00AD4785">
        <w:rPr>
          <w:color w:val="auto"/>
        </w:rPr>
        <w:tab/>
      </w:r>
      <w:r w:rsidRPr="00AD4785" w:rsidR="008C752D">
        <w:rPr>
          <w:color w:val="auto"/>
        </w:rPr>
        <w:t>Use by Academic Institutions</w:t>
      </w:r>
      <w:bookmarkEnd w:id="17"/>
      <w:bookmarkEnd w:id="18"/>
    </w:p>
    <w:p w:rsidRPr="00AD4785" w:rsidR="00975A4A" w:rsidP="00975A4A" w:rsidRDefault="00975A4A" w14:paraId="57058FB4" w14:textId="77777777">
      <w:pPr>
        <w:pStyle w:val="BodyText"/>
      </w:pPr>
      <w:r w:rsidRPr="00AD4785">
        <w:t>Universities extensively utilize the HERD data for their own purposes.  Requests for the data are received from hundreds of individual institutions, as well as from national academic organizations.  Specifically, NCSES has an agreement with the Association of American Universities’ Data Exchange to provide them with more timely and comprehensive data from the HERD survey.  Institutional Profiles (summary reports containing institution-specific trend data on key data elements from several NCSES surveys) are available electronically on the web (</w:t>
      </w:r>
      <w:hyperlink w:history="1" r:id="rId10">
        <w:r w:rsidRPr="00AD4785">
          <w:rPr>
            <w:rStyle w:val="Hyperlink"/>
            <w:color w:val="auto"/>
          </w:rPr>
          <w:t>https://ncses.nsf.gov/profiles/</w:t>
        </w:r>
      </w:hyperlink>
      <w:r w:rsidRPr="00AD4785">
        <w:t xml:space="preserve">).  </w:t>
      </w:r>
    </w:p>
    <w:p w:rsidRPr="00AD4785" w:rsidR="00975A4A" w:rsidP="00975A4A" w:rsidRDefault="00975A4A" w14:paraId="026AA49E" w14:textId="482F8263">
      <w:pPr>
        <w:pStyle w:val="BodyText"/>
      </w:pPr>
      <w:r w:rsidRPr="00AD4785">
        <w:t xml:space="preserve">     Public universities and colleges often use R&amp;D expenditures data in studies demonstrating the economic benefits of instruction and research to state legislatures.</w:t>
      </w:r>
    </w:p>
    <w:p w:rsidRPr="00AD4785" w:rsidR="00975A4A" w:rsidP="00975A4A" w:rsidRDefault="00975A4A" w14:paraId="6838D277" w14:textId="39C202D4">
      <w:pPr>
        <w:pStyle w:val="Heading3"/>
        <w:rPr>
          <w:bCs/>
          <w:color w:val="auto"/>
        </w:rPr>
      </w:pPr>
      <w:bookmarkStart w:name="_Toc57726732" w:id="19"/>
      <w:r w:rsidRPr="00AD4785">
        <w:rPr>
          <w:color w:val="auto"/>
        </w:rPr>
        <w:t>A.2.3</w:t>
      </w:r>
      <w:r w:rsidRPr="00AD4785">
        <w:rPr>
          <w:color w:val="auto"/>
        </w:rPr>
        <w:tab/>
        <w:t>Use by Professional Societies</w:t>
      </w:r>
      <w:bookmarkEnd w:id="19"/>
    </w:p>
    <w:p w:rsidRPr="00AD4785" w:rsidR="00975A4A" w:rsidP="00975A4A" w:rsidRDefault="00975A4A" w14:paraId="3D522DD5" w14:textId="77777777">
      <w:pPr>
        <w:pStyle w:val="BodyText"/>
      </w:pPr>
      <w:r w:rsidRPr="00AD4785">
        <w:t xml:space="preserve">Representative data users in this category include:  the American Association for the Advancement of Science, the Association of Public and Land-grant Universities, the Association for Institutional Research, the National Research Council, the Council on Governmental Relations, the Association of American Universities, and the National Council of University Research Administrators. </w:t>
      </w:r>
    </w:p>
    <w:p w:rsidRPr="00AD4785" w:rsidR="005F7C62" w:rsidP="001D398B" w:rsidRDefault="009E66C1" w14:paraId="006085DE" w14:textId="24BA6D72">
      <w:pPr>
        <w:pStyle w:val="Heading3"/>
        <w:rPr>
          <w:bCs/>
          <w:color w:val="auto"/>
        </w:rPr>
      </w:pPr>
      <w:bookmarkStart w:name="_Toc488073264" w:id="20"/>
      <w:bookmarkStart w:name="_Toc57726733" w:id="21"/>
      <w:r w:rsidRPr="00AD4785">
        <w:rPr>
          <w:color w:val="auto"/>
        </w:rPr>
        <w:t>A.</w:t>
      </w:r>
      <w:r w:rsidRPr="00AD4785" w:rsidR="00510E99">
        <w:rPr>
          <w:color w:val="auto"/>
        </w:rPr>
        <w:t>2.</w:t>
      </w:r>
      <w:r w:rsidRPr="00AD4785" w:rsidR="000F7CE7">
        <w:rPr>
          <w:color w:val="auto"/>
        </w:rPr>
        <w:t>4</w:t>
      </w:r>
      <w:r w:rsidRPr="00AD4785" w:rsidR="00510E99">
        <w:rPr>
          <w:color w:val="auto"/>
        </w:rPr>
        <w:tab/>
      </w:r>
      <w:r w:rsidRPr="00AD4785" w:rsidR="008C752D">
        <w:rPr>
          <w:color w:val="auto"/>
        </w:rPr>
        <w:t xml:space="preserve">Use by </w:t>
      </w:r>
      <w:bookmarkEnd w:id="20"/>
      <w:r w:rsidRPr="00AD4785" w:rsidR="00975A4A">
        <w:rPr>
          <w:color w:val="auto"/>
        </w:rPr>
        <w:t>State Governments</w:t>
      </w:r>
      <w:bookmarkEnd w:id="21"/>
    </w:p>
    <w:p w:rsidRPr="00AD4785" w:rsidR="00975A4A" w:rsidP="00975A4A" w:rsidRDefault="00975A4A" w14:paraId="5C5CEE0A" w14:textId="77777777">
      <w:pPr>
        <w:pStyle w:val="BodyText"/>
      </w:pPr>
      <w:r w:rsidRPr="00AD4785">
        <w:t>State governments frequently request R&amp;D expenditures statistics that are unavailable from state records for cross</w:t>
      </w:r>
      <w:r w:rsidRPr="00AD4785">
        <w:noBreakHyphen/>
        <w:t>state comparisons.  The data are requested regularly by individual state government agencies (such as state boards of higher education in Florida, Maryland, Ohio, and Texas) and by national and regional state government organizations (such as the National Governors Association and the Southern Governors Association).</w:t>
      </w:r>
    </w:p>
    <w:p w:rsidRPr="00AD4785" w:rsidR="00975A4A" w:rsidP="00975A4A" w:rsidRDefault="00975A4A" w14:paraId="43A561B7" w14:textId="77777777">
      <w:pPr>
        <w:pStyle w:val="BodyText"/>
      </w:pPr>
      <w:r w:rsidRPr="00AD4785">
        <w:lastRenderedPageBreak/>
        <w:t xml:space="preserve">The data are also used in the compilation of the annual </w:t>
      </w:r>
      <w:r w:rsidRPr="00AD4785">
        <w:rPr>
          <w:i/>
        </w:rPr>
        <w:t>Science and Engineering State Profiles</w:t>
      </w:r>
      <w:r w:rsidRPr="00AD4785">
        <w:t xml:space="preserve"> published by NCSES.</w:t>
      </w:r>
    </w:p>
    <w:p w:rsidRPr="00AD4785" w:rsidR="005F7C62" w:rsidP="001D398B" w:rsidRDefault="009E66C1" w14:paraId="0B5583B0" w14:textId="70E186F2">
      <w:pPr>
        <w:pStyle w:val="Heading3"/>
        <w:rPr>
          <w:bCs/>
          <w:color w:val="auto"/>
        </w:rPr>
      </w:pPr>
      <w:bookmarkStart w:name="_Toc488073265" w:id="22"/>
      <w:bookmarkStart w:name="_Toc57726734" w:id="23"/>
      <w:r w:rsidRPr="00AD4785">
        <w:rPr>
          <w:color w:val="auto"/>
        </w:rPr>
        <w:t>A.</w:t>
      </w:r>
      <w:r w:rsidRPr="00AD4785" w:rsidR="009D5391">
        <w:rPr>
          <w:color w:val="auto"/>
        </w:rPr>
        <w:t>2</w:t>
      </w:r>
      <w:r w:rsidRPr="00AD4785" w:rsidR="005074FC">
        <w:rPr>
          <w:color w:val="auto"/>
        </w:rPr>
        <w:t>.</w:t>
      </w:r>
      <w:r w:rsidRPr="00AD4785" w:rsidR="000F7CE7">
        <w:rPr>
          <w:color w:val="auto"/>
        </w:rPr>
        <w:t>5</w:t>
      </w:r>
      <w:r w:rsidRPr="00AD4785" w:rsidR="00261B0B">
        <w:rPr>
          <w:color w:val="auto"/>
        </w:rPr>
        <w:tab/>
      </w:r>
      <w:r w:rsidRPr="00AD4785" w:rsidR="00864C2D">
        <w:rPr>
          <w:color w:val="auto"/>
        </w:rPr>
        <w:t xml:space="preserve">Use by the </w:t>
      </w:r>
      <w:bookmarkEnd w:id="22"/>
      <w:r w:rsidRPr="00AD4785" w:rsidR="00975A4A">
        <w:rPr>
          <w:color w:val="auto"/>
        </w:rPr>
        <w:t>Media</w:t>
      </w:r>
      <w:bookmarkEnd w:id="23"/>
    </w:p>
    <w:p w:rsidRPr="00AD4785" w:rsidR="00975A4A" w:rsidP="00975A4A" w:rsidRDefault="00975A4A" w14:paraId="4576FAB6" w14:textId="77777777">
      <w:pPr>
        <w:pStyle w:val="BodyText"/>
      </w:pPr>
      <w:bookmarkStart w:name="_Toc488073266" w:id="24"/>
      <w:r w:rsidRPr="00AD4785">
        <w:t xml:space="preserve">HERD expenditures data are well reported by the press, including the </w:t>
      </w:r>
      <w:r w:rsidRPr="00AD4785">
        <w:rPr>
          <w:i/>
        </w:rPr>
        <w:t>Washington Post</w:t>
      </w:r>
      <w:r w:rsidRPr="00AD4785">
        <w:t xml:space="preserve">, the </w:t>
      </w:r>
      <w:r w:rsidRPr="00AD4785">
        <w:rPr>
          <w:i/>
        </w:rPr>
        <w:t>New York Times</w:t>
      </w:r>
      <w:r w:rsidRPr="00AD4785">
        <w:t xml:space="preserve">, the </w:t>
      </w:r>
      <w:r w:rsidRPr="00AD4785">
        <w:rPr>
          <w:i/>
        </w:rPr>
        <w:t>Chronicle of Higher Education</w:t>
      </w:r>
      <w:r w:rsidRPr="00AD4785">
        <w:t xml:space="preserve">, </w:t>
      </w:r>
      <w:r w:rsidRPr="00AD4785">
        <w:rPr>
          <w:i/>
        </w:rPr>
        <w:t>Science</w:t>
      </w:r>
      <w:r w:rsidRPr="00AD4785">
        <w:t xml:space="preserve">, </w:t>
      </w:r>
      <w:r w:rsidRPr="00AD4785">
        <w:rPr>
          <w:i/>
        </w:rPr>
        <w:t>USA Today</w:t>
      </w:r>
      <w:r w:rsidRPr="00AD4785">
        <w:t xml:space="preserve">, and the </w:t>
      </w:r>
      <w:r w:rsidRPr="00AD4785">
        <w:rPr>
          <w:i/>
        </w:rPr>
        <w:t>Wall Street Journal</w:t>
      </w:r>
      <w:r w:rsidRPr="00AD4785">
        <w:t>.</w:t>
      </w:r>
    </w:p>
    <w:p w:rsidRPr="00AD4785" w:rsidR="004C1AD2" w:rsidP="001D398B" w:rsidRDefault="00E55497" w14:paraId="228D3BCD" w14:textId="64DEB3C9">
      <w:pPr>
        <w:pStyle w:val="Heading3"/>
        <w:rPr>
          <w:color w:val="auto"/>
        </w:rPr>
      </w:pPr>
      <w:bookmarkStart w:name="_Toc57726735" w:id="25"/>
      <w:r w:rsidRPr="00AD4785">
        <w:rPr>
          <w:color w:val="auto"/>
        </w:rPr>
        <w:t>A.2.</w:t>
      </w:r>
      <w:r w:rsidRPr="00AD4785" w:rsidR="000F7CE7">
        <w:rPr>
          <w:color w:val="auto"/>
        </w:rPr>
        <w:t>6</w:t>
      </w:r>
      <w:r w:rsidRPr="00AD4785" w:rsidR="00261B0B">
        <w:rPr>
          <w:color w:val="auto"/>
        </w:rPr>
        <w:tab/>
      </w:r>
      <w:r w:rsidRPr="00AD4785">
        <w:rPr>
          <w:color w:val="auto"/>
        </w:rPr>
        <w:t>Use</w:t>
      </w:r>
      <w:r w:rsidRPr="00AD4785" w:rsidR="004C1AD2">
        <w:rPr>
          <w:color w:val="auto"/>
        </w:rPr>
        <w:t xml:space="preserve"> </w:t>
      </w:r>
      <w:r w:rsidRPr="00AD4785" w:rsidR="00975A4A">
        <w:rPr>
          <w:color w:val="auto"/>
        </w:rPr>
        <w:t>by International Organizations</w:t>
      </w:r>
      <w:bookmarkEnd w:id="24"/>
      <w:bookmarkEnd w:id="25"/>
      <w:r w:rsidRPr="00AD4785" w:rsidR="004C1AD2">
        <w:rPr>
          <w:color w:val="auto"/>
        </w:rPr>
        <w:t xml:space="preserve"> </w:t>
      </w:r>
    </w:p>
    <w:p w:rsidRPr="00AD4785" w:rsidR="00975A4A" w:rsidP="00975A4A" w:rsidRDefault="00975A4A" w14:paraId="6098D734" w14:textId="77777777">
      <w:pPr>
        <w:pStyle w:val="BodyText"/>
      </w:pPr>
      <w:bookmarkStart w:name="_Toc488073267" w:id="26"/>
      <w:bookmarkStart w:name="_Hlk26276195" w:id="27"/>
      <w:r w:rsidRPr="00AD4785">
        <w:t>The Organization for Economic Cooperation and Development (OECD) has requested that NCSES provide HERD and FFRDC survey data annually for use in their periodic publications and for international comparisons of total R&amp;D efforts.  Other foreign users have included the Association of Universities and Colleges of Canada, the Canadian Institute for Public Policy and Public Administration, King Abdullah University of Science and Technology, and the National Institute of Science and Technology Policy in Tokyo, Japan.</w:t>
      </w:r>
    </w:p>
    <w:p w:rsidRPr="00AD4785" w:rsidR="005F7C62" w:rsidP="005734B7" w:rsidRDefault="009E66C1" w14:paraId="4F236441" w14:textId="1A8300E1">
      <w:pPr>
        <w:pStyle w:val="Heading2"/>
        <w:spacing w:before="360"/>
        <w:rPr>
          <w:bCs/>
        </w:rPr>
      </w:pPr>
      <w:bookmarkStart w:name="_Ref476041678" w:id="28"/>
      <w:bookmarkStart w:name="_Toc488073268" w:id="29"/>
      <w:bookmarkStart w:name="_Toc57726736" w:id="30"/>
      <w:bookmarkEnd w:id="26"/>
      <w:bookmarkEnd w:id="27"/>
      <w:r w:rsidRPr="00AD4785">
        <w:t>A.</w:t>
      </w:r>
      <w:r w:rsidRPr="00AD4785" w:rsidR="00510E99">
        <w:t>3</w:t>
      </w:r>
      <w:r w:rsidRPr="00AD4785" w:rsidR="00510E99">
        <w:tab/>
      </w:r>
      <w:r w:rsidRPr="00AD4785" w:rsidR="008C752D">
        <w:t>Consideration of</w:t>
      </w:r>
      <w:r w:rsidRPr="00AD4785" w:rsidR="008C752D">
        <w:rPr>
          <w:spacing w:val="1"/>
        </w:rPr>
        <w:t xml:space="preserve"> </w:t>
      </w:r>
      <w:r w:rsidRPr="00AD4785" w:rsidR="008C752D">
        <w:t>Using</w:t>
      </w:r>
      <w:r w:rsidRPr="00AD4785" w:rsidR="008C752D">
        <w:rPr>
          <w:spacing w:val="-3"/>
        </w:rPr>
        <w:t xml:space="preserve"> </w:t>
      </w:r>
      <w:r w:rsidRPr="00AD4785" w:rsidR="008C752D">
        <w:t>Improved Technology</w:t>
      </w:r>
      <w:bookmarkEnd w:id="28"/>
      <w:bookmarkEnd w:id="29"/>
      <w:bookmarkEnd w:id="30"/>
    </w:p>
    <w:p w:rsidRPr="00AD4785" w:rsidR="00510015" w:rsidP="00510015" w:rsidRDefault="00510015" w14:paraId="01FDDE16" w14:textId="46EBD77E">
      <w:pPr>
        <w:pStyle w:val="BodyText"/>
      </w:pPr>
      <w:r w:rsidRPr="00AD4785">
        <w:t xml:space="preserve">The HERD and FFRDC </w:t>
      </w:r>
      <w:r w:rsidRPr="00AD4785" w:rsidR="0048799E">
        <w:t>s</w:t>
      </w:r>
      <w:r w:rsidRPr="00AD4785">
        <w:t>urveys are web-based data collection efforts</w:t>
      </w:r>
      <w:r w:rsidRPr="00AD4785" w:rsidR="009960EF">
        <w:t>. R</w:t>
      </w:r>
      <w:r w:rsidRPr="00AD4785">
        <w:t xml:space="preserve">espondents </w:t>
      </w:r>
      <w:r w:rsidRPr="00AD4785" w:rsidR="009960EF">
        <w:t xml:space="preserve">can also </w:t>
      </w:r>
      <w:r w:rsidRPr="00AD4785">
        <w:t xml:space="preserve">download a PDF or </w:t>
      </w:r>
      <w:r w:rsidRPr="00AD4785" w:rsidR="009960EF">
        <w:t xml:space="preserve">MS </w:t>
      </w:r>
      <w:r w:rsidRPr="00AD4785">
        <w:t>Excel version of the form</w:t>
      </w:r>
      <w:r w:rsidRPr="00AD4785" w:rsidR="009960EF">
        <w:t xml:space="preserve"> (meant primarily to be used as data gathering worksheets), which can be completed and submitted through email</w:t>
      </w:r>
      <w:r w:rsidRPr="00AD4785">
        <w:t xml:space="preserve">. </w:t>
      </w:r>
      <w:r w:rsidRPr="00AD4785" w:rsidR="009960EF">
        <w:t>All respondents submitted through</w:t>
      </w:r>
      <w:r w:rsidRPr="00AD4785">
        <w:t xml:space="preserve"> the web version of the survey</w:t>
      </w:r>
      <w:r w:rsidRPr="00AD4785" w:rsidR="009960EF">
        <w:t xml:space="preserve"> in FY 2019</w:t>
      </w:r>
      <w:r w:rsidRPr="00AD4785">
        <w:t xml:space="preserve"> for the ease of submission and error resolution capabilities. </w:t>
      </w:r>
      <w:r w:rsidRPr="00AD4785" w:rsidR="009960EF">
        <w:t>Within the Web-based version of the HERD survey standard form, respondents had the option of uploading data to the Web form using an MS Excel version of the survey; 185 institutions used this upload feature. There is also an option for uploading revisions to the previous year’s data using an MS Excel form.</w:t>
      </w:r>
      <w:r w:rsidRPr="00AD4785">
        <w:t xml:space="preserve"> Respondents are electronically sent the survey package, including a letter of introduction, survey instructions and related materials.  </w:t>
      </w:r>
    </w:p>
    <w:p w:rsidRPr="00AD4785" w:rsidR="00510015" w:rsidP="00510015" w:rsidRDefault="00510015" w14:paraId="7071ADB6" w14:textId="35DCF791">
      <w:pPr>
        <w:pStyle w:val="BodyText"/>
      </w:pPr>
      <w:r w:rsidRPr="00AD4785">
        <w:t xml:space="preserve">Reporting burden is stable or potentially reduced when the survey population is </w:t>
      </w:r>
      <w:proofErr w:type="gramStart"/>
      <w:r w:rsidRPr="00AD4785">
        <w:t>constant</w:t>
      </w:r>
      <w:proofErr w:type="gramEnd"/>
      <w:r w:rsidRPr="00AD4785">
        <w:t xml:space="preserve"> and institutions are accustomed to providing the data requested.  </w:t>
      </w:r>
      <w:r w:rsidRPr="00AD4785" w:rsidR="009960EF">
        <w:t>Consequently</w:t>
      </w:r>
      <w:r w:rsidRPr="00AD4785">
        <w:t>, most respondents have established automated systems for assembling the requested data.  In addition, the survey questions are intended to be as consistent as possible with the principles of financial accounting followed by institutions of higher education and FFRDCs.  Generally, these data are readily available from year</w:t>
      </w:r>
      <w:r w:rsidRPr="00AD4785">
        <w:noBreakHyphen/>
        <w:t xml:space="preserve">end financial records and other records maintained regularly by most </w:t>
      </w:r>
      <w:r w:rsidRPr="00AD4785">
        <w:lastRenderedPageBreak/>
        <w:t xml:space="preserve">institutions.  To obtain the full set of data requested in the survey, business officers of some institutions must sometimes consult with multiple colleagues, including heads of departments, research administrators, and other academic officials of the institution.  </w:t>
      </w:r>
    </w:p>
    <w:p w:rsidRPr="00AD4785" w:rsidR="00510015" w:rsidP="00510015" w:rsidRDefault="00510015" w14:paraId="3B299B57" w14:textId="77777777">
      <w:pPr>
        <w:pStyle w:val="BodyText"/>
      </w:pPr>
      <w:r w:rsidRPr="00AD4785">
        <w:t>The web versions of the surveys have a real-time monitoring system, which allows NCSES to monitor data, response status, and comments from respondents.  From the perspective of the respondents, the web versions are more convenient and simplify the survey (e.g., by automatically calculating totals).  NCSES benefits from the use of the web versions by receiving improved data quality.</w:t>
      </w:r>
    </w:p>
    <w:p w:rsidRPr="00AD4785" w:rsidR="005F7C62" w:rsidP="001D398B" w:rsidRDefault="009E66C1" w14:paraId="798EAC15" w14:textId="43599688">
      <w:pPr>
        <w:pStyle w:val="Heading2"/>
        <w:rPr>
          <w:bCs/>
        </w:rPr>
      </w:pPr>
      <w:bookmarkStart w:name="_Toc488073269" w:id="31"/>
      <w:bookmarkStart w:name="_Toc57726737" w:id="32"/>
      <w:r w:rsidRPr="00AD4785">
        <w:t>A.</w:t>
      </w:r>
      <w:r w:rsidRPr="00AD4785" w:rsidR="00510E99">
        <w:t>4</w:t>
      </w:r>
      <w:r w:rsidRPr="00AD4785" w:rsidR="00510E99">
        <w:tab/>
      </w:r>
      <w:r w:rsidRPr="00AD4785" w:rsidR="0061211F">
        <w:t xml:space="preserve">Efforts to </w:t>
      </w:r>
      <w:r w:rsidRPr="00AD4785" w:rsidR="008C752D">
        <w:t>Identif</w:t>
      </w:r>
      <w:r w:rsidRPr="00AD4785" w:rsidR="0061211F">
        <w:t>y</w:t>
      </w:r>
      <w:r w:rsidRPr="00AD4785" w:rsidR="008C752D">
        <w:rPr>
          <w:spacing w:val="1"/>
        </w:rPr>
        <w:t xml:space="preserve"> </w:t>
      </w:r>
      <w:r w:rsidRPr="00AD4785" w:rsidR="008C752D">
        <w:t>Duplication</w:t>
      </w:r>
      <w:bookmarkEnd w:id="31"/>
      <w:bookmarkEnd w:id="32"/>
    </w:p>
    <w:p w:rsidRPr="00AD4785" w:rsidR="00B31393" w:rsidP="00B31393" w:rsidRDefault="00B31393" w14:paraId="1D5B3444" w14:textId="6585B39F">
      <w:pPr>
        <w:pStyle w:val="BodyText"/>
      </w:pPr>
      <w:bookmarkStart w:name="_Toc488073270" w:id="33"/>
      <w:r w:rsidRPr="00AD4785">
        <w:t xml:space="preserve">The HERD </w:t>
      </w:r>
      <w:r w:rsidRPr="00AD4785" w:rsidR="0048799E">
        <w:t>s</w:t>
      </w:r>
      <w:r w:rsidRPr="00AD4785">
        <w:t xml:space="preserve">urvey collects essential information on the financial resources allocated to </w:t>
      </w:r>
      <w:r w:rsidRPr="00AD4785" w:rsidR="00371402">
        <w:t>R&amp;D</w:t>
      </w:r>
      <w:r w:rsidRPr="00AD4785">
        <w:t xml:space="preserve"> by universities and colleges.  There are no other statistical sources of comprehensive national data for this information.  </w:t>
      </w:r>
    </w:p>
    <w:p w:rsidRPr="00AD4785" w:rsidR="004F0F52" w:rsidP="00F17AA5" w:rsidRDefault="004F0F52" w14:paraId="3178E23E" w14:textId="0E2D0722">
      <w:pPr>
        <w:pStyle w:val="BodyText"/>
      </w:pPr>
      <w:bookmarkStart w:name="_Hlk56710202" w:id="34"/>
      <w:r w:rsidRPr="00AD4785">
        <w:t xml:space="preserve">As noted in section A.1.2, data on higher education </w:t>
      </w:r>
      <w:r w:rsidRPr="00AD4785" w:rsidR="000F0343">
        <w:t xml:space="preserve">FTE </w:t>
      </w:r>
      <w:r w:rsidRPr="00AD4785">
        <w:t xml:space="preserve">R&amp;D personnel </w:t>
      </w:r>
      <w:r w:rsidRPr="00AD4785" w:rsidR="00A50085">
        <w:t>are</w:t>
      </w:r>
      <w:r w:rsidRPr="00AD4785">
        <w:t xml:space="preserve"> unavailable </w:t>
      </w:r>
      <w:r w:rsidRPr="00AD4785" w:rsidR="00A50085">
        <w:t xml:space="preserve">through other data sources </w:t>
      </w:r>
      <w:r w:rsidRPr="00AD4785">
        <w:t xml:space="preserve">and therefore the U.S. in unable to report these data for international comparisons with other OECD countries. The same is true for demographic data on R&amp;D personnel paid </w:t>
      </w:r>
      <w:r w:rsidRPr="00AD4785" w:rsidR="001F57C1">
        <w:t xml:space="preserve">specifically </w:t>
      </w:r>
      <w:r w:rsidRPr="00AD4785">
        <w:t>from R&amp;D accounts at higher education institutions</w:t>
      </w:r>
      <w:r w:rsidRPr="00AD4785" w:rsidR="00A50085">
        <w:t xml:space="preserve">. The metrics provided from these survey questions will enable comparisons and more valuable insights into R&amp;D productivity and workforce issues.  </w:t>
      </w:r>
      <w:r w:rsidRPr="00AD4785">
        <w:t xml:space="preserve"> </w:t>
      </w:r>
    </w:p>
    <w:bookmarkEnd w:id="34"/>
    <w:p w:rsidRPr="00AD4785" w:rsidR="00E558D5" w:rsidP="00F17AA5" w:rsidRDefault="00E558D5" w14:paraId="20083CCF" w14:textId="70774F1B">
      <w:pPr>
        <w:pStyle w:val="BodyText"/>
      </w:pPr>
      <w:r w:rsidRPr="00AD4785">
        <w:t xml:space="preserve">Several organizations have produced analyses </w:t>
      </w:r>
      <w:r w:rsidRPr="00AD4785" w:rsidR="001F57C1">
        <w:t xml:space="preserve">or discussions </w:t>
      </w:r>
      <w:r w:rsidRPr="00AD4785">
        <w:t xml:space="preserve">of the impacts of COVID-19 on the </w:t>
      </w:r>
      <w:r w:rsidRPr="00AD4785" w:rsidR="001F57C1">
        <w:t>r</w:t>
      </w:r>
      <w:r w:rsidRPr="00AD4785">
        <w:t>esearch enterprise</w:t>
      </w:r>
      <w:r w:rsidRPr="00AD4785" w:rsidR="001F57C1">
        <w:t xml:space="preserve"> in general or specifically the higher education research enterprise</w:t>
      </w:r>
      <w:r w:rsidRPr="00AD4785">
        <w:t xml:space="preserve">. The HERD survey’s unique position as the most comprehensive collection tool for higher education R&amp;D expenditures means that the addition of the three COVID-19 impact questions can best be used by NCSES </w:t>
      </w:r>
      <w:r w:rsidRPr="00AD4785" w:rsidR="00CD0679">
        <w:t xml:space="preserve">(and others) </w:t>
      </w:r>
      <w:r w:rsidRPr="00AD4785">
        <w:t>as an analytical metric in publications. This output will enhance, rather than duplicate, any of the previous work in this area.</w:t>
      </w:r>
      <w:r w:rsidRPr="00AD4785" w:rsidR="00D07C36">
        <w:rPr>
          <w:rStyle w:val="FootnoteReference"/>
        </w:rPr>
        <w:footnoteReference w:id="4"/>
      </w:r>
      <w:r w:rsidRPr="00AD4785" w:rsidR="00844DAC">
        <w:rPr>
          <w:vertAlign w:val="superscript"/>
        </w:rPr>
        <w:t>,</w:t>
      </w:r>
      <w:r w:rsidRPr="00AD4785" w:rsidR="00844DAC">
        <w:rPr>
          <w:rStyle w:val="FootnoteReference"/>
        </w:rPr>
        <w:footnoteReference w:id="5"/>
      </w:r>
      <w:r w:rsidRPr="00AD4785" w:rsidR="00844DAC">
        <w:rPr>
          <w:vertAlign w:val="superscript"/>
        </w:rPr>
        <w:t>,</w:t>
      </w:r>
      <w:r w:rsidRPr="00AD4785" w:rsidR="00844DAC">
        <w:rPr>
          <w:rStyle w:val="FootnoteReference"/>
        </w:rPr>
        <w:footnoteReference w:id="6"/>
      </w:r>
      <w:r w:rsidRPr="00AD4785">
        <w:t xml:space="preserve"> </w:t>
      </w:r>
    </w:p>
    <w:p w:rsidRPr="00AD4785" w:rsidR="00B31393" w:rsidP="00B31393" w:rsidRDefault="00B31393" w14:paraId="06114054" w14:textId="29EE1241">
      <w:pPr>
        <w:pStyle w:val="BodyText"/>
      </w:pPr>
      <w:r w:rsidRPr="00AD4785">
        <w:t xml:space="preserve">The U.S. Department of Education/National Center for Education Statistics’ (NCES) Integrated Postsecondary Education Data System (IPEDS) finance survey series is related </w:t>
      </w:r>
      <w:r w:rsidRPr="00AD4785" w:rsidR="00EA0E9E">
        <w:t xml:space="preserve">to the </w:t>
      </w:r>
      <w:r w:rsidRPr="00AD4785" w:rsidR="00EA0E9E">
        <w:lastRenderedPageBreak/>
        <w:t xml:space="preserve">HERD </w:t>
      </w:r>
      <w:r w:rsidRPr="00AD4785">
        <w:t xml:space="preserve">in that it collects data on a full range of financial resources and expenses in institutions of higher education including research expenses, while the HERD Survey requests data on </w:t>
      </w:r>
      <w:r w:rsidRPr="00AD4785" w:rsidR="00371402">
        <w:t>R&amp;D</w:t>
      </w:r>
      <w:r w:rsidRPr="00AD4785">
        <w:t xml:space="preserve"> expenditures.  However, the IPEDS survey does not collect the following information requested by the NCSES survey: (1) separately accounted for R&amp;D expenditures by field, source of funding, and type of R&amp;D; and (2) current fund expenditures for research equipment by field.  NCSES regularly consults with the NCES to ensure that the information sought by the HERD </w:t>
      </w:r>
      <w:r w:rsidRPr="00AD4785" w:rsidR="0048799E">
        <w:t>s</w:t>
      </w:r>
      <w:r w:rsidRPr="00AD4785">
        <w:t>urvey is unavailable from other sources.</w:t>
      </w:r>
    </w:p>
    <w:p w:rsidRPr="00AD4785" w:rsidR="00B31393" w:rsidP="00B31393" w:rsidRDefault="00B31393" w14:paraId="71B66174" w14:textId="77777777">
      <w:pPr>
        <w:pStyle w:val="BodyText"/>
      </w:pPr>
      <w:r w:rsidRPr="00AD4785">
        <w:t xml:space="preserve">The Association of University Technology Managers (AUTM) collects annual data on university technology transfer activities such as patents filed and licensing revenues.  The AUTM survey also asks for total R&amp;D expenditures to be reported.  However, the survey is only administered to approximately 200 AUTM member institutions and does not cover the full population of research-performing universities and colleges.  It also does not collect any detailed data on the fields or types of R&amp;D expenditures. </w:t>
      </w:r>
    </w:p>
    <w:p w:rsidRPr="00AD4785" w:rsidR="00B31393" w:rsidP="00B31393" w:rsidRDefault="00B31393" w14:paraId="448D23FE" w14:textId="13AD252F">
      <w:pPr>
        <w:pStyle w:val="BodyText"/>
      </w:pPr>
      <w:r w:rsidRPr="00AD4785">
        <w:t xml:space="preserve">The FFRDC R&amp;D </w:t>
      </w:r>
      <w:r w:rsidRPr="00AD4785" w:rsidR="0048799E">
        <w:t>s</w:t>
      </w:r>
      <w:r w:rsidRPr="00AD4785">
        <w:t xml:space="preserve">urvey also collects information that cannot be obtained from any other existing statistical data source. Although NCSES’s Federal Funds for R&amp;D </w:t>
      </w:r>
      <w:r w:rsidRPr="00AD4785" w:rsidR="0048799E">
        <w:t>s</w:t>
      </w:r>
      <w:r w:rsidRPr="00AD4785">
        <w:t xml:space="preserve">urvey collect data on R&amp;D obligations from the Federal agencies that obligate those funds, there are no other known sources of </w:t>
      </w:r>
      <w:r w:rsidRPr="00AD4785">
        <w:rPr>
          <w:i/>
        </w:rPr>
        <w:t>total</w:t>
      </w:r>
      <w:r w:rsidRPr="00AD4785">
        <w:t xml:space="preserve"> FFRDC expenditure data.</w:t>
      </w:r>
    </w:p>
    <w:p w:rsidRPr="00AD4785" w:rsidR="005F7C62" w:rsidP="00510E99" w:rsidRDefault="009E66C1" w14:paraId="7BE60235" w14:textId="36A8F575">
      <w:pPr>
        <w:pStyle w:val="Heading2"/>
        <w:rPr>
          <w:bCs/>
        </w:rPr>
      </w:pPr>
      <w:bookmarkStart w:name="_Toc57726738" w:id="35"/>
      <w:r w:rsidRPr="00AD4785">
        <w:t>A.</w:t>
      </w:r>
      <w:r w:rsidRPr="00AD4785" w:rsidR="008164C1">
        <w:t>5</w:t>
      </w:r>
      <w:r w:rsidRPr="00AD4785" w:rsidR="008164C1">
        <w:tab/>
      </w:r>
      <w:r w:rsidRPr="00AD4785" w:rsidR="00BD77E3">
        <w:t xml:space="preserve">Efforts to Minimize Burden on </w:t>
      </w:r>
      <w:r w:rsidRPr="00AD4785" w:rsidR="008C752D">
        <w:t>Small Business</w:t>
      </w:r>
      <w:bookmarkEnd w:id="33"/>
      <w:bookmarkEnd w:id="35"/>
    </w:p>
    <w:p w:rsidRPr="00AD4785" w:rsidR="002F3211" w:rsidP="002F3211" w:rsidRDefault="00847B4C" w14:paraId="425D3681" w14:textId="77777777">
      <w:pPr>
        <w:pStyle w:val="BodyText"/>
      </w:pPr>
      <w:r w:rsidRPr="00AD4785">
        <w:t xml:space="preserve"> </w:t>
      </w:r>
      <w:r w:rsidRPr="00AD4785" w:rsidR="002F3211">
        <w:t>The survey universe consists entirely of universities and colleges that perform R&amp;D and of FFRDCs.  There is no small business involvement.</w:t>
      </w:r>
    </w:p>
    <w:p w:rsidRPr="00AD4785" w:rsidR="005F7C62" w:rsidP="001D398B" w:rsidRDefault="009E66C1" w14:paraId="4EA44611" w14:textId="0C86C1A8">
      <w:pPr>
        <w:pStyle w:val="Heading2"/>
        <w:spacing w:before="360"/>
        <w:rPr>
          <w:bCs/>
        </w:rPr>
      </w:pPr>
      <w:bookmarkStart w:name="_Toc488073271" w:id="36"/>
      <w:bookmarkStart w:name="_Toc57726739" w:id="37"/>
      <w:r w:rsidRPr="00AD4785">
        <w:t>A.</w:t>
      </w:r>
      <w:r w:rsidRPr="00AD4785" w:rsidR="008164C1">
        <w:t>6</w:t>
      </w:r>
      <w:r w:rsidRPr="00AD4785" w:rsidR="008164C1">
        <w:tab/>
      </w:r>
      <w:r w:rsidRPr="00AD4785" w:rsidR="008C752D">
        <w:t>Consequences of</w:t>
      </w:r>
      <w:r w:rsidRPr="00AD4785" w:rsidR="008C752D">
        <w:rPr>
          <w:spacing w:val="1"/>
        </w:rPr>
        <w:t xml:space="preserve"> </w:t>
      </w:r>
      <w:r w:rsidRPr="00AD4785" w:rsidR="008C752D">
        <w:t xml:space="preserve">Less Frequent </w:t>
      </w:r>
      <w:r w:rsidRPr="00AD4785" w:rsidR="00BD77E3">
        <w:t>Data Collection</w:t>
      </w:r>
      <w:bookmarkEnd w:id="36"/>
      <w:bookmarkEnd w:id="37"/>
    </w:p>
    <w:p w:rsidRPr="00AD4785" w:rsidR="002F3211" w:rsidP="002F3211" w:rsidRDefault="002F3211" w14:paraId="1AFB4F69" w14:textId="77777777">
      <w:pPr>
        <w:pStyle w:val="BodyText"/>
      </w:pPr>
      <w:r w:rsidRPr="00AD4785">
        <w:t xml:space="preserve">Academic R&amp;D expenditures data were collected on a biennial basis for the period 1964 through 1972.  The NSF Director and the National Science Board subsequently determined that annual information about academic R&amp;D resources was necessary to support informed programmatic and policy analysis.  </w:t>
      </w:r>
      <w:r w:rsidRPr="00AD4785">
        <w:tab/>
      </w:r>
      <w:r w:rsidRPr="00AD4785">
        <w:tab/>
      </w:r>
    </w:p>
    <w:p w:rsidRPr="00AD4785" w:rsidR="002F3211" w:rsidP="002F3211" w:rsidRDefault="002F3211" w14:paraId="575A76A3" w14:textId="77777777">
      <w:pPr>
        <w:pStyle w:val="BodyText"/>
      </w:pPr>
      <w:r w:rsidRPr="00AD4785">
        <w:t>The availability of national totals of R&amp;D resources on an annual basis provides a current and timely overview of the status of R&amp;D activity in each sector of the economy.  Given the sophistication and pace of science and technological development worldwide, it is anticipated that the need for annual data on national R&amp;D expenditures will continue.</w:t>
      </w:r>
    </w:p>
    <w:p w:rsidRPr="00AD4785" w:rsidR="002F3211" w:rsidP="002F3211" w:rsidRDefault="002F3211" w14:paraId="6D366E7E" w14:textId="77777777">
      <w:pPr>
        <w:pStyle w:val="BodyText"/>
      </w:pPr>
      <w:r w:rsidRPr="00AD4785">
        <w:lastRenderedPageBreak/>
        <w:t xml:space="preserve">The experience of NCSES staff, academic advisory group members, and workshop participants indicate that survey respondents prefer to report a consistent set of data items on an annual basis.  Many universities and colleges and FFRDCs have automated their record keeping systems, facilitating their ability to respond to NCSES on an annual cycle.  These automated record systems considerably reduce the time required to assemble and report information needed for NCSES concerning sources of R&amp;D support, R&amp;D expenditures by field, etc.  Thus, collecting consistent data annually considerably reduces respondent burden for academic institutions with automated data systems, since the database and software are retained and kept current.  Many responding institutions have indicated that if the data were to be collected on a less frequent basis, the database and related software might not be maintained, resulting in increased burden. </w:t>
      </w:r>
    </w:p>
    <w:p w:rsidRPr="00AD4785" w:rsidR="002F3211" w:rsidP="002F3211" w:rsidRDefault="002F3211" w14:paraId="2E9E8BEB" w14:textId="60F25260">
      <w:pPr>
        <w:pStyle w:val="BodyText"/>
      </w:pPr>
      <w:r w:rsidRPr="00AD4785">
        <w:t xml:space="preserve">      Furthermore, federal, institutional, and major data users have strongly expressed their need for R&amp;D data on no less than an annual basis.  As a specific example, annual HERD and FFRDC data are needed by the Bureau of Economic Analyses to use in updating the National Income and Product Accounts.  Further, because NCSES policies have a national impact, the timeliness of the data used to formulate policy, budget, and planning decisions is critical. </w:t>
      </w:r>
    </w:p>
    <w:p w:rsidRPr="00AD4785" w:rsidR="005F7C62" w:rsidP="003A5408" w:rsidRDefault="009E66C1" w14:paraId="2EC9E5D8" w14:textId="30D76F0B">
      <w:pPr>
        <w:pStyle w:val="Heading2"/>
        <w:rPr>
          <w:bCs/>
        </w:rPr>
      </w:pPr>
      <w:bookmarkStart w:name="_Toc488073272" w:id="38"/>
      <w:bookmarkStart w:name="_Toc57726740" w:id="39"/>
      <w:r w:rsidRPr="00AD4785">
        <w:t>A.</w:t>
      </w:r>
      <w:r w:rsidRPr="00AD4785" w:rsidR="009C1E93">
        <w:t>7</w:t>
      </w:r>
      <w:r w:rsidRPr="00AD4785" w:rsidR="009C1E93">
        <w:tab/>
      </w:r>
      <w:r w:rsidRPr="00AD4785" w:rsidR="008C752D">
        <w:t>Special Circumstances</w:t>
      </w:r>
      <w:bookmarkEnd w:id="38"/>
      <w:bookmarkEnd w:id="39"/>
    </w:p>
    <w:p w:rsidRPr="00AD4785" w:rsidR="00BD77E3" w:rsidP="00C477F1" w:rsidRDefault="004C0F5F" w14:paraId="1BDAA521" w14:textId="079BE013">
      <w:pPr>
        <w:pStyle w:val="BodyText"/>
      </w:pPr>
      <w:r w:rsidRPr="00AD4785">
        <w:t xml:space="preserve"> </w:t>
      </w:r>
      <w:bookmarkStart w:name="_Toc488073273" w:id="40"/>
      <w:r w:rsidRPr="00AD4785" w:rsidR="002F3211">
        <w:t>No special circumstances.</w:t>
      </w:r>
    </w:p>
    <w:p w:rsidRPr="00AD4785" w:rsidR="005F7C62" w:rsidP="003A5408" w:rsidRDefault="009E66C1" w14:paraId="16C936BC" w14:textId="2501665D">
      <w:pPr>
        <w:pStyle w:val="Heading2"/>
        <w:spacing w:before="360"/>
        <w:rPr>
          <w:bCs/>
        </w:rPr>
      </w:pPr>
      <w:bookmarkStart w:name="_Toc57726741" w:id="41"/>
      <w:r w:rsidRPr="00AD4785">
        <w:t>A.</w:t>
      </w:r>
      <w:r w:rsidRPr="00AD4785" w:rsidR="009C1E93">
        <w:t>8</w:t>
      </w:r>
      <w:r w:rsidRPr="00AD4785" w:rsidR="009C1E93">
        <w:tab/>
      </w:r>
      <w:r w:rsidRPr="00AD4785" w:rsidR="008C752D">
        <w:t xml:space="preserve">Federal Register </w:t>
      </w:r>
      <w:r w:rsidRPr="00AD4785" w:rsidR="00BD77E3">
        <w:t>Announcement and</w:t>
      </w:r>
      <w:r w:rsidRPr="00AD4785" w:rsidR="008C752D">
        <w:t xml:space="preserve"> Consultations </w:t>
      </w:r>
      <w:r w:rsidRPr="00AD4785" w:rsidR="00BD77E3">
        <w:t>Ou</w:t>
      </w:r>
      <w:r w:rsidRPr="00AD4785" w:rsidR="008C752D">
        <w:t>tside the Agency</w:t>
      </w:r>
      <w:bookmarkEnd w:id="40"/>
      <w:bookmarkEnd w:id="41"/>
    </w:p>
    <w:p w:rsidRPr="00AD4785" w:rsidR="00494A45" w:rsidP="006F39D5" w:rsidRDefault="006F39D5" w14:paraId="79A8B984" w14:textId="566D5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rPr>
          <w:rFonts w:cstheme="minorHAnsi"/>
          <w:szCs w:val="24"/>
        </w:rPr>
      </w:pPr>
      <w:r w:rsidRPr="00AD4785">
        <w:rPr>
          <w:spacing w:val="-1"/>
        </w:rPr>
        <w:tab/>
      </w:r>
      <w:r w:rsidRPr="00AD4785" w:rsidR="008C752D">
        <w:rPr>
          <w:spacing w:val="-1"/>
        </w:rPr>
        <w:t>The Federal</w:t>
      </w:r>
      <w:r w:rsidRPr="00AD4785" w:rsidR="008C752D">
        <w:t xml:space="preserve"> </w:t>
      </w:r>
      <w:r w:rsidRPr="00AD4785" w:rsidR="008C752D">
        <w:rPr>
          <w:spacing w:val="-1"/>
        </w:rPr>
        <w:t>Register notice was</w:t>
      </w:r>
      <w:r w:rsidRPr="00AD4785" w:rsidR="008C752D">
        <w:t xml:space="preserve"> </w:t>
      </w:r>
      <w:r w:rsidRPr="00AD4785" w:rsidR="008C752D">
        <w:rPr>
          <w:spacing w:val="-1"/>
        </w:rPr>
        <w:t>published</w:t>
      </w:r>
      <w:r w:rsidRPr="00AD4785" w:rsidR="008C752D">
        <w:t xml:space="preserve"> on</w:t>
      </w:r>
      <w:r w:rsidRPr="00AD4785" w:rsidR="001859A6">
        <w:t xml:space="preserve"> </w:t>
      </w:r>
      <w:r w:rsidRPr="00AD4785" w:rsidR="002F3211">
        <w:t>October 2</w:t>
      </w:r>
      <w:r w:rsidRPr="00AD4785" w:rsidR="001859A6">
        <w:t xml:space="preserve">, 2020 (85 FR </w:t>
      </w:r>
      <w:r w:rsidRPr="00AD4785" w:rsidR="002F3211">
        <w:t>62331</w:t>
      </w:r>
      <w:r w:rsidRPr="00AD4785" w:rsidR="001859A6">
        <w:t>)</w:t>
      </w:r>
      <w:r w:rsidRPr="00AD4785" w:rsidR="008C752D">
        <w:t xml:space="preserve"> </w:t>
      </w:r>
      <w:r w:rsidRPr="00AD4785" w:rsidR="008C752D">
        <w:rPr>
          <w:spacing w:val="-1"/>
        </w:rPr>
        <w:t xml:space="preserve">(see </w:t>
      </w:r>
      <w:r w:rsidRPr="00AD4785" w:rsidR="008C752D">
        <w:t xml:space="preserve">Attachment </w:t>
      </w:r>
      <w:r w:rsidRPr="00AD4785" w:rsidR="0019094D">
        <w:t>10</w:t>
      </w:r>
      <w:r w:rsidRPr="00AD4785" w:rsidR="00E767B0">
        <w:rPr>
          <w:spacing w:val="-1"/>
        </w:rPr>
        <w:t>).</w:t>
      </w:r>
      <w:r w:rsidRPr="00AD4785" w:rsidR="00494A45">
        <w:rPr>
          <w:rFonts w:cstheme="minorHAnsi"/>
          <w:szCs w:val="24"/>
        </w:rPr>
        <w:t xml:space="preserve"> NCSES received </w:t>
      </w:r>
      <w:r w:rsidRPr="00AD4785" w:rsidR="002F3211">
        <w:rPr>
          <w:rFonts w:cstheme="minorHAnsi"/>
          <w:szCs w:val="24"/>
        </w:rPr>
        <w:t>no co</w:t>
      </w:r>
      <w:r w:rsidRPr="00AD4785" w:rsidR="00494A45">
        <w:rPr>
          <w:rFonts w:cstheme="minorHAnsi"/>
          <w:szCs w:val="24"/>
        </w:rPr>
        <w:t>mments</w:t>
      </w:r>
      <w:r w:rsidRPr="00AD4785" w:rsidR="002F3211">
        <w:rPr>
          <w:rFonts w:cstheme="minorHAnsi"/>
          <w:szCs w:val="24"/>
        </w:rPr>
        <w:t xml:space="preserve"> in response to the </w:t>
      </w:r>
      <w:r w:rsidRPr="00AD4785" w:rsidR="001B617D">
        <w:rPr>
          <w:rFonts w:cstheme="minorHAnsi"/>
          <w:szCs w:val="24"/>
        </w:rPr>
        <w:t>announcement</w:t>
      </w:r>
      <w:r w:rsidRPr="00AD4785" w:rsidR="00494A45">
        <w:rPr>
          <w:rFonts w:cstheme="minorHAnsi"/>
          <w:szCs w:val="24"/>
        </w:rPr>
        <w:t xml:space="preserve">. </w:t>
      </w:r>
    </w:p>
    <w:p w:rsidRPr="00AD4785" w:rsidR="005D64E0" w:rsidP="001B617D" w:rsidRDefault="006F39D5" w14:paraId="717A327A" w14:textId="5D570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pPr>
      <w:r w:rsidRPr="00AD4785">
        <w:rPr>
          <w:rFonts w:cstheme="minorHAnsi"/>
          <w:szCs w:val="24"/>
        </w:rPr>
        <w:tab/>
      </w:r>
      <w:r w:rsidRPr="00AD4785" w:rsidR="00E92358">
        <w:t xml:space="preserve">As described in the next sections, </w:t>
      </w:r>
      <w:r w:rsidRPr="00AD4785" w:rsidR="00D8784D">
        <w:t xml:space="preserve">NCSES consulted a total of </w:t>
      </w:r>
      <w:r w:rsidRPr="00AD4785" w:rsidR="000B5D63">
        <w:t>56</w:t>
      </w:r>
      <w:r w:rsidRPr="00AD4785" w:rsidR="00D8784D">
        <w:t xml:space="preserve"> HERD respondent institutions over the past </w:t>
      </w:r>
      <w:r w:rsidRPr="00AD4785" w:rsidR="00AB43B1">
        <w:t>four</w:t>
      </w:r>
      <w:r w:rsidRPr="00AD4785" w:rsidR="00D8784D">
        <w:t xml:space="preserve"> years through on-campus interviews, </w:t>
      </w:r>
      <w:r w:rsidRPr="00AD4785" w:rsidR="00E75CB9">
        <w:t xml:space="preserve">cognitive </w:t>
      </w:r>
      <w:r w:rsidRPr="00AD4785" w:rsidR="00D8784D">
        <w:t xml:space="preserve">tele-interviews, and a </w:t>
      </w:r>
      <w:r w:rsidRPr="00AD4785" w:rsidR="00E75CB9">
        <w:t xml:space="preserve">topic exploration </w:t>
      </w:r>
      <w:r w:rsidRPr="00AD4785" w:rsidR="00D8784D">
        <w:t>workshop</w:t>
      </w:r>
      <w:r w:rsidRPr="00AD4785" w:rsidR="00E75CB9">
        <w:t xml:space="preserve">. </w:t>
      </w:r>
      <w:r w:rsidRPr="00AD4785" w:rsidR="00D8784D">
        <w:t xml:space="preserve">Further outreach was conducted through webinars, conference presentations, and discussions with </w:t>
      </w:r>
      <w:r w:rsidRPr="00AD4785" w:rsidR="003D5F37">
        <w:t xml:space="preserve">other higher education stakeholder organizations. </w:t>
      </w:r>
      <w:r w:rsidRPr="00AD4785" w:rsidR="00AF4A4B">
        <w:t xml:space="preserve">These dialogs provided useful information on question development and the impact of the survey’s planned data requests upon the respondents.  </w:t>
      </w:r>
    </w:p>
    <w:p w:rsidRPr="00AD4785" w:rsidR="00CE0446" w:rsidP="00CE0446" w:rsidRDefault="009E66C1" w14:paraId="2916D3C5" w14:textId="1D48D524">
      <w:pPr>
        <w:pStyle w:val="Heading3"/>
        <w:spacing w:before="120"/>
        <w:rPr>
          <w:color w:val="auto"/>
        </w:rPr>
      </w:pPr>
      <w:bookmarkStart w:name="_Toc57726742" w:id="42"/>
      <w:bookmarkStart w:name="_Toc488074626" w:id="43"/>
      <w:r w:rsidRPr="00AD4785">
        <w:rPr>
          <w:color w:val="auto"/>
        </w:rPr>
        <w:lastRenderedPageBreak/>
        <w:t>A.</w:t>
      </w:r>
      <w:r w:rsidRPr="00AD4785" w:rsidR="005D64E0">
        <w:rPr>
          <w:color w:val="auto"/>
        </w:rPr>
        <w:t>8.</w:t>
      </w:r>
      <w:r w:rsidRPr="00AD4785">
        <w:rPr>
          <w:color w:val="auto"/>
        </w:rPr>
        <w:t>1</w:t>
      </w:r>
      <w:r w:rsidRPr="00AD4785" w:rsidR="005D64E0">
        <w:rPr>
          <w:color w:val="auto"/>
        </w:rPr>
        <w:tab/>
        <w:t>Site Visits</w:t>
      </w:r>
      <w:r w:rsidRPr="00AD4785" w:rsidR="003D5F37">
        <w:rPr>
          <w:color w:val="auto"/>
        </w:rPr>
        <w:t xml:space="preserve"> and Workshop</w:t>
      </w:r>
      <w:bookmarkEnd w:id="42"/>
    </w:p>
    <w:p w:rsidRPr="00AD4785" w:rsidR="00B82F20" w:rsidP="00B82F20" w:rsidRDefault="00B82F20" w14:paraId="703DB06B" w14:textId="664ED984">
      <w:pPr>
        <w:pStyle w:val="BodyText"/>
      </w:pPr>
      <w:r w:rsidRPr="00AD4785">
        <w:t xml:space="preserve">The information requested in the R&amp;D personnel questions was first discussed during site visits with </w:t>
      </w:r>
      <w:r w:rsidRPr="00AD4785" w:rsidR="00AF4A4B">
        <w:t xml:space="preserve">eight </w:t>
      </w:r>
      <w:r w:rsidRPr="00AD4785">
        <w:t>HERD institutions in 2017 and 2018</w:t>
      </w:r>
      <w:r w:rsidRPr="00AD4785" w:rsidR="00A169DF">
        <w:t>. A</w:t>
      </w:r>
      <w:r w:rsidRPr="00AD4785">
        <w:t xml:space="preserve"> </w:t>
      </w:r>
      <w:r w:rsidRPr="00AD4785" w:rsidR="002429C1">
        <w:t xml:space="preserve">two-day </w:t>
      </w:r>
      <w:r w:rsidRPr="00AD4785">
        <w:t xml:space="preserve">HERD respondent workshop </w:t>
      </w:r>
      <w:r w:rsidRPr="00AD4785" w:rsidR="00AF4A4B">
        <w:t xml:space="preserve">with ten participants </w:t>
      </w:r>
      <w:r w:rsidRPr="00AD4785" w:rsidR="00A169DF">
        <w:t xml:space="preserve">was held </w:t>
      </w:r>
      <w:r w:rsidRPr="00AD4785">
        <w:t xml:space="preserve">in September 2019 </w:t>
      </w:r>
      <w:r w:rsidRPr="00AD4785" w:rsidR="00A169DF">
        <w:t xml:space="preserve">to explore details of the R&amp;D personnel questions in addition to examining the reporting of capital expenditures for R&amp;D </w:t>
      </w:r>
      <w:r w:rsidRPr="00AD4785">
        <w:t>(</w:t>
      </w:r>
      <w:r w:rsidRPr="00AD4785" w:rsidR="002D73B8">
        <w:t>A</w:t>
      </w:r>
      <w:r w:rsidRPr="00AD4785">
        <w:t xml:space="preserve">ttachment </w:t>
      </w:r>
      <w:r w:rsidRPr="00AD4785" w:rsidR="002D73B8">
        <w:t>11</w:t>
      </w:r>
      <w:r w:rsidRPr="00AD4785">
        <w:t xml:space="preserve">). The wording for the proposed revision to Question 15 and the new Question 16 is </w:t>
      </w:r>
      <w:r w:rsidRPr="00AD4785" w:rsidR="00A43FDC">
        <w:t xml:space="preserve">based on the Frascati </w:t>
      </w:r>
      <w:r w:rsidRPr="00AD4785" w:rsidR="00D02C24">
        <w:t>M</w:t>
      </w:r>
      <w:r w:rsidRPr="00AD4785" w:rsidR="00A43FDC">
        <w:t xml:space="preserve">anual guidelines and </w:t>
      </w:r>
      <w:r w:rsidRPr="00AD4785">
        <w:t>on information gathered at the site visits and workshop</w:t>
      </w:r>
      <w:r w:rsidRPr="00AD4785" w:rsidR="00A43FDC">
        <w:t>. It is</w:t>
      </w:r>
      <w:r w:rsidRPr="00AD4785">
        <w:t xml:space="preserve"> </w:t>
      </w:r>
      <w:r w:rsidRPr="00AD4785" w:rsidR="00A43FDC">
        <w:t xml:space="preserve">also </w:t>
      </w:r>
      <w:r w:rsidRPr="00AD4785">
        <w:t xml:space="preserve">similar to questions currently found on other NCSES surveys of R&amp;D performers. </w:t>
      </w:r>
    </w:p>
    <w:p w:rsidRPr="00AD4785" w:rsidR="00DA2C87" w:rsidP="00DA2C87" w:rsidRDefault="00DA2C87" w14:paraId="7475BDE2" w14:textId="5D41FB79">
      <w:pPr>
        <w:tabs>
          <w:tab w:val="left" w:pos="0"/>
          <w:tab w:val="left" w:pos="360"/>
          <w:tab w:val="left" w:pos="528"/>
        </w:tabs>
        <w:suppressAutoHyphens/>
      </w:pPr>
      <w:r w:rsidRPr="00AD4785">
        <w:t xml:space="preserve"> </w:t>
      </w:r>
    </w:p>
    <w:p w:rsidRPr="00AD4785" w:rsidR="00A13A20" w:rsidP="009630A5" w:rsidRDefault="009E66C1" w14:paraId="5740BF04" w14:textId="5D0E2ED7">
      <w:pPr>
        <w:pStyle w:val="Heading3"/>
        <w:spacing w:before="120" w:after="100" w:afterAutospacing="1"/>
        <w:ind w:left="0" w:firstLine="0"/>
        <w:rPr>
          <w:bCs/>
          <w:color w:val="auto"/>
        </w:rPr>
      </w:pPr>
      <w:bookmarkStart w:name="_Toc57726743" w:id="44"/>
      <w:bookmarkEnd w:id="43"/>
      <w:r w:rsidRPr="00AD4785">
        <w:rPr>
          <w:color w:val="auto"/>
        </w:rPr>
        <w:t>A.</w:t>
      </w:r>
      <w:r w:rsidRPr="00AD4785" w:rsidR="00A13A20">
        <w:rPr>
          <w:color w:val="auto"/>
        </w:rPr>
        <w:t>8.</w:t>
      </w:r>
      <w:r w:rsidRPr="00AD4785">
        <w:rPr>
          <w:color w:val="auto"/>
        </w:rPr>
        <w:t>2</w:t>
      </w:r>
      <w:r w:rsidRPr="00AD4785" w:rsidR="00A13A20">
        <w:rPr>
          <w:color w:val="auto"/>
        </w:rPr>
        <w:tab/>
      </w:r>
      <w:r w:rsidRPr="00AD4785" w:rsidR="003D5F37">
        <w:rPr>
          <w:color w:val="auto"/>
        </w:rPr>
        <w:t>Cognitive Interviews</w:t>
      </w:r>
      <w:bookmarkEnd w:id="44"/>
    </w:p>
    <w:p w:rsidRPr="00AD4785" w:rsidR="002C5109" w:rsidP="002C5109" w:rsidRDefault="002C5109" w14:paraId="62D38D6D" w14:textId="55D8817E">
      <w:pPr>
        <w:pStyle w:val="Heading3"/>
        <w:spacing w:before="120" w:after="100" w:afterAutospacing="1"/>
        <w:ind w:left="0" w:firstLine="0"/>
        <w:rPr>
          <w:bCs/>
          <w:color w:val="auto"/>
        </w:rPr>
      </w:pPr>
      <w:bookmarkStart w:name="_Toc57726744" w:id="45"/>
      <w:r w:rsidRPr="00AD4785">
        <w:rPr>
          <w:color w:val="auto"/>
        </w:rPr>
        <w:t>A.8.2.1</w:t>
      </w:r>
      <w:r w:rsidRPr="00AD4785">
        <w:rPr>
          <w:color w:val="auto"/>
        </w:rPr>
        <w:tab/>
        <w:t xml:space="preserve">   Personnel Question Interviews</w:t>
      </w:r>
      <w:bookmarkEnd w:id="45"/>
    </w:p>
    <w:p w:rsidRPr="00AD4785" w:rsidR="002B5BB6" w:rsidP="002B5BB6" w:rsidRDefault="002429C1" w14:paraId="4C70C041" w14:textId="6DBE1205">
      <w:pPr>
        <w:pStyle w:val="BodyText"/>
        <w:ind w:right="30"/>
        <w:rPr>
          <w:spacing w:val="-1"/>
        </w:rPr>
      </w:pPr>
      <w:r w:rsidRPr="00AD4785">
        <w:rPr>
          <w:spacing w:val="-1"/>
        </w:rPr>
        <w:t xml:space="preserve">NCSES tested the proposed personnel questions through </w:t>
      </w:r>
      <w:r w:rsidRPr="00AD4785" w:rsidR="00D225C7">
        <w:rPr>
          <w:spacing w:val="-1"/>
        </w:rPr>
        <w:t>three</w:t>
      </w:r>
      <w:r w:rsidRPr="00AD4785">
        <w:rPr>
          <w:spacing w:val="-1"/>
        </w:rPr>
        <w:t xml:space="preserve"> rounds of interviews</w:t>
      </w:r>
      <w:r w:rsidRPr="00AD4785" w:rsidR="000B5D63">
        <w:rPr>
          <w:spacing w:val="-1"/>
        </w:rPr>
        <w:t xml:space="preserve"> with a total of twenty-three</w:t>
      </w:r>
      <w:r w:rsidRPr="00AD4785">
        <w:rPr>
          <w:spacing w:val="-1"/>
        </w:rPr>
        <w:t xml:space="preserve"> </w:t>
      </w:r>
      <w:r w:rsidRPr="00AD4785" w:rsidR="000B5D63">
        <w:rPr>
          <w:spacing w:val="-1"/>
        </w:rPr>
        <w:t xml:space="preserve">higher </w:t>
      </w:r>
      <w:r w:rsidRPr="00AD4785">
        <w:rPr>
          <w:spacing w:val="-1"/>
        </w:rPr>
        <w:t>education institutions (</w:t>
      </w:r>
      <w:r w:rsidRPr="00AD4785" w:rsidR="00C503E4">
        <w:rPr>
          <w:spacing w:val="-1"/>
        </w:rPr>
        <w:t>Attachment 12</w:t>
      </w:r>
      <w:r w:rsidRPr="00AD4785">
        <w:rPr>
          <w:spacing w:val="-1"/>
        </w:rPr>
        <w:t xml:space="preserve">). </w:t>
      </w:r>
      <w:r w:rsidRPr="00AD4785" w:rsidR="000B5D63">
        <w:rPr>
          <w:spacing w:val="-1"/>
        </w:rPr>
        <w:t>All interviews were conducted remotely by video or phone, depending on the respondent’s preference. NCSES first conducted a preliminary round of interviews with four institutions to test initial understanding of the questions. Recommendations from those interviews further informed question development.</w:t>
      </w:r>
      <w:r w:rsidRPr="00AD4785" w:rsidR="002B5BB6">
        <w:rPr>
          <w:spacing w:val="-1"/>
        </w:rPr>
        <w:t xml:space="preserve"> </w:t>
      </w:r>
      <w:r w:rsidRPr="00AD4785" w:rsidR="000B5D63">
        <w:rPr>
          <w:spacing w:val="-1"/>
        </w:rPr>
        <w:t xml:space="preserve">In the subsequent rounds, NCSES conducted 30-minute initial interviews with institutions before they completed the test questions on their own. </w:t>
      </w:r>
      <w:r w:rsidRPr="00AD4785" w:rsidR="002B5BB6">
        <w:rPr>
          <w:spacing w:val="-1"/>
        </w:rPr>
        <w:t xml:space="preserve">The initial interview focused on the wording of the questions, instructions and examples provided, and the ability of the respondent to answer the questions. In the next phase of testing, each institution completed the proposed questions by gathering the required information from others in their institution. During the 30-minute debrief interviews, the respondent provided feedback on the ease or difficulty of completing the questions as well as the time it took to gather the information and complete the questions. </w:t>
      </w:r>
      <w:r w:rsidRPr="00AD4785" w:rsidR="00AE115C">
        <w:rPr>
          <w:spacing w:val="-1"/>
        </w:rPr>
        <w:t xml:space="preserve">Four institutions participated in the preliminary interviews, eight institutions participated in round 1, and 11 institutions participated in round 2. </w:t>
      </w:r>
    </w:p>
    <w:p w:rsidRPr="00AD4785" w:rsidR="002004A0" w:rsidP="002004A0" w:rsidRDefault="002429C1" w14:paraId="776ACAD3" w14:textId="77777777">
      <w:pPr>
        <w:pStyle w:val="BodyText"/>
      </w:pPr>
      <w:r w:rsidRPr="00AD4785">
        <w:t>As part of the iterative process for the interviews, NCSES</w:t>
      </w:r>
      <w:r w:rsidRPr="00AD4785" w:rsidR="00AE115C">
        <w:t xml:space="preserve"> updated the interview protocols, communications and test questions between rounds. This entailed</w:t>
      </w:r>
      <w:r w:rsidRPr="00AD4785">
        <w:t xml:space="preserve"> adjust</w:t>
      </w:r>
      <w:r w:rsidRPr="00AD4785" w:rsidR="00AE115C">
        <w:t>ing</w:t>
      </w:r>
      <w:r w:rsidRPr="00AD4785">
        <w:t xml:space="preserve"> the guidance for how to report students on both questions and clarif</w:t>
      </w:r>
      <w:r w:rsidRPr="00AD4785" w:rsidR="00AE115C">
        <w:t>ying</w:t>
      </w:r>
      <w:r w:rsidRPr="00AD4785">
        <w:t xml:space="preserve"> that respondents should only include research and development personnel paid from R&amp;D accounts. NCSES also provided greater detail under the R&amp;D functions examples and the examples for calculating </w:t>
      </w:r>
      <w:r w:rsidRPr="00AD4785">
        <w:lastRenderedPageBreak/>
        <w:t xml:space="preserve">FTEs. NCSES decided to make the revised Question 15 confidential and only publish these data in the aggregate because some institutions expressed reluctance to publish detailed demographics on employees and students. </w:t>
      </w:r>
    </w:p>
    <w:p w:rsidRPr="00AD4785" w:rsidR="002004A0" w:rsidP="002004A0" w:rsidRDefault="00957E3C" w14:paraId="6AFC95DA" w14:textId="556BAD03">
      <w:pPr>
        <w:pStyle w:val="BodyText"/>
      </w:pPr>
      <w:r w:rsidRPr="00AD4785">
        <w:t>T</w:t>
      </w:r>
      <w:r w:rsidRPr="00AD4785" w:rsidR="002004A0">
        <w:t>he FY 2019 HERD survey was in the field</w:t>
      </w:r>
      <w:r w:rsidRPr="00AD4785">
        <w:t xml:space="preserve"> when the sample was created</w:t>
      </w:r>
      <w:r w:rsidRPr="00AD4785" w:rsidR="002004A0">
        <w:t xml:space="preserve">. The sample was limited to institutions that had submitted a completed survey </w:t>
      </w:r>
      <w:r w:rsidRPr="00AD4785" w:rsidR="002004A0">
        <w:rPr>
          <w:i/>
          <w:iCs/>
        </w:rPr>
        <w:t xml:space="preserve">and </w:t>
      </w:r>
      <w:r w:rsidRPr="00AD4785" w:rsidR="002004A0">
        <w:t xml:space="preserve">had their data approved by the data review team. The sample was then divided into four quartiles of total R&amp;D personnel for FY 2019. The first quartile was not included in this preliminary round to ensure that NCSES obtained information from institutions that had </w:t>
      </w:r>
      <w:r w:rsidRPr="00AD4785" w:rsidR="00D60F85">
        <w:t xml:space="preserve">at least </w:t>
      </w:r>
      <w:r w:rsidRPr="00AD4785" w:rsidR="002004A0">
        <w:t>several R&amp;D personnel.</w:t>
      </w:r>
      <w:r w:rsidRPr="00AD4785" w:rsidR="002004A0">
        <w:rPr>
          <w:rFonts w:ascii="Calibri" w:hAnsi="Calibri" w:cs="Calibri"/>
          <w:sz w:val="22"/>
        </w:rPr>
        <w:t xml:space="preserve"> </w:t>
      </w:r>
      <w:r w:rsidRPr="00AD4785" w:rsidR="002004A0">
        <w:t>For rounds 1 and 2 of the interviews, NCSES selected an initial sample of 100 institutions with the intention of sending 50 invitations in each round.</w:t>
      </w:r>
    </w:p>
    <w:p w:rsidRPr="00AD4785" w:rsidR="002004A0" w:rsidP="002004A0" w:rsidRDefault="002004A0" w14:paraId="336A92BF" w14:textId="6629639F">
      <w:pPr>
        <w:tabs>
          <w:tab w:val="left" w:pos="0"/>
          <w:tab w:val="left" w:pos="360"/>
        </w:tabs>
        <w:suppressAutoHyphens/>
        <w:ind w:left="360"/>
        <w:rPr>
          <w:b/>
        </w:rPr>
      </w:pPr>
      <w:r w:rsidRPr="00AD4785">
        <w:rPr>
          <w:b/>
        </w:rPr>
        <w:t>Table A-8.</w:t>
      </w:r>
      <w:r w:rsidRPr="00AD4785" w:rsidR="00BD5D07">
        <w:rPr>
          <w:b/>
        </w:rPr>
        <w:t>2.</w:t>
      </w:r>
      <w:r w:rsidRPr="00AD4785">
        <w:rPr>
          <w:b/>
        </w:rPr>
        <w:t xml:space="preserve">1.  </w:t>
      </w:r>
      <w:r w:rsidRPr="00AD4785" w:rsidR="00BD5D07">
        <w:rPr>
          <w:b/>
        </w:rPr>
        <w:t>Number of Institutions Sampled, Invited, and Interviewed in Each Round</w:t>
      </w:r>
      <w:r w:rsidRPr="00AD4785" w:rsidR="00C90114">
        <w:rPr>
          <w:b/>
        </w:rPr>
        <w:t xml:space="preserve"> of Personnel Question Development</w:t>
      </w:r>
    </w:p>
    <w:p w:rsidRPr="00AD4785" w:rsidR="00BD5D07" w:rsidP="002004A0" w:rsidRDefault="00BD5D07" w14:paraId="01A2E75A" w14:textId="77777777">
      <w:pPr>
        <w:tabs>
          <w:tab w:val="left" w:pos="0"/>
          <w:tab w:val="left" w:pos="360"/>
        </w:tabs>
        <w:suppressAutoHyphens/>
        <w:ind w:left="360"/>
        <w:rPr>
          <w:b/>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40"/>
        <w:gridCol w:w="1080"/>
        <w:gridCol w:w="1530"/>
        <w:gridCol w:w="2521"/>
        <w:gridCol w:w="1979"/>
      </w:tblGrid>
      <w:tr w:rsidRPr="00AD4785" w:rsidR="000901F4" w:rsidTr="00BD5D07" w14:paraId="4782E60E" w14:textId="77777777">
        <w:trPr>
          <w:trHeight w:val="268"/>
        </w:trPr>
        <w:tc>
          <w:tcPr>
            <w:tcW w:w="1440" w:type="dxa"/>
            <w:shd w:val="clear" w:color="auto" w:fill="FFFFFF" w:themeFill="background1"/>
          </w:tcPr>
          <w:p w:rsidRPr="00AD4785" w:rsidR="00BD5D07" w:rsidP="00E032BA" w:rsidRDefault="00BD5D07" w14:paraId="3507D166" w14:textId="77777777">
            <w:pPr>
              <w:pStyle w:val="TableParagraph"/>
              <w:spacing w:line="248" w:lineRule="exact"/>
              <w:ind w:left="107"/>
              <w:rPr>
                <w:rFonts w:cs="Times New Roman"/>
                <w:b/>
                <w:szCs w:val="24"/>
              </w:rPr>
            </w:pPr>
            <w:r w:rsidRPr="00AD4785">
              <w:rPr>
                <w:rFonts w:cs="Times New Roman"/>
                <w:b/>
                <w:szCs w:val="24"/>
              </w:rPr>
              <w:t>Round</w:t>
            </w:r>
          </w:p>
        </w:tc>
        <w:tc>
          <w:tcPr>
            <w:tcW w:w="1080" w:type="dxa"/>
            <w:shd w:val="clear" w:color="auto" w:fill="FFFFFF" w:themeFill="background1"/>
          </w:tcPr>
          <w:p w:rsidRPr="00AD4785" w:rsidR="00BD5D07" w:rsidP="00E032BA" w:rsidRDefault="00BD5D07" w14:paraId="07F915C8" w14:textId="77777777">
            <w:pPr>
              <w:pStyle w:val="TableParagraph"/>
              <w:spacing w:line="248" w:lineRule="exact"/>
              <w:ind w:left="107"/>
              <w:rPr>
                <w:rFonts w:cs="Times New Roman"/>
                <w:b/>
                <w:szCs w:val="24"/>
              </w:rPr>
            </w:pPr>
            <w:r w:rsidRPr="00AD4785">
              <w:rPr>
                <w:rFonts w:cs="Times New Roman"/>
                <w:b/>
                <w:szCs w:val="24"/>
              </w:rPr>
              <w:t>Quartile</w:t>
            </w:r>
          </w:p>
        </w:tc>
        <w:tc>
          <w:tcPr>
            <w:tcW w:w="1530" w:type="dxa"/>
            <w:shd w:val="clear" w:color="auto" w:fill="FFFFFF" w:themeFill="background1"/>
          </w:tcPr>
          <w:p w:rsidRPr="00AD4785" w:rsidR="00BD5D07" w:rsidP="00E032BA" w:rsidRDefault="00BD5D07" w14:paraId="79C53BB5" w14:textId="77777777">
            <w:pPr>
              <w:pStyle w:val="TableParagraph"/>
              <w:spacing w:line="248" w:lineRule="exact"/>
              <w:ind w:left="258" w:right="250"/>
              <w:jc w:val="center"/>
              <w:rPr>
                <w:rFonts w:cs="Times New Roman"/>
                <w:b/>
                <w:szCs w:val="24"/>
              </w:rPr>
            </w:pPr>
            <w:r w:rsidRPr="00AD4785">
              <w:rPr>
                <w:rFonts w:cs="Times New Roman"/>
                <w:b/>
                <w:szCs w:val="24"/>
              </w:rPr>
              <w:t>Sampled</w:t>
            </w:r>
          </w:p>
        </w:tc>
        <w:tc>
          <w:tcPr>
            <w:tcW w:w="2521" w:type="dxa"/>
            <w:shd w:val="clear" w:color="auto" w:fill="FFFFFF" w:themeFill="background1"/>
          </w:tcPr>
          <w:p w:rsidRPr="00AD4785" w:rsidR="00BD5D07" w:rsidP="00E032BA" w:rsidRDefault="00BD5D07" w14:paraId="1E909118" w14:textId="77777777">
            <w:pPr>
              <w:pStyle w:val="TableParagraph"/>
              <w:spacing w:line="248" w:lineRule="exact"/>
              <w:ind w:left="287" w:right="284"/>
              <w:jc w:val="center"/>
              <w:rPr>
                <w:rFonts w:cs="Times New Roman"/>
                <w:b/>
                <w:szCs w:val="24"/>
              </w:rPr>
            </w:pPr>
            <w:r w:rsidRPr="00AD4785">
              <w:rPr>
                <w:rFonts w:cs="Times New Roman"/>
                <w:b/>
                <w:szCs w:val="24"/>
              </w:rPr>
              <w:t>Invited for Each Round</w:t>
            </w:r>
          </w:p>
        </w:tc>
        <w:tc>
          <w:tcPr>
            <w:tcW w:w="1979" w:type="dxa"/>
            <w:shd w:val="clear" w:color="auto" w:fill="FFFFFF" w:themeFill="background1"/>
          </w:tcPr>
          <w:p w:rsidRPr="00AD4785" w:rsidR="00BD5D07" w:rsidP="00E032BA" w:rsidRDefault="00BD5D07" w14:paraId="2B1B0B07" w14:textId="77777777">
            <w:pPr>
              <w:pStyle w:val="TableParagraph"/>
              <w:spacing w:line="248" w:lineRule="exact"/>
              <w:ind w:left="326" w:right="319"/>
              <w:jc w:val="center"/>
              <w:rPr>
                <w:rFonts w:cs="Times New Roman"/>
                <w:b/>
                <w:szCs w:val="24"/>
              </w:rPr>
            </w:pPr>
            <w:r w:rsidRPr="00AD4785">
              <w:rPr>
                <w:rFonts w:cs="Times New Roman"/>
                <w:b/>
                <w:szCs w:val="24"/>
              </w:rPr>
              <w:t>Interviewed</w:t>
            </w:r>
          </w:p>
        </w:tc>
      </w:tr>
      <w:tr w:rsidRPr="00AD4785" w:rsidR="000901F4" w:rsidTr="00BD5D07" w14:paraId="3F843521" w14:textId="77777777">
        <w:trPr>
          <w:trHeight w:val="268"/>
        </w:trPr>
        <w:tc>
          <w:tcPr>
            <w:tcW w:w="1440" w:type="dxa"/>
            <w:vMerge w:val="restart"/>
          </w:tcPr>
          <w:p w:rsidRPr="00AD4785" w:rsidR="00BD5D07" w:rsidP="00E032BA" w:rsidRDefault="00BD5D07" w14:paraId="03C0911D" w14:textId="77777777">
            <w:pPr>
              <w:pStyle w:val="TableParagraph"/>
              <w:rPr>
                <w:rFonts w:cs="Times New Roman"/>
                <w:b/>
                <w:szCs w:val="24"/>
              </w:rPr>
            </w:pPr>
          </w:p>
          <w:p w:rsidRPr="00AD4785" w:rsidR="00BD5D07" w:rsidP="00E032BA" w:rsidRDefault="00BD5D07" w14:paraId="0D8BB9D7" w14:textId="77777777">
            <w:pPr>
              <w:pStyle w:val="TableParagraph"/>
              <w:spacing w:before="6"/>
              <w:rPr>
                <w:rFonts w:cs="Times New Roman"/>
                <w:b/>
                <w:szCs w:val="24"/>
              </w:rPr>
            </w:pPr>
          </w:p>
          <w:p w:rsidRPr="00AD4785" w:rsidR="00BD5D07" w:rsidP="00E032BA" w:rsidRDefault="00BD5D07" w14:paraId="44651857" w14:textId="77777777">
            <w:pPr>
              <w:pStyle w:val="TableParagraph"/>
              <w:ind w:left="107"/>
              <w:rPr>
                <w:rFonts w:cs="Times New Roman"/>
                <w:szCs w:val="24"/>
              </w:rPr>
            </w:pPr>
            <w:r w:rsidRPr="00AD4785">
              <w:rPr>
                <w:rFonts w:cs="Times New Roman"/>
                <w:szCs w:val="24"/>
              </w:rPr>
              <w:t>Preliminary</w:t>
            </w:r>
          </w:p>
        </w:tc>
        <w:tc>
          <w:tcPr>
            <w:tcW w:w="1080" w:type="dxa"/>
          </w:tcPr>
          <w:p w:rsidRPr="00AD4785" w:rsidR="00BD5D07" w:rsidP="00E032BA" w:rsidRDefault="00BD5D07" w14:paraId="75639406" w14:textId="77777777">
            <w:pPr>
              <w:pStyle w:val="TableParagraph"/>
              <w:spacing w:line="248" w:lineRule="exact"/>
              <w:ind w:left="107"/>
              <w:rPr>
                <w:rFonts w:cs="Times New Roman"/>
                <w:szCs w:val="24"/>
              </w:rPr>
            </w:pPr>
            <w:r w:rsidRPr="00AD4785">
              <w:rPr>
                <w:rFonts w:cs="Times New Roman"/>
                <w:szCs w:val="24"/>
              </w:rPr>
              <w:t>1st</w:t>
            </w:r>
          </w:p>
        </w:tc>
        <w:tc>
          <w:tcPr>
            <w:tcW w:w="1530" w:type="dxa"/>
          </w:tcPr>
          <w:p w:rsidRPr="00AD4785" w:rsidR="00BD5D07" w:rsidP="00E032BA" w:rsidRDefault="00BD5D07" w14:paraId="0832A2E5" w14:textId="77777777">
            <w:pPr>
              <w:pStyle w:val="TableParagraph"/>
              <w:spacing w:line="248" w:lineRule="exact"/>
              <w:ind w:left="8"/>
              <w:jc w:val="center"/>
              <w:rPr>
                <w:rFonts w:cs="Times New Roman"/>
                <w:szCs w:val="24"/>
              </w:rPr>
            </w:pPr>
            <w:r w:rsidRPr="00AD4785">
              <w:rPr>
                <w:rFonts w:cs="Times New Roman"/>
                <w:szCs w:val="24"/>
              </w:rPr>
              <w:t>0</w:t>
            </w:r>
          </w:p>
        </w:tc>
        <w:tc>
          <w:tcPr>
            <w:tcW w:w="2521" w:type="dxa"/>
          </w:tcPr>
          <w:p w:rsidRPr="00AD4785" w:rsidR="00BD5D07" w:rsidP="00E032BA" w:rsidRDefault="00BD5D07" w14:paraId="199FD049" w14:textId="77777777">
            <w:pPr>
              <w:pStyle w:val="TableParagraph"/>
              <w:spacing w:line="248" w:lineRule="exact"/>
              <w:ind w:left="4"/>
              <w:jc w:val="center"/>
              <w:rPr>
                <w:rFonts w:cs="Times New Roman"/>
                <w:szCs w:val="24"/>
              </w:rPr>
            </w:pPr>
            <w:r w:rsidRPr="00AD4785">
              <w:rPr>
                <w:rFonts w:cs="Times New Roman"/>
                <w:szCs w:val="24"/>
              </w:rPr>
              <w:t>0</w:t>
            </w:r>
          </w:p>
        </w:tc>
        <w:tc>
          <w:tcPr>
            <w:tcW w:w="1979" w:type="dxa"/>
          </w:tcPr>
          <w:p w:rsidRPr="00AD4785" w:rsidR="00BD5D07" w:rsidP="00E032BA" w:rsidRDefault="00BD5D07" w14:paraId="230630A0" w14:textId="77777777">
            <w:pPr>
              <w:pStyle w:val="TableParagraph"/>
              <w:spacing w:line="248" w:lineRule="exact"/>
              <w:ind w:left="6"/>
              <w:jc w:val="center"/>
              <w:rPr>
                <w:rFonts w:cs="Times New Roman"/>
                <w:szCs w:val="24"/>
              </w:rPr>
            </w:pPr>
            <w:r w:rsidRPr="00AD4785">
              <w:rPr>
                <w:rFonts w:cs="Times New Roman"/>
                <w:szCs w:val="24"/>
              </w:rPr>
              <w:t>0</w:t>
            </w:r>
          </w:p>
        </w:tc>
      </w:tr>
      <w:tr w:rsidRPr="00AD4785" w:rsidR="000901F4" w:rsidTr="00BD5D07" w14:paraId="483F9CA8" w14:textId="77777777">
        <w:trPr>
          <w:trHeight w:val="268"/>
        </w:trPr>
        <w:tc>
          <w:tcPr>
            <w:tcW w:w="1440" w:type="dxa"/>
            <w:vMerge/>
            <w:tcBorders>
              <w:top w:val="nil"/>
            </w:tcBorders>
          </w:tcPr>
          <w:p w:rsidRPr="00AD4785" w:rsidR="00BD5D07" w:rsidP="00E032BA" w:rsidRDefault="00BD5D07" w14:paraId="4DF70602" w14:textId="77777777">
            <w:pPr>
              <w:rPr>
                <w:rFonts w:cs="Times New Roman"/>
                <w:szCs w:val="24"/>
              </w:rPr>
            </w:pPr>
          </w:p>
        </w:tc>
        <w:tc>
          <w:tcPr>
            <w:tcW w:w="1080" w:type="dxa"/>
          </w:tcPr>
          <w:p w:rsidRPr="00AD4785" w:rsidR="00BD5D07" w:rsidP="00E032BA" w:rsidRDefault="00BD5D07" w14:paraId="18AE5E75" w14:textId="77777777">
            <w:pPr>
              <w:pStyle w:val="TableParagraph"/>
              <w:spacing w:line="248" w:lineRule="exact"/>
              <w:ind w:left="107"/>
              <w:rPr>
                <w:rFonts w:cs="Times New Roman"/>
                <w:szCs w:val="24"/>
              </w:rPr>
            </w:pPr>
            <w:r w:rsidRPr="00AD4785">
              <w:rPr>
                <w:rFonts w:cs="Times New Roman"/>
                <w:szCs w:val="24"/>
              </w:rPr>
              <w:t>2nd</w:t>
            </w:r>
          </w:p>
        </w:tc>
        <w:tc>
          <w:tcPr>
            <w:tcW w:w="1530" w:type="dxa"/>
          </w:tcPr>
          <w:p w:rsidRPr="00AD4785" w:rsidR="00BD5D07" w:rsidP="00E032BA" w:rsidRDefault="00BD5D07" w14:paraId="746A7F46" w14:textId="77777777">
            <w:pPr>
              <w:pStyle w:val="TableParagraph"/>
              <w:spacing w:line="248" w:lineRule="exact"/>
              <w:ind w:left="8"/>
              <w:jc w:val="center"/>
              <w:rPr>
                <w:rFonts w:cs="Times New Roman"/>
                <w:szCs w:val="24"/>
              </w:rPr>
            </w:pPr>
            <w:r w:rsidRPr="00AD4785">
              <w:rPr>
                <w:rFonts w:cs="Times New Roman"/>
                <w:szCs w:val="24"/>
              </w:rPr>
              <w:t>7</w:t>
            </w:r>
          </w:p>
        </w:tc>
        <w:tc>
          <w:tcPr>
            <w:tcW w:w="2521" w:type="dxa"/>
          </w:tcPr>
          <w:p w:rsidRPr="00AD4785" w:rsidR="00BD5D07" w:rsidP="00E032BA" w:rsidRDefault="00BD5D07" w14:paraId="34A1994A" w14:textId="77777777">
            <w:pPr>
              <w:pStyle w:val="TableParagraph"/>
              <w:spacing w:line="248" w:lineRule="exact"/>
              <w:ind w:left="4"/>
              <w:jc w:val="center"/>
              <w:rPr>
                <w:rFonts w:cs="Times New Roman"/>
                <w:szCs w:val="24"/>
              </w:rPr>
            </w:pPr>
            <w:r w:rsidRPr="00AD4785">
              <w:rPr>
                <w:rFonts w:cs="Times New Roman"/>
                <w:szCs w:val="24"/>
              </w:rPr>
              <w:t>3</w:t>
            </w:r>
          </w:p>
        </w:tc>
        <w:tc>
          <w:tcPr>
            <w:tcW w:w="1979" w:type="dxa"/>
          </w:tcPr>
          <w:p w:rsidRPr="00AD4785" w:rsidR="00BD5D07" w:rsidP="00E032BA" w:rsidRDefault="00BD5D07" w14:paraId="36828546" w14:textId="77777777">
            <w:pPr>
              <w:pStyle w:val="TableParagraph"/>
              <w:spacing w:line="248" w:lineRule="exact"/>
              <w:ind w:left="6"/>
              <w:jc w:val="center"/>
              <w:rPr>
                <w:rFonts w:cs="Times New Roman"/>
                <w:szCs w:val="24"/>
              </w:rPr>
            </w:pPr>
            <w:r w:rsidRPr="00AD4785">
              <w:rPr>
                <w:rFonts w:cs="Times New Roman"/>
                <w:szCs w:val="24"/>
              </w:rPr>
              <w:t>1</w:t>
            </w:r>
          </w:p>
        </w:tc>
      </w:tr>
      <w:tr w:rsidRPr="00AD4785" w:rsidR="000901F4" w:rsidTr="00BD5D07" w14:paraId="550B2F0B" w14:textId="77777777">
        <w:trPr>
          <w:trHeight w:val="268"/>
        </w:trPr>
        <w:tc>
          <w:tcPr>
            <w:tcW w:w="1440" w:type="dxa"/>
            <w:vMerge/>
            <w:tcBorders>
              <w:top w:val="nil"/>
            </w:tcBorders>
          </w:tcPr>
          <w:p w:rsidRPr="00AD4785" w:rsidR="00BD5D07" w:rsidP="00E032BA" w:rsidRDefault="00BD5D07" w14:paraId="4B69A4C9" w14:textId="77777777">
            <w:pPr>
              <w:rPr>
                <w:rFonts w:cs="Times New Roman"/>
                <w:szCs w:val="24"/>
              </w:rPr>
            </w:pPr>
          </w:p>
        </w:tc>
        <w:tc>
          <w:tcPr>
            <w:tcW w:w="1080" w:type="dxa"/>
          </w:tcPr>
          <w:p w:rsidRPr="00AD4785" w:rsidR="00BD5D07" w:rsidP="00E032BA" w:rsidRDefault="00BD5D07" w14:paraId="2EE37F00" w14:textId="77777777">
            <w:pPr>
              <w:pStyle w:val="TableParagraph"/>
              <w:spacing w:line="248" w:lineRule="exact"/>
              <w:ind w:left="107"/>
              <w:rPr>
                <w:rFonts w:cs="Times New Roman"/>
                <w:szCs w:val="24"/>
              </w:rPr>
            </w:pPr>
            <w:r w:rsidRPr="00AD4785">
              <w:rPr>
                <w:rFonts w:cs="Times New Roman"/>
                <w:szCs w:val="24"/>
              </w:rPr>
              <w:t>3rd</w:t>
            </w:r>
          </w:p>
        </w:tc>
        <w:tc>
          <w:tcPr>
            <w:tcW w:w="1530" w:type="dxa"/>
          </w:tcPr>
          <w:p w:rsidRPr="00AD4785" w:rsidR="00BD5D07" w:rsidP="00E032BA" w:rsidRDefault="00BD5D07" w14:paraId="688BDD84" w14:textId="77777777">
            <w:pPr>
              <w:pStyle w:val="TableParagraph"/>
              <w:spacing w:line="248" w:lineRule="exact"/>
              <w:ind w:left="8"/>
              <w:jc w:val="center"/>
              <w:rPr>
                <w:rFonts w:cs="Times New Roman"/>
                <w:szCs w:val="24"/>
              </w:rPr>
            </w:pPr>
            <w:r w:rsidRPr="00AD4785">
              <w:rPr>
                <w:rFonts w:cs="Times New Roman"/>
                <w:szCs w:val="24"/>
              </w:rPr>
              <w:t>8</w:t>
            </w:r>
          </w:p>
        </w:tc>
        <w:tc>
          <w:tcPr>
            <w:tcW w:w="2521" w:type="dxa"/>
          </w:tcPr>
          <w:p w:rsidRPr="00AD4785" w:rsidR="00BD5D07" w:rsidP="00E032BA" w:rsidRDefault="00BD5D07" w14:paraId="58BE0BD6" w14:textId="77777777">
            <w:pPr>
              <w:pStyle w:val="TableParagraph"/>
              <w:spacing w:line="248" w:lineRule="exact"/>
              <w:ind w:left="4"/>
              <w:jc w:val="center"/>
              <w:rPr>
                <w:rFonts w:cs="Times New Roman"/>
                <w:szCs w:val="24"/>
              </w:rPr>
            </w:pPr>
            <w:r w:rsidRPr="00AD4785">
              <w:rPr>
                <w:rFonts w:cs="Times New Roman"/>
                <w:szCs w:val="24"/>
              </w:rPr>
              <w:t>8</w:t>
            </w:r>
          </w:p>
        </w:tc>
        <w:tc>
          <w:tcPr>
            <w:tcW w:w="1979" w:type="dxa"/>
          </w:tcPr>
          <w:p w:rsidRPr="00AD4785" w:rsidR="00BD5D07" w:rsidP="00E032BA" w:rsidRDefault="00BD5D07" w14:paraId="0DD8E663" w14:textId="77777777">
            <w:pPr>
              <w:pStyle w:val="TableParagraph"/>
              <w:spacing w:line="248" w:lineRule="exact"/>
              <w:ind w:left="6"/>
              <w:jc w:val="center"/>
              <w:rPr>
                <w:rFonts w:cs="Times New Roman"/>
                <w:szCs w:val="24"/>
              </w:rPr>
            </w:pPr>
            <w:r w:rsidRPr="00AD4785">
              <w:rPr>
                <w:rFonts w:cs="Times New Roman"/>
                <w:szCs w:val="24"/>
              </w:rPr>
              <w:t>1</w:t>
            </w:r>
          </w:p>
        </w:tc>
      </w:tr>
      <w:tr w:rsidRPr="00AD4785" w:rsidR="000901F4" w:rsidTr="00BD5D07" w14:paraId="29319303" w14:textId="77777777">
        <w:trPr>
          <w:trHeight w:val="268"/>
        </w:trPr>
        <w:tc>
          <w:tcPr>
            <w:tcW w:w="1440" w:type="dxa"/>
            <w:vMerge/>
            <w:tcBorders>
              <w:top w:val="nil"/>
            </w:tcBorders>
          </w:tcPr>
          <w:p w:rsidRPr="00AD4785" w:rsidR="00BD5D07" w:rsidP="00E032BA" w:rsidRDefault="00BD5D07" w14:paraId="291892FD" w14:textId="77777777">
            <w:pPr>
              <w:rPr>
                <w:rFonts w:cs="Times New Roman"/>
                <w:szCs w:val="24"/>
              </w:rPr>
            </w:pPr>
          </w:p>
        </w:tc>
        <w:tc>
          <w:tcPr>
            <w:tcW w:w="1080" w:type="dxa"/>
          </w:tcPr>
          <w:p w:rsidRPr="00AD4785" w:rsidR="00BD5D07" w:rsidP="00E032BA" w:rsidRDefault="00BD5D07" w14:paraId="2ECBAD28" w14:textId="77777777">
            <w:pPr>
              <w:pStyle w:val="TableParagraph"/>
              <w:spacing w:line="248" w:lineRule="exact"/>
              <w:ind w:left="107"/>
              <w:rPr>
                <w:rFonts w:cs="Times New Roman"/>
                <w:szCs w:val="24"/>
              </w:rPr>
            </w:pPr>
            <w:r w:rsidRPr="00AD4785">
              <w:rPr>
                <w:rFonts w:cs="Times New Roman"/>
                <w:szCs w:val="24"/>
              </w:rPr>
              <w:t>4th</w:t>
            </w:r>
          </w:p>
        </w:tc>
        <w:tc>
          <w:tcPr>
            <w:tcW w:w="1530" w:type="dxa"/>
          </w:tcPr>
          <w:p w:rsidRPr="00AD4785" w:rsidR="00BD5D07" w:rsidP="00E032BA" w:rsidRDefault="00BD5D07" w14:paraId="56BEA8AD" w14:textId="77777777">
            <w:pPr>
              <w:pStyle w:val="TableParagraph"/>
              <w:spacing w:line="248" w:lineRule="exact"/>
              <w:ind w:left="8"/>
              <w:jc w:val="center"/>
              <w:rPr>
                <w:rFonts w:cs="Times New Roman"/>
                <w:szCs w:val="24"/>
              </w:rPr>
            </w:pPr>
            <w:r w:rsidRPr="00AD4785">
              <w:rPr>
                <w:rFonts w:cs="Times New Roman"/>
                <w:szCs w:val="24"/>
              </w:rPr>
              <w:t>5</w:t>
            </w:r>
          </w:p>
        </w:tc>
        <w:tc>
          <w:tcPr>
            <w:tcW w:w="2521" w:type="dxa"/>
          </w:tcPr>
          <w:p w:rsidRPr="00AD4785" w:rsidR="00BD5D07" w:rsidP="00E032BA" w:rsidRDefault="00BD5D07" w14:paraId="6B59EA2F" w14:textId="77777777">
            <w:pPr>
              <w:pStyle w:val="TableParagraph"/>
              <w:spacing w:line="248" w:lineRule="exact"/>
              <w:ind w:left="4"/>
              <w:jc w:val="center"/>
              <w:rPr>
                <w:rFonts w:cs="Times New Roman"/>
                <w:szCs w:val="24"/>
              </w:rPr>
            </w:pPr>
            <w:r w:rsidRPr="00AD4785">
              <w:rPr>
                <w:rFonts w:cs="Times New Roman"/>
                <w:szCs w:val="24"/>
              </w:rPr>
              <w:t>3</w:t>
            </w:r>
          </w:p>
        </w:tc>
        <w:tc>
          <w:tcPr>
            <w:tcW w:w="1979" w:type="dxa"/>
          </w:tcPr>
          <w:p w:rsidRPr="00AD4785" w:rsidR="00BD5D07" w:rsidP="00E032BA" w:rsidRDefault="00BD5D07" w14:paraId="7379F825" w14:textId="77777777">
            <w:pPr>
              <w:pStyle w:val="TableParagraph"/>
              <w:spacing w:line="248" w:lineRule="exact"/>
              <w:ind w:left="6"/>
              <w:jc w:val="center"/>
              <w:rPr>
                <w:rFonts w:cs="Times New Roman"/>
                <w:szCs w:val="24"/>
              </w:rPr>
            </w:pPr>
            <w:r w:rsidRPr="00AD4785">
              <w:rPr>
                <w:rFonts w:cs="Times New Roman"/>
                <w:szCs w:val="24"/>
              </w:rPr>
              <w:t>2</w:t>
            </w:r>
          </w:p>
        </w:tc>
      </w:tr>
      <w:tr w:rsidRPr="00AD4785" w:rsidR="000901F4" w:rsidTr="00BD5D07" w14:paraId="13C2B3FB" w14:textId="77777777">
        <w:trPr>
          <w:trHeight w:val="268"/>
        </w:trPr>
        <w:tc>
          <w:tcPr>
            <w:tcW w:w="1440" w:type="dxa"/>
            <w:vMerge/>
            <w:tcBorders>
              <w:top w:val="nil"/>
            </w:tcBorders>
          </w:tcPr>
          <w:p w:rsidRPr="00AD4785" w:rsidR="00BD5D07" w:rsidP="00E032BA" w:rsidRDefault="00BD5D07" w14:paraId="6DE19F65" w14:textId="77777777">
            <w:pPr>
              <w:rPr>
                <w:rFonts w:cs="Times New Roman"/>
                <w:szCs w:val="24"/>
              </w:rPr>
            </w:pPr>
          </w:p>
        </w:tc>
        <w:tc>
          <w:tcPr>
            <w:tcW w:w="1080" w:type="dxa"/>
          </w:tcPr>
          <w:p w:rsidRPr="00AD4785" w:rsidR="00BD5D07" w:rsidP="00E032BA" w:rsidRDefault="00BD5D07" w14:paraId="03ACE692" w14:textId="77777777">
            <w:pPr>
              <w:pStyle w:val="TableParagraph"/>
              <w:spacing w:line="248" w:lineRule="exact"/>
              <w:ind w:left="107"/>
              <w:rPr>
                <w:rFonts w:cs="Times New Roman"/>
                <w:b/>
                <w:szCs w:val="24"/>
              </w:rPr>
            </w:pPr>
            <w:r w:rsidRPr="00AD4785">
              <w:rPr>
                <w:rFonts w:cs="Times New Roman"/>
                <w:b/>
                <w:szCs w:val="24"/>
              </w:rPr>
              <w:t>Total</w:t>
            </w:r>
          </w:p>
        </w:tc>
        <w:tc>
          <w:tcPr>
            <w:tcW w:w="1530" w:type="dxa"/>
          </w:tcPr>
          <w:p w:rsidRPr="00AD4785" w:rsidR="00BD5D07" w:rsidP="00E032BA" w:rsidRDefault="00BD5D07" w14:paraId="1B1632B4" w14:textId="77777777">
            <w:pPr>
              <w:pStyle w:val="TableParagraph"/>
              <w:spacing w:line="248" w:lineRule="exact"/>
              <w:ind w:left="257" w:right="250"/>
              <w:jc w:val="center"/>
              <w:rPr>
                <w:rFonts w:cs="Times New Roman"/>
                <w:b/>
                <w:szCs w:val="24"/>
              </w:rPr>
            </w:pPr>
            <w:r w:rsidRPr="00AD4785">
              <w:rPr>
                <w:rFonts w:cs="Times New Roman"/>
                <w:b/>
                <w:szCs w:val="24"/>
              </w:rPr>
              <w:t>20</w:t>
            </w:r>
          </w:p>
        </w:tc>
        <w:tc>
          <w:tcPr>
            <w:tcW w:w="2521" w:type="dxa"/>
          </w:tcPr>
          <w:p w:rsidRPr="00AD4785" w:rsidR="00BD5D07" w:rsidP="00E032BA" w:rsidRDefault="00BD5D07" w14:paraId="3DA3D7B1" w14:textId="77777777">
            <w:pPr>
              <w:pStyle w:val="TableParagraph"/>
              <w:spacing w:line="248" w:lineRule="exact"/>
              <w:ind w:left="287" w:right="281"/>
              <w:jc w:val="center"/>
              <w:rPr>
                <w:rFonts w:cs="Times New Roman"/>
                <w:b/>
                <w:szCs w:val="24"/>
              </w:rPr>
            </w:pPr>
            <w:r w:rsidRPr="00AD4785">
              <w:rPr>
                <w:rFonts w:cs="Times New Roman"/>
                <w:b/>
                <w:szCs w:val="24"/>
              </w:rPr>
              <w:t>14</w:t>
            </w:r>
          </w:p>
        </w:tc>
        <w:tc>
          <w:tcPr>
            <w:tcW w:w="1979" w:type="dxa"/>
          </w:tcPr>
          <w:p w:rsidRPr="00AD4785" w:rsidR="00BD5D07" w:rsidP="00E032BA" w:rsidRDefault="00BD5D07" w14:paraId="519672E6" w14:textId="77777777">
            <w:pPr>
              <w:pStyle w:val="TableParagraph"/>
              <w:spacing w:line="248" w:lineRule="exact"/>
              <w:ind w:left="6"/>
              <w:jc w:val="center"/>
              <w:rPr>
                <w:rFonts w:cs="Times New Roman"/>
                <w:b/>
                <w:szCs w:val="24"/>
              </w:rPr>
            </w:pPr>
            <w:r w:rsidRPr="00AD4785">
              <w:rPr>
                <w:rFonts w:cs="Times New Roman"/>
                <w:b/>
                <w:szCs w:val="24"/>
              </w:rPr>
              <w:t>4</w:t>
            </w:r>
          </w:p>
        </w:tc>
      </w:tr>
      <w:tr w:rsidRPr="00AD4785" w:rsidR="000901F4" w:rsidTr="00BD5D07" w14:paraId="1ECFF8F6" w14:textId="77777777">
        <w:trPr>
          <w:trHeight w:val="268"/>
        </w:trPr>
        <w:tc>
          <w:tcPr>
            <w:tcW w:w="1440" w:type="dxa"/>
            <w:vMerge w:val="restart"/>
          </w:tcPr>
          <w:p w:rsidRPr="00AD4785" w:rsidR="00BD5D07" w:rsidP="00E032BA" w:rsidRDefault="00BD5D07" w14:paraId="2F7F502B" w14:textId="77777777">
            <w:pPr>
              <w:pStyle w:val="TableParagraph"/>
              <w:rPr>
                <w:rFonts w:cs="Times New Roman"/>
                <w:b/>
                <w:szCs w:val="24"/>
              </w:rPr>
            </w:pPr>
          </w:p>
          <w:p w:rsidRPr="00AD4785" w:rsidR="00BD5D07" w:rsidP="00E032BA" w:rsidRDefault="00BD5D07" w14:paraId="42334D00" w14:textId="77777777">
            <w:pPr>
              <w:pStyle w:val="TableParagraph"/>
              <w:spacing w:before="9"/>
              <w:rPr>
                <w:rFonts w:cs="Times New Roman"/>
                <w:b/>
                <w:szCs w:val="24"/>
              </w:rPr>
            </w:pPr>
          </w:p>
          <w:p w:rsidRPr="00AD4785" w:rsidR="00BD5D07" w:rsidP="00E032BA" w:rsidRDefault="00BD5D07" w14:paraId="451DC880" w14:textId="77777777">
            <w:pPr>
              <w:pStyle w:val="TableParagraph"/>
              <w:ind w:left="107"/>
              <w:rPr>
                <w:rFonts w:cs="Times New Roman"/>
                <w:szCs w:val="24"/>
              </w:rPr>
            </w:pPr>
            <w:r w:rsidRPr="00AD4785">
              <w:rPr>
                <w:rFonts w:cs="Times New Roman"/>
                <w:szCs w:val="24"/>
              </w:rPr>
              <w:t>Round 1</w:t>
            </w:r>
          </w:p>
        </w:tc>
        <w:tc>
          <w:tcPr>
            <w:tcW w:w="1080" w:type="dxa"/>
          </w:tcPr>
          <w:p w:rsidRPr="00AD4785" w:rsidR="00BD5D07" w:rsidP="00E032BA" w:rsidRDefault="00BD5D07" w14:paraId="22A1A5A0" w14:textId="77777777">
            <w:pPr>
              <w:pStyle w:val="TableParagraph"/>
              <w:spacing w:line="248" w:lineRule="exact"/>
              <w:ind w:left="107"/>
              <w:rPr>
                <w:rFonts w:cs="Times New Roman"/>
                <w:szCs w:val="24"/>
              </w:rPr>
            </w:pPr>
            <w:r w:rsidRPr="00AD4785">
              <w:rPr>
                <w:rFonts w:cs="Times New Roman"/>
                <w:szCs w:val="24"/>
              </w:rPr>
              <w:t>1st</w:t>
            </w:r>
          </w:p>
        </w:tc>
        <w:tc>
          <w:tcPr>
            <w:tcW w:w="1530" w:type="dxa"/>
          </w:tcPr>
          <w:p w:rsidRPr="00AD4785" w:rsidR="00BD5D07" w:rsidP="00E032BA" w:rsidRDefault="00BD5D07" w14:paraId="2E5BBDC6" w14:textId="77777777">
            <w:pPr>
              <w:pStyle w:val="TableParagraph"/>
              <w:spacing w:line="248" w:lineRule="exact"/>
              <w:ind w:left="257" w:right="250"/>
              <w:jc w:val="center"/>
              <w:rPr>
                <w:rFonts w:cs="Times New Roman"/>
                <w:szCs w:val="24"/>
              </w:rPr>
            </w:pPr>
            <w:r w:rsidRPr="00AD4785">
              <w:rPr>
                <w:rFonts w:cs="Times New Roman"/>
                <w:szCs w:val="24"/>
              </w:rPr>
              <w:t>12</w:t>
            </w:r>
          </w:p>
        </w:tc>
        <w:tc>
          <w:tcPr>
            <w:tcW w:w="2521" w:type="dxa"/>
          </w:tcPr>
          <w:p w:rsidRPr="00AD4785" w:rsidR="00BD5D07" w:rsidP="00E032BA" w:rsidRDefault="00BD5D07" w14:paraId="108C15D2" w14:textId="77777777">
            <w:pPr>
              <w:pStyle w:val="TableParagraph"/>
              <w:spacing w:line="248" w:lineRule="exact"/>
              <w:ind w:left="287" w:right="280"/>
              <w:jc w:val="center"/>
              <w:rPr>
                <w:rFonts w:cs="Times New Roman"/>
                <w:szCs w:val="24"/>
              </w:rPr>
            </w:pPr>
            <w:r w:rsidRPr="00AD4785">
              <w:rPr>
                <w:rFonts w:cs="Times New Roman"/>
                <w:szCs w:val="24"/>
              </w:rPr>
              <w:t>12</w:t>
            </w:r>
          </w:p>
        </w:tc>
        <w:tc>
          <w:tcPr>
            <w:tcW w:w="1979" w:type="dxa"/>
          </w:tcPr>
          <w:p w:rsidRPr="00AD4785" w:rsidR="00BD5D07" w:rsidP="00E032BA" w:rsidRDefault="00BD5D07" w14:paraId="692DD84D" w14:textId="77777777">
            <w:pPr>
              <w:pStyle w:val="TableParagraph"/>
              <w:spacing w:line="248" w:lineRule="exact"/>
              <w:ind w:left="6"/>
              <w:jc w:val="center"/>
              <w:rPr>
                <w:rFonts w:cs="Times New Roman"/>
                <w:szCs w:val="24"/>
              </w:rPr>
            </w:pPr>
            <w:r w:rsidRPr="00AD4785">
              <w:rPr>
                <w:rFonts w:cs="Times New Roman"/>
                <w:szCs w:val="24"/>
              </w:rPr>
              <w:t>1</w:t>
            </w:r>
          </w:p>
        </w:tc>
      </w:tr>
      <w:tr w:rsidRPr="00AD4785" w:rsidR="000901F4" w:rsidTr="00BD5D07" w14:paraId="0A507BA5" w14:textId="77777777">
        <w:trPr>
          <w:trHeight w:val="268"/>
        </w:trPr>
        <w:tc>
          <w:tcPr>
            <w:tcW w:w="1440" w:type="dxa"/>
            <w:vMerge/>
            <w:tcBorders>
              <w:top w:val="nil"/>
            </w:tcBorders>
          </w:tcPr>
          <w:p w:rsidRPr="00AD4785" w:rsidR="00BD5D07" w:rsidP="00E032BA" w:rsidRDefault="00BD5D07" w14:paraId="2B8EB9EE" w14:textId="77777777">
            <w:pPr>
              <w:rPr>
                <w:rFonts w:cs="Times New Roman"/>
                <w:szCs w:val="24"/>
              </w:rPr>
            </w:pPr>
          </w:p>
        </w:tc>
        <w:tc>
          <w:tcPr>
            <w:tcW w:w="1080" w:type="dxa"/>
          </w:tcPr>
          <w:p w:rsidRPr="00AD4785" w:rsidR="00BD5D07" w:rsidP="00E032BA" w:rsidRDefault="00BD5D07" w14:paraId="1D7F9AA8" w14:textId="77777777">
            <w:pPr>
              <w:pStyle w:val="TableParagraph"/>
              <w:spacing w:line="248" w:lineRule="exact"/>
              <w:ind w:left="107"/>
              <w:rPr>
                <w:rFonts w:cs="Times New Roman"/>
                <w:szCs w:val="24"/>
              </w:rPr>
            </w:pPr>
            <w:r w:rsidRPr="00AD4785">
              <w:rPr>
                <w:rFonts w:cs="Times New Roman"/>
                <w:szCs w:val="24"/>
              </w:rPr>
              <w:t>2nd</w:t>
            </w:r>
          </w:p>
        </w:tc>
        <w:tc>
          <w:tcPr>
            <w:tcW w:w="1530" w:type="dxa"/>
          </w:tcPr>
          <w:p w:rsidRPr="00AD4785" w:rsidR="00BD5D07" w:rsidP="00E032BA" w:rsidRDefault="00BD5D07" w14:paraId="435CE58A" w14:textId="77777777">
            <w:pPr>
              <w:pStyle w:val="TableParagraph"/>
              <w:spacing w:line="248" w:lineRule="exact"/>
              <w:ind w:left="257" w:right="250"/>
              <w:jc w:val="center"/>
              <w:rPr>
                <w:rFonts w:cs="Times New Roman"/>
                <w:szCs w:val="24"/>
              </w:rPr>
            </w:pPr>
            <w:r w:rsidRPr="00AD4785">
              <w:rPr>
                <w:rFonts w:cs="Times New Roman"/>
                <w:szCs w:val="24"/>
              </w:rPr>
              <w:t>13</w:t>
            </w:r>
          </w:p>
        </w:tc>
        <w:tc>
          <w:tcPr>
            <w:tcW w:w="2521" w:type="dxa"/>
          </w:tcPr>
          <w:p w:rsidRPr="00AD4785" w:rsidR="00BD5D07" w:rsidP="00E032BA" w:rsidRDefault="00BD5D07" w14:paraId="5DDEB60C" w14:textId="77777777">
            <w:pPr>
              <w:pStyle w:val="TableParagraph"/>
              <w:spacing w:line="248" w:lineRule="exact"/>
              <w:ind w:left="287" w:right="280"/>
              <w:jc w:val="center"/>
              <w:rPr>
                <w:rFonts w:cs="Times New Roman"/>
                <w:szCs w:val="24"/>
              </w:rPr>
            </w:pPr>
            <w:r w:rsidRPr="00AD4785">
              <w:rPr>
                <w:rFonts w:cs="Times New Roman"/>
                <w:szCs w:val="24"/>
              </w:rPr>
              <w:t>13</w:t>
            </w:r>
          </w:p>
        </w:tc>
        <w:tc>
          <w:tcPr>
            <w:tcW w:w="1979" w:type="dxa"/>
          </w:tcPr>
          <w:p w:rsidRPr="00AD4785" w:rsidR="00BD5D07" w:rsidP="00E032BA" w:rsidRDefault="00BD5D07" w14:paraId="43FADF2C" w14:textId="77777777">
            <w:pPr>
              <w:pStyle w:val="TableParagraph"/>
              <w:spacing w:line="248" w:lineRule="exact"/>
              <w:ind w:left="6"/>
              <w:jc w:val="center"/>
              <w:rPr>
                <w:rFonts w:cs="Times New Roman"/>
                <w:szCs w:val="24"/>
              </w:rPr>
            </w:pPr>
            <w:r w:rsidRPr="00AD4785">
              <w:rPr>
                <w:rFonts w:cs="Times New Roman"/>
                <w:szCs w:val="24"/>
              </w:rPr>
              <w:t>2</w:t>
            </w:r>
          </w:p>
        </w:tc>
      </w:tr>
      <w:tr w:rsidRPr="00AD4785" w:rsidR="000901F4" w:rsidTr="00BD5D07" w14:paraId="22992EE9" w14:textId="77777777">
        <w:trPr>
          <w:trHeight w:val="270"/>
        </w:trPr>
        <w:tc>
          <w:tcPr>
            <w:tcW w:w="1440" w:type="dxa"/>
            <w:vMerge/>
            <w:tcBorders>
              <w:top w:val="nil"/>
            </w:tcBorders>
          </w:tcPr>
          <w:p w:rsidRPr="00AD4785" w:rsidR="00BD5D07" w:rsidP="00E032BA" w:rsidRDefault="00BD5D07" w14:paraId="4CA4288E" w14:textId="77777777">
            <w:pPr>
              <w:rPr>
                <w:rFonts w:cs="Times New Roman"/>
                <w:szCs w:val="24"/>
              </w:rPr>
            </w:pPr>
          </w:p>
        </w:tc>
        <w:tc>
          <w:tcPr>
            <w:tcW w:w="1080" w:type="dxa"/>
          </w:tcPr>
          <w:p w:rsidRPr="00AD4785" w:rsidR="00BD5D07" w:rsidP="00E032BA" w:rsidRDefault="00BD5D07" w14:paraId="50B4B197" w14:textId="77777777">
            <w:pPr>
              <w:pStyle w:val="TableParagraph"/>
              <w:spacing w:before="1" w:line="249" w:lineRule="exact"/>
              <w:ind w:left="107"/>
              <w:rPr>
                <w:rFonts w:cs="Times New Roman"/>
                <w:szCs w:val="24"/>
              </w:rPr>
            </w:pPr>
            <w:r w:rsidRPr="00AD4785">
              <w:rPr>
                <w:rFonts w:cs="Times New Roman"/>
                <w:szCs w:val="24"/>
              </w:rPr>
              <w:t>3rd</w:t>
            </w:r>
          </w:p>
        </w:tc>
        <w:tc>
          <w:tcPr>
            <w:tcW w:w="1530" w:type="dxa"/>
          </w:tcPr>
          <w:p w:rsidRPr="00AD4785" w:rsidR="00BD5D07" w:rsidP="00E032BA" w:rsidRDefault="00BD5D07" w14:paraId="3F0DDE2C" w14:textId="77777777">
            <w:pPr>
              <w:pStyle w:val="TableParagraph"/>
              <w:spacing w:before="1" w:line="249" w:lineRule="exact"/>
              <w:ind w:left="257" w:right="250"/>
              <w:jc w:val="center"/>
              <w:rPr>
                <w:rFonts w:cs="Times New Roman"/>
                <w:szCs w:val="24"/>
              </w:rPr>
            </w:pPr>
            <w:r w:rsidRPr="00AD4785">
              <w:rPr>
                <w:rFonts w:cs="Times New Roman"/>
                <w:szCs w:val="24"/>
              </w:rPr>
              <w:t>12</w:t>
            </w:r>
          </w:p>
        </w:tc>
        <w:tc>
          <w:tcPr>
            <w:tcW w:w="2521" w:type="dxa"/>
          </w:tcPr>
          <w:p w:rsidRPr="00AD4785" w:rsidR="00BD5D07" w:rsidP="00E032BA" w:rsidRDefault="00BD5D07" w14:paraId="1211228B" w14:textId="77777777">
            <w:pPr>
              <w:pStyle w:val="TableParagraph"/>
              <w:spacing w:before="1" w:line="249" w:lineRule="exact"/>
              <w:ind w:left="287" w:right="280"/>
              <w:jc w:val="center"/>
              <w:rPr>
                <w:rFonts w:cs="Times New Roman"/>
                <w:szCs w:val="24"/>
              </w:rPr>
            </w:pPr>
            <w:r w:rsidRPr="00AD4785">
              <w:rPr>
                <w:rFonts w:cs="Times New Roman"/>
                <w:szCs w:val="24"/>
              </w:rPr>
              <w:t>12</w:t>
            </w:r>
          </w:p>
        </w:tc>
        <w:tc>
          <w:tcPr>
            <w:tcW w:w="1979" w:type="dxa"/>
          </w:tcPr>
          <w:p w:rsidRPr="00AD4785" w:rsidR="00BD5D07" w:rsidP="00E032BA" w:rsidRDefault="00BD5D07" w14:paraId="3666D8D5" w14:textId="77777777">
            <w:pPr>
              <w:pStyle w:val="TableParagraph"/>
              <w:spacing w:before="1" w:line="249" w:lineRule="exact"/>
              <w:ind w:left="6"/>
              <w:jc w:val="center"/>
              <w:rPr>
                <w:rFonts w:cs="Times New Roman"/>
                <w:szCs w:val="24"/>
              </w:rPr>
            </w:pPr>
            <w:r w:rsidRPr="00AD4785">
              <w:rPr>
                <w:rFonts w:cs="Times New Roman"/>
                <w:szCs w:val="24"/>
              </w:rPr>
              <w:t>3</w:t>
            </w:r>
          </w:p>
        </w:tc>
      </w:tr>
      <w:tr w:rsidRPr="00AD4785" w:rsidR="000901F4" w:rsidTr="00BD5D07" w14:paraId="28242537" w14:textId="77777777">
        <w:trPr>
          <w:trHeight w:val="268"/>
        </w:trPr>
        <w:tc>
          <w:tcPr>
            <w:tcW w:w="1440" w:type="dxa"/>
            <w:vMerge/>
            <w:tcBorders>
              <w:top w:val="nil"/>
            </w:tcBorders>
          </w:tcPr>
          <w:p w:rsidRPr="00AD4785" w:rsidR="00BD5D07" w:rsidP="00E032BA" w:rsidRDefault="00BD5D07" w14:paraId="69A957B7" w14:textId="77777777">
            <w:pPr>
              <w:rPr>
                <w:rFonts w:cs="Times New Roman"/>
                <w:szCs w:val="24"/>
              </w:rPr>
            </w:pPr>
          </w:p>
        </w:tc>
        <w:tc>
          <w:tcPr>
            <w:tcW w:w="1080" w:type="dxa"/>
          </w:tcPr>
          <w:p w:rsidRPr="00AD4785" w:rsidR="00BD5D07" w:rsidP="00E032BA" w:rsidRDefault="00BD5D07" w14:paraId="2096F4BA" w14:textId="77777777">
            <w:pPr>
              <w:pStyle w:val="TableParagraph"/>
              <w:spacing w:line="248" w:lineRule="exact"/>
              <w:ind w:left="107"/>
              <w:rPr>
                <w:rFonts w:cs="Times New Roman"/>
                <w:szCs w:val="24"/>
              </w:rPr>
            </w:pPr>
            <w:r w:rsidRPr="00AD4785">
              <w:rPr>
                <w:rFonts w:cs="Times New Roman"/>
                <w:szCs w:val="24"/>
              </w:rPr>
              <w:t>4th</w:t>
            </w:r>
          </w:p>
        </w:tc>
        <w:tc>
          <w:tcPr>
            <w:tcW w:w="1530" w:type="dxa"/>
          </w:tcPr>
          <w:p w:rsidRPr="00AD4785" w:rsidR="00BD5D07" w:rsidP="00E032BA" w:rsidRDefault="00BD5D07" w14:paraId="5A3756F7" w14:textId="77777777">
            <w:pPr>
              <w:pStyle w:val="TableParagraph"/>
              <w:spacing w:line="248" w:lineRule="exact"/>
              <w:ind w:left="257" w:right="250"/>
              <w:jc w:val="center"/>
              <w:rPr>
                <w:rFonts w:cs="Times New Roman"/>
                <w:szCs w:val="24"/>
              </w:rPr>
            </w:pPr>
            <w:r w:rsidRPr="00AD4785">
              <w:rPr>
                <w:rFonts w:cs="Times New Roman"/>
                <w:szCs w:val="24"/>
              </w:rPr>
              <w:t>13</w:t>
            </w:r>
          </w:p>
        </w:tc>
        <w:tc>
          <w:tcPr>
            <w:tcW w:w="2521" w:type="dxa"/>
          </w:tcPr>
          <w:p w:rsidRPr="00AD4785" w:rsidR="00BD5D07" w:rsidP="00E032BA" w:rsidRDefault="00BD5D07" w14:paraId="181021F1" w14:textId="77777777">
            <w:pPr>
              <w:pStyle w:val="TableParagraph"/>
              <w:spacing w:line="248" w:lineRule="exact"/>
              <w:ind w:left="287" w:right="280"/>
              <w:jc w:val="center"/>
              <w:rPr>
                <w:rFonts w:cs="Times New Roman"/>
                <w:szCs w:val="24"/>
              </w:rPr>
            </w:pPr>
            <w:r w:rsidRPr="00AD4785">
              <w:rPr>
                <w:rFonts w:cs="Times New Roman"/>
                <w:szCs w:val="24"/>
              </w:rPr>
              <w:t>13</w:t>
            </w:r>
          </w:p>
        </w:tc>
        <w:tc>
          <w:tcPr>
            <w:tcW w:w="1979" w:type="dxa"/>
          </w:tcPr>
          <w:p w:rsidRPr="00AD4785" w:rsidR="00BD5D07" w:rsidP="00E032BA" w:rsidRDefault="00BD5D07" w14:paraId="3DF2D6B8" w14:textId="77777777">
            <w:pPr>
              <w:pStyle w:val="TableParagraph"/>
              <w:spacing w:line="248" w:lineRule="exact"/>
              <w:ind w:left="6"/>
              <w:jc w:val="center"/>
              <w:rPr>
                <w:rFonts w:cs="Times New Roman"/>
                <w:szCs w:val="24"/>
              </w:rPr>
            </w:pPr>
            <w:r w:rsidRPr="00AD4785">
              <w:rPr>
                <w:rFonts w:cs="Times New Roman"/>
                <w:szCs w:val="24"/>
              </w:rPr>
              <w:t>2</w:t>
            </w:r>
          </w:p>
        </w:tc>
      </w:tr>
      <w:tr w:rsidRPr="00AD4785" w:rsidR="000901F4" w:rsidTr="00BD5D07" w14:paraId="02099810" w14:textId="77777777">
        <w:trPr>
          <w:trHeight w:val="268"/>
        </w:trPr>
        <w:tc>
          <w:tcPr>
            <w:tcW w:w="1440" w:type="dxa"/>
            <w:vMerge/>
            <w:tcBorders>
              <w:top w:val="nil"/>
            </w:tcBorders>
          </w:tcPr>
          <w:p w:rsidRPr="00AD4785" w:rsidR="00BD5D07" w:rsidP="00E032BA" w:rsidRDefault="00BD5D07" w14:paraId="0DB476B1" w14:textId="77777777">
            <w:pPr>
              <w:rPr>
                <w:rFonts w:cs="Times New Roman"/>
                <w:szCs w:val="24"/>
              </w:rPr>
            </w:pPr>
          </w:p>
        </w:tc>
        <w:tc>
          <w:tcPr>
            <w:tcW w:w="1080" w:type="dxa"/>
          </w:tcPr>
          <w:p w:rsidRPr="00AD4785" w:rsidR="00BD5D07" w:rsidP="00E032BA" w:rsidRDefault="00BD5D07" w14:paraId="5F3A1142" w14:textId="77777777">
            <w:pPr>
              <w:pStyle w:val="TableParagraph"/>
              <w:spacing w:line="248" w:lineRule="exact"/>
              <w:ind w:left="107"/>
              <w:rPr>
                <w:rFonts w:cs="Times New Roman"/>
                <w:b/>
                <w:szCs w:val="24"/>
              </w:rPr>
            </w:pPr>
            <w:r w:rsidRPr="00AD4785">
              <w:rPr>
                <w:rFonts w:cs="Times New Roman"/>
                <w:b/>
                <w:szCs w:val="24"/>
              </w:rPr>
              <w:t>Total</w:t>
            </w:r>
          </w:p>
        </w:tc>
        <w:tc>
          <w:tcPr>
            <w:tcW w:w="1530" w:type="dxa"/>
          </w:tcPr>
          <w:p w:rsidRPr="00AD4785" w:rsidR="00BD5D07" w:rsidP="00E032BA" w:rsidRDefault="00BD5D07" w14:paraId="51B4EA37" w14:textId="77777777">
            <w:pPr>
              <w:pStyle w:val="TableParagraph"/>
              <w:spacing w:line="248" w:lineRule="exact"/>
              <w:ind w:left="257" w:right="250"/>
              <w:jc w:val="center"/>
              <w:rPr>
                <w:rFonts w:cs="Times New Roman"/>
                <w:b/>
                <w:szCs w:val="24"/>
              </w:rPr>
            </w:pPr>
            <w:r w:rsidRPr="00AD4785">
              <w:rPr>
                <w:rFonts w:cs="Times New Roman"/>
                <w:b/>
                <w:szCs w:val="24"/>
              </w:rPr>
              <w:t>50</w:t>
            </w:r>
          </w:p>
        </w:tc>
        <w:tc>
          <w:tcPr>
            <w:tcW w:w="2521" w:type="dxa"/>
          </w:tcPr>
          <w:p w:rsidRPr="00AD4785" w:rsidR="00BD5D07" w:rsidP="00E032BA" w:rsidRDefault="00BD5D07" w14:paraId="248A26A2" w14:textId="77777777">
            <w:pPr>
              <w:pStyle w:val="TableParagraph"/>
              <w:spacing w:line="248" w:lineRule="exact"/>
              <w:ind w:left="287" w:right="280"/>
              <w:jc w:val="center"/>
              <w:rPr>
                <w:rFonts w:cs="Times New Roman"/>
                <w:b/>
                <w:szCs w:val="24"/>
              </w:rPr>
            </w:pPr>
            <w:r w:rsidRPr="00AD4785">
              <w:rPr>
                <w:rFonts w:cs="Times New Roman"/>
                <w:b/>
                <w:szCs w:val="24"/>
              </w:rPr>
              <w:t>50</w:t>
            </w:r>
          </w:p>
        </w:tc>
        <w:tc>
          <w:tcPr>
            <w:tcW w:w="1979" w:type="dxa"/>
          </w:tcPr>
          <w:p w:rsidRPr="00AD4785" w:rsidR="00BD5D07" w:rsidP="00E032BA" w:rsidRDefault="00BD5D07" w14:paraId="62F8E8D8" w14:textId="77777777">
            <w:pPr>
              <w:pStyle w:val="TableParagraph"/>
              <w:spacing w:line="248" w:lineRule="exact"/>
              <w:ind w:left="6"/>
              <w:jc w:val="center"/>
              <w:rPr>
                <w:rFonts w:cs="Times New Roman"/>
                <w:b/>
                <w:szCs w:val="24"/>
              </w:rPr>
            </w:pPr>
            <w:r w:rsidRPr="00AD4785">
              <w:rPr>
                <w:rFonts w:cs="Times New Roman"/>
                <w:b/>
                <w:szCs w:val="24"/>
              </w:rPr>
              <w:t>8</w:t>
            </w:r>
          </w:p>
        </w:tc>
      </w:tr>
      <w:tr w:rsidRPr="00AD4785" w:rsidR="000901F4" w:rsidTr="00BD5D07" w14:paraId="40F5BC14" w14:textId="77777777">
        <w:trPr>
          <w:trHeight w:val="268"/>
        </w:trPr>
        <w:tc>
          <w:tcPr>
            <w:tcW w:w="1440" w:type="dxa"/>
            <w:vMerge w:val="restart"/>
          </w:tcPr>
          <w:p w:rsidRPr="00AD4785" w:rsidR="00BD5D07" w:rsidP="00E032BA" w:rsidRDefault="00BD5D07" w14:paraId="451B5F60" w14:textId="77777777">
            <w:pPr>
              <w:pStyle w:val="TableParagraph"/>
              <w:rPr>
                <w:rFonts w:cs="Times New Roman"/>
                <w:b/>
                <w:szCs w:val="24"/>
              </w:rPr>
            </w:pPr>
          </w:p>
          <w:p w:rsidRPr="00AD4785" w:rsidR="00BD5D07" w:rsidP="00E032BA" w:rsidRDefault="00BD5D07" w14:paraId="4626BD3E" w14:textId="77777777">
            <w:pPr>
              <w:pStyle w:val="TableParagraph"/>
              <w:spacing w:before="6"/>
              <w:rPr>
                <w:rFonts w:cs="Times New Roman"/>
                <w:b/>
                <w:szCs w:val="24"/>
              </w:rPr>
            </w:pPr>
          </w:p>
          <w:p w:rsidRPr="00AD4785" w:rsidR="00BD5D07" w:rsidP="00E032BA" w:rsidRDefault="00BD5D07" w14:paraId="5736DC6C" w14:textId="77777777">
            <w:pPr>
              <w:pStyle w:val="TableParagraph"/>
              <w:ind w:left="107"/>
              <w:rPr>
                <w:rFonts w:cs="Times New Roman"/>
                <w:szCs w:val="24"/>
              </w:rPr>
            </w:pPr>
            <w:r w:rsidRPr="00AD4785">
              <w:rPr>
                <w:rFonts w:cs="Times New Roman"/>
                <w:szCs w:val="24"/>
              </w:rPr>
              <w:t>Round 2</w:t>
            </w:r>
          </w:p>
        </w:tc>
        <w:tc>
          <w:tcPr>
            <w:tcW w:w="1080" w:type="dxa"/>
          </w:tcPr>
          <w:p w:rsidRPr="00AD4785" w:rsidR="00BD5D07" w:rsidP="00E032BA" w:rsidRDefault="00BD5D07" w14:paraId="6EB30076" w14:textId="77777777">
            <w:pPr>
              <w:pStyle w:val="TableParagraph"/>
              <w:spacing w:line="248" w:lineRule="exact"/>
              <w:ind w:left="107"/>
              <w:rPr>
                <w:rFonts w:cs="Times New Roman"/>
                <w:szCs w:val="24"/>
              </w:rPr>
            </w:pPr>
            <w:r w:rsidRPr="00AD4785">
              <w:rPr>
                <w:rFonts w:cs="Times New Roman"/>
                <w:szCs w:val="24"/>
              </w:rPr>
              <w:t>1st</w:t>
            </w:r>
          </w:p>
        </w:tc>
        <w:tc>
          <w:tcPr>
            <w:tcW w:w="1530" w:type="dxa"/>
          </w:tcPr>
          <w:p w:rsidRPr="00AD4785" w:rsidR="00BD5D07" w:rsidP="00E032BA" w:rsidRDefault="00BD5D07" w14:paraId="642597EA" w14:textId="77777777">
            <w:pPr>
              <w:pStyle w:val="TableParagraph"/>
              <w:spacing w:line="248" w:lineRule="exact"/>
              <w:ind w:left="257" w:right="250"/>
              <w:jc w:val="center"/>
              <w:rPr>
                <w:rFonts w:cs="Times New Roman"/>
                <w:szCs w:val="24"/>
              </w:rPr>
            </w:pPr>
            <w:r w:rsidRPr="00AD4785">
              <w:rPr>
                <w:rFonts w:cs="Times New Roman"/>
                <w:szCs w:val="24"/>
              </w:rPr>
              <w:t>12</w:t>
            </w:r>
          </w:p>
        </w:tc>
        <w:tc>
          <w:tcPr>
            <w:tcW w:w="2521" w:type="dxa"/>
          </w:tcPr>
          <w:p w:rsidRPr="00AD4785" w:rsidR="00BD5D07" w:rsidP="00E032BA" w:rsidRDefault="00BD5D07" w14:paraId="1141DF53" w14:textId="77777777">
            <w:pPr>
              <w:pStyle w:val="TableParagraph"/>
              <w:spacing w:line="248" w:lineRule="exact"/>
              <w:ind w:left="287" w:right="280"/>
              <w:jc w:val="center"/>
              <w:rPr>
                <w:rFonts w:cs="Times New Roman"/>
                <w:szCs w:val="24"/>
              </w:rPr>
            </w:pPr>
            <w:r w:rsidRPr="00AD4785">
              <w:rPr>
                <w:rFonts w:cs="Times New Roman"/>
                <w:szCs w:val="24"/>
              </w:rPr>
              <w:t>21*</w:t>
            </w:r>
          </w:p>
        </w:tc>
        <w:tc>
          <w:tcPr>
            <w:tcW w:w="1979" w:type="dxa"/>
          </w:tcPr>
          <w:p w:rsidRPr="00AD4785" w:rsidR="00BD5D07" w:rsidP="00E032BA" w:rsidRDefault="00BD5D07" w14:paraId="27213B89" w14:textId="77777777">
            <w:pPr>
              <w:pStyle w:val="TableParagraph"/>
              <w:spacing w:line="248" w:lineRule="exact"/>
              <w:ind w:left="6"/>
              <w:jc w:val="center"/>
              <w:rPr>
                <w:rFonts w:cs="Times New Roman"/>
                <w:szCs w:val="24"/>
              </w:rPr>
            </w:pPr>
            <w:r w:rsidRPr="00AD4785">
              <w:rPr>
                <w:rFonts w:cs="Times New Roman"/>
                <w:szCs w:val="24"/>
              </w:rPr>
              <w:t>4</w:t>
            </w:r>
          </w:p>
        </w:tc>
      </w:tr>
      <w:tr w:rsidRPr="00AD4785" w:rsidR="000901F4" w:rsidTr="00BD5D07" w14:paraId="0EB65118" w14:textId="77777777">
        <w:trPr>
          <w:trHeight w:val="268"/>
        </w:trPr>
        <w:tc>
          <w:tcPr>
            <w:tcW w:w="1440" w:type="dxa"/>
            <w:vMerge/>
            <w:tcBorders>
              <w:top w:val="nil"/>
            </w:tcBorders>
          </w:tcPr>
          <w:p w:rsidRPr="00AD4785" w:rsidR="00BD5D07" w:rsidP="00E032BA" w:rsidRDefault="00BD5D07" w14:paraId="2E3D25C8" w14:textId="77777777">
            <w:pPr>
              <w:rPr>
                <w:rFonts w:cs="Times New Roman"/>
                <w:szCs w:val="24"/>
              </w:rPr>
            </w:pPr>
          </w:p>
        </w:tc>
        <w:tc>
          <w:tcPr>
            <w:tcW w:w="1080" w:type="dxa"/>
          </w:tcPr>
          <w:p w:rsidRPr="00AD4785" w:rsidR="00BD5D07" w:rsidP="00E032BA" w:rsidRDefault="00BD5D07" w14:paraId="7ADF2D50" w14:textId="77777777">
            <w:pPr>
              <w:pStyle w:val="TableParagraph"/>
              <w:spacing w:line="248" w:lineRule="exact"/>
              <w:ind w:left="107"/>
              <w:rPr>
                <w:rFonts w:cs="Times New Roman"/>
                <w:szCs w:val="24"/>
              </w:rPr>
            </w:pPr>
            <w:r w:rsidRPr="00AD4785">
              <w:rPr>
                <w:rFonts w:cs="Times New Roman"/>
                <w:szCs w:val="24"/>
              </w:rPr>
              <w:t>2nd</w:t>
            </w:r>
          </w:p>
        </w:tc>
        <w:tc>
          <w:tcPr>
            <w:tcW w:w="1530" w:type="dxa"/>
          </w:tcPr>
          <w:p w:rsidRPr="00AD4785" w:rsidR="00BD5D07" w:rsidP="00E032BA" w:rsidRDefault="00BD5D07" w14:paraId="5EDA5716" w14:textId="77777777">
            <w:pPr>
              <w:pStyle w:val="TableParagraph"/>
              <w:spacing w:line="248" w:lineRule="exact"/>
              <w:ind w:left="257" w:right="250"/>
              <w:jc w:val="center"/>
              <w:rPr>
                <w:rFonts w:cs="Times New Roman"/>
                <w:szCs w:val="24"/>
              </w:rPr>
            </w:pPr>
            <w:r w:rsidRPr="00AD4785">
              <w:rPr>
                <w:rFonts w:cs="Times New Roman"/>
                <w:szCs w:val="24"/>
              </w:rPr>
              <w:t>13</w:t>
            </w:r>
          </w:p>
        </w:tc>
        <w:tc>
          <w:tcPr>
            <w:tcW w:w="2521" w:type="dxa"/>
          </w:tcPr>
          <w:p w:rsidRPr="00AD4785" w:rsidR="00BD5D07" w:rsidP="00E032BA" w:rsidRDefault="00BD5D07" w14:paraId="794BDF19" w14:textId="77777777">
            <w:pPr>
              <w:pStyle w:val="TableParagraph"/>
              <w:spacing w:line="248" w:lineRule="exact"/>
              <w:ind w:left="287" w:right="280"/>
              <w:jc w:val="center"/>
              <w:rPr>
                <w:rFonts w:cs="Times New Roman"/>
                <w:szCs w:val="24"/>
              </w:rPr>
            </w:pPr>
            <w:r w:rsidRPr="00AD4785">
              <w:rPr>
                <w:rFonts w:cs="Times New Roman"/>
                <w:szCs w:val="24"/>
              </w:rPr>
              <w:t>22*</w:t>
            </w:r>
          </w:p>
        </w:tc>
        <w:tc>
          <w:tcPr>
            <w:tcW w:w="1979" w:type="dxa"/>
          </w:tcPr>
          <w:p w:rsidRPr="00AD4785" w:rsidR="00BD5D07" w:rsidP="00E032BA" w:rsidRDefault="00BD5D07" w14:paraId="6EBAC8CD" w14:textId="77777777">
            <w:pPr>
              <w:pStyle w:val="TableParagraph"/>
              <w:spacing w:line="248" w:lineRule="exact"/>
              <w:ind w:left="6"/>
              <w:jc w:val="center"/>
              <w:rPr>
                <w:rFonts w:cs="Times New Roman"/>
                <w:szCs w:val="24"/>
              </w:rPr>
            </w:pPr>
            <w:r w:rsidRPr="00AD4785">
              <w:rPr>
                <w:rFonts w:cs="Times New Roman"/>
                <w:szCs w:val="24"/>
              </w:rPr>
              <w:t>3</w:t>
            </w:r>
          </w:p>
        </w:tc>
      </w:tr>
      <w:tr w:rsidRPr="00AD4785" w:rsidR="000901F4" w:rsidTr="00BD5D07" w14:paraId="660B285A" w14:textId="77777777">
        <w:trPr>
          <w:trHeight w:val="268"/>
        </w:trPr>
        <w:tc>
          <w:tcPr>
            <w:tcW w:w="1440" w:type="dxa"/>
            <w:vMerge/>
            <w:tcBorders>
              <w:top w:val="nil"/>
            </w:tcBorders>
          </w:tcPr>
          <w:p w:rsidRPr="00AD4785" w:rsidR="00BD5D07" w:rsidP="00E032BA" w:rsidRDefault="00BD5D07" w14:paraId="0351B980" w14:textId="77777777">
            <w:pPr>
              <w:rPr>
                <w:rFonts w:cs="Times New Roman"/>
                <w:szCs w:val="24"/>
              </w:rPr>
            </w:pPr>
          </w:p>
        </w:tc>
        <w:tc>
          <w:tcPr>
            <w:tcW w:w="1080" w:type="dxa"/>
          </w:tcPr>
          <w:p w:rsidRPr="00AD4785" w:rsidR="00BD5D07" w:rsidP="00E032BA" w:rsidRDefault="00BD5D07" w14:paraId="71460451" w14:textId="77777777">
            <w:pPr>
              <w:pStyle w:val="TableParagraph"/>
              <w:spacing w:line="248" w:lineRule="exact"/>
              <w:ind w:left="107"/>
              <w:rPr>
                <w:rFonts w:cs="Times New Roman"/>
                <w:szCs w:val="24"/>
              </w:rPr>
            </w:pPr>
            <w:r w:rsidRPr="00AD4785">
              <w:rPr>
                <w:rFonts w:cs="Times New Roman"/>
                <w:szCs w:val="24"/>
              </w:rPr>
              <w:t>3rd</w:t>
            </w:r>
          </w:p>
        </w:tc>
        <w:tc>
          <w:tcPr>
            <w:tcW w:w="1530" w:type="dxa"/>
          </w:tcPr>
          <w:p w:rsidRPr="00AD4785" w:rsidR="00BD5D07" w:rsidP="00E032BA" w:rsidRDefault="00BD5D07" w14:paraId="262086B3" w14:textId="77777777">
            <w:pPr>
              <w:pStyle w:val="TableParagraph"/>
              <w:spacing w:line="248" w:lineRule="exact"/>
              <w:ind w:left="257" w:right="250"/>
              <w:jc w:val="center"/>
              <w:rPr>
                <w:rFonts w:cs="Times New Roman"/>
                <w:szCs w:val="24"/>
              </w:rPr>
            </w:pPr>
            <w:r w:rsidRPr="00AD4785">
              <w:rPr>
                <w:rFonts w:cs="Times New Roman"/>
                <w:szCs w:val="24"/>
              </w:rPr>
              <w:t>13</w:t>
            </w:r>
          </w:p>
        </w:tc>
        <w:tc>
          <w:tcPr>
            <w:tcW w:w="2521" w:type="dxa"/>
          </w:tcPr>
          <w:p w:rsidRPr="00AD4785" w:rsidR="00BD5D07" w:rsidP="00E032BA" w:rsidRDefault="00BD5D07" w14:paraId="48DC4164" w14:textId="77777777">
            <w:pPr>
              <w:pStyle w:val="TableParagraph"/>
              <w:spacing w:line="248" w:lineRule="exact"/>
              <w:ind w:left="287" w:right="280"/>
              <w:jc w:val="center"/>
              <w:rPr>
                <w:rFonts w:cs="Times New Roman"/>
                <w:szCs w:val="24"/>
              </w:rPr>
            </w:pPr>
            <w:r w:rsidRPr="00AD4785">
              <w:rPr>
                <w:rFonts w:cs="Times New Roman"/>
                <w:szCs w:val="24"/>
              </w:rPr>
              <w:t>14*</w:t>
            </w:r>
          </w:p>
        </w:tc>
        <w:tc>
          <w:tcPr>
            <w:tcW w:w="1979" w:type="dxa"/>
          </w:tcPr>
          <w:p w:rsidRPr="00AD4785" w:rsidR="00BD5D07" w:rsidP="00E032BA" w:rsidRDefault="00BD5D07" w14:paraId="44C5744B" w14:textId="77777777">
            <w:pPr>
              <w:pStyle w:val="TableParagraph"/>
              <w:spacing w:line="248" w:lineRule="exact"/>
              <w:ind w:left="6"/>
              <w:jc w:val="center"/>
              <w:rPr>
                <w:rFonts w:cs="Times New Roman"/>
                <w:szCs w:val="24"/>
              </w:rPr>
            </w:pPr>
            <w:r w:rsidRPr="00AD4785">
              <w:rPr>
                <w:rFonts w:cs="Times New Roman"/>
                <w:szCs w:val="24"/>
              </w:rPr>
              <w:t>2</w:t>
            </w:r>
          </w:p>
        </w:tc>
      </w:tr>
      <w:tr w:rsidRPr="00AD4785" w:rsidR="000901F4" w:rsidTr="00BD5D07" w14:paraId="4B1806C8" w14:textId="77777777">
        <w:trPr>
          <w:trHeight w:val="268"/>
        </w:trPr>
        <w:tc>
          <w:tcPr>
            <w:tcW w:w="1440" w:type="dxa"/>
            <w:vMerge/>
            <w:tcBorders>
              <w:top w:val="nil"/>
            </w:tcBorders>
          </w:tcPr>
          <w:p w:rsidRPr="00AD4785" w:rsidR="00BD5D07" w:rsidP="00E032BA" w:rsidRDefault="00BD5D07" w14:paraId="5517ECFF" w14:textId="77777777">
            <w:pPr>
              <w:rPr>
                <w:rFonts w:cs="Times New Roman"/>
                <w:szCs w:val="24"/>
              </w:rPr>
            </w:pPr>
          </w:p>
        </w:tc>
        <w:tc>
          <w:tcPr>
            <w:tcW w:w="1080" w:type="dxa"/>
          </w:tcPr>
          <w:p w:rsidRPr="00AD4785" w:rsidR="00BD5D07" w:rsidP="00E032BA" w:rsidRDefault="00BD5D07" w14:paraId="11EBC67C" w14:textId="77777777">
            <w:pPr>
              <w:pStyle w:val="TableParagraph"/>
              <w:spacing w:line="248" w:lineRule="exact"/>
              <w:ind w:left="107"/>
              <w:rPr>
                <w:rFonts w:cs="Times New Roman"/>
                <w:szCs w:val="24"/>
              </w:rPr>
            </w:pPr>
            <w:r w:rsidRPr="00AD4785">
              <w:rPr>
                <w:rFonts w:cs="Times New Roman"/>
                <w:szCs w:val="24"/>
              </w:rPr>
              <w:t>4th</w:t>
            </w:r>
          </w:p>
        </w:tc>
        <w:tc>
          <w:tcPr>
            <w:tcW w:w="1530" w:type="dxa"/>
          </w:tcPr>
          <w:p w:rsidRPr="00AD4785" w:rsidR="00BD5D07" w:rsidP="00E032BA" w:rsidRDefault="00BD5D07" w14:paraId="1D2A4057" w14:textId="77777777">
            <w:pPr>
              <w:pStyle w:val="TableParagraph"/>
              <w:spacing w:line="248" w:lineRule="exact"/>
              <w:ind w:left="257" w:right="250"/>
              <w:jc w:val="center"/>
              <w:rPr>
                <w:rFonts w:cs="Times New Roman"/>
                <w:szCs w:val="24"/>
              </w:rPr>
            </w:pPr>
            <w:r w:rsidRPr="00AD4785">
              <w:rPr>
                <w:rFonts w:cs="Times New Roman"/>
                <w:szCs w:val="24"/>
              </w:rPr>
              <w:t>12</w:t>
            </w:r>
          </w:p>
        </w:tc>
        <w:tc>
          <w:tcPr>
            <w:tcW w:w="2521" w:type="dxa"/>
          </w:tcPr>
          <w:p w:rsidRPr="00AD4785" w:rsidR="00BD5D07" w:rsidP="00E032BA" w:rsidRDefault="00BD5D07" w14:paraId="78F31368" w14:textId="77777777">
            <w:pPr>
              <w:pStyle w:val="TableParagraph"/>
              <w:spacing w:line="248" w:lineRule="exact"/>
              <w:ind w:left="4"/>
              <w:jc w:val="center"/>
              <w:rPr>
                <w:rFonts w:cs="Times New Roman"/>
                <w:szCs w:val="24"/>
              </w:rPr>
            </w:pPr>
            <w:r w:rsidRPr="00AD4785">
              <w:rPr>
                <w:rFonts w:cs="Times New Roman"/>
                <w:szCs w:val="24"/>
              </w:rPr>
              <w:t>5</w:t>
            </w:r>
          </w:p>
        </w:tc>
        <w:tc>
          <w:tcPr>
            <w:tcW w:w="1979" w:type="dxa"/>
          </w:tcPr>
          <w:p w:rsidRPr="00AD4785" w:rsidR="00BD5D07" w:rsidP="00E032BA" w:rsidRDefault="00BD5D07" w14:paraId="203C79C4" w14:textId="77777777">
            <w:pPr>
              <w:pStyle w:val="TableParagraph"/>
              <w:spacing w:line="248" w:lineRule="exact"/>
              <w:ind w:left="6"/>
              <w:jc w:val="center"/>
              <w:rPr>
                <w:rFonts w:cs="Times New Roman"/>
                <w:szCs w:val="24"/>
              </w:rPr>
            </w:pPr>
            <w:r w:rsidRPr="00AD4785">
              <w:rPr>
                <w:rFonts w:cs="Times New Roman"/>
                <w:szCs w:val="24"/>
              </w:rPr>
              <w:t>2</w:t>
            </w:r>
          </w:p>
        </w:tc>
      </w:tr>
      <w:tr w:rsidRPr="00AD4785" w:rsidR="000901F4" w:rsidTr="00BD5D07" w14:paraId="5968E07A" w14:textId="77777777">
        <w:trPr>
          <w:trHeight w:val="268"/>
        </w:trPr>
        <w:tc>
          <w:tcPr>
            <w:tcW w:w="1440" w:type="dxa"/>
            <w:vMerge/>
            <w:tcBorders>
              <w:top w:val="nil"/>
            </w:tcBorders>
          </w:tcPr>
          <w:p w:rsidRPr="00AD4785" w:rsidR="00BD5D07" w:rsidP="00E032BA" w:rsidRDefault="00BD5D07" w14:paraId="73C8F16F" w14:textId="77777777">
            <w:pPr>
              <w:rPr>
                <w:rFonts w:cs="Times New Roman"/>
                <w:szCs w:val="24"/>
              </w:rPr>
            </w:pPr>
          </w:p>
        </w:tc>
        <w:tc>
          <w:tcPr>
            <w:tcW w:w="1080" w:type="dxa"/>
          </w:tcPr>
          <w:p w:rsidRPr="00AD4785" w:rsidR="00BD5D07" w:rsidP="00E032BA" w:rsidRDefault="00BD5D07" w14:paraId="7EE313CD" w14:textId="77777777">
            <w:pPr>
              <w:pStyle w:val="TableParagraph"/>
              <w:spacing w:line="248" w:lineRule="exact"/>
              <w:ind w:left="107"/>
              <w:rPr>
                <w:rFonts w:cs="Times New Roman"/>
                <w:b/>
                <w:szCs w:val="24"/>
              </w:rPr>
            </w:pPr>
            <w:r w:rsidRPr="00AD4785">
              <w:rPr>
                <w:rFonts w:cs="Times New Roman"/>
                <w:b/>
                <w:szCs w:val="24"/>
              </w:rPr>
              <w:t>Total</w:t>
            </w:r>
          </w:p>
        </w:tc>
        <w:tc>
          <w:tcPr>
            <w:tcW w:w="1530" w:type="dxa"/>
          </w:tcPr>
          <w:p w:rsidRPr="00AD4785" w:rsidR="00BD5D07" w:rsidP="00E032BA" w:rsidRDefault="00BD5D07" w14:paraId="687B8FA3" w14:textId="77777777">
            <w:pPr>
              <w:pStyle w:val="TableParagraph"/>
              <w:spacing w:line="248" w:lineRule="exact"/>
              <w:ind w:left="257" w:right="250"/>
              <w:jc w:val="center"/>
              <w:rPr>
                <w:rFonts w:cs="Times New Roman"/>
                <w:b/>
                <w:szCs w:val="24"/>
              </w:rPr>
            </w:pPr>
            <w:r w:rsidRPr="00AD4785">
              <w:rPr>
                <w:rFonts w:cs="Times New Roman"/>
                <w:b/>
                <w:szCs w:val="24"/>
              </w:rPr>
              <w:t>50</w:t>
            </w:r>
          </w:p>
        </w:tc>
        <w:tc>
          <w:tcPr>
            <w:tcW w:w="2521" w:type="dxa"/>
          </w:tcPr>
          <w:p w:rsidRPr="00AD4785" w:rsidR="00BD5D07" w:rsidP="00E032BA" w:rsidRDefault="00BD5D07" w14:paraId="67425D45" w14:textId="77777777">
            <w:pPr>
              <w:pStyle w:val="TableParagraph"/>
              <w:spacing w:line="248" w:lineRule="exact"/>
              <w:ind w:left="287" w:right="280"/>
              <w:jc w:val="center"/>
              <w:rPr>
                <w:rFonts w:cs="Times New Roman"/>
                <w:b/>
                <w:szCs w:val="24"/>
              </w:rPr>
            </w:pPr>
            <w:r w:rsidRPr="00AD4785">
              <w:rPr>
                <w:rFonts w:cs="Times New Roman"/>
                <w:b/>
                <w:szCs w:val="24"/>
              </w:rPr>
              <w:t>62</w:t>
            </w:r>
          </w:p>
        </w:tc>
        <w:tc>
          <w:tcPr>
            <w:tcW w:w="1979" w:type="dxa"/>
          </w:tcPr>
          <w:p w:rsidRPr="00AD4785" w:rsidR="00BD5D07" w:rsidP="00E032BA" w:rsidRDefault="00BD5D07" w14:paraId="7800FFF9" w14:textId="77777777">
            <w:pPr>
              <w:pStyle w:val="TableParagraph"/>
              <w:spacing w:line="248" w:lineRule="exact"/>
              <w:ind w:left="324" w:right="319"/>
              <w:jc w:val="center"/>
              <w:rPr>
                <w:rFonts w:cs="Times New Roman"/>
                <w:b/>
                <w:szCs w:val="24"/>
              </w:rPr>
            </w:pPr>
            <w:r w:rsidRPr="00AD4785">
              <w:rPr>
                <w:rFonts w:cs="Times New Roman"/>
                <w:b/>
                <w:szCs w:val="24"/>
              </w:rPr>
              <w:t>11</w:t>
            </w:r>
          </w:p>
        </w:tc>
      </w:tr>
      <w:tr w:rsidRPr="00AD4785" w:rsidR="000901F4" w:rsidTr="00BD5D07" w14:paraId="237F3F1E" w14:textId="77777777">
        <w:trPr>
          <w:trHeight w:val="268"/>
        </w:trPr>
        <w:tc>
          <w:tcPr>
            <w:tcW w:w="1440" w:type="dxa"/>
          </w:tcPr>
          <w:p w:rsidRPr="00AD4785" w:rsidR="00BD5D07" w:rsidP="00E032BA" w:rsidRDefault="00BD5D07" w14:paraId="27788D40" w14:textId="77777777">
            <w:pPr>
              <w:pStyle w:val="TableParagraph"/>
              <w:spacing w:line="248" w:lineRule="exact"/>
              <w:ind w:left="107"/>
              <w:rPr>
                <w:rFonts w:cs="Times New Roman"/>
                <w:b/>
                <w:szCs w:val="24"/>
              </w:rPr>
            </w:pPr>
            <w:r w:rsidRPr="00AD4785">
              <w:rPr>
                <w:rFonts w:cs="Times New Roman"/>
                <w:b/>
                <w:szCs w:val="24"/>
              </w:rPr>
              <w:t>Total</w:t>
            </w:r>
          </w:p>
        </w:tc>
        <w:tc>
          <w:tcPr>
            <w:tcW w:w="1080" w:type="dxa"/>
          </w:tcPr>
          <w:p w:rsidRPr="00AD4785" w:rsidR="00BD5D07" w:rsidP="00E032BA" w:rsidRDefault="00BD5D07" w14:paraId="56CF9D6D" w14:textId="77777777">
            <w:pPr>
              <w:pStyle w:val="TableParagraph"/>
              <w:rPr>
                <w:rFonts w:cs="Times New Roman"/>
                <w:szCs w:val="24"/>
              </w:rPr>
            </w:pPr>
          </w:p>
        </w:tc>
        <w:tc>
          <w:tcPr>
            <w:tcW w:w="1530" w:type="dxa"/>
          </w:tcPr>
          <w:p w:rsidRPr="00AD4785" w:rsidR="00BD5D07" w:rsidP="00E032BA" w:rsidRDefault="00BD5D07" w14:paraId="75D73BE1" w14:textId="77777777">
            <w:pPr>
              <w:pStyle w:val="TableParagraph"/>
              <w:spacing w:line="248" w:lineRule="exact"/>
              <w:ind w:left="255" w:right="250"/>
              <w:jc w:val="center"/>
              <w:rPr>
                <w:rFonts w:cs="Times New Roman"/>
                <w:b/>
                <w:szCs w:val="24"/>
              </w:rPr>
            </w:pPr>
            <w:r w:rsidRPr="00AD4785">
              <w:rPr>
                <w:rFonts w:cs="Times New Roman"/>
                <w:b/>
                <w:szCs w:val="24"/>
              </w:rPr>
              <w:t>120</w:t>
            </w:r>
          </w:p>
        </w:tc>
        <w:tc>
          <w:tcPr>
            <w:tcW w:w="2521" w:type="dxa"/>
          </w:tcPr>
          <w:p w:rsidRPr="00AD4785" w:rsidR="00BD5D07" w:rsidP="00E032BA" w:rsidRDefault="00BD5D07" w14:paraId="5D212C69" w14:textId="77777777">
            <w:pPr>
              <w:pStyle w:val="TableParagraph"/>
              <w:spacing w:line="248" w:lineRule="exact"/>
              <w:ind w:left="287" w:right="282"/>
              <w:jc w:val="center"/>
              <w:rPr>
                <w:rFonts w:cs="Times New Roman"/>
                <w:b/>
                <w:szCs w:val="24"/>
              </w:rPr>
            </w:pPr>
            <w:r w:rsidRPr="00AD4785">
              <w:rPr>
                <w:rFonts w:cs="Times New Roman"/>
                <w:b/>
                <w:szCs w:val="24"/>
              </w:rPr>
              <w:t>126</w:t>
            </w:r>
          </w:p>
        </w:tc>
        <w:tc>
          <w:tcPr>
            <w:tcW w:w="1979" w:type="dxa"/>
          </w:tcPr>
          <w:p w:rsidRPr="00AD4785" w:rsidR="00BD5D07" w:rsidP="00E032BA" w:rsidRDefault="00BD5D07" w14:paraId="5CB193C8" w14:textId="77777777">
            <w:pPr>
              <w:pStyle w:val="TableParagraph"/>
              <w:spacing w:line="248" w:lineRule="exact"/>
              <w:ind w:left="324" w:right="319"/>
              <w:jc w:val="center"/>
              <w:rPr>
                <w:rFonts w:cs="Times New Roman"/>
                <w:b/>
                <w:szCs w:val="24"/>
              </w:rPr>
            </w:pPr>
            <w:r w:rsidRPr="00AD4785">
              <w:rPr>
                <w:rFonts w:cs="Times New Roman"/>
                <w:b/>
                <w:szCs w:val="24"/>
              </w:rPr>
              <w:t>23</w:t>
            </w:r>
          </w:p>
        </w:tc>
      </w:tr>
    </w:tbl>
    <w:p w:rsidRPr="00AD4785" w:rsidR="00BD5D07" w:rsidP="00BD5D07" w:rsidRDefault="00BD5D07" w14:paraId="3CD2FC8A" w14:textId="77777777">
      <w:pPr>
        <w:spacing w:before="1" w:line="259" w:lineRule="auto"/>
        <w:ind w:right="1121"/>
        <w:rPr>
          <w:sz w:val="18"/>
        </w:rPr>
      </w:pPr>
      <w:r w:rsidRPr="00AD4785">
        <w:rPr>
          <w:sz w:val="18"/>
        </w:rPr>
        <w:t>* Eighteen institutions sampled from quartiles 1 and 2 in round 1 were sent invitations to participate in round 2. Three institutions from quartiles 3 and 4 that expressed interest during round 1 but were not selected for interviews were invited to participate in round 2 before institutions sampled for round 2 were invited. This is why quartiles 1–3 have more invitations than sampled and quartile 4 has fewer invitations than sampled.</w:t>
      </w:r>
    </w:p>
    <w:p w:rsidRPr="00AD4785" w:rsidR="002004A0" w:rsidP="002004A0" w:rsidRDefault="002004A0" w14:paraId="5D17DD63" w14:textId="77777777">
      <w:pPr>
        <w:pStyle w:val="BodyText"/>
        <w:ind w:firstLine="0"/>
      </w:pPr>
    </w:p>
    <w:p w:rsidRPr="00AD4785" w:rsidR="003022B5" w:rsidP="003022B5" w:rsidRDefault="003022B5" w14:paraId="35AD6674" w14:textId="2067F370">
      <w:pPr>
        <w:pStyle w:val="BodyText"/>
        <w:ind w:right="30"/>
        <w:rPr>
          <w:spacing w:val="-1"/>
        </w:rPr>
      </w:pPr>
      <w:r w:rsidRPr="00AD4785">
        <w:rPr>
          <w:spacing w:val="-1"/>
        </w:rPr>
        <w:t xml:space="preserve">All participants generally understood what was being asked in both questions. Participants expressed more concern over their ability to respond to the FTE question than to headcounts question. Most participants thought that responding to the questions was possible but would be more time consuming than the personnel question on the FY 2019 survey. At the debrief </w:t>
      </w:r>
      <w:r w:rsidRPr="00AD4785">
        <w:rPr>
          <w:spacing w:val="-1"/>
        </w:rPr>
        <w:lastRenderedPageBreak/>
        <w:t xml:space="preserve">interview, two institutions were unable to provide some data due to time constraints at their institution that coincided with testing, but in most cases thought that they would be able to respond completely </w:t>
      </w:r>
      <w:r w:rsidRPr="00AD4785" w:rsidR="00957E3C">
        <w:rPr>
          <w:spacing w:val="-1"/>
        </w:rPr>
        <w:t>in the future</w:t>
      </w:r>
      <w:r w:rsidRPr="00AD4785">
        <w:rPr>
          <w:spacing w:val="-1"/>
        </w:rPr>
        <w:t>. Four participants did not think the data would be available for future surveys. All institutions were able to provide headcounts, but two institutions said that citizenship would not be available. Another two institutions said that information about the highest degree of education would not be available. In all cases, it was because this information was not tracked at their institution. Only one institution said that FTEs would not be available because of the complexity of the calculation across units and employment statuses at the institution.</w:t>
      </w:r>
    </w:p>
    <w:p w:rsidRPr="00AD4785" w:rsidR="003022B5" w:rsidP="003022B5" w:rsidRDefault="003022B5" w14:paraId="58404F86" w14:textId="1FBD98C1">
      <w:pPr>
        <w:pStyle w:val="BodyText"/>
        <w:ind w:right="30"/>
        <w:rPr>
          <w:spacing w:val="-1"/>
        </w:rPr>
      </w:pPr>
      <w:r w:rsidRPr="00AD4785">
        <w:rPr>
          <w:spacing w:val="-1"/>
        </w:rPr>
        <w:t xml:space="preserve">All of the participants said that they would need to ask </w:t>
      </w:r>
      <w:r w:rsidRPr="00AD4785" w:rsidR="00E032BA">
        <w:rPr>
          <w:spacing w:val="-1"/>
        </w:rPr>
        <w:t>the human resources departments</w:t>
      </w:r>
      <w:r w:rsidRPr="00AD4785">
        <w:rPr>
          <w:spacing w:val="-1"/>
        </w:rPr>
        <w:t xml:space="preserve"> and/or individual colleges for some of the information requested in the questions. However, for this effort a few of the smaller institutions were able to complete demographic information on their own since they know most of the research personnel.</w:t>
      </w:r>
      <w:r w:rsidRPr="00AD4785" w:rsidR="00E032BA">
        <w:rPr>
          <w:spacing w:val="-1"/>
        </w:rPr>
        <w:t xml:space="preserve"> Most participants believed that while greater effort </w:t>
      </w:r>
      <w:r w:rsidRPr="00AD4785" w:rsidR="00FA63EB">
        <w:rPr>
          <w:spacing w:val="-1"/>
        </w:rPr>
        <w:t xml:space="preserve">would be required </w:t>
      </w:r>
      <w:r w:rsidRPr="00AD4785" w:rsidR="00E032BA">
        <w:rPr>
          <w:spacing w:val="-1"/>
        </w:rPr>
        <w:t xml:space="preserve">to complete these questions the first year due to setting up new reports and establishing contacts with their human resources departments, much less </w:t>
      </w:r>
      <w:r w:rsidRPr="00AD4785" w:rsidR="00FA63EB">
        <w:rPr>
          <w:spacing w:val="-1"/>
        </w:rPr>
        <w:t>effort</w:t>
      </w:r>
      <w:r w:rsidRPr="00AD4785" w:rsidR="00E032BA">
        <w:rPr>
          <w:spacing w:val="-1"/>
        </w:rPr>
        <w:t xml:space="preserve"> would be needed in subsequent survey cycles. Recognizing this and the other challenges posed by the COVID-19 pandemic, NCSES </w:t>
      </w:r>
      <w:r w:rsidRPr="00AD4785" w:rsidR="00957E3C">
        <w:rPr>
          <w:spacing w:val="-1"/>
        </w:rPr>
        <w:t xml:space="preserve">will </w:t>
      </w:r>
      <w:r w:rsidRPr="00AD4785" w:rsidR="00D60F85">
        <w:rPr>
          <w:spacing w:val="-1"/>
        </w:rPr>
        <w:t xml:space="preserve">display </w:t>
      </w:r>
      <w:r w:rsidRPr="00AD4785" w:rsidR="00FA63EB">
        <w:rPr>
          <w:spacing w:val="-1"/>
        </w:rPr>
        <w:t xml:space="preserve">the following language above the questions on the web instrument: </w:t>
      </w:r>
    </w:p>
    <w:p w:rsidRPr="00AD4785" w:rsidR="00FA63EB" w:rsidP="00FA63EB" w:rsidRDefault="00FA63EB" w14:paraId="2F8ECD3C" w14:textId="3A6FB361">
      <w:pPr>
        <w:pStyle w:val="BodyText"/>
        <w:ind w:left="720" w:right="30" w:firstLine="0"/>
        <w:rPr>
          <w:u w:val="single"/>
        </w:rPr>
      </w:pPr>
      <w:r w:rsidRPr="00AD4785">
        <w:t xml:space="preserve">If you cannot provide information this year, "Unavailable" will be entered in blank fields. If you can provide some of the information, you can replace "Unavailable" with the correct numbers. </w:t>
      </w:r>
      <w:r w:rsidRPr="00AD4785">
        <w:rPr>
          <w:u w:val="single"/>
        </w:rPr>
        <w:t>You can submit your survey without explaining why values in this question are unavailable.</w:t>
      </w:r>
    </w:p>
    <w:p w:rsidRPr="00AD4785" w:rsidR="00FA63EB" w:rsidP="00FA63EB" w:rsidRDefault="00FA63EB" w14:paraId="6A415099" w14:textId="228B8901">
      <w:pPr>
        <w:pStyle w:val="BodyText"/>
        <w:ind w:right="30"/>
        <w:rPr>
          <w:spacing w:val="-1"/>
        </w:rPr>
      </w:pPr>
      <w:r w:rsidRPr="00AD4785">
        <w:t xml:space="preserve">NCSES will impute for nonresponses to arrive at national totals that can be used for the purposes stated earlier. </w:t>
      </w:r>
    </w:p>
    <w:p w:rsidRPr="00AD4785" w:rsidR="002C5109" w:rsidP="002C5109" w:rsidRDefault="002C5109" w14:paraId="7C909541" w14:textId="031533E6">
      <w:pPr>
        <w:pStyle w:val="Heading3"/>
        <w:spacing w:before="120" w:after="100" w:afterAutospacing="1"/>
        <w:ind w:left="0" w:firstLine="0"/>
        <w:rPr>
          <w:bCs/>
          <w:color w:val="auto"/>
        </w:rPr>
      </w:pPr>
      <w:bookmarkStart w:name="_Toc57726745" w:id="46"/>
      <w:r w:rsidRPr="00AD4785">
        <w:rPr>
          <w:color w:val="auto"/>
        </w:rPr>
        <w:t>A.8.2.2</w:t>
      </w:r>
      <w:r w:rsidRPr="00AD4785">
        <w:rPr>
          <w:color w:val="auto"/>
        </w:rPr>
        <w:tab/>
        <w:t xml:space="preserve">   COVID-19 Impact Question Interviews</w:t>
      </w:r>
      <w:bookmarkEnd w:id="46"/>
    </w:p>
    <w:p w:rsidRPr="00AD4785" w:rsidR="00F4785E" w:rsidP="00F4785E" w:rsidRDefault="00F4785E" w14:paraId="771421BC" w14:textId="4A10EF95">
      <w:pPr>
        <w:pStyle w:val="BodyText"/>
        <w:ind w:right="30"/>
      </w:pPr>
      <w:r w:rsidRPr="00AD4785">
        <w:t>NCSES tested the proposed COVID-19 impact questions through two rounds of interviews with fifteen higher education institutions. Each interview lasted approximately 30 minutes (</w:t>
      </w:r>
      <w:r w:rsidRPr="00AD4785" w:rsidR="00C503E4">
        <w:t>A</w:t>
      </w:r>
      <w:r w:rsidRPr="00AD4785">
        <w:t xml:space="preserve">ttachment </w:t>
      </w:r>
      <w:r w:rsidRPr="00AD4785" w:rsidR="00C503E4">
        <w:t>13</w:t>
      </w:r>
      <w:r w:rsidRPr="00AD4785">
        <w:t xml:space="preserve">). Participants were sent the COVID-19 questions prior to scheduling the interview. </w:t>
      </w:r>
      <w:r w:rsidRPr="00AD4785" w:rsidR="00AB2F90">
        <w:rPr>
          <w:rFonts w:eastAsia="Calibri" w:cstheme="minorHAnsi"/>
        </w:rPr>
        <w:t xml:space="preserve">They were also instructed to invite staff members who were most able to answer the questions, if they themselves were not the appropriate person. </w:t>
      </w:r>
      <w:r w:rsidRPr="00AD4785">
        <w:t xml:space="preserve">Participants were offered a video </w:t>
      </w:r>
      <w:r w:rsidRPr="00AD4785">
        <w:lastRenderedPageBreak/>
        <w:t xml:space="preserve">conference option during scheduling, but all chose phone interviews. </w:t>
      </w:r>
      <w:r w:rsidRPr="00AD4785" w:rsidR="006B6A4B">
        <w:t>T</w:t>
      </w:r>
      <w:r w:rsidRPr="00AD4785">
        <w:t xml:space="preserve">he interviewer </w:t>
      </w:r>
      <w:r w:rsidRPr="00AD4785" w:rsidR="006B6A4B">
        <w:t xml:space="preserve">initially </w:t>
      </w:r>
      <w:r w:rsidRPr="00AD4785">
        <w:t xml:space="preserve">asked the respondents to </w:t>
      </w:r>
      <w:r w:rsidRPr="00AD4785" w:rsidR="006B6A4B">
        <w:t>characterize</w:t>
      </w:r>
      <w:r w:rsidRPr="00AD4785">
        <w:t xml:space="preserve"> how research has changed at their institution since mid-March. Most of the participants said the institution completely shut down or paused on-campus research activities for at least a few weeks beginning in mid-March. Participants mentioned that many researchers were able to pivot their work to things that could be done remotely such as analysis and writing</w:t>
      </w:r>
      <w:r w:rsidRPr="00AD4785" w:rsidR="006B6A4B">
        <w:t xml:space="preserve"> during the closure</w:t>
      </w:r>
      <w:r w:rsidRPr="00AD4785">
        <w:t xml:space="preserve">. By June institutions were beginning limited on-campus research again. </w:t>
      </w:r>
    </w:p>
    <w:p w:rsidRPr="00AD4785" w:rsidR="00D11E4F" w:rsidP="00D11E4F" w:rsidRDefault="006B6A4B" w14:paraId="34360A29" w14:textId="0F84F04D">
      <w:pPr>
        <w:pStyle w:val="BodyText"/>
        <w:spacing w:after="0"/>
        <w:ind w:right="30"/>
      </w:pPr>
      <w:r w:rsidRPr="00AD4785">
        <w:t>P</w:t>
      </w:r>
      <w:r w:rsidRPr="00AD4785" w:rsidR="00F4785E">
        <w:t xml:space="preserve">articipants were asked about their interpretation of the language of the three questions and response options, as well as their ability to answer the questions. </w:t>
      </w:r>
      <w:bookmarkStart w:name="_Hlk55290257" w:id="47"/>
      <w:r w:rsidRPr="00AD4785" w:rsidR="00D11E4F">
        <w:t>Initially, Question A</w:t>
      </w:r>
      <w:r w:rsidRPr="00AD4785" w:rsidR="00662BAC">
        <w:t xml:space="preserve"> (rating the degree of disruption to institutional R&amp;D activities)</w:t>
      </w:r>
      <w:r w:rsidRPr="00AD4785" w:rsidR="00D11E4F">
        <w:t xml:space="preserve"> only referred to FY 2020 R&amp;D activities, with no other clarifications about reference periods or types of R&amp;D. Most of the participants in round 1 thought about on-campus or field research only. Participants were asked what timeframe they thought of when reading this question. Answers varied from March through June, spring and fall, and the height of the shutdown at their institution. The initial draft response options asked respondents to gauge the level of disruption (e.g., partially shut down). While some participants thought the response options were understandable, four participants believed the categories needed clarification. </w:t>
      </w:r>
    </w:p>
    <w:p w:rsidRPr="00AD4785" w:rsidR="00D11E4F" w:rsidP="00D11E4F" w:rsidRDefault="00D11E4F" w14:paraId="18309DBD" w14:textId="442D58EE">
      <w:pPr>
        <w:pStyle w:val="BodyText"/>
        <w:spacing w:after="0"/>
        <w:ind w:right="30"/>
      </w:pPr>
      <w:r w:rsidRPr="00AD4785">
        <w:t>For Question B</w:t>
      </w:r>
      <w:r w:rsidRPr="00AD4785" w:rsidR="00662BAC">
        <w:t xml:space="preserve"> (</w:t>
      </w:r>
      <w:r w:rsidRPr="00AD4785" w:rsidR="00CF7B1F">
        <w:t>whether</w:t>
      </w:r>
      <w:r w:rsidRPr="00AD4785" w:rsidR="00662BAC">
        <w:t xml:space="preserve"> funds </w:t>
      </w:r>
      <w:r w:rsidRPr="00AD4785" w:rsidR="00CF7B1F">
        <w:t xml:space="preserve">were </w:t>
      </w:r>
      <w:r w:rsidRPr="00AD4785" w:rsidR="00662BAC">
        <w:t>diverted from their originally</w:t>
      </w:r>
      <w:r w:rsidR="00C5013C">
        <w:t xml:space="preserve"> </w:t>
      </w:r>
      <w:r w:rsidRPr="00AD4785" w:rsidR="00662BAC">
        <w:t xml:space="preserve">intended </w:t>
      </w:r>
      <w:r w:rsidRPr="00AD4785" w:rsidR="00CF7B1F">
        <w:t xml:space="preserve">research </w:t>
      </w:r>
      <w:r w:rsidRPr="00AD4785" w:rsidR="00662BAC">
        <w:t>focus)</w:t>
      </w:r>
      <w:r w:rsidRPr="00AD4785">
        <w:t xml:space="preserve">, most participants understood that diverted funds meant the R&amp;D focus of the original funds changed to another purpose. Several participants were not sure how they would divert funds from the originally intended purpose in the case of sponsored research, but they did understand the question and thought it would be easy to answer. Six of the participants over the two rounds said that they did not divert funds for this purpose and therefore the question would not be difficult to answer. Five other participants who track these data found the question to be easy or not difficult. Four participants said that Question B2 (the percentage of </w:t>
      </w:r>
      <w:r w:rsidRPr="00AD4785" w:rsidR="00CF7B1F">
        <w:t xml:space="preserve">R&amp;D </w:t>
      </w:r>
      <w:r w:rsidRPr="00AD4785">
        <w:t xml:space="preserve">funds diverted) would be easy to answer if they diverted funds, while three participants said it would be difficult either because they don’t track those data or knowing the exact amount diverted is difficult. Most participants said that the instruction that “Your best estimate is acceptable” would help in answering the question. </w:t>
      </w:r>
    </w:p>
    <w:p w:rsidRPr="00AD4785" w:rsidR="00D11E4F" w:rsidP="00D11E4F" w:rsidRDefault="00D11E4F" w14:paraId="1C202325" w14:textId="3F1724F2">
      <w:pPr>
        <w:pStyle w:val="BodyText"/>
        <w:spacing w:after="0"/>
        <w:ind w:right="30"/>
      </w:pPr>
      <w:r w:rsidRPr="00AD4785">
        <w:t>For Question C</w:t>
      </w:r>
      <w:r w:rsidRPr="00AD4785" w:rsidR="00CF7B1F">
        <w:t xml:space="preserve"> (whether institutions received new funds for R&amp;D as a result of the pandemic)</w:t>
      </w:r>
      <w:r w:rsidRPr="00AD4785">
        <w:t xml:space="preserve">, participants understood this question to be asking about external funds received. </w:t>
      </w:r>
      <w:r w:rsidRPr="00AD4785">
        <w:lastRenderedPageBreak/>
        <w:t>While not all participants said that their institution received R&amp;D funding as a result of the COVID-19 pandemic, those that did said this would be tracked in their systems. All participants understood Question C2 was asking for the funding agency or sponsor of the new funds received. They also said that this question would be easy to answer if they received new funds, because this is how their institution tracks new funds.</w:t>
      </w:r>
      <w:bookmarkEnd w:id="47"/>
      <w:r w:rsidRPr="00AD4785">
        <w:t xml:space="preserve"> </w:t>
      </w:r>
    </w:p>
    <w:p w:rsidRPr="00AD4785" w:rsidR="00E15BB2" w:rsidP="00E15BB2" w:rsidRDefault="00E15BB2" w14:paraId="56D0CA19" w14:textId="41480833">
      <w:pPr>
        <w:pStyle w:val="BodyText"/>
        <w:spacing w:after="0"/>
        <w:ind w:right="30"/>
      </w:pPr>
      <w:bookmarkStart w:name="_Hlk56679268" w:id="48"/>
      <w:r w:rsidRPr="00AD4785">
        <w:t xml:space="preserve">After the interviews were completed, all notes were compiled and analyzed to suggest possible areas for improvement. Revisions were made after each round of interviews. </w:t>
      </w:r>
      <w:bookmarkEnd w:id="48"/>
      <w:r w:rsidRPr="00AD4785">
        <w:t xml:space="preserve">A summary of the revisions appears below: </w:t>
      </w:r>
    </w:p>
    <w:p w:rsidRPr="00AD4785" w:rsidR="00E15BB2" w:rsidP="00E15BB2" w:rsidRDefault="00E15BB2" w14:paraId="22E611ED" w14:textId="4ACA4B02">
      <w:pPr>
        <w:pStyle w:val="BodyText"/>
        <w:numPr>
          <w:ilvl w:val="0"/>
          <w:numId w:val="58"/>
        </w:numPr>
        <w:spacing w:after="0"/>
        <w:ind w:right="30"/>
      </w:pPr>
      <w:r w:rsidRPr="00AD4785">
        <w:t xml:space="preserve">Change the focus from FY 2020 to June 2020. Participants felt adding this specific timeframe </w:t>
      </w:r>
      <w:r w:rsidRPr="00AD4785" w:rsidR="006B6A4B">
        <w:t xml:space="preserve">was appropriate and </w:t>
      </w:r>
      <w:r w:rsidRPr="00AD4785">
        <w:t>made it easier to answer the question.</w:t>
      </w:r>
    </w:p>
    <w:p w:rsidRPr="00AD4785" w:rsidR="00E15BB2" w:rsidP="00E15BB2" w:rsidRDefault="00E15BB2" w14:paraId="6F4A79B3" w14:textId="62A26765">
      <w:pPr>
        <w:pStyle w:val="BodyText"/>
        <w:numPr>
          <w:ilvl w:val="0"/>
          <w:numId w:val="59"/>
        </w:numPr>
        <w:spacing w:after="0"/>
        <w:ind w:right="30"/>
      </w:pPr>
      <w:r w:rsidRPr="00AD4785">
        <w:t>Add an instruction to consider on-campus and off-campus activities. Most of the participants in round 2 said they would think primarily of on-campus R&amp;D activities or would need to ask for more clarification, if this instruction was not present.</w:t>
      </w:r>
    </w:p>
    <w:p w:rsidRPr="00AD4785" w:rsidR="00E15BB2" w:rsidP="00E15BB2" w:rsidRDefault="00E15BB2" w14:paraId="172BC89B" w14:textId="69815AAA">
      <w:pPr>
        <w:pStyle w:val="BodyText"/>
        <w:numPr>
          <w:ilvl w:val="0"/>
          <w:numId w:val="59"/>
        </w:numPr>
        <w:spacing w:after="0"/>
        <w:ind w:right="30"/>
      </w:pPr>
      <w:bookmarkStart w:name="_Hlk55290364" w:id="49"/>
      <w:r w:rsidRPr="00AD4785">
        <w:t xml:space="preserve">Change the response options in Question A to reflect performance of R&amp;D activities versus disruption/shutdown of R&amp;D. During round 2, participants said that the new response options (e.g., “Could not perform any R&amp;D,” “Could perform almost all R&amp;D”) would make it easier to respond to this question.   </w:t>
      </w:r>
    </w:p>
    <w:bookmarkEnd w:id="49"/>
    <w:p w:rsidRPr="00AD4785" w:rsidR="00E15BB2" w:rsidP="00E15BB2" w:rsidRDefault="00E15BB2" w14:paraId="05BBB076" w14:textId="56E315DD">
      <w:pPr>
        <w:pStyle w:val="BodyText"/>
        <w:numPr>
          <w:ilvl w:val="0"/>
          <w:numId w:val="59"/>
        </w:numPr>
        <w:spacing w:after="0"/>
        <w:ind w:right="30"/>
      </w:pPr>
      <w:r w:rsidRPr="00AD4785">
        <w:t>Add an instruction to consider all R&amp;D funds including sponsored research, unrestricted gifts, and institutionally financed R&amp;D to Question B1. Before the instruction was added, five participants said they only thought about sponsored research. During round 2, all noted this instruction was important to include.</w:t>
      </w:r>
    </w:p>
    <w:p w:rsidRPr="00AD4785" w:rsidR="00E15BB2" w:rsidP="00E15BB2" w:rsidRDefault="00E15BB2" w14:paraId="0C6D63A8" w14:textId="6D6D0ACA">
      <w:pPr>
        <w:pStyle w:val="BodyText"/>
        <w:numPr>
          <w:ilvl w:val="0"/>
          <w:numId w:val="60"/>
        </w:numPr>
        <w:spacing w:after="0"/>
        <w:ind w:left="720" w:right="30"/>
        <w:rPr>
          <w:b/>
        </w:rPr>
      </w:pPr>
      <w:bookmarkStart w:name="_Hlk54359133" w:id="50"/>
      <w:r w:rsidRPr="00AD4785">
        <w:t xml:space="preserve">Change the wording of Question C1 to clarify new funds for R&amp;D could be added as </w:t>
      </w:r>
      <w:r w:rsidRPr="00AD4785">
        <w:rPr>
          <w:i/>
          <w:iCs/>
        </w:rPr>
        <w:t>result</w:t>
      </w:r>
      <w:r w:rsidRPr="00AD4785">
        <w:t xml:space="preserve"> of COVID-19 and add the instruction “This could include R&amp;D that is not specifically related to COVID-19.” This phrasing was added due to confusion during round 1 on what type of R&amp;D should be included and if funds other than R&amp;D that were received because of COVID-19 should be included. </w:t>
      </w:r>
      <w:r w:rsidRPr="00AD4785" w:rsidR="006F317D">
        <w:t xml:space="preserve">An </w:t>
      </w:r>
      <w:r w:rsidRPr="00AD4785">
        <w:t xml:space="preserve">additional change was made to add specific examples: “This could include funding for R&amp;D that is indirectly related to COVID-19 (e.g., effects of virtual learning on student performance, economic impacts of community job loss) or supplemental funding for ongoing R&amp;D (e.g., modifications to support extended timelines or purchase additional safety equipment).” </w:t>
      </w:r>
    </w:p>
    <w:bookmarkEnd w:id="50"/>
    <w:p w:rsidRPr="00AD4785" w:rsidR="00E15BB2" w:rsidP="00E15BB2" w:rsidRDefault="00E15BB2" w14:paraId="5B94CDC4" w14:textId="159EF7EF">
      <w:pPr>
        <w:pStyle w:val="BodyText"/>
        <w:numPr>
          <w:ilvl w:val="0"/>
          <w:numId w:val="60"/>
        </w:numPr>
        <w:spacing w:after="0"/>
        <w:ind w:left="720" w:right="30"/>
      </w:pPr>
      <w:r w:rsidRPr="00AD4785">
        <w:lastRenderedPageBreak/>
        <w:t xml:space="preserve">Add “including foreign governments, other universities and gifts” to the “Other sources” option in Question C2. During round 2, participants said there were no sources missing from the list. </w:t>
      </w:r>
    </w:p>
    <w:p w:rsidRPr="00AD4785" w:rsidR="00C90114" w:rsidP="00C90114" w:rsidRDefault="00C90114" w14:paraId="381EB447" w14:textId="77777777">
      <w:pPr>
        <w:pStyle w:val="BodyText"/>
        <w:ind w:right="30"/>
      </w:pPr>
      <w:r w:rsidRPr="00AD4785">
        <w:t xml:space="preserve">The sample of interviewed institutions was limited to HERD standard form institutions from the three highest quartiles by total R&amp;D expenditures reported for FY 2019. These institutions have higher levels of research activity and thus have a greater impact on total R&amp;D. They also have greater insight into issues related to the R&amp;D interruptions. Institutions that were part of other recent methodological work were excluded from the sample. Eligible institutions were randomly selected from the three quartile groups. NCSES selected a sample of 60 institutions. </w:t>
      </w:r>
    </w:p>
    <w:p w:rsidRPr="00AD4785" w:rsidR="00C90114" w:rsidP="00C90114" w:rsidRDefault="00C90114" w14:paraId="51FDFB30" w14:textId="7FE0C715">
      <w:pPr>
        <w:tabs>
          <w:tab w:val="left" w:pos="0"/>
          <w:tab w:val="left" w:pos="360"/>
        </w:tabs>
        <w:suppressAutoHyphens/>
        <w:ind w:left="360"/>
        <w:rPr>
          <w:b/>
        </w:rPr>
      </w:pPr>
      <w:r w:rsidRPr="00AD4785">
        <w:rPr>
          <w:b/>
        </w:rPr>
        <w:t>Table A-8.2.</w:t>
      </w:r>
      <w:r w:rsidR="00DE14DA">
        <w:rPr>
          <w:b/>
        </w:rPr>
        <w:t>2.</w:t>
      </w:r>
      <w:r w:rsidRPr="00AD4785">
        <w:rPr>
          <w:b/>
        </w:rPr>
        <w:t xml:space="preserve">  Number of Institutions Sampled, Invited, and Interviewed for COVID-19 Impact Questions</w:t>
      </w:r>
    </w:p>
    <w:p w:rsidRPr="00AD4785" w:rsidR="00C90114" w:rsidP="00C90114" w:rsidRDefault="00C90114" w14:paraId="5ED73845" w14:textId="77777777">
      <w:pPr>
        <w:tabs>
          <w:tab w:val="left" w:pos="0"/>
          <w:tab w:val="left" w:pos="360"/>
        </w:tabs>
        <w:suppressAutoHyphens/>
        <w:ind w:left="360"/>
        <w:rPr>
          <w:b/>
        </w:rPr>
      </w:pPr>
    </w:p>
    <w:tbl>
      <w:tblPr>
        <w:tblStyle w:val="TableGrid1"/>
        <w:tblW w:w="0" w:type="auto"/>
        <w:tblInd w:w="-5" w:type="dxa"/>
        <w:tblLayout w:type="fixed"/>
        <w:tblLook w:val="04A0" w:firstRow="1" w:lastRow="0" w:firstColumn="1" w:lastColumn="0" w:noHBand="0" w:noVBand="1"/>
      </w:tblPr>
      <w:tblGrid>
        <w:gridCol w:w="1260"/>
        <w:gridCol w:w="1440"/>
        <w:gridCol w:w="1620"/>
        <w:gridCol w:w="1620"/>
        <w:gridCol w:w="1530"/>
      </w:tblGrid>
      <w:tr w:rsidRPr="00AD4785" w:rsidR="00CD5958" w:rsidTr="00C61ACC" w14:paraId="62D9F3AA" w14:textId="77777777">
        <w:tc>
          <w:tcPr>
            <w:tcW w:w="1260" w:type="dxa"/>
            <w:shd w:val="clear" w:color="auto" w:fill="auto"/>
          </w:tcPr>
          <w:p w:rsidRPr="00AD4785" w:rsidR="00C90114" w:rsidP="00C61ACC" w:rsidRDefault="00C90114" w14:paraId="262D867E" w14:textId="77777777">
            <w:pPr>
              <w:rPr>
                <w:rFonts w:asciiTheme="minorHAnsi" w:hAnsiTheme="minorHAnsi" w:cstheme="minorHAnsi"/>
                <w:b/>
                <w:bCs/>
                <w:sz w:val="22"/>
                <w:szCs w:val="22"/>
              </w:rPr>
            </w:pPr>
            <w:r w:rsidRPr="00AD4785">
              <w:rPr>
                <w:rFonts w:asciiTheme="minorHAnsi" w:hAnsiTheme="minorHAnsi" w:cstheme="minorHAnsi"/>
                <w:b/>
                <w:bCs/>
                <w:sz w:val="22"/>
                <w:szCs w:val="22"/>
              </w:rPr>
              <w:t>Total R&amp;D Quartile</w:t>
            </w:r>
          </w:p>
        </w:tc>
        <w:tc>
          <w:tcPr>
            <w:tcW w:w="1440" w:type="dxa"/>
            <w:shd w:val="clear" w:color="auto" w:fill="auto"/>
          </w:tcPr>
          <w:p w:rsidRPr="00AD4785" w:rsidR="00C90114" w:rsidP="00C61ACC" w:rsidRDefault="00C90114" w14:paraId="3B8D699D" w14:textId="77777777">
            <w:pPr>
              <w:jc w:val="center"/>
              <w:rPr>
                <w:rFonts w:asciiTheme="minorHAnsi" w:hAnsiTheme="minorHAnsi" w:cstheme="minorHAnsi"/>
                <w:b/>
                <w:bCs/>
                <w:sz w:val="22"/>
                <w:szCs w:val="22"/>
              </w:rPr>
            </w:pPr>
            <w:r w:rsidRPr="00AD4785">
              <w:rPr>
                <w:rFonts w:asciiTheme="minorHAnsi" w:hAnsiTheme="minorHAnsi" w:cstheme="minorHAnsi"/>
                <w:b/>
                <w:bCs/>
                <w:sz w:val="22"/>
                <w:szCs w:val="22"/>
              </w:rPr>
              <w:t>Type of Control</w:t>
            </w:r>
          </w:p>
        </w:tc>
        <w:tc>
          <w:tcPr>
            <w:tcW w:w="1620" w:type="dxa"/>
          </w:tcPr>
          <w:p w:rsidRPr="00AD4785" w:rsidR="00C90114" w:rsidP="00C61ACC" w:rsidRDefault="00C90114" w14:paraId="5016207C" w14:textId="293FE989">
            <w:pPr>
              <w:jc w:val="center"/>
              <w:rPr>
                <w:rFonts w:asciiTheme="minorHAnsi" w:hAnsiTheme="minorHAnsi" w:cstheme="minorHAnsi"/>
                <w:b/>
                <w:bCs/>
                <w:sz w:val="22"/>
              </w:rPr>
            </w:pPr>
            <w:r w:rsidRPr="00AD4785">
              <w:rPr>
                <w:rFonts w:asciiTheme="minorHAnsi" w:hAnsiTheme="minorHAnsi" w:cstheme="minorHAnsi"/>
                <w:b/>
                <w:bCs/>
                <w:sz w:val="22"/>
              </w:rPr>
              <w:t>Sampled</w:t>
            </w:r>
          </w:p>
        </w:tc>
        <w:tc>
          <w:tcPr>
            <w:tcW w:w="1620" w:type="dxa"/>
            <w:shd w:val="clear" w:color="auto" w:fill="auto"/>
          </w:tcPr>
          <w:p w:rsidRPr="00AD4785" w:rsidR="00C90114" w:rsidP="00C61ACC" w:rsidRDefault="00C90114" w14:paraId="3B197DB5" w14:textId="14BA748E">
            <w:pPr>
              <w:jc w:val="center"/>
              <w:rPr>
                <w:rFonts w:asciiTheme="minorHAnsi" w:hAnsiTheme="minorHAnsi" w:cstheme="minorHAnsi"/>
                <w:b/>
                <w:bCs/>
                <w:sz w:val="22"/>
                <w:szCs w:val="22"/>
              </w:rPr>
            </w:pPr>
            <w:r w:rsidRPr="00AD4785">
              <w:rPr>
                <w:rFonts w:asciiTheme="minorHAnsi" w:hAnsiTheme="minorHAnsi" w:cstheme="minorHAnsi"/>
                <w:b/>
                <w:bCs/>
                <w:sz w:val="22"/>
                <w:szCs w:val="22"/>
              </w:rPr>
              <w:t>Invited</w:t>
            </w:r>
          </w:p>
        </w:tc>
        <w:tc>
          <w:tcPr>
            <w:tcW w:w="1530" w:type="dxa"/>
            <w:shd w:val="clear" w:color="auto" w:fill="auto"/>
          </w:tcPr>
          <w:p w:rsidRPr="00AD4785" w:rsidR="00C90114" w:rsidP="00C61ACC" w:rsidRDefault="00C90114" w14:paraId="5BF86224" w14:textId="77777777">
            <w:pPr>
              <w:jc w:val="center"/>
              <w:rPr>
                <w:rFonts w:asciiTheme="minorHAnsi" w:hAnsiTheme="minorHAnsi" w:cstheme="minorHAnsi"/>
                <w:b/>
                <w:bCs/>
                <w:sz w:val="22"/>
                <w:szCs w:val="22"/>
              </w:rPr>
            </w:pPr>
            <w:r w:rsidRPr="00AD4785">
              <w:rPr>
                <w:rFonts w:asciiTheme="minorHAnsi" w:hAnsiTheme="minorHAnsi" w:cstheme="minorHAnsi"/>
                <w:b/>
                <w:bCs/>
                <w:sz w:val="22"/>
                <w:szCs w:val="22"/>
              </w:rPr>
              <w:t>Interviewed</w:t>
            </w:r>
          </w:p>
        </w:tc>
      </w:tr>
      <w:tr w:rsidRPr="00AD4785" w:rsidR="00CD5958" w:rsidTr="00C61ACC" w14:paraId="6DAE8808" w14:textId="77777777">
        <w:trPr>
          <w:trHeight w:val="194"/>
        </w:trPr>
        <w:tc>
          <w:tcPr>
            <w:tcW w:w="1260" w:type="dxa"/>
            <w:vMerge w:val="restart"/>
          </w:tcPr>
          <w:p w:rsidRPr="00AD4785" w:rsidR="00C90114" w:rsidP="00C90114" w:rsidRDefault="00C90114" w14:paraId="5E65B2DF" w14:textId="77777777">
            <w:pPr>
              <w:rPr>
                <w:rFonts w:asciiTheme="minorHAnsi" w:hAnsiTheme="minorHAnsi" w:cstheme="minorHAnsi"/>
                <w:sz w:val="22"/>
                <w:szCs w:val="22"/>
              </w:rPr>
            </w:pPr>
            <w:r w:rsidRPr="00AD4785">
              <w:rPr>
                <w:rFonts w:asciiTheme="minorHAnsi" w:hAnsiTheme="minorHAnsi" w:cstheme="minorHAnsi"/>
                <w:sz w:val="22"/>
                <w:szCs w:val="22"/>
              </w:rPr>
              <w:t>2nd</w:t>
            </w:r>
          </w:p>
        </w:tc>
        <w:tc>
          <w:tcPr>
            <w:tcW w:w="1440" w:type="dxa"/>
          </w:tcPr>
          <w:p w:rsidRPr="00AD4785" w:rsidR="00C90114" w:rsidP="00C90114" w:rsidRDefault="00C90114" w14:paraId="7E8C0759" w14:textId="77777777">
            <w:pPr>
              <w:jc w:val="center"/>
              <w:rPr>
                <w:rFonts w:asciiTheme="minorHAnsi" w:hAnsiTheme="minorHAnsi" w:cstheme="minorHAnsi"/>
                <w:sz w:val="22"/>
                <w:szCs w:val="22"/>
              </w:rPr>
            </w:pPr>
            <w:r w:rsidRPr="00AD4785">
              <w:rPr>
                <w:rFonts w:asciiTheme="minorHAnsi" w:hAnsiTheme="minorHAnsi" w:cstheme="minorHAnsi"/>
                <w:sz w:val="22"/>
                <w:szCs w:val="22"/>
              </w:rPr>
              <w:t>Public</w:t>
            </w:r>
          </w:p>
        </w:tc>
        <w:tc>
          <w:tcPr>
            <w:tcW w:w="1620" w:type="dxa"/>
          </w:tcPr>
          <w:p w:rsidRPr="00AD4785" w:rsidR="00C90114" w:rsidP="00C90114" w:rsidRDefault="00C90114" w14:paraId="384B9C5C" w14:textId="197E5AD2">
            <w:pPr>
              <w:jc w:val="center"/>
              <w:rPr>
                <w:rFonts w:asciiTheme="minorHAnsi" w:hAnsiTheme="minorHAnsi" w:cstheme="minorHAnsi"/>
                <w:sz w:val="22"/>
              </w:rPr>
            </w:pPr>
            <w:r w:rsidRPr="00AD4785">
              <w:rPr>
                <w:rFonts w:asciiTheme="minorHAnsi" w:hAnsiTheme="minorHAnsi" w:cstheme="minorHAnsi"/>
                <w:sz w:val="22"/>
                <w:szCs w:val="22"/>
              </w:rPr>
              <w:t>12</w:t>
            </w:r>
          </w:p>
        </w:tc>
        <w:tc>
          <w:tcPr>
            <w:tcW w:w="1620" w:type="dxa"/>
          </w:tcPr>
          <w:p w:rsidRPr="00AD4785" w:rsidR="00C90114" w:rsidP="00C90114" w:rsidRDefault="00C90114" w14:paraId="5D02E893" w14:textId="7BE91806">
            <w:pPr>
              <w:jc w:val="center"/>
              <w:rPr>
                <w:rFonts w:asciiTheme="minorHAnsi" w:hAnsiTheme="minorHAnsi" w:cstheme="minorHAnsi"/>
                <w:sz w:val="22"/>
                <w:szCs w:val="22"/>
              </w:rPr>
            </w:pPr>
            <w:r w:rsidRPr="00AD4785">
              <w:rPr>
                <w:rFonts w:asciiTheme="minorHAnsi" w:hAnsiTheme="minorHAnsi" w:cstheme="minorHAnsi"/>
                <w:sz w:val="22"/>
                <w:szCs w:val="22"/>
              </w:rPr>
              <w:t>12</w:t>
            </w:r>
          </w:p>
        </w:tc>
        <w:tc>
          <w:tcPr>
            <w:tcW w:w="1530" w:type="dxa"/>
          </w:tcPr>
          <w:p w:rsidRPr="00AD4785" w:rsidR="00C90114" w:rsidP="00C90114" w:rsidRDefault="00C90114" w14:paraId="53A14A5C" w14:textId="77777777">
            <w:pPr>
              <w:jc w:val="center"/>
              <w:rPr>
                <w:rFonts w:asciiTheme="minorHAnsi" w:hAnsiTheme="minorHAnsi" w:cstheme="minorHAnsi"/>
                <w:sz w:val="22"/>
                <w:szCs w:val="22"/>
              </w:rPr>
            </w:pPr>
            <w:r w:rsidRPr="00AD4785">
              <w:rPr>
                <w:rFonts w:asciiTheme="minorHAnsi" w:hAnsiTheme="minorHAnsi" w:cstheme="minorHAnsi"/>
                <w:sz w:val="22"/>
                <w:szCs w:val="22"/>
              </w:rPr>
              <w:t>3</w:t>
            </w:r>
          </w:p>
        </w:tc>
      </w:tr>
      <w:tr w:rsidRPr="00AD4785" w:rsidR="00CD5958" w:rsidTr="00C61ACC" w14:paraId="226E4384" w14:textId="77777777">
        <w:trPr>
          <w:trHeight w:val="193"/>
        </w:trPr>
        <w:tc>
          <w:tcPr>
            <w:tcW w:w="1260" w:type="dxa"/>
            <w:vMerge/>
          </w:tcPr>
          <w:p w:rsidRPr="00AD4785" w:rsidR="00C90114" w:rsidP="00C90114" w:rsidRDefault="00C90114" w14:paraId="5BA5883A" w14:textId="77777777">
            <w:pPr>
              <w:rPr>
                <w:rFonts w:asciiTheme="minorHAnsi" w:hAnsiTheme="minorHAnsi" w:cstheme="minorHAnsi"/>
                <w:sz w:val="22"/>
                <w:szCs w:val="22"/>
              </w:rPr>
            </w:pPr>
          </w:p>
        </w:tc>
        <w:tc>
          <w:tcPr>
            <w:tcW w:w="1440" w:type="dxa"/>
          </w:tcPr>
          <w:p w:rsidRPr="00AD4785" w:rsidR="00C90114" w:rsidP="00C90114" w:rsidRDefault="00C90114" w14:paraId="7867F381" w14:textId="77777777">
            <w:pPr>
              <w:jc w:val="center"/>
              <w:rPr>
                <w:rFonts w:asciiTheme="minorHAnsi" w:hAnsiTheme="minorHAnsi" w:cstheme="minorHAnsi"/>
                <w:sz w:val="22"/>
                <w:szCs w:val="22"/>
              </w:rPr>
            </w:pPr>
            <w:r w:rsidRPr="00AD4785">
              <w:rPr>
                <w:rFonts w:asciiTheme="minorHAnsi" w:hAnsiTheme="minorHAnsi" w:cstheme="minorHAnsi"/>
                <w:sz w:val="22"/>
                <w:szCs w:val="22"/>
              </w:rPr>
              <w:t>Private</w:t>
            </w:r>
          </w:p>
        </w:tc>
        <w:tc>
          <w:tcPr>
            <w:tcW w:w="1620" w:type="dxa"/>
          </w:tcPr>
          <w:p w:rsidRPr="00AD4785" w:rsidR="00C90114" w:rsidP="00C90114" w:rsidRDefault="00C90114" w14:paraId="50D316C5" w14:textId="1F6EE662">
            <w:pPr>
              <w:jc w:val="center"/>
              <w:rPr>
                <w:rFonts w:asciiTheme="minorHAnsi" w:hAnsiTheme="minorHAnsi" w:cstheme="minorHAnsi"/>
                <w:sz w:val="22"/>
              </w:rPr>
            </w:pPr>
            <w:r w:rsidRPr="00AD4785">
              <w:rPr>
                <w:rFonts w:asciiTheme="minorHAnsi" w:hAnsiTheme="minorHAnsi" w:cstheme="minorHAnsi"/>
                <w:sz w:val="22"/>
                <w:szCs w:val="22"/>
              </w:rPr>
              <w:t>8</w:t>
            </w:r>
          </w:p>
        </w:tc>
        <w:tc>
          <w:tcPr>
            <w:tcW w:w="1620" w:type="dxa"/>
          </w:tcPr>
          <w:p w:rsidRPr="00AD4785" w:rsidR="00C90114" w:rsidP="00C90114" w:rsidRDefault="00C90114" w14:paraId="46F5A548" w14:textId="47BA4AC4">
            <w:pPr>
              <w:jc w:val="center"/>
              <w:rPr>
                <w:rFonts w:asciiTheme="minorHAnsi" w:hAnsiTheme="minorHAnsi" w:cstheme="minorHAnsi"/>
                <w:sz w:val="22"/>
                <w:szCs w:val="22"/>
              </w:rPr>
            </w:pPr>
            <w:r w:rsidRPr="00AD4785">
              <w:rPr>
                <w:rFonts w:asciiTheme="minorHAnsi" w:hAnsiTheme="minorHAnsi" w:cstheme="minorHAnsi"/>
                <w:sz w:val="22"/>
                <w:szCs w:val="22"/>
              </w:rPr>
              <w:t>8</w:t>
            </w:r>
          </w:p>
        </w:tc>
        <w:tc>
          <w:tcPr>
            <w:tcW w:w="1530" w:type="dxa"/>
          </w:tcPr>
          <w:p w:rsidRPr="00AD4785" w:rsidR="00C90114" w:rsidP="00C90114" w:rsidRDefault="00C90114" w14:paraId="58D29A17" w14:textId="77777777">
            <w:pPr>
              <w:jc w:val="center"/>
              <w:rPr>
                <w:rFonts w:asciiTheme="minorHAnsi" w:hAnsiTheme="minorHAnsi" w:cstheme="minorHAnsi"/>
                <w:sz w:val="22"/>
                <w:szCs w:val="22"/>
              </w:rPr>
            </w:pPr>
            <w:r w:rsidRPr="00AD4785">
              <w:rPr>
                <w:rFonts w:asciiTheme="minorHAnsi" w:hAnsiTheme="minorHAnsi" w:cstheme="minorHAnsi"/>
                <w:sz w:val="22"/>
                <w:szCs w:val="22"/>
              </w:rPr>
              <w:t>2</w:t>
            </w:r>
          </w:p>
        </w:tc>
      </w:tr>
      <w:tr w:rsidRPr="00AD4785" w:rsidR="00CD5958" w:rsidTr="00C61ACC" w14:paraId="3F70CFA7" w14:textId="77777777">
        <w:trPr>
          <w:trHeight w:val="194"/>
        </w:trPr>
        <w:tc>
          <w:tcPr>
            <w:tcW w:w="1260" w:type="dxa"/>
            <w:vMerge w:val="restart"/>
          </w:tcPr>
          <w:p w:rsidRPr="00AD4785" w:rsidR="00C90114" w:rsidP="00C90114" w:rsidRDefault="00C90114" w14:paraId="7B20ECA7" w14:textId="77777777">
            <w:pPr>
              <w:rPr>
                <w:rFonts w:asciiTheme="minorHAnsi" w:hAnsiTheme="minorHAnsi" w:cstheme="minorHAnsi"/>
                <w:sz w:val="22"/>
                <w:szCs w:val="22"/>
              </w:rPr>
            </w:pPr>
            <w:r w:rsidRPr="00AD4785">
              <w:rPr>
                <w:rFonts w:asciiTheme="minorHAnsi" w:hAnsiTheme="minorHAnsi" w:cstheme="minorHAnsi"/>
                <w:sz w:val="22"/>
                <w:szCs w:val="22"/>
              </w:rPr>
              <w:t xml:space="preserve">3rd </w:t>
            </w:r>
          </w:p>
        </w:tc>
        <w:tc>
          <w:tcPr>
            <w:tcW w:w="1440" w:type="dxa"/>
          </w:tcPr>
          <w:p w:rsidRPr="00AD4785" w:rsidR="00C90114" w:rsidP="00C90114" w:rsidRDefault="00C90114" w14:paraId="3923AA5F" w14:textId="77777777">
            <w:pPr>
              <w:jc w:val="center"/>
              <w:rPr>
                <w:rFonts w:asciiTheme="minorHAnsi" w:hAnsiTheme="minorHAnsi" w:cstheme="minorHAnsi"/>
                <w:sz w:val="22"/>
                <w:szCs w:val="22"/>
              </w:rPr>
            </w:pPr>
            <w:r w:rsidRPr="00AD4785">
              <w:rPr>
                <w:rFonts w:asciiTheme="minorHAnsi" w:hAnsiTheme="minorHAnsi" w:cstheme="minorHAnsi"/>
                <w:sz w:val="22"/>
                <w:szCs w:val="22"/>
              </w:rPr>
              <w:t>Public</w:t>
            </w:r>
          </w:p>
        </w:tc>
        <w:tc>
          <w:tcPr>
            <w:tcW w:w="1620" w:type="dxa"/>
          </w:tcPr>
          <w:p w:rsidRPr="00AD4785" w:rsidR="00C90114" w:rsidP="00C90114" w:rsidRDefault="00C90114" w14:paraId="7D1353BD" w14:textId="7C890B00">
            <w:pPr>
              <w:jc w:val="center"/>
              <w:rPr>
                <w:rFonts w:asciiTheme="minorHAnsi" w:hAnsiTheme="minorHAnsi" w:cstheme="minorHAnsi"/>
                <w:sz w:val="22"/>
              </w:rPr>
            </w:pPr>
            <w:r w:rsidRPr="00AD4785">
              <w:rPr>
                <w:rFonts w:asciiTheme="minorHAnsi" w:hAnsiTheme="minorHAnsi" w:cstheme="minorHAnsi"/>
                <w:sz w:val="22"/>
                <w:szCs w:val="22"/>
              </w:rPr>
              <w:t>12</w:t>
            </w:r>
          </w:p>
        </w:tc>
        <w:tc>
          <w:tcPr>
            <w:tcW w:w="1620" w:type="dxa"/>
          </w:tcPr>
          <w:p w:rsidRPr="00AD4785" w:rsidR="00C90114" w:rsidP="00C90114" w:rsidRDefault="00C90114" w14:paraId="284BC0FA" w14:textId="4D1D6E0A">
            <w:pPr>
              <w:jc w:val="center"/>
              <w:rPr>
                <w:rFonts w:asciiTheme="minorHAnsi" w:hAnsiTheme="minorHAnsi" w:cstheme="minorHAnsi"/>
                <w:sz w:val="22"/>
                <w:szCs w:val="22"/>
              </w:rPr>
            </w:pPr>
            <w:r w:rsidRPr="00AD4785">
              <w:rPr>
                <w:rFonts w:asciiTheme="minorHAnsi" w:hAnsiTheme="minorHAnsi" w:cstheme="minorHAnsi"/>
                <w:sz w:val="22"/>
                <w:szCs w:val="22"/>
              </w:rPr>
              <w:t>12</w:t>
            </w:r>
          </w:p>
        </w:tc>
        <w:tc>
          <w:tcPr>
            <w:tcW w:w="1530" w:type="dxa"/>
          </w:tcPr>
          <w:p w:rsidRPr="00AD4785" w:rsidR="00C90114" w:rsidP="00C90114" w:rsidRDefault="00C90114" w14:paraId="7D36EEB7" w14:textId="77777777">
            <w:pPr>
              <w:jc w:val="center"/>
              <w:rPr>
                <w:rFonts w:asciiTheme="minorHAnsi" w:hAnsiTheme="minorHAnsi" w:cstheme="minorHAnsi"/>
                <w:sz w:val="22"/>
                <w:szCs w:val="22"/>
              </w:rPr>
            </w:pPr>
            <w:r w:rsidRPr="00AD4785">
              <w:rPr>
                <w:rFonts w:asciiTheme="minorHAnsi" w:hAnsiTheme="minorHAnsi" w:cstheme="minorHAnsi"/>
                <w:sz w:val="22"/>
                <w:szCs w:val="22"/>
              </w:rPr>
              <w:t>3</w:t>
            </w:r>
          </w:p>
        </w:tc>
      </w:tr>
      <w:tr w:rsidRPr="00AD4785" w:rsidR="00CD5958" w:rsidTr="00C61ACC" w14:paraId="3272CA4D" w14:textId="77777777">
        <w:trPr>
          <w:trHeight w:val="193"/>
        </w:trPr>
        <w:tc>
          <w:tcPr>
            <w:tcW w:w="1260" w:type="dxa"/>
            <w:vMerge/>
          </w:tcPr>
          <w:p w:rsidRPr="00AD4785" w:rsidR="00C90114" w:rsidP="00C90114" w:rsidRDefault="00C90114" w14:paraId="65DB062B" w14:textId="77777777">
            <w:pPr>
              <w:rPr>
                <w:rFonts w:asciiTheme="minorHAnsi" w:hAnsiTheme="minorHAnsi" w:cstheme="minorHAnsi"/>
                <w:sz w:val="22"/>
                <w:szCs w:val="22"/>
              </w:rPr>
            </w:pPr>
          </w:p>
        </w:tc>
        <w:tc>
          <w:tcPr>
            <w:tcW w:w="1440" w:type="dxa"/>
          </w:tcPr>
          <w:p w:rsidRPr="00AD4785" w:rsidR="00C90114" w:rsidP="00C90114" w:rsidRDefault="00C90114" w14:paraId="1E888AEC" w14:textId="77777777">
            <w:pPr>
              <w:jc w:val="center"/>
              <w:rPr>
                <w:rFonts w:asciiTheme="minorHAnsi" w:hAnsiTheme="minorHAnsi" w:cstheme="minorHAnsi"/>
                <w:sz w:val="22"/>
                <w:szCs w:val="22"/>
              </w:rPr>
            </w:pPr>
            <w:r w:rsidRPr="00AD4785">
              <w:rPr>
                <w:rFonts w:asciiTheme="minorHAnsi" w:hAnsiTheme="minorHAnsi" w:cstheme="minorHAnsi"/>
                <w:sz w:val="22"/>
                <w:szCs w:val="22"/>
              </w:rPr>
              <w:t>Private</w:t>
            </w:r>
          </w:p>
        </w:tc>
        <w:tc>
          <w:tcPr>
            <w:tcW w:w="1620" w:type="dxa"/>
          </w:tcPr>
          <w:p w:rsidRPr="00AD4785" w:rsidR="00C90114" w:rsidP="00C90114" w:rsidRDefault="00C90114" w14:paraId="019EDBB9" w14:textId="3077F131">
            <w:pPr>
              <w:jc w:val="center"/>
              <w:rPr>
                <w:rFonts w:asciiTheme="minorHAnsi" w:hAnsiTheme="minorHAnsi" w:cstheme="minorHAnsi"/>
                <w:sz w:val="22"/>
              </w:rPr>
            </w:pPr>
            <w:r w:rsidRPr="00AD4785">
              <w:rPr>
                <w:rFonts w:asciiTheme="minorHAnsi" w:hAnsiTheme="minorHAnsi" w:cstheme="minorHAnsi"/>
                <w:sz w:val="22"/>
                <w:szCs w:val="22"/>
              </w:rPr>
              <w:t>8</w:t>
            </w:r>
          </w:p>
        </w:tc>
        <w:tc>
          <w:tcPr>
            <w:tcW w:w="1620" w:type="dxa"/>
          </w:tcPr>
          <w:p w:rsidRPr="00AD4785" w:rsidR="00C90114" w:rsidP="00C90114" w:rsidRDefault="00C90114" w14:paraId="77463767" w14:textId="69807F41">
            <w:pPr>
              <w:jc w:val="center"/>
              <w:rPr>
                <w:rFonts w:asciiTheme="minorHAnsi" w:hAnsiTheme="minorHAnsi" w:cstheme="minorHAnsi"/>
                <w:sz w:val="22"/>
                <w:szCs w:val="22"/>
              </w:rPr>
            </w:pPr>
            <w:r w:rsidRPr="00AD4785">
              <w:rPr>
                <w:rFonts w:asciiTheme="minorHAnsi" w:hAnsiTheme="minorHAnsi" w:cstheme="minorHAnsi"/>
                <w:sz w:val="22"/>
                <w:szCs w:val="22"/>
              </w:rPr>
              <w:t>8</w:t>
            </w:r>
          </w:p>
        </w:tc>
        <w:tc>
          <w:tcPr>
            <w:tcW w:w="1530" w:type="dxa"/>
          </w:tcPr>
          <w:p w:rsidRPr="00AD4785" w:rsidR="00C90114" w:rsidP="00C90114" w:rsidRDefault="00C90114" w14:paraId="5BC8690C" w14:textId="77777777">
            <w:pPr>
              <w:jc w:val="center"/>
              <w:rPr>
                <w:rFonts w:asciiTheme="minorHAnsi" w:hAnsiTheme="minorHAnsi" w:cstheme="minorHAnsi"/>
                <w:sz w:val="22"/>
                <w:szCs w:val="22"/>
              </w:rPr>
            </w:pPr>
            <w:r w:rsidRPr="00AD4785">
              <w:rPr>
                <w:rFonts w:asciiTheme="minorHAnsi" w:hAnsiTheme="minorHAnsi" w:cstheme="minorHAnsi"/>
                <w:sz w:val="22"/>
                <w:szCs w:val="22"/>
              </w:rPr>
              <w:t>3</w:t>
            </w:r>
          </w:p>
        </w:tc>
      </w:tr>
      <w:tr w:rsidRPr="00AD4785" w:rsidR="00CD5958" w:rsidTr="00C61ACC" w14:paraId="7800CE3B" w14:textId="77777777">
        <w:trPr>
          <w:trHeight w:val="194"/>
        </w:trPr>
        <w:tc>
          <w:tcPr>
            <w:tcW w:w="1260" w:type="dxa"/>
            <w:vMerge w:val="restart"/>
          </w:tcPr>
          <w:p w:rsidRPr="00AD4785" w:rsidR="00C90114" w:rsidP="00C90114" w:rsidRDefault="00C90114" w14:paraId="78C7B6BF" w14:textId="77777777">
            <w:pPr>
              <w:rPr>
                <w:rFonts w:asciiTheme="minorHAnsi" w:hAnsiTheme="minorHAnsi" w:cstheme="minorHAnsi"/>
                <w:sz w:val="22"/>
                <w:szCs w:val="22"/>
              </w:rPr>
            </w:pPr>
            <w:r w:rsidRPr="00AD4785">
              <w:rPr>
                <w:rFonts w:asciiTheme="minorHAnsi" w:hAnsiTheme="minorHAnsi" w:cstheme="minorHAnsi"/>
                <w:sz w:val="22"/>
                <w:szCs w:val="22"/>
              </w:rPr>
              <w:t xml:space="preserve">4th </w:t>
            </w:r>
          </w:p>
        </w:tc>
        <w:tc>
          <w:tcPr>
            <w:tcW w:w="1440" w:type="dxa"/>
          </w:tcPr>
          <w:p w:rsidRPr="00AD4785" w:rsidR="00C90114" w:rsidP="00C90114" w:rsidRDefault="00C90114" w14:paraId="20BAC83B" w14:textId="77777777">
            <w:pPr>
              <w:jc w:val="center"/>
              <w:rPr>
                <w:rFonts w:asciiTheme="minorHAnsi" w:hAnsiTheme="minorHAnsi" w:cstheme="minorHAnsi"/>
                <w:sz w:val="22"/>
                <w:szCs w:val="22"/>
              </w:rPr>
            </w:pPr>
            <w:r w:rsidRPr="00AD4785">
              <w:rPr>
                <w:rFonts w:asciiTheme="minorHAnsi" w:hAnsiTheme="minorHAnsi" w:cstheme="minorHAnsi"/>
                <w:sz w:val="22"/>
                <w:szCs w:val="22"/>
              </w:rPr>
              <w:t>Public</w:t>
            </w:r>
          </w:p>
        </w:tc>
        <w:tc>
          <w:tcPr>
            <w:tcW w:w="1620" w:type="dxa"/>
          </w:tcPr>
          <w:p w:rsidRPr="00AD4785" w:rsidR="00C90114" w:rsidP="00C90114" w:rsidRDefault="00C90114" w14:paraId="6DC83D68" w14:textId="046CB7C0">
            <w:pPr>
              <w:jc w:val="center"/>
              <w:rPr>
                <w:rFonts w:asciiTheme="minorHAnsi" w:hAnsiTheme="minorHAnsi" w:cstheme="minorHAnsi"/>
                <w:sz w:val="22"/>
              </w:rPr>
            </w:pPr>
            <w:r w:rsidRPr="00AD4785">
              <w:rPr>
                <w:rFonts w:asciiTheme="minorHAnsi" w:hAnsiTheme="minorHAnsi" w:cstheme="minorHAnsi"/>
                <w:sz w:val="22"/>
                <w:szCs w:val="22"/>
              </w:rPr>
              <w:t>12</w:t>
            </w:r>
          </w:p>
        </w:tc>
        <w:tc>
          <w:tcPr>
            <w:tcW w:w="1620" w:type="dxa"/>
          </w:tcPr>
          <w:p w:rsidRPr="00AD4785" w:rsidR="00C90114" w:rsidP="00C90114" w:rsidRDefault="00C90114" w14:paraId="38A0493D" w14:textId="46600C64">
            <w:pPr>
              <w:jc w:val="center"/>
              <w:rPr>
                <w:rFonts w:asciiTheme="minorHAnsi" w:hAnsiTheme="minorHAnsi" w:cstheme="minorHAnsi"/>
                <w:sz w:val="22"/>
                <w:szCs w:val="22"/>
              </w:rPr>
            </w:pPr>
            <w:r w:rsidRPr="00AD4785">
              <w:rPr>
                <w:rFonts w:asciiTheme="minorHAnsi" w:hAnsiTheme="minorHAnsi" w:cstheme="minorHAnsi"/>
                <w:sz w:val="22"/>
                <w:szCs w:val="22"/>
              </w:rPr>
              <w:t>12</w:t>
            </w:r>
          </w:p>
        </w:tc>
        <w:tc>
          <w:tcPr>
            <w:tcW w:w="1530" w:type="dxa"/>
          </w:tcPr>
          <w:p w:rsidRPr="00AD4785" w:rsidR="00C90114" w:rsidP="00C90114" w:rsidRDefault="00C90114" w14:paraId="78267FC6" w14:textId="77777777">
            <w:pPr>
              <w:jc w:val="center"/>
              <w:rPr>
                <w:rFonts w:asciiTheme="minorHAnsi" w:hAnsiTheme="minorHAnsi" w:cstheme="minorHAnsi"/>
                <w:sz w:val="22"/>
                <w:szCs w:val="22"/>
              </w:rPr>
            </w:pPr>
            <w:r w:rsidRPr="00AD4785">
              <w:rPr>
                <w:rFonts w:asciiTheme="minorHAnsi" w:hAnsiTheme="minorHAnsi" w:cstheme="minorHAnsi"/>
                <w:sz w:val="22"/>
                <w:szCs w:val="22"/>
              </w:rPr>
              <w:t>2</w:t>
            </w:r>
          </w:p>
        </w:tc>
      </w:tr>
      <w:tr w:rsidRPr="00AD4785" w:rsidR="00CD5958" w:rsidTr="00C61ACC" w14:paraId="1E76B42E" w14:textId="77777777">
        <w:trPr>
          <w:trHeight w:val="193"/>
        </w:trPr>
        <w:tc>
          <w:tcPr>
            <w:tcW w:w="1260" w:type="dxa"/>
            <w:vMerge/>
          </w:tcPr>
          <w:p w:rsidRPr="00AD4785" w:rsidR="00C90114" w:rsidP="00C90114" w:rsidRDefault="00C90114" w14:paraId="51F49EA6" w14:textId="77777777">
            <w:pPr>
              <w:rPr>
                <w:rFonts w:asciiTheme="minorHAnsi" w:hAnsiTheme="minorHAnsi" w:cstheme="minorHAnsi"/>
                <w:sz w:val="22"/>
                <w:szCs w:val="22"/>
              </w:rPr>
            </w:pPr>
          </w:p>
        </w:tc>
        <w:tc>
          <w:tcPr>
            <w:tcW w:w="1440" w:type="dxa"/>
          </w:tcPr>
          <w:p w:rsidRPr="00AD4785" w:rsidR="00C90114" w:rsidP="00C90114" w:rsidRDefault="00C90114" w14:paraId="307731D4" w14:textId="77777777">
            <w:pPr>
              <w:jc w:val="center"/>
              <w:rPr>
                <w:rFonts w:asciiTheme="minorHAnsi" w:hAnsiTheme="minorHAnsi" w:cstheme="minorHAnsi"/>
                <w:sz w:val="22"/>
                <w:szCs w:val="22"/>
              </w:rPr>
            </w:pPr>
            <w:r w:rsidRPr="00AD4785">
              <w:rPr>
                <w:rFonts w:asciiTheme="minorHAnsi" w:hAnsiTheme="minorHAnsi" w:cstheme="minorHAnsi"/>
                <w:sz w:val="22"/>
                <w:szCs w:val="22"/>
              </w:rPr>
              <w:t>Private</w:t>
            </w:r>
          </w:p>
        </w:tc>
        <w:tc>
          <w:tcPr>
            <w:tcW w:w="1620" w:type="dxa"/>
          </w:tcPr>
          <w:p w:rsidRPr="00AD4785" w:rsidR="00C90114" w:rsidP="00C90114" w:rsidRDefault="00C90114" w14:paraId="391C8786" w14:textId="59D1F726">
            <w:pPr>
              <w:jc w:val="center"/>
              <w:rPr>
                <w:rFonts w:asciiTheme="minorHAnsi" w:hAnsiTheme="minorHAnsi" w:cstheme="minorHAnsi"/>
                <w:sz w:val="22"/>
              </w:rPr>
            </w:pPr>
            <w:r w:rsidRPr="00AD4785">
              <w:rPr>
                <w:rFonts w:asciiTheme="minorHAnsi" w:hAnsiTheme="minorHAnsi" w:cstheme="minorHAnsi"/>
                <w:sz w:val="22"/>
                <w:szCs w:val="22"/>
              </w:rPr>
              <w:t>8</w:t>
            </w:r>
          </w:p>
        </w:tc>
        <w:tc>
          <w:tcPr>
            <w:tcW w:w="1620" w:type="dxa"/>
          </w:tcPr>
          <w:p w:rsidRPr="00AD4785" w:rsidR="00C90114" w:rsidP="00C90114" w:rsidRDefault="00C90114" w14:paraId="67BF5E97" w14:textId="35E8A55C">
            <w:pPr>
              <w:jc w:val="center"/>
              <w:rPr>
                <w:rFonts w:asciiTheme="minorHAnsi" w:hAnsiTheme="minorHAnsi" w:cstheme="minorHAnsi"/>
                <w:sz w:val="22"/>
                <w:szCs w:val="22"/>
              </w:rPr>
            </w:pPr>
            <w:r w:rsidRPr="00AD4785">
              <w:rPr>
                <w:rFonts w:asciiTheme="minorHAnsi" w:hAnsiTheme="minorHAnsi" w:cstheme="minorHAnsi"/>
                <w:sz w:val="22"/>
                <w:szCs w:val="22"/>
              </w:rPr>
              <w:t>8</w:t>
            </w:r>
          </w:p>
        </w:tc>
        <w:tc>
          <w:tcPr>
            <w:tcW w:w="1530" w:type="dxa"/>
          </w:tcPr>
          <w:p w:rsidRPr="00AD4785" w:rsidR="00C90114" w:rsidP="00C90114" w:rsidRDefault="00C90114" w14:paraId="339CB91F" w14:textId="77777777">
            <w:pPr>
              <w:jc w:val="center"/>
              <w:rPr>
                <w:rFonts w:asciiTheme="minorHAnsi" w:hAnsiTheme="minorHAnsi" w:cstheme="minorHAnsi"/>
                <w:sz w:val="22"/>
                <w:szCs w:val="22"/>
              </w:rPr>
            </w:pPr>
            <w:r w:rsidRPr="00AD4785">
              <w:rPr>
                <w:rFonts w:asciiTheme="minorHAnsi" w:hAnsiTheme="minorHAnsi" w:cstheme="minorHAnsi"/>
                <w:sz w:val="22"/>
                <w:szCs w:val="22"/>
              </w:rPr>
              <w:t>2</w:t>
            </w:r>
          </w:p>
        </w:tc>
      </w:tr>
      <w:tr w:rsidRPr="00AD4785" w:rsidR="00CD5958" w:rsidTr="00C61ACC" w14:paraId="09960BFC" w14:textId="77777777">
        <w:tc>
          <w:tcPr>
            <w:tcW w:w="1260" w:type="dxa"/>
          </w:tcPr>
          <w:p w:rsidRPr="00AD4785" w:rsidR="00C90114" w:rsidP="00C90114" w:rsidRDefault="00C90114" w14:paraId="4AEAFAFD" w14:textId="77777777">
            <w:pPr>
              <w:rPr>
                <w:rFonts w:asciiTheme="minorHAnsi" w:hAnsiTheme="minorHAnsi" w:cstheme="minorHAnsi"/>
                <w:b/>
                <w:bCs/>
                <w:sz w:val="22"/>
                <w:szCs w:val="22"/>
              </w:rPr>
            </w:pPr>
            <w:r w:rsidRPr="00AD4785">
              <w:rPr>
                <w:rFonts w:asciiTheme="minorHAnsi" w:hAnsiTheme="minorHAnsi" w:cstheme="minorHAnsi"/>
                <w:b/>
                <w:bCs/>
                <w:sz w:val="22"/>
                <w:szCs w:val="22"/>
              </w:rPr>
              <w:t>Total</w:t>
            </w:r>
          </w:p>
        </w:tc>
        <w:tc>
          <w:tcPr>
            <w:tcW w:w="1440" w:type="dxa"/>
          </w:tcPr>
          <w:p w:rsidRPr="00AD4785" w:rsidR="00C90114" w:rsidP="00C90114" w:rsidRDefault="00C90114" w14:paraId="33AB912E" w14:textId="77777777">
            <w:pPr>
              <w:jc w:val="center"/>
              <w:rPr>
                <w:rFonts w:asciiTheme="minorHAnsi" w:hAnsiTheme="minorHAnsi" w:cstheme="minorHAnsi"/>
                <w:b/>
                <w:bCs/>
                <w:sz w:val="22"/>
                <w:szCs w:val="22"/>
              </w:rPr>
            </w:pPr>
          </w:p>
        </w:tc>
        <w:tc>
          <w:tcPr>
            <w:tcW w:w="1620" w:type="dxa"/>
          </w:tcPr>
          <w:p w:rsidRPr="00AD4785" w:rsidR="00C90114" w:rsidP="00C90114" w:rsidRDefault="00C90114" w14:paraId="78F51B10" w14:textId="670341B2">
            <w:pPr>
              <w:jc w:val="center"/>
              <w:rPr>
                <w:rFonts w:asciiTheme="minorHAnsi" w:hAnsiTheme="minorHAnsi" w:cstheme="minorHAnsi"/>
                <w:b/>
                <w:bCs/>
                <w:sz w:val="22"/>
              </w:rPr>
            </w:pPr>
            <w:r w:rsidRPr="00AD4785">
              <w:rPr>
                <w:rFonts w:asciiTheme="minorHAnsi" w:hAnsiTheme="minorHAnsi" w:cstheme="minorHAnsi"/>
                <w:b/>
                <w:bCs/>
                <w:sz w:val="22"/>
                <w:szCs w:val="22"/>
              </w:rPr>
              <w:t>60</w:t>
            </w:r>
          </w:p>
        </w:tc>
        <w:tc>
          <w:tcPr>
            <w:tcW w:w="1620" w:type="dxa"/>
          </w:tcPr>
          <w:p w:rsidRPr="00AD4785" w:rsidR="00C90114" w:rsidP="00C90114" w:rsidRDefault="00C90114" w14:paraId="57ED604F" w14:textId="1687F600">
            <w:pPr>
              <w:jc w:val="center"/>
              <w:rPr>
                <w:rFonts w:asciiTheme="minorHAnsi" w:hAnsiTheme="minorHAnsi" w:cstheme="minorHAnsi"/>
                <w:b/>
                <w:bCs/>
                <w:sz w:val="22"/>
                <w:szCs w:val="22"/>
              </w:rPr>
            </w:pPr>
            <w:r w:rsidRPr="00AD4785">
              <w:rPr>
                <w:rFonts w:asciiTheme="minorHAnsi" w:hAnsiTheme="minorHAnsi" w:cstheme="minorHAnsi"/>
                <w:b/>
                <w:bCs/>
                <w:sz w:val="22"/>
                <w:szCs w:val="22"/>
              </w:rPr>
              <w:t>60</w:t>
            </w:r>
          </w:p>
        </w:tc>
        <w:tc>
          <w:tcPr>
            <w:tcW w:w="1530" w:type="dxa"/>
          </w:tcPr>
          <w:p w:rsidRPr="00AD4785" w:rsidR="00C90114" w:rsidP="00C90114" w:rsidRDefault="00C90114" w14:paraId="4894A54B" w14:textId="77777777">
            <w:pPr>
              <w:jc w:val="center"/>
              <w:rPr>
                <w:rFonts w:asciiTheme="minorHAnsi" w:hAnsiTheme="minorHAnsi" w:cstheme="minorHAnsi"/>
                <w:b/>
                <w:bCs/>
                <w:sz w:val="22"/>
                <w:szCs w:val="22"/>
              </w:rPr>
            </w:pPr>
            <w:r w:rsidRPr="00AD4785">
              <w:rPr>
                <w:rFonts w:asciiTheme="minorHAnsi" w:hAnsiTheme="minorHAnsi" w:cstheme="minorHAnsi"/>
                <w:b/>
                <w:bCs/>
                <w:sz w:val="22"/>
                <w:szCs w:val="22"/>
              </w:rPr>
              <w:t>15</w:t>
            </w:r>
          </w:p>
        </w:tc>
      </w:tr>
    </w:tbl>
    <w:p w:rsidRPr="00AD4785" w:rsidR="003D5F37" w:rsidP="00F4785E" w:rsidRDefault="003D5F37" w14:paraId="00357667" w14:textId="60EE2E5C">
      <w:pPr>
        <w:pStyle w:val="BodyText"/>
        <w:ind w:right="30"/>
      </w:pPr>
    </w:p>
    <w:p w:rsidRPr="00AD4785" w:rsidR="00E15BB2" w:rsidP="00E15BB2" w:rsidRDefault="00E15BB2" w14:paraId="307A8825" w14:textId="364EC929">
      <w:pPr>
        <w:pStyle w:val="BodyText"/>
        <w:spacing w:after="0"/>
        <w:ind w:right="30"/>
      </w:pPr>
      <w:r w:rsidRPr="00AD4785">
        <w:t xml:space="preserve">After the question language was revised, respondents in the interviews generally found the questions to be clear and they indicated they would be able to complete them without great difficulty. The revisions accounted for above and in the </w:t>
      </w:r>
      <w:proofErr w:type="gramStart"/>
      <w:r w:rsidRPr="00AD4785">
        <w:t>summary</w:t>
      </w:r>
      <w:proofErr w:type="gramEnd"/>
      <w:r w:rsidRPr="00AD4785">
        <w:t xml:space="preserve"> report improved the clarity and intent of the questions based on respondent input.</w:t>
      </w:r>
    </w:p>
    <w:p w:rsidRPr="00AD4785" w:rsidR="00E15BB2" w:rsidP="00F4785E" w:rsidRDefault="00E15BB2" w14:paraId="2C7570F1" w14:textId="77777777">
      <w:pPr>
        <w:pStyle w:val="BodyText"/>
        <w:ind w:right="30"/>
      </w:pPr>
    </w:p>
    <w:p w:rsidRPr="00AD4785" w:rsidR="003D5F37" w:rsidP="003D5F37" w:rsidRDefault="003D5F37" w14:paraId="5EDF41AB" w14:textId="734529A5">
      <w:pPr>
        <w:pStyle w:val="Heading3"/>
        <w:spacing w:before="120" w:after="100" w:afterAutospacing="1"/>
        <w:ind w:left="0" w:firstLine="0"/>
        <w:rPr>
          <w:bCs/>
          <w:color w:val="auto"/>
        </w:rPr>
      </w:pPr>
      <w:bookmarkStart w:name="_Toc57726746" w:id="51"/>
      <w:r w:rsidRPr="00AD4785">
        <w:rPr>
          <w:color w:val="auto"/>
        </w:rPr>
        <w:t>A.8.3</w:t>
      </w:r>
      <w:r w:rsidRPr="00AD4785">
        <w:rPr>
          <w:color w:val="auto"/>
        </w:rPr>
        <w:tab/>
        <w:t>Other Consultations and Presentations</w:t>
      </w:r>
      <w:bookmarkEnd w:id="51"/>
    </w:p>
    <w:p w:rsidRPr="00AD4785" w:rsidR="00614156" w:rsidP="00AB43B1" w:rsidRDefault="00614156" w14:paraId="61E1EE5F" w14:textId="699E0D53">
      <w:pPr>
        <w:pStyle w:val="BodyText"/>
        <w:spacing w:after="0"/>
        <w:ind w:right="30"/>
      </w:pPr>
      <w:r w:rsidRPr="00AD4785">
        <w:t xml:space="preserve">NCSES staff have engaged the higher education R&amp;D community on question development through conference presentations and other discussions over the last three years. NCSES has had several discussions with the Council on Government Relations on both </w:t>
      </w:r>
      <w:r w:rsidRPr="00AD4785" w:rsidR="007034E9">
        <w:t xml:space="preserve">the research personnel and </w:t>
      </w:r>
      <w:r w:rsidRPr="00AD4785">
        <w:t xml:space="preserve">COVID-19 impacts questions in 2020. </w:t>
      </w:r>
    </w:p>
    <w:p w:rsidRPr="00AD4785" w:rsidR="00614156" w:rsidP="00AB43B1" w:rsidRDefault="00AB43B1" w14:paraId="7F91046F" w14:textId="07092638">
      <w:pPr>
        <w:pStyle w:val="BodyText"/>
        <w:spacing w:after="0"/>
        <w:ind w:right="30"/>
      </w:pPr>
      <w:r w:rsidRPr="00AD4785">
        <w:lastRenderedPageBreak/>
        <w:t xml:space="preserve">NCSES </w:t>
      </w:r>
      <w:r w:rsidRPr="00AD4785" w:rsidR="000973BB">
        <w:t xml:space="preserve">staff </w:t>
      </w:r>
      <w:r w:rsidRPr="00AD4785" w:rsidR="00614156">
        <w:t xml:space="preserve">included slides and a discussion of </w:t>
      </w:r>
      <w:r w:rsidRPr="00AD4785" w:rsidR="003C4F77">
        <w:t>the</w:t>
      </w:r>
      <w:r w:rsidRPr="00AD4785" w:rsidR="00614156">
        <w:t xml:space="preserve"> potential question on </w:t>
      </w:r>
      <w:r w:rsidRPr="00AD4785" w:rsidR="00D02C24">
        <w:t xml:space="preserve">FTE </w:t>
      </w:r>
      <w:r w:rsidRPr="00AD4785" w:rsidR="003C4F77">
        <w:t xml:space="preserve">R&amp;D personnel </w:t>
      </w:r>
      <w:r w:rsidRPr="00AD4785" w:rsidR="00614156">
        <w:t xml:space="preserve">in presentations at the following conferences: </w:t>
      </w:r>
    </w:p>
    <w:p w:rsidRPr="00AD4785" w:rsidR="00614156" w:rsidP="00F0417D" w:rsidRDefault="00614156" w14:paraId="6C8926E3" w14:textId="6E53AD19">
      <w:pPr>
        <w:pStyle w:val="BodyText"/>
        <w:numPr>
          <w:ilvl w:val="0"/>
          <w:numId w:val="56"/>
        </w:numPr>
        <w:spacing w:after="0"/>
        <w:ind w:right="30"/>
      </w:pPr>
      <w:r w:rsidRPr="00AD4785">
        <w:t xml:space="preserve">January 2018 - Federal Demonstration Partnership </w:t>
      </w:r>
      <w:r w:rsidRPr="00AD4785" w:rsidR="00F0417D">
        <w:t>meeting</w:t>
      </w:r>
      <w:r w:rsidRPr="00AD4785">
        <w:t xml:space="preserve"> </w:t>
      </w:r>
    </w:p>
    <w:p w:rsidRPr="00AD4785" w:rsidR="00614156" w:rsidP="00F0417D" w:rsidRDefault="00614156" w14:paraId="100317C3" w14:textId="68A3D3D0">
      <w:pPr>
        <w:pStyle w:val="BodyText"/>
        <w:numPr>
          <w:ilvl w:val="0"/>
          <w:numId w:val="56"/>
        </w:numPr>
        <w:spacing w:after="0"/>
        <w:ind w:right="30"/>
      </w:pPr>
      <w:r w:rsidRPr="00AD4785">
        <w:t>March 2018 - National Council of University Research Administrators (NCURA) Financial Research Administration conference</w:t>
      </w:r>
    </w:p>
    <w:p w:rsidRPr="00AD4785" w:rsidR="00614156" w:rsidP="00F0417D" w:rsidRDefault="00614156" w14:paraId="7001C74C" w14:textId="1BD54D13">
      <w:pPr>
        <w:pStyle w:val="BodyText"/>
        <w:numPr>
          <w:ilvl w:val="0"/>
          <w:numId w:val="56"/>
        </w:numPr>
        <w:spacing w:after="0"/>
        <w:ind w:right="30"/>
      </w:pPr>
      <w:r w:rsidRPr="00AD4785">
        <w:t>August 2018 - NCURA annual meeting</w:t>
      </w:r>
    </w:p>
    <w:p w:rsidRPr="00AD4785" w:rsidR="00614156" w:rsidP="00F0417D" w:rsidRDefault="00F0417D" w14:paraId="60FAA106" w14:textId="002EEB32">
      <w:pPr>
        <w:pStyle w:val="BodyText"/>
        <w:numPr>
          <w:ilvl w:val="0"/>
          <w:numId w:val="56"/>
        </w:numPr>
        <w:spacing w:after="0"/>
        <w:ind w:right="30"/>
      </w:pPr>
      <w:r w:rsidRPr="00AD4785">
        <w:t>October 2018 - NCURA National Conference on College Cost Accounting (NACCA)</w:t>
      </w:r>
    </w:p>
    <w:p w:rsidRPr="00AD4785" w:rsidR="00F0417D" w:rsidP="00F0417D" w:rsidRDefault="00F0417D" w14:paraId="2301961D" w14:textId="55A56268">
      <w:pPr>
        <w:pStyle w:val="BodyText"/>
        <w:numPr>
          <w:ilvl w:val="0"/>
          <w:numId w:val="56"/>
        </w:numPr>
        <w:spacing w:after="0"/>
        <w:ind w:right="30"/>
      </w:pPr>
      <w:r w:rsidRPr="00AD4785">
        <w:t>May 2019 - Federal Demonstration Partnership meeting</w:t>
      </w:r>
    </w:p>
    <w:p w:rsidRPr="00AD4785" w:rsidR="00614156" w:rsidP="00614156" w:rsidRDefault="00455DC0" w14:paraId="488FBBDE" w14:textId="516F2832">
      <w:pPr>
        <w:pStyle w:val="BodyText"/>
        <w:spacing w:after="0"/>
        <w:ind w:right="30" w:firstLine="0"/>
      </w:pPr>
      <w:r>
        <w:t>NCSES staff</w:t>
      </w:r>
      <w:r w:rsidRPr="00AD4785" w:rsidR="003C4F77">
        <w:t xml:space="preserve"> presented</w:t>
      </w:r>
      <w:r w:rsidRPr="00AD4785" w:rsidR="00603241">
        <w:t xml:space="preserve"> </w:t>
      </w:r>
      <w:r w:rsidRPr="00AD4785" w:rsidR="00535210">
        <w:t xml:space="preserve">final versions of </w:t>
      </w:r>
      <w:r w:rsidRPr="00AD4785" w:rsidR="00603241">
        <w:t>both the</w:t>
      </w:r>
      <w:r w:rsidRPr="00AD4785" w:rsidR="00535210">
        <w:t xml:space="preserve"> R&amp;D personnel questions and the</w:t>
      </w:r>
      <w:r w:rsidRPr="00AD4785" w:rsidR="00603241">
        <w:t xml:space="preserve"> COVID-19</w:t>
      </w:r>
      <w:r w:rsidRPr="00AD4785" w:rsidR="00535210">
        <w:t xml:space="preserve"> impact questions in slides for the following meetings: </w:t>
      </w:r>
    </w:p>
    <w:p w:rsidRPr="00AD4785" w:rsidR="00535210" w:rsidP="00535210" w:rsidRDefault="00535210" w14:paraId="015D9763" w14:textId="18E39492">
      <w:pPr>
        <w:pStyle w:val="BodyText"/>
        <w:numPr>
          <w:ilvl w:val="0"/>
          <w:numId w:val="57"/>
        </w:numPr>
        <w:spacing w:after="0"/>
        <w:ind w:right="30"/>
      </w:pPr>
      <w:r w:rsidRPr="00AD4785">
        <w:t>October 2020 – NCSES HERD respondent webinar</w:t>
      </w:r>
    </w:p>
    <w:p w:rsidRPr="00AD4785" w:rsidR="00535210" w:rsidP="00535210" w:rsidRDefault="00535210" w14:paraId="6DC76BD8" w14:textId="386E8058">
      <w:pPr>
        <w:pStyle w:val="BodyText"/>
        <w:numPr>
          <w:ilvl w:val="0"/>
          <w:numId w:val="57"/>
        </w:numPr>
        <w:spacing w:after="0"/>
        <w:ind w:right="30"/>
      </w:pPr>
      <w:r w:rsidRPr="00AD4785">
        <w:t>November 2020 – NCURA NACCA</w:t>
      </w:r>
      <w:r w:rsidRPr="00AD4785" w:rsidR="00B3370D">
        <w:t xml:space="preserve"> (virtual presentation)</w:t>
      </w:r>
    </w:p>
    <w:p w:rsidRPr="00AD4785" w:rsidR="00B3370D" w:rsidP="00535210" w:rsidRDefault="007543E9" w14:paraId="3C5ECEB5" w14:textId="5FC363CB">
      <w:pPr>
        <w:pStyle w:val="BodyText"/>
        <w:spacing w:after="0"/>
        <w:ind w:right="30" w:firstLine="0"/>
      </w:pPr>
      <w:r w:rsidRPr="00AD4785">
        <w:t>Many of the a</w:t>
      </w:r>
      <w:r w:rsidRPr="00AD4785" w:rsidR="00332099">
        <w:t xml:space="preserve">ttendees at these meetings </w:t>
      </w:r>
      <w:r w:rsidRPr="00AD4785" w:rsidR="00424CDA">
        <w:t xml:space="preserve">are </w:t>
      </w:r>
      <w:r w:rsidRPr="00AD4785">
        <w:t xml:space="preserve">HERD survey contacts or contribute to their institution’s reporting. </w:t>
      </w:r>
      <w:r w:rsidRPr="00AD4785" w:rsidR="00B3370D">
        <w:t xml:space="preserve">The </w:t>
      </w:r>
      <w:r w:rsidRPr="00AD4785" w:rsidR="00AD7AA9">
        <w:t xml:space="preserve">presentation for the </w:t>
      </w:r>
      <w:r w:rsidRPr="00AD4785" w:rsidR="00B3370D">
        <w:t>2020 NCURA NACCA, which typically has a high percentage of HERD survey contacts, included over 400 attendees.</w:t>
      </w:r>
      <w:r w:rsidRPr="00AD4785" w:rsidR="007C0F72">
        <w:t xml:space="preserve"> These presentations provided NCSES with the opportunity to engage the community on the content of the new questions. Attendees were engaged to provide questions and comments at the time of the presentation and through later exchanges. See </w:t>
      </w:r>
      <w:r w:rsidRPr="00AD4785" w:rsidR="00916353">
        <w:t>A</w:t>
      </w:r>
      <w:r w:rsidRPr="00AD4785" w:rsidR="007C0F72">
        <w:t xml:space="preserve">ttachment </w:t>
      </w:r>
      <w:r w:rsidRPr="00AD4785" w:rsidR="00752548">
        <w:t>14</w:t>
      </w:r>
      <w:r w:rsidRPr="00AD4785" w:rsidR="007C0F72">
        <w:t xml:space="preserve"> for an example of the 2018-19 presentations and </w:t>
      </w:r>
      <w:r w:rsidRPr="00AD4785" w:rsidR="00752548">
        <w:t>A</w:t>
      </w:r>
      <w:r w:rsidRPr="00AD4785" w:rsidR="007C0F72">
        <w:t xml:space="preserve">ttachment </w:t>
      </w:r>
      <w:r w:rsidRPr="00AD4785" w:rsidR="00752548">
        <w:t>15</w:t>
      </w:r>
      <w:r w:rsidRPr="00AD4785" w:rsidR="007C0F72">
        <w:t xml:space="preserve"> for an example of the 2020 presentations.</w:t>
      </w:r>
    </w:p>
    <w:p w:rsidRPr="00AD4785" w:rsidR="007C0F72" w:rsidP="007C0F72" w:rsidRDefault="007C0F72" w14:paraId="4D710068" w14:textId="1C8DD496">
      <w:pPr>
        <w:pStyle w:val="BodyText"/>
        <w:spacing w:after="0"/>
        <w:ind w:right="30"/>
      </w:pPr>
      <w:r w:rsidRPr="00AD4785">
        <w:t xml:space="preserve">During the annual HERD survey </w:t>
      </w:r>
      <w:r w:rsidRPr="00AD4785" w:rsidR="00615941">
        <w:t xml:space="preserve">respondent </w:t>
      </w:r>
      <w:r w:rsidRPr="00AD4785">
        <w:t xml:space="preserve">webinar conducted on October 7, 2020, NCSES presented the three </w:t>
      </w:r>
      <w:r w:rsidRPr="00AD4785" w:rsidR="00615941">
        <w:t xml:space="preserve">COVID-19 impact </w:t>
      </w:r>
      <w:r w:rsidRPr="00AD4785">
        <w:t xml:space="preserve">questions and conducted a poll asking attendees how easy or difficult it would be to answer each question should they appear on the FY 2020 HERD survey. Each question was presented separately in a PowerPoint presentation. </w:t>
      </w:r>
      <w:r w:rsidR="00455DC0">
        <w:t>Attendees</w:t>
      </w:r>
      <w:r w:rsidRPr="00AD4785">
        <w:t xml:space="preserve"> were given 1 to 2 minutes to read </w:t>
      </w:r>
      <w:r w:rsidR="00455DC0">
        <w:t xml:space="preserve">each COVID-19 </w:t>
      </w:r>
      <w:r w:rsidRPr="00AD4785">
        <w:t xml:space="preserve">question before a poll question appeared in a separate window on the screen. The poll question asked, “How easy or difficult would it be to answer Question [A] for the FY 2020 HERD survey?” Poll respondents were given another minute to respond. The five response categories were: very difficult, difficult, neither difficult nor easy, easy, very easy. </w:t>
      </w:r>
      <w:r w:rsidR="00455DC0">
        <w:t>A</w:t>
      </w:r>
      <w:r w:rsidRPr="00AD4785">
        <w:t xml:space="preserve">ttendees were asked to provide feedback about both parts of </w:t>
      </w:r>
      <w:r w:rsidRPr="00AD4785" w:rsidR="00455DC0">
        <w:t>questions B and C</w:t>
      </w:r>
      <w:r w:rsidR="00455DC0">
        <w:t xml:space="preserve">, </w:t>
      </w:r>
      <w:r w:rsidRPr="00AD4785" w:rsidR="00455DC0">
        <w:t>which both included two parts</w:t>
      </w:r>
      <w:r w:rsidRPr="00AD4785">
        <w:t xml:space="preserve">. </w:t>
      </w:r>
    </w:p>
    <w:p w:rsidRPr="00AD4785" w:rsidR="007C0F72" w:rsidP="007C0F72" w:rsidRDefault="007C0F72" w14:paraId="03297C23" w14:textId="5FDDBEE6">
      <w:pPr>
        <w:pStyle w:val="BodyText"/>
        <w:spacing w:after="0"/>
        <w:ind w:right="30"/>
      </w:pPr>
      <w:bookmarkStart w:name="_Hlk55474205" w:id="52"/>
      <w:r w:rsidRPr="00AD4785">
        <w:t xml:space="preserve">There were 666 attendees from 483 institutions (390 from institutions that report on the standard form and 93 that report on the short form). Not all attendees responded to each poll </w:t>
      </w:r>
      <w:r w:rsidRPr="00AD4785">
        <w:lastRenderedPageBreak/>
        <w:t xml:space="preserve">question, but some institutions were represented more than once per poll. </w:t>
      </w:r>
      <w:r w:rsidRPr="00AD4785" w:rsidR="0053714D">
        <w:t>Information on the respondent webinar is included in the HERD Proposed COVID-19 Impact Questions Testing (</w:t>
      </w:r>
      <w:r w:rsidRPr="00AD4785">
        <w:t xml:space="preserve">Attachment </w:t>
      </w:r>
      <w:r w:rsidRPr="00AD4785" w:rsidR="0053714D">
        <w:t>13)</w:t>
      </w:r>
      <w:r w:rsidRPr="00AD4785">
        <w:t>.</w:t>
      </w:r>
    </w:p>
    <w:p w:rsidRPr="00AD4785" w:rsidR="007C0F72" w:rsidP="007C0F72" w:rsidRDefault="007C0F72" w14:paraId="698C0E4C" w14:textId="77777777">
      <w:pPr>
        <w:pStyle w:val="BodyText"/>
        <w:spacing w:after="0"/>
        <w:ind w:right="30"/>
      </w:pPr>
      <w:r w:rsidRPr="00AD4785">
        <w:t xml:space="preserve">There were 565 attendees (480 from institutions that report on the standard form and 85 that report on the short form) who responded to Question A. Most poll respondents said Question A would be very easy (7.8%), easy (38.2%) or neither difficult nor easy (37.9%) to answer on the FY 2020 survey. The remaining poll respondents thought Question A would be difficult (15.2%) or very difficult (0.9%). Over 84% of standard form institutions thought Question A would be very easy, easy or neither difficult nor easy. Less than 1% anticipated the question to be very difficult. Over 81% of the short form institutions said Question A would be very easy, easy, or neither difficult nor easy to answer, while only 1.2% anticipated the question to be very difficult.  </w:t>
      </w:r>
    </w:p>
    <w:p w:rsidRPr="00AD4785" w:rsidR="007C0F72" w:rsidP="007C0F72" w:rsidRDefault="007C0F72" w14:paraId="3D0D73AC" w14:textId="77777777">
      <w:pPr>
        <w:pStyle w:val="BodyText"/>
        <w:spacing w:after="0"/>
        <w:ind w:right="30"/>
      </w:pPr>
      <w:r w:rsidRPr="00AD4785">
        <w:t xml:space="preserve">There were 543 attendees (464 from institutions that report on the standard form and 79 that report on the short form) who responded to Question B. About 35% of poll respondents said responding to B1 would be very easy (6.1%) or easy (29.3%) to respond to. More than a quarter (27.1%) of the poll respondents selected the “neither easy nor difficult” option. Another 37% said it would be difficult (30.2%) or very difficult (7.4%). Poll respondents from short form institutions were more likely to indicate that it would be very easy or easy (45.6%) to respond to Question B1 than respondents from standard form institutions (33.6%). Respondents generally anticipated Question B2 to be more difficult to answer </w:t>
      </w:r>
      <w:proofErr w:type="spellStart"/>
      <w:r w:rsidRPr="00AD4785">
        <w:t>than</w:t>
      </w:r>
      <w:proofErr w:type="spellEnd"/>
      <w:r w:rsidRPr="00AD4785">
        <w:t xml:space="preserve"> Question B1, with 57.2% indicating B2 to be difficult or very difficult compared to 37.6% indicating the same view for Question B1. </w:t>
      </w:r>
    </w:p>
    <w:p w:rsidRPr="00AD4785" w:rsidR="007C0F72" w:rsidP="007C0F72" w:rsidRDefault="007C0F72" w14:paraId="481B53D8" w14:textId="77777777">
      <w:pPr>
        <w:pStyle w:val="BodyText"/>
        <w:spacing w:after="0"/>
        <w:ind w:right="30"/>
      </w:pPr>
      <w:r w:rsidRPr="00AD4785">
        <w:t>There were 550 attendees (471 from institutions that report on the standard form and 79 that report on the short form) who responded to Question C. Over half of the poll respondents, regardless of whether they were from institutions that report on the standard or short form, chose the very easy or easy categories for Questions C1 and C2. In total, 60.3% of poll respondents anticipated Question C1 to be easy or very easy, and 54.5% anticipated Question C2 to be easy or very easy to complete if asked on the FY 2020 survey. About 23% of poll respondents anticipated Questions C1 to be neither difficult nor easy and about 29% had the same anticipation for Question C2. Between 16-17% believed Questions C1 and C2 would be difficult or very difficult to respond to.</w:t>
      </w:r>
    </w:p>
    <w:bookmarkEnd w:id="52"/>
    <w:p w:rsidRPr="00AD4785" w:rsidR="00B3370D" w:rsidP="00535210" w:rsidRDefault="00615941" w14:paraId="7FA5FA8F" w14:textId="488E12FA">
      <w:pPr>
        <w:pStyle w:val="BodyText"/>
        <w:spacing w:after="0"/>
        <w:ind w:right="30" w:firstLine="0"/>
      </w:pPr>
      <w:r w:rsidRPr="00AD4785">
        <w:tab/>
      </w:r>
      <w:r w:rsidRPr="00AD4785" w:rsidR="00AB2F90">
        <w:rPr>
          <w:rFonts w:eastAsia="Calibri" w:cstheme="minorHAnsi"/>
        </w:rPr>
        <w:t xml:space="preserve">As part of the cognitive interview process HERD survey institutional contacts were sent the COVID-19 questions prior to scheduling the interview. </w:t>
      </w:r>
      <w:r w:rsidRPr="00AD4785" w:rsidR="00AB2F90">
        <w:t xml:space="preserve">NCSES believes this may have had a </w:t>
      </w:r>
      <w:r w:rsidRPr="00AD4785" w:rsidR="00AB2F90">
        <w:lastRenderedPageBreak/>
        <w:t xml:space="preserve">substantial impact on the greater anticipated difficulty by the webinar poll participants versus those who were interviewed.  When given more time than provided in the webinar for reflection and internal discussion, cognitive interview participants generally understood the questions and did not find them too difficult. </w:t>
      </w:r>
      <w:r w:rsidRPr="00AD4785">
        <w:t>Results from the webinar poll corroborate the view that questions A and C will not be difficult for the large majority of HERD respondents. The webinar poll respondents anticipated more difficulty with Question B. While most respondents in the cognitive interviews believed Question B would not be difficult to answer, 6 of the 15 interviewees did not have any diverted funds. Two other respondents did not have a way of tracking diverted funds. Of the three COVID-19 questions, Question B required the most time to digest in the cognitive interviews.  NCSES believes the webinar poll was a useful tool, but it is not meant to be a replacement for cognitive interviews.</w:t>
      </w:r>
    </w:p>
    <w:p w:rsidRPr="00AD4785" w:rsidR="005F7C62" w:rsidP="001D398B" w:rsidRDefault="00430C99" w14:paraId="4CE3A0F4" w14:textId="33E2EFD7">
      <w:pPr>
        <w:pStyle w:val="Heading2"/>
        <w:rPr>
          <w:bCs/>
        </w:rPr>
      </w:pPr>
      <w:bookmarkStart w:name="_Toc488073274" w:id="53"/>
      <w:bookmarkStart w:name="_Toc57726747" w:id="54"/>
      <w:r w:rsidRPr="00AD4785">
        <w:t>A.</w:t>
      </w:r>
      <w:r w:rsidRPr="00AD4785" w:rsidR="009C1E93">
        <w:t>9</w:t>
      </w:r>
      <w:r w:rsidRPr="00AD4785" w:rsidR="009C1E93">
        <w:tab/>
      </w:r>
      <w:r w:rsidRPr="00AD4785" w:rsidR="008C752D">
        <w:t>Payment or</w:t>
      </w:r>
      <w:r w:rsidRPr="00AD4785" w:rsidR="008C752D">
        <w:rPr>
          <w:spacing w:val="1"/>
        </w:rPr>
        <w:t xml:space="preserve"> </w:t>
      </w:r>
      <w:r w:rsidRPr="00AD4785" w:rsidR="008C752D">
        <w:t xml:space="preserve">Gifts to </w:t>
      </w:r>
      <w:r w:rsidRPr="00AD4785" w:rsidR="00BD77E3">
        <w:t>R</w:t>
      </w:r>
      <w:r w:rsidRPr="00AD4785" w:rsidR="008C752D">
        <w:t>espondents</w:t>
      </w:r>
      <w:bookmarkEnd w:id="53"/>
      <w:bookmarkEnd w:id="54"/>
    </w:p>
    <w:p w:rsidRPr="00AD4785" w:rsidR="005F7C62" w:rsidP="009C1E93" w:rsidRDefault="008C752D" w14:paraId="200BA6D0" w14:textId="4B48498D">
      <w:pPr>
        <w:pStyle w:val="BodyText"/>
      </w:pPr>
      <w:r w:rsidRPr="00AD4785">
        <w:t xml:space="preserve"> There</w:t>
      </w:r>
      <w:r w:rsidRPr="00AD4785">
        <w:rPr>
          <w:spacing w:val="1"/>
        </w:rPr>
        <w:t xml:space="preserve"> </w:t>
      </w:r>
      <w:r w:rsidRPr="00AD4785">
        <w:t>are</w:t>
      </w:r>
      <w:r w:rsidRPr="00AD4785">
        <w:rPr>
          <w:spacing w:val="1"/>
        </w:rPr>
        <w:t xml:space="preserve"> </w:t>
      </w:r>
      <w:r w:rsidRPr="00AD4785">
        <w:t>no payments</w:t>
      </w:r>
      <w:r w:rsidRPr="00AD4785" w:rsidR="00C80947">
        <w:t xml:space="preserve"> or gifts</w:t>
      </w:r>
      <w:r w:rsidRPr="00AD4785">
        <w:t xml:space="preserve"> to respondents.</w:t>
      </w:r>
    </w:p>
    <w:p w:rsidRPr="00AD4785" w:rsidR="005F7C62" w:rsidP="001D398B" w:rsidRDefault="009E66C1" w14:paraId="1A69C332" w14:textId="457864B1">
      <w:pPr>
        <w:pStyle w:val="Heading2"/>
        <w:rPr>
          <w:bCs/>
        </w:rPr>
      </w:pPr>
      <w:bookmarkStart w:name="_Toc488073275" w:id="55"/>
      <w:bookmarkStart w:name="_Toc57726748" w:id="56"/>
      <w:bookmarkStart w:name="_Hlk37245576" w:id="57"/>
      <w:r w:rsidRPr="00AD4785">
        <w:t>A.</w:t>
      </w:r>
      <w:r w:rsidRPr="00AD4785" w:rsidR="009C1E93">
        <w:t>10</w:t>
      </w:r>
      <w:r w:rsidRPr="00AD4785" w:rsidR="009C1E93">
        <w:tab/>
      </w:r>
      <w:r w:rsidRPr="00AD4785" w:rsidR="008C752D">
        <w:t>Assurance of</w:t>
      </w:r>
      <w:r w:rsidRPr="00AD4785" w:rsidR="008C752D">
        <w:rPr>
          <w:spacing w:val="1"/>
        </w:rPr>
        <w:t xml:space="preserve"> </w:t>
      </w:r>
      <w:r w:rsidRPr="00AD4785" w:rsidR="008C752D">
        <w:t>Confidentiality</w:t>
      </w:r>
      <w:bookmarkEnd w:id="55"/>
      <w:bookmarkEnd w:id="56"/>
    </w:p>
    <w:p w:rsidRPr="00AD4785" w:rsidR="001B617D" w:rsidP="001B617D" w:rsidRDefault="001B617D" w14:paraId="41FE5C6D" w14:textId="54B3610F">
      <w:pPr>
        <w:pStyle w:val="BodyText"/>
        <w:tabs>
          <w:tab w:val="left" w:pos="360"/>
        </w:tabs>
      </w:pPr>
      <w:bookmarkStart w:name="_Toc488073276" w:id="58"/>
      <w:bookmarkEnd w:id="57"/>
      <w:r w:rsidRPr="00AD4785">
        <w:t xml:space="preserve">No items on the FFRDC R&amp;D </w:t>
      </w:r>
      <w:r w:rsidRPr="00AD4785" w:rsidR="0048799E">
        <w:t>s</w:t>
      </w:r>
      <w:r w:rsidRPr="00AD4785">
        <w:t xml:space="preserve">urvey are deemed confidential.  All items on the HERD </w:t>
      </w:r>
      <w:r w:rsidRPr="00AD4785" w:rsidR="0048799E">
        <w:t>s</w:t>
      </w:r>
      <w:r w:rsidRPr="00AD4785">
        <w:t xml:space="preserve">urvey are reported at the institutional level except for the following: </w:t>
      </w:r>
    </w:p>
    <w:p w:rsidRPr="00AD4785" w:rsidR="001B617D" w:rsidP="001B617D" w:rsidRDefault="001B617D" w14:paraId="562C92D2" w14:textId="77777777">
      <w:pPr>
        <w:pStyle w:val="BodyText"/>
        <w:numPr>
          <w:ilvl w:val="0"/>
          <w:numId w:val="55"/>
        </w:numPr>
        <w:tabs>
          <w:tab w:val="left" w:pos="0"/>
          <w:tab w:val="left" w:pos="360"/>
        </w:tabs>
        <w:suppressAutoHyphens/>
        <w:spacing w:after="0" w:line="240" w:lineRule="auto"/>
      </w:pPr>
      <w:r w:rsidRPr="00AD4785">
        <w:t xml:space="preserve">the breakdown of institution funds within question 1 (institutionally financed research, cost sharing, and unrecovered indirect costs), </w:t>
      </w:r>
    </w:p>
    <w:p w:rsidRPr="00AD4785" w:rsidR="001B617D" w:rsidP="001B617D" w:rsidRDefault="001B617D" w14:paraId="0709583C" w14:textId="77777777">
      <w:pPr>
        <w:pStyle w:val="BodyText"/>
        <w:numPr>
          <w:ilvl w:val="0"/>
          <w:numId w:val="55"/>
        </w:numPr>
        <w:tabs>
          <w:tab w:val="left" w:pos="0"/>
          <w:tab w:val="left" w:pos="360"/>
        </w:tabs>
        <w:suppressAutoHyphens/>
        <w:spacing w:after="0" w:line="240" w:lineRule="auto"/>
      </w:pPr>
      <w:r w:rsidRPr="00AD4785">
        <w:t xml:space="preserve">the amount of recovered vs. unrecovered indirect costs in question 12.  </w:t>
      </w:r>
    </w:p>
    <w:p w:rsidRPr="00AD4785" w:rsidR="001B617D" w:rsidP="001B617D" w:rsidRDefault="001B617D" w14:paraId="0C8AB663" w14:textId="77777777">
      <w:pPr>
        <w:pStyle w:val="BodyText"/>
        <w:numPr>
          <w:ilvl w:val="0"/>
          <w:numId w:val="55"/>
        </w:numPr>
        <w:tabs>
          <w:tab w:val="left" w:pos="0"/>
          <w:tab w:val="left" w:pos="360"/>
        </w:tabs>
        <w:suppressAutoHyphens/>
        <w:spacing w:after="0" w:line="240" w:lineRule="auto"/>
      </w:pPr>
      <w:r w:rsidRPr="00AD4785">
        <w:t xml:space="preserve">the demographic information on R&amp;D personnel headcounts in revised question 15, </w:t>
      </w:r>
    </w:p>
    <w:p w:rsidRPr="00AD4785" w:rsidR="001B617D" w:rsidP="001B617D" w:rsidRDefault="001B617D" w14:paraId="190885B4" w14:textId="785AF7BC">
      <w:pPr>
        <w:pStyle w:val="BodyText"/>
        <w:numPr>
          <w:ilvl w:val="0"/>
          <w:numId w:val="55"/>
        </w:numPr>
        <w:tabs>
          <w:tab w:val="left" w:pos="0"/>
          <w:tab w:val="left" w:pos="360"/>
        </w:tabs>
        <w:suppressAutoHyphens/>
        <w:spacing w:after="0" w:line="240" w:lineRule="auto"/>
      </w:pPr>
      <w:r w:rsidRPr="00AD4785">
        <w:t>the three new COVID-19 impact questions</w:t>
      </w:r>
      <w:r w:rsidRPr="00AD4785" w:rsidR="001D7A8C">
        <w:t>:</w:t>
      </w:r>
      <w:r w:rsidRPr="00AD4785" w:rsidR="001531C4">
        <w:t xml:space="preserve"> questions A, B and C</w:t>
      </w:r>
      <w:r w:rsidRPr="00AD4785">
        <w:t xml:space="preserve">. </w:t>
      </w:r>
    </w:p>
    <w:p w:rsidRPr="00AD4785" w:rsidR="001B617D" w:rsidP="001B617D" w:rsidRDefault="001B617D" w14:paraId="76FE0D73" w14:textId="77777777">
      <w:pPr>
        <w:pStyle w:val="BodyText"/>
        <w:tabs>
          <w:tab w:val="left" w:pos="360"/>
        </w:tabs>
      </w:pPr>
    </w:p>
    <w:p w:rsidRPr="00AD4785" w:rsidR="001B617D" w:rsidP="001B617D" w:rsidRDefault="001B617D" w14:paraId="0B56E46D" w14:textId="77777777">
      <w:pPr>
        <w:pStyle w:val="BodyText"/>
        <w:tabs>
          <w:tab w:val="left" w:pos="360"/>
        </w:tabs>
      </w:pPr>
      <w:r w:rsidRPr="00AD4785">
        <w:t xml:space="preserve">These items are or will be (in the case of the new questions) presented only as aggregate totals in resulting publications. No institution-level data will be publicly available. The following confidentiality statement, covering these excepted survey items, is included on the questionnaire:      </w:t>
      </w:r>
    </w:p>
    <w:p w:rsidRPr="00AD4785" w:rsidR="001B617D" w:rsidP="001B617D" w:rsidRDefault="001B617D" w14:paraId="1F85CF97" w14:textId="77777777">
      <w:pPr>
        <w:tabs>
          <w:tab w:val="left" w:pos="0"/>
        </w:tabs>
        <w:suppressAutoHyphens/>
        <w:ind w:left="360" w:hanging="720"/>
      </w:pPr>
      <w:r w:rsidRPr="00AD4785">
        <w:tab/>
      </w:r>
      <w:r w:rsidRPr="00AD4785">
        <w:tab/>
        <w:t xml:space="preserve">"Information from confidential items is not published or released for individual institutions; only aggregate totals will appear in publications. In accordance with the National Science Foundation Act of 1950, as amended, and other applicable federal laws, your responses will not be disclosed in identifiable form to anyone other than agency employees or authorized persons. Per the Federal Cybersecurity Enhancement Act of 2015, your data are protected from cybersecurity risks through screening of the federal information systems that transmit your data."  </w:t>
      </w:r>
    </w:p>
    <w:p w:rsidRPr="00AD4785" w:rsidR="005F7C62" w:rsidP="001D398B" w:rsidRDefault="009E66C1" w14:paraId="46D8AF52" w14:textId="1775F1DE">
      <w:pPr>
        <w:pStyle w:val="Heading2"/>
        <w:rPr>
          <w:bCs/>
        </w:rPr>
      </w:pPr>
      <w:bookmarkStart w:name="_Toc57726749" w:id="59"/>
      <w:r w:rsidRPr="00AD4785">
        <w:lastRenderedPageBreak/>
        <w:t>A.</w:t>
      </w:r>
      <w:r w:rsidRPr="00AD4785" w:rsidR="009C1E93">
        <w:t>11</w:t>
      </w:r>
      <w:r w:rsidRPr="00AD4785" w:rsidR="009C1E93">
        <w:tab/>
      </w:r>
      <w:r w:rsidRPr="00AD4785" w:rsidR="00BD77E3">
        <w:t xml:space="preserve">Justification for </w:t>
      </w:r>
      <w:r w:rsidRPr="00AD4785" w:rsidR="008C752D">
        <w:t>Sensitive Questions</w:t>
      </w:r>
      <w:bookmarkEnd w:id="58"/>
      <w:bookmarkEnd w:id="59"/>
    </w:p>
    <w:p w:rsidRPr="00AD4785" w:rsidR="005F7C62" w:rsidP="005C241E" w:rsidRDefault="008C752D" w14:paraId="57855EE7" w14:textId="5B0BEAE6">
      <w:pPr>
        <w:pStyle w:val="BodyText"/>
        <w:spacing w:after="0"/>
      </w:pPr>
      <w:r w:rsidRPr="00AD4785">
        <w:t>The survey</w:t>
      </w:r>
      <w:r w:rsidRPr="00AD4785">
        <w:rPr>
          <w:spacing w:val="-5"/>
        </w:rPr>
        <w:t xml:space="preserve"> </w:t>
      </w:r>
      <w:r w:rsidRPr="00AD4785">
        <w:t xml:space="preserve">does not contain </w:t>
      </w:r>
      <w:r w:rsidRPr="00AD4785">
        <w:rPr>
          <w:spacing w:val="1"/>
        </w:rPr>
        <w:t>any</w:t>
      </w:r>
      <w:r w:rsidRPr="00AD4785">
        <w:rPr>
          <w:spacing w:val="-5"/>
        </w:rPr>
        <w:t xml:space="preserve"> </w:t>
      </w:r>
      <w:r w:rsidRPr="00AD4785">
        <w:t>questions of a sensitive nature.</w:t>
      </w:r>
    </w:p>
    <w:p w:rsidRPr="00AD4785" w:rsidR="002F2F6F" w:rsidP="002F2F6F" w:rsidRDefault="009E66C1" w14:paraId="08B35482" w14:textId="4D906F19">
      <w:pPr>
        <w:pStyle w:val="Heading2"/>
        <w:spacing w:after="180"/>
        <w:rPr>
          <w:bCs/>
        </w:rPr>
      </w:pPr>
      <w:bookmarkStart w:name="_Toc57726750" w:id="60"/>
      <w:bookmarkStart w:name="_Toc488073277" w:id="61"/>
      <w:r w:rsidRPr="00AD4785">
        <w:t>A.</w:t>
      </w:r>
      <w:r w:rsidRPr="00AD4785" w:rsidR="002F2F6F">
        <w:t>12</w:t>
      </w:r>
      <w:r w:rsidRPr="00AD4785" w:rsidR="002F2F6F">
        <w:tab/>
        <w:t>Estimate of Respondent Burden</w:t>
      </w:r>
      <w:bookmarkEnd w:id="60"/>
    </w:p>
    <w:p w:rsidRPr="00AD4785" w:rsidR="001E0E19" w:rsidP="001E0E19" w:rsidRDefault="001E0E19" w14:paraId="3487946C" w14:textId="5C570A22">
      <w:pPr>
        <w:pStyle w:val="BodyText"/>
        <w:rPr>
          <w:rFonts w:cs="Times New Roman"/>
        </w:rPr>
      </w:pPr>
      <w:r w:rsidRPr="00AD4785">
        <w:rPr>
          <w:rFonts w:cs="Times New Roman"/>
        </w:rPr>
        <w:t xml:space="preserve">Data for the FY 2017 survey was collected from 903 institutions (644 standard HERD survey and 259 short form survey). The FY 2018 survey included 915 institutions (650 standard HERD survey and 265 short form survey). The FY 2019 survey included 916 institutions (647 standard HERD survey and 269 short form survey). NCSES expects </w:t>
      </w:r>
      <w:r w:rsidRPr="00AD4785" w:rsidR="003B43C7">
        <w:rPr>
          <w:rFonts w:cs="Times New Roman"/>
        </w:rPr>
        <w:t>minimal</w:t>
      </w:r>
      <w:r w:rsidRPr="00AD4785">
        <w:rPr>
          <w:rFonts w:cs="Times New Roman"/>
        </w:rPr>
        <w:t xml:space="preserve"> increases in both the standard HERD and the short form populations each year as new institutions meeting the threshold are added. </w:t>
      </w:r>
      <w:r w:rsidRPr="00AD4785" w:rsidR="00354EF3">
        <w:rPr>
          <w:rFonts w:cs="Times New Roman"/>
        </w:rPr>
        <w:t xml:space="preserve">The previous estimate in the HERD ICR approved on </w:t>
      </w:r>
      <w:r w:rsidRPr="00AD4785" w:rsidR="003B43C7">
        <w:rPr>
          <w:rFonts w:cs="Times New Roman"/>
        </w:rPr>
        <w:t>August 15, 2019 estimated the HERD short form population at 300. This is being revised to 27</w:t>
      </w:r>
      <w:r w:rsidRPr="00AD4785" w:rsidR="0078136D">
        <w:rPr>
          <w:rFonts w:cs="Times New Roman"/>
        </w:rPr>
        <w:t>5</w:t>
      </w:r>
      <w:r w:rsidRPr="00AD4785" w:rsidR="003B43C7">
        <w:rPr>
          <w:rFonts w:cs="Times New Roman"/>
        </w:rPr>
        <w:t xml:space="preserve"> due to slower than expected growth in the population. </w:t>
      </w:r>
      <w:r w:rsidRPr="00AD4785">
        <w:rPr>
          <w:rFonts w:cs="Times New Roman"/>
        </w:rPr>
        <w:t>For purposes of estimating total burden during this clearance period, NCSES assumes a total HERD population of 9</w:t>
      </w:r>
      <w:r w:rsidRPr="00AD4785" w:rsidR="009A5B5A">
        <w:rPr>
          <w:rFonts w:cs="Times New Roman"/>
        </w:rPr>
        <w:t>2</w:t>
      </w:r>
      <w:r w:rsidRPr="00AD4785" w:rsidR="0078136D">
        <w:rPr>
          <w:rFonts w:cs="Times New Roman"/>
        </w:rPr>
        <w:t>5</w:t>
      </w:r>
      <w:r w:rsidRPr="00AD4785">
        <w:rPr>
          <w:rFonts w:cs="Times New Roman"/>
        </w:rPr>
        <w:t xml:space="preserve"> (650 in the full survey and </w:t>
      </w:r>
      <w:r w:rsidRPr="00AD4785" w:rsidR="009A5B5A">
        <w:rPr>
          <w:rFonts w:cs="Times New Roman"/>
        </w:rPr>
        <w:t>27</w:t>
      </w:r>
      <w:r w:rsidRPr="00AD4785" w:rsidR="0078136D">
        <w:rPr>
          <w:rFonts w:cs="Times New Roman"/>
        </w:rPr>
        <w:t>5</w:t>
      </w:r>
      <w:r w:rsidRPr="00AD4785">
        <w:rPr>
          <w:rFonts w:cs="Times New Roman"/>
        </w:rPr>
        <w:t xml:space="preserve"> in the short form).</w:t>
      </w:r>
    </w:p>
    <w:p w:rsidRPr="00AD4785" w:rsidR="001E0E19" w:rsidP="001E0E19" w:rsidRDefault="001E0E19" w14:paraId="07279DE3" w14:textId="7C64DF0D">
      <w:pPr>
        <w:pStyle w:val="BodyText"/>
        <w:rPr>
          <w:rFonts w:cs="Times New Roman"/>
        </w:rPr>
      </w:pPr>
      <w:r w:rsidRPr="00AD4785">
        <w:rPr>
          <w:rFonts w:cs="Times New Roman"/>
        </w:rPr>
        <w:t xml:space="preserve">The FY 2017-19 FFRDC R&amp;D </w:t>
      </w:r>
      <w:r w:rsidRPr="00AD4785" w:rsidR="0048799E">
        <w:rPr>
          <w:rFonts w:cs="Times New Roman"/>
        </w:rPr>
        <w:t>s</w:t>
      </w:r>
      <w:r w:rsidRPr="00AD4785">
        <w:rPr>
          <w:rFonts w:cs="Times New Roman"/>
        </w:rPr>
        <w:t>urveys have included the full population of FFRDCs each year (42 in each year). The size of the FFRDC population has been highly stable over time.</w:t>
      </w:r>
    </w:p>
    <w:p w:rsidRPr="00AD4785" w:rsidR="001E0E19" w:rsidP="001E0E19" w:rsidRDefault="001E0E19" w14:paraId="6BD7DDE4" w14:textId="6AB0B060">
      <w:pPr>
        <w:pStyle w:val="BodyText"/>
        <w:rPr>
          <w:rFonts w:cs="Times New Roman"/>
        </w:rPr>
      </w:pPr>
      <w:r w:rsidRPr="00AD4785">
        <w:rPr>
          <w:rFonts w:cs="Times New Roman"/>
        </w:rPr>
        <w:t xml:space="preserve">High response rates have consistently been obtained: in FY 2017 the response rate for the HERD </w:t>
      </w:r>
      <w:r w:rsidRPr="00AD4785" w:rsidR="0048799E">
        <w:rPr>
          <w:rFonts w:cs="Times New Roman"/>
        </w:rPr>
        <w:t>s</w:t>
      </w:r>
      <w:r w:rsidRPr="00AD4785">
        <w:rPr>
          <w:rFonts w:cs="Times New Roman"/>
        </w:rPr>
        <w:t>urvey was 96.2%, in FY 2018 it was 96.9% and in FY 2019 the response rate was 96.</w:t>
      </w:r>
      <w:r w:rsidRPr="00AD4785" w:rsidR="005C55F7">
        <w:rPr>
          <w:rFonts w:cs="Times New Roman"/>
        </w:rPr>
        <w:t>7</w:t>
      </w:r>
      <w:r w:rsidRPr="00AD4785">
        <w:rPr>
          <w:rFonts w:cs="Times New Roman"/>
        </w:rPr>
        <w:t xml:space="preserve">%. The FFRDC R&amp;D </w:t>
      </w:r>
      <w:r w:rsidRPr="00AD4785" w:rsidR="0048799E">
        <w:rPr>
          <w:rFonts w:cs="Times New Roman"/>
        </w:rPr>
        <w:t>s</w:t>
      </w:r>
      <w:r w:rsidRPr="00AD4785">
        <w:rPr>
          <w:rFonts w:cs="Times New Roman"/>
        </w:rPr>
        <w:t>urvey response rate has been 100% each year.</w:t>
      </w:r>
    </w:p>
    <w:p w:rsidRPr="00AD4785" w:rsidR="001E0E19" w:rsidP="001E0E19" w:rsidRDefault="001E0E19" w14:paraId="66E2438D" w14:textId="62E55376">
      <w:pPr>
        <w:pStyle w:val="BodyText"/>
        <w:rPr>
          <w:rFonts w:cs="Times New Roman"/>
        </w:rPr>
      </w:pPr>
      <w:r w:rsidRPr="00AD4785">
        <w:rPr>
          <w:rFonts w:cs="Times New Roman"/>
        </w:rPr>
        <w:t xml:space="preserve">Based on </w:t>
      </w:r>
      <w:r w:rsidRPr="00AD4785">
        <w:rPr>
          <w:rFonts w:eastAsia="Calibri" w:cs="Times New Roman"/>
        </w:rPr>
        <w:t>cognitive interviews</w:t>
      </w:r>
      <w:r w:rsidRPr="00AD4785">
        <w:rPr>
          <w:rFonts w:cs="Times New Roman"/>
        </w:rPr>
        <w:t xml:space="preserve"> with 16 respondents regarding the new personnel questions and another 15 respondents regarding the new COVID-19 impact questions, NCSES expects the increased burden to be approximately 10 hours per HERD standard form institutions for the personnel questions for a total of 6,500 hours (650 institutions * 10 hours). The personnel questions only appear on the HERD standard form questionnaire. NCSES estimates that institutions will spend no more than 15 minutes on the new COVID-19 impact questions, which will appear on both the HERD </w:t>
      </w:r>
      <w:r w:rsidRPr="00AD4785" w:rsidR="00DA7A0C">
        <w:rPr>
          <w:rFonts w:cs="Times New Roman"/>
        </w:rPr>
        <w:t xml:space="preserve">standard form </w:t>
      </w:r>
      <w:r w:rsidRPr="00AD4785">
        <w:rPr>
          <w:rFonts w:cs="Times New Roman"/>
        </w:rPr>
        <w:t>and short form questionnaires. This represents an increase in burden of 16</w:t>
      </w:r>
      <w:r w:rsidRPr="00AD4785" w:rsidR="00A377E8">
        <w:rPr>
          <w:rFonts w:cs="Times New Roman"/>
        </w:rPr>
        <w:t>3</w:t>
      </w:r>
      <w:r w:rsidRPr="00AD4785">
        <w:rPr>
          <w:rFonts w:cs="Times New Roman"/>
        </w:rPr>
        <w:t xml:space="preserve"> hours for standard form respondents (650 institutions * 15 minutes) and </w:t>
      </w:r>
      <w:r w:rsidRPr="00AD4785" w:rsidR="009A5B5A">
        <w:rPr>
          <w:rFonts w:cs="Times New Roman"/>
        </w:rPr>
        <w:t>6</w:t>
      </w:r>
      <w:r w:rsidRPr="00AD4785" w:rsidR="0078136D">
        <w:rPr>
          <w:rFonts w:cs="Times New Roman"/>
        </w:rPr>
        <w:t>9</w:t>
      </w:r>
      <w:r w:rsidRPr="00AD4785">
        <w:rPr>
          <w:rFonts w:cs="Times New Roman"/>
        </w:rPr>
        <w:t xml:space="preserve"> hours for short form respondents (</w:t>
      </w:r>
      <w:r w:rsidRPr="00AD4785" w:rsidR="009A5B5A">
        <w:rPr>
          <w:rFonts w:cs="Times New Roman"/>
        </w:rPr>
        <w:t>27</w:t>
      </w:r>
      <w:r w:rsidRPr="00AD4785" w:rsidR="0078136D">
        <w:rPr>
          <w:rFonts w:cs="Times New Roman"/>
        </w:rPr>
        <w:t>5</w:t>
      </w:r>
      <w:r w:rsidRPr="00AD4785">
        <w:rPr>
          <w:rFonts w:cs="Times New Roman"/>
        </w:rPr>
        <w:t xml:space="preserve"> * 15) for 23</w:t>
      </w:r>
      <w:r w:rsidRPr="00AD4785" w:rsidR="0078136D">
        <w:rPr>
          <w:rFonts w:cs="Times New Roman"/>
        </w:rPr>
        <w:t>2</w:t>
      </w:r>
      <w:r w:rsidRPr="00AD4785">
        <w:rPr>
          <w:rFonts w:cs="Times New Roman"/>
        </w:rPr>
        <w:t xml:space="preserve"> total hours of burden related to the COVID-19 impact questions. </w:t>
      </w:r>
    </w:p>
    <w:p w:rsidRPr="00AD4785" w:rsidR="001E0E19" w:rsidP="001E0E19" w:rsidRDefault="001E0E19" w14:paraId="54BAFF78" w14:textId="77AFAA3C">
      <w:pPr>
        <w:pStyle w:val="BodyText"/>
        <w:rPr>
          <w:rFonts w:cs="Times New Roman"/>
        </w:rPr>
      </w:pPr>
      <w:r w:rsidRPr="00AD4785">
        <w:rPr>
          <w:rFonts w:cs="Times New Roman"/>
        </w:rPr>
        <w:lastRenderedPageBreak/>
        <w:t xml:space="preserve">Implementing </w:t>
      </w:r>
      <w:r w:rsidRPr="00AD4785" w:rsidR="00AE7692">
        <w:rPr>
          <w:rFonts w:cs="Times New Roman"/>
        </w:rPr>
        <w:t>the questionnaire</w:t>
      </w:r>
      <w:r w:rsidRPr="00AD4785">
        <w:rPr>
          <w:rFonts w:cs="Times New Roman"/>
        </w:rPr>
        <w:t xml:space="preserve"> changes </w:t>
      </w:r>
      <w:r w:rsidRPr="00AD4785" w:rsidR="00AE7692">
        <w:rPr>
          <w:rFonts w:cs="Times New Roman"/>
        </w:rPr>
        <w:t xml:space="preserve">as well as revising </w:t>
      </w:r>
      <w:r w:rsidRPr="00AD4785" w:rsidR="00424CDA">
        <w:rPr>
          <w:rFonts w:cs="Times New Roman"/>
        </w:rPr>
        <w:t xml:space="preserve">downward </w:t>
      </w:r>
      <w:r w:rsidRPr="00AD4785" w:rsidR="00AE7692">
        <w:rPr>
          <w:rFonts w:cs="Times New Roman"/>
        </w:rPr>
        <w:t xml:space="preserve">the short form population estimate </w:t>
      </w:r>
      <w:r w:rsidRPr="00AD4785" w:rsidR="0078136D">
        <w:rPr>
          <w:rFonts w:cs="Times New Roman"/>
        </w:rPr>
        <w:t xml:space="preserve">from 300 to 275 </w:t>
      </w:r>
      <w:r w:rsidRPr="00AD4785">
        <w:rPr>
          <w:rFonts w:cs="Times New Roman"/>
        </w:rPr>
        <w:t xml:space="preserve">requires updating the annual burden estimate for the standard and short forms. The previous annual burden estimate for the HERD standard form survey was 35,100 hours; this would be increased to 41,763. The previous annual estimate for the HERD short form survey was 2,400 hours; this would be </w:t>
      </w:r>
      <w:r w:rsidRPr="00AD4785" w:rsidR="00AE7692">
        <w:rPr>
          <w:rFonts w:cs="Times New Roman"/>
        </w:rPr>
        <w:t>decreased</w:t>
      </w:r>
      <w:r w:rsidRPr="00AD4785">
        <w:rPr>
          <w:rFonts w:cs="Times New Roman"/>
        </w:rPr>
        <w:t xml:space="preserve"> to 2,</w:t>
      </w:r>
      <w:r w:rsidRPr="00AD4785" w:rsidR="00AE7692">
        <w:rPr>
          <w:rFonts w:cs="Times New Roman"/>
        </w:rPr>
        <w:t>2</w:t>
      </w:r>
      <w:r w:rsidRPr="00AD4785" w:rsidR="0001691A">
        <w:rPr>
          <w:rFonts w:cs="Times New Roman"/>
        </w:rPr>
        <w:t>69</w:t>
      </w:r>
      <w:r w:rsidRPr="00AD4785">
        <w:rPr>
          <w:rFonts w:cs="Times New Roman"/>
        </w:rPr>
        <w:t>.</w:t>
      </w:r>
    </w:p>
    <w:p w:rsidRPr="00AD4785" w:rsidR="001E0E19" w:rsidP="001E0E19" w:rsidRDefault="001E0E19" w14:paraId="37A86A36" w14:textId="148F391F">
      <w:pPr>
        <w:pStyle w:val="BodyText"/>
        <w:rPr>
          <w:rFonts w:cs="Times New Roman"/>
        </w:rPr>
      </w:pPr>
      <w:r w:rsidRPr="00AD4785">
        <w:rPr>
          <w:rFonts w:cs="Times New Roman"/>
        </w:rPr>
        <w:t>The total burden estimate for the FFRDC R&amp;D survey remains unchanged at 462. The HERD population review burden estimate remains unchanged at 125.</w:t>
      </w:r>
      <w:r w:rsidRPr="00AD4785" w:rsidR="00E051B2">
        <w:rPr>
          <w:rFonts w:cs="Times New Roman"/>
        </w:rPr>
        <w:t xml:space="preserve"> </w:t>
      </w:r>
      <w:r w:rsidRPr="00AD4785">
        <w:rPr>
          <w:rFonts w:cs="Times New Roman"/>
        </w:rPr>
        <w:t>The new total annual burden is estimated to be 44,</w:t>
      </w:r>
      <w:r w:rsidRPr="00AD4785" w:rsidR="0001691A">
        <w:rPr>
          <w:rFonts w:cs="Times New Roman"/>
        </w:rPr>
        <w:t>619</w:t>
      </w:r>
      <w:r w:rsidRPr="00AD4785">
        <w:rPr>
          <w:rFonts w:cs="Times New Roman"/>
        </w:rPr>
        <w:t xml:space="preserve"> hours.</w:t>
      </w:r>
    </w:p>
    <w:p w:rsidRPr="00AD4785" w:rsidR="001E0E19" w:rsidP="001E0E19" w:rsidRDefault="001E0E19" w14:paraId="2D227F7F" w14:textId="23321253">
      <w:pPr>
        <w:pStyle w:val="BodyText"/>
        <w:rPr>
          <w:rFonts w:cs="Times New Roman"/>
        </w:rPr>
      </w:pPr>
      <w:r w:rsidRPr="00AD4785">
        <w:rPr>
          <w:rFonts w:cs="Times New Roman"/>
        </w:rPr>
        <w:t xml:space="preserve">For FY 2020-21, NCSES is estimating an average annual burden of 1 hour for the HERD population screener, 64 hours for the standard HERD </w:t>
      </w:r>
      <w:r w:rsidRPr="00AD4785" w:rsidR="0048799E">
        <w:rPr>
          <w:rFonts w:cs="Times New Roman"/>
        </w:rPr>
        <w:t>s</w:t>
      </w:r>
      <w:r w:rsidRPr="00AD4785">
        <w:rPr>
          <w:rFonts w:cs="Times New Roman"/>
        </w:rPr>
        <w:t xml:space="preserve">urvey, 8 hours for the HERD short form, and 11 hours for the FFRDC </w:t>
      </w:r>
      <w:r w:rsidRPr="00AD4785" w:rsidR="0048799E">
        <w:rPr>
          <w:rFonts w:cs="Times New Roman"/>
        </w:rPr>
        <w:t>s</w:t>
      </w:r>
      <w:r w:rsidRPr="00AD4785">
        <w:rPr>
          <w:rFonts w:cs="Times New Roman"/>
        </w:rPr>
        <w:t xml:space="preserve">urvey. </w:t>
      </w:r>
    </w:p>
    <w:p w:rsidRPr="00AD4785" w:rsidR="001E0E19" w:rsidP="001E0E19" w:rsidRDefault="001E0E19" w14:paraId="57ACF785" w14:textId="2DE0B3B3">
      <w:pPr>
        <w:pStyle w:val="BodyText"/>
        <w:rPr>
          <w:rFonts w:cs="Times New Roman"/>
        </w:rPr>
      </w:pPr>
      <w:r w:rsidRPr="00AD4785">
        <w:rPr>
          <w:rFonts w:cs="Times New Roman"/>
        </w:rPr>
        <w:t>A summary of the annual burden estimates is included in the table below.  At an estimated cost of $34.31 per hour (based on the Bureau of Labor Statistics May 2019 average hourly wages for “Budget Analysts,” within NAICS 611300 - Colleges, Universities, and Professional Schools, accessed on November 17, 2020 at https://www.bls.gov/oes/current/naics4_611300.htm), the total annual cost to respondent institutions is $1,</w:t>
      </w:r>
      <w:r w:rsidRPr="00AD4785" w:rsidR="00283C59">
        <w:rPr>
          <w:rFonts w:cs="Times New Roman"/>
        </w:rPr>
        <w:t>530,878</w:t>
      </w:r>
      <w:r w:rsidRPr="00AD4785">
        <w:rPr>
          <w:rFonts w:cs="Times New Roman"/>
        </w:rPr>
        <w:t xml:space="preserve"> ($1,</w:t>
      </w:r>
      <w:r w:rsidRPr="00AD4785" w:rsidR="00AE7692">
        <w:rPr>
          <w:rFonts w:cs="Times New Roman"/>
        </w:rPr>
        <w:t>40</w:t>
      </w:r>
      <w:r w:rsidRPr="00AD4785" w:rsidR="00283C59">
        <w:rPr>
          <w:rFonts w:cs="Times New Roman"/>
        </w:rPr>
        <w:t>2</w:t>
      </w:r>
      <w:r w:rsidRPr="00AD4785">
        <w:rPr>
          <w:rFonts w:cs="Times New Roman"/>
        </w:rPr>
        <w:t xml:space="preserve"> per respondent).</w:t>
      </w:r>
    </w:p>
    <w:p w:rsidRPr="00AD4785" w:rsidR="001E0E19" w:rsidP="001E0E19" w:rsidRDefault="001E0E19" w14:paraId="21A09404" w14:textId="77777777">
      <w:pPr>
        <w:tabs>
          <w:tab w:val="left" w:pos="0"/>
          <w:tab w:val="left" w:pos="360"/>
        </w:tabs>
        <w:suppressAutoHyphens/>
      </w:pPr>
    </w:p>
    <w:p w:rsidRPr="00AD4785" w:rsidR="001E0E19" w:rsidP="001E0E19" w:rsidRDefault="001E0E19" w14:paraId="285B2A1B" w14:textId="6C00AF11">
      <w:pPr>
        <w:tabs>
          <w:tab w:val="left" w:pos="0"/>
          <w:tab w:val="left" w:pos="360"/>
        </w:tabs>
        <w:suppressAutoHyphens/>
        <w:ind w:left="360"/>
        <w:rPr>
          <w:b/>
        </w:rPr>
      </w:pPr>
      <w:r w:rsidRPr="00AD4785">
        <w:rPr>
          <w:b/>
        </w:rPr>
        <w:t>Table A-12.  Annual Burden Estimates for FY 2020-21 Surveys</w:t>
      </w:r>
    </w:p>
    <w:p w:rsidRPr="00AD4785" w:rsidR="001E0E19" w:rsidP="001E0E19" w:rsidRDefault="001E0E19" w14:paraId="4C6B20AE" w14:textId="77777777">
      <w:pPr>
        <w:tabs>
          <w:tab w:val="left" w:pos="0"/>
          <w:tab w:val="left" w:pos="360"/>
        </w:tabs>
        <w:suppressAutoHyphens/>
        <w:ind w:left="360"/>
        <w:rPr>
          <w:b/>
        </w:rPr>
      </w:pPr>
    </w:p>
    <w:tbl>
      <w:tblPr>
        <w:tblW w:w="963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30"/>
        <w:gridCol w:w="1530"/>
        <w:gridCol w:w="1800"/>
        <w:gridCol w:w="1620"/>
        <w:gridCol w:w="1350"/>
      </w:tblGrid>
      <w:tr w:rsidRPr="00AD4785" w:rsidR="00405589" w:rsidTr="007C292D" w14:paraId="5D34F917" w14:textId="77777777">
        <w:tc>
          <w:tcPr>
            <w:tcW w:w="3330" w:type="dxa"/>
          </w:tcPr>
          <w:p w:rsidRPr="00AD4785" w:rsidR="001E0E19" w:rsidP="00110294" w:rsidRDefault="001E0E19" w14:paraId="44D18901" w14:textId="77777777">
            <w:pPr>
              <w:tabs>
                <w:tab w:val="left" w:pos="0"/>
                <w:tab w:val="left" w:pos="360"/>
              </w:tabs>
              <w:suppressAutoHyphens/>
              <w:rPr>
                <w:b/>
                <w:sz w:val="22"/>
              </w:rPr>
            </w:pPr>
            <w:r w:rsidRPr="00AD4785">
              <w:rPr>
                <w:b/>
                <w:sz w:val="22"/>
              </w:rPr>
              <w:t>Category</w:t>
            </w:r>
          </w:p>
        </w:tc>
        <w:tc>
          <w:tcPr>
            <w:tcW w:w="1530" w:type="dxa"/>
          </w:tcPr>
          <w:p w:rsidRPr="00AD4785" w:rsidR="001E0E19" w:rsidP="00110294" w:rsidRDefault="001E0E19" w14:paraId="3581C461" w14:textId="77777777">
            <w:pPr>
              <w:tabs>
                <w:tab w:val="left" w:pos="0"/>
                <w:tab w:val="left" w:pos="360"/>
              </w:tabs>
              <w:suppressAutoHyphens/>
              <w:rPr>
                <w:b/>
                <w:sz w:val="22"/>
              </w:rPr>
            </w:pPr>
            <w:r w:rsidRPr="00AD4785">
              <w:rPr>
                <w:b/>
                <w:sz w:val="22"/>
              </w:rPr>
              <w:t>Estimated # of Responses</w:t>
            </w:r>
          </w:p>
        </w:tc>
        <w:tc>
          <w:tcPr>
            <w:tcW w:w="1800" w:type="dxa"/>
          </w:tcPr>
          <w:p w:rsidRPr="00AD4785" w:rsidR="001E0E19" w:rsidP="00110294" w:rsidRDefault="001E0E19" w14:paraId="4E578EFC" w14:textId="77777777">
            <w:pPr>
              <w:tabs>
                <w:tab w:val="left" w:pos="0"/>
                <w:tab w:val="left" w:pos="360"/>
              </w:tabs>
              <w:suppressAutoHyphens/>
              <w:rPr>
                <w:b/>
                <w:sz w:val="22"/>
              </w:rPr>
            </w:pPr>
            <w:r w:rsidRPr="00AD4785">
              <w:rPr>
                <w:b/>
                <w:sz w:val="22"/>
              </w:rPr>
              <w:t>Respondent Burden (hours)</w:t>
            </w:r>
          </w:p>
        </w:tc>
        <w:tc>
          <w:tcPr>
            <w:tcW w:w="1620" w:type="dxa"/>
          </w:tcPr>
          <w:p w:rsidRPr="00AD4785" w:rsidR="001E0E19" w:rsidP="00110294" w:rsidRDefault="001E0E19" w14:paraId="101539E8" w14:textId="77777777">
            <w:pPr>
              <w:tabs>
                <w:tab w:val="left" w:pos="0"/>
                <w:tab w:val="left" w:pos="360"/>
              </w:tabs>
              <w:suppressAutoHyphens/>
              <w:rPr>
                <w:b/>
                <w:sz w:val="22"/>
              </w:rPr>
            </w:pPr>
            <w:r w:rsidRPr="00AD4785">
              <w:rPr>
                <w:b/>
                <w:sz w:val="22"/>
              </w:rPr>
              <w:t>Total Burden Hours</w:t>
            </w:r>
          </w:p>
        </w:tc>
        <w:tc>
          <w:tcPr>
            <w:tcW w:w="1350" w:type="dxa"/>
          </w:tcPr>
          <w:p w:rsidRPr="00AD4785" w:rsidR="001E0E19" w:rsidP="00110294" w:rsidRDefault="001E0E19" w14:paraId="195B4363" w14:textId="77777777">
            <w:pPr>
              <w:tabs>
                <w:tab w:val="left" w:pos="0"/>
                <w:tab w:val="left" w:pos="360"/>
              </w:tabs>
              <w:suppressAutoHyphens/>
              <w:rPr>
                <w:b/>
                <w:sz w:val="22"/>
              </w:rPr>
            </w:pPr>
            <w:r w:rsidRPr="00AD4785">
              <w:rPr>
                <w:b/>
                <w:sz w:val="22"/>
              </w:rPr>
              <w:t>Total Cost Burden</w:t>
            </w:r>
          </w:p>
        </w:tc>
      </w:tr>
      <w:tr w:rsidRPr="00AD4785" w:rsidR="00405589" w:rsidTr="007C292D" w14:paraId="7F01FFDB" w14:textId="77777777">
        <w:tc>
          <w:tcPr>
            <w:tcW w:w="3330" w:type="dxa"/>
          </w:tcPr>
          <w:p w:rsidRPr="00AD4785" w:rsidR="001E0E19" w:rsidP="00110294" w:rsidRDefault="001E0E19" w14:paraId="5444D62C" w14:textId="77777777">
            <w:pPr>
              <w:tabs>
                <w:tab w:val="left" w:pos="0"/>
                <w:tab w:val="left" w:pos="360"/>
              </w:tabs>
              <w:suppressAutoHyphens/>
              <w:rPr>
                <w:b/>
                <w:bCs/>
                <w:sz w:val="22"/>
              </w:rPr>
            </w:pPr>
            <w:r w:rsidRPr="00AD4785">
              <w:rPr>
                <w:b/>
                <w:bCs/>
                <w:sz w:val="22"/>
              </w:rPr>
              <w:t>HERD population review</w:t>
            </w:r>
          </w:p>
        </w:tc>
        <w:tc>
          <w:tcPr>
            <w:tcW w:w="1530" w:type="dxa"/>
          </w:tcPr>
          <w:p w:rsidRPr="00AD4785" w:rsidR="001E0E19" w:rsidP="00110294" w:rsidRDefault="001E0E19" w14:paraId="6FD9489F" w14:textId="77777777">
            <w:pPr>
              <w:tabs>
                <w:tab w:val="left" w:pos="0"/>
                <w:tab w:val="left" w:pos="360"/>
              </w:tabs>
              <w:suppressAutoHyphens/>
              <w:jc w:val="right"/>
              <w:rPr>
                <w:b/>
                <w:bCs/>
                <w:sz w:val="22"/>
              </w:rPr>
            </w:pPr>
            <w:r w:rsidRPr="00AD4785">
              <w:rPr>
                <w:b/>
                <w:bCs/>
                <w:sz w:val="22"/>
              </w:rPr>
              <w:t>125</w:t>
            </w:r>
          </w:p>
        </w:tc>
        <w:tc>
          <w:tcPr>
            <w:tcW w:w="1800" w:type="dxa"/>
          </w:tcPr>
          <w:p w:rsidRPr="00AD4785" w:rsidR="001E0E19" w:rsidP="00110294" w:rsidRDefault="001E0E19" w14:paraId="7DC3F884" w14:textId="77777777">
            <w:pPr>
              <w:tabs>
                <w:tab w:val="left" w:pos="0"/>
                <w:tab w:val="left" w:pos="360"/>
              </w:tabs>
              <w:suppressAutoHyphens/>
              <w:jc w:val="right"/>
              <w:rPr>
                <w:b/>
                <w:bCs/>
                <w:sz w:val="22"/>
              </w:rPr>
            </w:pPr>
            <w:r w:rsidRPr="00AD4785">
              <w:rPr>
                <w:b/>
                <w:bCs/>
                <w:sz w:val="22"/>
              </w:rPr>
              <w:t>1</w:t>
            </w:r>
          </w:p>
        </w:tc>
        <w:tc>
          <w:tcPr>
            <w:tcW w:w="1620" w:type="dxa"/>
          </w:tcPr>
          <w:p w:rsidRPr="00AD4785" w:rsidR="001E0E19" w:rsidP="00110294" w:rsidRDefault="001E0E19" w14:paraId="6221CA6D" w14:textId="77777777">
            <w:pPr>
              <w:tabs>
                <w:tab w:val="left" w:pos="0"/>
                <w:tab w:val="left" w:pos="360"/>
              </w:tabs>
              <w:suppressAutoHyphens/>
              <w:jc w:val="right"/>
              <w:rPr>
                <w:b/>
                <w:bCs/>
                <w:sz w:val="22"/>
              </w:rPr>
            </w:pPr>
            <w:r w:rsidRPr="00AD4785">
              <w:rPr>
                <w:b/>
                <w:bCs/>
                <w:sz w:val="22"/>
              </w:rPr>
              <w:t>125</w:t>
            </w:r>
          </w:p>
        </w:tc>
        <w:tc>
          <w:tcPr>
            <w:tcW w:w="1350" w:type="dxa"/>
          </w:tcPr>
          <w:p w:rsidRPr="00AD4785" w:rsidR="001E0E19" w:rsidP="00110294" w:rsidRDefault="001E0E19" w14:paraId="455F95C8" w14:textId="77777777">
            <w:pPr>
              <w:tabs>
                <w:tab w:val="left" w:pos="0"/>
                <w:tab w:val="left" w:pos="360"/>
              </w:tabs>
              <w:suppressAutoHyphens/>
              <w:jc w:val="right"/>
              <w:rPr>
                <w:b/>
                <w:bCs/>
                <w:sz w:val="22"/>
              </w:rPr>
            </w:pPr>
            <w:r w:rsidRPr="00AD4785">
              <w:rPr>
                <w:b/>
                <w:bCs/>
                <w:sz w:val="22"/>
              </w:rPr>
              <w:t>$4,289</w:t>
            </w:r>
          </w:p>
        </w:tc>
      </w:tr>
      <w:tr w:rsidRPr="00AD4785" w:rsidR="00405589" w:rsidTr="007C292D" w14:paraId="38D6B081" w14:textId="77777777">
        <w:tc>
          <w:tcPr>
            <w:tcW w:w="3330" w:type="dxa"/>
          </w:tcPr>
          <w:p w:rsidRPr="00AD4785" w:rsidR="001E0E19" w:rsidP="00110294" w:rsidRDefault="001E0E19" w14:paraId="0AC16B79" w14:textId="4A117DD0">
            <w:pPr>
              <w:tabs>
                <w:tab w:val="left" w:pos="0"/>
                <w:tab w:val="left" w:pos="360"/>
              </w:tabs>
              <w:suppressAutoHyphens/>
              <w:rPr>
                <w:b/>
                <w:bCs/>
                <w:sz w:val="22"/>
              </w:rPr>
            </w:pPr>
            <w:r w:rsidRPr="00AD4785">
              <w:rPr>
                <w:b/>
                <w:bCs/>
                <w:sz w:val="22"/>
              </w:rPr>
              <w:t xml:space="preserve">HERD </w:t>
            </w:r>
            <w:r w:rsidRPr="00AD4785" w:rsidR="007C292D">
              <w:rPr>
                <w:b/>
                <w:bCs/>
                <w:sz w:val="22"/>
              </w:rPr>
              <w:t>standard s</w:t>
            </w:r>
            <w:r w:rsidRPr="00AD4785">
              <w:rPr>
                <w:b/>
                <w:bCs/>
                <w:sz w:val="22"/>
              </w:rPr>
              <w:t>urvey</w:t>
            </w:r>
          </w:p>
        </w:tc>
        <w:tc>
          <w:tcPr>
            <w:tcW w:w="1530" w:type="dxa"/>
          </w:tcPr>
          <w:p w:rsidRPr="00AD4785" w:rsidR="001E0E19" w:rsidP="00110294" w:rsidRDefault="001E0E19" w14:paraId="3944BEA0" w14:textId="77777777">
            <w:pPr>
              <w:tabs>
                <w:tab w:val="left" w:pos="0"/>
                <w:tab w:val="left" w:pos="360"/>
              </w:tabs>
              <w:suppressAutoHyphens/>
              <w:jc w:val="right"/>
              <w:rPr>
                <w:b/>
                <w:bCs/>
                <w:sz w:val="22"/>
              </w:rPr>
            </w:pPr>
            <w:r w:rsidRPr="00AD4785">
              <w:rPr>
                <w:b/>
                <w:bCs/>
                <w:sz w:val="22"/>
              </w:rPr>
              <w:t>650</w:t>
            </w:r>
          </w:p>
        </w:tc>
        <w:tc>
          <w:tcPr>
            <w:tcW w:w="1800" w:type="dxa"/>
          </w:tcPr>
          <w:p w:rsidRPr="00AD4785" w:rsidR="001E0E19" w:rsidP="00110294" w:rsidRDefault="001E0E19" w14:paraId="1D51C669" w14:textId="77777777">
            <w:pPr>
              <w:tabs>
                <w:tab w:val="left" w:pos="0"/>
                <w:tab w:val="left" w:pos="360"/>
              </w:tabs>
              <w:suppressAutoHyphens/>
              <w:jc w:val="right"/>
              <w:rPr>
                <w:b/>
                <w:bCs/>
                <w:sz w:val="22"/>
              </w:rPr>
            </w:pPr>
            <w:r w:rsidRPr="00AD4785">
              <w:rPr>
                <w:b/>
                <w:bCs/>
                <w:sz w:val="22"/>
              </w:rPr>
              <w:t>64</w:t>
            </w:r>
          </w:p>
        </w:tc>
        <w:tc>
          <w:tcPr>
            <w:tcW w:w="1620" w:type="dxa"/>
          </w:tcPr>
          <w:p w:rsidRPr="00AD4785" w:rsidR="001E0E19" w:rsidP="00110294" w:rsidRDefault="001E0E19" w14:paraId="65356C28" w14:textId="09D6781D">
            <w:pPr>
              <w:tabs>
                <w:tab w:val="left" w:pos="0"/>
                <w:tab w:val="left" w:pos="360"/>
              </w:tabs>
              <w:suppressAutoHyphens/>
              <w:jc w:val="right"/>
              <w:rPr>
                <w:b/>
                <w:bCs/>
                <w:sz w:val="22"/>
              </w:rPr>
            </w:pPr>
            <w:r w:rsidRPr="00AD4785">
              <w:rPr>
                <w:b/>
                <w:bCs/>
                <w:sz w:val="22"/>
              </w:rPr>
              <w:t>41,</w:t>
            </w:r>
            <w:r w:rsidRPr="00AD4785" w:rsidR="007C292D">
              <w:rPr>
                <w:b/>
                <w:bCs/>
                <w:sz w:val="22"/>
              </w:rPr>
              <w:t>763</w:t>
            </w:r>
            <w:r w:rsidRPr="00AD4785">
              <w:rPr>
                <w:b/>
                <w:bCs/>
                <w:sz w:val="22"/>
              </w:rPr>
              <w:t xml:space="preserve"> </w:t>
            </w:r>
          </w:p>
        </w:tc>
        <w:tc>
          <w:tcPr>
            <w:tcW w:w="1350" w:type="dxa"/>
          </w:tcPr>
          <w:p w:rsidRPr="00AD4785" w:rsidR="001E0E19" w:rsidP="00110294" w:rsidRDefault="001E0E19" w14:paraId="4D831558" w14:textId="372B6C21">
            <w:pPr>
              <w:tabs>
                <w:tab w:val="left" w:pos="0"/>
                <w:tab w:val="left" w:pos="360"/>
              </w:tabs>
              <w:suppressAutoHyphens/>
              <w:jc w:val="right"/>
              <w:rPr>
                <w:b/>
                <w:bCs/>
                <w:sz w:val="22"/>
              </w:rPr>
            </w:pPr>
            <w:r w:rsidRPr="00AD4785">
              <w:rPr>
                <w:b/>
                <w:bCs/>
                <w:sz w:val="22"/>
              </w:rPr>
              <w:t>$1,4</w:t>
            </w:r>
            <w:r w:rsidRPr="00AD4785" w:rsidR="00C36605">
              <w:rPr>
                <w:b/>
                <w:bCs/>
                <w:sz w:val="22"/>
              </w:rPr>
              <w:t>32</w:t>
            </w:r>
            <w:r w:rsidRPr="00AD4785">
              <w:rPr>
                <w:b/>
                <w:bCs/>
                <w:sz w:val="22"/>
              </w:rPr>
              <w:t>,</w:t>
            </w:r>
            <w:r w:rsidRPr="00AD4785" w:rsidR="00C36605">
              <w:rPr>
                <w:b/>
                <w:bCs/>
                <w:sz w:val="22"/>
              </w:rPr>
              <w:t>8</w:t>
            </w:r>
            <w:r w:rsidRPr="00AD4785" w:rsidR="00A377E8">
              <w:rPr>
                <w:b/>
                <w:bCs/>
                <w:sz w:val="22"/>
              </w:rPr>
              <w:t>89</w:t>
            </w:r>
          </w:p>
        </w:tc>
      </w:tr>
      <w:tr w:rsidRPr="00AD4785" w:rsidR="00405589" w:rsidTr="007C292D" w14:paraId="3FB1D121" w14:textId="77777777">
        <w:tc>
          <w:tcPr>
            <w:tcW w:w="3330" w:type="dxa"/>
          </w:tcPr>
          <w:p w:rsidRPr="00AD4785" w:rsidR="007C292D" w:rsidP="007C292D" w:rsidRDefault="007C292D" w14:paraId="66F3EA9A" w14:textId="43CD4C82">
            <w:pPr>
              <w:tabs>
                <w:tab w:val="left" w:pos="0"/>
                <w:tab w:val="left" w:pos="360"/>
              </w:tabs>
              <w:suppressAutoHyphens/>
              <w:ind w:left="360"/>
              <w:rPr>
                <w:sz w:val="22"/>
              </w:rPr>
            </w:pPr>
            <w:r w:rsidRPr="00AD4785">
              <w:rPr>
                <w:sz w:val="22"/>
              </w:rPr>
              <w:t>Previously approved burden</w:t>
            </w:r>
          </w:p>
        </w:tc>
        <w:tc>
          <w:tcPr>
            <w:tcW w:w="1530" w:type="dxa"/>
          </w:tcPr>
          <w:p w:rsidRPr="00AD4785" w:rsidR="007C292D" w:rsidP="00110294" w:rsidRDefault="009A5B5A" w14:paraId="367BFFE5" w14:textId="422885C6">
            <w:pPr>
              <w:tabs>
                <w:tab w:val="left" w:pos="0"/>
                <w:tab w:val="left" w:pos="360"/>
              </w:tabs>
              <w:suppressAutoHyphens/>
              <w:jc w:val="right"/>
              <w:rPr>
                <w:sz w:val="22"/>
              </w:rPr>
            </w:pPr>
            <w:r w:rsidRPr="00AD4785">
              <w:rPr>
                <w:sz w:val="22"/>
              </w:rPr>
              <w:t>650</w:t>
            </w:r>
          </w:p>
        </w:tc>
        <w:tc>
          <w:tcPr>
            <w:tcW w:w="1800" w:type="dxa"/>
          </w:tcPr>
          <w:p w:rsidRPr="00AD4785" w:rsidR="007C292D" w:rsidP="00110294" w:rsidRDefault="007C292D" w14:paraId="4E14C7E3" w14:textId="030E4DF2">
            <w:pPr>
              <w:tabs>
                <w:tab w:val="left" w:pos="0"/>
                <w:tab w:val="left" w:pos="360"/>
              </w:tabs>
              <w:suppressAutoHyphens/>
              <w:jc w:val="right"/>
              <w:rPr>
                <w:sz w:val="22"/>
              </w:rPr>
            </w:pPr>
            <w:r w:rsidRPr="00AD4785">
              <w:rPr>
                <w:sz w:val="22"/>
              </w:rPr>
              <w:t>54</w:t>
            </w:r>
          </w:p>
        </w:tc>
        <w:tc>
          <w:tcPr>
            <w:tcW w:w="1620" w:type="dxa"/>
          </w:tcPr>
          <w:p w:rsidRPr="00AD4785" w:rsidR="007C292D" w:rsidP="00110294" w:rsidRDefault="007C292D" w14:paraId="0E452530" w14:textId="08F53ABF">
            <w:pPr>
              <w:tabs>
                <w:tab w:val="left" w:pos="0"/>
                <w:tab w:val="left" w:pos="360"/>
              </w:tabs>
              <w:suppressAutoHyphens/>
              <w:jc w:val="right"/>
              <w:rPr>
                <w:sz w:val="22"/>
              </w:rPr>
            </w:pPr>
            <w:r w:rsidRPr="00AD4785">
              <w:rPr>
                <w:sz w:val="22"/>
              </w:rPr>
              <w:t>35,100</w:t>
            </w:r>
          </w:p>
        </w:tc>
        <w:tc>
          <w:tcPr>
            <w:tcW w:w="1350" w:type="dxa"/>
          </w:tcPr>
          <w:p w:rsidRPr="00AD4785" w:rsidR="007C292D" w:rsidP="00110294" w:rsidRDefault="007C292D" w14:paraId="0DB04E20" w14:textId="3CDB866C">
            <w:pPr>
              <w:tabs>
                <w:tab w:val="left" w:pos="0"/>
                <w:tab w:val="left" w:pos="360"/>
              </w:tabs>
              <w:suppressAutoHyphens/>
              <w:jc w:val="right"/>
              <w:rPr>
                <w:sz w:val="22"/>
              </w:rPr>
            </w:pPr>
            <w:r w:rsidRPr="00AD4785">
              <w:rPr>
                <w:sz w:val="22"/>
              </w:rPr>
              <w:t>$1,204,281</w:t>
            </w:r>
          </w:p>
        </w:tc>
      </w:tr>
      <w:tr w:rsidRPr="00AD4785" w:rsidR="00405589" w:rsidTr="007C292D" w14:paraId="5354C31E" w14:textId="77777777">
        <w:tc>
          <w:tcPr>
            <w:tcW w:w="3330" w:type="dxa"/>
          </w:tcPr>
          <w:p w:rsidRPr="00AD4785" w:rsidR="007C292D" w:rsidP="007C292D" w:rsidRDefault="007C292D" w14:paraId="59A2974E" w14:textId="05368B63">
            <w:pPr>
              <w:tabs>
                <w:tab w:val="left" w:pos="0"/>
                <w:tab w:val="left" w:pos="360"/>
              </w:tabs>
              <w:suppressAutoHyphens/>
              <w:ind w:left="360"/>
              <w:rPr>
                <w:sz w:val="22"/>
              </w:rPr>
            </w:pPr>
            <w:r w:rsidRPr="00AD4785">
              <w:rPr>
                <w:sz w:val="22"/>
              </w:rPr>
              <w:t>New COVID-19 questions</w:t>
            </w:r>
          </w:p>
        </w:tc>
        <w:tc>
          <w:tcPr>
            <w:tcW w:w="1530" w:type="dxa"/>
          </w:tcPr>
          <w:p w:rsidRPr="00AD4785" w:rsidR="007C292D" w:rsidP="00110294" w:rsidRDefault="009A5B5A" w14:paraId="4D937283" w14:textId="631F5596">
            <w:pPr>
              <w:tabs>
                <w:tab w:val="left" w:pos="0"/>
                <w:tab w:val="left" w:pos="360"/>
              </w:tabs>
              <w:suppressAutoHyphens/>
              <w:jc w:val="right"/>
              <w:rPr>
                <w:sz w:val="22"/>
              </w:rPr>
            </w:pPr>
            <w:r w:rsidRPr="00AD4785">
              <w:rPr>
                <w:sz w:val="22"/>
              </w:rPr>
              <w:t>650</w:t>
            </w:r>
          </w:p>
        </w:tc>
        <w:tc>
          <w:tcPr>
            <w:tcW w:w="1800" w:type="dxa"/>
          </w:tcPr>
          <w:p w:rsidRPr="00AD4785" w:rsidR="007C292D" w:rsidP="00110294" w:rsidRDefault="007C292D" w14:paraId="2C9CEA00" w14:textId="672E4A25">
            <w:pPr>
              <w:tabs>
                <w:tab w:val="left" w:pos="0"/>
                <w:tab w:val="left" w:pos="360"/>
              </w:tabs>
              <w:suppressAutoHyphens/>
              <w:jc w:val="right"/>
              <w:rPr>
                <w:sz w:val="22"/>
              </w:rPr>
            </w:pPr>
            <w:r w:rsidRPr="00AD4785">
              <w:rPr>
                <w:sz w:val="22"/>
              </w:rPr>
              <w:t>0.25</w:t>
            </w:r>
          </w:p>
        </w:tc>
        <w:tc>
          <w:tcPr>
            <w:tcW w:w="1620" w:type="dxa"/>
          </w:tcPr>
          <w:p w:rsidRPr="00AD4785" w:rsidR="007C292D" w:rsidP="00110294" w:rsidRDefault="009A5B5A" w14:paraId="1AC9D6BF" w14:textId="4F0D66C5">
            <w:pPr>
              <w:tabs>
                <w:tab w:val="left" w:pos="0"/>
                <w:tab w:val="left" w:pos="360"/>
              </w:tabs>
              <w:suppressAutoHyphens/>
              <w:jc w:val="right"/>
              <w:rPr>
                <w:sz w:val="22"/>
              </w:rPr>
            </w:pPr>
            <w:r w:rsidRPr="00AD4785">
              <w:rPr>
                <w:sz w:val="22"/>
              </w:rPr>
              <w:t>16</w:t>
            </w:r>
            <w:r w:rsidRPr="00AD4785" w:rsidR="00A377E8">
              <w:rPr>
                <w:sz w:val="22"/>
              </w:rPr>
              <w:t>3</w:t>
            </w:r>
          </w:p>
        </w:tc>
        <w:tc>
          <w:tcPr>
            <w:tcW w:w="1350" w:type="dxa"/>
          </w:tcPr>
          <w:p w:rsidRPr="00AD4785" w:rsidR="007C292D" w:rsidP="00110294" w:rsidRDefault="007C292D" w14:paraId="4C402192" w14:textId="649031C0">
            <w:pPr>
              <w:tabs>
                <w:tab w:val="left" w:pos="0"/>
                <w:tab w:val="left" w:pos="360"/>
              </w:tabs>
              <w:suppressAutoHyphens/>
              <w:jc w:val="right"/>
              <w:rPr>
                <w:sz w:val="22"/>
              </w:rPr>
            </w:pPr>
            <w:r w:rsidRPr="00AD4785">
              <w:rPr>
                <w:sz w:val="22"/>
              </w:rPr>
              <w:t>$5,5</w:t>
            </w:r>
            <w:r w:rsidRPr="00AD4785" w:rsidR="00A377E8">
              <w:rPr>
                <w:sz w:val="22"/>
              </w:rPr>
              <w:t>93</w:t>
            </w:r>
          </w:p>
        </w:tc>
      </w:tr>
      <w:tr w:rsidRPr="00AD4785" w:rsidR="00405589" w:rsidTr="007C292D" w14:paraId="2565902D" w14:textId="77777777">
        <w:tc>
          <w:tcPr>
            <w:tcW w:w="3330" w:type="dxa"/>
          </w:tcPr>
          <w:p w:rsidRPr="00AD4785" w:rsidR="007C292D" w:rsidP="007C292D" w:rsidRDefault="007C292D" w14:paraId="1D4C2CE4" w14:textId="288F2C09">
            <w:pPr>
              <w:tabs>
                <w:tab w:val="left" w:pos="0"/>
                <w:tab w:val="left" w:pos="360"/>
              </w:tabs>
              <w:suppressAutoHyphens/>
              <w:ind w:left="360"/>
              <w:rPr>
                <w:sz w:val="22"/>
              </w:rPr>
            </w:pPr>
            <w:r w:rsidRPr="00AD4785">
              <w:rPr>
                <w:sz w:val="22"/>
              </w:rPr>
              <w:t>New personnel questions</w:t>
            </w:r>
          </w:p>
        </w:tc>
        <w:tc>
          <w:tcPr>
            <w:tcW w:w="1530" w:type="dxa"/>
          </w:tcPr>
          <w:p w:rsidRPr="00AD4785" w:rsidR="007C292D" w:rsidP="00110294" w:rsidRDefault="009A5B5A" w14:paraId="0E62D822" w14:textId="40F3EFE3">
            <w:pPr>
              <w:tabs>
                <w:tab w:val="left" w:pos="0"/>
                <w:tab w:val="left" w:pos="360"/>
              </w:tabs>
              <w:suppressAutoHyphens/>
              <w:jc w:val="right"/>
              <w:rPr>
                <w:sz w:val="22"/>
              </w:rPr>
            </w:pPr>
            <w:r w:rsidRPr="00AD4785">
              <w:rPr>
                <w:sz w:val="22"/>
              </w:rPr>
              <w:t>650</w:t>
            </w:r>
          </w:p>
        </w:tc>
        <w:tc>
          <w:tcPr>
            <w:tcW w:w="1800" w:type="dxa"/>
          </w:tcPr>
          <w:p w:rsidRPr="00AD4785" w:rsidR="007C292D" w:rsidP="00110294" w:rsidRDefault="007C292D" w14:paraId="010A57C3" w14:textId="16E2EB9A">
            <w:pPr>
              <w:tabs>
                <w:tab w:val="left" w:pos="0"/>
                <w:tab w:val="left" w:pos="360"/>
              </w:tabs>
              <w:suppressAutoHyphens/>
              <w:jc w:val="right"/>
              <w:rPr>
                <w:sz w:val="22"/>
              </w:rPr>
            </w:pPr>
            <w:r w:rsidRPr="00AD4785">
              <w:rPr>
                <w:sz w:val="22"/>
              </w:rPr>
              <w:t>10</w:t>
            </w:r>
          </w:p>
        </w:tc>
        <w:tc>
          <w:tcPr>
            <w:tcW w:w="1620" w:type="dxa"/>
          </w:tcPr>
          <w:p w:rsidRPr="00AD4785" w:rsidR="007C292D" w:rsidP="00110294" w:rsidRDefault="007C292D" w14:paraId="04D58B4A" w14:textId="59A96855">
            <w:pPr>
              <w:tabs>
                <w:tab w:val="left" w:pos="0"/>
                <w:tab w:val="left" w:pos="360"/>
              </w:tabs>
              <w:suppressAutoHyphens/>
              <w:jc w:val="right"/>
              <w:rPr>
                <w:sz w:val="22"/>
              </w:rPr>
            </w:pPr>
            <w:r w:rsidRPr="00AD4785">
              <w:rPr>
                <w:sz w:val="22"/>
              </w:rPr>
              <w:t>6,500</w:t>
            </w:r>
          </w:p>
        </w:tc>
        <w:tc>
          <w:tcPr>
            <w:tcW w:w="1350" w:type="dxa"/>
          </w:tcPr>
          <w:p w:rsidRPr="00AD4785" w:rsidR="007C292D" w:rsidP="00110294" w:rsidRDefault="007C292D" w14:paraId="0F4D593F" w14:textId="59F4CDCA">
            <w:pPr>
              <w:tabs>
                <w:tab w:val="left" w:pos="0"/>
                <w:tab w:val="left" w:pos="360"/>
              </w:tabs>
              <w:suppressAutoHyphens/>
              <w:jc w:val="right"/>
              <w:rPr>
                <w:sz w:val="22"/>
              </w:rPr>
            </w:pPr>
            <w:r w:rsidRPr="00AD4785">
              <w:rPr>
                <w:sz w:val="22"/>
              </w:rPr>
              <w:t>$223,015</w:t>
            </w:r>
          </w:p>
        </w:tc>
      </w:tr>
      <w:tr w:rsidRPr="00AD4785" w:rsidR="00405589" w:rsidTr="007C292D" w14:paraId="5F45F233" w14:textId="77777777">
        <w:tc>
          <w:tcPr>
            <w:tcW w:w="3330" w:type="dxa"/>
          </w:tcPr>
          <w:p w:rsidRPr="00AD4785" w:rsidR="001E0E19" w:rsidP="00110294" w:rsidRDefault="001E0E19" w14:paraId="1F3E0F0B" w14:textId="2ED9F327">
            <w:pPr>
              <w:tabs>
                <w:tab w:val="left" w:pos="0"/>
                <w:tab w:val="left" w:pos="360"/>
              </w:tabs>
              <w:suppressAutoHyphens/>
              <w:rPr>
                <w:b/>
                <w:bCs/>
                <w:sz w:val="22"/>
              </w:rPr>
            </w:pPr>
            <w:r w:rsidRPr="00AD4785">
              <w:rPr>
                <w:b/>
                <w:bCs/>
                <w:sz w:val="22"/>
              </w:rPr>
              <w:t xml:space="preserve">HERD </w:t>
            </w:r>
            <w:r w:rsidRPr="00AD4785" w:rsidR="007C292D">
              <w:rPr>
                <w:b/>
                <w:bCs/>
                <w:sz w:val="22"/>
              </w:rPr>
              <w:t>s</w:t>
            </w:r>
            <w:r w:rsidRPr="00AD4785">
              <w:rPr>
                <w:b/>
                <w:bCs/>
                <w:sz w:val="22"/>
              </w:rPr>
              <w:t xml:space="preserve">hort </w:t>
            </w:r>
            <w:r w:rsidRPr="00AD4785" w:rsidR="007C292D">
              <w:rPr>
                <w:b/>
                <w:bCs/>
                <w:sz w:val="22"/>
              </w:rPr>
              <w:t>f</w:t>
            </w:r>
            <w:r w:rsidRPr="00AD4785">
              <w:rPr>
                <w:b/>
                <w:bCs/>
                <w:sz w:val="22"/>
              </w:rPr>
              <w:t xml:space="preserve">orm </w:t>
            </w:r>
          </w:p>
        </w:tc>
        <w:tc>
          <w:tcPr>
            <w:tcW w:w="1530" w:type="dxa"/>
          </w:tcPr>
          <w:p w:rsidRPr="00AD4785" w:rsidR="001E0E19" w:rsidP="00110294" w:rsidRDefault="009A5B5A" w14:paraId="2AD3EC18" w14:textId="4817795C">
            <w:pPr>
              <w:tabs>
                <w:tab w:val="left" w:pos="0"/>
                <w:tab w:val="left" w:pos="360"/>
              </w:tabs>
              <w:suppressAutoHyphens/>
              <w:jc w:val="right"/>
              <w:rPr>
                <w:b/>
                <w:bCs/>
                <w:sz w:val="22"/>
              </w:rPr>
            </w:pPr>
            <w:r w:rsidRPr="00AD4785">
              <w:rPr>
                <w:b/>
                <w:bCs/>
                <w:sz w:val="22"/>
              </w:rPr>
              <w:t>27</w:t>
            </w:r>
            <w:r w:rsidRPr="00AD4785" w:rsidR="0078136D">
              <w:rPr>
                <w:b/>
                <w:bCs/>
                <w:sz w:val="22"/>
              </w:rPr>
              <w:t>5</w:t>
            </w:r>
          </w:p>
        </w:tc>
        <w:tc>
          <w:tcPr>
            <w:tcW w:w="1800" w:type="dxa"/>
          </w:tcPr>
          <w:p w:rsidRPr="00AD4785" w:rsidR="001E0E19" w:rsidP="00110294" w:rsidRDefault="001E0E19" w14:paraId="1F15190E" w14:textId="77777777">
            <w:pPr>
              <w:tabs>
                <w:tab w:val="left" w:pos="0"/>
                <w:tab w:val="left" w:pos="360"/>
              </w:tabs>
              <w:suppressAutoHyphens/>
              <w:jc w:val="right"/>
              <w:rPr>
                <w:b/>
                <w:bCs/>
                <w:sz w:val="22"/>
              </w:rPr>
            </w:pPr>
            <w:r w:rsidRPr="00AD4785">
              <w:rPr>
                <w:b/>
                <w:bCs/>
                <w:sz w:val="22"/>
              </w:rPr>
              <w:t>8</w:t>
            </w:r>
          </w:p>
        </w:tc>
        <w:tc>
          <w:tcPr>
            <w:tcW w:w="1620" w:type="dxa"/>
          </w:tcPr>
          <w:p w:rsidRPr="00AD4785" w:rsidR="00A377E8" w:rsidP="00A377E8" w:rsidRDefault="001E0E19" w14:paraId="076EFABE" w14:textId="41C5749B">
            <w:pPr>
              <w:tabs>
                <w:tab w:val="left" w:pos="0"/>
                <w:tab w:val="left" w:pos="360"/>
              </w:tabs>
              <w:suppressAutoHyphens/>
              <w:jc w:val="right"/>
              <w:rPr>
                <w:b/>
                <w:bCs/>
                <w:sz w:val="22"/>
              </w:rPr>
            </w:pPr>
            <w:r w:rsidRPr="00AD4785">
              <w:rPr>
                <w:b/>
                <w:bCs/>
                <w:sz w:val="22"/>
              </w:rPr>
              <w:t>2,</w:t>
            </w:r>
            <w:r w:rsidRPr="00AD4785" w:rsidR="00A377E8">
              <w:rPr>
                <w:b/>
                <w:bCs/>
                <w:sz w:val="22"/>
              </w:rPr>
              <w:t>2</w:t>
            </w:r>
            <w:r w:rsidRPr="00AD4785" w:rsidR="0001691A">
              <w:rPr>
                <w:b/>
                <w:bCs/>
                <w:sz w:val="22"/>
              </w:rPr>
              <w:t>69</w:t>
            </w:r>
          </w:p>
        </w:tc>
        <w:tc>
          <w:tcPr>
            <w:tcW w:w="1350" w:type="dxa"/>
          </w:tcPr>
          <w:p w:rsidRPr="00AD4785" w:rsidR="001E0E19" w:rsidP="00110294" w:rsidRDefault="001E0E19" w14:paraId="4795F788" w14:textId="04787EC2">
            <w:pPr>
              <w:tabs>
                <w:tab w:val="left" w:pos="0"/>
                <w:tab w:val="left" w:pos="360"/>
              </w:tabs>
              <w:suppressAutoHyphens/>
              <w:jc w:val="right"/>
              <w:rPr>
                <w:b/>
                <w:bCs/>
                <w:sz w:val="22"/>
              </w:rPr>
            </w:pPr>
            <w:r w:rsidRPr="00AD4785">
              <w:rPr>
                <w:b/>
                <w:bCs/>
                <w:sz w:val="22"/>
              </w:rPr>
              <w:t>$</w:t>
            </w:r>
            <w:r w:rsidRPr="00AD4785" w:rsidR="00283C59">
              <w:rPr>
                <w:b/>
                <w:bCs/>
                <w:sz w:val="22"/>
              </w:rPr>
              <w:t>77,849</w:t>
            </w:r>
          </w:p>
        </w:tc>
      </w:tr>
      <w:tr w:rsidRPr="00AD4785" w:rsidR="00405589" w:rsidTr="007C292D" w14:paraId="0AC96970" w14:textId="77777777">
        <w:tc>
          <w:tcPr>
            <w:tcW w:w="3330" w:type="dxa"/>
          </w:tcPr>
          <w:p w:rsidRPr="00AD4785" w:rsidR="007C292D" w:rsidP="007C292D" w:rsidRDefault="003B43C7" w14:paraId="1E83F103" w14:textId="194ABA5D">
            <w:pPr>
              <w:tabs>
                <w:tab w:val="left" w:pos="0"/>
                <w:tab w:val="left" w:pos="360"/>
              </w:tabs>
              <w:suppressAutoHyphens/>
              <w:ind w:left="360"/>
              <w:rPr>
                <w:sz w:val="22"/>
              </w:rPr>
            </w:pPr>
            <w:r w:rsidRPr="00AD4785">
              <w:rPr>
                <w:sz w:val="22"/>
              </w:rPr>
              <w:t>Previously approved burden</w:t>
            </w:r>
            <w:r w:rsidRPr="00AD4785" w:rsidR="007057A2">
              <w:rPr>
                <w:sz w:val="22"/>
              </w:rPr>
              <w:t>*</w:t>
            </w:r>
          </w:p>
        </w:tc>
        <w:tc>
          <w:tcPr>
            <w:tcW w:w="1530" w:type="dxa"/>
          </w:tcPr>
          <w:p w:rsidRPr="00AD4785" w:rsidR="007C292D" w:rsidP="00110294" w:rsidRDefault="009A5B5A" w14:paraId="46C1D489" w14:textId="1C705767">
            <w:pPr>
              <w:tabs>
                <w:tab w:val="left" w:pos="0"/>
                <w:tab w:val="left" w:pos="360"/>
              </w:tabs>
              <w:suppressAutoHyphens/>
              <w:jc w:val="right"/>
              <w:rPr>
                <w:sz w:val="22"/>
              </w:rPr>
            </w:pPr>
            <w:r w:rsidRPr="00AD4785">
              <w:rPr>
                <w:sz w:val="22"/>
              </w:rPr>
              <w:t>300</w:t>
            </w:r>
          </w:p>
        </w:tc>
        <w:tc>
          <w:tcPr>
            <w:tcW w:w="1800" w:type="dxa"/>
          </w:tcPr>
          <w:p w:rsidRPr="00AD4785" w:rsidR="007C292D" w:rsidP="00110294" w:rsidRDefault="007C292D" w14:paraId="15035A72" w14:textId="52362949">
            <w:pPr>
              <w:tabs>
                <w:tab w:val="left" w:pos="0"/>
                <w:tab w:val="left" w:pos="360"/>
              </w:tabs>
              <w:suppressAutoHyphens/>
              <w:jc w:val="right"/>
              <w:rPr>
                <w:sz w:val="22"/>
              </w:rPr>
            </w:pPr>
            <w:r w:rsidRPr="00AD4785">
              <w:rPr>
                <w:sz w:val="22"/>
              </w:rPr>
              <w:t>8</w:t>
            </w:r>
          </w:p>
        </w:tc>
        <w:tc>
          <w:tcPr>
            <w:tcW w:w="1620" w:type="dxa"/>
          </w:tcPr>
          <w:p w:rsidRPr="00AD4785" w:rsidR="007C292D" w:rsidP="00110294" w:rsidRDefault="007C292D" w14:paraId="3CB1969D" w14:textId="20041BCE">
            <w:pPr>
              <w:tabs>
                <w:tab w:val="left" w:pos="0"/>
                <w:tab w:val="left" w:pos="360"/>
              </w:tabs>
              <w:suppressAutoHyphens/>
              <w:jc w:val="right"/>
              <w:rPr>
                <w:sz w:val="22"/>
              </w:rPr>
            </w:pPr>
            <w:r w:rsidRPr="00AD4785">
              <w:rPr>
                <w:sz w:val="22"/>
              </w:rPr>
              <w:t>2</w:t>
            </w:r>
            <w:r w:rsidRPr="00AD4785" w:rsidR="00C36605">
              <w:rPr>
                <w:sz w:val="22"/>
              </w:rPr>
              <w:t>,</w:t>
            </w:r>
            <w:r w:rsidRPr="00AD4785" w:rsidR="003B43C7">
              <w:rPr>
                <w:sz w:val="22"/>
              </w:rPr>
              <w:t>400</w:t>
            </w:r>
          </w:p>
        </w:tc>
        <w:tc>
          <w:tcPr>
            <w:tcW w:w="1350" w:type="dxa"/>
          </w:tcPr>
          <w:p w:rsidRPr="00AD4785" w:rsidR="007C292D" w:rsidP="00110294" w:rsidRDefault="00C36605" w14:paraId="03EBDEA7" w14:textId="31A59400">
            <w:pPr>
              <w:tabs>
                <w:tab w:val="left" w:pos="0"/>
                <w:tab w:val="left" w:pos="360"/>
              </w:tabs>
              <w:suppressAutoHyphens/>
              <w:jc w:val="right"/>
              <w:rPr>
                <w:sz w:val="22"/>
              </w:rPr>
            </w:pPr>
            <w:r w:rsidRPr="00AD4785">
              <w:rPr>
                <w:sz w:val="22"/>
              </w:rPr>
              <w:t>$82,344</w:t>
            </w:r>
          </w:p>
        </w:tc>
      </w:tr>
      <w:tr w:rsidRPr="00AD4785" w:rsidR="00405589" w:rsidTr="007C292D" w14:paraId="494C9231" w14:textId="77777777">
        <w:tc>
          <w:tcPr>
            <w:tcW w:w="3330" w:type="dxa"/>
          </w:tcPr>
          <w:p w:rsidRPr="00AD4785" w:rsidR="003B43C7" w:rsidP="007C292D" w:rsidRDefault="003B43C7" w14:paraId="44763C7C" w14:textId="17434E10">
            <w:pPr>
              <w:tabs>
                <w:tab w:val="left" w:pos="0"/>
                <w:tab w:val="left" w:pos="360"/>
              </w:tabs>
              <w:suppressAutoHyphens/>
              <w:ind w:left="360"/>
              <w:rPr>
                <w:sz w:val="22"/>
              </w:rPr>
            </w:pPr>
            <w:r w:rsidRPr="00AD4785">
              <w:rPr>
                <w:sz w:val="22"/>
              </w:rPr>
              <w:t>New burden estimate</w:t>
            </w:r>
          </w:p>
        </w:tc>
        <w:tc>
          <w:tcPr>
            <w:tcW w:w="1530" w:type="dxa"/>
          </w:tcPr>
          <w:p w:rsidRPr="00AD4785" w:rsidR="003B43C7" w:rsidP="00110294" w:rsidRDefault="003B43C7" w14:paraId="06FB277C" w14:textId="20C6F0D6">
            <w:pPr>
              <w:tabs>
                <w:tab w:val="left" w:pos="0"/>
                <w:tab w:val="left" w:pos="360"/>
              </w:tabs>
              <w:suppressAutoHyphens/>
              <w:jc w:val="right"/>
              <w:rPr>
                <w:sz w:val="22"/>
              </w:rPr>
            </w:pPr>
            <w:r w:rsidRPr="00AD4785">
              <w:rPr>
                <w:sz w:val="22"/>
              </w:rPr>
              <w:t>27</w:t>
            </w:r>
            <w:r w:rsidRPr="00AD4785" w:rsidR="0078136D">
              <w:rPr>
                <w:sz w:val="22"/>
              </w:rPr>
              <w:t>5</w:t>
            </w:r>
          </w:p>
        </w:tc>
        <w:tc>
          <w:tcPr>
            <w:tcW w:w="1800" w:type="dxa"/>
          </w:tcPr>
          <w:p w:rsidRPr="00AD4785" w:rsidR="003B43C7" w:rsidP="00110294" w:rsidRDefault="003B43C7" w14:paraId="6C2669A1" w14:textId="54D1F0BF">
            <w:pPr>
              <w:tabs>
                <w:tab w:val="left" w:pos="0"/>
                <w:tab w:val="left" w:pos="360"/>
              </w:tabs>
              <w:suppressAutoHyphens/>
              <w:jc w:val="right"/>
              <w:rPr>
                <w:sz w:val="22"/>
              </w:rPr>
            </w:pPr>
            <w:r w:rsidRPr="00AD4785">
              <w:rPr>
                <w:sz w:val="22"/>
              </w:rPr>
              <w:t>8</w:t>
            </w:r>
          </w:p>
        </w:tc>
        <w:tc>
          <w:tcPr>
            <w:tcW w:w="1620" w:type="dxa"/>
          </w:tcPr>
          <w:p w:rsidRPr="00AD4785" w:rsidR="003B43C7" w:rsidP="00110294" w:rsidRDefault="003B43C7" w14:paraId="18AF3E6D" w14:textId="690C0339">
            <w:pPr>
              <w:tabs>
                <w:tab w:val="left" w:pos="0"/>
                <w:tab w:val="left" w:pos="360"/>
              </w:tabs>
              <w:suppressAutoHyphens/>
              <w:jc w:val="right"/>
              <w:rPr>
                <w:sz w:val="22"/>
              </w:rPr>
            </w:pPr>
            <w:r w:rsidRPr="00AD4785">
              <w:rPr>
                <w:sz w:val="22"/>
              </w:rPr>
              <w:t>2,</w:t>
            </w:r>
            <w:r w:rsidRPr="00AD4785" w:rsidR="0078136D">
              <w:rPr>
                <w:sz w:val="22"/>
              </w:rPr>
              <w:t>200</w:t>
            </w:r>
          </w:p>
        </w:tc>
        <w:tc>
          <w:tcPr>
            <w:tcW w:w="1350" w:type="dxa"/>
          </w:tcPr>
          <w:p w:rsidRPr="00AD4785" w:rsidR="003B43C7" w:rsidP="00110294" w:rsidRDefault="003B43C7" w14:paraId="15FA95AC" w14:textId="1F62B415">
            <w:pPr>
              <w:tabs>
                <w:tab w:val="left" w:pos="0"/>
                <w:tab w:val="left" w:pos="360"/>
              </w:tabs>
              <w:suppressAutoHyphens/>
              <w:jc w:val="right"/>
              <w:rPr>
                <w:sz w:val="22"/>
              </w:rPr>
            </w:pPr>
            <w:r w:rsidRPr="00AD4785">
              <w:rPr>
                <w:sz w:val="22"/>
              </w:rPr>
              <w:t>$</w:t>
            </w:r>
            <w:r w:rsidRPr="00AD4785" w:rsidR="0078136D">
              <w:rPr>
                <w:sz w:val="22"/>
              </w:rPr>
              <w:t>75,482</w:t>
            </w:r>
          </w:p>
        </w:tc>
      </w:tr>
      <w:tr w:rsidRPr="00AD4785" w:rsidR="00405589" w:rsidTr="007C292D" w14:paraId="4FE009FC" w14:textId="77777777">
        <w:tc>
          <w:tcPr>
            <w:tcW w:w="3330" w:type="dxa"/>
          </w:tcPr>
          <w:p w:rsidRPr="00AD4785" w:rsidR="007C292D" w:rsidP="007C292D" w:rsidRDefault="007C292D" w14:paraId="60639887" w14:textId="003FAD3E">
            <w:pPr>
              <w:tabs>
                <w:tab w:val="left" w:pos="0"/>
                <w:tab w:val="left" w:pos="360"/>
              </w:tabs>
              <w:suppressAutoHyphens/>
              <w:ind w:left="360"/>
              <w:rPr>
                <w:sz w:val="22"/>
              </w:rPr>
            </w:pPr>
            <w:r w:rsidRPr="00AD4785">
              <w:rPr>
                <w:sz w:val="22"/>
              </w:rPr>
              <w:t>New COVID-19 questions</w:t>
            </w:r>
          </w:p>
        </w:tc>
        <w:tc>
          <w:tcPr>
            <w:tcW w:w="1530" w:type="dxa"/>
          </w:tcPr>
          <w:p w:rsidRPr="00AD4785" w:rsidR="007C292D" w:rsidP="00110294" w:rsidRDefault="009A5B5A" w14:paraId="67DF4ADB" w14:textId="4F65C410">
            <w:pPr>
              <w:tabs>
                <w:tab w:val="left" w:pos="0"/>
                <w:tab w:val="left" w:pos="360"/>
              </w:tabs>
              <w:suppressAutoHyphens/>
              <w:jc w:val="right"/>
              <w:rPr>
                <w:sz w:val="22"/>
              </w:rPr>
            </w:pPr>
            <w:r w:rsidRPr="00AD4785">
              <w:rPr>
                <w:sz w:val="22"/>
              </w:rPr>
              <w:t>27</w:t>
            </w:r>
            <w:r w:rsidRPr="00AD4785" w:rsidR="0078136D">
              <w:rPr>
                <w:sz w:val="22"/>
              </w:rPr>
              <w:t>5</w:t>
            </w:r>
          </w:p>
        </w:tc>
        <w:tc>
          <w:tcPr>
            <w:tcW w:w="1800" w:type="dxa"/>
          </w:tcPr>
          <w:p w:rsidRPr="00AD4785" w:rsidR="007C292D" w:rsidP="00110294" w:rsidRDefault="00C36605" w14:paraId="7C47AF43" w14:textId="2FCCB8B1">
            <w:pPr>
              <w:tabs>
                <w:tab w:val="left" w:pos="0"/>
                <w:tab w:val="left" w:pos="360"/>
              </w:tabs>
              <w:suppressAutoHyphens/>
              <w:jc w:val="right"/>
              <w:rPr>
                <w:sz w:val="22"/>
              </w:rPr>
            </w:pPr>
            <w:r w:rsidRPr="00AD4785">
              <w:rPr>
                <w:sz w:val="22"/>
              </w:rPr>
              <w:t>0.25</w:t>
            </w:r>
          </w:p>
        </w:tc>
        <w:tc>
          <w:tcPr>
            <w:tcW w:w="1620" w:type="dxa"/>
          </w:tcPr>
          <w:p w:rsidRPr="00AD4785" w:rsidR="007C292D" w:rsidP="00110294" w:rsidRDefault="009A5B5A" w14:paraId="651B9945" w14:textId="4BD93792">
            <w:pPr>
              <w:tabs>
                <w:tab w:val="left" w:pos="0"/>
                <w:tab w:val="left" w:pos="360"/>
              </w:tabs>
              <w:suppressAutoHyphens/>
              <w:jc w:val="right"/>
              <w:rPr>
                <w:sz w:val="22"/>
              </w:rPr>
            </w:pPr>
            <w:r w:rsidRPr="00AD4785">
              <w:rPr>
                <w:sz w:val="22"/>
              </w:rPr>
              <w:t>6</w:t>
            </w:r>
            <w:r w:rsidRPr="00AD4785" w:rsidR="0078136D">
              <w:rPr>
                <w:sz w:val="22"/>
              </w:rPr>
              <w:t>9</w:t>
            </w:r>
          </w:p>
        </w:tc>
        <w:tc>
          <w:tcPr>
            <w:tcW w:w="1350" w:type="dxa"/>
          </w:tcPr>
          <w:p w:rsidRPr="00AD4785" w:rsidR="007C292D" w:rsidP="00110294" w:rsidRDefault="00C36605" w14:paraId="6ED3D6B0" w14:textId="3E57D699">
            <w:pPr>
              <w:tabs>
                <w:tab w:val="left" w:pos="0"/>
                <w:tab w:val="left" w:pos="360"/>
              </w:tabs>
              <w:suppressAutoHyphens/>
              <w:jc w:val="right"/>
              <w:rPr>
                <w:sz w:val="22"/>
              </w:rPr>
            </w:pPr>
            <w:r w:rsidRPr="00AD4785">
              <w:rPr>
                <w:sz w:val="22"/>
              </w:rPr>
              <w:t>$2,</w:t>
            </w:r>
            <w:r w:rsidRPr="00AD4785" w:rsidR="00A377E8">
              <w:rPr>
                <w:sz w:val="22"/>
              </w:rPr>
              <w:t>3</w:t>
            </w:r>
            <w:r w:rsidRPr="00AD4785" w:rsidR="0078136D">
              <w:rPr>
                <w:sz w:val="22"/>
              </w:rPr>
              <w:t>67</w:t>
            </w:r>
          </w:p>
        </w:tc>
      </w:tr>
      <w:tr w:rsidRPr="00AD4785" w:rsidR="00405589" w:rsidTr="007C292D" w14:paraId="5AA28FFD" w14:textId="77777777">
        <w:tc>
          <w:tcPr>
            <w:tcW w:w="3330" w:type="dxa"/>
          </w:tcPr>
          <w:p w:rsidRPr="00AD4785" w:rsidR="007C292D" w:rsidP="007C292D" w:rsidRDefault="007C292D" w14:paraId="1969678B" w14:textId="3440C51E">
            <w:pPr>
              <w:tabs>
                <w:tab w:val="left" w:pos="0"/>
                <w:tab w:val="left" w:pos="360"/>
              </w:tabs>
              <w:suppressAutoHyphens/>
              <w:rPr>
                <w:b/>
                <w:bCs/>
                <w:sz w:val="22"/>
              </w:rPr>
            </w:pPr>
            <w:r w:rsidRPr="00AD4785">
              <w:rPr>
                <w:b/>
                <w:bCs/>
                <w:sz w:val="22"/>
              </w:rPr>
              <w:t>FFRDC survey</w:t>
            </w:r>
          </w:p>
        </w:tc>
        <w:tc>
          <w:tcPr>
            <w:tcW w:w="1530" w:type="dxa"/>
          </w:tcPr>
          <w:p w:rsidRPr="00AD4785" w:rsidR="007C292D" w:rsidDel="00875BC8" w:rsidP="007C292D" w:rsidRDefault="007C292D" w14:paraId="7BB6113D" w14:textId="77777777">
            <w:pPr>
              <w:tabs>
                <w:tab w:val="left" w:pos="0"/>
                <w:tab w:val="left" w:pos="360"/>
              </w:tabs>
              <w:suppressAutoHyphens/>
              <w:jc w:val="right"/>
              <w:rPr>
                <w:b/>
                <w:bCs/>
                <w:sz w:val="22"/>
              </w:rPr>
            </w:pPr>
            <w:r w:rsidRPr="00AD4785">
              <w:rPr>
                <w:b/>
                <w:bCs/>
                <w:sz w:val="22"/>
              </w:rPr>
              <w:t>42</w:t>
            </w:r>
          </w:p>
        </w:tc>
        <w:tc>
          <w:tcPr>
            <w:tcW w:w="1800" w:type="dxa"/>
          </w:tcPr>
          <w:p w:rsidRPr="00AD4785" w:rsidR="007C292D" w:rsidDel="00875BC8" w:rsidP="007C292D" w:rsidRDefault="007C292D" w14:paraId="12C057E2" w14:textId="77777777">
            <w:pPr>
              <w:tabs>
                <w:tab w:val="left" w:pos="0"/>
                <w:tab w:val="left" w:pos="360"/>
              </w:tabs>
              <w:suppressAutoHyphens/>
              <w:jc w:val="right"/>
              <w:rPr>
                <w:b/>
                <w:bCs/>
                <w:sz w:val="22"/>
              </w:rPr>
            </w:pPr>
            <w:r w:rsidRPr="00AD4785">
              <w:rPr>
                <w:b/>
                <w:bCs/>
                <w:sz w:val="22"/>
              </w:rPr>
              <w:t>11</w:t>
            </w:r>
          </w:p>
        </w:tc>
        <w:tc>
          <w:tcPr>
            <w:tcW w:w="1620" w:type="dxa"/>
          </w:tcPr>
          <w:p w:rsidRPr="00AD4785" w:rsidR="007C292D" w:rsidDel="00875BC8" w:rsidP="007C292D" w:rsidRDefault="007C292D" w14:paraId="77F8435A" w14:textId="77777777">
            <w:pPr>
              <w:tabs>
                <w:tab w:val="left" w:pos="0"/>
                <w:tab w:val="left" w:pos="360"/>
              </w:tabs>
              <w:suppressAutoHyphens/>
              <w:jc w:val="right"/>
              <w:rPr>
                <w:b/>
                <w:bCs/>
                <w:sz w:val="22"/>
              </w:rPr>
            </w:pPr>
            <w:r w:rsidRPr="00AD4785">
              <w:rPr>
                <w:b/>
                <w:bCs/>
                <w:sz w:val="22"/>
              </w:rPr>
              <w:t>462</w:t>
            </w:r>
          </w:p>
        </w:tc>
        <w:tc>
          <w:tcPr>
            <w:tcW w:w="1350" w:type="dxa"/>
          </w:tcPr>
          <w:p w:rsidRPr="00AD4785" w:rsidR="007C292D" w:rsidP="007C292D" w:rsidRDefault="007C292D" w14:paraId="0A3CD420" w14:textId="77777777">
            <w:pPr>
              <w:tabs>
                <w:tab w:val="left" w:pos="0"/>
                <w:tab w:val="left" w:pos="360"/>
              </w:tabs>
              <w:suppressAutoHyphens/>
              <w:jc w:val="right"/>
              <w:rPr>
                <w:b/>
                <w:bCs/>
                <w:sz w:val="22"/>
              </w:rPr>
            </w:pPr>
            <w:r w:rsidRPr="00AD4785">
              <w:rPr>
                <w:b/>
                <w:bCs/>
                <w:sz w:val="22"/>
              </w:rPr>
              <w:t>$15,851</w:t>
            </w:r>
          </w:p>
        </w:tc>
      </w:tr>
      <w:tr w:rsidRPr="00AD4785" w:rsidR="00405589" w:rsidTr="007C292D" w14:paraId="16AA105B" w14:textId="77777777">
        <w:tc>
          <w:tcPr>
            <w:tcW w:w="3330" w:type="dxa"/>
          </w:tcPr>
          <w:p w:rsidRPr="00AD4785" w:rsidR="007C292D" w:rsidP="007C292D" w:rsidRDefault="007C292D" w14:paraId="297AB7E0" w14:textId="77777777">
            <w:pPr>
              <w:tabs>
                <w:tab w:val="left" w:pos="0"/>
                <w:tab w:val="left" w:pos="360"/>
              </w:tabs>
              <w:suppressAutoHyphens/>
              <w:rPr>
                <w:b/>
                <w:bCs/>
                <w:sz w:val="22"/>
              </w:rPr>
            </w:pPr>
            <w:r w:rsidRPr="00AD4785">
              <w:rPr>
                <w:b/>
                <w:bCs/>
                <w:sz w:val="22"/>
              </w:rPr>
              <w:t>Total annual burden</w:t>
            </w:r>
          </w:p>
        </w:tc>
        <w:tc>
          <w:tcPr>
            <w:tcW w:w="1530" w:type="dxa"/>
          </w:tcPr>
          <w:p w:rsidRPr="00AD4785" w:rsidR="007C292D" w:rsidP="007C292D" w:rsidRDefault="007C292D" w14:paraId="63ECD37B" w14:textId="1A3280CE">
            <w:pPr>
              <w:tabs>
                <w:tab w:val="left" w:pos="0"/>
                <w:tab w:val="left" w:pos="360"/>
              </w:tabs>
              <w:suppressAutoHyphens/>
              <w:jc w:val="right"/>
              <w:rPr>
                <w:b/>
                <w:bCs/>
                <w:sz w:val="22"/>
              </w:rPr>
            </w:pPr>
            <w:r w:rsidRPr="00AD4785">
              <w:rPr>
                <w:b/>
                <w:bCs/>
                <w:sz w:val="22"/>
              </w:rPr>
              <w:t>1,</w:t>
            </w:r>
            <w:r w:rsidRPr="00AD4785" w:rsidR="00A377E8">
              <w:rPr>
                <w:b/>
                <w:bCs/>
                <w:sz w:val="22"/>
              </w:rPr>
              <w:t>0</w:t>
            </w:r>
            <w:r w:rsidRPr="00AD4785" w:rsidR="0078136D">
              <w:rPr>
                <w:b/>
                <w:bCs/>
                <w:sz w:val="22"/>
              </w:rPr>
              <w:t>92</w:t>
            </w:r>
          </w:p>
        </w:tc>
        <w:tc>
          <w:tcPr>
            <w:tcW w:w="1800" w:type="dxa"/>
          </w:tcPr>
          <w:p w:rsidRPr="00AD4785" w:rsidR="007C292D" w:rsidP="007C292D" w:rsidRDefault="007C292D" w14:paraId="0F79FDFD" w14:textId="77777777">
            <w:pPr>
              <w:tabs>
                <w:tab w:val="left" w:pos="0"/>
                <w:tab w:val="left" w:pos="360"/>
              </w:tabs>
              <w:suppressAutoHyphens/>
              <w:jc w:val="right"/>
              <w:rPr>
                <w:b/>
                <w:bCs/>
                <w:sz w:val="22"/>
              </w:rPr>
            </w:pPr>
            <w:r w:rsidRPr="00AD4785">
              <w:rPr>
                <w:b/>
                <w:bCs/>
                <w:sz w:val="22"/>
              </w:rPr>
              <w:t>-</w:t>
            </w:r>
          </w:p>
        </w:tc>
        <w:tc>
          <w:tcPr>
            <w:tcW w:w="1620" w:type="dxa"/>
          </w:tcPr>
          <w:p w:rsidRPr="00AD4785" w:rsidR="007C292D" w:rsidP="007C292D" w:rsidRDefault="007C292D" w14:paraId="56118064" w14:textId="0E53D3E0">
            <w:pPr>
              <w:tabs>
                <w:tab w:val="left" w:pos="0"/>
                <w:tab w:val="left" w:pos="360"/>
              </w:tabs>
              <w:suppressAutoHyphens/>
              <w:jc w:val="right"/>
              <w:rPr>
                <w:b/>
                <w:bCs/>
                <w:sz w:val="22"/>
              </w:rPr>
            </w:pPr>
            <w:r w:rsidRPr="00AD4785">
              <w:rPr>
                <w:b/>
                <w:bCs/>
                <w:sz w:val="22"/>
              </w:rPr>
              <w:t>44,</w:t>
            </w:r>
            <w:r w:rsidRPr="00AD4785" w:rsidR="0078136D">
              <w:rPr>
                <w:b/>
                <w:bCs/>
                <w:sz w:val="22"/>
              </w:rPr>
              <w:t>619</w:t>
            </w:r>
          </w:p>
        </w:tc>
        <w:tc>
          <w:tcPr>
            <w:tcW w:w="1350" w:type="dxa"/>
          </w:tcPr>
          <w:p w:rsidRPr="00AD4785" w:rsidR="007C292D" w:rsidP="007C292D" w:rsidRDefault="007C292D" w14:paraId="78775FFB" w14:textId="7A286D84">
            <w:pPr>
              <w:tabs>
                <w:tab w:val="left" w:pos="0"/>
                <w:tab w:val="left" w:pos="360"/>
              </w:tabs>
              <w:suppressAutoHyphens/>
              <w:jc w:val="right"/>
              <w:rPr>
                <w:b/>
                <w:bCs/>
                <w:sz w:val="22"/>
              </w:rPr>
            </w:pPr>
            <w:r w:rsidRPr="00AD4785">
              <w:rPr>
                <w:b/>
                <w:bCs/>
                <w:sz w:val="22"/>
              </w:rPr>
              <w:t>$1,</w:t>
            </w:r>
            <w:r w:rsidRPr="00AD4785" w:rsidR="0078136D">
              <w:rPr>
                <w:b/>
                <w:bCs/>
                <w:sz w:val="22"/>
              </w:rPr>
              <w:t>530,878</w:t>
            </w:r>
          </w:p>
        </w:tc>
      </w:tr>
    </w:tbl>
    <w:p w:rsidRPr="00AD4785" w:rsidR="007057A2" w:rsidP="007057A2" w:rsidRDefault="007057A2" w14:paraId="3971E948" w14:textId="0DAAF854">
      <w:pPr>
        <w:spacing w:after="120"/>
        <w:contextualSpacing/>
        <w:rPr>
          <w:rFonts w:cs="Times New Roman"/>
          <w:sz w:val="22"/>
        </w:rPr>
      </w:pPr>
      <w:r w:rsidRPr="00AD4785">
        <w:rPr>
          <w:rFonts w:cs="Times New Roman"/>
          <w:sz w:val="22"/>
        </w:rPr>
        <w:t>*</w:t>
      </w:r>
      <w:r w:rsidRPr="00AD4785" w:rsidR="000973BB">
        <w:rPr>
          <w:rFonts w:cs="Times New Roman"/>
          <w:sz w:val="22"/>
        </w:rPr>
        <w:t xml:space="preserve">HERD short form </w:t>
      </w:r>
      <w:r w:rsidRPr="00AD4785">
        <w:rPr>
          <w:rFonts w:cs="Times New Roman"/>
          <w:sz w:val="22"/>
        </w:rPr>
        <w:t>calculation</w:t>
      </w:r>
      <w:r w:rsidRPr="00AD4785" w:rsidR="000973BB">
        <w:rPr>
          <w:rFonts w:cs="Times New Roman"/>
          <w:sz w:val="22"/>
        </w:rPr>
        <w:t xml:space="preserve"> </w:t>
      </w:r>
      <w:r w:rsidRPr="00AD4785">
        <w:rPr>
          <w:rFonts w:cs="Times New Roman"/>
          <w:sz w:val="22"/>
        </w:rPr>
        <w:t>exclude</w:t>
      </w:r>
      <w:r w:rsidRPr="00AD4785" w:rsidR="000973BB">
        <w:rPr>
          <w:rFonts w:cs="Times New Roman"/>
          <w:sz w:val="22"/>
        </w:rPr>
        <w:t>s</w:t>
      </w:r>
      <w:r w:rsidRPr="00AD4785">
        <w:rPr>
          <w:rFonts w:cs="Times New Roman"/>
          <w:sz w:val="22"/>
        </w:rPr>
        <w:t xml:space="preserve"> the </w:t>
      </w:r>
      <w:r w:rsidRPr="00AD4785" w:rsidR="000973BB">
        <w:rPr>
          <w:rFonts w:cs="Times New Roman"/>
          <w:sz w:val="22"/>
        </w:rPr>
        <w:t>“</w:t>
      </w:r>
      <w:r w:rsidRPr="00AD4785">
        <w:rPr>
          <w:rFonts w:cs="Times New Roman"/>
          <w:sz w:val="22"/>
        </w:rPr>
        <w:t>previously approved burden</w:t>
      </w:r>
      <w:r w:rsidRPr="00AD4785" w:rsidR="000973BB">
        <w:rPr>
          <w:rFonts w:cs="Times New Roman"/>
          <w:sz w:val="22"/>
        </w:rPr>
        <w:t xml:space="preserve">” </w:t>
      </w:r>
      <w:r w:rsidRPr="00AD4785">
        <w:rPr>
          <w:rFonts w:cs="Times New Roman"/>
          <w:sz w:val="22"/>
        </w:rPr>
        <w:t xml:space="preserve">since the </w:t>
      </w:r>
      <w:r w:rsidRPr="00AD4785" w:rsidR="000973BB">
        <w:rPr>
          <w:rFonts w:cs="Times New Roman"/>
          <w:sz w:val="22"/>
        </w:rPr>
        <w:t>“</w:t>
      </w:r>
      <w:r w:rsidRPr="00AD4785">
        <w:rPr>
          <w:rFonts w:cs="Times New Roman"/>
          <w:sz w:val="22"/>
        </w:rPr>
        <w:t xml:space="preserve">new burden </w:t>
      </w:r>
      <w:r w:rsidRPr="00AD4785" w:rsidR="000973BB">
        <w:rPr>
          <w:rFonts w:cs="Times New Roman"/>
          <w:sz w:val="22"/>
        </w:rPr>
        <w:t xml:space="preserve">estimate” </w:t>
      </w:r>
      <w:r w:rsidRPr="00AD4785">
        <w:rPr>
          <w:rFonts w:cs="Times New Roman"/>
          <w:sz w:val="22"/>
        </w:rPr>
        <w:t>replaces it</w:t>
      </w:r>
      <w:r w:rsidRPr="00AD4785" w:rsidR="002F7BD9">
        <w:rPr>
          <w:rFonts w:cs="Times New Roman"/>
          <w:sz w:val="22"/>
        </w:rPr>
        <w:t xml:space="preserve"> in the subtotals</w:t>
      </w:r>
      <w:r w:rsidRPr="00AD4785">
        <w:rPr>
          <w:rFonts w:cs="Times New Roman"/>
          <w:sz w:val="22"/>
        </w:rPr>
        <w:t>.</w:t>
      </w:r>
      <w:r w:rsidRPr="00AD4785" w:rsidR="000973BB">
        <w:rPr>
          <w:rFonts w:cs="Times New Roman"/>
          <w:sz w:val="22"/>
        </w:rPr>
        <w:t xml:space="preserve"> The HERD standard form “previously approved burden” is included in that calculation. </w:t>
      </w:r>
      <w:r w:rsidRPr="00AD4785">
        <w:rPr>
          <w:rFonts w:cs="Times New Roman"/>
          <w:sz w:val="22"/>
        </w:rPr>
        <w:t xml:space="preserve"> </w:t>
      </w:r>
    </w:p>
    <w:p w:rsidRPr="00AD4785" w:rsidR="0035026F" w:rsidP="008A48EB" w:rsidRDefault="0035026F" w14:paraId="554E3DA9" w14:textId="77777777">
      <w:pPr>
        <w:spacing w:after="120" w:line="360" w:lineRule="auto"/>
        <w:contextualSpacing/>
        <w:rPr>
          <w:rFonts w:cs="Times New Roman"/>
          <w:szCs w:val="24"/>
        </w:rPr>
      </w:pPr>
    </w:p>
    <w:p w:rsidRPr="00AD4785" w:rsidR="005F7C62" w:rsidP="001403E5" w:rsidRDefault="00430C99" w14:paraId="72B88FE7" w14:textId="4A61B0D7">
      <w:pPr>
        <w:pStyle w:val="Heading2"/>
        <w:spacing w:before="0"/>
        <w:rPr>
          <w:bCs/>
        </w:rPr>
      </w:pPr>
      <w:bookmarkStart w:name="_Toc488073278" w:id="62"/>
      <w:bookmarkStart w:name="_Toc57726751" w:id="63"/>
      <w:bookmarkEnd w:id="61"/>
      <w:r w:rsidRPr="00AD4785">
        <w:lastRenderedPageBreak/>
        <w:t>A.</w:t>
      </w:r>
      <w:r w:rsidRPr="00AD4785" w:rsidR="003E5565">
        <w:t>13</w:t>
      </w:r>
      <w:r w:rsidRPr="00AD4785" w:rsidR="003E5565">
        <w:tab/>
      </w:r>
      <w:r w:rsidRPr="00AD4785" w:rsidR="008C752D">
        <w:t xml:space="preserve">Cost </w:t>
      </w:r>
      <w:r w:rsidRPr="00AD4785" w:rsidR="00507DAD">
        <w:t xml:space="preserve">Burden </w:t>
      </w:r>
      <w:r w:rsidRPr="00AD4785" w:rsidR="008C752D">
        <w:t>to Respondents</w:t>
      </w:r>
      <w:bookmarkEnd w:id="62"/>
      <w:bookmarkEnd w:id="63"/>
    </w:p>
    <w:p w:rsidRPr="00AD4785" w:rsidR="005F7C62" w:rsidP="008164C1" w:rsidRDefault="003E6FCB" w14:paraId="12784226" w14:textId="65DB666D">
      <w:pPr>
        <w:pStyle w:val="BodyText"/>
      </w:pPr>
      <w:r w:rsidRPr="00AD4785">
        <w:t>Not applicable. There are no capital or startup costs for the respondents to the HERD or FFRDC surveys</w:t>
      </w:r>
      <w:r w:rsidRPr="00AD4785" w:rsidR="00C80947">
        <w:t>.</w:t>
      </w:r>
      <w:r w:rsidRPr="00AD4785">
        <w:t xml:space="preserve"> </w:t>
      </w:r>
    </w:p>
    <w:p w:rsidRPr="00AD4785" w:rsidR="005F7C62" w:rsidP="003E5565" w:rsidRDefault="009E66C1" w14:paraId="2A8E5551" w14:textId="5890473F">
      <w:pPr>
        <w:pStyle w:val="Heading2"/>
        <w:rPr>
          <w:bCs/>
        </w:rPr>
      </w:pPr>
      <w:bookmarkStart w:name="_Toc488073279" w:id="64"/>
      <w:bookmarkStart w:name="_Toc57726752" w:id="65"/>
      <w:r w:rsidRPr="00AD4785">
        <w:t>A.</w:t>
      </w:r>
      <w:r w:rsidRPr="00AD4785" w:rsidR="003E5565">
        <w:t>14</w:t>
      </w:r>
      <w:r w:rsidRPr="00AD4785" w:rsidR="003E5565">
        <w:tab/>
      </w:r>
      <w:r w:rsidRPr="00AD4785" w:rsidR="008C752D">
        <w:t>Cost to the</w:t>
      </w:r>
      <w:r w:rsidRPr="00AD4785" w:rsidR="008C752D">
        <w:rPr>
          <w:spacing w:val="1"/>
        </w:rPr>
        <w:t xml:space="preserve"> </w:t>
      </w:r>
      <w:r w:rsidRPr="00AD4785" w:rsidR="008C752D">
        <w:t>Federal</w:t>
      </w:r>
      <w:r w:rsidRPr="00AD4785" w:rsidR="008C752D">
        <w:rPr>
          <w:spacing w:val="2"/>
        </w:rPr>
        <w:t xml:space="preserve"> </w:t>
      </w:r>
      <w:r w:rsidRPr="00AD4785" w:rsidR="008C752D">
        <w:t>Government</w:t>
      </w:r>
      <w:bookmarkEnd w:id="64"/>
      <w:bookmarkEnd w:id="65"/>
    </w:p>
    <w:p w:rsidRPr="00AD4785" w:rsidR="005F7C62" w:rsidP="003E6FCB" w:rsidRDefault="003E6FCB" w14:paraId="74DC7156" w14:textId="3A6B391D">
      <w:pPr>
        <w:pStyle w:val="BodyText"/>
      </w:pPr>
      <w:bookmarkStart w:name="_Hlk3887201" w:id="66"/>
      <w:r w:rsidRPr="00AD4785">
        <w:t xml:space="preserve">The estimated total cost to the Federal Government for the FY 2020 and FY 2021 HERD and FFRDC </w:t>
      </w:r>
      <w:r w:rsidRPr="00AD4785" w:rsidR="0048799E">
        <w:t>s</w:t>
      </w:r>
      <w:r w:rsidRPr="00AD4785">
        <w:t>urveys is approximately $2.8 million over a period of 24 months, for an annualized cost of $1.4 million.  The estimate includes labor costs for NCSES staff of approximately $280,000 (project manager (part time), mathematical statistician (part time), program director (part time) and other staff) and the survey management contractual cost of $2.52 million.</w:t>
      </w:r>
      <w:r w:rsidRPr="00AD4785" w:rsidDel="0055766B">
        <w:t xml:space="preserve"> </w:t>
      </w:r>
      <w:bookmarkEnd w:id="66"/>
    </w:p>
    <w:p w:rsidRPr="00AD4785" w:rsidR="005F7C62" w:rsidP="009630A5" w:rsidRDefault="009E66C1" w14:paraId="1BB32BFD" w14:textId="03489033">
      <w:pPr>
        <w:pStyle w:val="Heading2"/>
        <w:ind w:left="0" w:firstLine="0"/>
        <w:rPr>
          <w:bCs/>
        </w:rPr>
      </w:pPr>
      <w:bookmarkStart w:name="_Toc488073280" w:id="67"/>
      <w:bookmarkStart w:name="_Toc57726753" w:id="68"/>
      <w:r w:rsidRPr="00AD4785">
        <w:t>A.</w:t>
      </w:r>
      <w:r w:rsidRPr="00AD4785" w:rsidR="003E5565">
        <w:t>15</w:t>
      </w:r>
      <w:r w:rsidRPr="00AD4785" w:rsidR="003E5565">
        <w:tab/>
      </w:r>
      <w:r w:rsidRPr="00AD4785" w:rsidR="00507DAD">
        <w:t xml:space="preserve">Program </w:t>
      </w:r>
      <w:r w:rsidRPr="00AD4785" w:rsidR="008C752D">
        <w:t xml:space="preserve">Changes </w:t>
      </w:r>
      <w:r w:rsidRPr="00AD4785" w:rsidR="00507DAD">
        <w:t>or Adjustment</w:t>
      </w:r>
      <w:r w:rsidRPr="00AD4785" w:rsidR="006B6EC4">
        <w:t>s</w:t>
      </w:r>
      <w:r w:rsidRPr="00AD4785" w:rsidR="00507DAD">
        <w:t xml:space="preserve"> </w:t>
      </w:r>
      <w:r w:rsidRPr="00AD4785" w:rsidR="008C752D">
        <w:t>in Burden</w:t>
      </w:r>
      <w:bookmarkEnd w:id="67"/>
      <w:bookmarkEnd w:id="68"/>
    </w:p>
    <w:p w:rsidRPr="00AD4785" w:rsidR="006F714E" w:rsidP="002816AA" w:rsidRDefault="0014176F" w14:paraId="7EA4DB58" w14:textId="695B22EB">
      <w:pPr>
        <w:pStyle w:val="BodyText"/>
      </w:pPr>
      <w:r w:rsidRPr="00AD4785">
        <w:t xml:space="preserve">NCSES provided HERD population estimates of 650 for the standard form and 300 for the short form in the ICR approved on August 15, 2019. Population growth for the HERD short form population has been </w:t>
      </w:r>
      <w:r w:rsidRPr="00AD4785" w:rsidR="006F714E">
        <w:t>less</w:t>
      </w:r>
      <w:r w:rsidRPr="00AD4785">
        <w:t xml:space="preserve"> than expected. For purposes of burden calculation, NCSES is revising the HERD short form population estimate to 275 </w:t>
      </w:r>
      <w:r w:rsidRPr="00AD4785" w:rsidR="006F714E">
        <w:t xml:space="preserve">institutions </w:t>
      </w:r>
      <w:r w:rsidRPr="00AD4785">
        <w:t xml:space="preserve">per year for the FY 2020 and FY 2021 data collections. </w:t>
      </w:r>
      <w:r w:rsidRPr="00AD4785" w:rsidR="00DA7A0C">
        <w:t xml:space="preserve">As noted above in Table A-12.1, this reduces the previously approved burden hours for the short form institutions from 2,400 </w:t>
      </w:r>
      <w:r w:rsidRPr="00AD4785" w:rsidR="00037472">
        <w:t xml:space="preserve">to 2,200. With the proposed addition of the new COVID-19 questions (69 total burden hours), the proposed new burden for the short form institutions is 2,269. </w:t>
      </w:r>
      <w:r w:rsidRPr="00AD4785">
        <w:t xml:space="preserve"> </w:t>
      </w:r>
      <w:r w:rsidRPr="00AD4785" w:rsidR="00037472">
        <w:t>See Table A-12.1 for full details of burden calculations.</w:t>
      </w:r>
    </w:p>
    <w:p w:rsidRPr="00AD4785" w:rsidR="00037472" w:rsidP="001D7A8C" w:rsidRDefault="00037472" w14:paraId="23B3789D" w14:textId="77777777">
      <w:pPr>
        <w:pStyle w:val="BodyText"/>
        <w:spacing w:line="240" w:lineRule="auto"/>
        <w:rPr>
          <w:rFonts w:cs="Times New Roman"/>
        </w:rPr>
      </w:pPr>
    </w:p>
    <w:p w:rsidRPr="00AD4785" w:rsidR="006F714E" w:rsidP="001D7A8C" w:rsidRDefault="00DA7A0C" w14:paraId="266643AA" w14:textId="71490D05">
      <w:pPr>
        <w:pStyle w:val="BodyText"/>
        <w:spacing w:line="240" w:lineRule="auto"/>
        <w:ind w:firstLine="0"/>
        <w:rPr>
          <w:rFonts w:cs="Times New Roman"/>
        </w:rPr>
      </w:pPr>
      <w:r w:rsidRPr="00AD4785">
        <w:rPr>
          <w:b/>
        </w:rPr>
        <w:t xml:space="preserve">     Table A-15.  </w:t>
      </w:r>
      <w:r w:rsidRPr="00AD4785" w:rsidR="006F714E">
        <w:rPr>
          <w:b/>
          <w:bCs/>
        </w:rPr>
        <w:t>HERD and FFRDC Response Rates, FY 2017-2019</w:t>
      </w:r>
    </w:p>
    <w:tbl>
      <w:tblPr>
        <w:tblStyle w:val="TableGrid"/>
        <w:tblpPr w:leftFromText="187" w:rightFromText="187" w:vertAnchor="text" w:tblpY="1"/>
        <w:tblOverlap w:val="never"/>
        <w:tblW w:w="9355" w:type="dxa"/>
        <w:tblLayout w:type="fixed"/>
        <w:tblLook w:val="04A0" w:firstRow="1" w:lastRow="0" w:firstColumn="1" w:lastColumn="0" w:noHBand="0" w:noVBand="1"/>
      </w:tblPr>
      <w:tblGrid>
        <w:gridCol w:w="1165"/>
        <w:gridCol w:w="900"/>
        <w:gridCol w:w="1080"/>
        <w:gridCol w:w="990"/>
        <w:gridCol w:w="1080"/>
        <w:gridCol w:w="990"/>
        <w:gridCol w:w="1080"/>
        <w:gridCol w:w="990"/>
        <w:gridCol w:w="1080"/>
      </w:tblGrid>
      <w:tr w:rsidRPr="00AD4785" w:rsidR="0014176F" w:rsidTr="006F714E" w14:paraId="5F173401" w14:textId="77777777">
        <w:tc>
          <w:tcPr>
            <w:tcW w:w="1165" w:type="dxa"/>
            <w:vMerge w:val="restart"/>
            <w:vAlign w:val="bottom"/>
          </w:tcPr>
          <w:p w:rsidRPr="00AD4785" w:rsidR="0014176F" w:rsidP="0014176F" w:rsidRDefault="0014176F" w14:paraId="0D1C3577" w14:textId="77777777">
            <w:pPr>
              <w:rPr>
                <w:sz w:val="22"/>
              </w:rPr>
            </w:pPr>
            <w:r w:rsidRPr="00AD4785">
              <w:rPr>
                <w:sz w:val="22"/>
              </w:rPr>
              <w:t>Survey and form</w:t>
            </w:r>
          </w:p>
        </w:tc>
        <w:tc>
          <w:tcPr>
            <w:tcW w:w="1980" w:type="dxa"/>
            <w:gridSpan w:val="2"/>
          </w:tcPr>
          <w:p w:rsidRPr="00AD4785" w:rsidR="0014176F" w:rsidP="0014176F" w:rsidRDefault="0014176F" w14:paraId="0E3BE163" w14:textId="77777777">
            <w:pPr>
              <w:rPr>
                <w:sz w:val="22"/>
              </w:rPr>
            </w:pPr>
            <w:r w:rsidRPr="00AD4785">
              <w:rPr>
                <w:sz w:val="22"/>
              </w:rPr>
              <w:t>FY 2017</w:t>
            </w:r>
          </w:p>
        </w:tc>
        <w:tc>
          <w:tcPr>
            <w:tcW w:w="2070" w:type="dxa"/>
            <w:gridSpan w:val="2"/>
          </w:tcPr>
          <w:p w:rsidRPr="00AD4785" w:rsidR="0014176F" w:rsidP="0014176F" w:rsidRDefault="0014176F" w14:paraId="2A424D8F" w14:textId="77777777">
            <w:pPr>
              <w:rPr>
                <w:sz w:val="22"/>
              </w:rPr>
            </w:pPr>
            <w:r w:rsidRPr="00AD4785">
              <w:rPr>
                <w:sz w:val="22"/>
              </w:rPr>
              <w:t>FY 2018</w:t>
            </w:r>
          </w:p>
        </w:tc>
        <w:tc>
          <w:tcPr>
            <w:tcW w:w="2070" w:type="dxa"/>
            <w:gridSpan w:val="2"/>
          </w:tcPr>
          <w:p w:rsidRPr="00AD4785" w:rsidR="0014176F" w:rsidP="0014176F" w:rsidRDefault="0014176F" w14:paraId="4CA64270" w14:textId="77777777">
            <w:pPr>
              <w:rPr>
                <w:sz w:val="22"/>
              </w:rPr>
            </w:pPr>
            <w:r w:rsidRPr="00AD4785">
              <w:rPr>
                <w:sz w:val="22"/>
              </w:rPr>
              <w:t>FY 2019</w:t>
            </w:r>
          </w:p>
        </w:tc>
        <w:tc>
          <w:tcPr>
            <w:tcW w:w="2070" w:type="dxa"/>
            <w:gridSpan w:val="2"/>
          </w:tcPr>
          <w:p w:rsidRPr="00AD4785" w:rsidR="0014176F" w:rsidP="0014176F" w:rsidRDefault="0014176F" w14:paraId="214F9436" w14:textId="77777777">
            <w:pPr>
              <w:rPr>
                <w:sz w:val="22"/>
              </w:rPr>
            </w:pPr>
            <w:r w:rsidRPr="00AD4785">
              <w:rPr>
                <w:sz w:val="22"/>
              </w:rPr>
              <w:t>FY 2020-21</w:t>
            </w:r>
          </w:p>
          <w:p w:rsidRPr="00AD4785" w:rsidR="0014176F" w:rsidP="0014176F" w:rsidRDefault="0014176F" w14:paraId="04F5A713" w14:textId="77777777">
            <w:pPr>
              <w:rPr>
                <w:sz w:val="22"/>
              </w:rPr>
            </w:pPr>
            <w:r w:rsidRPr="00AD4785">
              <w:rPr>
                <w:sz w:val="22"/>
              </w:rPr>
              <w:t>Estimates</w:t>
            </w:r>
          </w:p>
        </w:tc>
      </w:tr>
      <w:tr w:rsidRPr="00AD4785" w:rsidR="0014176F" w:rsidTr="006F714E" w14:paraId="055F12D1" w14:textId="77777777">
        <w:tc>
          <w:tcPr>
            <w:tcW w:w="1165" w:type="dxa"/>
            <w:vMerge/>
            <w:vAlign w:val="bottom"/>
          </w:tcPr>
          <w:p w:rsidRPr="00AD4785" w:rsidR="0014176F" w:rsidP="0014176F" w:rsidRDefault="0014176F" w14:paraId="1832FBBC" w14:textId="77777777">
            <w:pPr>
              <w:rPr>
                <w:sz w:val="22"/>
              </w:rPr>
            </w:pPr>
          </w:p>
        </w:tc>
        <w:tc>
          <w:tcPr>
            <w:tcW w:w="900" w:type="dxa"/>
          </w:tcPr>
          <w:p w:rsidRPr="00AD4785" w:rsidR="0014176F" w:rsidP="0014176F" w:rsidRDefault="0014176F" w14:paraId="76F007F3" w14:textId="77777777">
            <w:pPr>
              <w:rPr>
                <w:sz w:val="20"/>
                <w:szCs w:val="20"/>
              </w:rPr>
            </w:pPr>
            <w:r w:rsidRPr="00AD4785">
              <w:rPr>
                <w:sz w:val="20"/>
                <w:szCs w:val="20"/>
              </w:rPr>
              <w:t>Survey universe</w:t>
            </w:r>
          </w:p>
        </w:tc>
        <w:tc>
          <w:tcPr>
            <w:tcW w:w="1080" w:type="dxa"/>
          </w:tcPr>
          <w:p w:rsidRPr="00AD4785" w:rsidR="0014176F" w:rsidP="0014176F" w:rsidRDefault="0014176F" w14:paraId="716DFF5E" w14:textId="77777777">
            <w:pPr>
              <w:rPr>
                <w:sz w:val="22"/>
              </w:rPr>
            </w:pPr>
            <w:r w:rsidRPr="00AD4785">
              <w:rPr>
                <w:sz w:val="22"/>
              </w:rPr>
              <w:t>Response rate (%)</w:t>
            </w:r>
          </w:p>
        </w:tc>
        <w:tc>
          <w:tcPr>
            <w:tcW w:w="990" w:type="dxa"/>
          </w:tcPr>
          <w:p w:rsidRPr="00AD4785" w:rsidR="0014176F" w:rsidP="0014176F" w:rsidRDefault="0014176F" w14:paraId="23EAB05D" w14:textId="77777777">
            <w:pPr>
              <w:rPr>
                <w:sz w:val="22"/>
              </w:rPr>
            </w:pPr>
            <w:r w:rsidRPr="00AD4785">
              <w:rPr>
                <w:sz w:val="22"/>
              </w:rPr>
              <w:t>Survey universe</w:t>
            </w:r>
          </w:p>
        </w:tc>
        <w:tc>
          <w:tcPr>
            <w:tcW w:w="1080" w:type="dxa"/>
          </w:tcPr>
          <w:p w:rsidRPr="00AD4785" w:rsidR="0014176F" w:rsidP="0014176F" w:rsidRDefault="0014176F" w14:paraId="7D7C92F5" w14:textId="77777777">
            <w:pPr>
              <w:rPr>
                <w:sz w:val="22"/>
              </w:rPr>
            </w:pPr>
            <w:r w:rsidRPr="00AD4785">
              <w:rPr>
                <w:sz w:val="22"/>
              </w:rPr>
              <w:t>Response rate (%)</w:t>
            </w:r>
          </w:p>
        </w:tc>
        <w:tc>
          <w:tcPr>
            <w:tcW w:w="990" w:type="dxa"/>
          </w:tcPr>
          <w:p w:rsidRPr="00AD4785" w:rsidR="0014176F" w:rsidP="0014176F" w:rsidRDefault="0014176F" w14:paraId="2F1EC388" w14:textId="77777777">
            <w:pPr>
              <w:rPr>
                <w:sz w:val="22"/>
              </w:rPr>
            </w:pPr>
            <w:r w:rsidRPr="00AD4785">
              <w:rPr>
                <w:sz w:val="22"/>
              </w:rPr>
              <w:t>Survey universe</w:t>
            </w:r>
          </w:p>
        </w:tc>
        <w:tc>
          <w:tcPr>
            <w:tcW w:w="1080" w:type="dxa"/>
          </w:tcPr>
          <w:p w:rsidRPr="00AD4785" w:rsidR="0014176F" w:rsidP="0014176F" w:rsidRDefault="0014176F" w14:paraId="4A3FFC11" w14:textId="77777777">
            <w:pPr>
              <w:rPr>
                <w:sz w:val="22"/>
              </w:rPr>
            </w:pPr>
            <w:r w:rsidRPr="00AD4785">
              <w:rPr>
                <w:sz w:val="22"/>
              </w:rPr>
              <w:t>Response rate (%)</w:t>
            </w:r>
          </w:p>
        </w:tc>
        <w:tc>
          <w:tcPr>
            <w:tcW w:w="990" w:type="dxa"/>
          </w:tcPr>
          <w:p w:rsidRPr="00AD4785" w:rsidR="0014176F" w:rsidP="0014176F" w:rsidRDefault="0014176F" w14:paraId="13B5F2D8" w14:textId="77777777">
            <w:pPr>
              <w:rPr>
                <w:sz w:val="22"/>
              </w:rPr>
            </w:pPr>
            <w:r w:rsidRPr="00AD4785">
              <w:rPr>
                <w:sz w:val="22"/>
              </w:rPr>
              <w:t>Survey universe</w:t>
            </w:r>
          </w:p>
        </w:tc>
        <w:tc>
          <w:tcPr>
            <w:tcW w:w="1080" w:type="dxa"/>
          </w:tcPr>
          <w:p w:rsidRPr="00AD4785" w:rsidR="0014176F" w:rsidP="0014176F" w:rsidRDefault="0014176F" w14:paraId="4631F3B4" w14:textId="77777777">
            <w:pPr>
              <w:rPr>
                <w:sz w:val="22"/>
              </w:rPr>
            </w:pPr>
            <w:r w:rsidRPr="00AD4785">
              <w:rPr>
                <w:sz w:val="22"/>
              </w:rPr>
              <w:t>Response rate (%)</w:t>
            </w:r>
          </w:p>
        </w:tc>
      </w:tr>
      <w:tr w:rsidRPr="00AD4785" w:rsidR="0014176F" w:rsidTr="006F714E" w14:paraId="77C2BB21" w14:textId="77777777">
        <w:trPr>
          <w:trHeight w:val="144" w:hRule="exact"/>
        </w:trPr>
        <w:tc>
          <w:tcPr>
            <w:tcW w:w="1165" w:type="dxa"/>
          </w:tcPr>
          <w:p w:rsidRPr="00AD4785" w:rsidR="0014176F" w:rsidP="0014176F" w:rsidRDefault="0014176F" w14:paraId="2B6187E9" w14:textId="77777777">
            <w:pPr>
              <w:rPr>
                <w:sz w:val="22"/>
              </w:rPr>
            </w:pPr>
          </w:p>
        </w:tc>
        <w:tc>
          <w:tcPr>
            <w:tcW w:w="900" w:type="dxa"/>
          </w:tcPr>
          <w:p w:rsidRPr="00AD4785" w:rsidR="0014176F" w:rsidP="0014176F" w:rsidRDefault="0014176F" w14:paraId="57A7C105" w14:textId="77777777">
            <w:pPr>
              <w:rPr>
                <w:sz w:val="22"/>
              </w:rPr>
            </w:pPr>
          </w:p>
        </w:tc>
        <w:tc>
          <w:tcPr>
            <w:tcW w:w="1080" w:type="dxa"/>
          </w:tcPr>
          <w:p w:rsidRPr="00AD4785" w:rsidR="0014176F" w:rsidP="0014176F" w:rsidRDefault="0014176F" w14:paraId="59A4D2AD" w14:textId="77777777">
            <w:pPr>
              <w:rPr>
                <w:sz w:val="22"/>
              </w:rPr>
            </w:pPr>
          </w:p>
        </w:tc>
        <w:tc>
          <w:tcPr>
            <w:tcW w:w="990" w:type="dxa"/>
          </w:tcPr>
          <w:p w:rsidRPr="00AD4785" w:rsidR="0014176F" w:rsidP="0014176F" w:rsidRDefault="0014176F" w14:paraId="23332C56" w14:textId="77777777">
            <w:pPr>
              <w:rPr>
                <w:sz w:val="22"/>
              </w:rPr>
            </w:pPr>
          </w:p>
        </w:tc>
        <w:tc>
          <w:tcPr>
            <w:tcW w:w="1080" w:type="dxa"/>
          </w:tcPr>
          <w:p w:rsidRPr="00AD4785" w:rsidR="0014176F" w:rsidP="0014176F" w:rsidRDefault="0014176F" w14:paraId="7D38B1E2" w14:textId="77777777">
            <w:pPr>
              <w:rPr>
                <w:sz w:val="22"/>
              </w:rPr>
            </w:pPr>
          </w:p>
        </w:tc>
        <w:tc>
          <w:tcPr>
            <w:tcW w:w="990" w:type="dxa"/>
          </w:tcPr>
          <w:p w:rsidRPr="00AD4785" w:rsidR="0014176F" w:rsidP="0014176F" w:rsidRDefault="0014176F" w14:paraId="030D38B8" w14:textId="77777777">
            <w:pPr>
              <w:rPr>
                <w:sz w:val="22"/>
              </w:rPr>
            </w:pPr>
          </w:p>
        </w:tc>
        <w:tc>
          <w:tcPr>
            <w:tcW w:w="1080" w:type="dxa"/>
          </w:tcPr>
          <w:p w:rsidRPr="00AD4785" w:rsidR="0014176F" w:rsidP="0014176F" w:rsidRDefault="0014176F" w14:paraId="2D45AA03" w14:textId="77777777">
            <w:pPr>
              <w:rPr>
                <w:sz w:val="22"/>
              </w:rPr>
            </w:pPr>
          </w:p>
        </w:tc>
        <w:tc>
          <w:tcPr>
            <w:tcW w:w="990" w:type="dxa"/>
          </w:tcPr>
          <w:p w:rsidRPr="00AD4785" w:rsidR="0014176F" w:rsidP="0014176F" w:rsidRDefault="0014176F" w14:paraId="6497ED49" w14:textId="77777777">
            <w:pPr>
              <w:rPr>
                <w:sz w:val="22"/>
              </w:rPr>
            </w:pPr>
          </w:p>
        </w:tc>
        <w:tc>
          <w:tcPr>
            <w:tcW w:w="1080" w:type="dxa"/>
          </w:tcPr>
          <w:p w:rsidRPr="00AD4785" w:rsidR="0014176F" w:rsidP="0014176F" w:rsidRDefault="0014176F" w14:paraId="33770334" w14:textId="77777777">
            <w:pPr>
              <w:rPr>
                <w:sz w:val="22"/>
              </w:rPr>
            </w:pPr>
          </w:p>
        </w:tc>
      </w:tr>
      <w:tr w:rsidRPr="00AD4785" w:rsidR="006F714E" w:rsidTr="00E032BA" w14:paraId="6EDBCF14" w14:textId="77777777">
        <w:trPr>
          <w:trHeight w:val="288" w:hRule="exact"/>
        </w:trPr>
        <w:tc>
          <w:tcPr>
            <w:tcW w:w="1165" w:type="dxa"/>
            <w:vAlign w:val="center"/>
          </w:tcPr>
          <w:p w:rsidRPr="00AD4785" w:rsidR="006F714E" w:rsidP="006F714E" w:rsidRDefault="006F714E" w14:paraId="0491C7A5" w14:textId="77777777">
            <w:pPr>
              <w:rPr>
                <w:sz w:val="22"/>
              </w:rPr>
            </w:pPr>
            <w:r w:rsidRPr="00AD4785">
              <w:rPr>
                <w:sz w:val="22"/>
              </w:rPr>
              <w:t>HERD</w:t>
            </w:r>
          </w:p>
        </w:tc>
        <w:tc>
          <w:tcPr>
            <w:tcW w:w="900" w:type="dxa"/>
            <w:vAlign w:val="center"/>
          </w:tcPr>
          <w:p w:rsidRPr="00AD4785" w:rsidR="006F714E" w:rsidP="006F714E" w:rsidRDefault="006F714E" w14:paraId="67A4B2B8" w14:textId="77777777">
            <w:pPr>
              <w:rPr>
                <w:sz w:val="22"/>
              </w:rPr>
            </w:pPr>
            <w:r w:rsidRPr="00AD4785">
              <w:rPr>
                <w:sz w:val="22"/>
              </w:rPr>
              <w:t>903</w:t>
            </w:r>
          </w:p>
        </w:tc>
        <w:tc>
          <w:tcPr>
            <w:tcW w:w="1080" w:type="dxa"/>
            <w:vAlign w:val="center"/>
          </w:tcPr>
          <w:p w:rsidRPr="00AD4785" w:rsidR="006F714E" w:rsidP="006F714E" w:rsidRDefault="006F714E" w14:paraId="34693C5F" w14:textId="77777777">
            <w:pPr>
              <w:rPr>
                <w:sz w:val="22"/>
              </w:rPr>
            </w:pPr>
            <w:r w:rsidRPr="00AD4785">
              <w:rPr>
                <w:sz w:val="22"/>
              </w:rPr>
              <w:t>96.2</w:t>
            </w:r>
          </w:p>
        </w:tc>
        <w:tc>
          <w:tcPr>
            <w:tcW w:w="990" w:type="dxa"/>
            <w:vAlign w:val="center"/>
          </w:tcPr>
          <w:p w:rsidRPr="00AD4785" w:rsidR="006F714E" w:rsidP="006F714E" w:rsidRDefault="006F714E" w14:paraId="443DE832" w14:textId="77777777">
            <w:pPr>
              <w:rPr>
                <w:sz w:val="22"/>
              </w:rPr>
            </w:pPr>
            <w:r w:rsidRPr="00AD4785">
              <w:rPr>
                <w:sz w:val="22"/>
              </w:rPr>
              <w:t>915</w:t>
            </w:r>
          </w:p>
        </w:tc>
        <w:tc>
          <w:tcPr>
            <w:tcW w:w="1080" w:type="dxa"/>
            <w:vAlign w:val="center"/>
          </w:tcPr>
          <w:p w:rsidRPr="00AD4785" w:rsidR="006F714E" w:rsidP="006F714E" w:rsidRDefault="006F714E" w14:paraId="16019E48" w14:textId="77777777">
            <w:pPr>
              <w:rPr>
                <w:sz w:val="22"/>
              </w:rPr>
            </w:pPr>
            <w:r w:rsidRPr="00AD4785">
              <w:rPr>
                <w:sz w:val="22"/>
              </w:rPr>
              <w:t>96.9</w:t>
            </w:r>
          </w:p>
        </w:tc>
        <w:tc>
          <w:tcPr>
            <w:tcW w:w="990" w:type="dxa"/>
            <w:vAlign w:val="center"/>
          </w:tcPr>
          <w:p w:rsidRPr="00AD4785" w:rsidR="006F714E" w:rsidP="006F714E" w:rsidRDefault="006F714E" w14:paraId="5721FB02" w14:textId="77777777">
            <w:pPr>
              <w:rPr>
                <w:sz w:val="22"/>
              </w:rPr>
            </w:pPr>
            <w:r w:rsidRPr="00AD4785">
              <w:rPr>
                <w:sz w:val="22"/>
              </w:rPr>
              <w:t>916</w:t>
            </w:r>
          </w:p>
        </w:tc>
        <w:tc>
          <w:tcPr>
            <w:tcW w:w="1080" w:type="dxa"/>
            <w:vAlign w:val="center"/>
          </w:tcPr>
          <w:p w:rsidRPr="00AD4785" w:rsidR="006F714E" w:rsidP="006F714E" w:rsidRDefault="006F714E" w14:paraId="4DA7672C" w14:textId="77777777">
            <w:pPr>
              <w:rPr>
                <w:sz w:val="22"/>
              </w:rPr>
            </w:pPr>
            <w:r w:rsidRPr="00AD4785">
              <w:rPr>
                <w:sz w:val="22"/>
              </w:rPr>
              <w:t>96.7</w:t>
            </w:r>
          </w:p>
        </w:tc>
        <w:tc>
          <w:tcPr>
            <w:tcW w:w="990" w:type="dxa"/>
            <w:vAlign w:val="center"/>
          </w:tcPr>
          <w:p w:rsidRPr="00AD4785" w:rsidR="006F714E" w:rsidP="006F714E" w:rsidRDefault="006F714E" w14:paraId="2A2DEEF5" w14:textId="3A55265C">
            <w:pPr>
              <w:rPr>
                <w:sz w:val="22"/>
              </w:rPr>
            </w:pPr>
            <w:r w:rsidRPr="00AD4785">
              <w:rPr>
                <w:sz w:val="22"/>
              </w:rPr>
              <w:t>925</w:t>
            </w:r>
          </w:p>
        </w:tc>
        <w:tc>
          <w:tcPr>
            <w:tcW w:w="1080" w:type="dxa"/>
            <w:vAlign w:val="center"/>
          </w:tcPr>
          <w:p w:rsidRPr="00AD4785" w:rsidR="006F714E" w:rsidP="006F714E" w:rsidRDefault="006F714E" w14:paraId="3F34FD07" w14:textId="21EB4D44">
            <w:pPr>
              <w:rPr>
                <w:sz w:val="22"/>
              </w:rPr>
            </w:pPr>
            <w:r w:rsidRPr="00AD4785">
              <w:rPr>
                <w:sz w:val="22"/>
              </w:rPr>
              <w:t>96.0</w:t>
            </w:r>
          </w:p>
        </w:tc>
      </w:tr>
      <w:tr w:rsidRPr="00AD4785" w:rsidR="006F714E" w:rsidTr="00E032BA" w14:paraId="0BB46F40" w14:textId="77777777">
        <w:trPr>
          <w:trHeight w:val="288"/>
        </w:trPr>
        <w:tc>
          <w:tcPr>
            <w:tcW w:w="1165" w:type="dxa"/>
            <w:tcMar>
              <w:left w:w="216" w:type="dxa"/>
              <w:right w:w="115" w:type="dxa"/>
            </w:tcMar>
            <w:vAlign w:val="center"/>
          </w:tcPr>
          <w:p w:rsidRPr="00AD4785" w:rsidR="006F714E" w:rsidP="006F714E" w:rsidRDefault="006F714E" w14:paraId="01A434CB" w14:textId="77777777">
            <w:pPr>
              <w:rPr>
                <w:sz w:val="22"/>
              </w:rPr>
            </w:pPr>
            <w:r w:rsidRPr="00AD4785">
              <w:rPr>
                <w:sz w:val="22"/>
              </w:rPr>
              <w:t>Standard form</w:t>
            </w:r>
          </w:p>
        </w:tc>
        <w:tc>
          <w:tcPr>
            <w:tcW w:w="900" w:type="dxa"/>
            <w:vAlign w:val="center"/>
          </w:tcPr>
          <w:p w:rsidRPr="00AD4785" w:rsidR="006F714E" w:rsidP="006F714E" w:rsidRDefault="006F714E" w14:paraId="138A1369" w14:textId="77777777">
            <w:pPr>
              <w:rPr>
                <w:sz w:val="22"/>
              </w:rPr>
            </w:pPr>
            <w:r w:rsidRPr="00AD4785">
              <w:rPr>
                <w:sz w:val="22"/>
              </w:rPr>
              <w:t>644</w:t>
            </w:r>
          </w:p>
        </w:tc>
        <w:tc>
          <w:tcPr>
            <w:tcW w:w="1080" w:type="dxa"/>
            <w:vAlign w:val="center"/>
          </w:tcPr>
          <w:p w:rsidRPr="00AD4785" w:rsidR="006F714E" w:rsidP="006F714E" w:rsidRDefault="006F714E" w14:paraId="33175772" w14:textId="77777777">
            <w:pPr>
              <w:rPr>
                <w:sz w:val="22"/>
              </w:rPr>
            </w:pPr>
            <w:r w:rsidRPr="00AD4785">
              <w:rPr>
                <w:sz w:val="22"/>
              </w:rPr>
              <w:t>96.4</w:t>
            </w:r>
          </w:p>
        </w:tc>
        <w:tc>
          <w:tcPr>
            <w:tcW w:w="990" w:type="dxa"/>
            <w:vAlign w:val="center"/>
          </w:tcPr>
          <w:p w:rsidRPr="00AD4785" w:rsidR="006F714E" w:rsidP="006F714E" w:rsidRDefault="006F714E" w14:paraId="21828D84" w14:textId="77777777">
            <w:pPr>
              <w:rPr>
                <w:sz w:val="22"/>
              </w:rPr>
            </w:pPr>
            <w:r w:rsidRPr="00AD4785">
              <w:rPr>
                <w:sz w:val="22"/>
              </w:rPr>
              <w:t>646</w:t>
            </w:r>
          </w:p>
        </w:tc>
        <w:tc>
          <w:tcPr>
            <w:tcW w:w="1080" w:type="dxa"/>
            <w:vAlign w:val="center"/>
          </w:tcPr>
          <w:p w:rsidRPr="00AD4785" w:rsidR="006F714E" w:rsidP="006F714E" w:rsidRDefault="006F714E" w14:paraId="287BBBA9" w14:textId="77777777">
            <w:pPr>
              <w:rPr>
                <w:sz w:val="22"/>
              </w:rPr>
            </w:pPr>
            <w:r w:rsidRPr="00AD4785">
              <w:rPr>
                <w:sz w:val="22"/>
              </w:rPr>
              <w:t>97.5</w:t>
            </w:r>
          </w:p>
        </w:tc>
        <w:tc>
          <w:tcPr>
            <w:tcW w:w="990" w:type="dxa"/>
            <w:vAlign w:val="center"/>
          </w:tcPr>
          <w:p w:rsidRPr="00AD4785" w:rsidR="006F714E" w:rsidP="006F714E" w:rsidRDefault="006F714E" w14:paraId="2DDB1527" w14:textId="77777777">
            <w:pPr>
              <w:rPr>
                <w:sz w:val="22"/>
              </w:rPr>
            </w:pPr>
            <w:r w:rsidRPr="00AD4785">
              <w:rPr>
                <w:sz w:val="22"/>
              </w:rPr>
              <w:t>647</w:t>
            </w:r>
          </w:p>
        </w:tc>
        <w:tc>
          <w:tcPr>
            <w:tcW w:w="1080" w:type="dxa"/>
            <w:vAlign w:val="center"/>
          </w:tcPr>
          <w:p w:rsidRPr="00AD4785" w:rsidR="006F714E" w:rsidP="006F714E" w:rsidRDefault="006F714E" w14:paraId="48C757B1" w14:textId="77777777">
            <w:pPr>
              <w:rPr>
                <w:sz w:val="22"/>
              </w:rPr>
            </w:pPr>
            <w:r w:rsidRPr="00AD4785">
              <w:rPr>
                <w:sz w:val="22"/>
              </w:rPr>
              <w:t>97.7</w:t>
            </w:r>
          </w:p>
        </w:tc>
        <w:tc>
          <w:tcPr>
            <w:tcW w:w="990" w:type="dxa"/>
            <w:vAlign w:val="center"/>
          </w:tcPr>
          <w:p w:rsidRPr="00AD4785" w:rsidR="006F714E" w:rsidP="006F714E" w:rsidRDefault="006F714E" w14:paraId="227BED51" w14:textId="0027923F">
            <w:pPr>
              <w:rPr>
                <w:sz w:val="22"/>
              </w:rPr>
            </w:pPr>
            <w:r w:rsidRPr="00AD4785">
              <w:rPr>
                <w:sz w:val="22"/>
              </w:rPr>
              <w:t>650</w:t>
            </w:r>
          </w:p>
        </w:tc>
        <w:tc>
          <w:tcPr>
            <w:tcW w:w="1080" w:type="dxa"/>
            <w:vAlign w:val="center"/>
          </w:tcPr>
          <w:p w:rsidRPr="00AD4785" w:rsidR="006F714E" w:rsidP="006F714E" w:rsidRDefault="006F714E" w14:paraId="074C0DA7" w14:textId="526F3906">
            <w:pPr>
              <w:rPr>
                <w:sz w:val="22"/>
              </w:rPr>
            </w:pPr>
            <w:r w:rsidRPr="00AD4785">
              <w:rPr>
                <w:sz w:val="22"/>
              </w:rPr>
              <w:t>97.0</w:t>
            </w:r>
          </w:p>
        </w:tc>
      </w:tr>
      <w:tr w:rsidRPr="00AD4785" w:rsidR="006F714E" w:rsidTr="00E032BA" w14:paraId="405ED5FA" w14:textId="77777777">
        <w:trPr>
          <w:trHeight w:val="288"/>
        </w:trPr>
        <w:tc>
          <w:tcPr>
            <w:tcW w:w="1165" w:type="dxa"/>
            <w:tcMar>
              <w:left w:w="216" w:type="dxa"/>
              <w:right w:w="115" w:type="dxa"/>
            </w:tcMar>
            <w:vAlign w:val="center"/>
          </w:tcPr>
          <w:p w:rsidRPr="00AD4785" w:rsidR="006F714E" w:rsidP="006F714E" w:rsidRDefault="006F714E" w14:paraId="241CAAD7" w14:textId="77777777">
            <w:pPr>
              <w:rPr>
                <w:sz w:val="22"/>
              </w:rPr>
            </w:pPr>
            <w:r w:rsidRPr="00AD4785">
              <w:rPr>
                <w:sz w:val="22"/>
              </w:rPr>
              <w:t>Short form</w:t>
            </w:r>
          </w:p>
        </w:tc>
        <w:tc>
          <w:tcPr>
            <w:tcW w:w="900" w:type="dxa"/>
            <w:vAlign w:val="center"/>
          </w:tcPr>
          <w:p w:rsidRPr="00AD4785" w:rsidR="006F714E" w:rsidP="006F714E" w:rsidRDefault="006F714E" w14:paraId="7AD2C39B" w14:textId="77777777">
            <w:pPr>
              <w:rPr>
                <w:sz w:val="22"/>
              </w:rPr>
            </w:pPr>
            <w:r w:rsidRPr="00AD4785">
              <w:rPr>
                <w:sz w:val="22"/>
              </w:rPr>
              <w:t>259</w:t>
            </w:r>
          </w:p>
        </w:tc>
        <w:tc>
          <w:tcPr>
            <w:tcW w:w="1080" w:type="dxa"/>
            <w:vAlign w:val="center"/>
          </w:tcPr>
          <w:p w:rsidRPr="00AD4785" w:rsidR="006F714E" w:rsidP="006F714E" w:rsidRDefault="006F714E" w14:paraId="02A718C8" w14:textId="77777777">
            <w:pPr>
              <w:rPr>
                <w:sz w:val="22"/>
              </w:rPr>
            </w:pPr>
            <w:r w:rsidRPr="00AD4785">
              <w:rPr>
                <w:sz w:val="22"/>
              </w:rPr>
              <w:t>95.8</w:t>
            </w:r>
          </w:p>
        </w:tc>
        <w:tc>
          <w:tcPr>
            <w:tcW w:w="990" w:type="dxa"/>
            <w:vAlign w:val="center"/>
          </w:tcPr>
          <w:p w:rsidRPr="00AD4785" w:rsidR="006F714E" w:rsidP="006F714E" w:rsidRDefault="006F714E" w14:paraId="5F6E73B7" w14:textId="77777777">
            <w:pPr>
              <w:rPr>
                <w:sz w:val="22"/>
              </w:rPr>
            </w:pPr>
            <w:r w:rsidRPr="00AD4785">
              <w:rPr>
                <w:sz w:val="22"/>
              </w:rPr>
              <w:t>269</w:t>
            </w:r>
          </w:p>
        </w:tc>
        <w:tc>
          <w:tcPr>
            <w:tcW w:w="1080" w:type="dxa"/>
            <w:vAlign w:val="center"/>
          </w:tcPr>
          <w:p w:rsidRPr="00AD4785" w:rsidR="006F714E" w:rsidP="006F714E" w:rsidRDefault="006F714E" w14:paraId="2B5A2321" w14:textId="77777777">
            <w:pPr>
              <w:rPr>
                <w:sz w:val="22"/>
              </w:rPr>
            </w:pPr>
            <w:r w:rsidRPr="00AD4785">
              <w:rPr>
                <w:sz w:val="22"/>
              </w:rPr>
              <w:t>95.5</w:t>
            </w:r>
          </w:p>
        </w:tc>
        <w:tc>
          <w:tcPr>
            <w:tcW w:w="990" w:type="dxa"/>
            <w:vAlign w:val="center"/>
          </w:tcPr>
          <w:p w:rsidRPr="00AD4785" w:rsidR="006F714E" w:rsidP="006F714E" w:rsidRDefault="006F714E" w14:paraId="3C0265D5" w14:textId="77777777">
            <w:pPr>
              <w:rPr>
                <w:sz w:val="22"/>
              </w:rPr>
            </w:pPr>
            <w:r w:rsidRPr="00AD4785">
              <w:rPr>
                <w:sz w:val="22"/>
              </w:rPr>
              <w:t>269</w:t>
            </w:r>
          </w:p>
        </w:tc>
        <w:tc>
          <w:tcPr>
            <w:tcW w:w="1080" w:type="dxa"/>
            <w:vAlign w:val="center"/>
          </w:tcPr>
          <w:p w:rsidRPr="00AD4785" w:rsidR="006F714E" w:rsidP="006F714E" w:rsidRDefault="006F714E" w14:paraId="430962BD" w14:textId="77777777">
            <w:pPr>
              <w:rPr>
                <w:sz w:val="22"/>
              </w:rPr>
            </w:pPr>
            <w:r w:rsidRPr="00AD4785">
              <w:rPr>
                <w:sz w:val="22"/>
              </w:rPr>
              <w:t>94.4</w:t>
            </w:r>
          </w:p>
        </w:tc>
        <w:tc>
          <w:tcPr>
            <w:tcW w:w="990" w:type="dxa"/>
            <w:vAlign w:val="center"/>
          </w:tcPr>
          <w:p w:rsidRPr="00AD4785" w:rsidR="006F714E" w:rsidP="006F714E" w:rsidRDefault="006F714E" w14:paraId="5A1DB5A4" w14:textId="033B3B0A">
            <w:pPr>
              <w:rPr>
                <w:sz w:val="22"/>
              </w:rPr>
            </w:pPr>
            <w:r w:rsidRPr="00AD4785">
              <w:rPr>
                <w:sz w:val="22"/>
              </w:rPr>
              <w:t>275</w:t>
            </w:r>
          </w:p>
        </w:tc>
        <w:tc>
          <w:tcPr>
            <w:tcW w:w="1080" w:type="dxa"/>
            <w:vAlign w:val="center"/>
          </w:tcPr>
          <w:p w:rsidRPr="00AD4785" w:rsidR="006F714E" w:rsidP="006F714E" w:rsidRDefault="006F714E" w14:paraId="40CE2B45" w14:textId="338D766E">
            <w:pPr>
              <w:rPr>
                <w:sz w:val="22"/>
              </w:rPr>
            </w:pPr>
            <w:r w:rsidRPr="00AD4785">
              <w:rPr>
                <w:sz w:val="22"/>
              </w:rPr>
              <w:t>94.0</w:t>
            </w:r>
          </w:p>
        </w:tc>
      </w:tr>
      <w:tr w:rsidRPr="00AD4785" w:rsidR="006F714E" w:rsidTr="006F714E" w14:paraId="73DEF290" w14:textId="77777777">
        <w:trPr>
          <w:trHeight w:val="144" w:hRule="exact"/>
        </w:trPr>
        <w:tc>
          <w:tcPr>
            <w:tcW w:w="1165" w:type="dxa"/>
            <w:vAlign w:val="center"/>
          </w:tcPr>
          <w:p w:rsidRPr="00AD4785" w:rsidR="006F714E" w:rsidP="006F714E" w:rsidRDefault="006F714E" w14:paraId="11439E7B" w14:textId="77777777">
            <w:pPr>
              <w:rPr>
                <w:sz w:val="22"/>
              </w:rPr>
            </w:pPr>
          </w:p>
        </w:tc>
        <w:tc>
          <w:tcPr>
            <w:tcW w:w="900" w:type="dxa"/>
            <w:vAlign w:val="center"/>
          </w:tcPr>
          <w:p w:rsidRPr="00AD4785" w:rsidR="006F714E" w:rsidP="006F714E" w:rsidRDefault="006F714E" w14:paraId="6A23932C" w14:textId="77777777">
            <w:pPr>
              <w:rPr>
                <w:sz w:val="22"/>
              </w:rPr>
            </w:pPr>
          </w:p>
        </w:tc>
        <w:tc>
          <w:tcPr>
            <w:tcW w:w="1080" w:type="dxa"/>
            <w:vAlign w:val="center"/>
          </w:tcPr>
          <w:p w:rsidRPr="00AD4785" w:rsidR="006F714E" w:rsidP="006F714E" w:rsidRDefault="006F714E" w14:paraId="71D1EB8E" w14:textId="77777777">
            <w:pPr>
              <w:rPr>
                <w:sz w:val="22"/>
              </w:rPr>
            </w:pPr>
          </w:p>
        </w:tc>
        <w:tc>
          <w:tcPr>
            <w:tcW w:w="990" w:type="dxa"/>
            <w:vAlign w:val="center"/>
          </w:tcPr>
          <w:p w:rsidRPr="00AD4785" w:rsidR="006F714E" w:rsidP="006F714E" w:rsidRDefault="006F714E" w14:paraId="1D4687FF" w14:textId="77777777">
            <w:pPr>
              <w:rPr>
                <w:sz w:val="22"/>
              </w:rPr>
            </w:pPr>
          </w:p>
        </w:tc>
        <w:tc>
          <w:tcPr>
            <w:tcW w:w="1080" w:type="dxa"/>
            <w:vAlign w:val="center"/>
          </w:tcPr>
          <w:p w:rsidRPr="00AD4785" w:rsidR="006F714E" w:rsidP="006F714E" w:rsidRDefault="006F714E" w14:paraId="35DBFA35" w14:textId="77777777">
            <w:pPr>
              <w:rPr>
                <w:sz w:val="22"/>
              </w:rPr>
            </w:pPr>
          </w:p>
        </w:tc>
        <w:tc>
          <w:tcPr>
            <w:tcW w:w="990" w:type="dxa"/>
            <w:vAlign w:val="center"/>
          </w:tcPr>
          <w:p w:rsidRPr="00AD4785" w:rsidR="006F714E" w:rsidP="006F714E" w:rsidRDefault="006F714E" w14:paraId="531AA269" w14:textId="77777777">
            <w:pPr>
              <w:rPr>
                <w:sz w:val="22"/>
              </w:rPr>
            </w:pPr>
          </w:p>
        </w:tc>
        <w:tc>
          <w:tcPr>
            <w:tcW w:w="1080" w:type="dxa"/>
            <w:vAlign w:val="center"/>
          </w:tcPr>
          <w:p w:rsidRPr="00AD4785" w:rsidR="006F714E" w:rsidP="006F714E" w:rsidRDefault="006F714E" w14:paraId="3FD58A35" w14:textId="77777777">
            <w:pPr>
              <w:rPr>
                <w:sz w:val="22"/>
              </w:rPr>
            </w:pPr>
          </w:p>
        </w:tc>
        <w:tc>
          <w:tcPr>
            <w:tcW w:w="990" w:type="dxa"/>
          </w:tcPr>
          <w:p w:rsidRPr="00AD4785" w:rsidR="006F714E" w:rsidP="006F714E" w:rsidRDefault="006F714E" w14:paraId="7E23FAF4" w14:textId="77777777">
            <w:pPr>
              <w:rPr>
                <w:sz w:val="22"/>
              </w:rPr>
            </w:pPr>
          </w:p>
        </w:tc>
        <w:tc>
          <w:tcPr>
            <w:tcW w:w="1080" w:type="dxa"/>
          </w:tcPr>
          <w:p w:rsidRPr="00AD4785" w:rsidR="006F714E" w:rsidP="006F714E" w:rsidRDefault="006F714E" w14:paraId="455F4B77" w14:textId="77777777">
            <w:pPr>
              <w:rPr>
                <w:sz w:val="22"/>
              </w:rPr>
            </w:pPr>
          </w:p>
        </w:tc>
      </w:tr>
      <w:tr w:rsidRPr="00AD4785" w:rsidR="006F714E" w:rsidTr="006F714E" w14:paraId="1880AE30" w14:textId="77777777">
        <w:trPr>
          <w:trHeight w:val="288"/>
        </w:trPr>
        <w:tc>
          <w:tcPr>
            <w:tcW w:w="1165" w:type="dxa"/>
            <w:vAlign w:val="center"/>
          </w:tcPr>
          <w:p w:rsidRPr="00AD4785" w:rsidR="006F714E" w:rsidP="006F714E" w:rsidRDefault="006F714E" w14:paraId="4B0C7273" w14:textId="77777777">
            <w:pPr>
              <w:rPr>
                <w:sz w:val="22"/>
              </w:rPr>
            </w:pPr>
            <w:r w:rsidRPr="00AD4785">
              <w:rPr>
                <w:sz w:val="22"/>
              </w:rPr>
              <w:t>FFRDC</w:t>
            </w:r>
          </w:p>
        </w:tc>
        <w:tc>
          <w:tcPr>
            <w:tcW w:w="900" w:type="dxa"/>
            <w:vAlign w:val="center"/>
          </w:tcPr>
          <w:p w:rsidRPr="00AD4785" w:rsidR="006F714E" w:rsidP="006F714E" w:rsidRDefault="006F714E" w14:paraId="378F9499" w14:textId="77777777">
            <w:pPr>
              <w:rPr>
                <w:sz w:val="22"/>
              </w:rPr>
            </w:pPr>
            <w:r w:rsidRPr="00AD4785">
              <w:rPr>
                <w:sz w:val="22"/>
              </w:rPr>
              <w:t>42</w:t>
            </w:r>
          </w:p>
        </w:tc>
        <w:tc>
          <w:tcPr>
            <w:tcW w:w="1080" w:type="dxa"/>
            <w:vAlign w:val="center"/>
          </w:tcPr>
          <w:p w:rsidRPr="00AD4785" w:rsidR="006F714E" w:rsidP="006F714E" w:rsidRDefault="006F714E" w14:paraId="1A447DDD" w14:textId="77777777">
            <w:pPr>
              <w:rPr>
                <w:sz w:val="22"/>
              </w:rPr>
            </w:pPr>
            <w:r w:rsidRPr="00AD4785">
              <w:rPr>
                <w:sz w:val="22"/>
              </w:rPr>
              <w:t>100.0</w:t>
            </w:r>
          </w:p>
        </w:tc>
        <w:tc>
          <w:tcPr>
            <w:tcW w:w="990" w:type="dxa"/>
            <w:vAlign w:val="center"/>
          </w:tcPr>
          <w:p w:rsidRPr="00AD4785" w:rsidR="006F714E" w:rsidP="006F714E" w:rsidRDefault="006F714E" w14:paraId="509D3750" w14:textId="77777777">
            <w:pPr>
              <w:rPr>
                <w:sz w:val="22"/>
              </w:rPr>
            </w:pPr>
            <w:r w:rsidRPr="00AD4785">
              <w:rPr>
                <w:sz w:val="22"/>
              </w:rPr>
              <w:t>42</w:t>
            </w:r>
          </w:p>
        </w:tc>
        <w:tc>
          <w:tcPr>
            <w:tcW w:w="1080" w:type="dxa"/>
            <w:vAlign w:val="center"/>
          </w:tcPr>
          <w:p w:rsidRPr="00AD4785" w:rsidR="006F714E" w:rsidP="006F714E" w:rsidRDefault="006F714E" w14:paraId="3A5FE276" w14:textId="77777777">
            <w:pPr>
              <w:rPr>
                <w:sz w:val="22"/>
              </w:rPr>
            </w:pPr>
            <w:r w:rsidRPr="00AD4785">
              <w:rPr>
                <w:sz w:val="22"/>
              </w:rPr>
              <w:t>100.0</w:t>
            </w:r>
          </w:p>
        </w:tc>
        <w:tc>
          <w:tcPr>
            <w:tcW w:w="990" w:type="dxa"/>
            <w:vAlign w:val="center"/>
          </w:tcPr>
          <w:p w:rsidRPr="00AD4785" w:rsidR="006F714E" w:rsidP="006F714E" w:rsidRDefault="006F714E" w14:paraId="0B7FA003" w14:textId="77777777">
            <w:pPr>
              <w:rPr>
                <w:sz w:val="22"/>
              </w:rPr>
            </w:pPr>
            <w:r w:rsidRPr="00AD4785">
              <w:rPr>
                <w:sz w:val="22"/>
              </w:rPr>
              <w:t>42</w:t>
            </w:r>
          </w:p>
        </w:tc>
        <w:tc>
          <w:tcPr>
            <w:tcW w:w="1080" w:type="dxa"/>
            <w:vAlign w:val="center"/>
          </w:tcPr>
          <w:p w:rsidRPr="00AD4785" w:rsidR="006F714E" w:rsidP="006F714E" w:rsidRDefault="006F714E" w14:paraId="3A2A5015" w14:textId="77777777">
            <w:pPr>
              <w:rPr>
                <w:sz w:val="22"/>
              </w:rPr>
            </w:pPr>
            <w:r w:rsidRPr="00AD4785">
              <w:rPr>
                <w:sz w:val="22"/>
              </w:rPr>
              <w:t>100.0</w:t>
            </w:r>
          </w:p>
        </w:tc>
        <w:tc>
          <w:tcPr>
            <w:tcW w:w="990" w:type="dxa"/>
          </w:tcPr>
          <w:p w:rsidRPr="00AD4785" w:rsidR="006F714E" w:rsidP="006F714E" w:rsidRDefault="006F714E" w14:paraId="044F09ED" w14:textId="77777777">
            <w:pPr>
              <w:rPr>
                <w:sz w:val="22"/>
              </w:rPr>
            </w:pPr>
            <w:r w:rsidRPr="00AD4785">
              <w:rPr>
                <w:sz w:val="22"/>
              </w:rPr>
              <w:t>42</w:t>
            </w:r>
          </w:p>
        </w:tc>
        <w:tc>
          <w:tcPr>
            <w:tcW w:w="1080" w:type="dxa"/>
          </w:tcPr>
          <w:p w:rsidRPr="00AD4785" w:rsidR="006F714E" w:rsidP="006F714E" w:rsidRDefault="006F714E" w14:paraId="673C89D5" w14:textId="77777777">
            <w:pPr>
              <w:rPr>
                <w:sz w:val="22"/>
              </w:rPr>
            </w:pPr>
            <w:r w:rsidRPr="00AD4785">
              <w:rPr>
                <w:sz w:val="22"/>
              </w:rPr>
              <w:t>100.0</w:t>
            </w:r>
          </w:p>
        </w:tc>
      </w:tr>
    </w:tbl>
    <w:p w:rsidRPr="00AD4785" w:rsidR="00CF5AF6" w:rsidP="00DA2C87" w:rsidRDefault="0014176F" w14:paraId="4BCD871D" w14:textId="1700F9D0">
      <w:pPr>
        <w:pStyle w:val="BodyText"/>
      </w:pPr>
      <w:r w:rsidRPr="00AD4785">
        <w:rPr>
          <w:rFonts w:cs="Times New Roman"/>
        </w:rPr>
        <w:t xml:space="preserve"> </w:t>
      </w:r>
      <w:r w:rsidRPr="00AD4785">
        <w:t xml:space="preserve"> </w:t>
      </w:r>
    </w:p>
    <w:p w:rsidRPr="00AD4785" w:rsidR="005F7C62" w:rsidP="009630A5" w:rsidRDefault="009E66C1" w14:paraId="6330B224" w14:textId="5472D148">
      <w:pPr>
        <w:pStyle w:val="Heading2"/>
        <w:ind w:left="0" w:firstLine="0"/>
        <w:rPr>
          <w:bCs/>
        </w:rPr>
      </w:pPr>
      <w:bookmarkStart w:name="_Toc57726754" w:id="69"/>
      <w:bookmarkStart w:name="_Toc488073281" w:id="70"/>
      <w:r w:rsidRPr="00AD4785">
        <w:lastRenderedPageBreak/>
        <w:t>A.</w:t>
      </w:r>
      <w:r w:rsidRPr="00AD4785" w:rsidR="003E5565">
        <w:t>16</w:t>
      </w:r>
      <w:r w:rsidRPr="00AD4785" w:rsidR="003E5565">
        <w:tab/>
      </w:r>
      <w:r w:rsidRPr="00AD4785" w:rsidR="006B6EC4">
        <w:t xml:space="preserve">Publication Plan and </w:t>
      </w:r>
      <w:r w:rsidRPr="00AD4785" w:rsidR="008C752D">
        <w:t>Project Schedule</w:t>
      </w:r>
      <w:bookmarkEnd w:id="69"/>
      <w:r w:rsidRPr="00AD4785" w:rsidR="008C752D">
        <w:t xml:space="preserve"> </w:t>
      </w:r>
      <w:bookmarkEnd w:id="70"/>
    </w:p>
    <w:p w:rsidRPr="00AD4785" w:rsidR="00501D8F" w:rsidP="00501D8F" w:rsidRDefault="00501D8F" w14:paraId="3F8E3228" w14:textId="39EA6345">
      <w:pPr>
        <w:pStyle w:val="BodyText"/>
      </w:pPr>
      <w:r w:rsidRPr="00AD4785">
        <w:t xml:space="preserve">The FY 2020 survey began with a population review and screening in late summer 2020. The HERD and FFRDC </w:t>
      </w:r>
      <w:r w:rsidRPr="00AD4785" w:rsidR="0048799E">
        <w:t>s</w:t>
      </w:r>
      <w:r w:rsidRPr="00AD4785">
        <w:t xml:space="preserve">urveys will be sent electronically to all institutions in the FY 2020 survey population and meeting the R&amp;D expenditures threshold of $150,000 upon </w:t>
      </w:r>
      <w:r w:rsidRPr="00AD4785" w:rsidR="00363F12">
        <w:t xml:space="preserve">resolution of the </w:t>
      </w:r>
      <w:r w:rsidRPr="00AD4785">
        <w:t xml:space="preserve">OMB the revision request. The typical start date is in mid-November. The due date was planned for January 29, 2021, but this will be extended by the same number of weeks as the delay of the survey start date. The anticipated closeout of the surveys will be in June 2021 in order to allow time for late responses, corrections, and updating of previous years' data.  </w:t>
      </w:r>
    </w:p>
    <w:p w:rsidRPr="00AD4785" w:rsidR="00501D8F" w:rsidP="00501D8F" w:rsidRDefault="00501D8F" w14:paraId="159BA6BA" w14:textId="77777777">
      <w:pPr>
        <w:pStyle w:val="BodyText"/>
      </w:pPr>
      <w:r w:rsidRPr="00AD4785">
        <w:t>The contractor is responsible for all data collection and processing activities, including editing data submissions to resolve errors.  For FY 2020, the same procedures will be used as those used for FY 2019 survey.  For the FY 2020 survey, following the closeout of data collection in June 2021 the contractor will generate inflator/deflator factors to impute for non-response, based on data reported by responding institutions. After closeout, data for non-respondent institutions will be machine-imputed using an imputation plan developed and approved by NCSES.</w:t>
      </w:r>
    </w:p>
    <w:p w:rsidRPr="00AD4785" w:rsidR="00501D8F" w:rsidP="00501D8F" w:rsidRDefault="00501D8F" w14:paraId="49867EBB" w14:textId="02113E2C">
      <w:pPr>
        <w:pStyle w:val="BodyText"/>
      </w:pPr>
      <w:r w:rsidRPr="00AD4785">
        <w:t xml:space="preserve">The data from the FY 2020 survey will be analyzed in an NCSES </w:t>
      </w:r>
      <w:proofErr w:type="spellStart"/>
      <w:r w:rsidRPr="00AD4785">
        <w:t>InfoBrief</w:t>
      </w:r>
      <w:proofErr w:type="spellEnd"/>
      <w:r w:rsidRPr="00AD4785">
        <w:t xml:space="preserve"> to be published </w:t>
      </w:r>
      <w:r w:rsidRPr="00AD4785" w:rsidR="00363F12">
        <w:t>by</w:t>
      </w:r>
      <w:r w:rsidRPr="00AD4785">
        <w:t xml:space="preserve"> January 2022.  A report containing detailed tables</w:t>
      </w:r>
      <w:r w:rsidRPr="00AD4785" w:rsidR="00363F12">
        <w:t xml:space="preserve"> and public use files</w:t>
      </w:r>
      <w:r w:rsidRPr="00AD4785">
        <w:t xml:space="preserve"> showing institution-level data will also be available on the web</w:t>
      </w:r>
      <w:r w:rsidRPr="00AD4785" w:rsidR="00363F12">
        <w:t xml:space="preserve"> and data will be available through the NCSES Interactive Data Tool. </w:t>
      </w:r>
      <w:r w:rsidRPr="00AD4785" w:rsidR="009152B7">
        <w:t>However, the R&amp;D personnel demographic data and the COVID-19 question results will not be published in any institutional-level data tables.</w:t>
      </w:r>
    </w:p>
    <w:p w:rsidRPr="00AD4785" w:rsidR="0052437D" w:rsidP="0052437D" w:rsidRDefault="0052437D" w14:paraId="3E00C2D0" w14:textId="77777777">
      <w:pPr>
        <w:rPr>
          <w:sz w:val="22"/>
        </w:rPr>
      </w:pPr>
    </w:p>
    <w:p w:rsidRPr="00AD4785" w:rsidR="0052437D" w:rsidP="0052437D" w:rsidRDefault="00C5013C" w14:paraId="3E3E88B2" w14:textId="77777777">
      <w:pPr>
        <w:rPr>
          <w:sz w:val="22"/>
        </w:rPr>
      </w:pPr>
      <w:r>
        <w:rPr>
          <w:sz w:val="22"/>
        </w:rPr>
        <w:pict w14:anchorId="0CE83DAE">
          <v:rect id="_x0000_i1025" style="width:0;height:1.5pt" o:hr="t" o:hrstd="t" o:hralign="center" fillcolor="#a0a0a0" stroked="f"/>
        </w:pict>
      </w:r>
    </w:p>
    <w:p w:rsidRPr="00AD4785" w:rsidR="0052437D" w:rsidP="0052437D" w:rsidRDefault="0052437D" w14:paraId="000EEB10" w14:textId="4832F136">
      <w:pPr>
        <w:ind w:left="720"/>
        <w:rPr>
          <w:szCs w:val="24"/>
        </w:rPr>
      </w:pPr>
      <w:r w:rsidRPr="00AD4785">
        <w:rPr>
          <w:szCs w:val="24"/>
        </w:rPr>
        <w:t xml:space="preserve">Data Collection </w:t>
      </w:r>
      <w:r w:rsidRPr="00AD4785">
        <w:rPr>
          <w:szCs w:val="24"/>
        </w:rPr>
        <w:tab/>
      </w:r>
      <w:r w:rsidRPr="00AD4785">
        <w:rPr>
          <w:szCs w:val="24"/>
        </w:rPr>
        <w:tab/>
        <w:t xml:space="preserve"> </w:t>
      </w:r>
      <w:r w:rsidRPr="00AD4785">
        <w:rPr>
          <w:szCs w:val="24"/>
        </w:rPr>
        <w:tab/>
      </w:r>
      <w:r w:rsidRPr="00AD4785">
        <w:rPr>
          <w:szCs w:val="24"/>
        </w:rPr>
        <w:tab/>
        <w:t>TBD – June 2021</w:t>
      </w:r>
    </w:p>
    <w:p w:rsidRPr="00AD4785" w:rsidR="0052437D" w:rsidP="0052437D" w:rsidRDefault="00C5013C" w14:paraId="575C627C" w14:textId="77777777">
      <w:pPr>
        <w:rPr>
          <w:szCs w:val="24"/>
        </w:rPr>
      </w:pPr>
      <w:r>
        <w:rPr>
          <w:szCs w:val="24"/>
        </w:rPr>
        <w:pict w14:anchorId="4492F89A">
          <v:rect id="_x0000_i1026" style="width:0;height:1.5pt" o:hr="t" o:hrstd="t" o:hralign="center" fillcolor="#a0a0a0" stroked="f"/>
        </w:pict>
      </w:r>
    </w:p>
    <w:p w:rsidRPr="00AD4785" w:rsidR="0052437D" w:rsidP="0052437D" w:rsidRDefault="0052437D" w14:paraId="0E3B0631" w14:textId="1548F6F9">
      <w:pPr>
        <w:ind w:left="720"/>
        <w:rPr>
          <w:szCs w:val="24"/>
        </w:rPr>
      </w:pPr>
      <w:r w:rsidRPr="00AD4785">
        <w:rPr>
          <w:szCs w:val="24"/>
        </w:rPr>
        <w:t>Coding and Data Editing</w:t>
      </w:r>
      <w:r w:rsidRPr="00AD4785">
        <w:rPr>
          <w:szCs w:val="24"/>
        </w:rPr>
        <w:tab/>
      </w:r>
      <w:r w:rsidRPr="00AD4785">
        <w:rPr>
          <w:szCs w:val="24"/>
        </w:rPr>
        <w:tab/>
      </w:r>
      <w:r w:rsidRPr="00AD4785">
        <w:rPr>
          <w:szCs w:val="24"/>
        </w:rPr>
        <w:tab/>
      </w:r>
      <w:r w:rsidRPr="00AD4785" w:rsidR="00C82CA1">
        <w:rPr>
          <w:szCs w:val="24"/>
        </w:rPr>
        <w:t>June</w:t>
      </w:r>
      <w:r w:rsidRPr="00AD4785">
        <w:rPr>
          <w:szCs w:val="24"/>
        </w:rPr>
        <w:t xml:space="preserve"> 2021 – August 2021</w:t>
      </w:r>
    </w:p>
    <w:p w:rsidRPr="00AD4785" w:rsidR="0052437D" w:rsidP="0052437D" w:rsidRDefault="00C5013C" w14:paraId="0969506F" w14:textId="77777777">
      <w:pPr>
        <w:rPr>
          <w:szCs w:val="24"/>
        </w:rPr>
      </w:pPr>
      <w:r>
        <w:rPr>
          <w:szCs w:val="24"/>
        </w:rPr>
        <w:pict w14:anchorId="55581538">
          <v:rect id="_x0000_i1027" style="width:0;height:1.5pt" o:hr="t" o:hrstd="t" o:hralign="center" fillcolor="#a0a0a0" stroked="f"/>
        </w:pict>
      </w:r>
    </w:p>
    <w:p w:rsidRPr="00AD4785" w:rsidR="0052437D" w:rsidP="0052437D" w:rsidRDefault="0052437D" w14:paraId="283F6281" w14:textId="4F3D6C04">
      <w:pPr>
        <w:ind w:left="720"/>
        <w:rPr>
          <w:szCs w:val="24"/>
        </w:rPr>
      </w:pPr>
      <w:r w:rsidRPr="00AD4785">
        <w:rPr>
          <w:szCs w:val="24"/>
        </w:rPr>
        <w:t xml:space="preserve">Final Edited/Imputed Data Files </w:t>
      </w:r>
      <w:r w:rsidRPr="00AD4785">
        <w:rPr>
          <w:szCs w:val="24"/>
        </w:rPr>
        <w:tab/>
      </w:r>
      <w:r w:rsidRPr="00AD4785">
        <w:rPr>
          <w:szCs w:val="24"/>
        </w:rPr>
        <w:tab/>
      </w:r>
      <w:r w:rsidRPr="00AD4785" w:rsidR="00C82CA1">
        <w:rPr>
          <w:szCs w:val="24"/>
        </w:rPr>
        <w:t xml:space="preserve">October </w:t>
      </w:r>
      <w:r w:rsidRPr="00AD4785">
        <w:rPr>
          <w:szCs w:val="24"/>
        </w:rPr>
        <w:t>2021</w:t>
      </w:r>
    </w:p>
    <w:p w:rsidRPr="00AD4785" w:rsidR="0052437D" w:rsidP="0052437D" w:rsidRDefault="00C5013C" w14:paraId="22B2C0D6" w14:textId="77777777">
      <w:pPr>
        <w:rPr>
          <w:szCs w:val="24"/>
        </w:rPr>
      </w:pPr>
      <w:r>
        <w:rPr>
          <w:szCs w:val="24"/>
        </w:rPr>
        <w:pict w14:anchorId="2F32E70D">
          <v:rect id="_x0000_i1028" style="width:0;height:1.5pt" o:hr="t" o:hrstd="t" o:hralign="center" fillcolor="#a0a0a0" stroked="f"/>
        </w:pict>
      </w:r>
    </w:p>
    <w:p w:rsidRPr="00AD4785" w:rsidR="0052437D" w:rsidP="0052437D" w:rsidRDefault="0052437D" w14:paraId="3E9CA0A4" w14:textId="2A2A3B6D">
      <w:pPr>
        <w:ind w:firstLine="720"/>
        <w:rPr>
          <w:szCs w:val="24"/>
        </w:rPr>
      </w:pPr>
      <w:r w:rsidRPr="00AD4785">
        <w:rPr>
          <w:szCs w:val="24"/>
        </w:rPr>
        <w:t xml:space="preserve">HERD and FFRDC </w:t>
      </w:r>
      <w:proofErr w:type="spellStart"/>
      <w:r w:rsidRPr="00AD4785">
        <w:rPr>
          <w:szCs w:val="24"/>
        </w:rPr>
        <w:t>InfoBrief</w:t>
      </w:r>
      <w:proofErr w:type="spellEnd"/>
      <w:r w:rsidRPr="00AD4785">
        <w:rPr>
          <w:szCs w:val="24"/>
        </w:rPr>
        <w:tab/>
      </w:r>
      <w:r w:rsidRPr="00AD4785">
        <w:rPr>
          <w:szCs w:val="24"/>
        </w:rPr>
        <w:tab/>
      </w:r>
      <w:r w:rsidRPr="00AD4785">
        <w:rPr>
          <w:szCs w:val="24"/>
        </w:rPr>
        <w:tab/>
      </w:r>
      <w:bookmarkStart w:name="_Hlk6235238" w:id="71"/>
      <w:r w:rsidRPr="00AD4785">
        <w:rPr>
          <w:szCs w:val="24"/>
        </w:rPr>
        <w:t>January 2022</w:t>
      </w:r>
      <w:bookmarkEnd w:id="71"/>
      <w:r w:rsidR="00C5013C">
        <w:rPr>
          <w:szCs w:val="24"/>
        </w:rPr>
        <w:pict w14:anchorId="355692B6">
          <v:rect id="_x0000_i1029" style="width:0;height:1.5pt" o:hr="t" o:hrstd="t" o:hralign="center" fillcolor="#a0a0a0" stroked="f"/>
        </w:pict>
      </w:r>
    </w:p>
    <w:p w:rsidRPr="00AD4785" w:rsidR="0052437D" w:rsidP="0052437D" w:rsidRDefault="0052437D" w14:paraId="19CB97AF" w14:textId="5C309C16">
      <w:pPr>
        <w:ind w:left="720"/>
        <w:rPr>
          <w:szCs w:val="24"/>
        </w:rPr>
      </w:pPr>
      <w:r w:rsidRPr="00AD4785">
        <w:rPr>
          <w:szCs w:val="24"/>
        </w:rPr>
        <w:t>HERD and FFRDC Data Tables</w:t>
      </w:r>
      <w:r w:rsidRPr="00AD4785">
        <w:rPr>
          <w:szCs w:val="24"/>
        </w:rPr>
        <w:tab/>
      </w:r>
      <w:r w:rsidRPr="00AD4785">
        <w:rPr>
          <w:szCs w:val="24"/>
        </w:rPr>
        <w:tab/>
        <w:t>January 2022</w:t>
      </w:r>
    </w:p>
    <w:p w:rsidRPr="00AD4785" w:rsidR="0052437D" w:rsidP="0052437D" w:rsidRDefault="00C5013C" w14:paraId="3286E1D4" w14:textId="77777777">
      <w:pPr>
        <w:rPr>
          <w:szCs w:val="24"/>
        </w:rPr>
      </w:pPr>
      <w:r>
        <w:rPr>
          <w:szCs w:val="24"/>
        </w:rPr>
        <w:pict w14:anchorId="1D7DEA4C">
          <v:rect id="_x0000_i1030" style="width:0;height:1.5pt" o:hr="t" o:hrstd="t" o:hralign="center" fillcolor="#a0a0a0" stroked="f"/>
        </w:pict>
      </w:r>
    </w:p>
    <w:p w:rsidRPr="00AD4785" w:rsidR="0052437D" w:rsidP="0052437D" w:rsidRDefault="0052437D" w14:paraId="7B923FE7" w14:textId="5BCB7909">
      <w:pPr>
        <w:ind w:left="720"/>
        <w:rPr>
          <w:szCs w:val="24"/>
        </w:rPr>
      </w:pPr>
      <w:r w:rsidRPr="00AD4785">
        <w:rPr>
          <w:szCs w:val="24"/>
        </w:rPr>
        <w:t>HERD and FFRDC Public Use File</w:t>
      </w:r>
      <w:r w:rsidRPr="00AD4785">
        <w:rPr>
          <w:szCs w:val="24"/>
        </w:rPr>
        <w:tab/>
      </w:r>
      <w:r w:rsidRPr="00AD4785">
        <w:rPr>
          <w:szCs w:val="24"/>
        </w:rPr>
        <w:tab/>
      </w:r>
      <w:r w:rsidRPr="00AD4785" w:rsidR="00C82CA1">
        <w:rPr>
          <w:szCs w:val="24"/>
        </w:rPr>
        <w:t>January</w:t>
      </w:r>
      <w:r w:rsidRPr="00AD4785">
        <w:rPr>
          <w:szCs w:val="24"/>
        </w:rPr>
        <w:t xml:space="preserve"> 202</w:t>
      </w:r>
      <w:r w:rsidRPr="00AD4785" w:rsidR="007A1672">
        <w:rPr>
          <w:szCs w:val="24"/>
        </w:rPr>
        <w:t>2</w:t>
      </w:r>
    </w:p>
    <w:p w:rsidRPr="00AD4785" w:rsidR="0052437D" w:rsidP="0052437D" w:rsidRDefault="00C5013C" w14:paraId="34AA8278" w14:textId="77777777">
      <w:pPr>
        <w:rPr>
          <w:sz w:val="22"/>
        </w:rPr>
      </w:pPr>
      <w:r>
        <w:rPr>
          <w:szCs w:val="24"/>
        </w:rPr>
        <w:pict w14:anchorId="029234D0">
          <v:rect id="_x0000_i1031" style="width:0;height:1.5pt" o:hr="t" o:hrstd="t" o:hralign="center" fillcolor="#a0a0a0" stroked="f"/>
        </w:pict>
      </w:r>
    </w:p>
    <w:p w:rsidRPr="00AD4785" w:rsidR="0052437D" w:rsidP="0052437D" w:rsidRDefault="0052437D" w14:paraId="60AF7581" w14:textId="77777777">
      <w:pPr>
        <w:pStyle w:val="BodyText"/>
        <w:ind w:firstLine="0"/>
        <w:rPr>
          <w:sz w:val="22"/>
          <w:szCs w:val="22"/>
        </w:rPr>
      </w:pPr>
    </w:p>
    <w:p w:rsidRPr="00AD4785" w:rsidR="005F7C62" w:rsidP="003A5408" w:rsidRDefault="009E66C1" w14:paraId="3DA9FE71" w14:textId="7C96A4E0">
      <w:pPr>
        <w:pStyle w:val="Heading2"/>
        <w:spacing w:after="180"/>
        <w:rPr>
          <w:bCs/>
        </w:rPr>
      </w:pPr>
      <w:bookmarkStart w:name="_Toc488073282" w:id="72"/>
      <w:bookmarkStart w:name="_Toc57726755" w:id="73"/>
      <w:r w:rsidRPr="00AD4785">
        <w:lastRenderedPageBreak/>
        <w:t>A.</w:t>
      </w:r>
      <w:r w:rsidRPr="00AD4785" w:rsidR="003E5565">
        <w:t>17</w:t>
      </w:r>
      <w:r w:rsidRPr="00AD4785" w:rsidR="003E5565">
        <w:tab/>
      </w:r>
      <w:r w:rsidRPr="00AD4785" w:rsidR="001B0030">
        <w:t xml:space="preserve">Exceptions to </w:t>
      </w:r>
      <w:r w:rsidRPr="00AD4785" w:rsidR="008C752D">
        <w:t>Display</w:t>
      </w:r>
      <w:r w:rsidRPr="00AD4785" w:rsidR="001B0030">
        <w:t>ing</w:t>
      </w:r>
      <w:r w:rsidRPr="00AD4785" w:rsidR="006B6EC4">
        <w:t xml:space="preserve"> of</w:t>
      </w:r>
      <w:r w:rsidRPr="00AD4785" w:rsidR="008C752D">
        <w:t xml:space="preserve"> OMB Expiration Date</w:t>
      </w:r>
      <w:bookmarkEnd w:id="72"/>
      <w:bookmarkEnd w:id="73"/>
    </w:p>
    <w:p w:rsidRPr="00AD4785" w:rsidR="00501D8F" w:rsidP="00501D8F" w:rsidRDefault="006840DA" w14:paraId="1F10028D" w14:textId="63E570F5">
      <w:pPr>
        <w:pStyle w:val="BodyText"/>
      </w:pPr>
      <w:r w:rsidRPr="00AD4785">
        <w:t xml:space="preserve"> </w:t>
      </w:r>
      <w:r w:rsidRPr="00AD4785" w:rsidR="00501D8F">
        <w:t>The OMB number and expiration date will appear on all survey forms.</w:t>
      </w:r>
    </w:p>
    <w:p w:rsidRPr="00AD4785" w:rsidR="005F7C62" w:rsidP="003A5408" w:rsidRDefault="009E66C1" w14:paraId="2CC9C26C" w14:textId="1CE58E59">
      <w:pPr>
        <w:pStyle w:val="Heading2"/>
        <w:spacing w:after="180"/>
        <w:rPr>
          <w:bCs/>
        </w:rPr>
      </w:pPr>
      <w:bookmarkStart w:name="_Toc488073283" w:id="74"/>
      <w:bookmarkStart w:name="_Toc57726756" w:id="75"/>
      <w:r w:rsidRPr="00AD4785">
        <w:t>A.</w:t>
      </w:r>
      <w:r w:rsidRPr="00AD4785" w:rsidR="003E5565">
        <w:t>18</w:t>
      </w:r>
      <w:r w:rsidRPr="00AD4785" w:rsidR="003E5565">
        <w:tab/>
      </w:r>
      <w:r w:rsidRPr="00AD4785" w:rsidR="008C752D">
        <w:t>Exceptions</w:t>
      </w:r>
      <w:r w:rsidRPr="00AD4785" w:rsidR="006B6EC4">
        <w:t xml:space="preserve"> to the Certification Statement</w:t>
      </w:r>
      <w:bookmarkEnd w:id="74"/>
      <w:bookmarkEnd w:id="75"/>
    </w:p>
    <w:p w:rsidRPr="00AD4785" w:rsidR="00CF2CBC" w:rsidP="003E1136" w:rsidRDefault="008C752D" w14:paraId="6E4E4898" w14:textId="0A9E12F2">
      <w:pPr>
        <w:pStyle w:val="BodyText"/>
      </w:pPr>
      <w:r w:rsidRPr="00AD4785">
        <w:t xml:space="preserve"> </w:t>
      </w:r>
      <w:r w:rsidRPr="00AD4785" w:rsidR="006840DA">
        <w:t>No exceptions to the certification statement are being sought.</w:t>
      </w:r>
    </w:p>
    <w:sectPr w:rsidRPr="00AD4785" w:rsidR="00CF2CBC" w:rsidSect="001D398B">
      <w:pgSz w:w="12240" w:h="15840" w:code="1"/>
      <w:pgMar w:top="144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B5A00" w14:textId="77777777" w:rsidR="001C10F7" w:rsidRDefault="001C10F7">
      <w:r>
        <w:separator/>
      </w:r>
    </w:p>
  </w:endnote>
  <w:endnote w:type="continuationSeparator" w:id="0">
    <w:p w14:paraId="2E1870D0" w14:textId="77777777" w:rsidR="001C10F7" w:rsidRDefault="001C10F7">
      <w:r>
        <w:continuationSeparator/>
      </w:r>
    </w:p>
  </w:endnote>
  <w:endnote w:type="continuationNotice" w:id="1">
    <w:p w14:paraId="4DB26DDC" w14:textId="77777777" w:rsidR="001C10F7" w:rsidRDefault="001C1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2EFB" w14:textId="77777777" w:rsidR="001C10F7" w:rsidRDefault="001C10F7">
    <w:pPr>
      <w:spacing w:line="14" w:lineRule="auto"/>
      <w:rPr>
        <w:sz w:val="20"/>
        <w:szCs w:val="20"/>
      </w:rPr>
    </w:pPr>
    <w:r>
      <w:rPr>
        <w:noProof/>
        <w:lang w:eastAsia="ko-KR"/>
      </w:rPr>
      <mc:AlternateContent>
        <mc:Choice Requires="wps">
          <w:drawing>
            <wp:anchor distT="0" distB="0" distL="114300" distR="114300" simplePos="0" relativeHeight="251657728" behindDoc="1" locked="0" layoutInCell="1" allowOverlap="1" wp14:anchorId="7D4E9005" wp14:editId="49F80FDE">
              <wp:simplePos x="0" y="0"/>
              <wp:positionH relativeFrom="page">
                <wp:posOffset>3757295</wp:posOffset>
              </wp:positionH>
              <wp:positionV relativeFrom="page">
                <wp:posOffset>9427845</wp:posOffset>
              </wp:positionV>
              <wp:extent cx="203200" cy="177800"/>
              <wp:effectExtent l="444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A1D2" w14:textId="04363412" w:rsidR="001C10F7" w:rsidRDefault="001C10F7">
                          <w:pPr>
                            <w:pStyle w:val="BodyText"/>
                            <w:spacing w:line="265" w:lineRule="exact"/>
                            <w:ind w:left="40" w:firstLine="0"/>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E9005" id="_x0000_t202" coordsize="21600,21600" o:spt="202" path="m,l,21600r21600,l21600,xe">
              <v:stroke joinstyle="miter"/>
              <v:path gradientshapeok="t" o:connecttype="rect"/>
            </v:shapetype>
            <v:shape id="Text Box 1" o:spid="_x0000_s1026" type="#_x0000_t202" style="position:absolute;margin-left:295.85pt;margin-top:742.3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Jr5A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" filled="f" stroked="f">
              <v:textbox inset="0,0,0,0">
                <w:txbxContent>
                  <w:p w14:paraId="4C85A1D2" w14:textId="04363412" w:rsidR="001C10F7" w:rsidRDefault="001C10F7">
                    <w:pPr>
                      <w:pStyle w:val="BodyText"/>
                      <w:spacing w:line="265" w:lineRule="exact"/>
                      <w:ind w:left="40" w:firstLine="0"/>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F8E14" w14:textId="77777777" w:rsidR="001C10F7" w:rsidRDefault="001C10F7">
      <w:r>
        <w:separator/>
      </w:r>
    </w:p>
  </w:footnote>
  <w:footnote w:type="continuationSeparator" w:id="0">
    <w:p w14:paraId="13371DC0" w14:textId="77777777" w:rsidR="001C10F7" w:rsidRDefault="001C10F7">
      <w:r>
        <w:continuationSeparator/>
      </w:r>
    </w:p>
  </w:footnote>
  <w:footnote w:type="continuationNotice" w:id="1">
    <w:p w14:paraId="0BDC5076" w14:textId="77777777" w:rsidR="001C10F7" w:rsidRDefault="001C10F7"/>
  </w:footnote>
  <w:footnote w:id="2">
    <w:p w14:paraId="16673E5A" w14:textId="49D2B3C4" w:rsidR="001C10F7" w:rsidRPr="00FF1F7D" w:rsidRDefault="001C10F7" w:rsidP="00031C79">
      <w:pPr>
        <w:rPr>
          <w:sz w:val="22"/>
        </w:rPr>
      </w:pPr>
      <w:r w:rsidRPr="0054776F">
        <w:rPr>
          <w:rStyle w:val="FootnoteReference"/>
          <w:sz w:val="22"/>
        </w:rPr>
        <w:footnoteRef/>
      </w:r>
      <w:r w:rsidRPr="0054776F">
        <w:rPr>
          <w:sz w:val="22"/>
        </w:rPr>
        <w:t xml:space="preserve"> </w:t>
      </w:r>
      <w:r w:rsidRPr="00FF1F7D">
        <w:rPr>
          <w:sz w:val="22"/>
        </w:rPr>
        <w:t xml:space="preserve">Section 505, Pub. L. No. 111-358. See </w:t>
      </w:r>
      <w:r w:rsidRPr="00B073A6">
        <w:rPr>
          <w:sz w:val="22"/>
        </w:rPr>
        <w:t>Attachment 4</w:t>
      </w:r>
    </w:p>
  </w:footnote>
  <w:footnote w:id="3">
    <w:p w14:paraId="5AF7C498" w14:textId="7244664C" w:rsidR="001C10F7" w:rsidRDefault="001C10F7" w:rsidP="00322EBE">
      <w:pPr>
        <w:autoSpaceDE w:val="0"/>
        <w:autoSpaceDN w:val="0"/>
        <w:adjustRightInd w:val="0"/>
      </w:pPr>
      <w:r w:rsidRPr="00322EBE">
        <w:rPr>
          <w:rStyle w:val="FootnoteReference"/>
          <w:sz w:val="20"/>
          <w:szCs w:val="20"/>
        </w:rPr>
        <w:footnoteRef/>
      </w:r>
      <w:r>
        <w:t xml:space="preserve"> </w:t>
      </w:r>
      <w:r w:rsidRPr="00322EBE">
        <w:rPr>
          <w:rFonts w:cs="Times New Roman"/>
          <w:color w:val="000000"/>
          <w:sz w:val="20"/>
          <w:szCs w:val="20"/>
        </w:rPr>
        <w:t>OECD (2015), Frascati Manual 2015: Guidelines for Collecting and Reporting Data on Research and Experimental</w:t>
      </w:r>
      <w:r>
        <w:rPr>
          <w:rFonts w:cs="Times New Roman"/>
          <w:color w:val="000000"/>
          <w:sz w:val="20"/>
          <w:szCs w:val="20"/>
        </w:rPr>
        <w:t xml:space="preserve"> </w:t>
      </w:r>
      <w:r w:rsidRPr="00322EBE">
        <w:rPr>
          <w:rFonts w:cs="Times New Roman"/>
          <w:color w:val="000000"/>
          <w:sz w:val="20"/>
          <w:szCs w:val="20"/>
        </w:rPr>
        <w:t>Development, The Measurement of Scientific, Technological and Innovation Activities, OECD Publishing, Paris,</w:t>
      </w:r>
      <w:r>
        <w:rPr>
          <w:rFonts w:cs="Times New Roman"/>
          <w:color w:val="000000"/>
          <w:sz w:val="20"/>
          <w:szCs w:val="20"/>
        </w:rPr>
        <w:t xml:space="preserve"> </w:t>
      </w:r>
      <w:r w:rsidRPr="005668B2">
        <w:rPr>
          <w:rFonts w:cs="Times New Roman"/>
          <w:sz w:val="20"/>
          <w:szCs w:val="20"/>
        </w:rPr>
        <w:t>https://doi.org/10.1787/9789264239012-en.</w:t>
      </w:r>
    </w:p>
  </w:footnote>
  <w:footnote w:id="4">
    <w:p w14:paraId="0DD63975" w14:textId="45268386" w:rsidR="001C10F7" w:rsidRDefault="001C10F7">
      <w:pPr>
        <w:pStyle w:val="FootnoteText"/>
      </w:pPr>
      <w:r>
        <w:rPr>
          <w:rStyle w:val="FootnoteReference"/>
        </w:rPr>
        <w:footnoteRef/>
      </w:r>
      <w:r>
        <w:t xml:space="preserve"> Morgan, Daniel and Sargent, John, </w:t>
      </w:r>
      <w:r w:rsidRPr="00B111BD">
        <w:rPr>
          <w:i/>
          <w:iCs/>
        </w:rPr>
        <w:t>Effects of COVID-19 on the Federal Research and Development Enterprise.</w:t>
      </w:r>
      <w:r>
        <w:t xml:space="preserve">  Congressional Research Service Report #R46309. Washington DC. April 10, 2020. </w:t>
      </w:r>
    </w:p>
  </w:footnote>
  <w:footnote w:id="5">
    <w:p w14:paraId="154936AE" w14:textId="546B3B5A" w:rsidR="001C10F7" w:rsidRDefault="001C10F7">
      <w:pPr>
        <w:pStyle w:val="FootnoteText"/>
      </w:pPr>
      <w:r>
        <w:rPr>
          <w:rStyle w:val="FootnoteReference"/>
        </w:rPr>
        <w:footnoteRef/>
      </w:r>
      <w:r>
        <w:t xml:space="preserve"> Council on Government Relations, </w:t>
      </w:r>
      <w:r w:rsidRPr="005462B4">
        <w:rPr>
          <w:i/>
          <w:iCs/>
        </w:rPr>
        <w:t>COGR’s Webinar Series on COVID-19</w:t>
      </w:r>
      <w:r>
        <w:t>. Washington DC. 2020.</w:t>
      </w:r>
    </w:p>
  </w:footnote>
  <w:footnote w:id="6">
    <w:p w14:paraId="682EBDAD" w14:textId="496575F6" w:rsidR="001C10F7" w:rsidRDefault="001C10F7">
      <w:pPr>
        <w:pStyle w:val="FootnoteText"/>
      </w:pPr>
      <w:r>
        <w:rPr>
          <w:rStyle w:val="FootnoteReference"/>
        </w:rPr>
        <w:footnoteRef/>
      </w:r>
      <w:r>
        <w:t xml:space="preserve"> Federal Demonstration Partnership, </w:t>
      </w:r>
      <w:r w:rsidRPr="00252727">
        <w:rPr>
          <w:i/>
          <w:iCs/>
        </w:rPr>
        <w:t>The Impacts of COVID-19 on Research Activities: The University Perspective</w:t>
      </w:r>
      <w:r>
        <w:t>. Washington DC. May 28,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16BB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32ED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A44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1615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D2CE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45456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01A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70E61A"/>
    <w:lvl w:ilvl="0">
      <w:start w:val="1"/>
      <w:numFmt w:val="bullet"/>
      <w:pStyle w:val="ListBullet2"/>
      <w:lvlText w:val="–"/>
      <w:lvlJc w:val="left"/>
      <w:pPr>
        <w:ind w:left="720" w:hanging="360"/>
      </w:pPr>
      <w:rPr>
        <w:rFonts w:ascii="Times New Roman" w:eastAsia="Times New Roman" w:hAnsi="Times New Roman" w:hint="default"/>
        <w:sz w:val="24"/>
        <w:szCs w:val="24"/>
      </w:rPr>
    </w:lvl>
  </w:abstractNum>
  <w:abstractNum w:abstractNumId="8" w15:restartNumberingAfterBreak="0">
    <w:nsid w:val="FFFFFF88"/>
    <w:multiLevelType w:val="singleLevel"/>
    <w:tmpl w:val="2E06E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D44A68"/>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2718A5"/>
    <w:multiLevelType w:val="multilevel"/>
    <w:tmpl w:val="BE38112A"/>
    <w:lvl w:ilvl="0">
      <w:start w:val="2"/>
      <w:numFmt w:val="upperLetter"/>
      <w:lvlText w:val="%1."/>
      <w:lvlJc w:val="left"/>
      <w:pPr>
        <w:ind w:left="831" w:hanging="720"/>
      </w:pPr>
      <w:rPr>
        <w:rFonts w:ascii="Times New Roman" w:eastAsia="Times New Roman" w:hAnsi="Times New Roman" w:hint="default"/>
        <w:b/>
        <w:bCs/>
        <w:sz w:val="24"/>
        <w:szCs w:val="24"/>
      </w:rPr>
    </w:lvl>
    <w:lvl w:ilvl="1">
      <w:start w:val="1"/>
      <w:numFmt w:val="decimal"/>
      <w:lvlText w:val="%1.%2"/>
      <w:lvlJc w:val="left"/>
      <w:pPr>
        <w:ind w:left="831" w:hanging="720"/>
        <w:jc w:val="right"/>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11" w15:restartNumberingAfterBreak="0">
    <w:nsid w:val="006B3CCA"/>
    <w:multiLevelType w:val="hybridMultilevel"/>
    <w:tmpl w:val="81B46D00"/>
    <w:lvl w:ilvl="0" w:tplc="FBE88A06">
      <w:start w:val="1"/>
      <w:numFmt w:val="bullet"/>
      <w:lvlText w:val=""/>
      <w:lvlJc w:val="left"/>
      <w:pPr>
        <w:ind w:left="1102" w:hanging="272"/>
      </w:pPr>
      <w:rPr>
        <w:rFonts w:ascii="Symbol" w:eastAsia="Symbol" w:hAnsi="Symbol" w:hint="default"/>
        <w:sz w:val="16"/>
        <w:szCs w:val="16"/>
      </w:rPr>
    </w:lvl>
    <w:lvl w:ilvl="1" w:tplc="7FEC12E0">
      <w:start w:val="1"/>
      <w:numFmt w:val="bullet"/>
      <w:lvlText w:val="•"/>
      <w:lvlJc w:val="left"/>
      <w:pPr>
        <w:ind w:left="1958" w:hanging="272"/>
      </w:pPr>
      <w:rPr>
        <w:rFonts w:hint="default"/>
      </w:rPr>
    </w:lvl>
    <w:lvl w:ilvl="2" w:tplc="631A3082">
      <w:start w:val="1"/>
      <w:numFmt w:val="bullet"/>
      <w:lvlText w:val="•"/>
      <w:lvlJc w:val="left"/>
      <w:pPr>
        <w:ind w:left="2813" w:hanging="272"/>
      </w:pPr>
      <w:rPr>
        <w:rFonts w:hint="default"/>
      </w:rPr>
    </w:lvl>
    <w:lvl w:ilvl="3" w:tplc="3BACA186">
      <w:start w:val="1"/>
      <w:numFmt w:val="bullet"/>
      <w:lvlText w:val="•"/>
      <w:lvlJc w:val="left"/>
      <w:pPr>
        <w:ind w:left="3669" w:hanging="272"/>
      </w:pPr>
      <w:rPr>
        <w:rFonts w:hint="default"/>
      </w:rPr>
    </w:lvl>
    <w:lvl w:ilvl="4" w:tplc="2ED4E2D4">
      <w:start w:val="1"/>
      <w:numFmt w:val="bullet"/>
      <w:lvlText w:val="•"/>
      <w:lvlJc w:val="left"/>
      <w:pPr>
        <w:ind w:left="4525" w:hanging="272"/>
      </w:pPr>
      <w:rPr>
        <w:rFonts w:hint="default"/>
      </w:rPr>
    </w:lvl>
    <w:lvl w:ilvl="5" w:tplc="7DEE9F9E">
      <w:start w:val="1"/>
      <w:numFmt w:val="bullet"/>
      <w:lvlText w:val="•"/>
      <w:lvlJc w:val="left"/>
      <w:pPr>
        <w:ind w:left="5381" w:hanging="272"/>
      </w:pPr>
      <w:rPr>
        <w:rFonts w:hint="default"/>
      </w:rPr>
    </w:lvl>
    <w:lvl w:ilvl="6" w:tplc="046872AA">
      <w:start w:val="1"/>
      <w:numFmt w:val="bullet"/>
      <w:lvlText w:val="•"/>
      <w:lvlJc w:val="left"/>
      <w:pPr>
        <w:ind w:left="6236" w:hanging="272"/>
      </w:pPr>
      <w:rPr>
        <w:rFonts w:hint="default"/>
      </w:rPr>
    </w:lvl>
    <w:lvl w:ilvl="7" w:tplc="4A54C5DA">
      <w:start w:val="1"/>
      <w:numFmt w:val="bullet"/>
      <w:lvlText w:val="•"/>
      <w:lvlJc w:val="left"/>
      <w:pPr>
        <w:ind w:left="7092" w:hanging="272"/>
      </w:pPr>
      <w:rPr>
        <w:rFonts w:hint="default"/>
      </w:rPr>
    </w:lvl>
    <w:lvl w:ilvl="8" w:tplc="E3D61136">
      <w:start w:val="1"/>
      <w:numFmt w:val="bullet"/>
      <w:lvlText w:val="•"/>
      <w:lvlJc w:val="left"/>
      <w:pPr>
        <w:ind w:left="7948" w:hanging="272"/>
      </w:pPr>
      <w:rPr>
        <w:rFonts w:hint="default"/>
      </w:rPr>
    </w:lvl>
  </w:abstractNum>
  <w:abstractNum w:abstractNumId="12" w15:restartNumberingAfterBreak="0">
    <w:nsid w:val="0A466379"/>
    <w:multiLevelType w:val="hybridMultilevel"/>
    <w:tmpl w:val="BEE85B8A"/>
    <w:lvl w:ilvl="0" w:tplc="8BC6BD0A">
      <w:start w:val="1"/>
      <w:numFmt w:val="decimal"/>
      <w:lvlText w:val="(%1)"/>
      <w:lvlJc w:val="left"/>
      <w:pPr>
        <w:ind w:left="191" w:hanging="339"/>
      </w:pPr>
      <w:rPr>
        <w:rFonts w:ascii="Times New Roman" w:eastAsia="Times New Roman" w:hAnsi="Times New Roman" w:hint="default"/>
        <w:spacing w:val="-1"/>
        <w:sz w:val="24"/>
        <w:szCs w:val="24"/>
      </w:rPr>
    </w:lvl>
    <w:lvl w:ilvl="1" w:tplc="04090001">
      <w:start w:val="1"/>
      <w:numFmt w:val="bullet"/>
      <w:lvlText w:val=""/>
      <w:lvlJc w:val="left"/>
      <w:pPr>
        <w:ind w:left="1271" w:hanging="360"/>
      </w:pPr>
      <w:rPr>
        <w:rFonts w:ascii="Symbol" w:hAnsi="Symbol" w:hint="default"/>
        <w:sz w:val="22"/>
        <w:szCs w:val="22"/>
      </w:rPr>
    </w:lvl>
    <w:lvl w:ilvl="2" w:tplc="6FD6C2B4">
      <w:start w:val="1"/>
      <w:numFmt w:val="bullet"/>
      <w:lvlText w:val="•"/>
      <w:lvlJc w:val="left"/>
      <w:pPr>
        <w:ind w:left="2212" w:hanging="360"/>
      </w:pPr>
      <w:rPr>
        <w:rFonts w:hint="default"/>
      </w:rPr>
    </w:lvl>
    <w:lvl w:ilvl="3" w:tplc="27D22590">
      <w:start w:val="1"/>
      <w:numFmt w:val="bullet"/>
      <w:lvlText w:val="•"/>
      <w:lvlJc w:val="left"/>
      <w:pPr>
        <w:ind w:left="3153" w:hanging="360"/>
      </w:pPr>
      <w:rPr>
        <w:rFonts w:hint="default"/>
      </w:rPr>
    </w:lvl>
    <w:lvl w:ilvl="4" w:tplc="5C6857D2">
      <w:start w:val="1"/>
      <w:numFmt w:val="bullet"/>
      <w:lvlText w:val="•"/>
      <w:lvlJc w:val="left"/>
      <w:pPr>
        <w:ind w:left="4094" w:hanging="360"/>
      </w:pPr>
      <w:rPr>
        <w:rFonts w:hint="default"/>
      </w:rPr>
    </w:lvl>
    <w:lvl w:ilvl="5" w:tplc="7A92D396">
      <w:start w:val="1"/>
      <w:numFmt w:val="bullet"/>
      <w:lvlText w:val="•"/>
      <w:lvlJc w:val="left"/>
      <w:pPr>
        <w:ind w:left="5035" w:hanging="360"/>
      </w:pPr>
      <w:rPr>
        <w:rFonts w:hint="default"/>
      </w:rPr>
    </w:lvl>
    <w:lvl w:ilvl="6" w:tplc="C70A4748">
      <w:start w:val="1"/>
      <w:numFmt w:val="bullet"/>
      <w:lvlText w:val="•"/>
      <w:lvlJc w:val="left"/>
      <w:pPr>
        <w:ind w:left="5976" w:hanging="360"/>
      </w:pPr>
      <w:rPr>
        <w:rFonts w:hint="default"/>
      </w:rPr>
    </w:lvl>
    <w:lvl w:ilvl="7" w:tplc="0AC0D34E">
      <w:start w:val="1"/>
      <w:numFmt w:val="bullet"/>
      <w:lvlText w:val="•"/>
      <w:lvlJc w:val="left"/>
      <w:pPr>
        <w:ind w:left="6917" w:hanging="360"/>
      </w:pPr>
      <w:rPr>
        <w:rFonts w:hint="default"/>
      </w:rPr>
    </w:lvl>
    <w:lvl w:ilvl="8" w:tplc="E376C8BA">
      <w:start w:val="1"/>
      <w:numFmt w:val="bullet"/>
      <w:lvlText w:val="•"/>
      <w:lvlJc w:val="left"/>
      <w:pPr>
        <w:ind w:left="7858" w:hanging="360"/>
      </w:pPr>
      <w:rPr>
        <w:rFonts w:hint="default"/>
      </w:rPr>
    </w:lvl>
  </w:abstractNum>
  <w:abstractNum w:abstractNumId="13" w15:restartNumberingAfterBreak="0">
    <w:nsid w:val="0DC20F94"/>
    <w:multiLevelType w:val="multilevel"/>
    <w:tmpl w:val="72326B68"/>
    <w:lvl w:ilvl="0">
      <w:start w:val="1"/>
      <w:numFmt w:val="upperLetter"/>
      <w:lvlText w:val="%1."/>
      <w:lvlJc w:val="left"/>
      <w:pPr>
        <w:ind w:left="720" w:hanging="720"/>
      </w:pPr>
      <w:rPr>
        <w:rFonts w:ascii="Times New Roman" w:eastAsia="Times New Roman" w:hAnsi="Times New Roman" w:hint="default"/>
        <w:b/>
        <w:bCs/>
        <w:spacing w:val="-1"/>
        <w:sz w:val="24"/>
        <w:szCs w:val="24"/>
      </w:rPr>
    </w:lvl>
    <w:lvl w:ilvl="1">
      <w:start w:val="1"/>
      <w:numFmt w:val="decimal"/>
      <w:lvlText w:val="%1.%2"/>
      <w:lvlJc w:val="left"/>
      <w:pPr>
        <w:ind w:left="720" w:hanging="720"/>
        <w:jc w:val="right"/>
      </w:pPr>
      <w:rPr>
        <w:rFonts w:ascii="Times New Roman" w:eastAsia="Times New Roman" w:hAnsi="Times New Roman" w:hint="default"/>
        <w:b/>
        <w:bCs/>
        <w:spacing w:val="-1"/>
        <w:sz w:val="24"/>
        <w:szCs w:val="24"/>
      </w:rPr>
    </w:lvl>
    <w:lvl w:ilvl="2">
      <w:start w:val="2"/>
      <w:numFmt w:val="lowerLetter"/>
      <w:lvlText w:val="(%3)"/>
      <w:lvlJc w:val="left"/>
      <w:pPr>
        <w:ind w:left="360" w:hanging="339"/>
      </w:pPr>
      <w:rPr>
        <w:rFonts w:ascii="Times New Roman" w:eastAsia="Times New Roman" w:hAnsi="Times New Roman" w:hint="default"/>
        <w:spacing w:val="-1"/>
        <w:sz w:val="24"/>
        <w:szCs w:val="24"/>
      </w:rPr>
    </w:lvl>
    <w:lvl w:ilvl="3">
      <w:start w:val="1"/>
      <w:numFmt w:val="decimal"/>
      <w:lvlText w:val="(%4)"/>
      <w:lvlJc w:val="left"/>
      <w:pPr>
        <w:ind w:left="1239" w:hanging="339"/>
      </w:pPr>
      <w:rPr>
        <w:rFonts w:ascii="Times New Roman" w:eastAsia="Times New Roman" w:hAnsi="Times New Roman" w:hint="default"/>
        <w:spacing w:val="-1"/>
        <w:sz w:val="24"/>
        <w:szCs w:val="24"/>
      </w:rPr>
    </w:lvl>
    <w:lvl w:ilvl="4">
      <w:start w:val="1"/>
      <w:numFmt w:val="upperLetter"/>
      <w:lvlText w:val="(%5)"/>
      <w:lvlJc w:val="left"/>
      <w:pPr>
        <w:ind w:left="2191" w:hanging="392"/>
      </w:pPr>
      <w:rPr>
        <w:rFonts w:ascii="Times New Roman" w:eastAsia="Times New Roman" w:hAnsi="Times New Roman" w:hint="default"/>
        <w:spacing w:val="-1"/>
        <w:sz w:val="24"/>
        <w:szCs w:val="24"/>
      </w:rPr>
    </w:lvl>
    <w:lvl w:ilvl="5">
      <w:start w:val="1"/>
      <w:numFmt w:val="bullet"/>
      <w:lvlText w:val="•"/>
      <w:lvlJc w:val="left"/>
      <w:pPr>
        <w:ind w:left="3414" w:hanging="392"/>
      </w:pPr>
      <w:rPr>
        <w:rFonts w:hint="default"/>
      </w:rPr>
    </w:lvl>
    <w:lvl w:ilvl="6">
      <w:start w:val="1"/>
      <w:numFmt w:val="bullet"/>
      <w:lvlText w:val="•"/>
      <w:lvlJc w:val="left"/>
      <w:pPr>
        <w:ind w:left="4637" w:hanging="392"/>
      </w:pPr>
      <w:rPr>
        <w:rFonts w:hint="default"/>
      </w:rPr>
    </w:lvl>
    <w:lvl w:ilvl="7">
      <w:start w:val="1"/>
      <w:numFmt w:val="bullet"/>
      <w:lvlText w:val="•"/>
      <w:lvlJc w:val="left"/>
      <w:pPr>
        <w:ind w:left="5860" w:hanging="392"/>
      </w:pPr>
      <w:rPr>
        <w:rFonts w:hint="default"/>
      </w:rPr>
    </w:lvl>
    <w:lvl w:ilvl="8">
      <w:start w:val="1"/>
      <w:numFmt w:val="bullet"/>
      <w:lvlText w:val="•"/>
      <w:lvlJc w:val="left"/>
      <w:pPr>
        <w:ind w:left="7083" w:hanging="392"/>
      </w:pPr>
      <w:rPr>
        <w:rFonts w:hint="default"/>
      </w:rPr>
    </w:lvl>
  </w:abstractNum>
  <w:abstractNum w:abstractNumId="14" w15:restartNumberingAfterBreak="0">
    <w:nsid w:val="0E0037C5"/>
    <w:multiLevelType w:val="multilevel"/>
    <w:tmpl w:val="72326B68"/>
    <w:lvl w:ilvl="0">
      <w:start w:val="1"/>
      <w:numFmt w:val="upperLetter"/>
      <w:lvlText w:val="%1."/>
      <w:lvlJc w:val="left"/>
      <w:pPr>
        <w:ind w:left="720" w:hanging="720"/>
      </w:pPr>
      <w:rPr>
        <w:rFonts w:ascii="Times New Roman" w:eastAsia="Times New Roman" w:hAnsi="Times New Roman" w:hint="default"/>
        <w:b/>
        <w:bCs/>
        <w:spacing w:val="-1"/>
        <w:sz w:val="24"/>
        <w:szCs w:val="24"/>
      </w:rPr>
    </w:lvl>
    <w:lvl w:ilvl="1">
      <w:start w:val="1"/>
      <w:numFmt w:val="decimal"/>
      <w:lvlText w:val="%1.%2"/>
      <w:lvlJc w:val="left"/>
      <w:pPr>
        <w:ind w:left="720" w:hanging="720"/>
        <w:jc w:val="right"/>
      </w:pPr>
      <w:rPr>
        <w:rFonts w:ascii="Times New Roman" w:eastAsia="Times New Roman" w:hAnsi="Times New Roman" w:hint="default"/>
        <w:b/>
        <w:bCs/>
        <w:spacing w:val="-1"/>
        <w:sz w:val="24"/>
        <w:szCs w:val="24"/>
      </w:rPr>
    </w:lvl>
    <w:lvl w:ilvl="2">
      <w:start w:val="2"/>
      <w:numFmt w:val="lowerLetter"/>
      <w:lvlText w:val="(%3)"/>
      <w:lvlJc w:val="left"/>
      <w:pPr>
        <w:ind w:left="360" w:hanging="339"/>
      </w:pPr>
      <w:rPr>
        <w:rFonts w:ascii="Times New Roman" w:eastAsia="Times New Roman" w:hAnsi="Times New Roman" w:hint="default"/>
        <w:spacing w:val="-1"/>
        <w:sz w:val="24"/>
        <w:szCs w:val="24"/>
      </w:rPr>
    </w:lvl>
    <w:lvl w:ilvl="3">
      <w:start w:val="1"/>
      <w:numFmt w:val="decimal"/>
      <w:lvlText w:val="(%4)"/>
      <w:lvlJc w:val="left"/>
      <w:pPr>
        <w:ind w:left="1239" w:hanging="339"/>
      </w:pPr>
      <w:rPr>
        <w:rFonts w:ascii="Times New Roman" w:eastAsia="Times New Roman" w:hAnsi="Times New Roman" w:hint="default"/>
        <w:spacing w:val="-1"/>
        <w:sz w:val="24"/>
        <w:szCs w:val="24"/>
      </w:rPr>
    </w:lvl>
    <w:lvl w:ilvl="4">
      <w:start w:val="1"/>
      <w:numFmt w:val="upperLetter"/>
      <w:lvlText w:val="(%5)"/>
      <w:lvlJc w:val="left"/>
      <w:pPr>
        <w:ind w:left="2191" w:hanging="392"/>
      </w:pPr>
      <w:rPr>
        <w:rFonts w:ascii="Times New Roman" w:eastAsia="Times New Roman" w:hAnsi="Times New Roman" w:hint="default"/>
        <w:spacing w:val="-1"/>
        <w:sz w:val="24"/>
        <w:szCs w:val="24"/>
      </w:rPr>
    </w:lvl>
    <w:lvl w:ilvl="5">
      <w:start w:val="1"/>
      <w:numFmt w:val="bullet"/>
      <w:lvlText w:val="•"/>
      <w:lvlJc w:val="left"/>
      <w:pPr>
        <w:ind w:left="3414" w:hanging="392"/>
      </w:pPr>
      <w:rPr>
        <w:rFonts w:hint="default"/>
      </w:rPr>
    </w:lvl>
    <w:lvl w:ilvl="6">
      <w:start w:val="1"/>
      <w:numFmt w:val="bullet"/>
      <w:lvlText w:val="•"/>
      <w:lvlJc w:val="left"/>
      <w:pPr>
        <w:ind w:left="4637" w:hanging="392"/>
      </w:pPr>
      <w:rPr>
        <w:rFonts w:hint="default"/>
      </w:rPr>
    </w:lvl>
    <w:lvl w:ilvl="7">
      <w:start w:val="1"/>
      <w:numFmt w:val="bullet"/>
      <w:lvlText w:val="•"/>
      <w:lvlJc w:val="left"/>
      <w:pPr>
        <w:ind w:left="5860" w:hanging="392"/>
      </w:pPr>
      <w:rPr>
        <w:rFonts w:hint="default"/>
      </w:rPr>
    </w:lvl>
    <w:lvl w:ilvl="8">
      <w:start w:val="1"/>
      <w:numFmt w:val="bullet"/>
      <w:lvlText w:val="•"/>
      <w:lvlJc w:val="left"/>
      <w:pPr>
        <w:ind w:left="7083" w:hanging="392"/>
      </w:pPr>
      <w:rPr>
        <w:rFonts w:hint="default"/>
      </w:rPr>
    </w:lvl>
  </w:abstractNum>
  <w:abstractNum w:abstractNumId="15" w15:restartNumberingAfterBreak="0">
    <w:nsid w:val="0F747B30"/>
    <w:multiLevelType w:val="hybridMultilevel"/>
    <w:tmpl w:val="737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3027E"/>
    <w:multiLevelType w:val="hybridMultilevel"/>
    <w:tmpl w:val="784C81E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7" w15:restartNumberingAfterBreak="0">
    <w:nsid w:val="149D0679"/>
    <w:multiLevelType w:val="hybridMultilevel"/>
    <w:tmpl w:val="AB9ABE50"/>
    <w:lvl w:ilvl="0" w:tplc="04090001">
      <w:start w:val="1"/>
      <w:numFmt w:val="bullet"/>
      <w:lvlText w:val=""/>
      <w:lvlJc w:val="left"/>
      <w:pPr>
        <w:ind w:left="459" w:hanging="360"/>
      </w:pPr>
      <w:rPr>
        <w:rFonts w:ascii="Symbol" w:hAnsi="Symbol" w:hint="default"/>
        <w:sz w:val="22"/>
        <w:szCs w:val="22"/>
      </w:rPr>
    </w:lvl>
    <w:lvl w:ilvl="1" w:tplc="2C96DF52">
      <w:start w:val="1"/>
      <w:numFmt w:val="bullet"/>
      <w:lvlText w:val="–"/>
      <w:lvlJc w:val="left"/>
      <w:pPr>
        <w:ind w:left="819" w:hanging="360"/>
      </w:pPr>
      <w:rPr>
        <w:rFonts w:ascii="Times New Roman" w:eastAsia="Times New Roman" w:hAnsi="Times New Roman" w:hint="default"/>
        <w:sz w:val="24"/>
        <w:szCs w:val="24"/>
      </w:rPr>
    </w:lvl>
    <w:lvl w:ilvl="2" w:tplc="D618116C">
      <w:start w:val="1"/>
      <w:numFmt w:val="bullet"/>
      <w:lvlText w:val="•"/>
      <w:lvlJc w:val="left"/>
      <w:pPr>
        <w:ind w:left="1720" w:hanging="360"/>
      </w:pPr>
      <w:rPr>
        <w:rFonts w:hint="default"/>
      </w:rPr>
    </w:lvl>
    <w:lvl w:ilvl="3" w:tplc="CE2C1336">
      <w:start w:val="1"/>
      <w:numFmt w:val="bullet"/>
      <w:lvlText w:val="•"/>
      <w:lvlJc w:val="left"/>
      <w:pPr>
        <w:ind w:left="2621" w:hanging="360"/>
      </w:pPr>
      <w:rPr>
        <w:rFonts w:hint="default"/>
      </w:rPr>
    </w:lvl>
    <w:lvl w:ilvl="4" w:tplc="6B90CBAE">
      <w:start w:val="1"/>
      <w:numFmt w:val="bullet"/>
      <w:lvlText w:val="•"/>
      <w:lvlJc w:val="left"/>
      <w:pPr>
        <w:ind w:left="3522" w:hanging="360"/>
      </w:pPr>
      <w:rPr>
        <w:rFonts w:hint="default"/>
      </w:rPr>
    </w:lvl>
    <w:lvl w:ilvl="5" w:tplc="5D12F40C">
      <w:start w:val="1"/>
      <w:numFmt w:val="bullet"/>
      <w:lvlText w:val="•"/>
      <w:lvlJc w:val="left"/>
      <w:pPr>
        <w:ind w:left="4423" w:hanging="360"/>
      </w:pPr>
      <w:rPr>
        <w:rFonts w:hint="default"/>
      </w:rPr>
    </w:lvl>
    <w:lvl w:ilvl="6" w:tplc="09DEE948">
      <w:start w:val="1"/>
      <w:numFmt w:val="bullet"/>
      <w:lvlText w:val="•"/>
      <w:lvlJc w:val="left"/>
      <w:pPr>
        <w:ind w:left="5324" w:hanging="360"/>
      </w:pPr>
      <w:rPr>
        <w:rFonts w:hint="default"/>
      </w:rPr>
    </w:lvl>
    <w:lvl w:ilvl="7" w:tplc="0DEEC8E6">
      <w:start w:val="1"/>
      <w:numFmt w:val="bullet"/>
      <w:lvlText w:val="•"/>
      <w:lvlJc w:val="left"/>
      <w:pPr>
        <w:ind w:left="6225" w:hanging="360"/>
      </w:pPr>
      <w:rPr>
        <w:rFonts w:hint="default"/>
      </w:rPr>
    </w:lvl>
    <w:lvl w:ilvl="8" w:tplc="A5427F6A">
      <w:start w:val="1"/>
      <w:numFmt w:val="bullet"/>
      <w:lvlText w:val="•"/>
      <w:lvlJc w:val="left"/>
      <w:pPr>
        <w:ind w:left="7126" w:hanging="360"/>
      </w:pPr>
      <w:rPr>
        <w:rFonts w:hint="default"/>
      </w:rPr>
    </w:lvl>
  </w:abstractNum>
  <w:abstractNum w:abstractNumId="18" w15:restartNumberingAfterBreak="0">
    <w:nsid w:val="19E22497"/>
    <w:multiLevelType w:val="multilevel"/>
    <w:tmpl w:val="5FEEAF80"/>
    <w:numStyleLink w:val="Exhibits"/>
  </w:abstractNum>
  <w:abstractNum w:abstractNumId="19" w15:restartNumberingAfterBreak="0">
    <w:nsid w:val="1BC748A9"/>
    <w:multiLevelType w:val="hybridMultilevel"/>
    <w:tmpl w:val="8384E982"/>
    <w:lvl w:ilvl="0" w:tplc="5724942E">
      <w:start w:val="1"/>
      <w:numFmt w:val="bullet"/>
      <w:lvlText w:val="•"/>
      <w:lvlJc w:val="left"/>
      <w:pPr>
        <w:ind w:left="540" w:hanging="360"/>
      </w:pPr>
      <w:rPr>
        <w:rFonts w:ascii="Times New Roman" w:eastAsia="Times New Roman" w:hAnsi="Times New Roman"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1D615C1D"/>
    <w:multiLevelType w:val="hybridMultilevel"/>
    <w:tmpl w:val="09F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C1354"/>
    <w:multiLevelType w:val="hybridMultilevel"/>
    <w:tmpl w:val="76841E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263C14E2"/>
    <w:multiLevelType w:val="hybridMultilevel"/>
    <w:tmpl w:val="F8DCD4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CB61F5"/>
    <w:multiLevelType w:val="multilevel"/>
    <w:tmpl w:val="5FEEAF80"/>
    <w:styleLink w:val="Exhibits"/>
    <w:lvl w:ilvl="0">
      <w:start w:val="6"/>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075CD2"/>
    <w:multiLevelType w:val="hybridMultilevel"/>
    <w:tmpl w:val="6A34E4A6"/>
    <w:lvl w:ilvl="0" w:tplc="5724942E">
      <w:start w:val="1"/>
      <w:numFmt w:val="bullet"/>
      <w:lvlText w:val="•"/>
      <w:lvlJc w:val="left"/>
      <w:pPr>
        <w:ind w:left="1291" w:hanging="360"/>
      </w:pPr>
      <w:rPr>
        <w:rFonts w:ascii="Times New Roman" w:eastAsia="Times New Roman" w:hAnsi="Times New Roman" w:hint="default"/>
        <w:sz w:val="22"/>
        <w:szCs w:val="22"/>
      </w:rPr>
    </w:lvl>
    <w:lvl w:ilvl="1" w:tplc="162034E2">
      <w:start w:val="1"/>
      <w:numFmt w:val="bullet"/>
      <w:lvlText w:val="•"/>
      <w:lvlJc w:val="left"/>
      <w:pPr>
        <w:ind w:left="2150" w:hanging="360"/>
      </w:pPr>
      <w:rPr>
        <w:rFonts w:hint="default"/>
      </w:rPr>
    </w:lvl>
    <w:lvl w:ilvl="2" w:tplc="1E32B40A">
      <w:start w:val="1"/>
      <w:numFmt w:val="bullet"/>
      <w:lvlText w:val="•"/>
      <w:lvlJc w:val="left"/>
      <w:pPr>
        <w:ind w:left="3008" w:hanging="360"/>
      </w:pPr>
      <w:rPr>
        <w:rFonts w:hint="default"/>
      </w:rPr>
    </w:lvl>
    <w:lvl w:ilvl="3" w:tplc="8494B024">
      <w:start w:val="1"/>
      <w:numFmt w:val="bullet"/>
      <w:lvlText w:val="•"/>
      <w:lvlJc w:val="left"/>
      <w:pPr>
        <w:ind w:left="3867" w:hanging="360"/>
      </w:pPr>
      <w:rPr>
        <w:rFonts w:hint="default"/>
      </w:rPr>
    </w:lvl>
    <w:lvl w:ilvl="4" w:tplc="01545E16">
      <w:start w:val="1"/>
      <w:numFmt w:val="bullet"/>
      <w:lvlText w:val="•"/>
      <w:lvlJc w:val="left"/>
      <w:pPr>
        <w:ind w:left="4726" w:hanging="360"/>
      </w:pPr>
      <w:rPr>
        <w:rFonts w:hint="default"/>
      </w:rPr>
    </w:lvl>
    <w:lvl w:ilvl="5" w:tplc="D49C0090">
      <w:start w:val="1"/>
      <w:numFmt w:val="bullet"/>
      <w:lvlText w:val="•"/>
      <w:lvlJc w:val="left"/>
      <w:pPr>
        <w:ind w:left="5585" w:hanging="360"/>
      </w:pPr>
      <w:rPr>
        <w:rFonts w:hint="default"/>
      </w:rPr>
    </w:lvl>
    <w:lvl w:ilvl="6" w:tplc="059CA90A">
      <w:start w:val="1"/>
      <w:numFmt w:val="bullet"/>
      <w:lvlText w:val="•"/>
      <w:lvlJc w:val="left"/>
      <w:pPr>
        <w:ind w:left="6444" w:hanging="360"/>
      </w:pPr>
      <w:rPr>
        <w:rFonts w:hint="default"/>
      </w:rPr>
    </w:lvl>
    <w:lvl w:ilvl="7" w:tplc="998C2DA2">
      <w:start w:val="1"/>
      <w:numFmt w:val="bullet"/>
      <w:lvlText w:val="•"/>
      <w:lvlJc w:val="left"/>
      <w:pPr>
        <w:ind w:left="7303" w:hanging="360"/>
      </w:pPr>
      <w:rPr>
        <w:rFonts w:hint="default"/>
      </w:rPr>
    </w:lvl>
    <w:lvl w:ilvl="8" w:tplc="04022FE6">
      <w:start w:val="1"/>
      <w:numFmt w:val="bullet"/>
      <w:lvlText w:val="•"/>
      <w:lvlJc w:val="left"/>
      <w:pPr>
        <w:ind w:left="8162" w:hanging="360"/>
      </w:pPr>
      <w:rPr>
        <w:rFonts w:hint="default"/>
      </w:rPr>
    </w:lvl>
  </w:abstractNum>
  <w:abstractNum w:abstractNumId="25" w15:restartNumberingAfterBreak="0">
    <w:nsid w:val="2F3E2715"/>
    <w:multiLevelType w:val="multilevel"/>
    <w:tmpl w:val="484E3414"/>
    <w:lvl w:ilvl="0">
      <w:start w:val="2"/>
      <w:numFmt w:val="upperLetter"/>
      <w:lvlText w:val="%1."/>
      <w:lvlJc w:val="left"/>
      <w:pPr>
        <w:ind w:left="831" w:hanging="720"/>
      </w:pPr>
      <w:rPr>
        <w:rFonts w:ascii="Times New Roman" w:eastAsia="Times New Roman" w:hAnsi="Times New Roman" w:hint="default"/>
        <w:b/>
        <w:bCs/>
        <w:sz w:val="24"/>
        <w:szCs w:val="24"/>
      </w:rPr>
    </w:lvl>
    <w:lvl w:ilvl="1">
      <w:start w:val="4"/>
      <w:numFmt w:val="decimal"/>
      <w:lvlText w:val="%1.%2"/>
      <w:lvlJc w:val="left"/>
      <w:pPr>
        <w:ind w:left="831" w:hanging="720"/>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26" w15:restartNumberingAfterBreak="0">
    <w:nsid w:val="31036FD4"/>
    <w:multiLevelType w:val="hybridMultilevel"/>
    <w:tmpl w:val="57083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B12211"/>
    <w:multiLevelType w:val="hybridMultilevel"/>
    <w:tmpl w:val="2FDEC18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8" w15:restartNumberingAfterBreak="0">
    <w:nsid w:val="35055214"/>
    <w:multiLevelType w:val="hybridMultilevel"/>
    <w:tmpl w:val="2B70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4938C8"/>
    <w:multiLevelType w:val="multilevel"/>
    <w:tmpl w:val="04744EFE"/>
    <w:lvl w:ilvl="0">
      <w:start w:val="1"/>
      <w:numFmt w:val="upperLetter"/>
      <w:lvlText w:val="%1."/>
      <w:lvlJc w:val="left"/>
      <w:pPr>
        <w:ind w:left="742" w:hanging="452"/>
      </w:pPr>
      <w:rPr>
        <w:rFonts w:ascii="Times New Roman" w:eastAsia="Times New Roman" w:hAnsi="Times New Roman" w:hint="default"/>
        <w:spacing w:val="-1"/>
        <w:sz w:val="24"/>
        <w:szCs w:val="24"/>
      </w:rPr>
    </w:lvl>
    <w:lvl w:ilvl="1">
      <w:start w:val="1"/>
      <w:numFmt w:val="decimal"/>
      <w:lvlText w:val="%1.%2"/>
      <w:lvlJc w:val="left"/>
      <w:pPr>
        <w:ind w:left="1371" w:hanging="629"/>
      </w:pPr>
      <w:rPr>
        <w:rFonts w:ascii="Times New Roman" w:eastAsia="Times New Roman" w:hAnsi="Times New Roman" w:hint="default"/>
        <w:spacing w:val="-1"/>
        <w:sz w:val="24"/>
        <w:szCs w:val="24"/>
      </w:rPr>
    </w:lvl>
    <w:lvl w:ilvl="2">
      <w:start w:val="1"/>
      <w:numFmt w:val="decimal"/>
      <w:lvlText w:val="%1.%2.%3"/>
      <w:lvlJc w:val="left"/>
      <w:pPr>
        <w:ind w:left="2091" w:hanging="720"/>
      </w:pPr>
      <w:rPr>
        <w:rFonts w:ascii="Times New Roman" w:eastAsia="Times New Roman" w:hAnsi="Times New Roman" w:hint="default"/>
        <w:spacing w:val="-1"/>
        <w:sz w:val="24"/>
        <w:szCs w:val="24"/>
      </w:rPr>
    </w:lvl>
    <w:lvl w:ilvl="3">
      <w:start w:val="1"/>
      <w:numFmt w:val="bullet"/>
      <w:lvlText w:val="•"/>
      <w:lvlJc w:val="left"/>
      <w:pPr>
        <w:ind w:left="2091" w:hanging="720"/>
      </w:pPr>
      <w:rPr>
        <w:rFonts w:hint="default"/>
      </w:rPr>
    </w:lvl>
    <w:lvl w:ilvl="4">
      <w:start w:val="1"/>
      <w:numFmt w:val="bullet"/>
      <w:lvlText w:val="•"/>
      <w:lvlJc w:val="left"/>
      <w:pPr>
        <w:ind w:left="3135" w:hanging="720"/>
      </w:pPr>
      <w:rPr>
        <w:rFonts w:hint="default"/>
      </w:rPr>
    </w:lvl>
    <w:lvl w:ilvl="5">
      <w:start w:val="1"/>
      <w:numFmt w:val="bullet"/>
      <w:lvlText w:val="•"/>
      <w:lvlJc w:val="left"/>
      <w:pPr>
        <w:ind w:left="4179" w:hanging="720"/>
      </w:pPr>
      <w:rPr>
        <w:rFonts w:hint="default"/>
      </w:rPr>
    </w:lvl>
    <w:lvl w:ilvl="6">
      <w:start w:val="1"/>
      <w:numFmt w:val="bullet"/>
      <w:lvlText w:val="•"/>
      <w:lvlJc w:val="left"/>
      <w:pPr>
        <w:ind w:left="5223" w:hanging="720"/>
      </w:pPr>
      <w:rPr>
        <w:rFonts w:hint="default"/>
      </w:rPr>
    </w:lvl>
    <w:lvl w:ilvl="7">
      <w:start w:val="1"/>
      <w:numFmt w:val="bullet"/>
      <w:lvlText w:val="•"/>
      <w:lvlJc w:val="left"/>
      <w:pPr>
        <w:ind w:left="6267" w:hanging="720"/>
      </w:pPr>
      <w:rPr>
        <w:rFonts w:hint="default"/>
      </w:rPr>
    </w:lvl>
    <w:lvl w:ilvl="8">
      <w:start w:val="1"/>
      <w:numFmt w:val="bullet"/>
      <w:lvlText w:val="•"/>
      <w:lvlJc w:val="left"/>
      <w:pPr>
        <w:ind w:left="7311" w:hanging="720"/>
      </w:pPr>
      <w:rPr>
        <w:rFonts w:hint="default"/>
      </w:rPr>
    </w:lvl>
  </w:abstractNum>
  <w:abstractNum w:abstractNumId="30" w15:restartNumberingAfterBreak="0">
    <w:nsid w:val="3E0A4A2D"/>
    <w:multiLevelType w:val="hybridMultilevel"/>
    <w:tmpl w:val="A98E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855F05"/>
    <w:multiLevelType w:val="multilevel"/>
    <w:tmpl w:val="E53E2A0A"/>
    <w:lvl w:ilvl="0">
      <w:start w:val="1"/>
      <w:numFmt w:val="upperLetter"/>
      <w:lvlText w:val="%1"/>
      <w:lvlJc w:val="left"/>
      <w:pPr>
        <w:ind w:left="851" w:hanging="720"/>
      </w:pPr>
      <w:rPr>
        <w:rFonts w:hint="default"/>
      </w:rPr>
    </w:lvl>
    <w:lvl w:ilvl="1">
      <w:start w:val="13"/>
      <w:numFmt w:val="decimal"/>
      <w:lvlText w:val="%1.%2"/>
      <w:lvlJc w:val="left"/>
      <w:pPr>
        <w:ind w:left="851" w:hanging="720"/>
      </w:pPr>
      <w:rPr>
        <w:rFonts w:ascii="Times New Roman" w:eastAsia="Times New Roman" w:hAnsi="Times New Roman" w:hint="default"/>
        <w:b/>
        <w:bCs/>
        <w:spacing w:val="-1"/>
        <w:sz w:val="24"/>
        <w:szCs w:val="24"/>
      </w:rPr>
    </w:lvl>
    <w:lvl w:ilvl="2">
      <w:start w:val="1"/>
      <w:numFmt w:val="bullet"/>
      <w:lvlText w:val="•"/>
      <w:lvlJc w:val="left"/>
      <w:pPr>
        <w:ind w:left="2608" w:hanging="720"/>
      </w:pPr>
      <w:rPr>
        <w:rFonts w:hint="default"/>
      </w:rPr>
    </w:lvl>
    <w:lvl w:ilvl="3">
      <w:start w:val="1"/>
      <w:numFmt w:val="bullet"/>
      <w:lvlText w:val="•"/>
      <w:lvlJc w:val="left"/>
      <w:pPr>
        <w:ind w:left="3487" w:hanging="720"/>
      </w:pPr>
      <w:rPr>
        <w:rFonts w:hint="default"/>
      </w:rPr>
    </w:lvl>
    <w:lvl w:ilvl="4">
      <w:start w:val="1"/>
      <w:numFmt w:val="bullet"/>
      <w:lvlText w:val="•"/>
      <w:lvlJc w:val="left"/>
      <w:pPr>
        <w:ind w:left="4366" w:hanging="720"/>
      </w:pPr>
      <w:rPr>
        <w:rFonts w:hint="default"/>
      </w:rPr>
    </w:lvl>
    <w:lvl w:ilvl="5">
      <w:start w:val="1"/>
      <w:numFmt w:val="bullet"/>
      <w:lvlText w:val="•"/>
      <w:lvlJc w:val="left"/>
      <w:pPr>
        <w:ind w:left="5245" w:hanging="720"/>
      </w:pPr>
      <w:rPr>
        <w:rFonts w:hint="default"/>
      </w:rPr>
    </w:lvl>
    <w:lvl w:ilvl="6">
      <w:start w:val="1"/>
      <w:numFmt w:val="bullet"/>
      <w:lvlText w:val="•"/>
      <w:lvlJc w:val="left"/>
      <w:pPr>
        <w:ind w:left="6124" w:hanging="720"/>
      </w:pPr>
      <w:rPr>
        <w:rFonts w:hint="default"/>
      </w:rPr>
    </w:lvl>
    <w:lvl w:ilvl="7">
      <w:start w:val="1"/>
      <w:numFmt w:val="bullet"/>
      <w:lvlText w:val="•"/>
      <w:lvlJc w:val="left"/>
      <w:pPr>
        <w:ind w:left="7003" w:hanging="720"/>
      </w:pPr>
      <w:rPr>
        <w:rFonts w:hint="default"/>
      </w:rPr>
    </w:lvl>
    <w:lvl w:ilvl="8">
      <w:start w:val="1"/>
      <w:numFmt w:val="bullet"/>
      <w:lvlText w:val="•"/>
      <w:lvlJc w:val="left"/>
      <w:pPr>
        <w:ind w:left="7882" w:hanging="720"/>
      </w:pPr>
      <w:rPr>
        <w:rFonts w:hint="default"/>
      </w:rPr>
    </w:lvl>
  </w:abstractNum>
  <w:abstractNum w:abstractNumId="32" w15:restartNumberingAfterBreak="0">
    <w:nsid w:val="41F64013"/>
    <w:multiLevelType w:val="multilevel"/>
    <w:tmpl w:val="BE38112A"/>
    <w:lvl w:ilvl="0">
      <w:start w:val="2"/>
      <w:numFmt w:val="upperLetter"/>
      <w:lvlText w:val="%1."/>
      <w:lvlJc w:val="left"/>
      <w:pPr>
        <w:ind w:left="831" w:hanging="720"/>
      </w:pPr>
      <w:rPr>
        <w:rFonts w:ascii="Times New Roman" w:eastAsia="Times New Roman" w:hAnsi="Times New Roman" w:hint="default"/>
        <w:b/>
        <w:bCs/>
        <w:sz w:val="24"/>
        <w:szCs w:val="24"/>
      </w:rPr>
    </w:lvl>
    <w:lvl w:ilvl="1">
      <w:start w:val="1"/>
      <w:numFmt w:val="decimal"/>
      <w:lvlText w:val="%1.%2"/>
      <w:lvlJc w:val="left"/>
      <w:pPr>
        <w:ind w:left="831" w:hanging="720"/>
        <w:jc w:val="right"/>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33" w15:restartNumberingAfterBreak="0">
    <w:nsid w:val="426A2E01"/>
    <w:multiLevelType w:val="hybridMultilevel"/>
    <w:tmpl w:val="4DEA592C"/>
    <w:lvl w:ilvl="0" w:tplc="04090001">
      <w:start w:val="1"/>
      <w:numFmt w:val="bullet"/>
      <w:lvlText w:val=""/>
      <w:lvlJc w:val="left"/>
      <w:pPr>
        <w:ind w:left="459" w:hanging="360"/>
      </w:pPr>
      <w:rPr>
        <w:rFonts w:ascii="Symbol" w:hAnsi="Symbol" w:hint="default"/>
        <w:sz w:val="22"/>
        <w:szCs w:val="22"/>
      </w:rPr>
    </w:lvl>
    <w:lvl w:ilvl="1" w:tplc="E2660530">
      <w:start w:val="1"/>
      <w:numFmt w:val="bullet"/>
      <w:lvlText w:val="–"/>
      <w:lvlJc w:val="left"/>
      <w:pPr>
        <w:ind w:left="819" w:hanging="360"/>
      </w:pPr>
      <w:rPr>
        <w:rFonts w:ascii="Times New Roman" w:eastAsia="Times New Roman" w:hAnsi="Times New Roman" w:hint="default"/>
        <w:sz w:val="24"/>
        <w:szCs w:val="24"/>
      </w:rPr>
    </w:lvl>
    <w:lvl w:ilvl="2" w:tplc="45006EF6">
      <w:start w:val="1"/>
      <w:numFmt w:val="bullet"/>
      <w:lvlText w:val="•"/>
      <w:lvlJc w:val="left"/>
      <w:pPr>
        <w:ind w:left="1720" w:hanging="360"/>
      </w:pPr>
      <w:rPr>
        <w:rFonts w:hint="default"/>
      </w:rPr>
    </w:lvl>
    <w:lvl w:ilvl="3" w:tplc="301AE61A">
      <w:start w:val="1"/>
      <w:numFmt w:val="bullet"/>
      <w:lvlText w:val="•"/>
      <w:lvlJc w:val="left"/>
      <w:pPr>
        <w:ind w:left="2621" w:hanging="360"/>
      </w:pPr>
      <w:rPr>
        <w:rFonts w:hint="default"/>
      </w:rPr>
    </w:lvl>
    <w:lvl w:ilvl="4" w:tplc="286C39D2">
      <w:start w:val="1"/>
      <w:numFmt w:val="bullet"/>
      <w:lvlText w:val="•"/>
      <w:lvlJc w:val="left"/>
      <w:pPr>
        <w:ind w:left="3522" w:hanging="360"/>
      </w:pPr>
      <w:rPr>
        <w:rFonts w:hint="default"/>
      </w:rPr>
    </w:lvl>
    <w:lvl w:ilvl="5" w:tplc="91ACFC3E">
      <w:start w:val="1"/>
      <w:numFmt w:val="bullet"/>
      <w:lvlText w:val="•"/>
      <w:lvlJc w:val="left"/>
      <w:pPr>
        <w:ind w:left="4423" w:hanging="360"/>
      </w:pPr>
      <w:rPr>
        <w:rFonts w:hint="default"/>
      </w:rPr>
    </w:lvl>
    <w:lvl w:ilvl="6" w:tplc="86001248">
      <w:start w:val="1"/>
      <w:numFmt w:val="bullet"/>
      <w:lvlText w:val="•"/>
      <w:lvlJc w:val="left"/>
      <w:pPr>
        <w:ind w:left="5324" w:hanging="360"/>
      </w:pPr>
      <w:rPr>
        <w:rFonts w:hint="default"/>
      </w:rPr>
    </w:lvl>
    <w:lvl w:ilvl="7" w:tplc="CE34350C">
      <w:start w:val="1"/>
      <w:numFmt w:val="bullet"/>
      <w:lvlText w:val="•"/>
      <w:lvlJc w:val="left"/>
      <w:pPr>
        <w:ind w:left="6225" w:hanging="360"/>
      </w:pPr>
      <w:rPr>
        <w:rFonts w:hint="default"/>
      </w:rPr>
    </w:lvl>
    <w:lvl w:ilvl="8" w:tplc="749E2DD0">
      <w:start w:val="1"/>
      <w:numFmt w:val="bullet"/>
      <w:lvlText w:val="•"/>
      <w:lvlJc w:val="left"/>
      <w:pPr>
        <w:ind w:left="7126" w:hanging="360"/>
      </w:pPr>
      <w:rPr>
        <w:rFonts w:hint="default"/>
      </w:rPr>
    </w:lvl>
  </w:abstractNum>
  <w:abstractNum w:abstractNumId="34" w15:restartNumberingAfterBreak="0">
    <w:nsid w:val="42D94DD0"/>
    <w:multiLevelType w:val="hybridMultilevel"/>
    <w:tmpl w:val="65BC5FC2"/>
    <w:lvl w:ilvl="0" w:tplc="519EB3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4B7FD4"/>
    <w:multiLevelType w:val="hybridMultilevel"/>
    <w:tmpl w:val="8448661A"/>
    <w:lvl w:ilvl="0" w:tplc="8BC6BD0A">
      <w:start w:val="1"/>
      <w:numFmt w:val="decimal"/>
      <w:lvlText w:val="(%1)"/>
      <w:lvlJc w:val="left"/>
      <w:pPr>
        <w:ind w:left="191" w:hanging="339"/>
      </w:pPr>
      <w:rPr>
        <w:rFonts w:ascii="Times New Roman" w:eastAsia="Times New Roman" w:hAnsi="Times New Roman" w:hint="default"/>
        <w:spacing w:val="-1"/>
        <w:sz w:val="24"/>
        <w:szCs w:val="24"/>
      </w:rPr>
    </w:lvl>
    <w:lvl w:ilvl="1" w:tplc="BD028784">
      <w:start w:val="1"/>
      <w:numFmt w:val="bullet"/>
      <w:lvlText w:val="•"/>
      <w:lvlJc w:val="left"/>
      <w:pPr>
        <w:ind w:left="1271" w:hanging="360"/>
      </w:pPr>
      <w:rPr>
        <w:rFonts w:ascii="Times New Roman" w:eastAsia="Times New Roman" w:hAnsi="Times New Roman" w:hint="default"/>
        <w:sz w:val="22"/>
        <w:szCs w:val="22"/>
      </w:rPr>
    </w:lvl>
    <w:lvl w:ilvl="2" w:tplc="6FD6C2B4">
      <w:start w:val="1"/>
      <w:numFmt w:val="bullet"/>
      <w:lvlText w:val="•"/>
      <w:lvlJc w:val="left"/>
      <w:pPr>
        <w:ind w:left="2212" w:hanging="360"/>
      </w:pPr>
      <w:rPr>
        <w:rFonts w:hint="default"/>
      </w:rPr>
    </w:lvl>
    <w:lvl w:ilvl="3" w:tplc="27D22590">
      <w:start w:val="1"/>
      <w:numFmt w:val="bullet"/>
      <w:lvlText w:val="•"/>
      <w:lvlJc w:val="left"/>
      <w:pPr>
        <w:ind w:left="3153" w:hanging="360"/>
      </w:pPr>
      <w:rPr>
        <w:rFonts w:hint="default"/>
      </w:rPr>
    </w:lvl>
    <w:lvl w:ilvl="4" w:tplc="5C6857D2">
      <w:start w:val="1"/>
      <w:numFmt w:val="bullet"/>
      <w:lvlText w:val="•"/>
      <w:lvlJc w:val="left"/>
      <w:pPr>
        <w:ind w:left="4094" w:hanging="360"/>
      </w:pPr>
      <w:rPr>
        <w:rFonts w:hint="default"/>
      </w:rPr>
    </w:lvl>
    <w:lvl w:ilvl="5" w:tplc="7A92D396">
      <w:start w:val="1"/>
      <w:numFmt w:val="bullet"/>
      <w:lvlText w:val="•"/>
      <w:lvlJc w:val="left"/>
      <w:pPr>
        <w:ind w:left="5035" w:hanging="360"/>
      </w:pPr>
      <w:rPr>
        <w:rFonts w:hint="default"/>
      </w:rPr>
    </w:lvl>
    <w:lvl w:ilvl="6" w:tplc="C70A4748">
      <w:start w:val="1"/>
      <w:numFmt w:val="bullet"/>
      <w:lvlText w:val="•"/>
      <w:lvlJc w:val="left"/>
      <w:pPr>
        <w:ind w:left="5976" w:hanging="360"/>
      </w:pPr>
      <w:rPr>
        <w:rFonts w:hint="default"/>
      </w:rPr>
    </w:lvl>
    <w:lvl w:ilvl="7" w:tplc="0AC0D34E">
      <w:start w:val="1"/>
      <w:numFmt w:val="bullet"/>
      <w:lvlText w:val="•"/>
      <w:lvlJc w:val="left"/>
      <w:pPr>
        <w:ind w:left="6917" w:hanging="360"/>
      </w:pPr>
      <w:rPr>
        <w:rFonts w:hint="default"/>
      </w:rPr>
    </w:lvl>
    <w:lvl w:ilvl="8" w:tplc="E376C8BA">
      <w:start w:val="1"/>
      <w:numFmt w:val="bullet"/>
      <w:lvlText w:val="•"/>
      <w:lvlJc w:val="left"/>
      <w:pPr>
        <w:ind w:left="7858" w:hanging="360"/>
      </w:pPr>
      <w:rPr>
        <w:rFonts w:hint="default"/>
      </w:rPr>
    </w:lvl>
  </w:abstractNum>
  <w:abstractNum w:abstractNumId="36" w15:restartNumberingAfterBreak="0">
    <w:nsid w:val="46B54E4E"/>
    <w:multiLevelType w:val="hybridMultilevel"/>
    <w:tmpl w:val="A4DE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C1E73"/>
    <w:multiLevelType w:val="hybridMultilevel"/>
    <w:tmpl w:val="CBB2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9A0673"/>
    <w:multiLevelType w:val="hybridMultilevel"/>
    <w:tmpl w:val="80AA791E"/>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39" w15:restartNumberingAfterBreak="0">
    <w:nsid w:val="4CA63229"/>
    <w:multiLevelType w:val="hybridMultilevel"/>
    <w:tmpl w:val="1ECE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71863"/>
    <w:multiLevelType w:val="hybridMultilevel"/>
    <w:tmpl w:val="763C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032F9A"/>
    <w:multiLevelType w:val="hybridMultilevel"/>
    <w:tmpl w:val="A95EEF68"/>
    <w:lvl w:ilvl="0" w:tplc="B67EA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080E33"/>
    <w:multiLevelType w:val="multilevel"/>
    <w:tmpl w:val="50424FF4"/>
    <w:lvl w:ilvl="0">
      <w:start w:val="1"/>
      <w:numFmt w:val="upperLetter"/>
      <w:lvlText w:val="%1"/>
      <w:lvlJc w:val="left"/>
      <w:pPr>
        <w:ind w:left="911" w:hanging="720"/>
      </w:pPr>
      <w:rPr>
        <w:rFonts w:hint="default"/>
      </w:rPr>
    </w:lvl>
    <w:lvl w:ilvl="1">
      <w:start w:val="2"/>
      <w:numFmt w:val="decimal"/>
      <w:lvlText w:val="%1.%2"/>
      <w:lvlJc w:val="left"/>
      <w:pPr>
        <w:ind w:left="911" w:hanging="720"/>
      </w:pPr>
      <w:rPr>
        <w:rFonts w:hint="default"/>
      </w:rPr>
    </w:lvl>
    <w:lvl w:ilvl="2">
      <w:start w:val="6"/>
      <w:numFmt w:val="decimal"/>
      <w:lvlText w:val="%1.%2.%3"/>
      <w:lvlJc w:val="left"/>
      <w:pPr>
        <w:ind w:left="1350" w:hanging="720"/>
      </w:pPr>
      <w:rPr>
        <w:rFonts w:ascii="Times New Roman" w:eastAsia="Times New Roman" w:hAnsi="Times New Roman" w:hint="default"/>
        <w:b/>
        <w:bCs/>
        <w:spacing w:val="-1"/>
        <w:sz w:val="24"/>
        <w:szCs w:val="24"/>
      </w:rPr>
    </w:lvl>
    <w:lvl w:ilvl="3">
      <w:start w:val="1"/>
      <w:numFmt w:val="bullet"/>
      <w:lvlText w:val="•"/>
      <w:lvlJc w:val="left"/>
      <w:pPr>
        <w:ind w:left="3553" w:hanging="720"/>
      </w:pPr>
      <w:rPr>
        <w:rFonts w:hint="default"/>
      </w:rPr>
    </w:lvl>
    <w:lvl w:ilvl="4">
      <w:start w:val="1"/>
      <w:numFmt w:val="bullet"/>
      <w:lvlText w:val="•"/>
      <w:lvlJc w:val="left"/>
      <w:pPr>
        <w:ind w:left="4434" w:hanging="720"/>
      </w:pPr>
      <w:rPr>
        <w:rFonts w:hint="default"/>
      </w:rPr>
    </w:lvl>
    <w:lvl w:ilvl="5">
      <w:start w:val="1"/>
      <w:numFmt w:val="bullet"/>
      <w:lvlText w:val="•"/>
      <w:lvlJc w:val="left"/>
      <w:pPr>
        <w:ind w:left="5315"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7958" w:hanging="720"/>
      </w:pPr>
      <w:rPr>
        <w:rFonts w:hint="default"/>
      </w:rPr>
    </w:lvl>
  </w:abstractNum>
  <w:abstractNum w:abstractNumId="43" w15:restartNumberingAfterBreak="0">
    <w:nsid w:val="54A87662"/>
    <w:multiLevelType w:val="multilevel"/>
    <w:tmpl w:val="BA143146"/>
    <w:lvl w:ilvl="0">
      <w:start w:val="2"/>
      <w:numFmt w:val="upperLetter"/>
      <w:lvlText w:val="%1."/>
      <w:lvlJc w:val="left"/>
      <w:pPr>
        <w:ind w:left="831" w:hanging="720"/>
      </w:pPr>
      <w:rPr>
        <w:rFonts w:ascii="Times New Roman" w:eastAsia="Times New Roman" w:hAnsi="Times New Roman" w:hint="default"/>
        <w:b/>
        <w:bCs/>
        <w:sz w:val="24"/>
        <w:szCs w:val="24"/>
      </w:rPr>
    </w:lvl>
    <w:lvl w:ilvl="1">
      <w:start w:val="2"/>
      <w:numFmt w:val="decimal"/>
      <w:lvlText w:val="%1.%2"/>
      <w:lvlJc w:val="left"/>
      <w:pPr>
        <w:ind w:left="831" w:hanging="720"/>
      </w:pPr>
      <w:rPr>
        <w:rFonts w:ascii="Times New Roman" w:eastAsia="Times New Roman" w:hAnsi="Times New Roman" w:hint="default"/>
        <w:b/>
        <w:bCs/>
        <w:sz w:val="24"/>
        <w:szCs w:val="24"/>
      </w:rPr>
    </w:lvl>
    <w:lvl w:ilvl="2">
      <w:start w:val="2"/>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44" w15:restartNumberingAfterBreak="0">
    <w:nsid w:val="54C41EB5"/>
    <w:multiLevelType w:val="multilevel"/>
    <w:tmpl w:val="5FEEAF80"/>
    <w:numStyleLink w:val="Exhibits"/>
  </w:abstractNum>
  <w:abstractNum w:abstractNumId="45" w15:restartNumberingAfterBreak="0">
    <w:nsid w:val="5791182E"/>
    <w:multiLevelType w:val="hybridMultilevel"/>
    <w:tmpl w:val="83E0C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84B7792"/>
    <w:multiLevelType w:val="hybridMultilevel"/>
    <w:tmpl w:val="1A14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545DEF"/>
    <w:multiLevelType w:val="hybridMultilevel"/>
    <w:tmpl w:val="AE26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03DF7"/>
    <w:multiLevelType w:val="hybridMultilevel"/>
    <w:tmpl w:val="C142A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FFC0F92"/>
    <w:multiLevelType w:val="hybridMultilevel"/>
    <w:tmpl w:val="2484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7E576A"/>
    <w:multiLevelType w:val="hybridMultilevel"/>
    <w:tmpl w:val="746C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FE2D0B"/>
    <w:multiLevelType w:val="multilevel"/>
    <w:tmpl w:val="AABC6532"/>
    <w:lvl w:ilvl="0">
      <w:start w:val="2"/>
      <w:numFmt w:val="upperLetter"/>
      <w:lvlText w:val="%1."/>
      <w:lvlJc w:val="left"/>
      <w:pPr>
        <w:ind w:left="831" w:hanging="720"/>
      </w:pPr>
      <w:rPr>
        <w:rFonts w:ascii="Times New Roman" w:eastAsia="Times New Roman" w:hAnsi="Times New Roman" w:hint="default"/>
        <w:b/>
        <w:bCs/>
        <w:sz w:val="24"/>
        <w:szCs w:val="24"/>
      </w:rPr>
    </w:lvl>
    <w:lvl w:ilvl="1">
      <w:start w:val="4"/>
      <w:numFmt w:val="decimal"/>
      <w:lvlText w:val="%1.%2"/>
      <w:lvlJc w:val="left"/>
      <w:pPr>
        <w:ind w:left="810" w:hanging="720"/>
      </w:pPr>
      <w:rPr>
        <w:rFonts w:ascii="Times New Roman" w:eastAsia="Times New Roman" w:hAnsi="Times New Roman" w:hint="default"/>
        <w:b/>
        <w:bCs/>
        <w:sz w:val="24"/>
        <w:szCs w:val="24"/>
      </w:rPr>
    </w:lvl>
    <w:lvl w:ilvl="2">
      <w:start w:val="1"/>
      <w:numFmt w:val="decimal"/>
      <w:lvlText w:val="%1.%2.%3"/>
      <w:lvlJc w:val="left"/>
      <w:pPr>
        <w:ind w:left="831" w:hanging="720"/>
      </w:pPr>
      <w:rPr>
        <w:rFonts w:ascii="Times New Roman" w:eastAsia="Times New Roman" w:hAnsi="Times New Roman" w:hint="default"/>
        <w:b/>
        <w:bCs/>
        <w:sz w:val="24"/>
        <w:szCs w:val="24"/>
      </w:rPr>
    </w:lvl>
    <w:lvl w:ilvl="3">
      <w:start w:val="1"/>
      <w:numFmt w:val="bullet"/>
      <w:lvlText w:val="•"/>
      <w:lvlJc w:val="left"/>
      <w:pPr>
        <w:ind w:left="1191" w:hanging="360"/>
      </w:pPr>
      <w:rPr>
        <w:rFonts w:ascii="Times New Roman" w:eastAsia="Times New Roman" w:hAnsi="Times New Roman" w:hint="default"/>
        <w:sz w:val="22"/>
        <w:szCs w:val="22"/>
      </w:rPr>
    </w:lvl>
    <w:lvl w:ilvl="4">
      <w:start w:val="1"/>
      <w:numFmt w:val="bullet"/>
      <w:lvlText w:val="•"/>
      <w:lvlJc w:val="left"/>
      <w:pPr>
        <w:ind w:left="1191" w:hanging="360"/>
      </w:pPr>
      <w:rPr>
        <w:rFonts w:hint="default"/>
      </w:rPr>
    </w:lvl>
    <w:lvl w:ilvl="5">
      <w:start w:val="1"/>
      <w:numFmt w:val="bullet"/>
      <w:lvlText w:val="•"/>
      <w:lvlJc w:val="left"/>
      <w:pPr>
        <w:ind w:left="2599" w:hanging="360"/>
      </w:pPr>
      <w:rPr>
        <w:rFonts w:hint="default"/>
      </w:rPr>
    </w:lvl>
    <w:lvl w:ilvl="6">
      <w:start w:val="1"/>
      <w:numFmt w:val="bullet"/>
      <w:lvlText w:val="•"/>
      <w:lvlJc w:val="left"/>
      <w:pPr>
        <w:ind w:left="4007" w:hanging="360"/>
      </w:pPr>
      <w:rPr>
        <w:rFonts w:hint="default"/>
      </w:rPr>
    </w:lvl>
    <w:lvl w:ilvl="7">
      <w:start w:val="1"/>
      <w:numFmt w:val="bullet"/>
      <w:lvlText w:val="•"/>
      <w:lvlJc w:val="left"/>
      <w:pPr>
        <w:ind w:left="5415" w:hanging="360"/>
      </w:pPr>
      <w:rPr>
        <w:rFonts w:hint="default"/>
      </w:rPr>
    </w:lvl>
    <w:lvl w:ilvl="8">
      <w:start w:val="1"/>
      <w:numFmt w:val="bullet"/>
      <w:lvlText w:val="•"/>
      <w:lvlJc w:val="left"/>
      <w:pPr>
        <w:ind w:left="6823" w:hanging="360"/>
      </w:pPr>
      <w:rPr>
        <w:rFonts w:hint="default"/>
      </w:rPr>
    </w:lvl>
  </w:abstractNum>
  <w:abstractNum w:abstractNumId="52" w15:restartNumberingAfterBreak="0">
    <w:nsid w:val="6640024E"/>
    <w:multiLevelType w:val="hybridMultilevel"/>
    <w:tmpl w:val="2E1C354A"/>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53" w15:restartNumberingAfterBreak="0">
    <w:nsid w:val="673D67E2"/>
    <w:multiLevelType w:val="hybridMultilevel"/>
    <w:tmpl w:val="285C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D568E4"/>
    <w:multiLevelType w:val="hybridMultilevel"/>
    <w:tmpl w:val="2A7C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C778DF"/>
    <w:multiLevelType w:val="multilevel"/>
    <w:tmpl w:val="3216CB7E"/>
    <w:lvl w:ilvl="0">
      <w:start w:val="1"/>
      <w:numFmt w:val="upperLetter"/>
      <w:lvlText w:val="%1"/>
      <w:lvlJc w:val="left"/>
      <w:pPr>
        <w:ind w:left="831" w:hanging="720"/>
      </w:pPr>
      <w:rPr>
        <w:rFonts w:hint="default"/>
      </w:rPr>
    </w:lvl>
    <w:lvl w:ilvl="1">
      <w:start w:val="3"/>
      <w:numFmt w:val="decimal"/>
      <w:lvlText w:val="%1.%2"/>
      <w:lvlJc w:val="left"/>
      <w:pPr>
        <w:ind w:left="831" w:hanging="720"/>
      </w:pPr>
      <w:rPr>
        <w:rFonts w:ascii="Times New Roman" w:eastAsia="Times New Roman" w:hAnsi="Times New Roman" w:hint="default"/>
        <w:b/>
        <w:bCs/>
        <w:spacing w:val="-1"/>
        <w:sz w:val="24"/>
        <w:szCs w:val="24"/>
      </w:rPr>
    </w:lvl>
    <w:lvl w:ilvl="2">
      <w:start w:val="1"/>
      <w:numFmt w:val="bullet"/>
      <w:lvlText w:val="•"/>
      <w:lvlJc w:val="left"/>
      <w:pPr>
        <w:ind w:left="2596" w:hanging="720"/>
      </w:pPr>
      <w:rPr>
        <w:rFonts w:hint="default"/>
      </w:rPr>
    </w:lvl>
    <w:lvl w:ilvl="3">
      <w:start w:val="1"/>
      <w:numFmt w:val="bullet"/>
      <w:lvlText w:val="•"/>
      <w:lvlJc w:val="left"/>
      <w:pPr>
        <w:ind w:left="3479" w:hanging="720"/>
      </w:pPr>
      <w:rPr>
        <w:rFonts w:hint="default"/>
      </w:rPr>
    </w:lvl>
    <w:lvl w:ilvl="4">
      <w:start w:val="1"/>
      <w:numFmt w:val="bullet"/>
      <w:lvlText w:val="•"/>
      <w:lvlJc w:val="left"/>
      <w:pPr>
        <w:ind w:left="4362" w:hanging="720"/>
      </w:pPr>
      <w:rPr>
        <w:rFonts w:hint="default"/>
      </w:rPr>
    </w:lvl>
    <w:lvl w:ilvl="5">
      <w:start w:val="1"/>
      <w:numFmt w:val="bullet"/>
      <w:lvlText w:val="•"/>
      <w:lvlJc w:val="left"/>
      <w:pPr>
        <w:ind w:left="5245" w:hanging="720"/>
      </w:pPr>
      <w:rPr>
        <w:rFonts w:hint="default"/>
      </w:rPr>
    </w:lvl>
    <w:lvl w:ilvl="6">
      <w:start w:val="1"/>
      <w:numFmt w:val="bullet"/>
      <w:lvlText w:val="•"/>
      <w:lvlJc w:val="left"/>
      <w:pPr>
        <w:ind w:left="6128" w:hanging="720"/>
      </w:pPr>
      <w:rPr>
        <w:rFonts w:hint="default"/>
      </w:rPr>
    </w:lvl>
    <w:lvl w:ilvl="7">
      <w:start w:val="1"/>
      <w:numFmt w:val="bullet"/>
      <w:lvlText w:val="•"/>
      <w:lvlJc w:val="left"/>
      <w:pPr>
        <w:ind w:left="7011" w:hanging="720"/>
      </w:pPr>
      <w:rPr>
        <w:rFonts w:hint="default"/>
      </w:rPr>
    </w:lvl>
    <w:lvl w:ilvl="8">
      <w:start w:val="1"/>
      <w:numFmt w:val="bullet"/>
      <w:lvlText w:val="•"/>
      <w:lvlJc w:val="left"/>
      <w:pPr>
        <w:ind w:left="7894" w:hanging="720"/>
      </w:pPr>
      <w:rPr>
        <w:rFonts w:hint="default"/>
      </w:rPr>
    </w:lvl>
  </w:abstractNum>
  <w:abstractNum w:abstractNumId="56" w15:restartNumberingAfterBreak="0">
    <w:nsid w:val="778A4A77"/>
    <w:multiLevelType w:val="hybridMultilevel"/>
    <w:tmpl w:val="E3F4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2A1391"/>
    <w:multiLevelType w:val="hybridMultilevel"/>
    <w:tmpl w:val="E2E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B34316"/>
    <w:multiLevelType w:val="multilevel"/>
    <w:tmpl w:val="45EAA21E"/>
    <w:lvl w:ilvl="0">
      <w:start w:val="1"/>
      <w:numFmt w:val="upperLetter"/>
      <w:lvlText w:val="%1"/>
      <w:lvlJc w:val="left"/>
      <w:pPr>
        <w:ind w:left="911" w:hanging="720"/>
      </w:pPr>
      <w:rPr>
        <w:rFonts w:hint="default"/>
      </w:rPr>
    </w:lvl>
    <w:lvl w:ilvl="1">
      <w:start w:val="2"/>
      <w:numFmt w:val="decimal"/>
      <w:lvlText w:val="%1.%2"/>
      <w:lvlJc w:val="left"/>
      <w:pPr>
        <w:ind w:left="911" w:hanging="720"/>
      </w:pPr>
      <w:rPr>
        <w:rFonts w:hint="default"/>
      </w:rPr>
    </w:lvl>
    <w:lvl w:ilvl="2">
      <w:start w:val="1"/>
      <w:numFmt w:val="decimal"/>
      <w:lvlText w:val="%1.%2.%3"/>
      <w:lvlJc w:val="left"/>
      <w:pPr>
        <w:ind w:left="1350" w:hanging="720"/>
        <w:jc w:val="right"/>
      </w:pPr>
      <w:rPr>
        <w:rFonts w:ascii="Times New Roman" w:eastAsia="Times New Roman" w:hAnsi="Times New Roman" w:hint="default"/>
        <w:b/>
        <w:bCs/>
        <w:spacing w:val="-1"/>
        <w:sz w:val="24"/>
        <w:szCs w:val="24"/>
      </w:rPr>
    </w:lvl>
    <w:lvl w:ilvl="3">
      <w:start w:val="1"/>
      <w:numFmt w:val="bullet"/>
      <w:lvlText w:val="•"/>
      <w:lvlJc w:val="left"/>
      <w:pPr>
        <w:ind w:left="3553" w:hanging="720"/>
      </w:pPr>
      <w:rPr>
        <w:rFonts w:hint="default"/>
      </w:rPr>
    </w:lvl>
    <w:lvl w:ilvl="4">
      <w:start w:val="1"/>
      <w:numFmt w:val="bullet"/>
      <w:lvlText w:val="•"/>
      <w:lvlJc w:val="left"/>
      <w:pPr>
        <w:ind w:left="4434" w:hanging="720"/>
      </w:pPr>
      <w:rPr>
        <w:rFonts w:hint="default"/>
      </w:rPr>
    </w:lvl>
    <w:lvl w:ilvl="5">
      <w:start w:val="1"/>
      <w:numFmt w:val="bullet"/>
      <w:lvlText w:val="•"/>
      <w:lvlJc w:val="left"/>
      <w:pPr>
        <w:ind w:left="5315" w:hanging="720"/>
      </w:pPr>
      <w:rPr>
        <w:rFonts w:hint="default"/>
      </w:rPr>
    </w:lvl>
    <w:lvl w:ilvl="6">
      <w:start w:val="1"/>
      <w:numFmt w:val="bullet"/>
      <w:lvlText w:val="•"/>
      <w:lvlJc w:val="left"/>
      <w:pPr>
        <w:ind w:left="6196"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7958" w:hanging="720"/>
      </w:pPr>
      <w:rPr>
        <w:rFonts w:hint="default"/>
      </w:rPr>
    </w:lvl>
  </w:abstractNum>
  <w:num w:numId="1">
    <w:abstractNumId w:val="31"/>
  </w:num>
  <w:num w:numId="2">
    <w:abstractNumId w:val="17"/>
  </w:num>
  <w:num w:numId="3">
    <w:abstractNumId w:val="33"/>
  </w:num>
  <w:num w:numId="4">
    <w:abstractNumId w:val="55"/>
  </w:num>
  <w:num w:numId="5">
    <w:abstractNumId w:val="35"/>
  </w:num>
  <w:num w:numId="6">
    <w:abstractNumId w:val="58"/>
  </w:num>
  <w:num w:numId="7">
    <w:abstractNumId w:val="13"/>
  </w:num>
  <w:num w:numId="8">
    <w:abstractNumId w:val="29"/>
  </w:num>
  <w:num w:numId="9">
    <w:abstractNumId w:val="42"/>
  </w:num>
  <w:num w:numId="10">
    <w:abstractNumId w:val="46"/>
  </w:num>
  <w:num w:numId="11">
    <w:abstractNumId w:val="28"/>
  </w:num>
  <w:num w:numId="12">
    <w:abstractNumId w:val="47"/>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startOverride w:val="1"/>
    </w:lvlOverride>
  </w:num>
  <w:num w:numId="25">
    <w:abstractNumId w:val="14"/>
  </w:num>
  <w:num w:numId="26">
    <w:abstractNumId w:val="24"/>
  </w:num>
  <w:num w:numId="27">
    <w:abstractNumId w:val="11"/>
  </w:num>
  <w:num w:numId="28">
    <w:abstractNumId w:val="32"/>
  </w:num>
  <w:num w:numId="29">
    <w:abstractNumId w:val="50"/>
  </w:num>
  <w:num w:numId="30">
    <w:abstractNumId w:val="19"/>
  </w:num>
  <w:num w:numId="31">
    <w:abstractNumId w:val="56"/>
  </w:num>
  <w:num w:numId="32">
    <w:abstractNumId w:val="20"/>
  </w:num>
  <w:num w:numId="33">
    <w:abstractNumId w:val="52"/>
  </w:num>
  <w:num w:numId="34">
    <w:abstractNumId w:val="38"/>
  </w:num>
  <w:num w:numId="35">
    <w:abstractNumId w:val="37"/>
  </w:num>
  <w:num w:numId="36">
    <w:abstractNumId w:val="36"/>
  </w:num>
  <w:num w:numId="37">
    <w:abstractNumId w:val="16"/>
  </w:num>
  <w:num w:numId="38">
    <w:abstractNumId w:val="10"/>
  </w:num>
  <w:num w:numId="39">
    <w:abstractNumId w:val="26"/>
  </w:num>
  <w:num w:numId="40">
    <w:abstractNumId w:val="51"/>
  </w:num>
  <w:num w:numId="41">
    <w:abstractNumId w:val="30"/>
  </w:num>
  <w:num w:numId="42">
    <w:abstractNumId w:val="43"/>
  </w:num>
  <w:num w:numId="43">
    <w:abstractNumId w:val="39"/>
  </w:num>
  <w:num w:numId="44">
    <w:abstractNumId w:val="23"/>
  </w:num>
  <w:num w:numId="45">
    <w:abstractNumId w:val="18"/>
  </w:num>
  <w:num w:numId="46">
    <w:abstractNumId w:val="44"/>
  </w:num>
  <w:num w:numId="47">
    <w:abstractNumId w:val="25"/>
  </w:num>
  <w:num w:numId="48">
    <w:abstractNumId w:val="48"/>
  </w:num>
  <w:num w:numId="49">
    <w:abstractNumId w:val="34"/>
  </w:num>
  <w:num w:numId="50">
    <w:abstractNumId w:val="15"/>
  </w:num>
  <w:num w:numId="51">
    <w:abstractNumId w:val="22"/>
  </w:num>
  <w:num w:numId="52">
    <w:abstractNumId w:val="40"/>
  </w:num>
  <w:num w:numId="53">
    <w:abstractNumId w:val="27"/>
  </w:num>
  <w:num w:numId="54">
    <w:abstractNumId w:val="21"/>
  </w:num>
  <w:num w:numId="55">
    <w:abstractNumId w:val="41"/>
  </w:num>
  <w:num w:numId="56">
    <w:abstractNumId w:val="57"/>
  </w:num>
  <w:num w:numId="57">
    <w:abstractNumId w:val="53"/>
  </w:num>
  <w:num w:numId="58">
    <w:abstractNumId w:val="49"/>
  </w:num>
  <w:num w:numId="59">
    <w:abstractNumId w:val="54"/>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62"/>
    <w:rsid w:val="00000734"/>
    <w:rsid w:val="0000250A"/>
    <w:rsid w:val="000029E8"/>
    <w:rsid w:val="00002F3C"/>
    <w:rsid w:val="000037F4"/>
    <w:rsid w:val="0001691A"/>
    <w:rsid w:val="00021E7A"/>
    <w:rsid w:val="00027572"/>
    <w:rsid w:val="00031C79"/>
    <w:rsid w:val="00034FBD"/>
    <w:rsid w:val="00037472"/>
    <w:rsid w:val="00037820"/>
    <w:rsid w:val="0004040B"/>
    <w:rsid w:val="00044100"/>
    <w:rsid w:val="00046CA0"/>
    <w:rsid w:val="000510F5"/>
    <w:rsid w:val="00055502"/>
    <w:rsid w:val="0006292A"/>
    <w:rsid w:val="00064321"/>
    <w:rsid w:val="00064FE4"/>
    <w:rsid w:val="000654D0"/>
    <w:rsid w:val="00065BD7"/>
    <w:rsid w:val="000664E3"/>
    <w:rsid w:val="00067ABD"/>
    <w:rsid w:val="00072CF7"/>
    <w:rsid w:val="00076237"/>
    <w:rsid w:val="00081A5A"/>
    <w:rsid w:val="00083913"/>
    <w:rsid w:val="00085F1D"/>
    <w:rsid w:val="00087D22"/>
    <w:rsid w:val="000901F4"/>
    <w:rsid w:val="00091742"/>
    <w:rsid w:val="000942FC"/>
    <w:rsid w:val="000973BB"/>
    <w:rsid w:val="000A2014"/>
    <w:rsid w:val="000A2521"/>
    <w:rsid w:val="000A65EE"/>
    <w:rsid w:val="000B2101"/>
    <w:rsid w:val="000B3961"/>
    <w:rsid w:val="000B5496"/>
    <w:rsid w:val="000B5D63"/>
    <w:rsid w:val="000C022F"/>
    <w:rsid w:val="000C04CA"/>
    <w:rsid w:val="000C14FD"/>
    <w:rsid w:val="000C43F4"/>
    <w:rsid w:val="000D0385"/>
    <w:rsid w:val="000D3F18"/>
    <w:rsid w:val="000D5992"/>
    <w:rsid w:val="000E142B"/>
    <w:rsid w:val="000E352A"/>
    <w:rsid w:val="000E5AE9"/>
    <w:rsid w:val="000E5B5F"/>
    <w:rsid w:val="000F0343"/>
    <w:rsid w:val="000F08AD"/>
    <w:rsid w:val="000F0ED9"/>
    <w:rsid w:val="000F1814"/>
    <w:rsid w:val="000F18A1"/>
    <w:rsid w:val="000F7CE7"/>
    <w:rsid w:val="00110294"/>
    <w:rsid w:val="00112681"/>
    <w:rsid w:val="0011446F"/>
    <w:rsid w:val="00114B77"/>
    <w:rsid w:val="00116B15"/>
    <w:rsid w:val="00116B8C"/>
    <w:rsid w:val="001179F9"/>
    <w:rsid w:val="00117FA8"/>
    <w:rsid w:val="001230B6"/>
    <w:rsid w:val="00123689"/>
    <w:rsid w:val="00131AA0"/>
    <w:rsid w:val="00133DD5"/>
    <w:rsid w:val="001368E6"/>
    <w:rsid w:val="00136A1D"/>
    <w:rsid w:val="00137E7A"/>
    <w:rsid w:val="001403E5"/>
    <w:rsid w:val="00140838"/>
    <w:rsid w:val="0014176F"/>
    <w:rsid w:val="00144811"/>
    <w:rsid w:val="00145C52"/>
    <w:rsid w:val="00150F75"/>
    <w:rsid w:val="001531C4"/>
    <w:rsid w:val="00153240"/>
    <w:rsid w:val="00155444"/>
    <w:rsid w:val="001563CF"/>
    <w:rsid w:val="00156971"/>
    <w:rsid w:val="0016085D"/>
    <w:rsid w:val="00161429"/>
    <w:rsid w:val="00161A69"/>
    <w:rsid w:val="001624E8"/>
    <w:rsid w:val="00164349"/>
    <w:rsid w:val="00166A7C"/>
    <w:rsid w:val="00171B29"/>
    <w:rsid w:val="00172663"/>
    <w:rsid w:val="00173A21"/>
    <w:rsid w:val="0017639B"/>
    <w:rsid w:val="00176A9C"/>
    <w:rsid w:val="001772B8"/>
    <w:rsid w:val="00185315"/>
    <w:rsid w:val="001859A6"/>
    <w:rsid w:val="0019094D"/>
    <w:rsid w:val="00191E4A"/>
    <w:rsid w:val="001954A4"/>
    <w:rsid w:val="001975D9"/>
    <w:rsid w:val="001A6466"/>
    <w:rsid w:val="001A65BA"/>
    <w:rsid w:val="001B0030"/>
    <w:rsid w:val="001B059B"/>
    <w:rsid w:val="001B0D80"/>
    <w:rsid w:val="001B27E7"/>
    <w:rsid w:val="001B30CA"/>
    <w:rsid w:val="001B617D"/>
    <w:rsid w:val="001B6621"/>
    <w:rsid w:val="001C0BD0"/>
    <w:rsid w:val="001C0F11"/>
    <w:rsid w:val="001C10F7"/>
    <w:rsid w:val="001C1EAC"/>
    <w:rsid w:val="001C3F80"/>
    <w:rsid w:val="001C7178"/>
    <w:rsid w:val="001D398B"/>
    <w:rsid w:val="001D3CF4"/>
    <w:rsid w:val="001D7A8C"/>
    <w:rsid w:val="001E0327"/>
    <w:rsid w:val="001E0E19"/>
    <w:rsid w:val="001E30A5"/>
    <w:rsid w:val="001E7C0C"/>
    <w:rsid w:val="001F1C26"/>
    <w:rsid w:val="001F2DE8"/>
    <w:rsid w:val="001F3E4E"/>
    <w:rsid w:val="001F4117"/>
    <w:rsid w:val="001F48E3"/>
    <w:rsid w:val="001F57C1"/>
    <w:rsid w:val="001F5A82"/>
    <w:rsid w:val="001F5E5E"/>
    <w:rsid w:val="002004A0"/>
    <w:rsid w:val="00201FFA"/>
    <w:rsid w:val="00205907"/>
    <w:rsid w:val="00215424"/>
    <w:rsid w:val="00216D35"/>
    <w:rsid w:val="00221AA2"/>
    <w:rsid w:val="00222F3C"/>
    <w:rsid w:val="0022580F"/>
    <w:rsid w:val="00225895"/>
    <w:rsid w:val="00231F7E"/>
    <w:rsid w:val="00233C6D"/>
    <w:rsid w:val="00234805"/>
    <w:rsid w:val="00235DE2"/>
    <w:rsid w:val="0024247E"/>
    <w:rsid w:val="002429C1"/>
    <w:rsid w:val="0024460D"/>
    <w:rsid w:val="002451C9"/>
    <w:rsid w:val="00250C9C"/>
    <w:rsid w:val="00251BE0"/>
    <w:rsid w:val="00252727"/>
    <w:rsid w:val="00254E18"/>
    <w:rsid w:val="002608D4"/>
    <w:rsid w:val="00261B0B"/>
    <w:rsid w:val="00265597"/>
    <w:rsid w:val="0026593B"/>
    <w:rsid w:val="0027273A"/>
    <w:rsid w:val="00272D0A"/>
    <w:rsid w:val="00277142"/>
    <w:rsid w:val="002816AA"/>
    <w:rsid w:val="00283C59"/>
    <w:rsid w:val="00287D72"/>
    <w:rsid w:val="00292251"/>
    <w:rsid w:val="002944F4"/>
    <w:rsid w:val="0029460A"/>
    <w:rsid w:val="00297638"/>
    <w:rsid w:val="002A1037"/>
    <w:rsid w:val="002A19BF"/>
    <w:rsid w:val="002A36D8"/>
    <w:rsid w:val="002A54E2"/>
    <w:rsid w:val="002B0857"/>
    <w:rsid w:val="002B4681"/>
    <w:rsid w:val="002B5BB6"/>
    <w:rsid w:val="002C1325"/>
    <w:rsid w:val="002C1698"/>
    <w:rsid w:val="002C418A"/>
    <w:rsid w:val="002C5109"/>
    <w:rsid w:val="002C53E8"/>
    <w:rsid w:val="002C74FC"/>
    <w:rsid w:val="002C7D5D"/>
    <w:rsid w:val="002D098D"/>
    <w:rsid w:val="002D0CE9"/>
    <w:rsid w:val="002D177D"/>
    <w:rsid w:val="002D2B72"/>
    <w:rsid w:val="002D32E7"/>
    <w:rsid w:val="002D4A7C"/>
    <w:rsid w:val="002D5D12"/>
    <w:rsid w:val="002D6DF5"/>
    <w:rsid w:val="002D73B8"/>
    <w:rsid w:val="002E0958"/>
    <w:rsid w:val="002E0C04"/>
    <w:rsid w:val="002E1002"/>
    <w:rsid w:val="002F12CF"/>
    <w:rsid w:val="002F2F6F"/>
    <w:rsid w:val="002F3211"/>
    <w:rsid w:val="002F37A6"/>
    <w:rsid w:val="002F7BD9"/>
    <w:rsid w:val="003010C1"/>
    <w:rsid w:val="003022B5"/>
    <w:rsid w:val="00306664"/>
    <w:rsid w:val="00306B83"/>
    <w:rsid w:val="00310B3E"/>
    <w:rsid w:val="00311AEB"/>
    <w:rsid w:val="00312068"/>
    <w:rsid w:val="003165CB"/>
    <w:rsid w:val="00316B58"/>
    <w:rsid w:val="00317EE0"/>
    <w:rsid w:val="00322EBE"/>
    <w:rsid w:val="00330AD5"/>
    <w:rsid w:val="00332099"/>
    <w:rsid w:val="003338B2"/>
    <w:rsid w:val="00342B07"/>
    <w:rsid w:val="00343CB6"/>
    <w:rsid w:val="00344E40"/>
    <w:rsid w:val="0034508F"/>
    <w:rsid w:val="00346925"/>
    <w:rsid w:val="0035026F"/>
    <w:rsid w:val="00350365"/>
    <w:rsid w:val="00350B3A"/>
    <w:rsid w:val="0035375F"/>
    <w:rsid w:val="0035494E"/>
    <w:rsid w:val="00354EF3"/>
    <w:rsid w:val="00356A29"/>
    <w:rsid w:val="00356F84"/>
    <w:rsid w:val="00362D12"/>
    <w:rsid w:val="00363F12"/>
    <w:rsid w:val="00364871"/>
    <w:rsid w:val="003649EF"/>
    <w:rsid w:val="00364EAB"/>
    <w:rsid w:val="00365D81"/>
    <w:rsid w:val="00371402"/>
    <w:rsid w:val="00371570"/>
    <w:rsid w:val="003737E0"/>
    <w:rsid w:val="00375086"/>
    <w:rsid w:val="00375DA7"/>
    <w:rsid w:val="00375F1D"/>
    <w:rsid w:val="003824DA"/>
    <w:rsid w:val="00382B2F"/>
    <w:rsid w:val="00382E80"/>
    <w:rsid w:val="00385BC9"/>
    <w:rsid w:val="003873BF"/>
    <w:rsid w:val="00390BB8"/>
    <w:rsid w:val="00393B33"/>
    <w:rsid w:val="003A4539"/>
    <w:rsid w:val="003A5408"/>
    <w:rsid w:val="003A72CA"/>
    <w:rsid w:val="003A78E4"/>
    <w:rsid w:val="003B1C78"/>
    <w:rsid w:val="003B209C"/>
    <w:rsid w:val="003B43C7"/>
    <w:rsid w:val="003B54C8"/>
    <w:rsid w:val="003B714E"/>
    <w:rsid w:val="003C168E"/>
    <w:rsid w:val="003C2508"/>
    <w:rsid w:val="003C258B"/>
    <w:rsid w:val="003C4EEA"/>
    <w:rsid w:val="003C4F77"/>
    <w:rsid w:val="003C6398"/>
    <w:rsid w:val="003C649F"/>
    <w:rsid w:val="003C7A47"/>
    <w:rsid w:val="003D5F37"/>
    <w:rsid w:val="003D78DE"/>
    <w:rsid w:val="003E0C1D"/>
    <w:rsid w:val="003E1136"/>
    <w:rsid w:val="003E1A2A"/>
    <w:rsid w:val="003E5565"/>
    <w:rsid w:val="003E6551"/>
    <w:rsid w:val="003E6CF8"/>
    <w:rsid w:val="003E6DFB"/>
    <w:rsid w:val="003E6FCB"/>
    <w:rsid w:val="003F279A"/>
    <w:rsid w:val="003F6D7C"/>
    <w:rsid w:val="00404FE1"/>
    <w:rsid w:val="00405589"/>
    <w:rsid w:val="00410F0C"/>
    <w:rsid w:val="004135C7"/>
    <w:rsid w:val="004155FA"/>
    <w:rsid w:val="00415B85"/>
    <w:rsid w:val="0042072B"/>
    <w:rsid w:val="0042073B"/>
    <w:rsid w:val="0042122A"/>
    <w:rsid w:val="00422B1D"/>
    <w:rsid w:val="004249AF"/>
    <w:rsid w:val="00424CDA"/>
    <w:rsid w:val="00430C99"/>
    <w:rsid w:val="00431287"/>
    <w:rsid w:val="004332FC"/>
    <w:rsid w:val="0043342E"/>
    <w:rsid w:val="00435B7B"/>
    <w:rsid w:val="004424A8"/>
    <w:rsid w:val="00442B61"/>
    <w:rsid w:val="00442D7B"/>
    <w:rsid w:val="00444A2A"/>
    <w:rsid w:val="004459B7"/>
    <w:rsid w:val="004539D1"/>
    <w:rsid w:val="00454149"/>
    <w:rsid w:val="00455DC0"/>
    <w:rsid w:val="004570D7"/>
    <w:rsid w:val="0046398D"/>
    <w:rsid w:val="004639E2"/>
    <w:rsid w:val="0046478F"/>
    <w:rsid w:val="00471944"/>
    <w:rsid w:val="00471C38"/>
    <w:rsid w:val="00471DE0"/>
    <w:rsid w:val="00471EF7"/>
    <w:rsid w:val="00474754"/>
    <w:rsid w:val="004775C0"/>
    <w:rsid w:val="00477B2C"/>
    <w:rsid w:val="0048069D"/>
    <w:rsid w:val="004829CE"/>
    <w:rsid w:val="00482DB4"/>
    <w:rsid w:val="0048799E"/>
    <w:rsid w:val="004929CE"/>
    <w:rsid w:val="00493D6D"/>
    <w:rsid w:val="00494A45"/>
    <w:rsid w:val="004956E0"/>
    <w:rsid w:val="00497223"/>
    <w:rsid w:val="00497EEF"/>
    <w:rsid w:val="004A388F"/>
    <w:rsid w:val="004A5A52"/>
    <w:rsid w:val="004B41E9"/>
    <w:rsid w:val="004B749C"/>
    <w:rsid w:val="004C0F5F"/>
    <w:rsid w:val="004C1AD2"/>
    <w:rsid w:val="004C29C6"/>
    <w:rsid w:val="004C5D86"/>
    <w:rsid w:val="004C6402"/>
    <w:rsid w:val="004D062E"/>
    <w:rsid w:val="004D6299"/>
    <w:rsid w:val="004D7AA3"/>
    <w:rsid w:val="004E1571"/>
    <w:rsid w:val="004E4274"/>
    <w:rsid w:val="004E5206"/>
    <w:rsid w:val="004E5EC1"/>
    <w:rsid w:val="004E618B"/>
    <w:rsid w:val="004F0F52"/>
    <w:rsid w:val="004F4517"/>
    <w:rsid w:val="004F5736"/>
    <w:rsid w:val="00501D8F"/>
    <w:rsid w:val="005074FC"/>
    <w:rsid w:val="00507DAD"/>
    <w:rsid w:val="00510015"/>
    <w:rsid w:val="00510233"/>
    <w:rsid w:val="00510E99"/>
    <w:rsid w:val="0051155A"/>
    <w:rsid w:val="005158DA"/>
    <w:rsid w:val="0051759E"/>
    <w:rsid w:val="0052177D"/>
    <w:rsid w:val="0052437D"/>
    <w:rsid w:val="00524C51"/>
    <w:rsid w:val="005275DF"/>
    <w:rsid w:val="00530F4E"/>
    <w:rsid w:val="005316B5"/>
    <w:rsid w:val="00535210"/>
    <w:rsid w:val="0053714D"/>
    <w:rsid w:val="00540CED"/>
    <w:rsid w:val="0054470E"/>
    <w:rsid w:val="00545540"/>
    <w:rsid w:val="005462B4"/>
    <w:rsid w:val="005464E4"/>
    <w:rsid w:val="00547C8C"/>
    <w:rsid w:val="00552A35"/>
    <w:rsid w:val="005540E4"/>
    <w:rsid w:val="005576BA"/>
    <w:rsid w:val="005668B2"/>
    <w:rsid w:val="0057193A"/>
    <w:rsid w:val="005734B7"/>
    <w:rsid w:val="0057353B"/>
    <w:rsid w:val="00584879"/>
    <w:rsid w:val="0058490F"/>
    <w:rsid w:val="00585A38"/>
    <w:rsid w:val="00587AAE"/>
    <w:rsid w:val="00587FD4"/>
    <w:rsid w:val="00596937"/>
    <w:rsid w:val="005A57F8"/>
    <w:rsid w:val="005B31E4"/>
    <w:rsid w:val="005B3D40"/>
    <w:rsid w:val="005B4C3C"/>
    <w:rsid w:val="005B54D0"/>
    <w:rsid w:val="005C0523"/>
    <w:rsid w:val="005C241E"/>
    <w:rsid w:val="005C55F7"/>
    <w:rsid w:val="005D64E0"/>
    <w:rsid w:val="005E1E16"/>
    <w:rsid w:val="005E6445"/>
    <w:rsid w:val="005F006B"/>
    <w:rsid w:val="005F0264"/>
    <w:rsid w:val="005F604A"/>
    <w:rsid w:val="005F7455"/>
    <w:rsid w:val="005F7C62"/>
    <w:rsid w:val="00600F23"/>
    <w:rsid w:val="006014F0"/>
    <w:rsid w:val="00603241"/>
    <w:rsid w:val="006106DD"/>
    <w:rsid w:val="0061211F"/>
    <w:rsid w:val="00614156"/>
    <w:rsid w:val="00615941"/>
    <w:rsid w:val="00616BF7"/>
    <w:rsid w:val="00620BCC"/>
    <w:rsid w:val="006246DA"/>
    <w:rsid w:val="00633641"/>
    <w:rsid w:val="006344F1"/>
    <w:rsid w:val="0063584D"/>
    <w:rsid w:val="006366CC"/>
    <w:rsid w:val="0063765E"/>
    <w:rsid w:val="00637CE2"/>
    <w:rsid w:val="00641D33"/>
    <w:rsid w:val="0064288C"/>
    <w:rsid w:val="00651F1A"/>
    <w:rsid w:val="006525B7"/>
    <w:rsid w:val="00652F60"/>
    <w:rsid w:val="00660515"/>
    <w:rsid w:val="00662BAC"/>
    <w:rsid w:val="00662DD8"/>
    <w:rsid w:val="006647D8"/>
    <w:rsid w:val="006659A4"/>
    <w:rsid w:val="0067400A"/>
    <w:rsid w:val="006745A7"/>
    <w:rsid w:val="006752FC"/>
    <w:rsid w:val="00675621"/>
    <w:rsid w:val="00677440"/>
    <w:rsid w:val="00682840"/>
    <w:rsid w:val="006837C7"/>
    <w:rsid w:val="006840DA"/>
    <w:rsid w:val="00684562"/>
    <w:rsid w:val="00684772"/>
    <w:rsid w:val="006851CA"/>
    <w:rsid w:val="00693763"/>
    <w:rsid w:val="006976DA"/>
    <w:rsid w:val="006A1418"/>
    <w:rsid w:val="006A44FC"/>
    <w:rsid w:val="006A657C"/>
    <w:rsid w:val="006A6D71"/>
    <w:rsid w:val="006A744C"/>
    <w:rsid w:val="006A791E"/>
    <w:rsid w:val="006A7DF5"/>
    <w:rsid w:val="006B5630"/>
    <w:rsid w:val="006B5E66"/>
    <w:rsid w:val="006B6A4B"/>
    <w:rsid w:val="006B6EC4"/>
    <w:rsid w:val="006B7A4A"/>
    <w:rsid w:val="006C3291"/>
    <w:rsid w:val="006C4365"/>
    <w:rsid w:val="006D1A0F"/>
    <w:rsid w:val="006D5CFB"/>
    <w:rsid w:val="006E0EC0"/>
    <w:rsid w:val="006E5F6A"/>
    <w:rsid w:val="006E7B43"/>
    <w:rsid w:val="006F317D"/>
    <w:rsid w:val="006F3877"/>
    <w:rsid w:val="006F39D5"/>
    <w:rsid w:val="006F6B9C"/>
    <w:rsid w:val="006F714E"/>
    <w:rsid w:val="006F71AC"/>
    <w:rsid w:val="00701A76"/>
    <w:rsid w:val="00702674"/>
    <w:rsid w:val="007034E9"/>
    <w:rsid w:val="007044A5"/>
    <w:rsid w:val="007057A2"/>
    <w:rsid w:val="00712438"/>
    <w:rsid w:val="00714B8B"/>
    <w:rsid w:val="00716059"/>
    <w:rsid w:val="007161B1"/>
    <w:rsid w:val="007169F2"/>
    <w:rsid w:val="00721C79"/>
    <w:rsid w:val="007221FA"/>
    <w:rsid w:val="00723AA0"/>
    <w:rsid w:val="00725E47"/>
    <w:rsid w:val="00730194"/>
    <w:rsid w:val="00730F1F"/>
    <w:rsid w:val="00740CC5"/>
    <w:rsid w:val="00742661"/>
    <w:rsid w:val="00743F80"/>
    <w:rsid w:val="007446C2"/>
    <w:rsid w:val="0075140D"/>
    <w:rsid w:val="00752361"/>
    <w:rsid w:val="00752548"/>
    <w:rsid w:val="00753E5E"/>
    <w:rsid w:val="007543E9"/>
    <w:rsid w:val="0075702A"/>
    <w:rsid w:val="007575DB"/>
    <w:rsid w:val="00757B12"/>
    <w:rsid w:val="0076410B"/>
    <w:rsid w:val="007660DA"/>
    <w:rsid w:val="00771CF4"/>
    <w:rsid w:val="00776676"/>
    <w:rsid w:val="00780046"/>
    <w:rsid w:val="0078136D"/>
    <w:rsid w:val="0079061E"/>
    <w:rsid w:val="00792CDF"/>
    <w:rsid w:val="007A0EF3"/>
    <w:rsid w:val="007A1672"/>
    <w:rsid w:val="007A1926"/>
    <w:rsid w:val="007C0F72"/>
    <w:rsid w:val="007C292D"/>
    <w:rsid w:val="007C3DAD"/>
    <w:rsid w:val="007C41DC"/>
    <w:rsid w:val="007D16F9"/>
    <w:rsid w:val="007D1ACD"/>
    <w:rsid w:val="007D250B"/>
    <w:rsid w:val="007D2BCB"/>
    <w:rsid w:val="007D58F8"/>
    <w:rsid w:val="007D7E1C"/>
    <w:rsid w:val="007E0467"/>
    <w:rsid w:val="007E1F4E"/>
    <w:rsid w:val="007E26E0"/>
    <w:rsid w:val="007E53F0"/>
    <w:rsid w:val="007E6373"/>
    <w:rsid w:val="007F11A7"/>
    <w:rsid w:val="007F1E3A"/>
    <w:rsid w:val="007F3B17"/>
    <w:rsid w:val="007F4EAE"/>
    <w:rsid w:val="00800A48"/>
    <w:rsid w:val="008020E0"/>
    <w:rsid w:val="008058E8"/>
    <w:rsid w:val="00815F28"/>
    <w:rsid w:val="008164C1"/>
    <w:rsid w:val="0082338B"/>
    <w:rsid w:val="00825B1F"/>
    <w:rsid w:val="00833718"/>
    <w:rsid w:val="00833985"/>
    <w:rsid w:val="0083451D"/>
    <w:rsid w:val="0083589F"/>
    <w:rsid w:val="00835A81"/>
    <w:rsid w:val="00844DAC"/>
    <w:rsid w:val="00847B4C"/>
    <w:rsid w:val="00855F5B"/>
    <w:rsid w:val="008576A6"/>
    <w:rsid w:val="00857FC4"/>
    <w:rsid w:val="008605CE"/>
    <w:rsid w:val="00861657"/>
    <w:rsid w:val="008637A9"/>
    <w:rsid w:val="00864C2D"/>
    <w:rsid w:val="00867B8D"/>
    <w:rsid w:val="008737B8"/>
    <w:rsid w:val="008762D3"/>
    <w:rsid w:val="008809CF"/>
    <w:rsid w:val="00883345"/>
    <w:rsid w:val="0088428C"/>
    <w:rsid w:val="008849F1"/>
    <w:rsid w:val="00890EEB"/>
    <w:rsid w:val="008939E3"/>
    <w:rsid w:val="00894A54"/>
    <w:rsid w:val="008A3D4D"/>
    <w:rsid w:val="008A48EB"/>
    <w:rsid w:val="008B082F"/>
    <w:rsid w:val="008B2E43"/>
    <w:rsid w:val="008B4060"/>
    <w:rsid w:val="008B4F9D"/>
    <w:rsid w:val="008B5C12"/>
    <w:rsid w:val="008C28D9"/>
    <w:rsid w:val="008C7340"/>
    <w:rsid w:val="008C752D"/>
    <w:rsid w:val="008D0167"/>
    <w:rsid w:val="008D1E97"/>
    <w:rsid w:val="008D25E0"/>
    <w:rsid w:val="008D4782"/>
    <w:rsid w:val="008D6E4B"/>
    <w:rsid w:val="008E022C"/>
    <w:rsid w:val="008E0CB6"/>
    <w:rsid w:val="008E5BF0"/>
    <w:rsid w:val="008E7FDA"/>
    <w:rsid w:val="0090108A"/>
    <w:rsid w:val="00904C99"/>
    <w:rsid w:val="009079F0"/>
    <w:rsid w:val="009114EA"/>
    <w:rsid w:val="009132B6"/>
    <w:rsid w:val="009152B7"/>
    <w:rsid w:val="0091593C"/>
    <w:rsid w:val="0091605A"/>
    <w:rsid w:val="00916353"/>
    <w:rsid w:val="00917B1F"/>
    <w:rsid w:val="00921BE5"/>
    <w:rsid w:val="00925638"/>
    <w:rsid w:val="00926E5B"/>
    <w:rsid w:val="0093181C"/>
    <w:rsid w:val="00932813"/>
    <w:rsid w:val="009331E9"/>
    <w:rsid w:val="0093383C"/>
    <w:rsid w:val="009452FB"/>
    <w:rsid w:val="009530F3"/>
    <w:rsid w:val="00954360"/>
    <w:rsid w:val="00957E3C"/>
    <w:rsid w:val="00961F42"/>
    <w:rsid w:val="009630A5"/>
    <w:rsid w:val="00963206"/>
    <w:rsid w:val="009633F9"/>
    <w:rsid w:val="00964BCE"/>
    <w:rsid w:val="009662D7"/>
    <w:rsid w:val="0097032C"/>
    <w:rsid w:val="00972634"/>
    <w:rsid w:val="00972911"/>
    <w:rsid w:val="0097374A"/>
    <w:rsid w:val="00975A4A"/>
    <w:rsid w:val="00986E0A"/>
    <w:rsid w:val="009922EA"/>
    <w:rsid w:val="00993CDC"/>
    <w:rsid w:val="00994D5F"/>
    <w:rsid w:val="009960EF"/>
    <w:rsid w:val="00996504"/>
    <w:rsid w:val="009A0B0C"/>
    <w:rsid w:val="009A3E60"/>
    <w:rsid w:val="009A5B5A"/>
    <w:rsid w:val="009A62F1"/>
    <w:rsid w:val="009B3611"/>
    <w:rsid w:val="009B5B0C"/>
    <w:rsid w:val="009B6740"/>
    <w:rsid w:val="009C08E1"/>
    <w:rsid w:val="009C1E93"/>
    <w:rsid w:val="009C34CC"/>
    <w:rsid w:val="009C4D98"/>
    <w:rsid w:val="009D254F"/>
    <w:rsid w:val="009D3205"/>
    <w:rsid w:val="009D4C90"/>
    <w:rsid w:val="009D5391"/>
    <w:rsid w:val="009D5F76"/>
    <w:rsid w:val="009E318F"/>
    <w:rsid w:val="009E66C1"/>
    <w:rsid w:val="009E697B"/>
    <w:rsid w:val="009F04FB"/>
    <w:rsid w:val="009F4BE5"/>
    <w:rsid w:val="009F7A6C"/>
    <w:rsid w:val="00A023FE"/>
    <w:rsid w:val="00A04DEF"/>
    <w:rsid w:val="00A12705"/>
    <w:rsid w:val="00A13A20"/>
    <w:rsid w:val="00A169DF"/>
    <w:rsid w:val="00A21684"/>
    <w:rsid w:val="00A27EA8"/>
    <w:rsid w:val="00A33CDE"/>
    <w:rsid w:val="00A377E8"/>
    <w:rsid w:val="00A4195B"/>
    <w:rsid w:val="00A43A4D"/>
    <w:rsid w:val="00A43C92"/>
    <w:rsid w:val="00A43FDC"/>
    <w:rsid w:val="00A50085"/>
    <w:rsid w:val="00A517D8"/>
    <w:rsid w:val="00A54505"/>
    <w:rsid w:val="00A571A6"/>
    <w:rsid w:val="00A574DE"/>
    <w:rsid w:val="00A612BA"/>
    <w:rsid w:val="00A62CFB"/>
    <w:rsid w:val="00A65414"/>
    <w:rsid w:val="00A70079"/>
    <w:rsid w:val="00A7120C"/>
    <w:rsid w:val="00A72CD2"/>
    <w:rsid w:val="00A75EE4"/>
    <w:rsid w:val="00A766D4"/>
    <w:rsid w:val="00A768DA"/>
    <w:rsid w:val="00A77014"/>
    <w:rsid w:val="00A833FF"/>
    <w:rsid w:val="00A84C0E"/>
    <w:rsid w:val="00A851BB"/>
    <w:rsid w:val="00A87BA9"/>
    <w:rsid w:val="00A905A9"/>
    <w:rsid w:val="00A9136E"/>
    <w:rsid w:val="00A97321"/>
    <w:rsid w:val="00A97C5A"/>
    <w:rsid w:val="00AA1470"/>
    <w:rsid w:val="00AA2131"/>
    <w:rsid w:val="00AA7262"/>
    <w:rsid w:val="00AA7CF0"/>
    <w:rsid w:val="00AB2BC9"/>
    <w:rsid w:val="00AB2C7B"/>
    <w:rsid w:val="00AB2F90"/>
    <w:rsid w:val="00AB43B1"/>
    <w:rsid w:val="00AB54A1"/>
    <w:rsid w:val="00AB7162"/>
    <w:rsid w:val="00AC0BC4"/>
    <w:rsid w:val="00AC164E"/>
    <w:rsid w:val="00AC2227"/>
    <w:rsid w:val="00AC5A4D"/>
    <w:rsid w:val="00AC5B9C"/>
    <w:rsid w:val="00AC6703"/>
    <w:rsid w:val="00AC7ADA"/>
    <w:rsid w:val="00AD19ED"/>
    <w:rsid w:val="00AD2005"/>
    <w:rsid w:val="00AD424C"/>
    <w:rsid w:val="00AD4785"/>
    <w:rsid w:val="00AD62FE"/>
    <w:rsid w:val="00AD7205"/>
    <w:rsid w:val="00AD7AA9"/>
    <w:rsid w:val="00AE00A2"/>
    <w:rsid w:val="00AE0272"/>
    <w:rsid w:val="00AE115C"/>
    <w:rsid w:val="00AE7692"/>
    <w:rsid w:val="00AF30C6"/>
    <w:rsid w:val="00AF423C"/>
    <w:rsid w:val="00AF473B"/>
    <w:rsid w:val="00AF4A4B"/>
    <w:rsid w:val="00AF58AA"/>
    <w:rsid w:val="00AF6A56"/>
    <w:rsid w:val="00AF6F8A"/>
    <w:rsid w:val="00B05394"/>
    <w:rsid w:val="00B073A6"/>
    <w:rsid w:val="00B07C35"/>
    <w:rsid w:val="00B10FAF"/>
    <w:rsid w:val="00B12571"/>
    <w:rsid w:val="00B13DD0"/>
    <w:rsid w:val="00B140A1"/>
    <w:rsid w:val="00B1562B"/>
    <w:rsid w:val="00B165EA"/>
    <w:rsid w:val="00B228E7"/>
    <w:rsid w:val="00B22ECD"/>
    <w:rsid w:val="00B25E73"/>
    <w:rsid w:val="00B26626"/>
    <w:rsid w:val="00B26FB9"/>
    <w:rsid w:val="00B27628"/>
    <w:rsid w:val="00B31393"/>
    <w:rsid w:val="00B33501"/>
    <w:rsid w:val="00B3370D"/>
    <w:rsid w:val="00B42436"/>
    <w:rsid w:val="00B42920"/>
    <w:rsid w:val="00B44820"/>
    <w:rsid w:val="00B45A35"/>
    <w:rsid w:val="00B47DF8"/>
    <w:rsid w:val="00B5255A"/>
    <w:rsid w:val="00B5495D"/>
    <w:rsid w:val="00B565A3"/>
    <w:rsid w:val="00B56936"/>
    <w:rsid w:val="00B6434C"/>
    <w:rsid w:val="00B64FA5"/>
    <w:rsid w:val="00B65F06"/>
    <w:rsid w:val="00B71A9A"/>
    <w:rsid w:val="00B74912"/>
    <w:rsid w:val="00B74BF6"/>
    <w:rsid w:val="00B80F97"/>
    <w:rsid w:val="00B82F20"/>
    <w:rsid w:val="00B860C5"/>
    <w:rsid w:val="00B9692E"/>
    <w:rsid w:val="00BA145C"/>
    <w:rsid w:val="00BA163F"/>
    <w:rsid w:val="00BA316D"/>
    <w:rsid w:val="00BA4CB9"/>
    <w:rsid w:val="00BA57FE"/>
    <w:rsid w:val="00BA5F57"/>
    <w:rsid w:val="00BA650B"/>
    <w:rsid w:val="00BB27CC"/>
    <w:rsid w:val="00BB4FD6"/>
    <w:rsid w:val="00BB6687"/>
    <w:rsid w:val="00BB670B"/>
    <w:rsid w:val="00BB6BD2"/>
    <w:rsid w:val="00BC2DA0"/>
    <w:rsid w:val="00BC5012"/>
    <w:rsid w:val="00BD12A2"/>
    <w:rsid w:val="00BD18CA"/>
    <w:rsid w:val="00BD4727"/>
    <w:rsid w:val="00BD5D07"/>
    <w:rsid w:val="00BD77E3"/>
    <w:rsid w:val="00BD7B40"/>
    <w:rsid w:val="00BE2258"/>
    <w:rsid w:val="00BE2F63"/>
    <w:rsid w:val="00BE32E3"/>
    <w:rsid w:val="00BF1D85"/>
    <w:rsid w:val="00C03F00"/>
    <w:rsid w:val="00C04987"/>
    <w:rsid w:val="00C051EE"/>
    <w:rsid w:val="00C11C4D"/>
    <w:rsid w:val="00C15D1D"/>
    <w:rsid w:val="00C20E4A"/>
    <w:rsid w:val="00C31173"/>
    <w:rsid w:val="00C36605"/>
    <w:rsid w:val="00C42509"/>
    <w:rsid w:val="00C44203"/>
    <w:rsid w:val="00C45A91"/>
    <w:rsid w:val="00C45DDE"/>
    <w:rsid w:val="00C477C6"/>
    <w:rsid w:val="00C477F1"/>
    <w:rsid w:val="00C5013C"/>
    <w:rsid w:val="00C503E4"/>
    <w:rsid w:val="00C5465B"/>
    <w:rsid w:val="00C56D58"/>
    <w:rsid w:val="00C61ACC"/>
    <w:rsid w:val="00C62ABC"/>
    <w:rsid w:val="00C649E4"/>
    <w:rsid w:val="00C70DBA"/>
    <w:rsid w:val="00C71E32"/>
    <w:rsid w:val="00C75A66"/>
    <w:rsid w:val="00C80534"/>
    <w:rsid w:val="00C80947"/>
    <w:rsid w:val="00C82CA1"/>
    <w:rsid w:val="00C83243"/>
    <w:rsid w:val="00C842FD"/>
    <w:rsid w:val="00C84569"/>
    <w:rsid w:val="00C85EB3"/>
    <w:rsid w:val="00C90114"/>
    <w:rsid w:val="00C918C9"/>
    <w:rsid w:val="00C95D57"/>
    <w:rsid w:val="00C97DC4"/>
    <w:rsid w:val="00CA0C5D"/>
    <w:rsid w:val="00CA153A"/>
    <w:rsid w:val="00CA1752"/>
    <w:rsid w:val="00CA58CA"/>
    <w:rsid w:val="00CA5E0F"/>
    <w:rsid w:val="00CA6A6E"/>
    <w:rsid w:val="00CB44C9"/>
    <w:rsid w:val="00CB55F9"/>
    <w:rsid w:val="00CC2556"/>
    <w:rsid w:val="00CC2953"/>
    <w:rsid w:val="00CC2CFE"/>
    <w:rsid w:val="00CC3E09"/>
    <w:rsid w:val="00CC7F21"/>
    <w:rsid w:val="00CD065F"/>
    <w:rsid w:val="00CD0679"/>
    <w:rsid w:val="00CD0F61"/>
    <w:rsid w:val="00CD4BFA"/>
    <w:rsid w:val="00CD5958"/>
    <w:rsid w:val="00CD66A9"/>
    <w:rsid w:val="00CD6B9C"/>
    <w:rsid w:val="00CD7B4A"/>
    <w:rsid w:val="00CE0446"/>
    <w:rsid w:val="00CE0C6A"/>
    <w:rsid w:val="00CE2DB6"/>
    <w:rsid w:val="00CE65ED"/>
    <w:rsid w:val="00CE7F0B"/>
    <w:rsid w:val="00CF0BD7"/>
    <w:rsid w:val="00CF2CBC"/>
    <w:rsid w:val="00CF400B"/>
    <w:rsid w:val="00CF4A12"/>
    <w:rsid w:val="00CF4EE6"/>
    <w:rsid w:val="00CF5AF6"/>
    <w:rsid w:val="00CF7B1F"/>
    <w:rsid w:val="00D028C1"/>
    <w:rsid w:val="00D02B27"/>
    <w:rsid w:val="00D02C24"/>
    <w:rsid w:val="00D04A9F"/>
    <w:rsid w:val="00D04D06"/>
    <w:rsid w:val="00D04F40"/>
    <w:rsid w:val="00D07C36"/>
    <w:rsid w:val="00D11CF9"/>
    <w:rsid w:val="00D11E4F"/>
    <w:rsid w:val="00D15FD6"/>
    <w:rsid w:val="00D16F1F"/>
    <w:rsid w:val="00D1769B"/>
    <w:rsid w:val="00D176A4"/>
    <w:rsid w:val="00D17AB1"/>
    <w:rsid w:val="00D225C7"/>
    <w:rsid w:val="00D228B7"/>
    <w:rsid w:val="00D23B78"/>
    <w:rsid w:val="00D254EE"/>
    <w:rsid w:val="00D25BDB"/>
    <w:rsid w:val="00D26BD4"/>
    <w:rsid w:val="00D478A8"/>
    <w:rsid w:val="00D47AE8"/>
    <w:rsid w:val="00D542C3"/>
    <w:rsid w:val="00D545F3"/>
    <w:rsid w:val="00D60196"/>
    <w:rsid w:val="00D60583"/>
    <w:rsid w:val="00D60F85"/>
    <w:rsid w:val="00D7134C"/>
    <w:rsid w:val="00D73FD5"/>
    <w:rsid w:val="00D85E24"/>
    <w:rsid w:val="00D8784D"/>
    <w:rsid w:val="00D90CFE"/>
    <w:rsid w:val="00D92965"/>
    <w:rsid w:val="00D937AD"/>
    <w:rsid w:val="00D944FB"/>
    <w:rsid w:val="00D966B2"/>
    <w:rsid w:val="00D97C87"/>
    <w:rsid w:val="00DA115A"/>
    <w:rsid w:val="00DA162B"/>
    <w:rsid w:val="00DA2989"/>
    <w:rsid w:val="00DA2C87"/>
    <w:rsid w:val="00DA35D8"/>
    <w:rsid w:val="00DA7A0C"/>
    <w:rsid w:val="00DB4EC1"/>
    <w:rsid w:val="00DC3D23"/>
    <w:rsid w:val="00DC455B"/>
    <w:rsid w:val="00DC695A"/>
    <w:rsid w:val="00DD0BD3"/>
    <w:rsid w:val="00DD5288"/>
    <w:rsid w:val="00DD594E"/>
    <w:rsid w:val="00DD697E"/>
    <w:rsid w:val="00DE14DA"/>
    <w:rsid w:val="00DE274B"/>
    <w:rsid w:val="00DE309C"/>
    <w:rsid w:val="00DE320E"/>
    <w:rsid w:val="00DE456E"/>
    <w:rsid w:val="00DE5FD4"/>
    <w:rsid w:val="00DF0BB5"/>
    <w:rsid w:val="00DF459A"/>
    <w:rsid w:val="00DF681C"/>
    <w:rsid w:val="00E01E31"/>
    <w:rsid w:val="00E032BA"/>
    <w:rsid w:val="00E042FA"/>
    <w:rsid w:val="00E051B2"/>
    <w:rsid w:val="00E10963"/>
    <w:rsid w:val="00E15BB2"/>
    <w:rsid w:val="00E16E20"/>
    <w:rsid w:val="00E170C6"/>
    <w:rsid w:val="00E206CF"/>
    <w:rsid w:val="00E21054"/>
    <w:rsid w:val="00E24612"/>
    <w:rsid w:val="00E24E8F"/>
    <w:rsid w:val="00E26072"/>
    <w:rsid w:val="00E31A49"/>
    <w:rsid w:val="00E3546B"/>
    <w:rsid w:val="00E3670F"/>
    <w:rsid w:val="00E472DB"/>
    <w:rsid w:val="00E515C6"/>
    <w:rsid w:val="00E54699"/>
    <w:rsid w:val="00E55497"/>
    <w:rsid w:val="00E558D5"/>
    <w:rsid w:val="00E563AB"/>
    <w:rsid w:val="00E60674"/>
    <w:rsid w:val="00E623E5"/>
    <w:rsid w:val="00E62B60"/>
    <w:rsid w:val="00E658B7"/>
    <w:rsid w:val="00E668D4"/>
    <w:rsid w:val="00E66CF2"/>
    <w:rsid w:val="00E70D51"/>
    <w:rsid w:val="00E70F4E"/>
    <w:rsid w:val="00E738BA"/>
    <w:rsid w:val="00E74B95"/>
    <w:rsid w:val="00E75CB9"/>
    <w:rsid w:val="00E766A9"/>
    <w:rsid w:val="00E767B0"/>
    <w:rsid w:val="00E76881"/>
    <w:rsid w:val="00E77BE5"/>
    <w:rsid w:val="00E81BF8"/>
    <w:rsid w:val="00E829AB"/>
    <w:rsid w:val="00E837EA"/>
    <w:rsid w:val="00E84D52"/>
    <w:rsid w:val="00E90CBD"/>
    <w:rsid w:val="00E91824"/>
    <w:rsid w:val="00E92358"/>
    <w:rsid w:val="00EA0874"/>
    <w:rsid w:val="00EA0E9E"/>
    <w:rsid w:val="00EA2953"/>
    <w:rsid w:val="00EA65F2"/>
    <w:rsid w:val="00EA6682"/>
    <w:rsid w:val="00EA6941"/>
    <w:rsid w:val="00EB1571"/>
    <w:rsid w:val="00EB3A35"/>
    <w:rsid w:val="00EB45B8"/>
    <w:rsid w:val="00EB65F8"/>
    <w:rsid w:val="00EC15F5"/>
    <w:rsid w:val="00EC4312"/>
    <w:rsid w:val="00EC627D"/>
    <w:rsid w:val="00ED010C"/>
    <w:rsid w:val="00ED0A92"/>
    <w:rsid w:val="00ED3B99"/>
    <w:rsid w:val="00ED56C2"/>
    <w:rsid w:val="00EE0058"/>
    <w:rsid w:val="00EE0874"/>
    <w:rsid w:val="00EE2674"/>
    <w:rsid w:val="00EE2FC0"/>
    <w:rsid w:val="00EE6A53"/>
    <w:rsid w:val="00EE70A9"/>
    <w:rsid w:val="00EF0696"/>
    <w:rsid w:val="00EF1A29"/>
    <w:rsid w:val="00EF3553"/>
    <w:rsid w:val="00EF614F"/>
    <w:rsid w:val="00EF6D40"/>
    <w:rsid w:val="00F0417D"/>
    <w:rsid w:val="00F06D44"/>
    <w:rsid w:val="00F07079"/>
    <w:rsid w:val="00F11FB3"/>
    <w:rsid w:val="00F12CE2"/>
    <w:rsid w:val="00F12F68"/>
    <w:rsid w:val="00F14ECF"/>
    <w:rsid w:val="00F17AA5"/>
    <w:rsid w:val="00F2262F"/>
    <w:rsid w:val="00F22C36"/>
    <w:rsid w:val="00F2446E"/>
    <w:rsid w:val="00F24484"/>
    <w:rsid w:val="00F30355"/>
    <w:rsid w:val="00F305C3"/>
    <w:rsid w:val="00F31D05"/>
    <w:rsid w:val="00F31DD9"/>
    <w:rsid w:val="00F32C6E"/>
    <w:rsid w:val="00F3429E"/>
    <w:rsid w:val="00F36D35"/>
    <w:rsid w:val="00F40BA1"/>
    <w:rsid w:val="00F42681"/>
    <w:rsid w:val="00F4319F"/>
    <w:rsid w:val="00F440D1"/>
    <w:rsid w:val="00F44B48"/>
    <w:rsid w:val="00F4785E"/>
    <w:rsid w:val="00F53AD1"/>
    <w:rsid w:val="00F55F89"/>
    <w:rsid w:val="00F571B9"/>
    <w:rsid w:val="00F57F70"/>
    <w:rsid w:val="00F60780"/>
    <w:rsid w:val="00F61AB5"/>
    <w:rsid w:val="00F62C3D"/>
    <w:rsid w:val="00F63C71"/>
    <w:rsid w:val="00F64691"/>
    <w:rsid w:val="00F674DE"/>
    <w:rsid w:val="00F71705"/>
    <w:rsid w:val="00F743C3"/>
    <w:rsid w:val="00F77373"/>
    <w:rsid w:val="00F77F72"/>
    <w:rsid w:val="00F80856"/>
    <w:rsid w:val="00F81EB2"/>
    <w:rsid w:val="00F8484B"/>
    <w:rsid w:val="00F848A3"/>
    <w:rsid w:val="00F85C0D"/>
    <w:rsid w:val="00F905DA"/>
    <w:rsid w:val="00F92193"/>
    <w:rsid w:val="00F93CA3"/>
    <w:rsid w:val="00F95C17"/>
    <w:rsid w:val="00F95EE3"/>
    <w:rsid w:val="00FA63EB"/>
    <w:rsid w:val="00FB694C"/>
    <w:rsid w:val="00FB6BC3"/>
    <w:rsid w:val="00FB7EF1"/>
    <w:rsid w:val="00FC2B29"/>
    <w:rsid w:val="00FC2B65"/>
    <w:rsid w:val="00FC790A"/>
    <w:rsid w:val="00FC7D56"/>
    <w:rsid w:val="00FD1B33"/>
    <w:rsid w:val="00FD5285"/>
    <w:rsid w:val="00FD7876"/>
    <w:rsid w:val="00FD7C77"/>
    <w:rsid w:val="00FE0287"/>
    <w:rsid w:val="00FE1F34"/>
    <w:rsid w:val="00FE5549"/>
    <w:rsid w:val="00FE5EC1"/>
    <w:rsid w:val="00FE62A2"/>
    <w:rsid w:val="00FE6547"/>
    <w:rsid w:val="00FF1049"/>
    <w:rsid w:val="00FF1C43"/>
    <w:rsid w:val="00FF1CE2"/>
    <w:rsid w:val="00FF1F7D"/>
    <w:rsid w:val="00FF2E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0C757"/>
  <w15:docId w15:val="{9B871323-1FA4-4850-BEEF-82FD3244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E170C6"/>
    <w:pPr>
      <w:widowControl/>
    </w:pPr>
    <w:rPr>
      <w:rFonts w:ascii="Times New Roman" w:hAnsi="Times New Roman"/>
      <w:sz w:val="24"/>
    </w:rPr>
  </w:style>
  <w:style w:type="paragraph" w:styleId="Heading1">
    <w:name w:val="heading 1"/>
    <w:basedOn w:val="Normal"/>
    <w:link w:val="Heading1Char"/>
    <w:uiPriority w:val="1"/>
    <w:qFormat/>
    <w:rsid w:val="00E170C6"/>
    <w:pPr>
      <w:keepNext/>
      <w:spacing w:after="240"/>
      <w:ind w:left="720" w:hanging="720"/>
      <w:outlineLvl w:val="0"/>
    </w:pPr>
    <w:rPr>
      <w:rFonts w:ascii="Times New Roman Bold" w:eastAsia="Times New Roman" w:hAnsi="Times New Roman Bold"/>
      <w:b/>
      <w:bCs/>
      <w:caps/>
      <w:szCs w:val="24"/>
    </w:rPr>
  </w:style>
  <w:style w:type="paragraph" w:styleId="Heading2">
    <w:name w:val="heading 2"/>
    <w:basedOn w:val="Normal"/>
    <w:next w:val="Normal"/>
    <w:link w:val="Heading2Char"/>
    <w:uiPriority w:val="9"/>
    <w:unhideWhenUsed/>
    <w:qFormat/>
    <w:rsid w:val="00E170C6"/>
    <w:pPr>
      <w:keepNext/>
      <w:keepLines/>
      <w:spacing w:before="240" w:after="240"/>
      <w:ind w:left="720" w:hanging="7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0E99"/>
    <w:pPr>
      <w:keepNext/>
      <w:keepLines/>
      <w:spacing w:before="240" w:after="240"/>
      <w:ind w:left="720" w:hanging="720"/>
      <w:outlineLvl w:val="2"/>
    </w:pPr>
    <w:rPr>
      <w:rFonts w:eastAsiaTheme="majorEastAsia" w:cstheme="majorBidi"/>
      <w:b/>
      <w:i/>
      <w:color w:val="243F60" w:themeColor="accent1" w:themeShade="7F"/>
      <w:szCs w:val="24"/>
    </w:rPr>
  </w:style>
  <w:style w:type="paragraph" w:styleId="Heading4">
    <w:name w:val="heading 4"/>
    <w:basedOn w:val="Normal"/>
    <w:next w:val="Normal"/>
    <w:link w:val="Heading4Char"/>
    <w:uiPriority w:val="9"/>
    <w:unhideWhenUsed/>
    <w:qFormat/>
    <w:rsid w:val="00E170C6"/>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A162B"/>
    <w:pPr>
      <w:spacing w:before="120" w:after="120"/>
      <w:ind w:left="742" w:hanging="451"/>
    </w:pPr>
    <w:rPr>
      <w:rFonts w:eastAsia="Times New Roman"/>
      <w:b/>
      <w:szCs w:val="24"/>
    </w:rPr>
  </w:style>
  <w:style w:type="paragraph" w:styleId="TOC2">
    <w:name w:val="toc 2"/>
    <w:basedOn w:val="Normal"/>
    <w:uiPriority w:val="39"/>
    <w:qFormat/>
    <w:rsid w:val="00DA162B"/>
    <w:pPr>
      <w:ind w:left="1371" w:hanging="629"/>
    </w:pPr>
    <w:rPr>
      <w:rFonts w:eastAsia="Times New Roman"/>
      <w:szCs w:val="24"/>
    </w:rPr>
  </w:style>
  <w:style w:type="paragraph" w:styleId="TOC3">
    <w:name w:val="toc 3"/>
    <w:basedOn w:val="Normal"/>
    <w:uiPriority w:val="39"/>
    <w:qFormat/>
    <w:rsid w:val="00DA162B"/>
    <w:pPr>
      <w:ind w:left="2091" w:hanging="720"/>
    </w:pPr>
    <w:rPr>
      <w:rFonts w:eastAsia="Times New Roman"/>
      <w:szCs w:val="24"/>
    </w:rPr>
  </w:style>
  <w:style w:type="paragraph" w:styleId="BodyText">
    <w:name w:val="Body Text"/>
    <w:basedOn w:val="Normal"/>
    <w:link w:val="BodyTextChar"/>
    <w:uiPriority w:val="1"/>
    <w:qFormat/>
    <w:rsid w:val="00172663"/>
    <w:pPr>
      <w:spacing w:after="120" w:line="360" w:lineRule="auto"/>
      <w:ind w:firstLine="720"/>
    </w:pPr>
    <w:rPr>
      <w:rFonts w:eastAsia="Times New Roman"/>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0196"/>
    <w:rPr>
      <w:color w:val="0000FF" w:themeColor="hyperlink"/>
      <w:u w:val="single"/>
    </w:rPr>
  </w:style>
  <w:style w:type="character" w:styleId="CommentReference">
    <w:name w:val="annotation reference"/>
    <w:basedOn w:val="DefaultParagraphFont"/>
    <w:semiHidden/>
    <w:unhideWhenUsed/>
    <w:rsid w:val="008C752D"/>
    <w:rPr>
      <w:sz w:val="16"/>
      <w:szCs w:val="16"/>
    </w:rPr>
  </w:style>
  <w:style w:type="paragraph" w:styleId="CommentText">
    <w:name w:val="annotation text"/>
    <w:basedOn w:val="Normal"/>
    <w:link w:val="CommentTextChar"/>
    <w:unhideWhenUsed/>
    <w:rsid w:val="008C752D"/>
    <w:rPr>
      <w:sz w:val="20"/>
      <w:szCs w:val="20"/>
    </w:rPr>
  </w:style>
  <w:style w:type="character" w:customStyle="1" w:styleId="CommentTextChar">
    <w:name w:val="Comment Text Char"/>
    <w:basedOn w:val="DefaultParagraphFont"/>
    <w:link w:val="CommentText"/>
    <w:rsid w:val="008C752D"/>
    <w:rPr>
      <w:sz w:val="20"/>
      <w:szCs w:val="20"/>
    </w:rPr>
  </w:style>
  <w:style w:type="paragraph" w:styleId="CommentSubject">
    <w:name w:val="annotation subject"/>
    <w:basedOn w:val="CommentText"/>
    <w:next w:val="CommentText"/>
    <w:link w:val="CommentSubjectChar"/>
    <w:uiPriority w:val="99"/>
    <w:semiHidden/>
    <w:unhideWhenUsed/>
    <w:rsid w:val="008C752D"/>
    <w:rPr>
      <w:b/>
      <w:bCs/>
    </w:rPr>
  </w:style>
  <w:style w:type="character" w:customStyle="1" w:styleId="CommentSubjectChar">
    <w:name w:val="Comment Subject Char"/>
    <w:basedOn w:val="CommentTextChar"/>
    <w:link w:val="CommentSubject"/>
    <w:uiPriority w:val="99"/>
    <w:semiHidden/>
    <w:rsid w:val="008C752D"/>
    <w:rPr>
      <w:b/>
      <w:bCs/>
      <w:sz w:val="20"/>
      <w:szCs w:val="20"/>
    </w:rPr>
  </w:style>
  <w:style w:type="paragraph" w:styleId="BalloonText">
    <w:name w:val="Balloon Text"/>
    <w:basedOn w:val="Normal"/>
    <w:link w:val="BalloonTextChar"/>
    <w:uiPriority w:val="99"/>
    <w:semiHidden/>
    <w:unhideWhenUsed/>
    <w:rsid w:val="008C7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52D"/>
    <w:rPr>
      <w:rFonts w:ascii="Segoe UI" w:hAnsi="Segoe UI" w:cs="Segoe UI"/>
      <w:sz w:val="18"/>
      <w:szCs w:val="18"/>
    </w:rPr>
  </w:style>
  <w:style w:type="character" w:styleId="FollowedHyperlink">
    <w:name w:val="FollowedHyperlink"/>
    <w:basedOn w:val="DefaultParagraphFont"/>
    <w:uiPriority w:val="99"/>
    <w:semiHidden/>
    <w:unhideWhenUsed/>
    <w:rsid w:val="00A571A6"/>
    <w:rPr>
      <w:color w:val="800080" w:themeColor="followedHyperlink"/>
      <w:u w:val="single"/>
    </w:rPr>
  </w:style>
  <w:style w:type="paragraph" w:styleId="HTMLPreformatted">
    <w:name w:val="HTML Preformatted"/>
    <w:basedOn w:val="Normal"/>
    <w:link w:val="HTMLPreformattedChar"/>
    <w:uiPriority w:val="99"/>
    <w:semiHidden/>
    <w:unhideWhenUsed/>
    <w:rsid w:val="00A57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1A6"/>
    <w:rPr>
      <w:rFonts w:ascii="Courier New" w:eastAsia="Times New Roman" w:hAnsi="Courier New" w:cs="Courier New"/>
      <w:sz w:val="20"/>
      <w:szCs w:val="20"/>
    </w:rPr>
  </w:style>
  <w:style w:type="paragraph" w:customStyle="1" w:styleId="statutory-body-1em">
    <w:name w:val="statutory-body-1em"/>
    <w:basedOn w:val="Normal"/>
    <w:rsid w:val="009A3E60"/>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unhideWhenUsed/>
    <w:rsid w:val="00510E99"/>
    <w:pPr>
      <w:ind w:left="187" w:hanging="187"/>
    </w:pPr>
    <w:rPr>
      <w:sz w:val="20"/>
      <w:szCs w:val="20"/>
    </w:rPr>
  </w:style>
  <w:style w:type="character" w:customStyle="1" w:styleId="FootnoteTextChar">
    <w:name w:val="Footnote Text Char"/>
    <w:basedOn w:val="DefaultParagraphFont"/>
    <w:link w:val="FootnoteText"/>
    <w:uiPriority w:val="99"/>
    <w:rsid w:val="00510E99"/>
    <w:rPr>
      <w:rFonts w:ascii="Times New Roman" w:hAnsi="Times New Roman"/>
      <w:sz w:val="20"/>
      <w:szCs w:val="20"/>
    </w:rPr>
  </w:style>
  <w:style w:type="character" w:styleId="FootnoteReference">
    <w:name w:val="footnote reference"/>
    <w:basedOn w:val="DefaultParagraphFont"/>
    <w:uiPriority w:val="99"/>
    <w:unhideWhenUsed/>
    <w:rsid w:val="000F08AD"/>
    <w:rPr>
      <w:vertAlign w:val="superscript"/>
    </w:rPr>
  </w:style>
  <w:style w:type="paragraph" w:styleId="Caption">
    <w:name w:val="caption"/>
    <w:basedOn w:val="Normal"/>
    <w:next w:val="Normal"/>
    <w:uiPriority w:val="35"/>
    <w:unhideWhenUsed/>
    <w:qFormat/>
    <w:rsid w:val="00B10FAF"/>
    <w:pPr>
      <w:keepNext/>
      <w:spacing w:before="240" w:after="120"/>
    </w:pPr>
    <w:rPr>
      <w:b/>
      <w:iCs/>
      <w:color w:val="1F497D" w:themeColor="text2"/>
      <w:szCs w:val="18"/>
    </w:rPr>
  </w:style>
  <w:style w:type="character" w:customStyle="1" w:styleId="Heading1Char">
    <w:name w:val="Heading 1 Char"/>
    <w:basedOn w:val="DefaultParagraphFont"/>
    <w:link w:val="Heading1"/>
    <w:uiPriority w:val="1"/>
    <w:rsid w:val="00E170C6"/>
    <w:rPr>
      <w:rFonts w:ascii="Times New Roman Bold" w:eastAsia="Times New Roman" w:hAnsi="Times New Roman Bold"/>
      <w:b/>
      <w:bCs/>
      <w:caps/>
      <w:sz w:val="24"/>
      <w:szCs w:val="24"/>
    </w:rPr>
  </w:style>
  <w:style w:type="character" w:customStyle="1" w:styleId="BodyTextChar">
    <w:name w:val="Body Text Char"/>
    <w:basedOn w:val="DefaultParagraphFont"/>
    <w:link w:val="BodyText"/>
    <w:uiPriority w:val="1"/>
    <w:rsid w:val="00172663"/>
    <w:rPr>
      <w:rFonts w:ascii="Times New Roman" w:eastAsia="Times New Roman" w:hAnsi="Times New Roman"/>
      <w:sz w:val="24"/>
      <w:szCs w:val="24"/>
    </w:rPr>
  </w:style>
  <w:style w:type="paragraph" w:styleId="Revision">
    <w:name w:val="Revision"/>
    <w:hidden/>
    <w:uiPriority w:val="99"/>
    <w:semiHidden/>
    <w:rsid w:val="00ED010C"/>
    <w:pPr>
      <w:widowControl/>
    </w:pPr>
  </w:style>
  <w:style w:type="character" w:customStyle="1" w:styleId="Mention1">
    <w:name w:val="Mention1"/>
    <w:basedOn w:val="DefaultParagraphFont"/>
    <w:uiPriority w:val="99"/>
    <w:semiHidden/>
    <w:unhideWhenUsed/>
    <w:rsid w:val="00E206CF"/>
    <w:rPr>
      <w:color w:val="2B579A"/>
      <w:shd w:val="clear" w:color="auto" w:fill="E6E6E6"/>
    </w:rPr>
  </w:style>
  <w:style w:type="paragraph" w:styleId="Header">
    <w:name w:val="header"/>
    <w:basedOn w:val="Normal"/>
    <w:link w:val="HeaderChar"/>
    <w:uiPriority w:val="99"/>
    <w:unhideWhenUsed/>
    <w:rsid w:val="00E206CF"/>
    <w:pPr>
      <w:tabs>
        <w:tab w:val="center" w:pos="4680"/>
        <w:tab w:val="right" w:pos="9360"/>
      </w:tabs>
    </w:pPr>
  </w:style>
  <w:style w:type="character" w:customStyle="1" w:styleId="HeaderChar">
    <w:name w:val="Header Char"/>
    <w:basedOn w:val="DefaultParagraphFont"/>
    <w:link w:val="Header"/>
    <w:uiPriority w:val="99"/>
    <w:rsid w:val="00E206CF"/>
  </w:style>
  <w:style w:type="paragraph" w:styleId="Footer">
    <w:name w:val="footer"/>
    <w:basedOn w:val="Normal"/>
    <w:link w:val="FooterChar"/>
    <w:uiPriority w:val="99"/>
    <w:unhideWhenUsed/>
    <w:rsid w:val="00E206CF"/>
    <w:pPr>
      <w:tabs>
        <w:tab w:val="center" w:pos="4680"/>
        <w:tab w:val="right" w:pos="9360"/>
      </w:tabs>
    </w:pPr>
  </w:style>
  <w:style w:type="character" w:customStyle="1" w:styleId="FooterChar">
    <w:name w:val="Footer Char"/>
    <w:basedOn w:val="DefaultParagraphFont"/>
    <w:link w:val="Footer"/>
    <w:uiPriority w:val="99"/>
    <w:rsid w:val="00E206CF"/>
  </w:style>
  <w:style w:type="character" w:customStyle="1" w:styleId="Heading2Char">
    <w:name w:val="Heading 2 Char"/>
    <w:basedOn w:val="DefaultParagraphFont"/>
    <w:link w:val="Heading2"/>
    <w:uiPriority w:val="9"/>
    <w:rsid w:val="00E170C6"/>
    <w:rPr>
      <w:rFonts w:ascii="Times New Roman" w:eastAsiaTheme="majorEastAsia" w:hAnsi="Times New Roman" w:cstheme="majorBidi"/>
      <w:b/>
      <w:sz w:val="24"/>
      <w:szCs w:val="26"/>
    </w:rPr>
  </w:style>
  <w:style w:type="paragraph" w:styleId="ListBullet">
    <w:name w:val="List Bullet"/>
    <w:basedOn w:val="Normal"/>
    <w:uiPriority w:val="99"/>
    <w:unhideWhenUsed/>
    <w:rsid w:val="00E170C6"/>
    <w:pPr>
      <w:numPr>
        <w:numId w:val="14"/>
      </w:numPr>
      <w:spacing w:after="120"/>
    </w:pPr>
  </w:style>
  <w:style w:type="paragraph" w:styleId="BodyTextIndent">
    <w:name w:val="Body Text Indent"/>
    <w:basedOn w:val="Normal"/>
    <w:link w:val="BodyTextIndentChar"/>
    <w:uiPriority w:val="99"/>
    <w:unhideWhenUsed/>
    <w:rsid w:val="00510E99"/>
    <w:pPr>
      <w:spacing w:after="120"/>
      <w:ind w:left="720"/>
    </w:pPr>
  </w:style>
  <w:style w:type="character" w:customStyle="1" w:styleId="BodyTextIndentChar">
    <w:name w:val="Body Text Indent Char"/>
    <w:basedOn w:val="DefaultParagraphFont"/>
    <w:link w:val="BodyTextIndent"/>
    <w:uiPriority w:val="99"/>
    <w:rsid w:val="00510E99"/>
    <w:rPr>
      <w:rFonts w:ascii="Times New Roman" w:hAnsi="Times New Roman"/>
      <w:sz w:val="24"/>
    </w:rPr>
  </w:style>
  <w:style w:type="paragraph" w:styleId="BodyTextIndent2">
    <w:name w:val="Body Text Indent 2"/>
    <w:basedOn w:val="Normal"/>
    <w:link w:val="BodyTextIndent2Char"/>
    <w:uiPriority w:val="99"/>
    <w:unhideWhenUsed/>
    <w:rsid w:val="00510E99"/>
    <w:pPr>
      <w:spacing w:after="120"/>
      <w:ind w:left="1080"/>
    </w:pPr>
  </w:style>
  <w:style w:type="character" w:customStyle="1" w:styleId="BodyTextIndent2Char">
    <w:name w:val="Body Text Indent 2 Char"/>
    <w:basedOn w:val="DefaultParagraphFont"/>
    <w:link w:val="BodyTextIndent2"/>
    <w:uiPriority w:val="99"/>
    <w:rsid w:val="00510E99"/>
    <w:rPr>
      <w:rFonts w:ascii="Times New Roman" w:hAnsi="Times New Roman"/>
      <w:sz w:val="24"/>
    </w:rPr>
  </w:style>
  <w:style w:type="paragraph" w:styleId="BodyTextIndent3">
    <w:name w:val="Body Text Indent 3"/>
    <w:basedOn w:val="Normal"/>
    <w:link w:val="BodyTextIndent3Char"/>
    <w:uiPriority w:val="99"/>
    <w:unhideWhenUsed/>
    <w:rsid w:val="00510E99"/>
    <w:pPr>
      <w:spacing w:after="120"/>
      <w:ind w:left="1440"/>
    </w:pPr>
    <w:rPr>
      <w:szCs w:val="16"/>
    </w:rPr>
  </w:style>
  <w:style w:type="character" w:customStyle="1" w:styleId="BodyTextIndent3Char">
    <w:name w:val="Body Text Indent 3 Char"/>
    <w:basedOn w:val="DefaultParagraphFont"/>
    <w:link w:val="BodyTextIndent3"/>
    <w:uiPriority w:val="99"/>
    <w:rsid w:val="00510E99"/>
    <w:rPr>
      <w:rFonts w:ascii="Times New Roman" w:hAnsi="Times New Roman"/>
      <w:sz w:val="24"/>
      <w:szCs w:val="16"/>
    </w:rPr>
  </w:style>
  <w:style w:type="character" w:customStyle="1" w:styleId="Heading3Char">
    <w:name w:val="Heading 3 Char"/>
    <w:basedOn w:val="DefaultParagraphFont"/>
    <w:link w:val="Heading3"/>
    <w:uiPriority w:val="9"/>
    <w:rsid w:val="00510E99"/>
    <w:rPr>
      <w:rFonts w:ascii="Times New Roman" w:eastAsiaTheme="majorEastAsia" w:hAnsi="Times New Roman" w:cstheme="majorBidi"/>
      <w:b/>
      <w:i/>
      <w:color w:val="243F60" w:themeColor="accent1" w:themeShade="7F"/>
      <w:sz w:val="24"/>
      <w:szCs w:val="24"/>
    </w:rPr>
  </w:style>
  <w:style w:type="character" w:customStyle="1" w:styleId="Heading4Char">
    <w:name w:val="Heading 4 Char"/>
    <w:basedOn w:val="DefaultParagraphFont"/>
    <w:link w:val="Heading4"/>
    <w:uiPriority w:val="9"/>
    <w:rsid w:val="00E170C6"/>
    <w:rPr>
      <w:rFonts w:ascii="Times New Roman" w:eastAsiaTheme="majorEastAsia" w:hAnsi="Times New Roman" w:cstheme="majorBidi"/>
      <w:i/>
      <w:iCs/>
      <w:sz w:val="24"/>
    </w:rPr>
  </w:style>
  <w:style w:type="paragraph" w:styleId="ListBullet2">
    <w:name w:val="List Bullet 2"/>
    <w:basedOn w:val="Normal"/>
    <w:uiPriority w:val="99"/>
    <w:unhideWhenUsed/>
    <w:rsid w:val="00E170C6"/>
    <w:pPr>
      <w:numPr>
        <w:numId w:val="15"/>
      </w:numPr>
      <w:spacing w:after="120"/>
      <w:ind w:left="1440"/>
    </w:pPr>
  </w:style>
  <w:style w:type="paragraph" w:customStyle="1" w:styleId="TableTitle">
    <w:name w:val="Table Title"/>
    <w:basedOn w:val="Caption"/>
    <w:uiPriority w:val="1"/>
    <w:qFormat/>
    <w:rsid w:val="00675621"/>
    <w:rPr>
      <w:color w:val="auto"/>
    </w:rPr>
  </w:style>
  <w:style w:type="paragraph" w:customStyle="1" w:styleId="TableFigureSource">
    <w:name w:val="Table/Figure Source"/>
    <w:basedOn w:val="Normal"/>
    <w:uiPriority w:val="1"/>
    <w:qFormat/>
    <w:rsid w:val="00675621"/>
    <w:pPr>
      <w:spacing w:before="120" w:after="240"/>
      <w:ind w:left="216" w:hanging="216"/>
      <w:contextualSpacing/>
    </w:pPr>
  </w:style>
  <w:style w:type="table" w:styleId="PlainTable2">
    <w:name w:val="Plain Table 2"/>
    <w:basedOn w:val="TableNormal"/>
    <w:uiPriority w:val="42"/>
    <w:rsid w:val="00B10F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1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
    <w:name w:val="OMB"/>
    <w:basedOn w:val="TableNormal"/>
    <w:uiPriority w:val="99"/>
    <w:rsid w:val="00477B2C"/>
    <w:pPr>
      <w:widowControl/>
    </w:pPr>
    <w:rPr>
      <w:rFonts w:ascii="Times New Roman" w:hAnsi="Times New Roman"/>
      <w:sz w:val="24"/>
    </w:rPr>
    <w:tblPr>
      <w:tblBorders>
        <w:top w:val="single" w:sz="12" w:space="0" w:color="auto"/>
        <w:bottom w:val="single" w:sz="12" w:space="0" w:color="auto"/>
      </w:tblBorders>
    </w:tbl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TableHeader">
    <w:name w:val="Table Header"/>
    <w:basedOn w:val="TableParagraph"/>
    <w:uiPriority w:val="1"/>
    <w:qFormat/>
    <w:rsid w:val="00477B2C"/>
    <w:pPr>
      <w:keepNext/>
      <w:keepLines/>
      <w:spacing w:before="80" w:after="80"/>
      <w:jc w:val="center"/>
    </w:pPr>
    <w:rPr>
      <w:b/>
      <w:bCs/>
    </w:rPr>
  </w:style>
  <w:style w:type="paragraph" w:customStyle="1" w:styleId="Tabletext1">
    <w:name w:val="Table text1"/>
    <w:basedOn w:val="TableParagraph"/>
    <w:uiPriority w:val="1"/>
    <w:qFormat/>
    <w:rsid w:val="00675621"/>
    <w:pPr>
      <w:spacing w:before="60" w:after="60"/>
    </w:pPr>
    <w:rPr>
      <w:spacing w:val="-1"/>
    </w:rPr>
  </w:style>
  <w:style w:type="paragraph" w:customStyle="1" w:styleId="Tabletextindent1">
    <w:name w:val="Table text indent1"/>
    <w:basedOn w:val="Tabletext1"/>
    <w:uiPriority w:val="1"/>
    <w:qFormat/>
    <w:rsid w:val="00675621"/>
    <w:pPr>
      <w:ind w:left="216"/>
    </w:pPr>
  </w:style>
  <w:style w:type="paragraph" w:customStyle="1" w:styleId="AppHeading1">
    <w:name w:val="App Heading 1"/>
    <w:basedOn w:val="Heading1"/>
    <w:uiPriority w:val="1"/>
    <w:qFormat/>
    <w:rsid w:val="00E170C6"/>
    <w:pPr>
      <w:spacing w:before="240"/>
      <w:ind w:left="0" w:firstLine="0"/>
      <w:jc w:val="center"/>
    </w:pPr>
    <w:rPr>
      <w:spacing w:val="-1"/>
    </w:rPr>
  </w:style>
  <w:style w:type="paragraph" w:customStyle="1" w:styleId="TOCHead">
    <w:name w:val="TOC Head"/>
    <w:basedOn w:val="Normal"/>
    <w:uiPriority w:val="1"/>
    <w:qFormat/>
    <w:rsid w:val="00E170C6"/>
    <w:pPr>
      <w:keepNext/>
      <w:tabs>
        <w:tab w:val="left" w:pos="8868"/>
      </w:tabs>
      <w:spacing w:before="120" w:after="240"/>
      <w:jc w:val="center"/>
    </w:pPr>
    <w:rPr>
      <w:b/>
      <w:spacing w:val="-1"/>
    </w:rPr>
  </w:style>
  <w:style w:type="paragraph" w:customStyle="1" w:styleId="TOC0">
    <w:name w:val="TOC 0"/>
    <w:basedOn w:val="AppHeading1"/>
    <w:uiPriority w:val="1"/>
    <w:qFormat/>
    <w:rsid w:val="00E170C6"/>
  </w:style>
  <w:style w:type="paragraph" w:styleId="TableofFigures">
    <w:name w:val="table of figures"/>
    <w:basedOn w:val="Normal"/>
    <w:next w:val="Normal"/>
    <w:uiPriority w:val="99"/>
    <w:unhideWhenUsed/>
    <w:rsid w:val="00471C38"/>
    <w:pPr>
      <w:tabs>
        <w:tab w:val="right" w:leader="dot" w:pos="9360"/>
      </w:tabs>
      <w:spacing w:after="120"/>
      <w:ind w:left="504" w:right="720" w:hanging="288"/>
    </w:pPr>
  </w:style>
  <w:style w:type="numbering" w:customStyle="1" w:styleId="Exhibits">
    <w:name w:val="Exhibits"/>
    <w:uiPriority w:val="99"/>
    <w:rsid w:val="00CF2CBC"/>
    <w:pPr>
      <w:numPr>
        <w:numId w:val="44"/>
      </w:numPr>
    </w:pPr>
  </w:style>
  <w:style w:type="paragraph" w:customStyle="1" w:styleId="NormalSS">
    <w:name w:val="NormalSS"/>
    <w:basedOn w:val="Normal"/>
    <w:qFormat/>
    <w:rsid w:val="00FF1049"/>
    <w:pPr>
      <w:tabs>
        <w:tab w:val="left" w:pos="432"/>
      </w:tabs>
      <w:ind w:firstLine="432"/>
      <w:jc w:val="both"/>
    </w:pPr>
    <w:rPr>
      <w:rFonts w:eastAsia="Times New Roman" w:cs="Times New Roman"/>
      <w:szCs w:val="20"/>
    </w:rPr>
  </w:style>
  <w:style w:type="character" w:styleId="Mention">
    <w:name w:val="Mention"/>
    <w:basedOn w:val="DefaultParagraphFont"/>
    <w:uiPriority w:val="99"/>
    <w:semiHidden/>
    <w:unhideWhenUsed/>
    <w:rsid w:val="00B228E7"/>
    <w:rPr>
      <w:color w:val="2B579A"/>
      <w:shd w:val="clear" w:color="auto" w:fill="E6E6E6"/>
    </w:rPr>
  </w:style>
  <w:style w:type="paragraph" w:styleId="TOCHeading">
    <w:name w:val="TOC Heading"/>
    <w:basedOn w:val="Heading1"/>
    <w:next w:val="Normal"/>
    <w:uiPriority w:val="39"/>
    <w:unhideWhenUsed/>
    <w:qFormat/>
    <w:rsid w:val="00AB54A1"/>
    <w:pPr>
      <w:keepLines/>
      <w:spacing w:before="240" w:after="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rPr>
  </w:style>
  <w:style w:type="paragraph" w:styleId="TOC4">
    <w:name w:val="toc 4"/>
    <w:basedOn w:val="Normal"/>
    <w:next w:val="Normal"/>
    <w:autoRedefine/>
    <w:uiPriority w:val="39"/>
    <w:unhideWhenUsed/>
    <w:rsid w:val="003E1136"/>
    <w:pPr>
      <w:tabs>
        <w:tab w:val="right" w:leader="dot" w:pos="10070"/>
      </w:tabs>
      <w:spacing w:after="120"/>
      <w:ind w:left="720" w:firstLine="1350"/>
    </w:pPr>
  </w:style>
  <w:style w:type="character" w:styleId="UnresolvedMention">
    <w:name w:val="Unresolved Mention"/>
    <w:basedOn w:val="DefaultParagraphFont"/>
    <w:uiPriority w:val="99"/>
    <w:semiHidden/>
    <w:unhideWhenUsed/>
    <w:rsid w:val="00D944FB"/>
    <w:rPr>
      <w:color w:val="605E5C"/>
      <w:shd w:val="clear" w:color="auto" w:fill="E1DFDD"/>
    </w:rPr>
  </w:style>
  <w:style w:type="paragraph" w:customStyle="1" w:styleId="Default">
    <w:name w:val="Default"/>
    <w:rsid w:val="002D2B72"/>
    <w:pPr>
      <w:widowControl/>
      <w:autoSpaceDE w:val="0"/>
      <w:autoSpaceDN w:val="0"/>
      <w:adjustRightInd w:val="0"/>
    </w:pPr>
    <w:rPr>
      <w:rFonts w:ascii="Times New Roman" w:hAnsi="Times New Roman" w:cs="Times New Roman"/>
      <w:color w:val="000000"/>
      <w:sz w:val="24"/>
      <w:szCs w:val="24"/>
    </w:rPr>
  </w:style>
  <w:style w:type="character" w:customStyle="1" w:styleId="e-04">
    <w:name w:val="e-04"/>
    <w:basedOn w:val="DefaultParagraphFont"/>
    <w:rsid w:val="00494A45"/>
  </w:style>
  <w:style w:type="table" w:customStyle="1" w:styleId="TableGrid1">
    <w:name w:val="Table Grid1"/>
    <w:basedOn w:val="TableNormal"/>
    <w:next w:val="TableGrid"/>
    <w:uiPriority w:val="39"/>
    <w:rsid w:val="00C9011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85315"/>
    <w:pPr>
      <w:spacing w:after="120" w:line="480" w:lineRule="auto"/>
    </w:pPr>
  </w:style>
  <w:style w:type="character" w:customStyle="1" w:styleId="BodyText2Char">
    <w:name w:val="Body Text 2 Char"/>
    <w:basedOn w:val="DefaultParagraphFont"/>
    <w:link w:val="BodyText2"/>
    <w:uiPriority w:val="99"/>
    <w:semiHidden/>
    <w:rsid w:val="0018531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27007">
      <w:bodyDiv w:val="1"/>
      <w:marLeft w:val="0"/>
      <w:marRight w:val="0"/>
      <w:marTop w:val="0"/>
      <w:marBottom w:val="0"/>
      <w:divBdr>
        <w:top w:val="none" w:sz="0" w:space="0" w:color="auto"/>
        <w:left w:val="none" w:sz="0" w:space="0" w:color="auto"/>
        <w:bottom w:val="none" w:sz="0" w:space="0" w:color="auto"/>
        <w:right w:val="none" w:sz="0" w:space="0" w:color="auto"/>
      </w:divBdr>
    </w:div>
    <w:div w:id="319969427">
      <w:bodyDiv w:val="1"/>
      <w:marLeft w:val="0"/>
      <w:marRight w:val="0"/>
      <w:marTop w:val="0"/>
      <w:marBottom w:val="0"/>
      <w:divBdr>
        <w:top w:val="none" w:sz="0" w:space="0" w:color="auto"/>
        <w:left w:val="none" w:sz="0" w:space="0" w:color="auto"/>
        <w:bottom w:val="none" w:sz="0" w:space="0" w:color="auto"/>
        <w:right w:val="none" w:sz="0" w:space="0" w:color="auto"/>
      </w:divBdr>
    </w:div>
    <w:div w:id="458301291">
      <w:bodyDiv w:val="1"/>
      <w:marLeft w:val="0"/>
      <w:marRight w:val="0"/>
      <w:marTop w:val="0"/>
      <w:marBottom w:val="0"/>
      <w:divBdr>
        <w:top w:val="none" w:sz="0" w:space="0" w:color="auto"/>
        <w:left w:val="none" w:sz="0" w:space="0" w:color="auto"/>
        <w:bottom w:val="none" w:sz="0" w:space="0" w:color="auto"/>
        <w:right w:val="none" w:sz="0" w:space="0" w:color="auto"/>
      </w:divBdr>
    </w:div>
    <w:div w:id="464856225">
      <w:bodyDiv w:val="1"/>
      <w:marLeft w:val="0"/>
      <w:marRight w:val="0"/>
      <w:marTop w:val="0"/>
      <w:marBottom w:val="0"/>
      <w:divBdr>
        <w:top w:val="none" w:sz="0" w:space="0" w:color="auto"/>
        <w:left w:val="none" w:sz="0" w:space="0" w:color="auto"/>
        <w:bottom w:val="none" w:sz="0" w:space="0" w:color="auto"/>
        <w:right w:val="none" w:sz="0" w:space="0" w:color="auto"/>
      </w:divBdr>
    </w:div>
    <w:div w:id="874922355">
      <w:bodyDiv w:val="1"/>
      <w:marLeft w:val="0"/>
      <w:marRight w:val="0"/>
      <w:marTop w:val="0"/>
      <w:marBottom w:val="0"/>
      <w:divBdr>
        <w:top w:val="none" w:sz="0" w:space="0" w:color="auto"/>
        <w:left w:val="none" w:sz="0" w:space="0" w:color="auto"/>
        <w:bottom w:val="none" w:sz="0" w:space="0" w:color="auto"/>
        <w:right w:val="none" w:sz="0" w:space="0" w:color="auto"/>
      </w:divBdr>
    </w:div>
    <w:div w:id="1002397899">
      <w:bodyDiv w:val="1"/>
      <w:marLeft w:val="0"/>
      <w:marRight w:val="0"/>
      <w:marTop w:val="0"/>
      <w:marBottom w:val="0"/>
      <w:divBdr>
        <w:top w:val="none" w:sz="0" w:space="0" w:color="auto"/>
        <w:left w:val="none" w:sz="0" w:space="0" w:color="auto"/>
        <w:bottom w:val="none" w:sz="0" w:space="0" w:color="auto"/>
        <w:right w:val="none" w:sz="0" w:space="0" w:color="auto"/>
      </w:divBdr>
    </w:div>
    <w:div w:id="1381704591">
      <w:bodyDiv w:val="1"/>
      <w:marLeft w:val="0"/>
      <w:marRight w:val="0"/>
      <w:marTop w:val="0"/>
      <w:marBottom w:val="0"/>
      <w:divBdr>
        <w:top w:val="none" w:sz="0" w:space="0" w:color="auto"/>
        <w:left w:val="none" w:sz="0" w:space="0" w:color="auto"/>
        <w:bottom w:val="none" w:sz="0" w:space="0" w:color="auto"/>
        <w:right w:val="none" w:sz="0" w:space="0" w:color="auto"/>
      </w:divBdr>
    </w:div>
    <w:div w:id="1491478800">
      <w:bodyDiv w:val="1"/>
      <w:marLeft w:val="0"/>
      <w:marRight w:val="0"/>
      <w:marTop w:val="0"/>
      <w:marBottom w:val="0"/>
      <w:divBdr>
        <w:top w:val="none" w:sz="0" w:space="0" w:color="auto"/>
        <w:left w:val="none" w:sz="0" w:space="0" w:color="auto"/>
        <w:bottom w:val="none" w:sz="0" w:space="0" w:color="auto"/>
        <w:right w:val="none" w:sz="0" w:space="0" w:color="auto"/>
      </w:divBdr>
    </w:div>
    <w:div w:id="167629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csesdata.nsf.gov/profiles/" TargetMode="External"/><Relationship Id="rId4" Type="http://schemas.openxmlformats.org/officeDocument/2006/relationships/settings" Target="settings.xml"/><Relationship Id="rId9" Type="http://schemas.openxmlformats.org/officeDocument/2006/relationships/hyperlink" Target="http://www.nsf.gov/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2518-5B57-468B-9C6F-CDD9F36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8944</Words>
  <Characters>50987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Yamaner, Michael I</dc:creator>
  <cp:lastModifiedBy>Plimpton, Suzanne H.</cp:lastModifiedBy>
  <cp:revision>8</cp:revision>
  <cp:lastPrinted>2020-03-06T20:06:00Z</cp:lastPrinted>
  <dcterms:created xsi:type="dcterms:W3CDTF">2020-12-01T19:16:00Z</dcterms:created>
  <dcterms:modified xsi:type="dcterms:W3CDTF">2020-12-08T17:14:00Z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2014-08-01T00:00:00Z</vt:filetime>
  </property>
  <property fmtid="{D5CDD505-2E9C-101B-9397-08002B2CF9AE}" pid="3" name="LastSaved">
    <vt:filetime>2017-01-05T00:00:00Z</vt:filetime>
  </property>
</Properties>
</file>