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64F1" w:rsidR="002A64F1" w:rsidP="002A64F1" w:rsidRDefault="00FE0A8B" w14:paraId="4465B2DC" w14:textId="6D5AF627">
      <w:pPr>
        <w:widowControl w:val="0"/>
        <w:tabs>
          <w:tab w:val="center" w:pos="4680"/>
        </w:tabs>
        <w:jc w:val="center"/>
        <w:rPr>
          <w:rFonts w:ascii="Arial" w:hAnsi="Arial" w:cs="Arial"/>
          <w:sz w:val="22"/>
        </w:rPr>
      </w:pPr>
      <w:r w:rsidRPr="002A64F1">
        <w:rPr>
          <w:rFonts w:ascii="Arial" w:hAnsi="Arial" w:cs="Arial"/>
          <w:sz w:val="22"/>
          <w:szCs w:val="22"/>
        </w:rPr>
        <w:fldChar w:fldCharType="begin"/>
      </w:r>
      <w:r w:rsidRPr="002A64F1" w:rsidR="002A64F1">
        <w:rPr>
          <w:rFonts w:ascii="Arial" w:hAnsi="Arial" w:cs="Arial"/>
          <w:sz w:val="22"/>
          <w:szCs w:val="22"/>
        </w:rPr>
        <w:instrText xml:space="preserve"> SEQ CHAPTER \h \r 1</w:instrText>
      </w:r>
      <w:r w:rsidRPr="002A64F1">
        <w:rPr>
          <w:rFonts w:ascii="Arial" w:hAnsi="Arial" w:cs="Arial"/>
          <w:sz w:val="22"/>
          <w:szCs w:val="22"/>
        </w:rPr>
        <w:fldChar w:fldCharType="end"/>
      </w:r>
      <w:r w:rsidR="00F56D19">
        <w:rPr>
          <w:rFonts w:ascii="Arial" w:hAnsi="Arial" w:cs="Arial"/>
          <w:sz w:val="22"/>
          <w:szCs w:val="22"/>
        </w:rPr>
        <w:t xml:space="preserve">OMB </w:t>
      </w:r>
      <w:r w:rsidRPr="002A64F1" w:rsidR="002A64F1">
        <w:rPr>
          <w:rFonts w:ascii="Arial" w:hAnsi="Arial" w:cs="Arial"/>
          <w:sz w:val="22"/>
          <w:szCs w:val="22"/>
        </w:rPr>
        <w:t>SUPPO</w:t>
      </w:r>
      <w:r w:rsidRPr="002A64F1" w:rsidR="002A64F1">
        <w:rPr>
          <w:rFonts w:ascii="Arial" w:hAnsi="Arial" w:cs="Arial"/>
          <w:sz w:val="22"/>
        </w:rPr>
        <w:t>RTING STATEMENT</w:t>
      </w:r>
      <w:r w:rsidR="00F56D19">
        <w:rPr>
          <w:rFonts w:ascii="Arial" w:hAnsi="Arial" w:cs="Arial"/>
          <w:sz w:val="22"/>
        </w:rPr>
        <w:t xml:space="preserve"> </w:t>
      </w:r>
      <w:r w:rsidRPr="002A64F1" w:rsidR="002A64F1">
        <w:rPr>
          <w:rFonts w:ascii="Arial" w:hAnsi="Arial" w:cs="Arial"/>
          <w:sz w:val="22"/>
        </w:rPr>
        <w:t>FOR</w:t>
      </w:r>
    </w:p>
    <w:p w:rsidR="00BA6AEC" w:rsidP="002A64F1" w:rsidRDefault="00BA6AEC" w14:paraId="5BB654ED" w14:textId="77777777">
      <w:pPr>
        <w:widowControl w:val="0"/>
        <w:jc w:val="center"/>
        <w:rPr>
          <w:rFonts w:ascii="Arial" w:hAnsi="Arial" w:cs="Arial"/>
          <w:sz w:val="22"/>
        </w:rPr>
      </w:pPr>
      <w:r>
        <w:rPr>
          <w:rFonts w:ascii="Arial" w:hAnsi="Arial" w:cs="Arial"/>
          <w:sz w:val="22"/>
        </w:rPr>
        <w:t>INFORMATION COLLECTIONS CONTAINED IN</w:t>
      </w:r>
    </w:p>
    <w:p w:rsidR="00BA6AEC" w:rsidP="002A64F1" w:rsidRDefault="00037F56" w14:paraId="7CE4FF28" w14:textId="77777777">
      <w:pPr>
        <w:widowControl w:val="0"/>
        <w:jc w:val="center"/>
        <w:rPr>
          <w:rFonts w:ascii="Arial" w:hAnsi="Arial" w:cs="Arial"/>
          <w:sz w:val="22"/>
        </w:rPr>
      </w:pPr>
      <w:r>
        <w:rPr>
          <w:rFonts w:ascii="Arial" w:hAnsi="Arial" w:cs="Arial"/>
          <w:sz w:val="22"/>
        </w:rPr>
        <w:t>THE APPENDIX H TO 10 CFR PART 50</w:t>
      </w:r>
    </w:p>
    <w:p w:rsidR="00310452" w:rsidP="002A64F1" w:rsidRDefault="00037F56" w14:paraId="21AD73AC" w14:textId="00291737">
      <w:pPr>
        <w:widowControl w:val="0"/>
        <w:jc w:val="center"/>
        <w:rPr>
          <w:rFonts w:ascii="Arial" w:hAnsi="Arial" w:cs="Arial"/>
          <w:sz w:val="22"/>
        </w:rPr>
      </w:pPr>
      <w:r>
        <w:rPr>
          <w:rFonts w:ascii="Arial" w:hAnsi="Arial" w:cs="Arial"/>
          <w:sz w:val="22"/>
        </w:rPr>
        <w:t>REACTOR VESSEL MATERIAL SURVEILLANCE</w:t>
      </w:r>
      <w:r w:rsidR="00C460AC">
        <w:rPr>
          <w:rFonts w:ascii="Arial" w:hAnsi="Arial" w:cs="Arial"/>
          <w:sz w:val="22"/>
        </w:rPr>
        <w:t xml:space="preserve"> </w:t>
      </w:r>
      <w:r>
        <w:rPr>
          <w:rFonts w:ascii="Arial" w:hAnsi="Arial" w:cs="Arial"/>
          <w:sz w:val="22"/>
        </w:rPr>
        <w:t>PROGRAM</w:t>
      </w:r>
    </w:p>
    <w:p w:rsidR="00310452" w:rsidP="002A64F1" w:rsidRDefault="00F56D19" w14:paraId="163B5472" w14:textId="6A38F56B">
      <w:pPr>
        <w:widowControl w:val="0"/>
        <w:jc w:val="center"/>
        <w:rPr>
          <w:rFonts w:ascii="Arial" w:hAnsi="Arial" w:cs="Arial"/>
          <w:sz w:val="22"/>
        </w:rPr>
      </w:pPr>
      <w:r>
        <w:rPr>
          <w:rFonts w:ascii="Arial" w:hAnsi="Arial" w:cs="Arial"/>
          <w:sz w:val="22"/>
        </w:rPr>
        <w:t xml:space="preserve">FINAL </w:t>
      </w:r>
      <w:r w:rsidR="00310452">
        <w:rPr>
          <w:rFonts w:ascii="Arial" w:hAnsi="Arial" w:cs="Arial"/>
          <w:sz w:val="22"/>
        </w:rPr>
        <w:t>RULE</w:t>
      </w:r>
    </w:p>
    <w:p w:rsidR="00BA6AEC" w:rsidP="002A64F1" w:rsidRDefault="00BA6AEC" w14:paraId="7D234D69" w14:textId="77777777">
      <w:pPr>
        <w:widowControl w:val="0"/>
        <w:jc w:val="center"/>
        <w:rPr>
          <w:rFonts w:ascii="Arial" w:hAnsi="Arial" w:cs="Arial"/>
          <w:sz w:val="22"/>
        </w:rPr>
      </w:pPr>
    </w:p>
    <w:p w:rsidR="002A64F1" w:rsidP="00B87051" w:rsidRDefault="002A64F1" w14:paraId="4E5DB798" w14:textId="77777777">
      <w:pPr>
        <w:widowControl w:val="0"/>
        <w:tabs>
          <w:tab w:val="center" w:pos="4680"/>
        </w:tabs>
        <w:jc w:val="center"/>
        <w:rPr>
          <w:rFonts w:ascii="Arial" w:hAnsi="Arial" w:cs="Arial"/>
          <w:sz w:val="22"/>
        </w:rPr>
      </w:pPr>
      <w:r w:rsidRPr="002A64F1">
        <w:rPr>
          <w:rFonts w:ascii="Arial" w:hAnsi="Arial" w:cs="Arial"/>
          <w:sz w:val="22"/>
        </w:rPr>
        <w:t>(</w:t>
      </w:r>
      <w:r w:rsidR="00247A2E">
        <w:rPr>
          <w:rFonts w:ascii="Arial" w:hAnsi="Arial" w:cs="Arial"/>
          <w:sz w:val="22"/>
        </w:rPr>
        <w:t xml:space="preserve">OMB Clearance No. </w:t>
      </w:r>
      <w:r w:rsidRPr="002A64F1">
        <w:rPr>
          <w:rFonts w:ascii="Arial" w:hAnsi="Arial" w:cs="Arial"/>
          <w:sz w:val="22"/>
        </w:rPr>
        <w:t>3150-</w:t>
      </w:r>
      <w:r w:rsidR="00247A2E">
        <w:rPr>
          <w:rFonts w:ascii="Arial" w:hAnsi="Arial" w:cs="Arial"/>
          <w:sz w:val="22"/>
        </w:rPr>
        <w:t>0011</w:t>
      </w:r>
      <w:r w:rsidRPr="002A64F1">
        <w:rPr>
          <w:rFonts w:ascii="Arial" w:hAnsi="Arial" w:cs="Arial"/>
          <w:sz w:val="22"/>
        </w:rPr>
        <w:t>)</w:t>
      </w:r>
    </w:p>
    <w:p w:rsidRPr="002A64F1" w:rsidR="00247A2E" w:rsidP="00B87051" w:rsidRDefault="00247A2E" w14:paraId="7C592532" w14:textId="77777777">
      <w:pPr>
        <w:widowControl w:val="0"/>
        <w:tabs>
          <w:tab w:val="center" w:pos="4680"/>
        </w:tabs>
        <w:jc w:val="center"/>
        <w:rPr>
          <w:rFonts w:ascii="Arial" w:hAnsi="Arial" w:cs="Arial"/>
          <w:sz w:val="22"/>
        </w:rPr>
      </w:pPr>
    </w:p>
    <w:p w:rsidRPr="002A64F1" w:rsidR="002A64F1" w:rsidP="00247A2E" w:rsidRDefault="00247A2E" w14:paraId="02F4ED59" w14:textId="77777777">
      <w:pPr>
        <w:widowControl w:val="0"/>
        <w:jc w:val="center"/>
        <w:rPr>
          <w:rFonts w:ascii="Arial" w:hAnsi="Arial" w:cs="Arial"/>
          <w:sz w:val="22"/>
        </w:rPr>
      </w:pPr>
      <w:r>
        <w:rPr>
          <w:rFonts w:ascii="Arial" w:hAnsi="Arial" w:cs="Arial"/>
          <w:sz w:val="22"/>
        </w:rPr>
        <w:t>REVISION</w:t>
      </w:r>
    </w:p>
    <w:p w:rsidR="002A64F1" w:rsidP="002A64F1" w:rsidRDefault="002A64F1" w14:paraId="09421E51" w14:textId="4FFF0441">
      <w:pPr>
        <w:widowControl w:val="0"/>
        <w:rPr>
          <w:rFonts w:ascii="Arial" w:hAnsi="Arial" w:cs="Arial"/>
          <w:sz w:val="22"/>
        </w:rPr>
      </w:pPr>
    </w:p>
    <w:p w:rsidRPr="002A64F1" w:rsidR="00DD587C" w:rsidP="002A64F1" w:rsidRDefault="00DD587C" w14:paraId="055304A3" w14:textId="77777777">
      <w:pPr>
        <w:widowControl w:val="0"/>
        <w:rPr>
          <w:rFonts w:ascii="Arial" w:hAnsi="Arial" w:cs="Arial"/>
          <w:sz w:val="22"/>
        </w:rPr>
      </w:pPr>
    </w:p>
    <w:p w:rsidRPr="002A64F1" w:rsidR="002A64F1" w:rsidP="002A64F1" w:rsidRDefault="002A64F1" w14:paraId="4891B8A2" w14:textId="77777777">
      <w:pPr>
        <w:widowControl w:val="0"/>
        <w:rPr>
          <w:rFonts w:ascii="Arial" w:hAnsi="Arial" w:cs="Arial"/>
          <w:sz w:val="22"/>
        </w:rPr>
      </w:pPr>
      <w:r w:rsidRPr="002A64F1">
        <w:rPr>
          <w:rFonts w:ascii="Arial" w:hAnsi="Arial" w:cs="Arial"/>
          <w:sz w:val="22"/>
          <w:u w:val="single"/>
        </w:rPr>
        <w:t>Description of the Information Collection</w:t>
      </w:r>
    </w:p>
    <w:p w:rsidR="00162D42" w:rsidP="009D03AF" w:rsidRDefault="00162D42" w14:paraId="7E5A35CF" w14:textId="38C1CFB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201D36" w:rsidR="009D03AF" w:rsidP="009D03AF" w:rsidRDefault="00162D42" w14:paraId="12EC7EF0" w14:textId="7973F4C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Appendix H, “Reactor Vessel Material Surveillance Program Requirements” (Appendix H), to Title 10 of the </w:t>
      </w:r>
      <w:r w:rsidRPr="00177AD2">
        <w:rPr>
          <w:rFonts w:ascii="Arial" w:hAnsi="Arial" w:cs="Arial"/>
          <w:i/>
          <w:sz w:val="22"/>
          <w:szCs w:val="22"/>
        </w:rPr>
        <w:t>Code of Federal Regulations</w:t>
      </w:r>
      <w:r>
        <w:rPr>
          <w:rFonts w:ascii="Arial" w:hAnsi="Arial" w:cs="Arial"/>
          <w:sz w:val="22"/>
          <w:szCs w:val="22"/>
        </w:rPr>
        <w:t xml:space="preserve"> (10 CFR Part 50), “Domestic Licensing of Production and Utilization Facilities,” </w:t>
      </w:r>
      <w:r w:rsidR="009D03AF">
        <w:rPr>
          <w:rFonts w:ascii="Arial" w:hAnsi="Arial" w:cs="Arial"/>
          <w:sz w:val="22"/>
          <w:szCs w:val="22"/>
        </w:rPr>
        <w:t>requires light</w:t>
      </w:r>
      <w:r w:rsidR="009D03AF">
        <w:rPr>
          <w:rFonts w:ascii="Arial" w:hAnsi="Arial" w:cs="Arial"/>
          <w:sz w:val="22"/>
          <w:szCs w:val="22"/>
        </w:rPr>
        <w:noBreakHyphen/>
        <w:t xml:space="preserve">water nuclear power reactor licensees to have a reactor vessel material surveillance program to monitor changes in the fracture toughness properties of the reactor vessel materials adjacent to the reactor core.  Unless it can be shown that the end of design life neutron fluence is below certain criteria, the NRC requires licensees to implement a reactor vessel material surveillance program that periodically tests irradiated material specimens that are located in surveillance capsules in the reactor vessels.  The program evaluates changes in material fracture toughness, and thereby assesses the integrity of the reactor vessel.  Appendix H to 10 CFR Part 50 also specifies that the test results of each capsule withdrawn must be the subject of a summary technical report to be submitted to the NRC within </w:t>
      </w:r>
      <w:r w:rsidR="00041438">
        <w:rPr>
          <w:rFonts w:ascii="Arial" w:hAnsi="Arial" w:cs="Arial"/>
          <w:sz w:val="22"/>
          <w:szCs w:val="22"/>
        </w:rPr>
        <w:t>1 </w:t>
      </w:r>
      <w:r w:rsidR="009D03AF">
        <w:rPr>
          <w:rFonts w:ascii="Arial" w:hAnsi="Arial" w:cs="Arial"/>
          <w:sz w:val="22"/>
          <w:szCs w:val="22"/>
        </w:rPr>
        <w:t>year of the capsule withdrawal, unless an extension is granted by the Director, Office of Nuclear Reactor Regulation.</w:t>
      </w:r>
    </w:p>
    <w:p w:rsidR="009D03AF" w:rsidP="002A64F1" w:rsidRDefault="009D03AF" w14:paraId="039C015A" w14:textId="77777777">
      <w:pPr>
        <w:rPr>
          <w:rFonts w:ascii="Arial" w:hAnsi="Arial" w:cs="Arial"/>
          <w:sz w:val="22"/>
          <w:szCs w:val="22"/>
        </w:rPr>
      </w:pPr>
    </w:p>
    <w:p w:rsidR="00602019" w:rsidP="00BA6AEC" w:rsidRDefault="006953E6" w14:paraId="51D5F1C3" w14:textId="434EA21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w:t>
      </w:r>
      <w:r w:rsidR="0006251D">
        <w:rPr>
          <w:rFonts w:ascii="Arial" w:hAnsi="Arial" w:cs="Arial"/>
          <w:sz w:val="22"/>
          <w:szCs w:val="22"/>
        </w:rPr>
        <w:t>U.S. Nuclear Regulatory Commission (</w:t>
      </w:r>
      <w:r>
        <w:rPr>
          <w:rFonts w:ascii="Arial" w:hAnsi="Arial" w:cs="Arial"/>
          <w:sz w:val="22"/>
          <w:szCs w:val="22"/>
        </w:rPr>
        <w:t>NRC</w:t>
      </w:r>
      <w:r w:rsidR="00032B09">
        <w:rPr>
          <w:rFonts w:ascii="Arial" w:hAnsi="Arial" w:cs="Arial"/>
          <w:sz w:val="22"/>
          <w:szCs w:val="22"/>
        </w:rPr>
        <w:t xml:space="preserve"> or Commission</w:t>
      </w:r>
      <w:r w:rsidR="0006251D">
        <w:rPr>
          <w:rFonts w:ascii="Arial" w:hAnsi="Arial" w:cs="Arial"/>
          <w:sz w:val="22"/>
          <w:szCs w:val="22"/>
        </w:rPr>
        <w:t>)</w:t>
      </w:r>
      <w:r>
        <w:rPr>
          <w:rFonts w:ascii="Arial" w:hAnsi="Arial" w:cs="Arial"/>
          <w:sz w:val="22"/>
          <w:szCs w:val="22"/>
        </w:rPr>
        <w:t xml:space="preserve"> </w:t>
      </w:r>
      <w:r w:rsidR="00032B09">
        <w:rPr>
          <w:rFonts w:ascii="Arial" w:hAnsi="Arial" w:cs="Arial"/>
          <w:sz w:val="22"/>
          <w:szCs w:val="22"/>
        </w:rPr>
        <w:t>is amend</w:t>
      </w:r>
      <w:r w:rsidR="005F2F33">
        <w:rPr>
          <w:rFonts w:ascii="Arial" w:hAnsi="Arial" w:cs="Arial"/>
          <w:sz w:val="22"/>
          <w:szCs w:val="22"/>
        </w:rPr>
        <w:t>ing</w:t>
      </w:r>
      <w:r w:rsidR="00032B09">
        <w:rPr>
          <w:rFonts w:ascii="Arial" w:hAnsi="Arial" w:cs="Arial"/>
          <w:sz w:val="22"/>
          <w:szCs w:val="22"/>
        </w:rPr>
        <w:t xml:space="preserve"> its regulations </w:t>
      </w:r>
      <w:r w:rsidR="00602019">
        <w:rPr>
          <w:rFonts w:ascii="Arial" w:hAnsi="Arial" w:cs="Arial"/>
          <w:sz w:val="22"/>
          <w:szCs w:val="22"/>
        </w:rPr>
        <w:t>in Appendix H</w:t>
      </w:r>
      <w:r w:rsidR="00162D42">
        <w:rPr>
          <w:rFonts w:ascii="Arial" w:hAnsi="Arial" w:cs="Arial"/>
          <w:sz w:val="22"/>
          <w:szCs w:val="22"/>
        </w:rPr>
        <w:t xml:space="preserve"> to </w:t>
      </w:r>
      <w:r>
        <w:rPr>
          <w:rFonts w:ascii="Arial" w:hAnsi="Arial" w:cs="Arial"/>
          <w:sz w:val="22"/>
          <w:szCs w:val="22"/>
        </w:rPr>
        <w:t>10</w:t>
      </w:r>
      <w:r w:rsidR="00602019">
        <w:rPr>
          <w:rFonts w:ascii="Arial" w:hAnsi="Arial" w:cs="Arial"/>
          <w:sz w:val="22"/>
          <w:szCs w:val="22"/>
        </w:rPr>
        <w:t> </w:t>
      </w:r>
      <w:r>
        <w:rPr>
          <w:rFonts w:ascii="Arial" w:hAnsi="Arial" w:cs="Arial"/>
          <w:sz w:val="22"/>
          <w:szCs w:val="22"/>
        </w:rPr>
        <w:t>CFR</w:t>
      </w:r>
      <w:r w:rsidR="00602019">
        <w:rPr>
          <w:rFonts w:ascii="Arial" w:hAnsi="Arial" w:cs="Arial"/>
          <w:sz w:val="22"/>
          <w:szCs w:val="22"/>
        </w:rPr>
        <w:t> Part 50</w:t>
      </w:r>
      <w:r w:rsidR="00343A70">
        <w:rPr>
          <w:rFonts w:ascii="Arial" w:hAnsi="Arial" w:cs="Arial"/>
          <w:sz w:val="22"/>
          <w:szCs w:val="22"/>
        </w:rPr>
        <w:t>.</w:t>
      </w:r>
      <w:r w:rsidR="00EE1A4D">
        <w:rPr>
          <w:rFonts w:ascii="Arial" w:hAnsi="Arial" w:cs="Arial"/>
          <w:sz w:val="22"/>
          <w:szCs w:val="22"/>
        </w:rPr>
        <w:t xml:space="preserve">  The NRC </w:t>
      </w:r>
      <w:r w:rsidR="005F2F33">
        <w:rPr>
          <w:rFonts w:ascii="Arial" w:hAnsi="Arial" w:cs="Arial"/>
          <w:sz w:val="22"/>
          <w:szCs w:val="22"/>
        </w:rPr>
        <w:t xml:space="preserve">is </w:t>
      </w:r>
      <w:r w:rsidR="00EE1A4D">
        <w:rPr>
          <w:rFonts w:ascii="Arial" w:hAnsi="Arial" w:cs="Arial"/>
          <w:sz w:val="22"/>
          <w:szCs w:val="22"/>
        </w:rPr>
        <w:t>chang</w:t>
      </w:r>
      <w:r w:rsidR="005F2F33">
        <w:rPr>
          <w:rFonts w:ascii="Arial" w:hAnsi="Arial" w:cs="Arial"/>
          <w:sz w:val="22"/>
          <w:szCs w:val="22"/>
        </w:rPr>
        <w:t>ing</w:t>
      </w:r>
      <w:r w:rsidR="00EE1A4D">
        <w:rPr>
          <w:rFonts w:ascii="Arial" w:hAnsi="Arial" w:cs="Arial"/>
          <w:sz w:val="22"/>
          <w:szCs w:val="22"/>
        </w:rPr>
        <w:t xml:space="preserve"> the information </w:t>
      </w:r>
      <w:r w:rsidRPr="00BA6AEC" w:rsidR="00EE1A4D">
        <w:rPr>
          <w:rFonts w:ascii="Arial" w:hAnsi="Arial" w:cs="Arial"/>
          <w:sz w:val="22"/>
          <w:szCs w:val="22"/>
        </w:rPr>
        <w:t>collection requirements associated with those regulations, as discussed in this supporting statement.</w:t>
      </w:r>
      <w:r w:rsidR="00EE1A4D">
        <w:rPr>
          <w:rFonts w:ascii="Arial" w:hAnsi="Arial" w:cs="Arial"/>
          <w:sz w:val="22"/>
          <w:szCs w:val="22"/>
        </w:rPr>
        <w:t xml:space="preserve">  The NRC expects a reduction in burden on respondents due </w:t>
      </w:r>
      <w:r w:rsidR="009D03AF">
        <w:rPr>
          <w:rFonts w:ascii="Arial" w:hAnsi="Arial" w:cs="Arial"/>
          <w:sz w:val="22"/>
          <w:szCs w:val="22"/>
        </w:rPr>
        <w:t>a change in the</w:t>
      </w:r>
      <w:r w:rsidR="000E17E8">
        <w:rPr>
          <w:rFonts w:ascii="Arial" w:hAnsi="Arial" w:cs="Arial"/>
          <w:sz w:val="22"/>
          <w:szCs w:val="22"/>
        </w:rPr>
        <w:t xml:space="preserve"> </w:t>
      </w:r>
      <w:r w:rsidR="009D03AF">
        <w:rPr>
          <w:rFonts w:ascii="Arial" w:hAnsi="Arial" w:cs="Arial"/>
          <w:sz w:val="22"/>
          <w:szCs w:val="22"/>
        </w:rPr>
        <w:t>periodic</w:t>
      </w:r>
      <w:r w:rsidR="00FB7E04">
        <w:rPr>
          <w:rFonts w:ascii="Arial" w:hAnsi="Arial" w:cs="Arial"/>
          <w:sz w:val="22"/>
          <w:szCs w:val="22"/>
        </w:rPr>
        <w:t xml:space="preserve">ity for </w:t>
      </w:r>
      <w:r w:rsidR="003D32AB">
        <w:rPr>
          <w:rFonts w:ascii="Arial" w:hAnsi="Arial" w:cs="Arial"/>
          <w:sz w:val="22"/>
          <w:szCs w:val="22"/>
        </w:rPr>
        <w:t xml:space="preserve">submitting the summary technical </w:t>
      </w:r>
      <w:r w:rsidR="000E17E8">
        <w:rPr>
          <w:rFonts w:ascii="Arial" w:hAnsi="Arial" w:cs="Arial"/>
          <w:sz w:val="22"/>
          <w:szCs w:val="22"/>
        </w:rPr>
        <w:t>report</w:t>
      </w:r>
      <w:r w:rsidR="00D331DA">
        <w:rPr>
          <w:rFonts w:ascii="Arial" w:hAnsi="Arial" w:cs="Arial"/>
          <w:sz w:val="22"/>
          <w:szCs w:val="22"/>
        </w:rPr>
        <w:t xml:space="preserve"> as described below.</w:t>
      </w:r>
    </w:p>
    <w:p w:rsidRPr="00201D36" w:rsidR="00936D82" w:rsidP="00BA6AEC" w:rsidRDefault="00936D82" w14:paraId="2110227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2570C" w:rsidP="0002570C" w:rsidRDefault="00201D36" w14:paraId="30C21496" w14:textId="5AA99B8F">
      <w:pPr>
        <w:rPr>
          <w:rFonts w:ascii="Arial" w:hAnsi="Arial" w:cs="Arial"/>
          <w:sz w:val="22"/>
          <w:szCs w:val="22"/>
        </w:rPr>
      </w:pPr>
      <w:r w:rsidRPr="00201D36">
        <w:rPr>
          <w:rFonts w:ascii="Arial" w:hAnsi="Arial" w:cs="Arial"/>
          <w:i/>
          <w:sz w:val="22"/>
          <w:szCs w:val="22"/>
        </w:rPr>
        <w:t xml:space="preserve">Testing Specimens.  </w:t>
      </w:r>
      <w:r w:rsidR="00B61FC8">
        <w:rPr>
          <w:rFonts w:ascii="Arial" w:hAnsi="Arial" w:cs="Arial"/>
          <w:sz w:val="22"/>
          <w:szCs w:val="22"/>
        </w:rPr>
        <w:t>When Appendix H to 10 CFR </w:t>
      </w:r>
      <w:r w:rsidR="00936D82">
        <w:rPr>
          <w:rFonts w:ascii="Arial" w:hAnsi="Arial" w:cs="Arial"/>
          <w:sz w:val="22"/>
          <w:szCs w:val="22"/>
        </w:rPr>
        <w:t>Part 50 was established as a req</w:t>
      </w:r>
      <w:r w:rsidR="00765BD0">
        <w:rPr>
          <w:rFonts w:ascii="Arial" w:hAnsi="Arial" w:cs="Arial"/>
          <w:sz w:val="22"/>
          <w:szCs w:val="22"/>
        </w:rPr>
        <w:t>uirement in 1973 (38 </w:t>
      </w:r>
      <w:r w:rsidR="00936D82">
        <w:rPr>
          <w:rFonts w:ascii="Arial" w:hAnsi="Arial" w:cs="Arial"/>
          <w:sz w:val="22"/>
          <w:szCs w:val="22"/>
        </w:rPr>
        <w:t>FR</w:t>
      </w:r>
      <w:r w:rsidR="00765BD0">
        <w:rPr>
          <w:rFonts w:ascii="Arial" w:hAnsi="Arial" w:cs="Arial"/>
          <w:sz w:val="22"/>
          <w:szCs w:val="22"/>
        </w:rPr>
        <w:t> </w:t>
      </w:r>
      <w:r w:rsidR="00936D82">
        <w:rPr>
          <w:rFonts w:ascii="Arial" w:hAnsi="Arial" w:cs="Arial"/>
          <w:sz w:val="22"/>
          <w:szCs w:val="22"/>
        </w:rPr>
        <w:t xml:space="preserve">19012), limited information and data were available on the subject of </w:t>
      </w:r>
      <w:r w:rsidR="0040014D">
        <w:rPr>
          <w:rFonts w:ascii="Arial" w:hAnsi="Arial" w:cs="Arial"/>
          <w:sz w:val="22"/>
          <w:szCs w:val="22"/>
        </w:rPr>
        <w:t>reactor vessel</w:t>
      </w:r>
      <w:r w:rsidR="00936D82">
        <w:rPr>
          <w:rFonts w:ascii="Arial" w:hAnsi="Arial" w:cs="Arial"/>
          <w:sz w:val="22"/>
          <w:szCs w:val="22"/>
        </w:rPr>
        <w:t xml:space="preserve"> embrittleme</w:t>
      </w:r>
      <w:r w:rsidR="003D0BA9">
        <w:rPr>
          <w:rFonts w:ascii="Arial" w:hAnsi="Arial" w:cs="Arial"/>
          <w:sz w:val="22"/>
          <w:szCs w:val="22"/>
        </w:rPr>
        <w:t>nt.  Thus, Appendix H to 10 CFR </w:t>
      </w:r>
      <w:r w:rsidR="00936D82">
        <w:rPr>
          <w:rFonts w:ascii="Arial" w:hAnsi="Arial" w:cs="Arial"/>
          <w:sz w:val="22"/>
          <w:szCs w:val="22"/>
        </w:rPr>
        <w:t xml:space="preserve">Part 50 required the inclusion of a comprehensive collection of specimen types representing the </w:t>
      </w:r>
      <w:r w:rsidR="0040014D">
        <w:rPr>
          <w:rFonts w:ascii="Arial" w:hAnsi="Arial" w:cs="Arial"/>
          <w:sz w:val="22"/>
          <w:szCs w:val="22"/>
        </w:rPr>
        <w:t>reactor vessel</w:t>
      </w:r>
      <w:r w:rsidR="00936D82">
        <w:rPr>
          <w:rFonts w:ascii="Arial" w:hAnsi="Arial" w:cs="Arial"/>
          <w:sz w:val="22"/>
          <w:szCs w:val="22"/>
        </w:rPr>
        <w:t xml:space="preserve"> beltline materials in each surveillance capsule.  Since 1973, a significant number of surveillance capsules have been withdrawn and tested.  Analyses of these results </w:t>
      </w:r>
      <w:r w:rsidR="00A70E58">
        <w:rPr>
          <w:rFonts w:ascii="Arial" w:hAnsi="Arial" w:cs="Arial"/>
          <w:sz w:val="22"/>
          <w:szCs w:val="22"/>
        </w:rPr>
        <w:t>support reconsidering the specimen types required for testing</w:t>
      </w:r>
      <w:r w:rsidR="00936D82">
        <w:rPr>
          <w:rFonts w:ascii="Arial" w:hAnsi="Arial" w:cs="Arial"/>
          <w:sz w:val="22"/>
          <w:szCs w:val="22"/>
        </w:rPr>
        <w:t>.  One outcome of this effort</w:t>
      </w:r>
      <w:r w:rsidR="00C616D8">
        <w:rPr>
          <w:rFonts w:ascii="Arial" w:hAnsi="Arial" w:cs="Arial"/>
          <w:sz w:val="22"/>
          <w:szCs w:val="22"/>
        </w:rPr>
        <w:t xml:space="preserve"> was that some specimen types were found to contribute to the characterization of </w:t>
      </w:r>
      <w:r w:rsidR="0013172D">
        <w:rPr>
          <w:rFonts w:ascii="Arial" w:hAnsi="Arial" w:cs="Arial"/>
          <w:sz w:val="22"/>
          <w:szCs w:val="22"/>
        </w:rPr>
        <w:t>reactor vessel</w:t>
      </w:r>
      <w:r w:rsidR="006F3410">
        <w:rPr>
          <w:rFonts w:ascii="Arial" w:hAnsi="Arial" w:cs="Arial"/>
          <w:sz w:val="22"/>
          <w:szCs w:val="22"/>
        </w:rPr>
        <w:t xml:space="preserve"> embrittlement</w:t>
      </w:r>
      <w:r w:rsidR="00054D60">
        <w:rPr>
          <w:rFonts w:ascii="Arial" w:hAnsi="Arial" w:cs="Arial"/>
          <w:sz w:val="22"/>
          <w:szCs w:val="22"/>
        </w:rPr>
        <w:t xml:space="preserve">, while others did not.  </w:t>
      </w:r>
      <w:r w:rsidRPr="00732884" w:rsidR="00732884">
        <w:rPr>
          <w:rFonts w:ascii="Arial" w:hAnsi="Arial" w:cs="Arial"/>
          <w:sz w:val="22"/>
          <w:szCs w:val="22"/>
        </w:rPr>
        <w:t xml:space="preserve">Therefore, the NRC determined that these latter types were unnecessary to </w:t>
      </w:r>
      <w:r w:rsidR="00765BD0">
        <w:rPr>
          <w:rFonts w:ascii="Arial" w:hAnsi="Arial" w:cs="Arial"/>
          <w:sz w:val="22"/>
          <w:szCs w:val="22"/>
        </w:rPr>
        <w:t>meet the objectives of Appendix </w:t>
      </w:r>
      <w:r w:rsidRPr="00732884" w:rsidR="00732884">
        <w:rPr>
          <w:rFonts w:ascii="Arial" w:hAnsi="Arial" w:cs="Arial"/>
          <w:sz w:val="22"/>
          <w:szCs w:val="22"/>
        </w:rPr>
        <w:t xml:space="preserve">H </w:t>
      </w:r>
      <w:r w:rsidR="00765BD0">
        <w:rPr>
          <w:rFonts w:ascii="Arial" w:hAnsi="Arial" w:cs="Arial"/>
          <w:sz w:val="22"/>
          <w:szCs w:val="22"/>
        </w:rPr>
        <w:t>to 10 CFR Part </w:t>
      </w:r>
      <w:r w:rsidRPr="00732884" w:rsidR="00732884">
        <w:rPr>
          <w:rFonts w:ascii="Arial" w:hAnsi="Arial" w:cs="Arial"/>
          <w:sz w:val="22"/>
          <w:szCs w:val="22"/>
        </w:rPr>
        <w:t>50 and</w:t>
      </w:r>
      <w:r w:rsidR="00732884">
        <w:rPr>
          <w:rFonts w:ascii="Arial" w:hAnsi="Arial" w:cs="Arial"/>
          <w:sz w:val="22"/>
          <w:szCs w:val="22"/>
        </w:rPr>
        <w:t xml:space="preserve"> should no longer be required.</w:t>
      </w:r>
      <w:r w:rsidR="0002570C">
        <w:rPr>
          <w:rFonts w:ascii="Arial" w:hAnsi="Arial" w:cs="Arial"/>
          <w:sz w:val="22"/>
          <w:szCs w:val="22"/>
        </w:rPr>
        <w:t xml:space="preserve">  This revision </w:t>
      </w:r>
      <w:r w:rsidR="008E569A">
        <w:rPr>
          <w:rFonts w:ascii="Arial" w:hAnsi="Arial" w:cs="Arial"/>
          <w:sz w:val="22"/>
          <w:szCs w:val="22"/>
        </w:rPr>
        <w:t xml:space="preserve">will </w:t>
      </w:r>
      <w:r w:rsidR="0002570C">
        <w:rPr>
          <w:rFonts w:ascii="Arial" w:hAnsi="Arial" w:cs="Arial"/>
          <w:sz w:val="22"/>
          <w:szCs w:val="22"/>
        </w:rPr>
        <w:t>ha</w:t>
      </w:r>
      <w:r w:rsidR="008E569A">
        <w:rPr>
          <w:rFonts w:ascii="Arial" w:hAnsi="Arial" w:cs="Arial"/>
          <w:sz w:val="22"/>
          <w:szCs w:val="22"/>
        </w:rPr>
        <w:t>ve</w:t>
      </w:r>
      <w:r w:rsidR="0002570C">
        <w:rPr>
          <w:rFonts w:ascii="Arial" w:hAnsi="Arial" w:cs="Arial"/>
          <w:sz w:val="22"/>
          <w:szCs w:val="22"/>
        </w:rPr>
        <w:t xml:space="preserve"> no effect on public healt</w:t>
      </w:r>
      <w:r w:rsidR="00D87828">
        <w:rPr>
          <w:rFonts w:ascii="Arial" w:hAnsi="Arial" w:cs="Arial"/>
          <w:sz w:val="22"/>
          <w:szCs w:val="22"/>
        </w:rPr>
        <w:t>h and safety</w:t>
      </w:r>
      <w:r w:rsidR="0002570C">
        <w:rPr>
          <w:rFonts w:ascii="Arial" w:hAnsi="Arial" w:cs="Arial"/>
          <w:sz w:val="22"/>
          <w:szCs w:val="22"/>
        </w:rPr>
        <w:t>.</w:t>
      </w:r>
    </w:p>
    <w:p w:rsidR="00732884" w:rsidP="00732884" w:rsidRDefault="00732884" w14:paraId="4B6D5475" w14:textId="62CB6A8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32884" w:rsidP="00732884" w:rsidRDefault="00732884" w14:paraId="1600135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1E5407" w:rsidR="00732884" w:rsidP="002C2513" w:rsidRDefault="00732884" w14:paraId="1E402236" w14:textId="6B54555B">
      <w:pPr>
        <w:keepNext/>
        <w:keepLines/>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32884">
        <w:rPr>
          <w:rFonts w:ascii="Arial" w:hAnsi="Arial" w:cs="Arial"/>
          <w:i/>
          <w:sz w:val="22"/>
          <w:szCs w:val="22"/>
        </w:rPr>
        <w:lastRenderedPageBreak/>
        <w:t>Reporting Surveillance Test Results.</w:t>
      </w:r>
      <w:r w:rsidR="003D0BA9">
        <w:rPr>
          <w:rFonts w:ascii="Arial" w:hAnsi="Arial" w:cs="Arial"/>
          <w:sz w:val="22"/>
          <w:szCs w:val="22"/>
        </w:rPr>
        <w:t xml:space="preserve">  In 1983, Appendix H to 10 CFR Part </w:t>
      </w:r>
      <w:r w:rsidRPr="00732884">
        <w:rPr>
          <w:rFonts w:ascii="Arial" w:hAnsi="Arial" w:cs="Arial"/>
          <w:sz w:val="22"/>
          <w:szCs w:val="22"/>
        </w:rPr>
        <w:t xml:space="preserve">50 was again revised to require licensees to submit test results to the NRC within </w:t>
      </w:r>
      <w:r w:rsidR="00041438">
        <w:rPr>
          <w:rFonts w:ascii="Arial" w:hAnsi="Arial" w:cs="Arial"/>
          <w:sz w:val="22"/>
          <w:szCs w:val="22"/>
        </w:rPr>
        <w:t>1 </w:t>
      </w:r>
      <w:r w:rsidRPr="00732884">
        <w:rPr>
          <w:rFonts w:ascii="Arial" w:hAnsi="Arial" w:cs="Arial"/>
          <w:sz w:val="22"/>
          <w:szCs w:val="22"/>
        </w:rPr>
        <w:t>year of the date of capsule withdrawal, unless an extension is granted by the Director, Office of</w:t>
      </w:r>
      <w:r w:rsidR="00765BD0">
        <w:rPr>
          <w:rFonts w:ascii="Arial" w:hAnsi="Arial" w:cs="Arial"/>
          <w:sz w:val="22"/>
          <w:szCs w:val="22"/>
        </w:rPr>
        <w:t xml:space="preserve"> Nuclear Reactor Regulation (48 FR </w:t>
      </w:r>
      <w:r w:rsidRPr="00732884">
        <w:rPr>
          <w:rFonts w:ascii="Arial" w:hAnsi="Arial" w:cs="Arial"/>
          <w:sz w:val="22"/>
          <w:szCs w:val="22"/>
        </w:rPr>
        <w:t>24008).  As stated in the 1983 rulemaking, the primary purposes of the requirement are timely reporting of test results and notification of any problems.  At that time, there was still a limited amount of data from irradiated materials from which to estimate embrittlement trends of reactor vessels at nuclear power plants; thus, making it crucial for timely reporting of test results.</w:t>
      </w:r>
    </w:p>
    <w:p w:rsidRPr="001E5407" w:rsidR="001E5407" w:rsidP="001E5407" w:rsidRDefault="001E5407" w14:paraId="5DF7F0F2" w14:textId="4C75F429">
      <w:pPr>
        <w:rPr>
          <w:rFonts w:ascii="Arial" w:hAnsi="Arial" w:cs="Arial"/>
          <w:sz w:val="22"/>
          <w:szCs w:val="22"/>
        </w:rPr>
      </w:pPr>
    </w:p>
    <w:p w:rsidR="00566D8F" w:rsidP="00566D8F" w:rsidRDefault="001E5407" w14:paraId="2CDC97C0" w14:textId="531A9EF3">
      <w:pPr>
        <w:rPr>
          <w:rFonts w:ascii="Arial" w:hAnsi="Arial" w:cs="Arial"/>
          <w:sz w:val="22"/>
          <w:szCs w:val="22"/>
        </w:rPr>
      </w:pPr>
      <w:r w:rsidRPr="001E5407">
        <w:rPr>
          <w:rFonts w:ascii="Arial" w:hAnsi="Arial" w:cs="Arial"/>
          <w:sz w:val="22"/>
          <w:szCs w:val="22"/>
        </w:rPr>
        <w:t xml:space="preserve">Licensees that participate in an integrated surveillance program have found it burdensome to meet this </w:t>
      </w:r>
      <w:r w:rsidR="00041438">
        <w:rPr>
          <w:rFonts w:ascii="Arial" w:hAnsi="Arial" w:cs="Arial"/>
          <w:sz w:val="22"/>
          <w:szCs w:val="22"/>
        </w:rPr>
        <w:t>1</w:t>
      </w:r>
      <w:r w:rsidR="00041438">
        <w:rPr>
          <w:rFonts w:ascii="Arial" w:hAnsi="Arial" w:cs="Arial"/>
          <w:sz w:val="22"/>
          <w:szCs w:val="22"/>
        </w:rPr>
        <w:noBreakHyphen/>
      </w:r>
      <w:r w:rsidRPr="001E5407">
        <w:rPr>
          <w:rFonts w:ascii="Arial" w:hAnsi="Arial" w:cs="Arial"/>
          <w:sz w:val="22"/>
          <w:szCs w:val="22"/>
        </w:rPr>
        <w:t>year requirement.</w:t>
      </w:r>
      <w:r w:rsidRPr="001E5407">
        <w:rPr>
          <w:rStyle w:val="FootnoteReference"/>
          <w:rFonts w:ascii="Arial" w:hAnsi="Arial" w:cs="Arial"/>
          <w:sz w:val="22"/>
          <w:szCs w:val="22"/>
        </w:rPr>
        <w:footnoteReference w:id="1"/>
      </w:r>
      <w:r w:rsidRPr="001E5407">
        <w:rPr>
          <w:rFonts w:ascii="Arial" w:hAnsi="Arial" w:cs="Arial"/>
          <w:sz w:val="22"/>
          <w:szCs w:val="22"/>
        </w:rPr>
        <w:t xml:space="preserve">  This occurs because an integrated surveillance program requires significant coordination among the multiple licensees participating in the program.  A significant number of test specimens have been analyzed since 1983, </w:t>
      </w:r>
      <w:r w:rsidR="00B47088">
        <w:rPr>
          <w:rFonts w:ascii="Arial" w:hAnsi="Arial" w:cs="Arial"/>
          <w:sz w:val="22"/>
          <w:szCs w:val="22"/>
        </w:rPr>
        <w:t xml:space="preserve">the results of which support the reduced need for </w:t>
      </w:r>
      <w:r w:rsidR="005F64D1">
        <w:rPr>
          <w:rFonts w:ascii="Arial" w:hAnsi="Arial" w:cs="Arial"/>
          <w:sz w:val="22"/>
          <w:szCs w:val="22"/>
        </w:rPr>
        <w:t>prompt reporting of the test results</w:t>
      </w:r>
      <w:r w:rsidR="00CC7E60">
        <w:rPr>
          <w:rFonts w:ascii="Arial" w:hAnsi="Arial" w:cs="Arial"/>
          <w:sz w:val="22"/>
          <w:szCs w:val="22"/>
        </w:rPr>
        <w:t>.</w:t>
      </w:r>
      <w:r w:rsidRPr="001E5407">
        <w:rPr>
          <w:rFonts w:ascii="Arial" w:hAnsi="Arial" w:cs="Arial"/>
          <w:sz w:val="22"/>
          <w:szCs w:val="22"/>
        </w:rPr>
        <w:t xml:space="preserve">  </w:t>
      </w:r>
      <w:r w:rsidR="00BD7185">
        <w:rPr>
          <w:rFonts w:ascii="Arial" w:hAnsi="Arial" w:cs="Arial"/>
          <w:sz w:val="22"/>
          <w:szCs w:val="22"/>
        </w:rPr>
        <w:t>B</w:t>
      </w:r>
      <w:r w:rsidRPr="00BD7185" w:rsidR="00BD7185">
        <w:rPr>
          <w:rFonts w:ascii="Arial" w:hAnsi="Arial" w:cs="Arial"/>
          <w:sz w:val="22"/>
          <w:szCs w:val="22"/>
        </w:rPr>
        <w:t xml:space="preserve">ased on this finding, the NRC determined that the reporting requirement in </w:t>
      </w:r>
      <w:r w:rsidR="003405D6">
        <w:rPr>
          <w:rFonts w:ascii="Arial" w:hAnsi="Arial" w:cs="Arial"/>
          <w:sz w:val="22"/>
          <w:szCs w:val="22"/>
        </w:rPr>
        <w:t>A</w:t>
      </w:r>
      <w:r w:rsidRPr="00BD7185" w:rsidR="00BD7185">
        <w:rPr>
          <w:rFonts w:ascii="Arial" w:hAnsi="Arial" w:cs="Arial"/>
          <w:sz w:val="22"/>
          <w:szCs w:val="22"/>
        </w:rPr>
        <w:t>ppendix H to 10 CFR </w:t>
      </w:r>
      <w:r w:rsidR="003405D6">
        <w:rPr>
          <w:rFonts w:ascii="Arial" w:hAnsi="Arial" w:cs="Arial"/>
          <w:sz w:val="22"/>
          <w:szCs w:val="22"/>
        </w:rPr>
        <w:t>P</w:t>
      </w:r>
      <w:r w:rsidRPr="00BD7185" w:rsidR="00BD7185">
        <w:rPr>
          <w:rFonts w:ascii="Arial" w:hAnsi="Arial" w:cs="Arial"/>
          <w:sz w:val="22"/>
          <w:szCs w:val="22"/>
        </w:rPr>
        <w:t xml:space="preserve">art 50 should be revised.  Extending the </w:t>
      </w:r>
      <w:r w:rsidRPr="00BD7185" w:rsidR="00E83605">
        <w:rPr>
          <w:rFonts w:ascii="Arial" w:hAnsi="Arial" w:cs="Arial"/>
          <w:sz w:val="22"/>
          <w:szCs w:val="22"/>
        </w:rPr>
        <w:t>period</w:t>
      </w:r>
      <w:r w:rsidR="00E83605">
        <w:rPr>
          <w:rFonts w:ascii="Arial" w:hAnsi="Arial" w:cs="Arial"/>
          <w:sz w:val="22"/>
          <w:szCs w:val="22"/>
        </w:rPr>
        <w:t>icity</w:t>
      </w:r>
      <w:r w:rsidRPr="00BD7185" w:rsidR="00BD7185">
        <w:rPr>
          <w:rFonts w:ascii="Arial" w:hAnsi="Arial" w:cs="Arial"/>
          <w:sz w:val="22"/>
          <w:szCs w:val="22"/>
        </w:rPr>
        <w:t xml:space="preserve"> </w:t>
      </w:r>
      <w:r w:rsidR="00915FAF">
        <w:rPr>
          <w:rFonts w:ascii="Arial" w:hAnsi="Arial" w:cs="Arial"/>
          <w:sz w:val="22"/>
          <w:szCs w:val="22"/>
        </w:rPr>
        <w:t>for submitting the summary technical report from 1 year to 18 months</w:t>
      </w:r>
      <w:r w:rsidR="002E5677">
        <w:rPr>
          <w:rFonts w:ascii="Arial" w:hAnsi="Arial" w:cs="Arial"/>
          <w:sz w:val="22"/>
          <w:szCs w:val="22"/>
        </w:rPr>
        <w:t xml:space="preserve"> will </w:t>
      </w:r>
      <w:r w:rsidRPr="00BD7185" w:rsidR="00BD7185">
        <w:rPr>
          <w:rFonts w:ascii="Arial" w:hAnsi="Arial" w:cs="Arial"/>
          <w:sz w:val="22"/>
          <w:szCs w:val="22"/>
        </w:rPr>
        <w:t>re</w:t>
      </w:r>
      <w:r w:rsidR="001765E1">
        <w:rPr>
          <w:rFonts w:ascii="Arial" w:hAnsi="Arial" w:cs="Arial"/>
          <w:sz w:val="22"/>
          <w:szCs w:val="22"/>
        </w:rPr>
        <w:t>sult in a reduction in information collection</w:t>
      </w:r>
      <w:r w:rsidR="0095327B">
        <w:rPr>
          <w:rFonts w:ascii="Arial" w:hAnsi="Arial" w:cs="Arial"/>
          <w:sz w:val="22"/>
          <w:szCs w:val="22"/>
        </w:rPr>
        <w:t>;</w:t>
      </w:r>
      <w:r w:rsidR="00C50D76">
        <w:rPr>
          <w:rFonts w:ascii="Arial" w:hAnsi="Arial" w:cs="Arial"/>
          <w:sz w:val="22"/>
          <w:szCs w:val="22"/>
        </w:rPr>
        <w:t xml:space="preserve"> with the objective</w:t>
      </w:r>
      <w:r w:rsidRPr="00BD7185" w:rsidR="00BD7185">
        <w:rPr>
          <w:rFonts w:ascii="Arial" w:hAnsi="Arial" w:cs="Arial"/>
          <w:sz w:val="22"/>
          <w:szCs w:val="22"/>
        </w:rPr>
        <w:t xml:space="preserve"> of eliminating the need for licensees to prepare and submit extension requests, and the use of NRC resources to review the requests.</w:t>
      </w:r>
      <w:r w:rsidR="00D81F16">
        <w:rPr>
          <w:rFonts w:ascii="Arial" w:hAnsi="Arial" w:cs="Arial"/>
          <w:sz w:val="22"/>
          <w:szCs w:val="22"/>
        </w:rPr>
        <w:t xml:space="preserve">  This revision </w:t>
      </w:r>
      <w:r w:rsidR="002E5677">
        <w:rPr>
          <w:rFonts w:ascii="Arial" w:hAnsi="Arial" w:cs="Arial"/>
          <w:sz w:val="22"/>
          <w:szCs w:val="22"/>
        </w:rPr>
        <w:t xml:space="preserve">will </w:t>
      </w:r>
      <w:r w:rsidR="00D81F16">
        <w:rPr>
          <w:rFonts w:ascii="Arial" w:hAnsi="Arial" w:cs="Arial"/>
          <w:sz w:val="22"/>
          <w:szCs w:val="22"/>
        </w:rPr>
        <w:t>have</w:t>
      </w:r>
      <w:r w:rsidR="002E5677">
        <w:rPr>
          <w:rFonts w:ascii="Arial" w:hAnsi="Arial" w:cs="Arial"/>
          <w:sz w:val="22"/>
          <w:szCs w:val="22"/>
        </w:rPr>
        <w:t xml:space="preserve"> </w:t>
      </w:r>
      <w:r w:rsidR="00D81F16">
        <w:rPr>
          <w:rFonts w:ascii="Arial" w:hAnsi="Arial" w:cs="Arial"/>
          <w:sz w:val="22"/>
          <w:szCs w:val="22"/>
        </w:rPr>
        <w:t>no effect on public healt</w:t>
      </w:r>
      <w:r w:rsidR="00D87828">
        <w:rPr>
          <w:rFonts w:ascii="Arial" w:hAnsi="Arial" w:cs="Arial"/>
          <w:sz w:val="22"/>
          <w:szCs w:val="22"/>
        </w:rPr>
        <w:t>h and safety</w:t>
      </w:r>
      <w:r w:rsidR="00D81F16">
        <w:rPr>
          <w:rFonts w:ascii="Arial" w:hAnsi="Arial" w:cs="Arial"/>
          <w:sz w:val="22"/>
          <w:szCs w:val="22"/>
        </w:rPr>
        <w:t>.</w:t>
      </w:r>
    </w:p>
    <w:p w:rsidR="00566D8F" w:rsidP="00BA6AEC" w:rsidRDefault="00566D8F" w14:paraId="25B65C2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96E01" w:rsidP="00496E01" w:rsidRDefault="00566D8F" w14:paraId="28A142EE" w14:textId="45B4906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0D03">
        <w:rPr>
          <w:rFonts w:ascii="Arial" w:hAnsi="Arial" w:cs="Arial"/>
          <w:sz w:val="22"/>
          <w:szCs w:val="22"/>
        </w:rPr>
        <w:t xml:space="preserve">In summary, </w:t>
      </w:r>
      <w:r w:rsidRPr="00A50D03" w:rsidR="00496E01">
        <w:rPr>
          <w:rFonts w:ascii="Arial" w:hAnsi="Arial" w:cs="Arial"/>
          <w:sz w:val="22"/>
          <w:szCs w:val="22"/>
        </w:rPr>
        <w:t xml:space="preserve">there is no reduction in the number of capsule reports that are required to be submitted to the NRC.  The </w:t>
      </w:r>
      <w:r w:rsidRPr="00A50D03" w:rsidR="00C72400">
        <w:rPr>
          <w:rFonts w:ascii="Arial" w:hAnsi="Arial" w:cs="Arial"/>
          <w:sz w:val="22"/>
          <w:szCs w:val="22"/>
        </w:rPr>
        <w:t xml:space="preserve">final </w:t>
      </w:r>
      <w:r w:rsidRPr="00A50D03" w:rsidR="00496E01">
        <w:rPr>
          <w:rFonts w:ascii="Arial" w:hAnsi="Arial" w:cs="Arial"/>
          <w:sz w:val="22"/>
          <w:szCs w:val="22"/>
        </w:rPr>
        <w:t xml:space="preserve">rule </w:t>
      </w:r>
      <w:r w:rsidRPr="00A50D03" w:rsidR="00685551">
        <w:rPr>
          <w:rFonts w:ascii="Arial" w:hAnsi="Arial" w:cs="Arial"/>
          <w:sz w:val="22"/>
          <w:szCs w:val="22"/>
        </w:rPr>
        <w:t xml:space="preserve">will </w:t>
      </w:r>
      <w:r w:rsidRPr="00A50D03" w:rsidR="00496E01">
        <w:rPr>
          <w:rFonts w:ascii="Arial" w:hAnsi="Arial" w:cs="Arial"/>
          <w:sz w:val="22"/>
          <w:szCs w:val="22"/>
        </w:rPr>
        <w:t xml:space="preserve">only allow licensees additional time for coordination, shipping and testing of irradiated specimens, and preparation of test reports.  This additional time </w:t>
      </w:r>
      <w:r w:rsidRPr="00A50D03" w:rsidR="00A22637">
        <w:rPr>
          <w:rFonts w:ascii="Arial" w:hAnsi="Arial" w:cs="Arial"/>
          <w:sz w:val="22"/>
          <w:szCs w:val="22"/>
        </w:rPr>
        <w:t xml:space="preserve">will </w:t>
      </w:r>
      <w:r w:rsidRPr="00A50D03" w:rsidR="00496E01">
        <w:rPr>
          <w:rFonts w:ascii="Arial" w:hAnsi="Arial" w:cs="Arial"/>
          <w:sz w:val="22"/>
          <w:szCs w:val="22"/>
        </w:rPr>
        <w:t>reduce the potential for licensees to prepare and submit an extension request to the reporting requirement and for NRC to review the request.  The burden reduction is directly associated with these extension requests.</w:t>
      </w:r>
      <w:r w:rsidR="00496E01">
        <w:rPr>
          <w:rFonts w:ascii="Arial" w:hAnsi="Arial" w:cs="Arial"/>
          <w:sz w:val="22"/>
          <w:szCs w:val="22"/>
        </w:rPr>
        <w:t xml:space="preserve">  T</w:t>
      </w:r>
      <w:r>
        <w:rPr>
          <w:rFonts w:ascii="Arial" w:hAnsi="Arial" w:cs="Arial"/>
          <w:sz w:val="22"/>
          <w:szCs w:val="22"/>
        </w:rPr>
        <w:t xml:space="preserve">he </w:t>
      </w:r>
      <w:r w:rsidR="00FE08B8">
        <w:rPr>
          <w:rFonts w:ascii="Arial" w:hAnsi="Arial" w:cs="Arial"/>
          <w:sz w:val="22"/>
          <w:szCs w:val="22"/>
        </w:rPr>
        <w:t xml:space="preserve">final </w:t>
      </w:r>
      <w:r>
        <w:rPr>
          <w:rFonts w:ascii="Arial" w:hAnsi="Arial" w:cs="Arial"/>
          <w:sz w:val="22"/>
          <w:szCs w:val="22"/>
        </w:rPr>
        <w:t xml:space="preserve">rule </w:t>
      </w:r>
      <w:r w:rsidR="00CC20EB">
        <w:rPr>
          <w:rFonts w:ascii="Arial" w:hAnsi="Arial" w:cs="Arial"/>
          <w:sz w:val="22"/>
          <w:szCs w:val="22"/>
        </w:rPr>
        <w:t>amend</w:t>
      </w:r>
      <w:r w:rsidR="00FE08B8">
        <w:rPr>
          <w:rFonts w:ascii="Arial" w:hAnsi="Arial" w:cs="Arial"/>
          <w:sz w:val="22"/>
          <w:szCs w:val="22"/>
        </w:rPr>
        <w:t>s</w:t>
      </w:r>
      <w:r w:rsidR="00CC20EB">
        <w:rPr>
          <w:rFonts w:ascii="Arial" w:hAnsi="Arial" w:cs="Arial"/>
          <w:sz w:val="22"/>
          <w:szCs w:val="22"/>
        </w:rPr>
        <w:t xml:space="preserve"> Appendix H to 10 CFR Part 50 to </w:t>
      </w:r>
      <w:r w:rsidR="00FD4F78">
        <w:rPr>
          <w:rFonts w:ascii="Arial" w:hAnsi="Arial" w:cs="Arial"/>
          <w:sz w:val="22"/>
          <w:szCs w:val="22"/>
        </w:rPr>
        <w:t>provide licensees with a non</w:t>
      </w:r>
      <w:r>
        <w:rPr>
          <w:rFonts w:ascii="Arial" w:hAnsi="Arial" w:cs="Arial"/>
          <w:sz w:val="22"/>
          <w:szCs w:val="22"/>
        </w:rPr>
        <w:t xml:space="preserve">mandatory </w:t>
      </w:r>
      <w:r w:rsidR="007E3BC9">
        <w:rPr>
          <w:rFonts w:ascii="Arial" w:hAnsi="Arial" w:cs="Arial"/>
          <w:sz w:val="22"/>
          <w:szCs w:val="22"/>
        </w:rPr>
        <w:t>burden reduction</w:t>
      </w:r>
      <w:r>
        <w:rPr>
          <w:rFonts w:ascii="Arial" w:hAnsi="Arial" w:cs="Arial"/>
          <w:sz w:val="22"/>
          <w:szCs w:val="22"/>
        </w:rPr>
        <w:t xml:space="preserve"> </w:t>
      </w:r>
      <w:r w:rsidR="004261B7">
        <w:rPr>
          <w:rFonts w:ascii="Arial" w:hAnsi="Arial" w:cs="Arial"/>
          <w:sz w:val="22"/>
          <w:szCs w:val="22"/>
        </w:rPr>
        <w:t xml:space="preserve">by </w:t>
      </w:r>
      <w:r w:rsidR="003002A5">
        <w:rPr>
          <w:rFonts w:ascii="Arial" w:hAnsi="Arial" w:cs="Arial"/>
          <w:sz w:val="22"/>
          <w:szCs w:val="22"/>
        </w:rPr>
        <w:t xml:space="preserve">(1) </w:t>
      </w:r>
      <w:r w:rsidR="00A80751">
        <w:rPr>
          <w:rFonts w:ascii="Arial" w:hAnsi="Arial" w:cs="Arial"/>
          <w:sz w:val="22"/>
          <w:szCs w:val="22"/>
        </w:rPr>
        <w:t xml:space="preserve">reducing </w:t>
      </w:r>
      <w:r w:rsidR="004261B7">
        <w:rPr>
          <w:rFonts w:ascii="Arial" w:hAnsi="Arial" w:cs="Arial"/>
          <w:sz w:val="22"/>
          <w:szCs w:val="22"/>
        </w:rPr>
        <w:t xml:space="preserve">the </w:t>
      </w:r>
      <w:r w:rsidR="00FE6694">
        <w:rPr>
          <w:rFonts w:ascii="Arial" w:hAnsi="Arial" w:cs="Arial"/>
          <w:sz w:val="22"/>
          <w:szCs w:val="22"/>
        </w:rPr>
        <w:t xml:space="preserve">testing of certain specimens and (2) </w:t>
      </w:r>
      <w:r w:rsidR="004261B7">
        <w:rPr>
          <w:rFonts w:ascii="Arial" w:hAnsi="Arial" w:cs="Arial"/>
          <w:sz w:val="22"/>
          <w:szCs w:val="22"/>
        </w:rPr>
        <w:t xml:space="preserve">extending the periodicity </w:t>
      </w:r>
      <w:r w:rsidR="0014542A">
        <w:rPr>
          <w:rFonts w:ascii="Arial" w:hAnsi="Arial" w:cs="Arial"/>
          <w:sz w:val="22"/>
          <w:szCs w:val="22"/>
        </w:rPr>
        <w:t xml:space="preserve">for submitting the summary technical report </w:t>
      </w:r>
      <w:r w:rsidR="004261B7">
        <w:rPr>
          <w:rFonts w:ascii="Arial" w:hAnsi="Arial" w:cs="Arial"/>
          <w:sz w:val="22"/>
          <w:szCs w:val="22"/>
        </w:rPr>
        <w:t xml:space="preserve">from </w:t>
      </w:r>
      <w:r>
        <w:rPr>
          <w:rFonts w:ascii="Arial" w:hAnsi="Arial" w:cs="Arial"/>
          <w:sz w:val="22"/>
          <w:szCs w:val="22"/>
        </w:rPr>
        <w:t>1 yea</w:t>
      </w:r>
      <w:r w:rsidR="000C55DE">
        <w:rPr>
          <w:rFonts w:ascii="Arial" w:hAnsi="Arial" w:cs="Arial"/>
          <w:sz w:val="22"/>
          <w:szCs w:val="22"/>
        </w:rPr>
        <w:t>r</w:t>
      </w:r>
      <w:r w:rsidR="00765BD0">
        <w:rPr>
          <w:rFonts w:ascii="Arial" w:hAnsi="Arial" w:cs="Arial"/>
          <w:sz w:val="22"/>
          <w:szCs w:val="22"/>
        </w:rPr>
        <w:t xml:space="preserve"> to 18 </w:t>
      </w:r>
      <w:r>
        <w:rPr>
          <w:rFonts w:ascii="Arial" w:hAnsi="Arial" w:cs="Arial"/>
          <w:sz w:val="22"/>
          <w:szCs w:val="22"/>
        </w:rPr>
        <w:t>months.  Because the</w:t>
      </w:r>
      <w:r w:rsidR="007E3BC9">
        <w:rPr>
          <w:rFonts w:ascii="Arial" w:hAnsi="Arial" w:cs="Arial"/>
          <w:sz w:val="22"/>
          <w:szCs w:val="22"/>
        </w:rPr>
        <w:t xml:space="preserve"> </w:t>
      </w:r>
      <w:r w:rsidR="00FE08B8">
        <w:rPr>
          <w:rFonts w:ascii="Arial" w:hAnsi="Arial" w:cs="Arial"/>
          <w:sz w:val="22"/>
          <w:szCs w:val="22"/>
        </w:rPr>
        <w:t xml:space="preserve">final </w:t>
      </w:r>
      <w:r w:rsidR="007E3BC9">
        <w:rPr>
          <w:rFonts w:ascii="Arial" w:hAnsi="Arial" w:cs="Arial"/>
          <w:sz w:val="22"/>
          <w:szCs w:val="22"/>
        </w:rPr>
        <w:t xml:space="preserve">revisions </w:t>
      </w:r>
      <w:r w:rsidR="00F806CC">
        <w:rPr>
          <w:rFonts w:ascii="Arial" w:hAnsi="Arial" w:cs="Arial"/>
          <w:sz w:val="22"/>
          <w:szCs w:val="22"/>
        </w:rPr>
        <w:t xml:space="preserve">will </w:t>
      </w:r>
      <w:r w:rsidR="007E3BC9">
        <w:rPr>
          <w:rFonts w:ascii="Arial" w:hAnsi="Arial" w:cs="Arial"/>
          <w:sz w:val="22"/>
          <w:szCs w:val="22"/>
        </w:rPr>
        <w:t>be</w:t>
      </w:r>
      <w:r w:rsidR="00F806CC">
        <w:rPr>
          <w:rFonts w:ascii="Arial" w:hAnsi="Arial" w:cs="Arial"/>
          <w:sz w:val="22"/>
          <w:szCs w:val="22"/>
        </w:rPr>
        <w:t xml:space="preserve"> </w:t>
      </w:r>
      <w:r w:rsidR="007E3BC9">
        <w:rPr>
          <w:rFonts w:ascii="Arial" w:hAnsi="Arial" w:cs="Arial"/>
          <w:sz w:val="22"/>
          <w:szCs w:val="22"/>
        </w:rPr>
        <w:t>n</w:t>
      </w:r>
      <w:r w:rsidR="00FD4F78">
        <w:rPr>
          <w:rFonts w:ascii="Arial" w:hAnsi="Arial" w:cs="Arial"/>
          <w:sz w:val="22"/>
          <w:szCs w:val="22"/>
        </w:rPr>
        <w:t>on</w:t>
      </w:r>
      <w:r>
        <w:rPr>
          <w:rFonts w:ascii="Arial" w:hAnsi="Arial" w:cs="Arial"/>
          <w:sz w:val="22"/>
          <w:szCs w:val="22"/>
        </w:rPr>
        <w:t>mandatory, lic</w:t>
      </w:r>
      <w:bookmarkStart w:name="_GoBack" w:id="1"/>
      <w:bookmarkEnd w:id="1"/>
      <w:r>
        <w:rPr>
          <w:rFonts w:ascii="Arial" w:hAnsi="Arial" w:cs="Arial"/>
          <w:sz w:val="22"/>
          <w:szCs w:val="22"/>
        </w:rPr>
        <w:t xml:space="preserve">ensees </w:t>
      </w:r>
      <w:r w:rsidR="007E3BC9">
        <w:rPr>
          <w:rFonts w:ascii="Arial" w:hAnsi="Arial" w:cs="Arial"/>
          <w:sz w:val="22"/>
          <w:szCs w:val="22"/>
        </w:rPr>
        <w:t>can</w:t>
      </w:r>
      <w:r w:rsidR="00A07451">
        <w:rPr>
          <w:rFonts w:ascii="Arial" w:hAnsi="Arial" w:cs="Arial"/>
          <w:sz w:val="22"/>
          <w:szCs w:val="22"/>
        </w:rPr>
        <w:t xml:space="preserve"> continue to follow the </w:t>
      </w:r>
      <w:r w:rsidR="00F72CF1">
        <w:rPr>
          <w:rFonts w:ascii="Arial" w:hAnsi="Arial" w:cs="Arial"/>
          <w:sz w:val="22"/>
          <w:szCs w:val="22"/>
        </w:rPr>
        <w:t xml:space="preserve">current </w:t>
      </w:r>
      <w:r w:rsidR="00A07451">
        <w:rPr>
          <w:rFonts w:ascii="Arial" w:hAnsi="Arial" w:cs="Arial"/>
          <w:sz w:val="22"/>
          <w:szCs w:val="22"/>
        </w:rPr>
        <w:t>testing and reporting requirements</w:t>
      </w:r>
      <w:r w:rsidR="00F72CF1">
        <w:rPr>
          <w:rFonts w:ascii="Arial" w:hAnsi="Arial" w:cs="Arial"/>
          <w:sz w:val="22"/>
          <w:szCs w:val="22"/>
        </w:rPr>
        <w:t xml:space="preserve"> (i.e., licensees can continue to submit surveillance test results within </w:t>
      </w:r>
      <w:r w:rsidR="00041438">
        <w:rPr>
          <w:rFonts w:ascii="Arial" w:hAnsi="Arial" w:cs="Arial"/>
          <w:sz w:val="22"/>
          <w:szCs w:val="22"/>
        </w:rPr>
        <w:t>1 </w:t>
      </w:r>
      <w:r w:rsidR="00F72CF1">
        <w:rPr>
          <w:rFonts w:ascii="Arial" w:hAnsi="Arial" w:cs="Arial"/>
          <w:sz w:val="22"/>
          <w:szCs w:val="22"/>
        </w:rPr>
        <w:t>year of the date of capsule withdrawal).</w:t>
      </w:r>
      <w:r w:rsidR="00A07451">
        <w:rPr>
          <w:rFonts w:ascii="Arial" w:hAnsi="Arial" w:cs="Arial"/>
          <w:sz w:val="22"/>
          <w:szCs w:val="22"/>
        </w:rPr>
        <w:t xml:space="preserve"> </w:t>
      </w:r>
      <w:r w:rsidR="00F72CF1">
        <w:rPr>
          <w:rFonts w:ascii="Arial" w:hAnsi="Arial" w:cs="Arial"/>
          <w:sz w:val="22"/>
          <w:szCs w:val="22"/>
        </w:rPr>
        <w:t xml:space="preserve"> Existing </w:t>
      </w:r>
      <w:r w:rsidR="006D3F63">
        <w:rPr>
          <w:rFonts w:ascii="Arial" w:hAnsi="Arial" w:cs="Arial"/>
          <w:sz w:val="22"/>
          <w:szCs w:val="22"/>
        </w:rPr>
        <w:t xml:space="preserve">and future licensee </w:t>
      </w:r>
      <w:r w:rsidR="00A07451">
        <w:rPr>
          <w:rFonts w:ascii="Arial" w:hAnsi="Arial" w:cs="Arial"/>
          <w:sz w:val="22"/>
          <w:szCs w:val="22"/>
        </w:rPr>
        <w:t xml:space="preserve">are expected to </w:t>
      </w:r>
      <w:r w:rsidR="006D3F63">
        <w:rPr>
          <w:rFonts w:ascii="Arial" w:hAnsi="Arial" w:cs="Arial"/>
          <w:sz w:val="22"/>
          <w:szCs w:val="22"/>
        </w:rPr>
        <w:t>take advantage of the revised testing and reporting requirements</w:t>
      </w:r>
      <w:r w:rsidR="00F72CF1">
        <w:rPr>
          <w:rFonts w:ascii="Arial" w:hAnsi="Arial" w:cs="Arial"/>
          <w:sz w:val="22"/>
          <w:szCs w:val="22"/>
        </w:rPr>
        <w:t xml:space="preserve"> to </w:t>
      </w:r>
      <w:r w:rsidR="00F03B6C">
        <w:rPr>
          <w:rFonts w:ascii="Arial" w:hAnsi="Arial" w:cs="Arial"/>
          <w:sz w:val="22"/>
          <w:szCs w:val="22"/>
        </w:rPr>
        <w:t xml:space="preserve">maximize the </w:t>
      </w:r>
      <w:r w:rsidR="00F72CF1">
        <w:rPr>
          <w:rFonts w:ascii="Arial" w:hAnsi="Arial" w:cs="Arial"/>
          <w:sz w:val="22"/>
          <w:szCs w:val="22"/>
        </w:rPr>
        <w:t>reduc</w:t>
      </w:r>
      <w:r w:rsidR="00F03B6C">
        <w:rPr>
          <w:rFonts w:ascii="Arial" w:hAnsi="Arial" w:cs="Arial"/>
          <w:sz w:val="22"/>
          <w:szCs w:val="22"/>
        </w:rPr>
        <w:t>tion in</w:t>
      </w:r>
      <w:r w:rsidR="00F72CF1">
        <w:rPr>
          <w:rFonts w:ascii="Arial" w:hAnsi="Arial" w:cs="Arial"/>
          <w:sz w:val="22"/>
          <w:szCs w:val="22"/>
        </w:rPr>
        <w:t xml:space="preserve"> </w:t>
      </w:r>
      <w:r w:rsidR="00576D72">
        <w:rPr>
          <w:rFonts w:ascii="Arial" w:hAnsi="Arial" w:cs="Arial"/>
          <w:sz w:val="22"/>
          <w:szCs w:val="22"/>
        </w:rPr>
        <w:t xml:space="preserve">regulatory </w:t>
      </w:r>
      <w:r w:rsidR="00F72CF1">
        <w:rPr>
          <w:rFonts w:ascii="Arial" w:hAnsi="Arial" w:cs="Arial"/>
          <w:sz w:val="22"/>
          <w:szCs w:val="22"/>
        </w:rPr>
        <w:t>burden</w:t>
      </w:r>
      <w:r w:rsidR="00576D72">
        <w:rPr>
          <w:rFonts w:ascii="Arial" w:hAnsi="Arial" w:cs="Arial"/>
          <w:sz w:val="22"/>
          <w:szCs w:val="22"/>
        </w:rPr>
        <w:t>.</w:t>
      </w:r>
    </w:p>
    <w:p w:rsidRPr="00D871AC" w:rsidR="00496E01" w:rsidP="002A64F1" w:rsidRDefault="00496E01" w14:paraId="5F9BF92E" w14:textId="77777777">
      <w:pPr>
        <w:rPr>
          <w:rFonts w:ascii="Arial" w:hAnsi="Arial" w:cs="Arial"/>
          <w:sz w:val="22"/>
          <w:szCs w:val="22"/>
        </w:rPr>
      </w:pPr>
    </w:p>
    <w:p w:rsidR="002A64F1" w:rsidP="002A64F1" w:rsidRDefault="002A64F1" w14:paraId="05F1663B" w14:textId="77777777">
      <w:pPr>
        <w:widowControl w:val="0"/>
        <w:numPr>
          <w:ilvl w:val="0"/>
          <w:numId w:val="4"/>
        </w:numPr>
        <w:rPr>
          <w:rFonts w:ascii="Arial" w:hAnsi="Arial"/>
          <w:sz w:val="22"/>
        </w:rPr>
      </w:pPr>
      <w:r w:rsidRPr="00D871AC">
        <w:rPr>
          <w:rFonts w:ascii="Arial" w:hAnsi="Arial" w:cs="Arial"/>
          <w:sz w:val="22"/>
          <w:szCs w:val="22"/>
        </w:rPr>
        <w:t>JUSTIFICATION</w:t>
      </w:r>
    </w:p>
    <w:p w:rsidR="002A64F1" w:rsidP="007F3E12" w:rsidRDefault="002A64F1" w14:paraId="18EB952A" w14:textId="77777777">
      <w:pPr>
        <w:widowControl w:val="0"/>
        <w:rPr>
          <w:rFonts w:ascii="Arial" w:hAnsi="Arial"/>
          <w:sz w:val="22"/>
        </w:rPr>
      </w:pPr>
    </w:p>
    <w:p w:rsidR="002A64F1" w:rsidP="002A64F1" w:rsidRDefault="002A64F1" w14:paraId="20C63AC9" w14:textId="77777777">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BB780C" w:rsidP="00BB780C" w:rsidRDefault="00BB780C" w14:paraId="6FC9F248" w14:textId="77777777">
      <w:pPr>
        <w:widowControl w:val="0"/>
        <w:rPr>
          <w:rFonts w:ascii="Arial" w:hAnsi="Arial"/>
          <w:sz w:val="22"/>
          <w:u w:val="single"/>
        </w:rPr>
      </w:pPr>
    </w:p>
    <w:p w:rsidR="00AA4DA0" w:rsidP="00AA4DA0" w:rsidRDefault="00D829D9" w14:paraId="31609604" w14:textId="726DD50C">
      <w:pPr>
        <w:ind w:left="1080"/>
        <w:rPr>
          <w:rFonts w:ascii="Arial" w:hAnsi="Arial" w:cs="Arial"/>
          <w:sz w:val="22"/>
          <w:szCs w:val="22"/>
        </w:rPr>
      </w:pPr>
      <w:r>
        <w:rPr>
          <w:rFonts w:ascii="Arial" w:hAnsi="Arial" w:cs="Arial"/>
          <w:sz w:val="22"/>
          <w:szCs w:val="22"/>
          <w:u w:val="single"/>
        </w:rPr>
        <w:t>Appendix H to 10 CFR Par</w:t>
      </w:r>
      <w:r w:rsidR="001A143B">
        <w:rPr>
          <w:rFonts w:ascii="Arial" w:hAnsi="Arial" w:cs="Arial"/>
          <w:sz w:val="22"/>
          <w:szCs w:val="22"/>
          <w:u w:val="single"/>
        </w:rPr>
        <w:t>t </w:t>
      </w:r>
      <w:r w:rsidRPr="008E0858">
        <w:rPr>
          <w:rFonts w:ascii="Arial" w:hAnsi="Arial" w:cs="Arial"/>
          <w:sz w:val="22"/>
          <w:szCs w:val="22"/>
          <w:u w:val="single"/>
        </w:rPr>
        <w:t>50</w:t>
      </w:r>
      <w:r>
        <w:rPr>
          <w:rFonts w:ascii="Arial" w:hAnsi="Arial" w:cs="Arial"/>
          <w:sz w:val="22"/>
          <w:szCs w:val="22"/>
        </w:rPr>
        <w:t xml:space="preserve"> requires a material surveillance program for each reactor vessel to monitor the changes in the fracture toughness of the reactor vessel beltline materials resulting from their exposure to neutron irradiation and the thermal environment.  </w:t>
      </w:r>
      <w:r w:rsidRPr="00D829D9" w:rsidR="00AA4DA0">
        <w:rPr>
          <w:rFonts w:ascii="Arial" w:hAnsi="Arial" w:cs="Arial"/>
          <w:sz w:val="22"/>
          <w:szCs w:val="22"/>
        </w:rPr>
        <w:t>T</w:t>
      </w:r>
      <w:r>
        <w:rPr>
          <w:rFonts w:ascii="Arial" w:hAnsi="Arial" w:cs="Arial"/>
          <w:sz w:val="22"/>
          <w:szCs w:val="22"/>
        </w:rPr>
        <w:t>he</w:t>
      </w:r>
      <w:r w:rsidRPr="00AA4DA0" w:rsidR="00AA4DA0">
        <w:rPr>
          <w:rFonts w:ascii="Arial" w:hAnsi="Arial" w:cs="Arial"/>
          <w:sz w:val="22"/>
          <w:szCs w:val="22"/>
        </w:rPr>
        <w:t xml:space="preserve"> material data obtained from the reactor vessel material surveillance program</w:t>
      </w:r>
      <w:r>
        <w:rPr>
          <w:rFonts w:ascii="Arial" w:hAnsi="Arial" w:cs="Arial"/>
          <w:sz w:val="22"/>
          <w:szCs w:val="22"/>
        </w:rPr>
        <w:t xml:space="preserve"> </w:t>
      </w:r>
      <w:r w:rsidRPr="00AA4DA0" w:rsidR="00AA4DA0">
        <w:rPr>
          <w:rFonts w:ascii="Arial" w:hAnsi="Arial" w:cs="Arial"/>
          <w:sz w:val="22"/>
          <w:szCs w:val="22"/>
        </w:rPr>
        <w:t>are used by the fracture toughness analyses required by Appendix G, “Fracture Toughness Requir</w:t>
      </w:r>
      <w:r w:rsidR="00802524">
        <w:rPr>
          <w:rFonts w:ascii="Arial" w:hAnsi="Arial" w:cs="Arial"/>
          <w:sz w:val="22"/>
          <w:szCs w:val="22"/>
        </w:rPr>
        <w:t>ements” (Appendix G), to 10 CFR </w:t>
      </w:r>
      <w:r w:rsidRPr="00AA4DA0" w:rsidR="00AA4DA0">
        <w:rPr>
          <w:rFonts w:ascii="Arial" w:hAnsi="Arial" w:cs="Arial"/>
          <w:sz w:val="22"/>
          <w:szCs w:val="22"/>
        </w:rPr>
        <w:t xml:space="preserve">Part 50; </w:t>
      </w:r>
      <w:r w:rsidR="001717C3">
        <w:rPr>
          <w:rFonts w:ascii="Arial" w:hAnsi="Arial" w:cs="Arial"/>
          <w:sz w:val="22"/>
          <w:szCs w:val="22"/>
        </w:rPr>
        <w:t>§ </w:t>
      </w:r>
      <w:r w:rsidRPr="00AA4DA0" w:rsidR="00AA4DA0">
        <w:rPr>
          <w:rFonts w:ascii="Arial" w:hAnsi="Arial" w:cs="Arial"/>
          <w:sz w:val="22"/>
          <w:szCs w:val="22"/>
        </w:rPr>
        <w:t xml:space="preserve">50.61, “Fracture Toughness Requirements for Protection Against Pressurized </w:t>
      </w:r>
      <w:r w:rsidRPr="00AA4DA0" w:rsidR="00AA4DA0">
        <w:rPr>
          <w:rFonts w:ascii="Arial" w:hAnsi="Arial" w:cs="Arial"/>
          <w:sz w:val="22"/>
          <w:szCs w:val="22"/>
        </w:rPr>
        <w:lastRenderedPageBreak/>
        <w:t xml:space="preserve">Thermal Shock Events”; and </w:t>
      </w:r>
      <w:r w:rsidR="008D7F3B">
        <w:rPr>
          <w:rFonts w:ascii="Arial" w:hAnsi="Arial"/>
          <w:sz w:val="22"/>
        </w:rPr>
        <w:t xml:space="preserve"> </w:t>
      </w:r>
      <w:r w:rsidR="008D7F3B">
        <w:rPr>
          <w:rFonts w:ascii="Arial" w:hAnsi="Arial" w:cs="Arial"/>
          <w:sz w:val="22"/>
          <w:szCs w:val="22"/>
        </w:rPr>
        <w:t>§ </w:t>
      </w:r>
      <w:r w:rsidRPr="00AA4DA0" w:rsidR="00AA4DA0">
        <w:rPr>
          <w:rFonts w:ascii="Arial" w:hAnsi="Arial" w:cs="Arial"/>
          <w:sz w:val="22"/>
          <w:szCs w:val="22"/>
        </w:rPr>
        <w:t>50.61a, “Alternate Fracture Toughness Requirements for Protection Against Pressurized Thermal Shock Events.”</w:t>
      </w:r>
      <w:r w:rsidR="00AF7394">
        <w:rPr>
          <w:rFonts w:ascii="Arial" w:hAnsi="Arial" w:cs="Arial"/>
          <w:sz w:val="22"/>
          <w:szCs w:val="22"/>
        </w:rPr>
        <w:t xml:space="preserve">  Th</w:t>
      </w:r>
      <w:r w:rsidR="00D2676E">
        <w:rPr>
          <w:rFonts w:ascii="Arial" w:hAnsi="Arial" w:cs="Arial"/>
          <w:sz w:val="22"/>
          <w:szCs w:val="22"/>
        </w:rPr>
        <w:t>us, th</w:t>
      </w:r>
      <w:r w:rsidR="00AF7394">
        <w:rPr>
          <w:rFonts w:ascii="Arial" w:hAnsi="Arial" w:cs="Arial"/>
          <w:sz w:val="22"/>
          <w:szCs w:val="22"/>
        </w:rPr>
        <w:t>e surveillance program f</w:t>
      </w:r>
      <w:r w:rsidR="00733A74">
        <w:rPr>
          <w:rFonts w:ascii="Arial" w:hAnsi="Arial" w:cs="Arial"/>
          <w:sz w:val="22"/>
          <w:szCs w:val="22"/>
        </w:rPr>
        <w:t xml:space="preserve">or each reactor vessel (1) provides </w:t>
      </w:r>
      <w:r w:rsidR="00AF7394">
        <w:rPr>
          <w:rFonts w:ascii="Arial" w:hAnsi="Arial" w:cs="Arial"/>
          <w:sz w:val="22"/>
          <w:szCs w:val="22"/>
        </w:rPr>
        <w:t xml:space="preserve">assurance that the plant’s operating limits (e.g., the pressure-temperature limits) continue to be met and </w:t>
      </w:r>
      <w:r w:rsidR="00733A74">
        <w:rPr>
          <w:rFonts w:ascii="Arial" w:hAnsi="Arial" w:cs="Arial"/>
          <w:sz w:val="22"/>
          <w:szCs w:val="22"/>
        </w:rPr>
        <w:t>(2) </w:t>
      </w:r>
      <w:r w:rsidR="00D2676E">
        <w:rPr>
          <w:rFonts w:ascii="Arial" w:hAnsi="Arial" w:cs="Arial"/>
          <w:sz w:val="22"/>
          <w:szCs w:val="22"/>
        </w:rPr>
        <w:t>monitors changes in fracture toughness properties of the reactor vessel materials through the operating life of the plant</w:t>
      </w:r>
      <w:r w:rsidR="00974794">
        <w:rPr>
          <w:rFonts w:ascii="Arial" w:hAnsi="Arial" w:cs="Arial"/>
          <w:sz w:val="22"/>
          <w:szCs w:val="22"/>
        </w:rPr>
        <w:t xml:space="preserve"> to ensure </w:t>
      </w:r>
      <w:r w:rsidR="00D2676E">
        <w:rPr>
          <w:rFonts w:ascii="Arial" w:hAnsi="Arial" w:cs="Arial"/>
          <w:sz w:val="22"/>
          <w:szCs w:val="22"/>
        </w:rPr>
        <w:t>reactor vessel</w:t>
      </w:r>
      <w:r w:rsidR="00974794">
        <w:rPr>
          <w:rFonts w:ascii="Arial" w:hAnsi="Arial" w:cs="Arial"/>
          <w:sz w:val="22"/>
          <w:szCs w:val="22"/>
        </w:rPr>
        <w:t xml:space="preserve"> integrity</w:t>
      </w:r>
      <w:r w:rsidR="00D2676E">
        <w:rPr>
          <w:rFonts w:ascii="Arial" w:hAnsi="Arial" w:cs="Arial"/>
          <w:sz w:val="22"/>
          <w:szCs w:val="22"/>
        </w:rPr>
        <w:t>.</w:t>
      </w:r>
    </w:p>
    <w:p w:rsidR="00D829D9" w:rsidP="007F3E12" w:rsidRDefault="00D829D9" w14:paraId="6167D39E" w14:textId="77777777">
      <w:pPr>
        <w:rPr>
          <w:rFonts w:ascii="Arial" w:hAnsi="Arial" w:cs="Arial"/>
          <w:sz w:val="22"/>
          <w:szCs w:val="22"/>
        </w:rPr>
      </w:pPr>
    </w:p>
    <w:p w:rsidR="00E430A2" w:rsidP="00AA4DA0" w:rsidRDefault="00922F0A" w14:paraId="672E4F21" w14:textId="16D6D76A">
      <w:pPr>
        <w:ind w:left="1080"/>
        <w:rPr>
          <w:rFonts w:ascii="Arial" w:hAnsi="Arial" w:cs="Arial"/>
          <w:sz w:val="22"/>
          <w:szCs w:val="22"/>
        </w:rPr>
      </w:pPr>
      <w:r>
        <w:rPr>
          <w:rFonts w:ascii="Arial" w:hAnsi="Arial" w:cs="Arial"/>
          <w:sz w:val="22"/>
          <w:szCs w:val="22"/>
          <w:u w:val="single"/>
        </w:rPr>
        <w:t xml:space="preserve">Appendix H, </w:t>
      </w:r>
      <w:r w:rsidRPr="00D829D9" w:rsidR="00D829D9">
        <w:rPr>
          <w:rFonts w:ascii="Arial" w:hAnsi="Arial" w:cs="Arial"/>
          <w:sz w:val="22"/>
          <w:szCs w:val="22"/>
          <w:u w:val="single"/>
        </w:rPr>
        <w:t>Section III.B.1</w:t>
      </w:r>
      <w:r w:rsidR="00D829D9">
        <w:rPr>
          <w:rFonts w:ascii="Arial" w:hAnsi="Arial" w:cs="Arial"/>
          <w:sz w:val="22"/>
          <w:szCs w:val="22"/>
        </w:rPr>
        <w:t xml:space="preserve"> </w:t>
      </w:r>
      <w:r w:rsidR="001A143B">
        <w:rPr>
          <w:rFonts w:ascii="Arial" w:hAnsi="Arial" w:cs="Arial"/>
          <w:sz w:val="22"/>
          <w:szCs w:val="22"/>
        </w:rPr>
        <w:t xml:space="preserve">specifies that for each surveillance capsule withdrawal, the </w:t>
      </w:r>
      <w:r w:rsidR="00D829D9">
        <w:rPr>
          <w:rFonts w:ascii="Arial" w:hAnsi="Arial" w:cs="Arial"/>
          <w:sz w:val="22"/>
          <w:szCs w:val="22"/>
        </w:rPr>
        <w:t xml:space="preserve">test procedures and reporting requirements </w:t>
      </w:r>
      <w:r w:rsidR="001A143B">
        <w:rPr>
          <w:rFonts w:ascii="Arial" w:hAnsi="Arial" w:cs="Arial"/>
          <w:sz w:val="22"/>
          <w:szCs w:val="22"/>
        </w:rPr>
        <w:t xml:space="preserve">must </w:t>
      </w:r>
      <w:r w:rsidR="00D829D9">
        <w:rPr>
          <w:rFonts w:ascii="Arial" w:hAnsi="Arial" w:cs="Arial"/>
          <w:sz w:val="22"/>
          <w:szCs w:val="22"/>
        </w:rPr>
        <w:t>meet the requirements of American Society for Testing and Materials</w:t>
      </w:r>
      <w:r w:rsidR="00E409F7">
        <w:rPr>
          <w:rFonts w:ascii="Arial" w:hAnsi="Arial" w:cs="Arial"/>
          <w:sz w:val="22"/>
          <w:szCs w:val="22"/>
        </w:rPr>
        <w:t xml:space="preserve"> </w:t>
      </w:r>
      <w:r w:rsidR="00D829D9">
        <w:rPr>
          <w:rFonts w:ascii="Arial" w:hAnsi="Arial" w:cs="Arial"/>
          <w:sz w:val="22"/>
          <w:szCs w:val="22"/>
        </w:rPr>
        <w:t>(AST</w:t>
      </w:r>
      <w:r w:rsidR="00E409F7">
        <w:rPr>
          <w:rFonts w:ascii="Arial" w:hAnsi="Arial" w:cs="Arial"/>
          <w:sz w:val="22"/>
          <w:szCs w:val="22"/>
        </w:rPr>
        <w:t>M</w:t>
      </w:r>
      <w:r w:rsidR="00D829D9">
        <w:rPr>
          <w:rFonts w:ascii="Arial" w:hAnsi="Arial" w:cs="Arial"/>
          <w:sz w:val="22"/>
          <w:szCs w:val="22"/>
        </w:rPr>
        <w:t>)</w:t>
      </w:r>
      <w:r w:rsidR="001B28EA">
        <w:rPr>
          <w:rFonts w:ascii="Arial" w:hAnsi="Arial" w:cs="Arial"/>
          <w:sz w:val="22"/>
          <w:szCs w:val="22"/>
        </w:rPr>
        <w:t> E </w:t>
      </w:r>
      <w:r w:rsidR="00E409F7">
        <w:rPr>
          <w:rFonts w:ascii="Arial" w:hAnsi="Arial" w:cs="Arial"/>
          <w:sz w:val="22"/>
          <w:szCs w:val="22"/>
        </w:rPr>
        <w:t>185</w:t>
      </w:r>
      <w:r w:rsidR="00E409F7">
        <w:rPr>
          <w:rFonts w:ascii="Arial" w:hAnsi="Arial" w:cs="Arial"/>
          <w:sz w:val="22"/>
          <w:szCs w:val="22"/>
        </w:rPr>
        <w:noBreakHyphen/>
        <w:t xml:space="preserve">82, “Standard Practice for Conducting Surveillance Tests for Light-Water Cooled Nuclear Power Reactor Vessels,” to the extent practical for the </w:t>
      </w:r>
      <w:r w:rsidR="00E430A2">
        <w:rPr>
          <w:rFonts w:ascii="Arial" w:hAnsi="Arial" w:cs="Arial"/>
          <w:sz w:val="22"/>
          <w:szCs w:val="22"/>
        </w:rPr>
        <w:t>configuration of t</w:t>
      </w:r>
      <w:r w:rsidR="001A143B">
        <w:rPr>
          <w:rFonts w:ascii="Arial" w:hAnsi="Arial" w:cs="Arial"/>
          <w:sz w:val="22"/>
          <w:szCs w:val="22"/>
        </w:rPr>
        <w:t xml:space="preserve">he </w:t>
      </w:r>
      <w:r w:rsidR="00E430A2">
        <w:rPr>
          <w:rFonts w:ascii="Arial" w:hAnsi="Arial" w:cs="Arial"/>
          <w:sz w:val="22"/>
          <w:szCs w:val="22"/>
        </w:rPr>
        <w:t>specimen</w:t>
      </w:r>
      <w:r w:rsidR="001A143B">
        <w:rPr>
          <w:rFonts w:ascii="Arial" w:hAnsi="Arial" w:cs="Arial"/>
          <w:sz w:val="22"/>
          <w:szCs w:val="22"/>
        </w:rPr>
        <w:t xml:space="preserve">s in the </w:t>
      </w:r>
      <w:r w:rsidR="00051CE7">
        <w:rPr>
          <w:rFonts w:ascii="Arial" w:hAnsi="Arial" w:cs="Arial"/>
          <w:sz w:val="22"/>
          <w:szCs w:val="22"/>
        </w:rPr>
        <w:t xml:space="preserve">capsule.  </w:t>
      </w:r>
      <w:r w:rsidR="00E430A2">
        <w:rPr>
          <w:rFonts w:ascii="Arial" w:hAnsi="Arial" w:cs="Arial"/>
          <w:sz w:val="22"/>
          <w:szCs w:val="22"/>
        </w:rPr>
        <w:t xml:space="preserve">The </w:t>
      </w:r>
      <w:r w:rsidR="00F247D6">
        <w:rPr>
          <w:rFonts w:ascii="Arial" w:hAnsi="Arial" w:cs="Arial"/>
          <w:sz w:val="22"/>
          <w:szCs w:val="22"/>
        </w:rPr>
        <w:t xml:space="preserve">final </w:t>
      </w:r>
      <w:r w:rsidR="00E430A2">
        <w:rPr>
          <w:rFonts w:ascii="Arial" w:hAnsi="Arial" w:cs="Arial"/>
          <w:sz w:val="22"/>
          <w:szCs w:val="22"/>
        </w:rPr>
        <w:t xml:space="preserve">rule </w:t>
      </w:r>
      <w:r w:rsidR="00143CFE">
        <w:rPr>
          <w:rFonts w:ascii="Arial" w:hAnsi="Arial" w:cs="Arial"/>
          <w:sz w:val="22"/>
          <w:szCs w:val="22"/>
        </w:rPr>
        <w:t xml:space="preserve">will </w:t>
      </w:r>
      <w:r w:rsidR="009C252E">
        <w:rPr>
          <w:rFonts w:ascii="Arial" w:hAnsi="Arial" w:cs="Arial"/>
          <w:sz w:val="22"/>
          <w:szCs w:val="22"/>
        </w:rPr>
        <w:t xml:space="preserve">revise this section to allow the use of </w:t>
      </w:r>
      <w:r w:rsidR="004700D0">
        <w:rPr>
          <w:rFonts w:ascii="Arial" w:hAnsi="Arial" w:cs="Arial"/>
          <w:sz w:val="22"/>
          <w:szCs w:val="22"/>
        </w:rPr>
        <w:t>optional</w:t>
      </w:r>
      <w:r w:rsidR="009C252E">
        <w:rPr>
          <w:rFonts w:ascii="Arial" w:hAnsi="Arial" w:cs="Arial"/>
          <w:sz w:val="22"/>
          <w:szCs w:val="22"/>
        </w:rPr>
        <w:t xml:space="preserve"> provisions for </w:t>
      </w:r>
      <w:r w:rsidR="001729F8">
        <w:rPr>
          <w:rFonts w:ascii="Arial" w:hAnsi="Arial" w:cs="Arial"/>
          <w:sz w:val="22"/>
          <w:szCs w:val="22"/>
        </w:rPr>
        <w:t xml:space="preserve">the </w:t>
      </w:r>
      <w:r w:rsidR="009C252E">
        <w:rPr>
          <w:rFonts w:ascii="Arial" w:hAnsi="Arial" w:cs="Arial"/>
          <w:sz w:val="22"/>
          <w:szCs w:val="22"/>
        </w:rPr>
        <w:t>test</w:t>
      </w:r>
      <w:r w:rsidR="001729F8">
        <w:rPr>
          <w:rFonts w:ascii="Arial" w:hAnsi="Arial" w:cs="Arial"/>
          <w:sz w:val="22"/>
          <w:szCs w:val="22"/>
        </w:rPr>
        <w:t xml:space="preserve">ing of </w:t>
      </w:r>
      <w:r w:rsidR="009C252E">
        <w:rPr>
          <w:rFonts w:ascii="Arial" w:hAnsi="Arial" w:cs="Arial"/>
          <w:sz w:val="22"/>
          <w:szCs w:val="22"/>
        </w:rPr>
        <w:t xml:space="preserve">specimens contained in </w:t>
      </w:r>
      <w:r w:rsidR="001729F8">
        <w:rPr>
          <w:rFonts w:ascii="Arial" w:hAnsi="Arial" w:cs="Arial"/>
          <w:sz w:val="22"/>
          <w:szCs w:val="22"/>
        </w:rPr>
        <w:t xml:space="preserve">surveillance </w:t>
      </w:r>
      <w:r w:rsidR="009C252E">
        <w:rPr>
          <w:rFonts w:ascii="Arial" w:hAnsi="Arial" w:cs="Arial"/>
          <w:sz w:val="22"/>
          <w:szCs w:val="22"/>
        </w:rPr>
        <w:t xml:space="preserve">capsules as provided under new </w:t>
      </w:r>
      <w:r w:rsidR="009A3FE4">
        <w:rPr>
          <w:rFonts w:ascii="Arial" w:hAnsi="Arial" w:cs="Arial"/>
          <w:sz w:val="22"/>
          <w:szCs w:val="22"/>
        </w:rPr>
        <w:t xml:space="preserve">Appendix H, </w:t>
      </w:r>
      <w:r w:rsidR="009C252E">
        <w:rPr>
          <w:rFonts w:ascii="Arial" w:hAnsi="Arial" w:cs="Arial"/>
          <w:sz w:val="22"/>
          <w:szCs w:val="22"/>
        </w:rPr>
        <w:t>Section III.B.4.</w:t>
      </w:r>
    </w:p>
    <w:p w:rsidR="00E430A2" w:rsidP="007F3E12" w:rsidRDefault="00E430A2" w14:paraId="769E930E" w14:textId="77777777">
      <w:pPr>
        <w:rPr>
          <w:rFonts w:ascii="Arial" w:hAnsi="Arial" w:cs="Arial"/>
          <w:sz w:val="22"/>
          <w:szCs w:val="22"/>
        </w:rPr>
      </w:pPr>
    </w:p>
    <w:p w:rsidR="00FB6DBC" w:rsidP="00526867" w:rsidRDefault="00922F0A" w14:paraId="3C7C79C5" w14:textId="0D7A5DCC">
      <w:pPr>
        <w:ind w:left="1080"/>
        <w:rPr>
          <w:rFonts w:ascii="Arial" w:hAnsi="Arial" w:cs="Arial"/>
          <w:sz w:val="22"/>
          <w:szCs w:val="22"/>
        </w:rPr>
      </w:pPr>
      <w:r>
        <w:rPr>
          <w:rFonts w:ascii="Arial" w:hAnsi="Arial" w:cs="Arial"/>
          <w:sz w:val="22"/>
          <w:szCs w:val="22"/>
          <w:u w:val="single"/>
        </w:rPr>
        <w:t xml:space="preserve">Appendix H, </w:t>
      </w:r>
      <w:r w:rsidRPr="00D829D9" w:rsidR="009C252E">
        <w:rPr>
          <w:rFonts w:ascii="Arial" w:hAnsi="Arial" w:cs="Arial"/>
          <w:sz w:val="22"/>
          <w:szCs w:val="22"/>
          <w:u w:val="single"/>
        </w:rPr>
        <w:t>Section III.B.</w:t>
      </w:r>
      <w:r w:rsidR="009C252E">
        <w:rPr>
          <w:rFonts w:ascii="Arial" w:hAnsi="Arial" w:cs="Arial"/>
          <w:sz w:val="22"/>
          <w:szCs w:val="22"/>
          <w:u w:val="single"/>
        </w:rPr>
        <w:t>4</w:t>
      </w:r>
      <w:r w:rsidRPr="009C252E" w:rsidR="009C252E">
        <w:rPr>
          <w:rFonts w:ascii="Arial" w:hAnsi="Arial" w:cs="Arial"/>
          <w:sz w:val="22"/>
          <w:szCs w:val="22"/>
        </w:rPr>
        <w:t xml:space="preserve"> </w:t>
      </w:r>
      <w:proofErr w:type="gramStart"/>
      <w:r w:rsidR="00EB79D8">
        <w:rPr>
          <w:rFonts w:ascii="Arial" w:hAnsi="Arial" w:cs="Arial"/>
          <w:sz w:val="22"/>
          <w:szCs w:val="22"/>
        </w:rPr>
        <w:t xml:space="preserve">will </w:t>
      </w:r>
      <w:r w:rsidRPr="009C252E" w:rsidR="009C252E">
        <w:rPr>
          <w:rFonts w:ascii="Arial" w:hAnsi="Arial" w:cs="Arial"/>
          <w:sz w:val="22"/>
          <w:szCs w:val="22"/>
        </w:rPr>
        <w:t xml:space="preserve"> be</w:t>
      </w:r>
      <w:proofErr w:type="gramEnd"/>
      <w:r w:rsidRPr="009C252E" w:rsidR="009C252E">
        <w:rPr>
          <w:rFonts w:ascii="Arial" w:hAnsi="Arial" w:cs="Arial"/>
          <w:sz w:val="22"/>
          <w:szCs w:val="22"/>
        </w:rPr>
        <w:t xml:space="preserve"> </w:t>
      </w:r>
      <w:r w:rsidR="009C252E">
        <w:rPr>
          <w:rFonts w:ascii="Arial" w:hAnsi="Arial" w:cs="Arial"/>
          <w:sz w:val="22"/>
          <w:szCs w:val="22"/>
        </w:rPr>
        <w:t xml:space="preserve">added to </w:t>
      </w:r>
      <w:r w:rsidR="008E67C7">
        <w:rPr>
          <w:rFonts w:ascii="Arial" w:hAnsi="Arial" w:cs="Arial"/>
          <w:sz w:val="22"/>
          <w:szCs w:val="22"/>
        </w:rPr>
        <w:t xml:space="preserve">provide </w:t>
      </w:r>
      <w:r w:rsidR="00041438">
        <w:rPr>
          <w:rFonts w:ascii="Arial" w:hAnsi="Arial" w:cs="Arial"/>
          <w:sz w:val="22"/>
          <w:szCs w:val="22"/>
        </w:rPr>
        <w:t xml:space="preserve">optional provisions </w:t>
      </w:r>
      <w:r w:rsidR="008E67C7">
        <w:rPr>
          <w:rFonts w:ascii="Arial" w:hAnsi="Arial" w:cs="Arial"/>
          <w:sz w:val="22"/>
          <w:szCs w:val="22"/>
        </w:rPr>
        <w:t xml:space="preserve">on ASTM E 185 through the 1982 edition, to </w:t>
      </w:r>
      <w:r w:rsidR="009C252E">
        <w:rPr>
          <w:rFonts w:ascii="Arial" w:hAnsi="Arial" w:cs="Arial"/>
          <w:sz w:val="22"/>
          <w:szCs w:val="22"/>
        </w:rPr>
        <w:t xml:space="preserve">allow for the adjustment of the number of specimens included or tested in the surveillance program.  </w:t>
      </w:r>
      <w:r w:rsidR="00861255">
        <w:rPr>
          <w:rFonts w:ascii="Arial" w:hAnsi="Arial" w:cs="Arial"/>
          <w:sz w:val="22"/>
          <w:szCs w:val="22"/>
        </w:rPr>
        <w:t xml:space="preserve">Licensees </w:t>
      </w:r>
      <w:r w:rsidR="00DC4EF0">
        <w:rPr>
          <w:rFonts w:ascii="Arial" w:hAnsi="Arial" w:cs="Arial"/>
          <w:sz w:val="22"/>
          <w:szCs w:val="22"/>
        </w:rPr>
        <w:t>will</w:t>
      </w:r>
      <w:r w:rsidR="00DC5467">
        <w:rPr>
          <w:rFonts w:ascii="Arial" w:hAnsi="Arial" w:cs="Arial"/>
          <w:sz w:val="22"/>
          <w:szCs w:val="22"/>
        </w:rPr>
        <w:t xml:space="preserve"> </w:t>
      </w:r>
      <w:r w:rsidR="00861255">
        <w:rPr>
          <w:rFonts w:ascii="Arial" w:hAnsi="Arial" w:cs="Arial"/>
          <w:sz w:val="22"/>
          <w:szCs w:val="22"/>
        </w:rPr>
        <w:t xml:space="preserve">no longer be required to include, test, or examine capsule specimens that do not provide beneficial surveillance data or support direct regulatory needs to assess and monitor the embrittlement of the reactor vessel.  </w:t>
      </w:r>
      <w:r w:rsidR="00904E31">
        <w:rPr>
          <w:rFonts w:ascii="Arial" w:hAnsi="Arial" w:cs="Arial"/>
          <w:sz w:val="22"/>
          <w:szCs w:val="22"/>
        </w:rPr>
        <w:t xml:space="preserve">In summary, </w:t>
      </w:r>
      <w:r w:rsidR="00FB6DBC">
        <w:rPr>
          <w:rFonts w:ascii="Arial" w:hAnsi="Arial" w:cs="Arial"/>
          <w:sz w:val="22"/>
          <w:szCs w:val="22"/>
        </w:rPr>
        <w:t xml:space="preserve">the </w:t>
      </w:r>
      <w:r w:rsidR="00316E45">
        <w:rPr>
          <w:rFonts w:ascii="Arial" w:hAnsi="Arial" w:cs="Arial"/>
          <w:sz w:val="22"/>
          <w:szCs w:val="22"/>
        </w:rPr>
        <w:t xml:space="preserve">final </w:t>
      </w:r>
      <w:r w:rsidR="00FB6DBC">
        <w:rPr>
          <w:rFonts w:ascii="Arial" w:hAnsi="Arial" w:cs="Arial"/>
          <w:sz w:val="22"/>
          <w:szCs w:val="22"/>
        </w:rPr>
        <w:t>rule</w:t>
      </w:r>
      <w:r w:rsidR="002572F7">
        <w:rPr>
          <w:rFonts w:ascii="Arial" w:hAnsi="Arial" w:cs="Arial"/>
          <w:sz w:val="22"/>
          <w:szCs w:val="22"/>
        </w:rPr>
        <w:t xml:space="preserve"> </w:t>
      </w:r>
      <w:r w:rsidR="00DC4EF0">
        <w:rPr>
          <w:rFonts w:ascii="Arial" w:hAnsi="Arial" w:cs="Arial"/>
          <w:sz w:val="22"/>
          <w:szCs w:val="22"/>
        </w:rPr>
        <w:t>will</w:t>
      </w:r>
      <w:r w:rsidR="00FB6DBC">
        <w:rPr>
          <w:rFonts w:ascii="Arial" w:hAnsi="Arial" w:cs="Arial"/>
          <w:sz w:val="22"/>
          <w:szCs w:val="22"/>
        </w:rPr>
        <w:t>:</w:t>
      </w:r>
    </w:p>
    <w:p w:rsidR="00FB6DBC" w:rsidP="007F3E12" w:rsidRDefault="00FB6DBC" w14:paraId="0E5853CF" w14:textId="77777777">
      <w:pPr>
        <w:rPr>
          <w:rFonts w:ascii="Arial" w:hAnsi="Arial" w:cs="Arial"/>
          <w:sz w:val="22"/>
          <w:szCs w:val="22"/>
        </w:rPr>
      </w:pPr>
    </w:p>
    <w:p w:rsidR="00FB6DBC" w:rsidP="00FB6DBC" w:rsidRDefault="00DC4EF0" w14:paraId="6D93EC7C" w14:textId="751BA39B">
      <w:pPr>
        <w:pStyle w:val="ListParagraph"/>
        <w:numPr>
          <w:ilvl w:val="0"/>
          <w:numId w:val="8"/>
        </w:numPr>
        <w:rPr>
          <w:rFonts w:ascii="Arial" w:hAnsi="Arial" w:cs="Arial"/>
          <w:sz w:val="22"/>
          <w:szCs w:val="22"/>
        </w:rPr>
      </w:pPr>
      <w:r>
        <w:rPr>
          <w:rFonts w:ascii="Arial" w:hAnsi="Arial" w:cs="Arial"/>
          <w:sz w:val="22"/>
          <w:szCs w:val="22"/>
        </w:rPr>
        <w:t>Specify</w:t>
      </w:r>
      <w:r w:rsidR="008D2C2C">
        <w:rPr>
          <w:rFonts w:ascii="Arial" w:hAnsi="Arial" w:cs="Arial"/>
          <w:sz w:val="22"/>
          <w:szCs w:val="22"/>
        </w:rPr>
        <w:t xml:space="preserve"> that testing </w:t>
      </w:r>
      <w:r w:rsidR="00FB6DBC">
        <w:rPr>
          <w:rFonts w:ascii="Arial" w:hAnsi="Arial" w:cs="Arial"/>
          <w:sz w:val="22"/>
          <w:szCs w:val="22"/>
        </w:rPr>
        <w:t>weld heat</w:t>
      </w:r>
      <w:r w:rsidR="00FB6DBC">
        <w:rPr>
          <w:rFonts w:ascii="Arial" w:hAnsi="Arial" w:cs="Arial"/>
          <w:sz w:val="22"/>
          <w:szCs w:val="22"/>
        </w:rPr>
        <w:noBreakHyphen/>
        <w:t xml:space="preserve">affected zone specimens </w:t>
      </w:r>
      <w:r w:rsidR="008D2C2C">
        <w:rPr>
          <w:rFonts w:ascii="Arial" w:hAnsi="Arial" w:cs="Arial"/>
          <w:sz w:val="22"/>
          <w:szCs w:val="22"/>
        </w:rPr>
        <w:t>is optional.</w:t>
      </w:r>
    </w:p>
    <w:p w:rsidR="008D2C2C" w:rsidP="00FB6DBC" w:rsidRDefault="008D2C2C" w14:paraId="7DF1C957" w14:textId="0E22A5DB">
      <w:pPr>
        <w:pStyle w:val="ListParagraph"/>
        <w:numPr>
          <w:ilvl w:val="0"/>
          <w:numId w:val="8"/>
        </w:numPr>
        <w:rPr>
          <w:rFonts w:ascii="Arial" w:hAnsi="Arial" w:cs="Arial"/>
          <w:sz w:val="22"/>
          <w:szCs w:val="22"/>
        </w:rPr>
      </w:pPr>
      <w:r>
        <w:rPr>
          <w:rFonts w:ascii="Arial" w:hAnsi="Arial" w:cs="Arial"/>
          <w:sz w:val="22"/>
          <w:szCs w:val="22"/>
        </w:rPr>
        <w:t>Specify that examining thermal monitors is optional</w:t>
      </w:r>
    </w:p>
    <w:p w:rsidR="00FB6DBC" w:rsidP="00FB6DBC" w:rsidRDefault="00FB6DBC" w14:paraId="5EE44B67" w14:textId="47B5B8BD">
      <w:pPr>
        <w:pStyle w:val="ListParagraph"/>
        <w:numPr>
          <w:ilvl w:val="0"/>
          <w:numId w:val="8"/>
        </w:numPr>
        <w:rPr>
          <w:rFonts w:ascii="Arial" w:hAnsi="Arial" w:cs="Arial"/>
          <w:sz w:val="22"/>
          <w:szCs w:val="22"/>
        </w:rPr>
      </w:pPr>
      <w:r>
        <w:rPr>
          <w:rFonts w:ascii="Arial" w:hAnsi="Arial" w:cs="Arial"/>
          <w:sz w:val="22"/>
          <w:szCs w:val="22"/>
        </w:rPr>
        <w:t>Reduce the number of tensile specimens that require testing.</w:t>
      </w:r>
    </w:p>
    <w:p w:rsidRPr="00FB6DBC" w:rsidR="00FB6DBC" w:rsidP="00FB6DBC" w:rsidRDefault="00FB6DBC" w14:paraId="772DA015" w14:textId="5C0BE371">
      <w:pPr>
        <w:pStyle w:val="ListParagraph"/>
        <w:numPr>
          <w:ilvl w:val="0"/>
          <w:numId w:val="8"/>
        </w:numPr>
        <w:rPr>
          <w:rFonts w:ascii="Arial" w:hAnsi="Arial" w:cs="Arial"/>
          <w:sz w:val="22"/>
          <w:szCs w:val="22"/>
        </w:rPr>
      </w:pPr>
      <w:r>
        <w:rPr>
          <w:rFonts w:ascii="Arial" w:hAnsi="Arial" w:cs="Arial"/>
          <w:sz w:val="22"/>
          <w:szCs w:val="22"/>
        </w:rPr>
        <w:t>Specify that testing correlation monitor material is optional.</w:t>
      </w:r>
    </w:p>
    <w:p w:rsidR="008D2C2C" w:rsidP="007F3E12" w:rsidRDefault="008D2C2C" w14:paraId="687ACCFF" w14:textId="77777777">
      <w:pPr>
        <w:tabs>
          <w:tab w:val="left" w:pos="1520"/>
        </w:tabs>
        <w:rPr>
          <w:rFonts w:ascii="Arial" w:hAnsi="Arial" w:cs="Arial"/>
          <w:sz w:val="22"/>
          <w:szCs w:val="22"/>
        </w:rPr>
      </w:pPr>
    </w:p>
    <w:p w:rsidR="00286F46" w:rsidP="00286F46" w:rsidRDefault="00286F46" w14:paraId="74E2CBEC" w14:textId="5D38BB03">
      <w:pPr>
        <w:ind w:left="1080"/>
        <w:rPr>
          <w:rFonts w:ascii="Arial" w:hAnsi="Arial" w:cs="Arial"/>
          <w:sz w:val="22"/>
          <w:szCs w:val="22"/>
        </w:rPr>
      </w:pPr>
      <w:r w:rsidRPr="00954453">
        <w:rPr>
          <w:rFonts w:ascii="Arial" w:hAnsi="Arial" w:cs="Arial"/>
          <w:sz w:val="22"/>
          <w:szCs w:val="22"/>
        </w:rPr>
        <w:t>Although t</w:t>
      </w:r>
      <w:r>
        <w:rPr>
          <w:rFonts w:ascii="Arial" w:hAnsi="Arial" w:cs="Arial"/>
          <w:sz w:val="22"/>
          <w:szCs w:val="22"/>
        </w:rPr>
        <w:t xml:space="preserve">he </w:t>
      </w:r>
      <w:r w:rsidR="005C22F8">
        <w:rPr>
          <w:rFonts w:ascii="Arial" w:hAnsi="Arial" w:cs="Arial"/>
          <w:sz w:val="22"/>
          <w:szCs w:val="22"/>
        </w:rPr>
        <w:t xml:space="preserve">final </w:t>
      </w:r>
      <w:r>
        <w:rPr>
          <w:rFonts w:ascii="Arial" w:hAnsi="Arial" w:cs="Arial"/>
          <w:sz w:val="22"/>
          <w:szCs w:val="22"/>
        </w:rPr>
        <w:t xml:space="preserve">revisions to Appendix H to 10 CFR Part 50 </w:t>
      </w:r>
      <w:r w:rsidR="00445BBC">
        <w:rPr>
          <w:rFonts w:ascii="Arial" w:hAnsi="Arial" w:cs="Arial"/>
          <w:sz w:val="22"/>
          <w:szCs w:val="22"/>
        </w:rPr>
        <w:t>will</w:t>
      </w:r>
      <w:r w:rsidR="000619E7">
        <w:rPr>
          <w:rFonts w:ascii="Arial" w:hAnsi="Arial" w:cs="Arial"/>
          <w:sz w:val="22"/>
          <w:szCs w:val="22"/>
        </w:rPr>
        <w:t xml:space="preserve"> </w:t>
      </w:r>
      <w:r w:rsidR="008610FC">
        <w:rPr>
          <w:rFonts w:ascii="Arial" w:hAnsi="Arial" w:cs="Arial"/>
          <w:sz w:val="22"/>
          <w:szCs w:val="22"/>
        </w:rPr>
        <w:t>reduce the number of specimens</w:t>
      </w:r>
      <w:r>
        <w:rPr>
          <w:rFonts w:ascii="Arial" w:hAnsi="Arial" w:cs="Arial"/>
          <w:sz w:val="22"/>
          <w:szCs w:val="22"/>
        </w:rPr>
        <w:t xml:space="preserve"> tested, </w:t>
      </w:r>
      <w:r w:rsidR="00922F0A">
        <w:rPr>
          <w:rFonts w:ascii="Arial" w:hAnsi="Arial" w:cs="Arial"/>
          <w:sz w:val="22"/>
          <w:szCs w:val="22"/>
        </w:rPr>
        <w:t xml:space="preserve">this change </w:t>
      </w:r>
      <w:r w:rsidR="00445BBC">
        <w:rPr>
          <w:rFonts w:ascii="Arial" w:hAnsi="Arial" w:cs="Arial"/>
          <w:sz w:val="22"/>
          <w:szCs w:val="22"/>
        </w:rPr>
        <w:t xml:space="preserve">will </w:t>
      </w:r>
      <w:r w:rsidR="00922F0A">
        <w:rPr>
          <w:rFonts w:ascii="Arial" w:hAnsi="Arial" w:cs="Arial"/>
          <w:sz w:val="22"/>
          <w:szCs w:val="22"/>
        </w:rPr>
        <w:t xml:space="preserve">have no effect </w:t>
      </w:r>
      <w:r w:rsidR="008610FC">
        <w:rPr>
          <w:rFonts w:ascii="Arial" w:hAnsi="Arial" w:cs="Arial"/>
          <w:sz w:val="22"/>
          <w:szCs w:val="22"/>
        </w:rPr>
        <w:t>on public health and safety</w:t>
      </w:r>
      <w:r w:rsidR="00922F0A">
        <w:rPr>
          <w:rFonts w:ascii="Arial" w:hAnsi="Arial" w:cs="Arial"/>
          <w:sz w:val="22"/>
          <w:szCs w:val="22"/>
        </w:rPr>
        <w:t xml:space="preserve">.  In addition, </w:t>
      </w:r>
      <w:r>
        <w:rPr>
          <w:rFonts w:ascii="Arial" w:hAnsi="Arial" w:cs="Arial"/>
          <w:sz w:val="22"/>
          <w:szCs w:val="22"/>
        </w:rPr>
        <w:t xml:space="preserve">it </w:t>
      </w:r>
      <w:r w:rsidR="00445BBC">
        <w:rPr>
          <w:rFonts w:ascii="Arial" w:hAnsi="Arial" w:cs="Arial"/>
          <w:sz w:val="22"/>
          <w:szCs w:val="22"/>
        </w:rPr>
        <w:t xml:space="preserve">will </w:t>
      </w:r>
      <w:r>
        <w:rPr>
          <w:rFonts w:ascii="Arial" w:hAnsi="Arial" w:cs="Arial"/>
          <w:sz w:val="22"/>
          <w:szCs w:val="22"/>
        </w:rPr>
        <w:t xml:space="preserve">only result in a </w:t>
      </w:r>
      <w:r w:rsidR="002D0B50">
        <w:rPr>
          <w:rFonts w:ascii="Arial" w:hAnsi="Arial" w:cs="Arial"/>
          <w:sz w:val="22"/>
          <w:szCs w:val="22"/>
        </w:rPr>
        <w:t xml:space="preserve">nominal effect </w:t>
      </w:r>
      <w:r>
        <w:rPr>
          <w:rFonts w:ascii="Arial" w:hAnsi="Arial" w:cs="Arial"/>
          <w:sz w:val="22"/>
          <w:szCs w:val="22"/>
        </w:rPr>
        <w:t xml:space="preserve">on the </w:t>
      </w:r>
      <w:r w:rsidR="002D0B50">
        <w:rPr>
          <w:rFonts w:ascii="Arial" w:hAnsi="Arial" w:cs="Arial"/>
          <w:sz w:val="22"/>
          <w:szCs w:val="22"/>
        </w:rPr>
        <w:t xml:space="preserve">amount of </w:t>
      </w:r>
      <w:r w:rsidR="00D9612A">
        <w:rPr>
          <w:rFonts w:ascii="Arial" w:hAnsi="Arial" w:cs="Arial"/>
          <w:sz w:val="22"/>
          <w:szCs w:val="22"/>
        </w:rPr>
        <w:t xml:space="preserve">data </w:t>
      </w:r>
      <w:r>
        <w:rPr>
          <w:rFonts w:ascii="Arial" w:hAnsi="Arial" w:cs="Arial"/>
          <w:sz w:val="22"/>
          <w:szCs w:val="22"/>
        </w:rPr>
        <w:t>included in the records generated by the surveillance program.  Thus,</w:t>
      </w:r>
      <w:r w:rsidR="00EC298D">
        <w:rPr>
          <w:rFonts w:ascii="Arial" w:hAnsi="Arial" w:cs="Arial"/>
          <w:sz w:val="22"/>
          <w:szCs w:val="22"/>
        </w:rPr>
        <w:t xml:space="preserve"> the</w:t>
      </w:r>
      <w:r>
        <w:rPr>
          <w:rFonts w:ascii="Arial" w:hAnsi="Arial" w:cs="Arial"/>
          <w:sz w:val="22"/>
          <w:szCs w:val="22"/>
        </w:rPr>
        <w:t xml:space="preserve"> </w:t>
      </w:r>
      <w:r w:rsidR="00D00A8E">
        <w:rPr>
          <w:rFonts w:ascii="Arial" w:hAnsi="Arial" w:cs="Arial"/>
          <w:sz w:val="22"/>
          <w:szCs w:val="22"/>
        </w:rPr>
        <w:t xml:space="preserve">final </w:t>
      </w:r>
      <w:r>
        <w:rPr>
          <w:rFonts w:ascii="Arial" w:hAnsi="Arial" w:cs="Arial"/>
          <w:sz w:val="22"/>
          <w:szCs w:val="22"/>
        </w:rPr>
        <w:t xml:space="preserve">action </w:t>
      </w:r>
      <w:r w:rsidR="00445BBC">
        <w:rPr>
          <w:rFonts w:ascii="Arial" w:hAnsi="Arial" w:cs="Arial"/>
          <w:sz w:val="22"/>
          <w:szCs w:val="22"/>
        </w:rPr>
        <w:t>will</w:t>
      </w:r>
      <w:r w:rsidR="000619E7">
        <w:rPr>
          <w:rFonts w:ascii="Arial" w:hAnsi="Arial" w:cs="Arial"/>
          <w:sz w:val="22"/>
          <w:szCs w:val="22"/>
        </w:rPr>
        <w:t xml:space="preserve"> </w:t>
      </w:r>
      <w:r>
        <w:rPr>
          <w:rFonts w:ascii="Arial" w:hAnsi="Arial" w:cs="Arial"/>
          <w:sz w:val="22"/>
          <w:szCs w:val="22"/>
        </w:rPr>
        <w:t>have an overall negligible effect on the cost of recordkeeping and the associated change in burden is not considered further in this supporting statement.</w:t>
      </w:r>
    </w:p>
    <w:p w:rsidR="00B50B78" w:rsidP="007F3E12" w:rsidRDefault="00B50B78" w14:paraId="3BB6155F" w14:textId="77777777">
      <w:pPr>
        <w:rPr>
          <w:rFonts w:ascii="Arial" w:hAnsi="Arial" w:cs="Arial"/>
          <w:sz w:val="22"/>
          <w:szCs w:val="22"/>
        </w:rPr>
      </w:pPr>
    </w:p>
    <w:p w:rsidR="00203A78" w:rsidP="00EA0C03" w:rsidRDefault="009A3FE4" w14:paraId="481F5C2B" w14:textId="1D403903">
      <w:pPr>
        <w:ind w:left="1080"/>
        <w:rPr>
          <w:rFonts w:ascii="Arial" w:hAnsi="Arial" w:cs="Arial"/>
          <w:sz w:val="22"/>
          <w:szCs w:val="22"/>
        </w:rPr>
      </w:pPr>
      <w:r>
        <w:rPr>
          <w:rFonts w:ascii="Arial" w:hAnsi="Arial" w:cs="Arial"/>
          <w:sz w:val="22"/>
          <w:szCs w:val="22"/>
          <w:u w:val="single"/>
        </w:rPr>
        <w:t>Appendix H, Section </w:t>
      </w:r>
      <w:r w:rsidRPr="00D829D9" w:rsidR="00526867">
        <w:rPr>
          <w:rFonts w:ascii="Arial" w:hAnsi="Arial" w:cs="Arial"/>
          <w:sz w:val="22"/>
          <w:szCs w:val="22"/>
          <w:u w:val="single"/>
        </w:rPr>
        <w:t>I</w:t>
      </w:r>
      <w:r w:rsidR="00526867">
        <w:rPr>
          <w:rFonts w:ascii="Arial" w:hAnsi="Arial" w:cs="Arial"/>
          <w:sz w:val="22"/>
          <w:szCs w:val="22"/>
          <w:u w:val="single"/>
        </w:rPr>
        <w:t>V.A</w:t>
      </w:r>
      <w:r w:rsidR="00526867">
        <w:rPr>
          <w:rFonts w:ascii="Arial" w:hAnsi="Arial" w:cs="Arial"/>
          <w:sz w:val="22"/>
          <w:szCs w:val="22"/>
        </w:rPr>
        <w:t xml:space="preserve"> requires </w:t>
      </w:r>
      <w:r w:rsidR="00D23B45">
        <w:rPr>
          <w:rFonts w:ascii="Arial" w:hAnsi="Arial" w:cs="Arial"/>
          <w:sz w:val="22"/>
          <w:szCs w:val="22"/>
        </w:rPr>
        <w:t xml:space="preserve">that each capsule withdrawal and the test results must be the subject of </w:t>
      </w:r>
      <w:r w:rsidR="00526867">
        <w:rPr>
          <w:rFonts w:ascii="Arial" w:hAnsi="Arial" w:cs="Arial"/>
          <w:sz w:val="22"/>
          <w:szCs w:val="22"/>
        </w:rPr>
        <w:t>a summary tech</w:t>
      </w:r>
      <w:r w:rsidR="00922F0A">
        <w:rPr>
          <w:rFonts w:ascii="Arial" w:hAnsi="Arial" w:cs="Arial"/>
          <w:sz w:val="22"/>
          <w:szCs w:val="22"/>
        </w:rPr>
        <w:t>nical report, submitted to the NRC</w:t>
      </w:r>
      <w:r w:rsidR="00D23B45">
        <w:rPr>
          <w:rFonts w:ascii="Arial" w:hAnsi="Arial" w:cs="Arial"/>
          <w:sz w:val="22"/>
          <w:szCs w:val="22"/>
        </w:rPr>
        <w:t xml:space="preserve"> within </w:t>
      </w:r>
      <w:r w:rsidR="00041438">
        <w:rPr>
          <w:rFonts w:ascii="Arial" w:hAnsi="Arial" w:cs="Arial"/>
          <w:sz w:val="22"/>
          <w:szCs w:val="22"/>
        </w:rPr>
        <w:t>1 </w:t>
      </w:r>
      <w:r w:rsidR="00D23B45">
        <w:rPr>
          <w:rFonts w:ascii="Arial" w:hAnsi="Arial" w:cs="Arial"/>
          <w:sz w:val="22"/>
          <w:szCs w:val="22"/>
        </w:rPr>
        <w:t xml:space="preserve">year of the date of capsule withdrawal, </w:t>
      </w:r>
      <w:r w:rsidR="00716F00">
        <w:rPr>
          <w:rFonts w:ascii="Arial" w:hAnsi="Arial" w:cs="Arial"/>
          <w:sz w:val="22"/>
          <w:szCs w:val="22"/>
        </w:rPr>
        <w:t>unless a</w:t>
      </w:r>
      <w:r w:rsidR="00D23B45">
        <w:rPr>
          <w:rFonts w:ascii="Arial" w:hAnsi="Arial" w:cs="Arial"/>
          <w:sz w:val="22"/>
          <w:szCs w:val="22"/>
        </w:rPr>
        <w:t xml:space="preserve">n extension is granted by the </w:t>
      </w:r>
      <w:r w:rsidR="00716F00">
        <w:rPr>
          <w:rFonts w:ascii="Arial" w:hAnsi="Arial" w:cs="Arial"/>
          <w:sz w:val="22"/>
          <w:szCs w:val="22"/>
        </w:rPr>
        <w:t>Director, Office of Nuclear Reactor Regulation.</w:t>
      </w:r>
      <w:r w:rsidR="00A630C1">
        <w:rPr>
          <w:rFonts w:ascii="Arial" w:hAnsi="Arial" w:cs="Arial"/>
          <w:sz w:val="22"/>
          <w:szCs w:val="22"/>
        </w:rPr>
        <w:t xml:space="preserve">  </w:t>
      </w:r>
      <w:r w:rsidR="0051067D">
        <w:rPr>
          <w:rFonts w:ascii="Arial" w:hAnsi="Arial" w:cs="Arial"/>
          <w:sz w:val="22"/>
          <w:szCs w:val="22"/>
        </w:rPr>
        <w:t xml:space="preserve">The </w:t>
      </w:r>
      <w:r w:rsidR="0079598C">
        <w:rPr>
          <w:rFonts w:ascii="Arial" w:hAnsi="Arial" w:cs="Arial"/>
          <w:sz w:val="22"/>
          <w:szCs w:val="22"/>
        </w:rPr>
        <w:t xml:space="preserve">final </w:t>
      </w:r>
      <w:r w:rsidR="002E3ED8">
        <w:rPr>
          <w:rFonts w:ascii="Arial" w:hAnsi="Arial" w:cs="Arial"/>
          <w:sz w:val="22"/>
          <w:szCs w:val="22"/>
        </w:rPr>
        <w:t xml:space="preserve">rule </w:t>
      </w:r>
      <w:r w:rsidR="00EA0C03">
        <w:rPr>
          <w:rFonts w:ascii="Arial" w:hAnsi="Arial" w:cs="Arial"/>
          <w:sz w:val="22"/>
          <w:szCs w:val="22"/>
        </w:rPr>
        <w:t>will</w:t>
      </w:r>
      <w:r w:rsidR="00453713">
        <w:rPr>
          <w:rFonts w:ascii="Arial" w:hAnsi="Arial" w:cs="Arial"/>
          <w:sz w:val="22"/>
          <w:szCs w:val="22"/>
        </w:rPr>
        <w:t xml:space="preserve"> </w:t>
      </w:r>
      <w:r w:rsidR="002E3ED8">
        <w:rPr>
          <w:rFonts w:ascii="Arial" w:hAnsi="Arial" w:cs="Arial"/>
          <w:sz w:val="22"/>
          <w:szCs w:val="22"/>
        </w:rPr>
        <w:t>revise the periodicity</w:t>
      </w:r>
      <w:r w:rsidR="0051067D">
        <w:rPr>
          <w:rFonts w:ascii="Arial" w:hAnsi="Arial" w:cs="Arial"/>
          <w:sz w:val="22"/>
          <w:szCs w:val="22"/>
        </w:rPr>
        <w:t xml:space="preserve"> for </w:t>
      </w:r>
      <w:r w:rsidR="005F05FA">
        <w:rPr>
          <w:rFonts w:ascii="Arial" w:hAnsi="Arial" w:cs="Arial"/>
          <w:sz w:val="22"/>
          <w:szCs w:val="22"/>
        </w:rPr>
        <w:t xml:space="preserve">submitting the </w:t>
      </w:r>
      <w:r w:rsidR="0051067D">
        <w:rPr>
          <w:rFonts w:ascii="Arial" w:hAnsi="Arial" w:cs="Arial"/>
          <w:sz w:val="22"/>
          <w:szCs w:val="22"/>
        </w:rPr>
        <w:t xml:space="preserve">summary technical report from 1 year to 18 months.  </w:t>
      </w:r>
      <w:r w:rsidR="00A630C1">
        <w:rPr>
          <w:rFonts w:ascii="Arial" w:hAnsi="Arial" w:cs="Arial"/>
          <w:sz w:val="22"/>
          <w:szCs w:val="22"/>
        </w:rPr>
        <w:t>The NRC uses the results from the surveillance program to assess licensee submittals related to pressure-temperature limits in accordance wi</w:t>
      </w:r>
      <w:r w:rsidR="00BF7E5B">
        <w:rPr>
          <w:rFonts w:ascii="Arial" w:hAnsi="Arial" w:cs="Arial"/>
          <w:sz w:val="22"/>
          <w:szCs w:val="22"/>
        </w:rPr>
        <w:t>th Appendix G to 10 CFR Part 50</w:t>
      </w:r>
      <w:r w:rsidR="00A630C1">
        <w:rPr>
          <w:rFonts w:ascii="Arial" w:hAnsi="Arial" w:cs="Arial"/>
          <w:sz w:val="22"/>
          <w:szCs w:val="22"/>
        </w:rPr>
        <w:t>, and to assess pressurized water reactor l</w:t>
      </w:r>
      <w:r w:rsidR="001B28EA">
        <w:rPr>
          <w:rFonts w:ascii="Arial" w:hAnsi="Arial" w:cs="Arial"/>
          <w:sz w:val="22"/>
          <w:szCs w:val="22"/>
        </w:rPr>
        <w:t xml:space="preserve">icensee’s compliance with </w:t>
      </w:r>
      <w:r w:rsidR="00BA77F1">
        <w:rPr>
          <w:rFonts w:ascii="Arial" w:hAnsi="Arial"/>
          <w:sz w:val="22"/>
        </w:rPr>
        <w:t xml:space="preserve"> </w:t>
      </w:r>
      <w:r w:rsidR="00BA77F1">
        <w:rPr>
          <w:rFonts w:ascii="Arial" w:hAnsi="Arial" w:cs="Arial"/>
          <w:sz w:val="22"/>
          <w:szCs w:val="22"/>
        </w:rPr>
        <w:t>§ </w:t>
      </w:r>
      <w:r w:rsidR="00A630C1">
        <w:rPr>
          <w:rFonts w:ascii="Arial" w:hAnsi="Arial" w:cs="Arial"/>
          <w:sz w:val="22"/>
          <w:szCs w:val="22"/>
        </w:rPr>
        <w:t xml:space="preserve">50.61 or </w:t>
      </w:r>
      <w:r w:rsidR="00BA77F1">
        <w:rPr>
          <w:rFonts w:ascii="Arial" w:hAnsi="Arial"/>
          <w:sz w:val="22"/>
        </w:rPr>
        <w:t xml:space="preserve"> </w:t>
      </w:r>
      <w:r w:rsidR="00BA77F1">
        <w:rPr>
          <w:rFonts w:ascii="Arial" w:hAnsi="Arial" w:cs="Arial"/>
          <w:sz w:val="22"/>
          <w:szCs w:val="22"/>
        </w:rPr>
        <w:t>§ </w:t>
      </w:r>
      <w:r w:rsidR="001B28EA">
        <w:rPr>
          <w:rFonts w:ascii="Arial" w:hAnsi="Arial" w:cs="Arial"/>
          <w:sz w:val="22"/>
          <w:szCs w:val="22"/>
        </w:rPr>
        <w:t xml:space="preserve"> </w:t>
      </w:r>
      <w:r w:rsidR="00A630C1">
        <w:rPr>
          <w:rFonts w:ascii="Arial" w:hAnsi="Arial" w:cs="Arial"/>
          <w:sz w:val="22"/>
          <w:szCs w:val="22"/>
        </w:rPr>
        <w:t>50.61a</w:t>
      </w:r>
      <w:r w:rsidR="004C1D68">
        <w:rPr>
          <w:rFonts w:ascii="Arial" w:hAnsi="Arial" w:cs="Arial"/>
          <w:sz w:val="22"/>
          <w:szCs w:val="22"/>
        </w:rPr>
        <w:t xml:space="preserve">.  </w:t>
      </w:r>
      <w:r w:rsidR="00FB11F1">
        <w:rPr>
          <w:rFonts w:ascii="Arial" w:hAnsi="Arial" w:cs="Arial"/>
          <w:sz w:val="22"/>
          <w:szCs w:val="22"/>
        </w:rPr>
        <w:t xml:space="preserve">Increasing the </w:t>
      </w:r>
      <w:r w:rsidR="000E78DF">
        <w:rPr>
          <w:rFonts w:ascii="Arial" w:hAnsi="Arial" w:cs="Arial"/>
          <w:sz w:val="22"/>
          <w:szCs w:val="22"/>
        </w:rPr>
        <w:t>periodicity</w:t>
      </w:r>
      <w:r w:rsidR="00920F30">
        <w:rPr>
          <w:rFonts w:ascii="Arial" w:hAnsi="Arial" w:cs="Arial"/>
          <w:sz w:val="22"/>
          <w:szCs w:val="22"/>
        </w:rPr>
        <w:t xml:space="preserve"> for submitting the </w:t>
      </w:r>
      <w:r w:rsidR="005F05FA">
        <w:rPr>
          <w:rFonts w:ascii="Arial" w:hAnsi="Arial" w:cs="Arial"/>
          <w:sz w:val="22"/>
          <w:szCs w:val="22"/>
        </w:rPr>
        <w:t xml:space="preserve">summary technical </w:t>
      </w:r>
      <w:r w:rsidR="00CB58F0">
        <w:rPr>
          <w:rFonts w:ascii="Arial" w:hAnsi="Arial" w:cs="Arial"/>
          <w:sz w:val="22"/>
          <w:szCs w:val="22"/>
        </w:rPr>
        <w:t>report by 6 </w:t>
      </w:r>
      <w:r w:rsidR="002B622D">
        <w:rPr>
          <w:rFonts w:ascii="Arial" w:hAnsi="Arial" w:cs="Arial"/>
          <w:sz w:val="22"/>
          <w:szCs w:val="22"/>
        </w:rPr>
        <w:t xml:space="preserve">months </w:t>
      </w:r>
      <w:r w:rsidR="00EA0C03">
        <w:rPr>
          <w:rFonts w:ascii="Arial" w:hAnsi="Arial" w:cs="Arial"/>
          <w:sz w:val="22"/>
          <w:szCs w:val="22"/>
        </w:rPr>
        <w:t>will</w:t>
      </w:r>
      <w:r w:rsidR="00920F30">
        <w:rPr>
          <w:rFonts w:ascii="Arial" w:hAnsi="Arial" w:cs="Arial"/>
          <w:sz w:val="22"/>
          <w:szCs w:val="22"/>
        </w:rPr>
        <w:t xml:space="preserve"> not have an adverse effect on safety based on the conservative nature of the calculations used to assess embrittlement of the reactor </w:t>
      </w:r>
      <w:r w:rsidR="00F27AC7">
        <w:rPr>
          <w:rFonts w:ascii="Arial" w:hAnsi="Arial" w:cs="Arial"/>
          <w:sz w:val="22"/>
          <w:szCs w:val="22"/>
        </w:rPr>
        <w:t>vessel but</w:t>
      </w:r>
      <w:r w:rsidR="0023516B">
        <w:rPr>
          <w:rFonts w:ascii="Arial" w:hAnsi="Arial" w:cs="Arial"/>
          <w:sz w:val="22"/>
          <w:szCs w:val="22"/>
        </w:rPr>
        <w:t xml:space="preserve"> </w:t>
      </w:r>
      <w:r w:rsidR="0079598C">
        <w:rPr>
          <w:rFonts w:ascii="Arial" w:hAnsi="Arial" w:cs="Arial"/>
          <w:sz w:val="22"/>
          <w:szCs w:val="22"/>
        </w:rPr>
        <w:t xml:space="preserve">will </w:t>
      </w:r>
      <w:r w:rsidR="00920F30">
        <w:rPr>
          <w:rFonts w:ascii="Arial" w:hAnsi="Arial" w:cs="Arial"/>
          <w:sz w:val="22"/>
          <w:szCs w:val="22"/>
        </w:rPr>
        <w:t xml:space="preserve">reduce </w:t>
      </w:r>
      <w:r w:rsidR="003B7E8C">
        <w:rPr>
          <w:rFonts w:ascii="Arial" w:hAnsi="Arial" w:cs="Arial"/>
          <w:sz w:val="22"/>
          <w:szCs w:val="22"/>
        </w:rPr>
        <w:t xml:space="preserve">burden on respondents </w:t>
      </w:r>
      <w:r w:rsidR="00920F30">
        <w:rPr>
          <w:rFonts w:ascii="Arial" w:hAnsi="Arial" w:cs="Arial"/>
          <w:sz w:val="22"/>
          <w:szCs w:val="22"/>
        </w:rPr>
        <w:t>by eliminating the need for an extension</w:t>
      </w:r>
      <w:r w:rsidR="00BA00D8">
        <w:rPr>
          <w:rFonts w:ascii="Arial" w:hAnsi="Arial" w:cs="Arial"/>
          <w:sz w:val="22"/>
          <w:szCs w:val="22"/>
        </w:rPr>
        <w:t xml:space="preserve"> request</w:t>
      </w:r>
      <w:r w:rsidR="00920F30">
        <w:rPr>
          <w:rFonts w:ascii="Arial" w:hAnsi="Arial" w:cs="Arial"/>
          <w:sz w:val="22"/>
          <w:szCs w:val="22"/>
        </w:rPr>
        <w:t>.</w:t>
      </w:r>
    </w:p>
    <w:p w:rsidR="00D3414B" w:rsidP="007F3E12" w:rsidRDefault="00D3414B" w14:paraId="309AA684" w14:textId="77777777">
      <w:pPr>
        <w:rPr>
          <w:rFonts w:ascii="Arial" w:hAnsi="Arial" w:cs="Arial"/>
          <w:sz w:val="22"/>
          <w:szCs w:val="22"/>
        </w:rPr>
      </w:pPr>
    </w:p>
    <w:p w:rsidR="00BA00D8" w:rsidP="00BA00D8" w:rsidRDefault="00203A78" w14:paraId="33C03A13" w14:textId="4FE323BD">
      <w:pPr>
        <w:ind w:left="1080"/>
        <w:rPr>
          <w:rFonts w:ascii="Arial" w:hAnsi="Arial" w:cs="Arial"/>
          <w:sz w:val="22"/>
          <w:szCs w:val="22"/>
        </w:rPr>
      </w:pPr>
      <w:r>
        <w:rPr>
          <w:rFonts w:ascii="Arial" w:hAnsi="Arial" w:cs="Arial"/>
          <w:sz w:val="22"/>
          <w:szCs w:val="22"/>
        </w:rPr>
        <w:lastRenderedPageBreak/>
        <w:t xml:space="preserve">The reporting burden on respondents </w:t>
      </w:r>
      <w:r w:rsidR="00BA00D8">
        <w:rPr>
          <w:rFonts w:ascii="Arial" w:hAnsi="Arial" w:cs="Arial"/>
          <w:sz w:val="22"/>
          <w:szCs w:val="22"/>
        </w:rPr>
        <w:t xml:space="preserve">for the information collection under </w:t>
      </w:r>
      <w:r w:rsidR="00E83605">
        <w:rPr>
          <w:rFonts w:ascii="Arial" w:hAnsi="Arial" w:cs="Arial"/>
          <w:sz w:val="22"/>
          <w:szCs w:val="22"/>
        </w:rPr>
        <w:t xml:space="preserve">Appendix H, </w:t>
      </w:r>
      <w:r w:rsidR="00BA00D8">
        <w:rPr>
          <w:rFonts w:ascii="Arial" w:hAnsi="Arial" w:cs="Arial"/>
          <w:sz w:val="22"/>
          <w:szCs w:val="22"/>
        </w:rPr>
        <w:t>Section IV.A is comprised of the effort</w:t>
      </w:r>
      <w:r>
        <w:rPr>
          <w:rFonts w:ascii="Arial" w:hAnsi="Arial" w:cs="Arial"/>
          <w:sz w:val="22"/>
          <w:szCs w:val="22"/>
        </w:rPr>
        <w:t>s to prepare and submit the (1)</w:t>
      </w:r>
      <w:r>
        <w:t> </w:t>
      </w:r>
      <w:r w:rsidR="00BA00D8">
        <w:rPr>
          <w:rFonts w:ascii="Arial" w:hAnsi="Arial" w:cs="Arial"/>
          <w:sz w:val="22"/>
          <w:szCs w:val="22"/>
        </w:rPr>
        <w:t>summary technical report and (2) request an exte</w:t>
      </w:r>
      <w:r w:rsidR="0014542A">
        <w:rPr>
          <w:rFonts w:ascii="Arial" w:hAnsi="Arial" w:cs="Arial"/>
          <w:sz w:val="22"/>
          <w:szCs w:val="22"/>
        </w:rPr>
        <w:t xml:space="preserve">nsion to the periodicity for </w:t>
      </w:r>
      <w:r w:rsidR="00FC56DB">
        <w:rPr>
          <w:rFonts w:ascii="Arial" w:hAnsi="Arial" w:cs="Arial"/>
          <w:sz w:val="22"/>
          <w:szCs w:val="22"/>
        </w:rPr>
        <w:t xml:space="preserve">submitting the summary technical </w:t>
      </w:r>
      <w:r w:rsidR="0014542A">
        <w:rPr>
          <w:rFonts w:ascii="Arial" w:hAnsi="Arial" w:cs="Arial"/>
          <w:sz w:val="22"/>
          <w:szCs w:val="22"/>
        </w:rPr>
        <w:t>report</w:t>
      </w:r>
      <w:r w:rsidR="00BA00D8">
        <w:rPr>
          <w:rFonts w:ascii="Arial" w:hAnsi="Arial" w:cs="Arial"/>
          <w:sz w:val="22"/>
          <w:szCs w:val="22"/>
        </w:rPr>
        <w:t xml:space="preserve">.  Regarding the summary technical report, the burden reduction associated with </w:t>
      </w:r>
      <w:r w:rsidR="00046287">
        <w:rPr>
          <w:rFonts w:ascii="Arial" w:hAnsi="Arial" w:cs="Arial"/>
          <w:sz w:val="22"/>
          <w:szCs w:val="22"/>
        </w:rPr>
        <w:t>changes in the number of specimens</w:t>
      </w:r>
      <w:r w:rsidR="00BA00D8">
        <w:rPr>
          <w:rFonts w:ascii="Arial" w:hAnsi="Arial" w:cs="Arial"/>
          <w:sz w:val="22"/>
          <w:szCs w:val="22"/>
        </w:rPr>
        <w:t xml:space="preserve"> tested is considered nominal.  Therefore, the NRC staff are not anticipating any change in the reporting burden for the </w:t>
      </w:r>
      <w:r w:rsidR="00EB75DC">
        <w:rPr>
          <w:rFonts w:ascii="Arial" w:hAnsi="Arial" w:cs="Arial"/>
          <w:sz w:val="22"/>
          <w:szCs w:val="22"/>
        </w:rPr>
        <w:t xml:space="preserve">summary technical </w:t>
      </w:r>
      <w:r w:rsidR="00BA00D8">
        <w:rPr>
          <w:rFonts w:ascii="Arial" w:hAnsi="Arial" w:cs="Arial"/>
          <w:sz w:val="22"/>
          <w:szCs w:val="22"/>
        </w:rPr>
        <w:t xml:space="preserve">report under </w:t>
      </w:r>
      <w:r w:rsidR="00EB75DC">
        <w:rPr>
          <w:rFonts w:ascii="Arial" w:hAnsi="Arial" w:cs="Arial"/>
          <w:sz w:val="22"/>
          <w:szCs w:val="22"/>
        </w:rPr>
        <w:t xml:space="preserve">Appendix H, </w:t>
      </w:r>
      <w:r w:rsidR="00BA00D8">
        <w:rPr>
          <w:rFonts w:ascii="Arial" w:hAnsi="Arial" w:cs="Arial"/>
          <w:sz w:val="22"/>
          <w:szCs w:val="22"/>
        </w:rPr>
        <w:t xml:space="preserve">Section IV.A.  This component of the reporting burden is not considered further in this supporting statement.  On the other hand, by extending the </w:t>
      </w:r>
      <w:r>
        <w:rPr>
          <w:rFonts w:ascii="Arial" w:hAnsi="Arial" w:cs="Arial"/>
          <w:sz w:val="22"/>
          <w:szCs w:val="22"/>
        </w:rPr>
        <w:t>periodicity for submitting the summary technical report,</w:t>
      </w:r>
      <w:r w:rsidR="00BA00D8">
        <w:rPr>
          <w:rFonts w:ascii="Arial" w:hAnsi="Arial" w:cs="Arial"/>
          <w:sz w:val="22"/>
          <w:szCs w:val="22"/>
        </w:rPr>
        <w:t xml:space="preserve"> </w:t>
      </w:r>
      <w:r>
        <w:rPr>
          <w:rFonts w:ascii="Arial" w:hAnsi="Arial" w:cs="Arial"/>
          <w:sz w:val="22"/>
          <w:szCs w:val="22"/>
        </w:rPr>
        <w:t xml:space="preserve">respondents </w:t>
      </w:r>
      <w:r w:rsidR="00453713">
        <w:rPr>
          <w:rFonts w:ascii="Arial" w:hAnsi="Arial" w:cs="Arial"/>
          <w:sz w:val="22"/>
          <w:szCs w:val="22"/>
        </w:rPr>
        <w:t xml:space="preserve">will </w:t>
      </w:r>
      <w:r w:rsidR="00BA00D8">
        <w:rPr>
          <w:rFonts w:ascii="Arial" w:hAnsi="Arial" w:cs="Arial"/>
          <w:sz w:val="22"/>
          <w:szCs w:val="22"/>
        </w:rPr>
        <w:t>no longer need to request extensions and this component of the reporting burden w</w:t>
      </w:r>
      <w:r w:rsidR="004F1B9D">
        <w:rPr>
          <w:rFonts w:ascii="Arial" w:hAnsi="Arial" w:cs="Arial"/>
          <w:sz w:val="22"/>
          <w:szCs w:val="22"/>
        </w:rPr>
        <w:t>ill</w:t>
      </w:r>
      <w:r w:rsidR="00BA00D8">
        <w:rPr>
          <w:rFonts w:ascii="Arial" w:hAnsi="Arial" w:cs="Arial"/>
          <w:sz w:val="22"/>
          <w:szCs w:val="22"/>
        </w:rPr>
        <w:t xml:space="preserve"> be reduced.</w:t>
      </w:r>
    </w:p>
    <w:p w:rsidR="00A064D1" w:rsidP="007F3E12" w:rsidRDefault="00A064D1" w14:paraId="24CA26D9" w14:textId="77777777">
      <w:pPr>
        <w:rPr>
          <w:rFonts w:ascii="Arial" w:hAnsi="Arial"/>
          <w:sz w:val="22"/>
          <w:u w:val="single"/>
        </w:rPr>
      </w:pPr>
    </w:p>
    <w:p w:rsidR="002A64F1" w:rsidP="00BA3E36" w:rsidRDefault="002A64F1" w14:paraId="7A412852" w14:textId="77777777">
      <w:pPr>
        <w:numPr>
          <w:ilvl w:val="0"/>
          <w:numId w:val="3"/>
        </w:numPr>
        <w:rPr>
          <w:rFonts w:ascii="Arial" w:hAnsi="Arial"/>
          <w:sz w:val="22"/>
          <w:u w:val="single"/>
        </w:rPr>
      </w:pPr>
      <w:r>
        <w:rPr>
          <w:rFonts w:ascii="Arial" w:hAnsi="Arial"/>
          <w:sz w:val="22"/>
          <w:u w:val="single"/>
        </w:rPr>
        <w:t>Agency Use of Information</w:t>
      </w:r>
    </w:p>
    <w:p w:rsidR="002A64F1" w:rsidP="00BA3E36" w:rsidRDefault="002A64F1" w14:paraId="30B4DBA9" w14:textId="77777777">
      <w:pPr>
        <w:rPr>
          <w:rFonts w:ascii="Arial" w:hAnsi="Arial"/>
          <w:sz w:val="22"/>
          <w:u w:val="single"/>
        </w:rPr>
      </w:pPr>
    </w:p>
    <w:p w:rsidR="00A476E9" w:rsidP="00BA3E36" w:rsidRDefault="00ED42A4" w14:paraId="255B9E44" w14:textId="51ED76ED">
      <w:pPr>
        <w:ind w:left="1080"/>
        <w:rPr>
          <w:rFonts w:ascii="Arial" w:hAnsi="Arial"/>
          <w:sz w:val="22"/>
        </w:rPr>
      </w:pPr>
      <w:r>
        <w:rPr>
          <w:rFonts w:ascii="Arial" w:hAnsi="Arial"/>
          <w:sz w:val="22"/>
        </w:rPr>
        <w:t xml:space="preserve">This information is needed to ensure that the reactor vessel does not </w:t>
      </w:r>
      <w:r w:rsidR="00573228">
        <w:rPr>
          <w:rFonts w:ascii="Arial" w:hAnsi="Arial"/>
          <w:sz w:val="22"/>
        </w:rPr>
        <w:t>exceed radiation embrittlement limits</w:t>
      </w:r>
      <w:r w:rsidR="00F87A6F">
        <w:rPr>
          <w:rFonts w:ascii="Arial" w:hAnsi="Arial"/>
          <w:sz w:val="22"/>
        </w:rPr>
        <w:t xml:space="preserve"> (i.e., Appendix G to 10 CFR Part 50, </w:t>
      </w:r>
      <w:r w:rsidR="00BA77F1">
        <w:rPr>
          <w:rFonts w:ascii="Arial" w:hAnsi="Arial" w:cs="Arial"/>
          <w:sz w:val="22"/>
          <w:szCs w:val="22"/>
        </w:rPr>
        <w:t>§ </w:t>
      </w:r>
      <w:r w:rsidRPr="00AA4DA0" w:rsidR="00F87A6F">
        <w:rPr>
          <w:rFonts w:ascii="Arial" w:hAnsi="Arial" w:cs="Arial"/>
          <w:sz w:val="22"/>
          <w:szCs w:val="22"/>
        </w:rPr>
        <w:t>50.61</w:t>
      </w:r>
      <w:r w:rsidR="00F87A6F">
        <w:rPr>
          <w:rFonts w:ascii="Arial" w:hAnsi="Arial" w:cs="Arial"/>
          <w:sz w:val="22"/>
          <w:szCs w:val="22"/>
        </w:rPr>
        <w:t>, and</w:t>
      </w:r>
      <w:r w:rsidR="00BA77F1">
        <w:rPr>
          <w:rFonts w:ascii="Arial" w:hAnsi="Arial"/>
          <w:sz w:val="22"/>
        </w:rPr>
        <w:t xml:space="preserve"> </w:t>
      </w:r>
      <w:r w:rsidR="00BA77F1">
        <w:rPr>
          <w:rFonts w:ascii="Arial" w:hAnsi="Arial" w:cs="Arial"/>
          <w:sz w:val="22"/>
          <w:szCs w:val="22"/>
        </w:rPr>
        <w:t>§ </w:t>
      </w:r>
      <w:r w:rsidRPr="00AA4DA0" w:rsidR="00F87A6F">
        <w:rPr>
          <w:rFonts w:ascii="Arial" w:hAnsi="Arial" w:cs="Arial"/>
          <w:sz w:val="22"/>
          <w:szCs w:val="22"/>
        </w:rPr>
        <w:t>50.61</w:t>
      </w:r>
      <w:r w:rsidR="00F87A6F">
        <w:rPr>
          <w:rFonts w:ascii="Arial" w:hAnsi="Arial" w:cs="Arial"/>
          <w:sz w:val="22"/>
          <w:szCs w:val="22"/>
        </w:rPr>
        <w:t xml:space="preserve">a) </w:t>
      </w:r>
      <w:r w:rsidR="00573228">
        <w:rPr>
          <w:rFonts w:ascii="Arial" w:hAnsi="Arial"/>
          <w:sz w:val="22"/>
        </w:rPr>
        <w:t xml:space="preserve">and meets the requirements of </w:t>
      </w:r>
      <w:r w:rsidR="00F87A6F">
        <w:rPr>
          <w:rFonts w:ascii="Arial" w:hAnsi="Arial"/>
          <w:sz w:val="22"/>
        </w:rPr>
        <w:t>Criterion </w:t>
      </w:r>
      <w:r w:rsidR="00573228">
        <w:rPr>
          <w:rFonts w:ascii="Arial" w:hAnsi="Arial"/>
          <w:sz w:val="22"/>
        </w:rPr>
        <w:t xml:space="preserve">31, “Fracture prevention of reactor coolant pressure boundary, and </w:t>
      </w:r>
      <w:r w:rsidR="00F87A6F">
        <w:rPr>
          <w:rFonts w:ascii="Arial" w:hAnsi="Arial"/>
          <w:sz w:val="22"/>
        </w:rPr>
        <w:t>Criterion </w:t>
      </w:r>
      <w:r w:rsidR="00573228">
        <w:rPr>
          <w:rFonts w:ascii="Arial" w:hAnsi="Arial"/>
          <w:sz w:val="22"/>
        </w:rPr>
        <w:t xml:space="preserve">32, “Inspection of reactor coolant pressure boundary,” </w:t>
      </w:r>
      <w:r w:rsidR="006C06B3">
        <w:rPr>
          <w:rFonts w:ascii="Arial" w:hAnsi="Arial"/>
          <w:sz w:val="22"/>
        </w:rPr>
        <w:t xml:space="preserve">as specified </w:t>
      </w:r>
      <w:r w:rsidR="00573228">
        <w:rPr>
          <w:rFonts w:ascii="Arial" w:hAnsi="Arial"/>
          <w:sz w:val="22"/>
        </w:rPr>
        <w:t>in Appendix A, “General Design Criteria for Nuclear Power Plants,” to 10 CFR Part 50</w:t>
      </w:r>
      <w:r w:rsidR="006C06B3">
        <w:rPr>
          <w:rFonts w:ascii="Arial" w:hAnsi="Arial"/>
          <w:sz w:val="22"/>
        </w:rPr>
        <w:t>.</w:t>
      </w:r>
    </w:p>
    <w:p w:rsidR="00A476E9" w:rsidP="00A476E9" w:rsidRDefault="00A476E9" w14:paraId="46D34F33" w14:textId="77777777">
      <w:pPr>
        <w:keepNext/>
        <w:rPr>
          <w:rFonts w:ascii="Arial" w:hAnsi="Arial"/>
          <w:sz w:val="22"/>
        </w:rPr>
      </w:pPr>
    </w:p>
    <w:p w:rsidR="002A64F1" w:rsidP="00A476E9" w:rsidRDefault="00A476E9" w14:paraId="33922FB8" w14:textId="0CEBF3A0">
      <w:pPr>
        <w:keepNext/>
        <w:ind w:left="1080" w:hanging="360"/>
        <w:rPr>
          <w:rFonts w:ascii="Arial" w:hAnsi="Arial"/>
          <w:sz w:val="22"/>
        </w:rPr>
      </w:pPr>
      <w:r w:rsidRPr="00A476E9">
        <w:rPr>
          <w:rFonts w:ascii="Arial" w:hAnsi="Arial"/>
          <w:sz w:val="22"/>
        </w:rPr>
        <w:t>3.</w:t>
      </w:r>
      <w:r w:rsidRPr="00A476E9">
        <w:rPr>
          <w:rFonts w:ascii="Arial" w:hAnsi="Arial"/>
          <w:sz w:val="22"/>
        </w:rPr>
        <w:tab/>
      </w:r>
      <w:r w:rsidR="00A972AD">
        <w:rPr>
          <w:rFonts w:ascii="Arial" w:hAnsi="Arial"/>
          <w:sz w:val="22"/>
          <w:u w:val="single"/>
        </w:rPr>
        <w:t xml:space="preserve">Reduction of Burden </w:t>
      </w:r>
      <w:r w:rsidR="002A64F1">
        <w:rPr>
          <w:rFonts w:ascii="Arial" w:hAnsi="Arial"/>
          <w:sz w:val="22"/>
          <w:u w:val="single"/>
        </w:rPr>
        <w:t>Through Information Technology</w:t>
      </w:r>
    </w:p>
    <w:p w:rsidR="002A64F1" w:rsidP="002A64F1" w:rsidRDefault="002A64F1" w14:paraId="0A3D77AB" w14:textId="77777777">
      <w:pPr>
        <w:widowControl w:val="0"/>
        <w:rPr>
          <w:rFonts w:ascii="Arial" w:hAnsi="Arial"/>
          <w:sz w:val="22"/>
        </w:rPr>
      </w:pPr>
    </w:p>
    <w:p w:rsidR="00915FA2" w:rsidP="002A64F1" w:rsidRDefault="00D871AC" w14:paraId="73249C15" w14:textId="5386E06D">
      <w:pPr>
        <w:widowControl w:val="0"/>
        <w:ind w:left="1080"/>
        <w:rPr>
          <w:rFonts w:ascii="Arial" w:hAnsi="Arial"/>
          <w:sz w:val="22"/>
        </w:rPr>
      </w:pPr>
      <w:r>
        <w:rPr>
          <w:rFonts w:ascii="Arial" w:hAnsi="Arial"/>
          <w:sz w:val="22"/>
        </w:rPr>
        <w:t xml:space="preserve">There are no legal obstacles to reducing the burden associated with this information collection. </w:t>
      </w:r>
      <w:r w:rsidR="0006251D">
        <w:rPr>
          <w:rFonts w:ascii="Arial" w:hAnsi="Arial"/>
          <w:sz w:val="22"/>
        </w:rPr>
        <w:t xml:space="preserve"> </w:t>
      </w:r>
      <w:r>
        <w:rPr>
          <w:rFonts w:ascii="Arial" w:hAnsi="Arial"/>
          <w:sz w:val="22"/>
        </w:rPr>
        <w:t>The NRC encourages respondents to use information technology when it would be beneficial to them.</w:t>
      </w:r>
    </w:p>
    <w:p w:rsidR="00915FA2" w:rsidP="00DD587C" w:rsidRDefault="00915FA2" w14:paraId="5E84BDF9" w14:textId="77777777">
      <w:pPr>
        <w:widowControl w:val="0"/>
        <w:rPr>
          <w:rFonts w:ascii="Arial" w:hAnsi="Arial"/>
          <w:sz w:val="22"/>
        </w:rPr>
      </w:pPr>
    </w:p>
    <w:p w:rsidRPr="00FD007F" w:rsidR="00915FA2" w:rsidP="00915FA2" w:rsidRDefault="00915FA2" w14:paraId="2578EC79" w14:textId="4D034116">
      <w:pPr>
        <w:widowControl w:val="0"/>
        <w:ind w:left="1080"/>
        <w:rPr>
          <w:rFonts w:ascii="Arial" w:hAnsi="Arial"/>
          <w:sz w:val="22"/>
        </w:rPr>
      </w:pPr>
      <w:r w:rsidRPr="00FD007F">
        <w:rPr>
          <w:rFonts w:ascii="Arial" w:hAnsi="Arial"/>
          <w:sz w:val="22"/>
        </w:rPr>
        <w:t xml:space="preserve">The NRC has issued </w:t>
      </w:r>
      <w:hyperlink w:history="1" r:id="rId11">
        <w:r w:rsidRPr="00FD007F">
          <w:rPr>
            <w:rStyle w:val="Hyperlink"/>
            <w:rFonts w:ascii="Arial" w:hAnsi="Arial"/>
            <w:i/>
            <w:iCs/>
            <w:sz w:val="22"/>
          </w:rPr>
          <w:t>Guidance for Electronic Submissions to the NRC</w:t>
        </w:r>
      </w:hyperlink>
      <w:r w:rsidR="007D48F4">
        <w:rPr>
          <w:rStyle w:val="Hyperlink"/>
          <w:rFonts w:ascii="Arial" w:hAnsi="Arial"/>
          <w:i/>
          <w:iCs/>
          <w:sz w:val="22"/>
        </w:rPr>
        <w:t>,</w:t>
      </w:r>
      <w:r w:rsidRPr="00FD007F">
        <w:rPr>
          <w:rFonts w:ascii="Arial" w:hAnsi="Arial"/>
          <w:sz w:val="22"/>
        </w:rPr>
        <w:t xml:space="preserve"> which provides direction for the electronic transmission and submittal of documents to</w:t>
      </w:r>
      <w:r w:rsidR="00F27AC7">
        <w:rPr>
          <w:rFonts w:ascii="Arial" w:hAnsi="Arial"/>
          <w:sz w:val="22"/>
        </w:rPr>
        <w:t xml:space="preserve"> the NRC. </w:t>
      </w:r>
      <w:r w:rsidRPr="00FD007F">
        <w:rPr>
          <w:rFonts w:ascii="Arial" w:hAnsi="Arial"/>
          <w:sz w:val="22"/>
        </w:rPr>
        <w:t xml:space="preserve"> Electronic transmission and submittal of documents can be accomplished via the following avenues: </w:t>
      </w:r>
      <w:r w:rsidR="00F27AC7">
        <w:rPr>
          <w:rFonts w:ascii="Arial" w:hAnsi="Arial"/>
          <w:sz w:val="22"/>
        </w:rPr>
        <w:t xml:space="preserve"> </w:t>
      </w:r>
      <w:r w:rsidRPr="00FD007F">
        <w:rPr>
          <w:rFonts w:ascii="Arial" w:hAnsi="Arial"/>
          <w:sz w:val="22"/>
        </w:rPr>
        <w:t>the Electronic Information Exchange (EIE) process, which is available from the NRC's “Electronic Submittals” Web page, by Optical Storage Media (OSM) (e.g.</w:t>
      </w:r>
      <w:r w:rsidR="00F27AC7">
        <w:rPr>
          <w:rFonts w:ascii="Arial" w:hAnsi="Arial"/>
          <w:sz w:val="22"/>
        </w:rPr>
        <w:t>,</w:t>
      </w:r>
      <w:r w:rsidRPr="00FD007F">
        <w:rPr>
          <w:rFonts w:ascii="Arial" w:hAnsi="Arial"/>
          <w:sz w:val="22"/>
        </w:rPr>
        <w:t xml:space="preserve"> CD-ROM, DV</w:t>
      </w:r>
      <w:r w:rsidR="00F27AC7">
        <w:rPr>
          <w:rFonts w:ascii="Arial" w:hAnsi="Arial"/>
          <w:sz w:val="22"/>
        </w:rPr>
        <w:t xml:space="preserve">D), by facsimile or by e-mail.  </w:t>
      </w:r>
      <w:r w:rsidRPr="00FD007F">
        <w:rPr>
          <w:rFonts w:ascii="Arial" w:hAnsi="Arial"/>
          <w:sz w:val="22"/>
        </w:rPr>
        <w:t>It i</w:t>
      </w:r>
      <w:r w:rsidR="00A972AD">
        <w:rPr>
          <w:rFonts w:ascii="Arial" w:hAnsi="Arial"/>
          <w:sz w:val="22"/>
        </w:rPr>
        <w:t xml:space="preserve">s estimated that approximately </w:t>
      </w:r>
      <w:r w:rsidRPr="00FD007F">
        <w:rPr>
          <w:rFonts w:ascii="Arial" w:hAnsi="Arial"/>
          <w:sz w:val="22"/>
        </w:rPr>
        <w:t>5</w:t>
      </w:r>
      <w:r w:rsidR="00A972AD">
        <w:rPr>
          <w:rFonts w:ascii="Arial" w:hAnsi="Arial"/>
          <w:sz w:val="22"/>
        </w:rPr>
        <w:t>0</w:t>
      </w:r>
      <w:r w:rsidR="00744A0C">
        <w:rPr>
          <w:rFonts w:ascii="Arial" w:hAnsi="Arial"/>
          <w:sz w:val="22"/>
        </w:rPr>
        <w:t xml:space="preserve"> percent </w:t>
      </w:r>
      <w:r w:rsidRPr="00FD007F">
        <w:rPr>
          <w:rFonts w:ascii="Arial" w:hAnsi="Arial"/>
          <w:sz w:val="22"/>
        </w:rPr>
        <w:t>of the responses are filed electronically.</w:t>
      </w:r>
    </w:p>
    <w:p w:rsidR="002A64F1" w:rsidP="002A64F1" w:rsidRDefault="002A64F1" w14:paraId="2B14B0D4" w14:textId="77777777">
      <w:pPr>
        <w:widowControl w:val="0"/>
        <w:rPr>
          <w:rFonts w:ascii="Arial" w:hAnsi="Arial"/>
          <w:sz w:val="22"/>
        </w:rPr>
      </w:pPr>
    </w:p>
    <w:p w:rsidR="002A64F1" w:rsidP="002850C8" w:rsidRDefault="002A64F1" w14:paraId="53D08ACF" w14:textId="77777777">
      <w:pPr>
        <w:widowControl w:val="0"/>
        <w:numPr>
          <w:ilvl w:val="0"/>
          <w:numId w:val="9"/>
        </w:numPr>
        <w:rPr>
          <w:rFonts w:ascii="Arial" w:hAnsi="Arial"/>
          <w:sz w:val="22"/>
          <w:u w:val="single"/>
        </w:rPr>
      </w:pPr>
      <w:r>
        <w:rPr>
          <w:rFonts w:ascii="Arial" w:hAnsi="Arial"/>
          <w:sz w:val="22"/>
          <w:u w:val="single"/>
        </w:rPr>
        <w:t>Effort to Identify Duplication and Use Similar Information</w:t>
      </w:r>
    </w:p>
    <w:p w:rsidR="002A64F1" w:rsidP="002A64F1" w:rsidRDefault="002A64F1" w14:paraId="026A0038" w14:textId="77777777">
      <w:pPr>
        <w:widowControl w:val="0"/>
        <w:rPr>
          <w:rFonts w:ascii="Arial" w:hAnsi="Arial"/>
          <w:sz w:val="22"/>
          <w:u w:val="single"/>
        </w:rPr>
      </w:pPr>
    </w:p>
    <w:p w:rsidRPr="00BA00D8" w:rsidR="00D871AC" w:rsidP="002850C8" w:rsidRDefault="00D871AC" w14:paraId="37970FBA" w14:textId="6A51283D">
      <w:pPr>
        <w:widowControl w:val="0"/>
        <w:autoSpaceDE w:val="0"/>
        <w:autoSpaceDN w:val="0"/>
        <w:adjustRightInd w:val="0"/>
        <w:ind w:left="1080"/>
        <w:rPr>
          <w:rFonts w:ascii="Arial" w:hAnsi="Arial" w:cs="Arial"/>
          <w:sz w:val="22"/>
          <w:szCs w:val="22"/>
        </w:rPr>
      </w:pPr>
      <w:r>
        <w:rPr>
          <w:rFonts w:ascii="Arial" w:hAnsi="Arial"/>
          <w:sz w:val="22"/>
        </w:rPr>
        <w:t xml:space="preserve">No sources of similar information are available.  There is no duplication of requirements.  </w:t>
      </w:r>
      <w:r w:rsidRPr="00BA00D8" w:rsidR="004D078B">
        <w:rPr>
          <w:rFonts w:ascii="Arial" w:hAnsi="Arial" w:cs="Arial"/>
          <w:sz w:val="22"/>
          <w:szCs w:val="22"/>
        </w:rPr>
        <w:t xml:space="preserve">The information required by the NRC in reports or records concerning the operation of nuclear power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plants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does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not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duplicate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other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Federal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 xml:space="preserve">information </w:t>
      </w:r>
      <w:r w:rsidRPr="00BA00D8" w:rsidR="004D078B">
        <w:rPr>
          <w:rFonts w:ascii="Arial" w:hAnsi="Arial" w:cs="Arial"/>
          <w:sz w:val="22"/>
          <w:szCs w:val="22"/>
        </w:rPr>
        <w:fldChar w:fldCharType="begin"/>
      </w:r>
      <w:r w:rsidRPr="00BA00D8" w:rsidR="004D078B">
        <w:rPr>
          <w:rFonts w:ascii="Arial" w:hAnsi="Arial" w:cs="Arial"/>
          <w:sz w:val="22"/>
          <w:szCs w:val="22"/>
        </w:rPr>
        <w:instrText>ADVANCE \l0</w:instrText>
      </w:r>
      <w:r w:rsidRPr="00BA00D8" w:rsidR="004D078B">
        <w:rPr>
          <w:rFonts w:ascii="Arial" w:hAnsi="Arial" w:cs="Arial"/>
          <w:sz w:val="22"/>
          <w:szCs w:val="22"/>
        </w:rPr>
        <w:fldChar w:fldCharType="end"/>
      </w:r>
      <w:r w:rsidRPr="00BA00D8" w:rsidR="004D078B">
        <w:rPr>
          <w:rFonts w:ascii="Arial" w:hAnsi="Arial" w:cs="Arial"/>
          <w:sz w:val="22"/>
          <w:szCs w:val="22"/>
        </w:rPr>
        <w:t>collection requirements.  The NRC has in place an ongoing program to examine all information collections with the goal of eliminating duplication and/or unnecessary information collections.</w:t>
      </w:r>
    </w:p>
    <w:p w:rsidRPr="00BA00D8" w:rsidR="00922F0A" w:rsidP="00DD587C" w:rsidRDefault="00922F0A" w14:paraId="468194AF" w14:textId="77777777">
      <w:pPr>
        <w:widowControl w:val="0"/>
        <w:autoSpaceDE w:val="0"/>
        <w:autoSpaceDN w:val="0"/>
        <w:adjustRightInd w:val="0"/>
        <w:rPr>
          <w:rFonts w:ascii="Arial" w:hAnsi="Arial" w:cs="Arial"/>
          <w:sz w:val="22"/>
          <w:szCs w:val="22"/>
        </w:rPr>
      </w:pPr>
    </w:p>
    <w:p w:rsidRPr="00584FF0" w:rsidR="002A64F1" w:rsidP="002850C8" w:rsidRDefault="002A64F1" w14:paraId="394332EE" w14:textId="77777777">
      <w:pPr>
        <w:widowControl w:val="0"/>
        <w:numPr>
          <w:ilvl w:val="0"/>
          <w:numId w:val="9"/>
        </w:numPr>
        <w:rPr>
          <w:rFonts w:ascii="Arial" w:hAnsi="Arial"/>
          <w:sz w:val="22"/>
        </w:rPr>
      </w:pPr>
      <w:r>
        <w:rPr>
          <w:rFonts w:ascii="Arial" w:hAnsi="Arial"/>
          <w:sz w:val="22"/>
          <w:u w:val="single"/>
        </w:rPr>
        <w:t>Effort to Reduce Small Business Burden</w:t>
      </w:r>
    </w:p>
    <w:p w:rsidR="00295331" w:rsidP="00295331" w:rsidRDefault="00295331" w14:paraId="6205B591" w14:textId="77777777">
      <w:pPr>
        <w:widowControl w:val="0"/>
        <w:rPr>
          <w:rFonts w:ascii="Arial" w:hAnsi="Arial"/>
          <w:sz w:val="22"/>
        </w:rPr>
      </w:pPr>
    </w:p>
    <w:p w:rsidRPr="00295331" w:rsidR="00584FF0" w:rsidP="00295331" w:rsidRDefault="00295331" w14:paraId="1013651A" w14:textId="57DEDBB5">
      <w:pPr>
        <w:widowControl w:val="0"/>
        <w:ind w:left="1080"/>
        <w:rPr>
          <w:rFonts w:ascii="Arial" w:hAnsi="Arial"/>
          <w:sz w:val="22"/>
        </w:rPr>
      </w:pPr>
      <w:r>
        <w:rPr>
          <w:rFonts w:ascii="Arial" w:hAnsi="Arial"/>
          <w:sz w:val="22"/>
        </w:rPr>
        <w:t xml:space="preserve">No small businesses are affected by this </w:t>
      </w:r>
      <w:r w:rsidR="00A30A41">
        <w:rPr>
          <w:rFonts w:ascii="Arial" w:hAnsi="Arial"/>
          <w:sz w:val="22"/>
        </w:rPr>
        <w:t>final</w:t>
      </w:r>
      <w:r>
        <w:rPr>
          <w:rFonts w:ascii="Arial" w:hAnsi="Arial"/>
          <w:sz w:val="22"/>
        </w:rPr>
        <w:t xml:space="preserve"> rule.</w:t>
      </w:r>
    </w:p>
    <w:p w:rsidR="00871148" w:rsidP="002A64F1" w:rsidRDefault="00871148" w14:paraId="531A5FB9" w14:textId="77777777">
      <w:pPr>
        <w:widowControl w:val="0"/>
        <w:rPr>
          <w:rFonts w:ascii="Arial" w:hAnsi="Arial"/>
          <w:sz w:val="22"/>
        </w:rPr>
      </w:pPr>
    </w:p>
    <w:p w:rsidR="002A64F1" w:rsidP="00D3414B" w:rsidRDefault="002A64F1" w14:paraId="35D72EC6" w14:textId="77777777">
      <w:pPr>
        <w:keepNext/>
        <w:numPr>
          <w:ilvl w:val="0"/>
          <w:numId w:val="9"/>
        </w:numPr>
        <w:rPr>
          <w:rFonts w:ascii="Arial" w:hAnsi="Arial"/>
          <w:sz w:val="22"/>
        </w:rPr>
      </w:pPr>
      <w:r>
        <w:rPr>
          <w:rFonts w:ascii="Arial" w:hAnsi="Arial"/>
          <w:sz w:val="22"/>
          <w:u w:val="single"/>
        </w:rPr>
        <w:lastRenderedPageBreak/>
        <w:t>Consequences to Federal Program or Policy Activities if the Collection Is Not Conducted or Is Conducted Less Frequently</w:t>
      </w:r>
    </w:p>
    <w:p w:rsidR="000D175A" w:rsidP="00DD587C" w:rsidRDefault="000D175A" w14:paraId="1B2A315B" w14:textId="77777777">
      <w:pPr>
        <w:keepNext/>
        <w:rPr>
          <w:rFonts w:ascii="Arial" w:hAnsi="Arial"/>
          <w:sz w:val="22"/>
        </w:rPr>
      </w:pPr>
    </w:p>
    <w:p w:rsidR="00B33840" w:rsidP="00D3414B" w:rsidRDefault="00A75E82" w14:paraId="3CB43837" w14:textId="303D7FA2">
      <w:pPr>
        <w:keepNext/>
        <w:ind w:left="1080"/>
        <w:rPr>
          <w:rFonts w:ascii="Arial" w:hAnsi="Arial"/>
          <w:sz w:val="22"/>
        </w:rPr>
      </w:pPr>
      <w:r>
        <w:rPr>
          <w:rFonts w:ascii="Arial" w:hAnsi="Arial"/>
          <w:sz w:val="22"/>
        </w:rPr>
        <w:t>If th</w:t>
      </w:r>
      <w:r w:rsidR="004977C1">
        <w:rPr>
          <w:rFonts w:ascii="Arial" w:hAnsi="Arial"/>
          <w:sz w:val="22"/>
        </w:rPr>
        <w:t>is information were not collected or collected less frequently, th</w:t>
      </w:r>
      <w:r>
        <w:rPr>
          <w:rFonts w:ascii="Arial" w:hAnsi="Arial"/>
          <w:sz w:val="22"/>
        </w:rPr>
        <w:t xml:space="preserve">e NRC </w:t>
      </w:r>
      <w:r w:rsidR="004977C1">
        <w:rPr>
          <w:rFonts w:ascii="Arial" w:hAnsi="Arial"/>
          <w:sz w:val="22"/>
        </w:rPr>
        <w:t xml:space="preserve">would be unable to ensure that reactor vessels had not exceeded </w:t>
      </w:r>
      <w:r w:rsidR="00DD19B8">
        <w:rPr>
          <w:rFonts w:ascii="Arial" w:hAnsi="Arial"/>
          <w:sz w:val="22"/>
        </w:rPr>
        <w:t xml:space="preserve">the </w:t>
      </w:r>
      <w:r w:rsidR="004977C1">
        <w:rPr>
          <w:rFonts w:ascii="Arial" w:hAnsi="Arial"/>
          <w:sz w:val="22"/>
        </w:rPr>
        <w:t>radiation embrittlement limits specified by Appendix G to 10 CFR Part 50 and could be subject to fa</w:t>
      </w:r>
      <w:r w:rsidR="0072601B">
        <w:rPr>
          <w:rFonts w:ascii="Arial" w:hAnsi="Arial"/>
          <w:sz w:val="22"/>
        </w:rPr>
        <w:t>i</w:t>
      </w:r>
      <w:r w:rsidR="004977C1">
        <w:rPr>
          <w:rFonts w:ascii="Arial" w:hAnsi="Arial"/>
          <w:sz w:val="22"/>
        </w:rPr>
        <w:t>lure during operation.</w:t>
      </w:r>
    </w:p>
    <w:p w:rsidR="00CE360F" w:rsidP="00DD587C" w:rsidRDefault="00CE360F" w14:paraId="68DD6CBF" w14:textId="77777777">
      <w:pPr>
        <w:widowControl w:val="0"/>
        <w:rPr>
          <w:rFonts w:ascii="Arial" w:hAnsi="Arial"/>
          <w:sz w:val="22"/>
        </w:rPr>
      </w:pPr>
    </w:p>
    <w:p w:rsidR="002A64F1" w:rsidP="002850C8" w:rsidRDefault="002A64F1" w14:paraId="11A1C244" w14:textId="77777777">
      <w:pPr>
        <w:widowControl w:val="0"/>
        <w:numPr>
          <w:ilvl w:val="0"/>
          <w:numId w:val="9"/>
        </w:numPr>
        <w:rPr>
          <w:rFonts w:ascii="Arial" w:hAnsi="Arial"/>
          <w:sz w:val="22"/>
          <w:u w:val="single"/>
        </w:rPr>
      </w:pPr>
      <w:r>
        <w:rPr>
          <w:rFonts w:ascii="Arial" w:hAnsi="Arial"/>
          <w:sz w:val="22"/>
          <w:u w:val="single"/>
        </w:rPr>
        <w:t>Circumstances Which Justify Variation from OMB Guidelines</w:t>
      </w:r>
    </w:p>
    <w:p w:rsidR="000D017F" w:rsidP="00DD587C" w:rsidRDefault="000D017F" w14:paraId="05A66D3E" w14:textId="77777777">
      <w:pPr>
        <w:widowControl w:val="0"/>
        <w:rPr>
          <w:rFonts w:ascii="Arial" w:hAnsi="Arial"/>
          <w:sz w:val="22"/>
          <w:u w:val="single"/>
        </w:rPr>
      </w:pPr>
    </w:p>
    <w:p w:rsidR="00871148" w:rsidP="005E7549" w:rsidRDefault="007945DD" w14:paraId="5CB9A263" w14:textId="7D6401CA">
      <w:pPr>
        <w:widowControl w:val="0"/>
        <w:ind w:left="1080"/>
        <w:rPr>
          <w:rFonts w:ascii="Arial" w:hAnsi="Arial" w:cs="Arial"/>
          <w:sz w:val="22"/>
          <w:szCs w:val="22"/>
        </w:rPr>
      </w:pPr>
      <w:r>
        <w:rPr>
          <w:rFonts w:ascii="Arial" w:hAnsi="Arial"/>
          <w:sz w:val="22"/>
        </w:rPr>
        <w:t xml:space="preserve">Appendix H to 10 CFR Part 50 does not specify a period for the retention of records pertaining to the design of the </w:t>
      </w:r>
      <w:r w:rsidR="00DD19B8">
        <w:rPr>
          <w:rFonts w:ascii="Arial" w:hAnsi="Arial"/>
          <w:sz w:val="22"/>
        </w:rPr>
        <w:t xml:space="preserve">reactor vessel material </w:t>
      </w:r>
      <w:r>
        <w:rPr>
          <w:rFonts w:ascii="Arial" w:hAnsi="Arial"/>
          <w:sz w:val="22"/>
        </w:rPr>
        <w:t>surveillance program or test results of the surveillance capsules</w:t>
      </w:r>
      <w:r w:rsidR="002746C1">
        <w:rPr>
          <w:rFonts w:ascii="Arial" w:hAnsi="Arial"/>
          <w:sz w:val="22"/>
        </w:rPr>
        <w:t>.  However, t</w:t>
      </w:r>
      <w:r w:rsidR="008C6375">
        <w:rPr>
          <w:rFonts w:ascii="Arial" w:hAnsi="Arial"/>
          <w:sz w:val="22"/>
        </w:rPr>
        <w:t xml:space="preserve">he provisions in </w:t>
      </w:r>
      <w:r w:rsidR="00DD19B8">
        <w:rPr>
          <w:rFonts w:ascii="Arial" w:hAnsi="Arial" w:cs="Arial"/>
          <w:sz w:val="22"/>
          <w:szCs w:val="22"/>
        </w:rPr>
        <w:t>§ </w:t>
      </w:r>
      <w:r w:rsidRPr="00BD07AF" w:rsidR="008C6375">
        <w:rPr>
          <w:rFonts w:ascii="Arial" w:hAnsi="Arial" w:cs="Arial"/>
          <w:sz w:val="22"/>
          <w:szCs w:val="22"/>
        </w:rPr>
        <w:t>50.</w:t>
      </w:r>
      <w:r w:rsidR="008C6375">
        <w:rPr>
          <w:rFonts w:ascii="Arial" w:hAnsi="Arial" w:cs="Arial"/>
          <w:sz w:val="22"/>
          <w:szCs w:val="22"/>
        </w:rPr>
        <w:t xml:space="preserve">71, “Maintenance of Records, Making of Reports, paragraph (c), </w:t>
      </w:r>
      <w:r w:rsidR="0023725F">
        <w:rPr>
          <w:rFonts w:ascii="Arial" w:hAnsi="Arial" w:cs="Arial"/>
          <w:sz w:val="22"/>
          <w:szCs w:val="22"/>
        </w:rPr>
        <w:t>require that if a retention period is not specified by a regulation under 10 CFR Part</w:t>
      </w:r>
      <w:r w:rsidR="008F3BF6">
        <w:rPr>
          <w:rFonts w:ascii="Arial" w:hAnsi="Arial" w:cs="Arial"/>
          <w:sz w:val="22"/>
          <w:szCs w:val="22"/>
        </w:rPr>
        <w:t>s</w:t>
      </w:r>
      <w:r w:rsidR="0023725F">
        <w:rPr>
          <w:rFonts w:ascii="Arial" w:hAnsi="Arial" w:cs="Arial"/>
          <w:sz w:val="22"/>
          <w:szCs w:val="22"/>
        </w:rPr>
        <w:t xml:space="preserve"> 50</w:t>
      </w:r>
      <w:r w:rsidR="008F3BF6">
        <w:rPr>
          <w:rFonts w:ascii="Arial" w:hAnsi="Arial" w:cs="Arial"/>
          <w:sz w:val="22"/>
          <w:szCs w:val="22"/>
        </w:rPr>
        <w:t xml:space="preserve"> or 52, the records must be retained until the Commission terminates the license.  Also, Criterion 1, “Quality standards and records,” in </w:t>
      </w:r>
      <w:r w:rsidR="008F3BF6">
        <w:rPr>
          <w:rFonts w:ascii="Arial" w:hAnsi="Arial"/>
          <w:sz w:val="22"/>
        </w:rPr>
        <w:t xml:space="preserve">Appendix A, “General Design Criteria for Nuclear Power Plants,” to 10 CFR Part 50, requires that “Appropriate records of the design, fabrication, erection, and testing of structures, systems, and components important to safety shall be maintained by or under the control of the nuclear power unit licensee throughout the life of the unit.”  Therefore, </w:t>
      </w:r>
      <w:r w:rsidR="002746C1">
        <w:rPr>
          <w:rFonts w:ascii="Arial" w:hAnsi="Arial"/>
          <w:sz w:val="22"/>
        </w:rPr>
        <w:t xml:space="preserve">records generated under </w:t>
      </w:r>
      <w:r w:rsidR="008F3BF6">
        <w:rPr>
          <w:rFonts w:ascii="Arial" w:hAnsi="Arial" w:cs="Arial"/>
          <w:sz w:val="22"/>
          <w:szCs w:val="22"/>
        </w:rPr>
        <w:t xml:space="preserve">Appendix H to 10 CFR Part 50, </w:t>
      </w:r>
      <w:r w:rsidR="002746C1">
        <w:rPr>
          <w:rFonts w:ascii="Arial" w:hAnsi="Arial" w:cs="Arial"/>
          <w:sz w:val="22"/>
          <w:szCs w:val="22"/>
        </w:rPr>
        <w:t>must</w:t>
      </w:r>
      <w:r w:rsidR="005E7549">
        <w:rPr>
          <w:rFonts w:ascii="Arial" w:hAnsi="Arial" w:cs="Arial"/>
          <w:sz w:val="22"/>
          <w:szCs w:val="22"/>
        </w:rPr>
        <w:t xml:space="preserve"> be maintained for the life of the plant in order to detect reactor vessel material deteriorations or flaws which might affect the health and safety of the public.</w:t>
      </w:r>
    </w:p>
    <w:p w:rsidR="005E7549" w:rsidP="00DD587C" w:rsidRDefault="005E7549" w14:paraId="58979903" w14:textId="77777777">
      <w:pPr>
        <w:widowControl w:val="0"/>
        <w:rPr>
          <w:rFonts w:ascii="Arial" w:hAnsi="Arial"/>
          <w:sz w:val="22"/>
          <w:u w:val="single"/>
        </w:rPr>
      </w:pPr>
    </w:p>
    <w:p w:rsidRPr="002A64F1" w:rsidR="002A64F1" w:rsidP="002850C8" w:rsidRDefault="002A64F1" w14:paraId="4AD5FB41" w14:textId="77777777">
      <w:pPr>
        <w:numPr>
          <w:ilvl w:val="0"/>
          <w:numId w:val="9"/>
        </w:numPr>
        <w:rPr>
          <w:rFonts w:ascii="Arial" w:hAnsi="Arial"/>
          <w:sz w:val="22"/>
        </w:rPr>
      </w:pPr>
      <w:r>
        <w:rPr>
          <w:rFonts w:ascii="Arial" w:hAnsi="Arial"/>
          <w:sz w:val="22"/>
          <w:u w:val="single"/>
        </w:rPr>
        <w:t>Consultations Outside the NRC</w:t>
      </w:r>
    </w:p>
    <w:p w:rsidR="002A64F1" w:rsidP="002A64F1" w:rsidRDefault="002A64F1" w14:paraId="0E14CD6D" w14:textId="77777777">
      <w:pPr>
        <w:rPr>
          <w:rFonts w:ascii="Arial" w:hAnsi="Arial"/>
          <w:sz w:val="22"/>
          <w:u w:val="single"/>
        </w:rPr>
      </w:pPr>
    </w:p>
    <w:p w:rsidR="00276A3A" w:rsidP="003879C2" w:rsidRDefault="004D0353" w14:paraId="4F40ECB6" w14:textId="5AC31803">
      <w:pPr>
        <w:ind w:left="1080"/>
        <w:rPr>
          <w:rFonts w:ascii="Arial" w:hAnsi="Arial" w:cs="Arial"/>
          <w:sz w:val="22"/>
          <w:szCs w:val="22"/>
        </w:rPr>
      </w:pPr>
      <w:r>
        <w:rPr>
          <w:rFonts w:ascii="Arial" w:hAnsi="Arial"/>
          <w:sz w:val="22"/>
        </w:rPr>
        <w:t xml:space="preserve">The NRC published a </w:t>
      </w:r>
      <w:r w:rsidRPr="004D0353">
        <w:rPr>
          <w:rFonts w:ascii="Arial" w:hAnsi="Arial"/>
          <w:i/>
          <w:iCs/>
          <w:sz w:val="22"/>
        </w:rPr>
        <w:t>Federal Register</w:t>
      </w:r>
      <w:r>
        <w:rPr>
          <w:rFonts w:ascii="Arial" w:hAnsi="Arial"/>
          <w:sz w:val="22"/>
        </w:rPr>
        <w:t xml:space="preserve"> notice providing a 60-day comment period on the information collections associated with the proposed rule on January 13, 2020 (85 FR 1825.)  The proposed rule was published providing a 30-day opportunity to comment on October 2, 2020 (85 FR 62234). </w:t>
      </w:r>
      <w:r w:rsidR="00A30A41">
        <w:rPr>
          <w:rFonts w:ascii="Arial" w:hAnsi="Arial"/>
          <w:sz w:val="22"/>
        </w:rPr>
        <w:t xml:space="preserve"> </w:t>
      </w:r>
      <w:r w:rsidR="00A30A41">
        <w:rPr>
          <w:rFonts w:ascii="Arial" w:hAnsi="Arial" w:cs="Arial"/>
          <w:sz w:val="22"/>
          <w:szCs w:val="22"/>
        </w:rPr>
        <w:t>In addition, rulemaking related documents were made available for public review on www.regulations.gov (Docket ID NRC-2017-0151).</w:t>
      </w:r>
    </w:p>
    <w:p w:rsidR="00276A3A" w:rsidP="003879C2" w:rsidRDefault="00276A3A" w14:paraId="097CF88B" w14:textId="77777777">
      <w:pPr>
        <w:ind w:left="1080"/>
        <w:rPr>
          <w:rFonts w:ascii="Arial" w:hAnsi="Arial" w:cs="Arial"/>
          <w:sz w:val="22"/>
          <w:szCs w:val="22"/>
        </w:rPr>
      </w:pPr>
    </w:p>
    <w:p w:rsidRPr="00A50D03" w:rsidR="003879C2" w:rsidP="004D7305" w:rsidRDefault="00A30A41" w14:paraId="6F9E8E45" w14:textId="46F69CDF">
      <w:pPr>
        <w:ind w:left="1080"/>
        <w:rPr>
          <w:rFonts w:ascii="Arial" w:hAnsi="Arial"/>
          <w:sz w:val="22"/>
        </w:rPr>
      </w:pPr>
      <w:r>
        <w:rPr>
          <w:rFonts w:ascii="Arial" w:hAnsi="Arial" w:cs="Arial"/>
          <w:sz w:val="22"/>
          <w:szCs w:val="22"/>
        </w:rPr>
        <w:t>The NRC received 2 document submissions containing comments from interested parties</w:t>
      </w:r>
      <w:r w:rsidR="00F55120">
        <w:rPr>
          <w:rFonts w:ascii="Arial" w:hAnsi="Arial" w:cs="Arial"/>
          <w:sz w:val="22"/>
          <w:szCs w:val="22"/>
        </w:rPr>
        <w:t xml:space="preserve"> on the direct final </w:t>
      </w:r>
      <w:r w:rsidR="0037662D">
        <w:rPr>
          <w:rFonts w:ascii="Arial" w:hAnsi="Arial" w:cs="Arial"/>
          <w:sz w:val="22"/>
          <w:szCs w:val="22"/>
        </w:rPr>
        <w:t>a</w:t>
      </w:r>
      <w:r w:rsidR="00F55120">
        <w:rPr>
          <w:rFonts w:ascii="Arial" w:hAnsi="Arial" w:cs="Arial"/>
          <w:sz w:val="22"/>
          <w:szCs w:val="22"/>
        </w:rPr>
        <w:t xml:space="preserve">nd companion proposed </w:t>
      </w:r>
      <w:proofErr w:type="gramStart"/>
      <w:r w:rsidR="00F55120">
        <w:rPr>
          <w:rFonts w:ascii="Arial" w:hAnsi="Arial" w:cs="Arial"/>
          <w:sz w:val="22"/>
          <w:szCs w:val="22"/>
        </w:rPr>
        <w:t>rule,</w:t>
      </w:r>
      <w:r w:rsidR="003879C2">
        <w:rPr>
          <w:rFonts w:ascii="Arial" w:hAnsi="Arial" w:cs="Arial"/>
          <w:sz w:val="22"/>
          <w:szCs w:val="22"/>
        </w:rPr>
        <w:t xml:space="preserve"> and</w:t>
      </w:r>
      <w:proofErr w:type="gramEnd"/>
      <w:r w:rsidR="003879C2">
        <w:rPr>
          <w:rFonts w:ascii="Arial" w:hAnsi="Arial" w:cs="Arial"/>
          <w:sz w:val="22"/>
          <w:szCs w:val="22"/>
        </w:rPr>
        <w:t xml:space="preserve"> </w:t>
      </w:r>
      <w:r w:rsidRPr="00A50D03" w:rsidR="003879C2">
        <w:rPr>
          <w:rFonts w:ascii="Arial" w:hAnsi="Arial" w:cs="Arial"/>
          <w:sz w:val="22"/>
          <w:szCs w:val="22"/>
        </w:rPr>
        <w:t xml:space="preserve">determined that they addressed issues that were outside the scope of the </w:t>
      </w:r>
      <w:r w:rsidR="003879C2">
        <w:rPr>
          <w:rFonts w:ascii="Arial" w:hAnsi="Arial" w:cs="Arial"/>
          <w:sz w:val="22"/>
          <w:szCs w:val="22"/>
        </w:rPr>
        <w:t xml:space="preserve">direct </w:t>
      </w:r>
      <w:r w:rsidRPr="00A50D03" w:rsidR="003879C2">
        <w:rPr>
          <w:rFonts w:ascii="Arial" w:hAnsi="Arial" w:cs="Arial"/>
          <w:sz w:val="22"/>
          <w:szCs w:val="22"/>
        </w:rPr>
        <w:t xml:space="preserve">final rule or were not significant nor adverse.  One </w:t>
      </w:r>
      <w:r w:rsidR="00543CC8">
        <w:rPr>
          <w:rFonts w:ascii="Arial" w:hAnsi="Arial" w:cs="Arial"/>
          <w:sz w:val="22"/>
          <w:szCs w:val="22"/>
        </w:rPr>
        <w:t>document</w:t>
      </w:r>
      <w:r w:rsidRPr="00A50D03" w:rsidR="003879C2">
        <w:rPr>
          <w:rFonts w:ascii="Arial" w:hAnsi="Arial" w:cs="Arial"/>
          <w:sz w:val="22"/>
          <w:szCs w:val="22"/>
        </w:rPr>
        <w:t xml:space="preserve"> submission questioned (1) the use of Charpy V-notch testing procedures, (2) the subsequent license renewal and extended power uprate for Turkey Point Nuclear Generating Units 3 and 4, (3) the use of Integrated Surveillance Programs, and (4) the timing associated with specimen testing and capsule report submittal.</w:t>
      </w:r>
      <w:r w:rsidRPr="00A50D03" w:rsidR="003879C2">
        <w:rPr>
          <w:rFonts w:ascii="Arial" w:hAnsi="Arial" w:cs="Arial"/>
        </w:rPr>
        <w:t xml:space="preserve"> </w:t>
      </w:r>
      <w:r w:rsidRPr="00A50D03" w:rsidR="003879C2">
        <w:rPr>
          <w:rFonts w:ascii="Arial" w:hAnsi="Arial" w:cs="Arial"/>
          <w:sz w:val="22"/>
          <w:szCs w:val="22"/>
        </w:rPr>
        <w:t xml:space="preserve"> With respect to the items 1-3, these issues are outside the scope of this direct final rule.  While item 4 is within the scope of the direct final rule, the NRC determined that the comment was not significant nor adverse.</w:t>
      </w:r>
      <w:r w:rsidR="000B47F8">
        <w:rPr>
          <w:rFonts w:ascii="Arial" w:hAnsi="Arial" w:cs="Arial"/>
          <w:sz w:val="22"/>
          <w:szCs w:val="22"/>
        </w:rPr>
        <w:t xml:space="preserve">  The commenter </w:t>
      </w:r>
      <w:r w:rsidRPr="00A50D03" w:rsidR="000B47F8">
        <w:rPr>
          <w:rFonts w:ascii="Arial" w:hAnsi="Arial" w:cs="Arial"/>
          <w:sz w:val="22"/>
          <w:szCs w:val="22"/>
        </w:rPr>
        <w:t>did not provide a supporting basis as to why th</w:t>
      </w:r>
      <w:r w:rsidR="000B47F8">
        <w:rPr>
          <w:rFonts w:ascii="Arial" w:hAnsi="Arial" w:cs="Arial"/>
          <w:sz w:val="22"/>
          <w:szCs w:val="22"/>
        </w:rPr>
        <w:t>is</w:t>
      </w:r>
      <w:r w:rsidRPr="00A50D03" w:rsidR="000B47F8">
        <w:rPr>
          <w:rFonts w:ascii="Arial" w:hAnsi="Arial" w:cs="Arial"/>
          <w:sz w:val="22"/>
          <w:szCs w:val="22"/>
        </w:rPr>
        <w:t xml:space="preserve"> proposed revision would significantly or adversely impact the implementation of a reactor vessel materials surveillance program, or the public health and safety and the environment.</w:t>
      </w:r>
      <w:r w:rsidR="000B47F8">
        <w:rPr>
          <w:rFonts w:ascii="Arial" w:hAnsi="Arial" w:cs="Arial"/>
          <w:sz w:val="22"/>
          <w:szCs w:val="22"/>
        </w:rPr>
        <w:t xml:space="preserve">  </w:t>
      </w:r>
      <w:r w:rsidRPr="00A50D03" w:rsidR="003879C2">
        <w:rPr>
          <w:rFonts w:ascii="Arial" w:hAnsi="Arial" w:cs="Arial"/>
          <w:sz w:val="22"/>
          <w:szCs w:val="22"/>
        </w:rPr>
        <w:t xml:space="preserve">The other </w:t>
      </w:r>
      <w:r w:rsidR="007D7448">
        <w:rPr>
          <w:rFonts w:ascii="Arial" w:hAnsi="Arial" w:cs="Arial"/>
          <w:sz w:val="22"/>
          <w:szCs w:val="22"/>
        </w:rPr>
        <w:t>document</w:t>
      </w:r>
      <w:r w:rsidRPr="00A50D03" w:rsidR="003879C2">
        <w:rPr>
          <w:rFonts w:ascii="Arial" w:hAnsi="Arial" w:cs="Arial"/>
          <w:sz w:val="22"/>
          <w:szCs w:val="22"/>
        </w:rPr>
        <w:t xml:space="preserve"> submission is outside the scope of this direct final rule.</w:t>
      </w:r>
    </w:p>
    <w:p w:rsidR="00B87051" w:rsidP="00DD587C" w:rsidRDefault="00B87051" w14:paraId="1EC879C9" w14:textId="77777777">
      <w:pPr>
        <w:rPr>
          <w:rFonts w:ascii="Arial" w:hAnsi="Arial"/>
          <w:sz w:val="22"/>
          <w:u w:val="single"/>
        </w:rPr>
      </w:pPr>
    </w:p>
    <w:p w:rsidRPr="000D017F" w:rsidR="002A64F1" w:rsidP="002850C8" w:rsidRDefault="002A64F1" w14:paraId="0BF4DEBA" w14:textId="77777777">
      <w:pPr>
        <w:numPr>
          <w:ilvl w:val="0"/>
          <w:numId w:val="9"/>
        </w:numPr>
        <w:rPr>
          <w:rFonts w:ascii="Arial" w:hAnsi="Arial"/>
          <w:sz w:val="22"/>
        </w:rPr>
      </w:pPr>
      <w:r>
        <w:rPr>
          <w:rFonts w:ascii="Arial" w:hAnsi="Arial"/>
          <w:sz w:val="22"/>
          <w:u w:val="single"/>
        </w:rPr>
        <w:t>Payment or Gift to Respondents</w:t>
      </w:r>
    </w:p>
    <w:p w:rsidR="000D017F" w:rsidP="000D017F" w:rsidRDefault="000D017F" w14:paraId="4C113CB8" w14:textId="77777777">
      <w:pPr>
        <w:rPr>
          <w:rFonts w:ascii="Arial" w:hAnsi="Arial"/>
          <w:sz w:val="22"/>
          <w:u w:val="single"/>
        </w:rPr>
      </w:pPr>
    </w:p>
    <w:p w:rsidRPr="00295331" w:rsidR="000D017F" w:rsidP="00295331" w:rsidRDefault="00295331" w14:paraId="4C532CB2" w14:textId="77777777">
      <w:pPr>
        <w:ind w:left="1080"/>
        <w:rPr>
          <w:rFonts w:ascii="Arial" w:hAnsi="Arial"/>
          <w:sz w:val="22"/>
        </w:rPr>
      </w:pPr>
      <w:r>
        <w:rPr>
          <w:rFonts w:ascii="Arial" w:hAnsi="Arial"/>
          <w:sz w:val="22"/>
        </w:rPr>
        <w:lastRenderedPageBreak/>
        <w:t>Not applicable.</w:t>
      </w:r>
    </w:p>
    <w:p w:rsidR="000D017F" w:rsidP="00295331" w:rsidRDefault="000D017F" w14:paraId="2DE677F1" w14:textId="77777777">
      <w:pPr>
        <w:rPr>
          <w:rFonts w:ascii="Arial" w:hAnsi="Arial"/>
          <w:sz w:val="22"/>
        </w:rPr>
      </w:pPr>
    </w:p>
    <w:p w:rsidRPr="002A64F1" w:rsidR="002A64F1" w:rsidP="002850C8" w:rsidRDefault="002A64F1" w14:paraId="7D9412C4" w14:textId="77777777">
      <w:pPr>
        <w:numPr>
          <w:ilvl w:val="0"/>
          <w:numId w:val="9"/>
        </w:numPr>
        <w:rPr>
          <w:rFonts w:ascii="Arial" w:hAnsi="Arial"/>
          <w:sz w:val="22"/>
        </w:rPr>
      </w:pPr>
      <w:r>
        <w:rPr>
          <w:rFonts w:ascii="Arial" w:hAnsi="Arial"/>
          <w:sz w:val="22"/>
          <w:u w:val="single"/>
        </w:rPr>
        <w:t>Confidentiality of Information</w:t>
      </w:r>
    </w:p>
    <w:p w:rsidR="002A64F1" w:rsidP="002A64F1" w:rsidRDefault="002A64F1" w14:paraId="34A0EE94" w14:textId="77777777">
      <w:pPr>
        <w:rPr>
          <w:rFonts w:ascii="Arial" w:hAnsi="Arial"/>
          <w:sz w:val="22"/>
          <w:u w:val="single"/>
        </w:rPr>
      </w:pPr>
    </w:p>
    <w:p w:rsidR="00D871AC" w:rsidP="00D871AC" w:rsidRDefault="00D871AC" w14:paraId="1CED6388" w14:textId="312EB7FF">
      <w:pPr>
        <w:widowControl w:val="0"/>
        <w:ind w:left="1080"/>
        <w:rPr>
          <w:rFonts w:ascii="Arial" w:hAnsi="Arial"/>
          <w:sz w:val="22"/>
        </w:rPr>
      </w:pPr>
      <w:r>
        <w:rPr>
          <w:rFonts w:ascii="Arial" w:hAnsi="Arial"/>
          <w:sz w:val="22"/>
        </w:rPr>
        <w:t>Confidential and proprietary information is protected in accordance</w:t>
      </w:r>
      <w:r w:rsidR="00DD19B8">
        <w:rPr>
          <w:rFonts w:ascii="Arial" w:hAnsi="Arial"/>
          <w:sz w:val="22"/>
        </w:rPr>
        <w:t xml:space="preserve"> with NRC regulations at </w:t>
      </w:r>
      <w:r w:rsidR="00DD19B8">
        <w:rPr>
          <w:rFonts w:ascii="Arial" w:hAnsi="Arial" w:cs="Arial"/>
          <w:sz w:val="22"/>
        </w:rPr>
        <w:t>§ </w:t>
      </w:r>
      <w:r>
        <w:rPr>
          <w:rFonts w:ascii="Arial" w:hAnsi="Arial"/>
          <w:sz w:val="22"/>
        </w:rPr>
        <w:t xml:space="preserve">9.17(a) and </w:t>
      </w:r>
      <w:r w:rsidR="00DD19B8">
        <w:rPr>
          <w:rFonts w:ascii="Arial" w:hAnsi="Arial" w:cs="Arial"/>
          <w:sz w:val="22"/>
        </w:rPr>
        <w:t>§ </w:t>
      </w:r>
      <w:r>
        <w:rPr>
          <w:rFonts w:ascii="Arial" w:hAnsi="Arial"/>
          <w:sz w:val="22"/>
        </w:rPr>
        <w:t>2.390(b).</w:t>
      </w:r>
      <w:r w:rsidR="00295331">
        <w:rPr>
          <w:rFonts w:ascii="Arial" w:hAnsi="Arial"/>
          <w:sz w:val="22"/>
        </w:rPr>
        <w:t xml:space="preserve">  </w:t>
      </w:r>
      <w:r>
        <w:rPr>
          <w:rFonts w:ascii="Arial" w:hAnsi="Arial"/>
          <w:sz w:val="22"/>
        </w:rPr>
        <w:t>However, no information normally considered confidential or proprietary is requested.</w:t>
      </w:r>
    </w:p>
    <w:p w:rsidR="007C1FD9" w:rsidP="007C1FD9" w:rsidRDefault="007C1FD9" w14:paraId="5A1021FC" w14:textId="77777777">
      <w:pPr>
        <w:rPr>
          <w:rFonts w:ascii="Arial" w:hAnsi="Arial"/>
          <w:sz w:val="22"/>
        </w:rPr>
      </w:pPr>
    </w:p>
    <w:p w:rsidRPr="007C1FD9" w:rsidR="002A64F1" w:rsidP="002850C8" w:rsidRDefault="002A64F1" w14:paraId="37F4A8A0" w14:textId="77777777">
      <w:pPr>
        <w:pStyle w:val="ListParagraph"/>
        <w:numPr>
          <w:ilvl w:val="0"/>
          <w:numId w:val="9"/>
        </w:numPr>
        <w:rPr>
          <w:rFonts w:ascii="Arial" w:hAnsi="Arial"/>
          <w:sz w:val="22"/>
        </w:rPr>
      </w:pPr>
      <w:r w:rsidRPr="007C1FD9">
        <w:rPr>
          <w:rFonts w:ascii="Arial" w:hAnsi="Arial"/>
          <w:sz w:val="22"/>
          <w:u w:val="single"/>
        </w:rPr>
        <w:t>Justification for Sensitive Questions</w:t>
      </w:r>
    </w:p>
    <w:p w:rsidR="000D017F" w:rsidP="000D017F" w:rsidRDefault="000D017F" w14:paraId="3FF5C111" w14:textId="77777777">
      <w:pPr>
        <w:rPr>
          <w:rFonts w:ascii="Arial" w:hAnsi="Arial"/>
          <w:sz w:val="22"/>
          <w:u w:val="single"/>
        </w:rPr>
      </w:pPr>
    </w:p>
    <w:p w:rsidRPr="002A64F1" w:rsidR="000D017F" w:rsidP="000D017F" w:rsidRDefault="00295331" w14:paraId="51FC72D4" w14:textId="77777777">
      <w:pPr>
        <w:ind w:left="1080"/>
        <w:rPr>
          <w:rFonts w:ascii="Arial" w:hAnsi="Arial"/>
          <w:sz w:val="22"/>
        </w:rPr>
      </w:pPr>
      <w:r>
        <w:rPr>
          <w:rFonts w:ascii="Arial" w:hAnsi="Arial"/>
          <w:sz w:val="22"/>
        </w:rPr>
        <w:t>Not applicable.</w:t>
      </w:r>
    </w:p>
    <w:p w:rsidR="00295331" w:rsidP="002A64F1" w:rsidRDefault="00295331" w14:paraId="5CCE1E0F" w14:textId="77777777">
      <w:pPr>
        <w:rPr>
          <w:rFonts w:ascii="Arial" w:hAnsi="Arial"/>
          <w:sz w:val="22"/>
        </w:rPr>
      </w:pPr>
    </w:p>
    <w:p w:rsidRPr="006E4BF4" w:rsidR="002A64F1" w:rsidP="002850C8" w:rsidRDefault="002A64F1" w14:paraId="6A6406A1" w14:textId="77777777">
      <w:pPr>
        <w:numPr>
          <w:ilvl w:val="0"/>
          <w:numId w:val="9"/>
        </w:numPr>
        <w:rPr>
          <w:rFonts w:ascii="Arial" w:hAnsi="Arial"/>
          <w:sz w:val="22"/>
        </w:rPr>
      </w:pPr>
      <w:r w:rsidRPr="006E4BF4">
        <w:rPr>
          <w:rFonts w:ascii="Arial" w:hAnsi="Arial"/>
          <w:sz w:val="22"/>
          <w:u w:val="single"/>
        </w:rPr>
        <w:t>Estimated Burden and Burden Hour Cost</w:t>
      </w:r>
    </w:p>
    <w:p w:rsidR="00AA27AB" w:rsidP="00AA27AB" w:rsidRDefault="00AA27AB" w14:paraId="1A5F3EE2" w14:textId="77777777">
      <w:pPr>
        <w:rPr>
          <w:rFonts w:ascii="Arial" w:hAnsi="Arial"/>
          <w:sz w:val="22"/>
          <w:u w:val="single"/>
        </w:rPr>
      </w:pPr>
    </w:p>
    <w:p w:rsidR="006D3F93" w:rsidP="00295331" w:rsidRDefault="004F4364" w14:paraId="2EC7BBEB" w14:textId="0A812FB0">
      <w:pPr>
        <w:ind w:left="1080"/>
        <w:rPr>
          <w:rFonts w:ascii="Arial" w:hAnsi="Arial"/>
          <w:sz w:val="22"/>
        </w:rPr>
      </w:pPr>
      <w:r w:rsidRPr="004F4364">
        <w:rPr>
          <w:rFonts w:ascii="Arial" w:hAnsi="Arial"/>
          <w:sz w:val="22"/>
        </w:rPr>
        <w:t xml:space="preserve">This </w:t>
      </w:r>
      <w:r w:rsidR="00D35D83">
        <w:rPr>
          <w:rFonts w:ascii="Arial" w:hAnsi="Arial"/>
          <w:sz w:val="22"/>
        </w:rPr>
        <w:t xml:space="preserve">final </w:t>
      </w:r>
      <w:r w:rsidR="008513FC">
        <w:rPr>
          <w:rFonts w:ascii="Arial" w:hAnsi="Arial"/>
          <w:sz w:val="22"/>
        </w:rPr>
        <w:t>rule</w:t>
      </w:r>
      <w:r w:rsidRPr="004F4364">
        <w:rPr>
          <w:rFonts w:ascii="Arial" w:hAnsi="Arial"/>
          <w:sz w:val="22"/>
        </w:rPr>
        <w:t xml:space="preserve"> </w:t>
      </w:r>
      <w:r w:rsidR="00915FA2">
        <w:rPr>
          <w:rFonts w:ascii="Arial" w:hAnsi="Arial"/>
          <w:sz w:val="22"/>
        </w:rPr>
        <w:t>w</w:t>
      </w:r>
      <w:r w:rsidR="00D35D83">
        <w:rPr>
          <w:rFonts w:ascii="Arial" w:hAnsi="Arial"/>
          <w:sz w:val="22"/>
        </w:rPr>
        <w:t xml:space="preserve">ill </w:t>
      </w:r>
      <w:r w:rsidR="00D8080D">
        <w:rPr>
          <w:rFonts w:ascii="Arial" w:hAnsi="Arial"/>
          <w:sz w:val="22"/>
        </w:rPr>
        <w:t xml:space="preserve">extend the period </w:t>
      </w:r>
      <w:r w:rsidR="009D6C44">
        <w:rPr>
          <w:rFonts w:ascii="Arial" w:hAnsi="Arial"/>
          <w:sz w:val="22"/>
        </w:rPr>
        <w:t>from 1 year following a capsule withdrawal to 18 months</w:t>
      </w:r>
      <w:r w:rsidR="007936C7">
        <w:rPr>
          <w:rFonts w:ascii="Arial" w:hAnsi="Arial"/>
          <w:sz w:val="22"/>
        </w:rPr>
        <w:t xml:space="preserve"> for a licensee to submit a summary technical report of the</w:t>
      </w:r>
      <w:r w:rsidR="00FA6C9F">
        <w:rPr>
          <w:rFonts w:ascii="Arial" w:hAnsi="Arial"/>
          <w:sz w:val="22"/>
        </w:rPr>
        <w:t xml:space="preserve"> test results</w:t>
      </w:r>
      <w:r w:rsidR="007936C7">
        <w:rPr>
          <w:rFonts w:ascii="Arial" w:hAnsi="Arial"/>
          <w:sz w:val="22"/>
        </w:rPr>
        <w:t xml:space="preserve">.  </w:t>
      </w:r>
      <w:r w:rsidR="00FA6C9F">
        <w:rPr>
          <w:rFonts w:ascii="Arial" w:hAnsi="Arial"/>
          <w:sz w:val="22"/>
        </w:rPr>
        <w:t>The NRC estimates that this action w</w:t>
      </w:r>
      <w:r w:rsidR="00D35D83">
        <w:rPr>
          <w:rFonts w:ascii="Arial" w:hAnsi="Arial"/>
          <w:sz w:val="22"/>
        </w:rPr>
        <w:t>ill</w:t>
      </w:r>
      <w:r w:rsidR="00FA6C9F">
        <w:rPr>
          <w:rFonts w:ascii="Arial" w:hAnsi="Arial"/>
          <w:sz w:val="22"/>
        </w:rPr>
        <w:t xml:space="preserve"> result in </w:t>
      </w:r>
      <w:r w:rsidR="006D3F93">
        <w:rPr>
          <w:rFonts w:ascii="Arial" w:hAnsi="Arial"/>
          <w:sz w:val="22"/>
        </w:rPr>
        <w:t xml:space="preserve">a reduction in the number of licensees requesting an extension to this reporting requirement.  This is because licensees in general have only requested an additional </w:t>
      </w:r>
      <w:r w:rsidR="00CB58F0">
        <w:rPr>
          <w:rFonts w:ascii="Arial" w:hAnsi="Arial"/>
          <w:sz w:val="22"/>
        </w:rPr>
        <w:t>6 </w:t>
      </w:r>
      <w:r w:rsidR="006D3F93">
        <w:rPr>
          <w:rFonts w:ascii="Arial" w:hAnsi="Arial"/>
          <w:sz w:val="22"/>
        </w:rPr>
        <w:t>months to submit a summary technical report.</w:t>
      </w:r>
    </w:p>
    <w:p w:rsidR="006D3F93" w:rsidP="00744A0C" w:rsidRDefault="006D3F93" w14:paraId="3F80F246" w14:textId="77777777">
      <w:pPr>
        <w:widowControl w:val="0"/>
        <w:rPr>
          <w:rFonts w:ascii="Arial" w:hAnsi="Arial"/>
          <w:sz w:val="22"/>
        </w:rPr>
      </w:pPr>
    </w:p>
    <w:p w:rsidR="007936C7" w:rsidP="00744A0C" w:rsidRDefault="005F1B0E" w14:paraId="24583267" w14:textId="2024F1DA">
      <w:pPr>
        <w:keepLines/>
        <w:widowControl w:val="0"/>
        <w:ind w:left="1080"/>
        <w:rPr>
          <w:rFonts w:ascii="Arial" w:hAnsi="Arial"/>
          <w:sz w:val="22"/>
        </w:rPr>
      </w:pPr>
      <w:r>
        <w:rPr>
          <w:rFonts w:ascii="Arial" w:hAnsi="Arial" w:cs="Arial"/>
          <w:sz w:val="22"/>
          <w:szCs w:val="22"/>
        </w:rPr>
        <w:t>The NRC staff estimates that one</w:t>
      </w:r>
      <w:r w:rsidR="002B622D">
        <w:rPr>
          <w:rFonts w:ascii="Arial" w:hAnsi="Arial" w:cs="Arial"/>
          <w:sz w:val="22"/>
          <w:szCs w:val="22"/>
        </w:rPr>
        <w:t xml:space="preserve"> extension request annually w</w:t>
      </w:r>
      <w:r w:rsidR="00082425">
        <w:rPr>
          <w:rFonts w:ascii="Arial" w:hAnsi="Arial" w:cs="Arial"/>
          <w:sz w:val="22"/>
          <w:szCs w:val="22"/>
        </w:rPr>
        <w:t>ill</w:t>
      </w:r>
      <w:r>
        <w:rPr>
          <w:rFonts w:ascii="Arial" w:hAnsi="Arial" w:cs="Arial"/>
          <w:sz w:val="22"/>
          <w:szCs w:val="22"/>
        </w:rPr>
        <w:t xml:space="preserve"> be averted du</w:t>
      </w:r>
      <w:r w:rsidR="004434F0">
        <w:rPr>
          <w:rFonts w:ascii="Arial" w:hAnsi="Arial" w:cs="Arial"/>
          <w:sz w:val="22"/>
          <w:szCs w:val="22"/>
        </w:rPr>
        <w:t>e to the change in the periodicity</w:t>
      </w:r>
      <w:r>
        <w:rPr>
          <w:rFonts w:ascii="Arial" w:hAnsi="Arial" w:cs="Arial"/>
          <w:sz w:val="22"/>
          <w:szCs w:val="22"/>
        </w:rPr>
        <w:t xml:space="preserve"> to submit </w:t>
      </w:r>
      <w:r w:rsidR="004434F0">
        <w:rPr>
          <w:rFonts w:ascii="Arial" w:hAnsi="Arial" w:cs="Arial"/>
          <w:sz w:val="22"/>
          <w:szCs w:val="22"/>
        </w:rPr>
        <w:t xml:space="preserve">the </w:t>
      </w:r>
      <w:r>
        <w:rPr>
          <w:rFonts w:ascii="Arial" w:hAnsi="Arial" w:cs="Arial"/>
          <w:sz w:val="22"/>
          <w:szCs w:val="22"/>
        </w:rPr>
        <w:t>summary technical repo</w:t>
      </w:r>
      <w:r w:rsidR="004434F0">
        <w:rPr>
          <w:rFonts w:ascii="Arial" w:hAnsi="Arial" w:cs="Arial"/>
          <w:sz w:val="22"/>
          <w:szCs w:val="22"/>
        </w:rPr>
        <w:t>rt from 1 year to 18 </w:t>
      </w:r>
      <w:r>
        <w:rPr>
          <w:rFonts w:ascii="Arial" w:hAnsi="Arial" w:cs="Arial"/>
          <w:sz w:val="22"/>
          <w:szCs w:val="22"/>
        </w:rPr>
        <w:t xml:space="preserve">months.  An extension request requires an estimated </w:t>
      </w:r>
      <w:r w:rsidR="00653D46">
        <w:rPr>
          <w:rFonts w:ascii="Arial" w:hAnsi="Arial" w:cs="Arial"/>
          <w:sz w:val="22"/>
          <w:szCs w:val="22"/>
        </w:rPr>
        <w:t>78 </w:t>
      </w:r>
      <w:r>
        <w:rPr>
          <w:rFonts w:ascii="Arial" w:hAnsi="Arial" w:cs="Arial"/>
          <w:sz w:val="22"/>
          <w:szCs w:val="22"/>
        </w:rPr>
        <w:t xml:space="preserve">hours of licensee effort.  As a result, the burden reduction associated with this </w:t>
      </w:r>
      <w:r w:rsidR="00104D2A">
        <w:rPr>
          <w:rFonts w:ascii="Arial" w:hAnsi="Arial" w:cs="Arial"/>
          <w:sz w:val="22"/>
          <w:szCs w:val="22"/>
        </w:rPr>
        <w:t xml:space="preserve">final </w:t>
      </w:r>
      <w:r>
        <w:rPr>
          <w:rFonts w:ascii="Arial" w:hAnsi="Arial" w:cs="Arial"/>
          <w:sz w:val="22"/>
          <w:szCs w:val="22"/>
        </w:rPr>
        <w:t>rule w</w:t>
      </w:r>
      <w:r w:rsidR="00104D2A">
        <w:rPr>
          <w:rFonts w:ascii="Arial" w:hAnsi="Arial" w:cs="Arial"/>
          <w:sz w:val="22"/>
          <w:szCs w:val="22"/>
        </w:rPr>
        <w:t>ill</w:t>
      </w:r>
      <w:r>
        <w:rPr>
          <w:rFonts w:ascii="Arial" w:hAnsi="Arial" w:cs="Arial"/>
          <w:sz w:val="22"/>
          <w:szCs w:val="22"/>
        </w:rPr>
        <w:t xml:space="preserve"> be </w:t>
      </w:r>
      <w:r w:rsidR="00653D46">
        <w:rPr>
          <w:rFonts w:ascii="Arial" w:hAnsi="Arial" w:cs="Arial"/>
          <w:sz w:val="22"/>
          <w:szCs w:val="22"/>
        </w:rPr>
        <w:t>78 </w:t>
      </w:r>
      <w:r>
        <w:rPr>
          <w:rFonts w:ascii="Arial" w:hAnsi="Arial" w:cs="Arial"/>
          <w:sz w:val="22"/>
          <w:szCs w:val="22"/>
        </w:rPr>
        <w:t xml:space="preserve">hours with a cost reduction </w:t>
      </w:r>
      <w:r w:rsidRPr="00653D46">
        <w:rPr>
          <w:rFonts w:ascii="Arial" w:hAnsi="Arial" w:cs="Arial"/>
          <w:sz w:val="22"/>
          <w:szCs w:val="22"/>
        </w:rPr>
        <w:t>of $</w:t>
      </w:r>
      <w:r w:rsidRPr="00653D46" w:rsidR="00653D46">
        <w:rPr>
          <w:rFonts w:ascii="Arial" w:hAnsi="Arial" w:cs="Arial"/>
          <w:sz w:val="22"/>
          <w:szCs w:val="22"/>
        </w:rPr>
        <w:t>21,450 (78 </w:t>
      </w:r>
      <w:r w:rsidRPr="00653D46">
        <w:rPr>
          <w:rFonts w:ascii="Arial" w:hAnsi="Arial" w:cs="Arial"/>
          <w:sz w:val="22"/>
          <w:szCs w:val="22"/>
        </w:rPr>
        <w:t>hrs</w:t>
      </w:r>
      <w:r>
        <w:rPr>
          <w:rFonts w:ascii="Arial" w:hAnsi="Arial" w:cs="Arial"/>
          <w:sz w:val="22"/>
          <w:szCs w:val="22"/>
        </w:rPr>
        <w:t xml:space="preserve"> x $275/hr).</w:t>
      </w:r>
    </w:p>
    <w:p w:rsidR="009D6C44" w:rsidP="003A100F" w:rsidRDefault="009D6C44" w14:paraId="669250CA" w14:textId="77777777">
      <w:pPr>
        <w:rPr>
          <w:rFonts w:ascii="Arial" w:hAnsi="Arial"/>
          <w:sz w:val="22"/>
        </w:rPr>
      </w:pPr>
    </w:p>
    <w:p w:rsidR="008E2129" w:rsidP="0006251D" w:rsidRDefault="008E2129" w14:paraId="0539B673" w14:textId="3F9C0EBB">
      <w:pPr>
        <w:ind w:left="1080"/>
        <w:rPr>
          <w:rFonts w:ascii="Arial" w:hAnsi="Arial"/>
          <w:sz w:val="22"/>
        </w:rPr>
      </w:pPr>
      <w:r>
        <w:rPr>
          <w:rFonts w:ascii="Arial" w:hAnsi="Arial"/>
          <w:sz w:val="22"/>
        </w:rPr>
        <w:t>The $275 hourly rate used in the burden estimates is based on the NRC’s fee for hourly rates as noted in 10 CFR 170.20, “Average cost per professional staff</w:t>
      </w:r>
      <w:r>
        <w:rPr>
          <w:rFonts w:ascii="Arial" w:hAnsi="Arial"/>
          <w:sz w:val="22"/>
        </w:rPr>
        <w:noBreakHyphen/>
        <w:t>hour.”  For more information on the basis of this rate, see the final rule “Revision of Fee Schedules; Fee Recovery for Fiscal Year 2018,” (83 FR 29622; June 25, 2018).</w:t>
      </w:r>
    </w:p>
    <w:p w:rsidRPr="007A2541" w:rsidR="00F975FF" w:rsidP="007F3E12" w:rsidRDefault="00F975FF" w14:paraId="60EE025C" w14:textId="25DD68E0">
      <w:pPr>
        <w:rPr>
          <w:rFonts w:ascii="Arial" w:hAnsi="Arial"/>
          <w:sz w:val="22"/>
        </w:rPr>
      </w:pPr>
    </w:p>
    <w:p w:rsidRPr="007A2541" w:rsidR="002A64F1" w:rsidP="00DC5F13" w:rsidRDefault="00AC71DD" w14:paraId="64A89918" w14:textId="445EEB99">
      <w:pPr>
        <w:ind w:left="1080"/>
        <w:rPr>
          <w:rFonts w:ascii="Arial" w:hAnsi="Arial" w:cs="Arial"/>
        </w:rPr>
      </w:pPr>
      <w:r w:rsidRPr="007A2541">
        <w:rPr>
          <w:rFonts w:ascii="Arial" w:hAnsi="Arial" w:cs="Arial"/>
          <w:sz w:val="22"/>
          <w:szCs w:val="22"/>
        </w:rPr>
        <w:t xml:space="preserve">The NRC staff expects that the reduction in the number of fracture toughness specimens that are required to be tested in Section III.B.4 of the </w:t>
      </w:r>
      <w:r w:rsidR="00104D2A">
        <w:rPr>
          <w:rFonts w:ascii="Arial" w:hAnsi="Arial" w:cs="Arial"/>
          <w:sz w:val="22"/>
          <w:szCs w:val="22"/>
        </w:rPr>
        <w:t xml:space="preserve">final </w:t>
      </w:r>
      <w:r w:rsidRPr="007A2541">
        <w:rPr>
          <w:rFonts w:ascii="Arial" w:hAnsi="Arial" w:cs="Arial"/>
          <w:sz w:val="22"/>
          <w:szCs w:val="22"/>
        </w:rPr>
        <w:t>rule will not result in a measurable change in the burden to the licensee</w:t>
      </w:r>
      <w:r w:rsidRPr="007A2541">
        <w:rPr>
          <w:rFonts w:ascii="Arial" w:hAnsi="Arial" w:cs="Arial"/>
        </w:rPr>
        <w:t>.</w:t>
      </w:r>
    </w:p>
    <w:p w:rsidRPr="00AC71DD" w:rsidR="00DC5F13" w:rsidP="007F3E12" w:rsidRDefault="00DC5F13" w14:paraId="73AA422B" w14:textId="77777777">
      <w:pPr>
        <w:rPr>
          <w:rFonts w:ascii="Arial" w:hAnsi="Arial"/>
          <w:sz w:val="22"/>
          <w:szCs w:val="22"/>
        </w:rPr>
      </w:pPr>
    </w:p>
    <w:p w:rsidR="002A64F1" w:rsidP="002850C8" w:rsidRDefault="002A64F1" w14:paraId="33062C20" w14:textId="77777777">
      <w:pPr>
        <w:pStyle w:val="Level1"/>
        <w:widowControl/>
        <w:numPr>
          <w:ilvl w:val="0"/>
          <w:numId w:val="9"/>
        </w:numPr>
        <w:rPr>
          <w:rFonts w:ascii="Arial" w:hAnsi="Arial"/>
          <w:sz w:val="22"/>
        </w:rPr>
      </w:pPr>
      <w:r>
        <w:rPr>
          <w:rFonts w:ascii="Arial" w:hAnsi="Arial"/>
          <w:sz w:val="22"/>
          <w:u w:val="single"/>
        </w:rPr>
        <w:t>Estimate of Other Additional Costs</w:t>
      </w:r>
    </w:p>
    <w:p w:rsidR="002A64F1" w:rsidP="002A64F1" w:rsidRDefault="002A64F1" w14:paraId="0ED78B83" w14:textId="77777777">
      <w:pPr>
        <w:pStyle w:val="Level1"/>
        <w:widowControl/>
        <w:rPr>
          <w:rFonts w:ascii="Arial" w:hAnsi="Arial"/>
          <w:sz w:val="22"/>
        </w:rPr>
      </w:pPr>
    </w:p>
    <w:p w:rsidR="00B87310" w:rsidP="00B87310" w:rsidRDefault="006208D7" w14:paraId="7E0FE9CB" w14:textId="44DD4853">
      <w:pPr>
        <w:pStyle w:val="Level1"/>
        <w:widowControl/>
        <w:ind w:left="1080"/>
        <w:rPr>
          <w:rFonts w:ascii="Arial" w:hAnsi="Arial"/>
          <w:sz w:val="22"/>
        </w:rPr>
      </w:pPr>
      <w:r>
        <w:rPr>
          <w:rFonts w:ascii="Arial" w:hAnsi="Arial"/>
          <w:sz w:val="22"/>
        </w:rPr>
        <w:t>There are no additional cos</w:t>
      </w:r>
      <w:r w:rsidR="0016639C">
        <w:rPr>
          <w:rFonts w:ascii="Arial" w:hAnsi="Arial"/>
          <w:sz w:val="22"/>
        </w:rPr>
        <w:t xml:space="preserve">ts associated with this rulemaking. </w:t>
      </w:r>
      <w:r w:rsidR="0019116B">
        <w:rPr>
          <w:rFonts w:ascii="Arial" w:hAnsi="Arial"/>
          <w:sz w:val="22"/>
        </w:rPr>
        <w:t xml:space="preserve"> </w:t>
      </w:r>
      <w:r w:rsidR="0016639C">
        <w:rPr>
          <w:rFonts w:ascii="Arial" w:hAnsi="Arial"/>
          <w:sz w:val="22"/>
        </w:rPr>
        <w:t xml:space="preserve">The additional costs under </w:t>
      </w:r>
      <w:r w:rsidR="0019116B">
        <w:rPr>
          <w:rFonts w:ascii="Arial" w:hAnsi="Arial"/>
          <w:sz w:val="22"/>
        </w:rPr>
        <w:t>10 CFR Part </w:t>
      </w:r>
      <w:r w:rsidR="0016639C">
        <w:rPr>
          <w:rFonts w:ascii="Arial" w:hAnsi="Arial"/>
          <w:sz w:val="22"/>
        </w:rPr>
        <w:t>50 remain unchanged at $</w:t>
      </w:r>
      <w:r w:rsidRPr="0053033E" w:rsidR="0053033E">
        <w:rPr>
          <w:rFonts w:ascii="Arial" w:hAnsi="Arial"/>
          <w:sz w:val="22"/>
        </w:rPr>
        <w:t>272,0</w:t>
      </w:r>
      <w:r w:rsidR="00BF171E">
        <w:rPr>
          <w:rFonts w:ascii="Arial" w:hAnsi="Arial"/>
          <w:sz w:val="22"/>
        </w:rPr>
        <w:t>62</w:t>
      </w:r>
      <w:r w:rsidR="0053033E">
        <w:rPr>
          <w:rFonts w:ascii="Arial" w:hAnsi="Arial"/>
          <w:sz w:val="22"/>
        </w:rPr>
        <w:t>.</w:t>
      </w:r>
    </w:p>
    <w:p w:rsidR="002A64F1" w:rsidP="002A64F1" w:rsidRDefault="002A64F1" w14:paraId="4388FC58" w14:textId="77777777">
      <w:pPr>
        <w:pStyle w:val="Level1"/>
        <w:widowControl/>
        <w:rPr>
          <w:rFonts w:ascii="Arial" w:hAnsi="Arial"/>
          <w:sz w:val="22"/>
        </w:rPr>
      </w:pPr>
    </w:p>
    <w:p w:rsidRPr="006E1C6E" w:rsidR="002A64F1" w:rsidP="002850C8" w:rsidRDefault="002A64F1" w14:paraId="79458F83" w14:textId="77777777">
      <w:pPr>
        <w:pStyle w:val="Level1"/>
        <w:widowControl/>
        <w:numPr>
          <w:ilvl w:val="0"/>
          <w:numId w:val="9"/>
        </w:numPr>
        <w:rPr>
          <w:rFonts w:ascii="Arial" w:hAnsi="Arial"/>
          <w:sz w:val="22"/>
        </w:rPr>
      </w:pPr>
      <w:r w:rsidRPr="006E1C6E">
        <w:rPr>
          <w:rFonts w:ascii="Arial" w:hAnsi="Arial"/>
          <w:sz w:val="22"/>
          <w:u w:val="single"/>
        </w:rPr>
        <w:t>Estimated Annualized Cost to the Federal Government</w:t>
      </w:r>
    </w:p>
    <w:p w:rsidR="002A64F1" w:rsidP="002A64F1" w:rsidRDefault="002A64F1" w14:paraId="7C9F82BB" w14:textId="77777777">
      <w:pPr>
        <w:pStyle w:val="Level1"/>
        <w:widowControl/>
        <w:rPr>
          <w:rFonts w:ascii="Arial" w:hAnsi="Arial"/>
          <w:sz w:val="22"/>
          <w:u w:val="single"/>
        </w:rPr>
      </w:pPr>
    </w:p>
    <w:p w:rsidR="00547E71" w:rsidP="00A537FC" w:rsidRDefault="006208D7" w14:paraId="0E6740BD" w14:textId="078412C1">
      <w:pPr>
        <w:pStyle w:val="Level1"/>
        <w:widowControl/>
        <w:ind w:left="1080"/>
        <w:rPr>
          <w:rFonts w:ascii="Arial" w:hAnsi="Arial"/>
          <w:sz w:val="22"/>
        </w:rPr>
      </w:pPr>
      <w:r w:rsidRPr="004F4364">
        <w:rPr>
          <w:rFonts w:ascii="Arial" w:hAnsi="Arial"/>
          <w:sz w:val="22"/>
        </w:rPr>
        <w:t xml:space="preserve">As a result of the </w:t>
      </w:r>
      <w:r w:rsidR="00104D2A">
        <w:rPr>
          <w:rFonts w:ascii="Arial" w:hAnsi="Arial"/>
          <w:sz w:val="22"/>
        </w:rPr>
        <w:t xml:space="preserve">final </w:t>
      </w:r>
      <w:r w:rsidR="00426A8A">
        <w:rPr>
          <w:rFonts w:ascii="Arial" w:hAnsi="Arial"/>
          <w:sz w:val="22"/>
        </w:rPr>
        <w:t>action, the NRC w</w:t>
      </w:r>
      <w:r w:rsidR="00104D2A">
        <w:rPr>
          <w:rFonts w:ascii="Arial" w:hAnsi="Arial"/>
          <w:sz w:val="22"/>
        </w:rPr>
        <w:t>ill</w:t>
      </w:r>
      <w:r w:rsidR="00426A8A">
        <w:rPr>
          <w:rFonts w:ascii="Arial" w:hAnsi="Arial"/>
          <w:sz w:val="22"/>
        </w:rPr>
        <w:t xml:space="preserve"> review </w:t>
      </w:r>
      <w:r w:rsidR="00BA4556">
        <w:rPr>
          <w:rFonts w:ascii="Arial" w:hAnsi="Arial"/>
          <w:sz w:val="22"/>
        </w:rPr>
        <w:t>one f</w:t>
      </w:r>
      <w:r w:rsidRPr="004F4364" w:rsidR="00A75E82">
        <w:rPr>
          <w:rFonts w:ascii="Arial" w:hAnsi="Arial"/>
          <w:sz w:val="22"/>
        </w:rPr>
        <w:t xml:space="preserve">ewer </w:t>
      </w:r>
      <w:r w:rsidR="00BA4556">
        <w:rPr>
          <w:rFonts w:ascii="Arial" w:hAnsi="Arial"/>
          <w:sz w:val="22"/>
        </w:rPr>
        <w:t xml:space="preserve">extension </w:t>
      </w:r>
      <w:r w:rsidRPr="004F4364">
        <w:rPr>
          <w:rFonts w:ascii="Arial" w:hAnsi="Arial"/>
          <w:sz w:val="22"/>
        </w:rPr>
        <w:t xml:space="preserve">request annually.  The NRC estimates that reviewing </w:t>
      </w:r>
      <w:r w:rsidR="00BA4556">
        <w:rPr>
          <w:rFonts w:ascii="Arial" w:hAnsi="Arial"/>
          <w:sz w:val="22"/>
        </w:rPr>
        <w:t xml:space="preserve">and approving </w:t>
      </w:r>
      <w:r w:rsidR="003A1652">
        <w:rPr>
          <w:rFonts w:ascii="Arial" w:hAnsi="Arial"/>
          <w:sz w:val="22"/>
        </w:rPr>
        <w:t xml:space="preserve">each extension </w:t>
      </w:r>
      <w:r w:rsidRPr="004F4364">
        <w:rPr>
          <w:rFonts w:ascii="Arial" w:hAnsi="Arial"/>
          <w:sz w:val="22"/>
        </w:rPr>
        <w:t xml:space="preserve">request takes an </w:t>
      </w:r>
      <w:r w:rsidR="003A1652">
        <w:rPr>
          <w:rFonts w:ascii="Arial" w:hAnsi="Arial"/>
          <w:sz w:val="22"/>
        </w:rPr>
        <w:t>estimated</w:t>
      </w:r>
      <w:r w:rsidRPr="004F4364">
        <w:rPr>
          <w:rFonts w:ascii="Arial" w:hAnsi="Arial"/>
          <w:sz w:val="22"/>
        </w:rPr>
        <w:t xml:space="preserve"> </w:t>
      </w:r>
      <w:r w:rsidR="00BA4556">
        <w:rPr>
          <w:rFonts w:ascii="Arial" w:hAnsi="Arial"/>
          <w:sz w:val="22"/>
        </w:rPr>
        <w:t>60</w:t>
      </w:r>
      <w:r w:rsidRPr="004F4364">
        <w:rPr>
          <w:rFonts w:ascii="Arial" w:hAnsi="Arial"/>
          <w:sz w:val="22"/>
        </w:rPr>
        <w:t xml:space="preserve"> hours per request.  As a result</w:t>
      </w:r>
      <w:r w:rsidR="003A1652">
        <w:rPr>
          <w:rFonts w:ascii="Arial" w:hAnsi="Arial"/>
          <w:sz w:val="22"/>
        </w:rPr>
        <w:t>,</w:t>
      </w:r>
      <w:r w:rsidRPr="004F4364">
        <w:rPr>
          <w:rFonts w:ascii="Arial" w:hAnsi="Arial"/>
          <w:sz w:val="22"/>
        </w:rPr>
        <w:t xml:space="preserve"> the NRC estimates that </w:t>
      </w:r>
      <w:r w:rsidR="00BA4556">
        <w:rPr>
          <w:rFonts w:ascii="Arial" w:hAnsi="Arial"/>
          <w:sz w:val="22"/>
        </w:rPr>
        <w:t xml:space="preserve">extending the </w:t>
      </w:r>
      <w:r w:rsidR="00071361">
        <w:rPr>
          <w:rFonts w:ascii="Arial" w:hAnsi="Arial"/>
          <w:sz w:val="22"/>
        </w:rPr>
        <w:t xml:space="preserve">periodicity for submitting the summary technical report </w:t>
      </w:r>
      <w:r w:rsidR="00A537FC">
        <w:rPr>
          <w:rFonts w:ascii="Arial" w:hAnsi="Arial" w:cs="Arial"/>
          <w:sz w:val="22"/>
          <w:szCs w:val="22"/>
        </w:rPr>
        <w:t>from 1 year to 18 months</w:t>
      </w:r>
      <w:r w:rsidR="00A537FC">
        <w:rPr>
          <w:rFonts w:ascii="Arial" w:hAnsi="Arial"/>
          <w:sz w:val="22"/>
        </w:rPr>
        <w:t xml:space="preserve"> w</w:t>
      </w:r>
      <w:r w:rsidR="00104D2A">
        <w:rPr>
          <w:rFonts w:ascii="Arial" w:hAnsi="Arial"/>
          <w:sz w:val="22"/>
        </w:rPr>
        <w:t>ill</w:t>
      </w:r>
      <w:r w:rsidR="00A537FC">
        <w:rPr>
          <w:rFonts w:ascii="Arial" w:hAnsi="Arial"/>
          <w:sz w:val="22"/>
        </w:rPr>
        <w:t xml:space="preserve"> re</w:t>
      </w:r>
      <w:r w:rsidRPr="004F4364">
        <w:rPr>
          <w:rFonts w:ascii="Arial" w:hAnsi="Arial"/>
          <w:sz w:val="22"/>
        </w:rPr>
        <w:t xml:space="preserve">sult in a </w:t>
      </w:r>
      <w:r w:rsidRPr="0094670F">
        <w:rPr>
          <w:rFonts w:ascii="Arial" w:hAnsi="Arial"/>
          <w:sz w:val="22"/>
        </w:rPr>
        <w:t xml:space="preserve">savings of </w:t>
      </w:r>
      <w:r w:rsidRPr="0094670F" w:rsidR="003B02A7">
        <w:rPr>
          <w:rFonts w:ascii="Arial" w:hAnsi="Arial"/>
          <w:sz w:val="22"/>
        </w:rPr>
        <w:t>$</w:t>
      </w:r>
      <w:r w:rsidR="00A537FC">
        <w:rPr>
          <w:rFonts w:ascii="Arial" w:hAnsi="Arial"/>
          <w:sz w:val="22"/>
        </w:rPr>
        <w:t>16,500</w:t>
      </w:r>
      <w:r w:rsidR="001D0296">
        <w:rPr>
          <w:rFonts w:ascii="Arial" w:hAnsi="Arial"/>
          <w:sz w:val="22"/>
        </w:rPr>
        <w:t xml:space="preserve"> </w:t>
      </w:r>
      <w:r w:rsidR="002B1B12">
        <w:rPr>
          <w:rFonts w:ascii="Arial" w:hAnsi="Arial"/>
          <w:sz w:val="22"/>
        </w:rPr>
        <w:t>(</w:t>
      </w:r>
      <w:r w:rsidR="00A537FC">
        <w:rPr>
          <w:rFonts w:ascii="Arial" w:hAnsi="Arial"/>
          <w:sz w:val="22"/>
        </w:rPr>
        <w:t>60</w:t>
      </w:r>
      <w:r w:rsidR="002B1B12">
        <w:rPr>
          <w:rFonts w:ascii="Arial" w:hAnsi="Arial"/>
          <w:sz w:val="22"/>
        </w:rPr>
        <w:t xml:space="preserve"> </w:t>
      </w:r>
      <w:r w:rsidRPr="004F4364">
        <w:rPr>
          <w:rFonts w:ascii="Arial" w:hAnsi="Arial"/>
          <w:sz w:val="22"/>
        </w:rPr>
        <w:t>hr</w:t>
      </w:r>
      <w:r w:rsidR="002239CB">
        <w:rPr>
          <w:rFonts w:ascii="Arial" w:hAnsi="Arial"/>
          <w:sz w:val="22"/>
        </w:rPr>
        <w:t>s/extension</w:t>
      </w:r>
      <w:r w:rsidR="00A85BF0">
        <w:rPr>
          <w:rFonts w:ascii="Arial" w:hAnsi="Arial"/>
          <w:sz w:val="22"/>
        </w:rPr>
        <w:t xml:space="preserve"> request x </w:t>
      </w:r>
      <w:r w:rsidR="00A537FC">
        <w:rPr>
          <w:rFonts w:ascii="Arial" w:hAnsi="Arial"/>
          <w:sz w:val="22"/>
        </w:rPr>
        <w:t>1</w:t>
      </w:r>
      <w:r w:rsidR="00F1385B">
        <w:rPr>
          <w:rFonts w:ascii="Arial" w:hAnsi="Arial"/>
          <w:sz w:val="22"/>
        </w:rPr>
        <w:t> </w:t>
      </w:r>
      <w:r w:rsidR="002239CB">
        <w:rPr>
          <w:rFonts w:ascii="Arial" w:hAnsi="Arial"/>
          <w:sz w:val="22"/>
        </w:rPr>
        <w:t xml:space="preserve">extension </w:t>
      </w:r>
      <w:r w:rsidR="00A537FC">
        <w:rPr>
          <w:rFonts w:ascii="Arial" w:hAnsi="Arial"/>
          <w:sz w:val="22"/>
        </w:rPr>
        <w:t>request</w:t>
      </w:r>
      <w:r w:rsidRPr="004F4364">
        <w:rPr>
          <w:rFonts w:ascii="Arial" w:hAnsi="Arial"/>
          <w:sz w:val="22"/>
        </w:rPr>
        <w:t xml:space="preserve"> x </w:t>
      </w:r>
      <w:r w:rsidR="003B02A7">
        <w:rPr>
          <w:rFonts w:ascii="Arial" w:hAnsi="Arial"/>
          <w:sz w:val="22"/>
        </w:rPr>
        <w:t>$</w:t>
      </w:r>
      <w:r w:rsidR="00A537FC">
        <w:rPr>
          <w:rFonts w:ascii="Arial" w:hAnsi="Arial"/>
          <w:sz w:val="22"/>
        </w:rPr>
        <w:t>275</w:t>
      </w:r>
      <w:r w:rsidR="003B02A7">
        <w:rPr>
          <w:rFonts w:ascii="Arial" w:hAnsi="Arial"/>
          <w:sz w:val="22"/>
        </w:rPr>
        <w:t>/hr</w:t>
      </w:r>
      <w:r w:rsidRPr="004F4364">
        <w:rPr>
          <w:rFonts w:ascii="Arial" w:hAnsi="Arial"/>
          <w:sz w:val="22"/>
        </w:rPr>
        <w:t>).</w:t>
      </w:r>
      <w:r w:rsidR="00BB43D3">
        <w:rPr>
          <w:rFonts w:ascii="Arial" w:hAnsi="Arial"/>
          <w:sz w:val="22"/>
        </w:rPr>
        <w:t xml:space="preserve">  The total cost to the Federal government for the 10 CFR Part 50 information collection is therefore</w:t>
      </w:r>
      <w:r w:rsidR="00310641">
        <w:rPr>
          <w:rFonts w:ascii="Arial" w:hAnsi="Arial"/>
          <w:sz w:val="22"/>
        </w:rPr>
        <w:t xml:space="preserve"> $</w:t>
      </w:r>
      <w:r w:rsidRPr="00310641" w:rsidR="00310641">
        <w:rPr>
          <w:rFonts w:ascii="Arial" w:hAnsi="Arial"/>
          <w:sz w:val="22"/>
        </w:rPr>
        <w:t>62</w:t>
      </w:r>
      <w:r w:rsidR="005656D1">
        <w:rPr>
          <w:rFonts w:ascii="Arial" w:hAnsi="Arial"/>
          <w:sz w:val="22"/>
        </w:rPr>
        <w:t>,784,122</w:t>
      </w:r>
      <w:r w:rsidR="00BB43D3">
        <w:rPr>
          <w:rFonts w:ascii="Arial" w:hAnsi="Arial"/>
          <w:sz w:val="22"/>
        </w:rPr>
        <w:t xml:space="preserve"> (</w:t>
      </w:r>
      <w:r w:rsidR="004377FE">
        <w:rPr>
          <w:rFonts w:ascii="Arial" w:hAnsi="Arial"/>
          <w:sz w:val="22"/>
        </w:rPr>
        <w:t>$</w:t>
      </w:r>
      <w:r w:rsidRPr="004377FE" w:rsidR="004377FE">
        <w:rPr>
          <w:rFonts w:ascii="Arial" w:hAnsi="Arial"/>
          <w:sz w:val="22"/>
        </w:rPr>
        <w:t>62,</w:t>
      </w:r>
      <w:r w:rsidR="005778E7">
        <w:rPr>
          <w:rFonts w:ascii="Arial" w:hAnsi="Arial"/>
          <w:sz w:val="22"/>
        </w:rPr>
        <w:t>767,622</w:t>
      </w:r>
      <w:r w:rsidR="005652AD">
        <w:rPr>
          <w:rFonts w:ascii="Arial" w:hAnsi="Arial"/>
          <w:sz w:val="22"/>
        </w:rPr>
        <w:t xml:space="preserve"> current Part 50 cost to the Federal Government - $16,500</w:t>
      </w:r>
      <w:r w:rsidR="00310641">
        <w:rPr>
          <w:rFonts w:ascii="Arial" w:hAnsi="Arial"/>
          <w:sz w:val="22"/>
        </w:rPr>
        <w:t xml:space="preserve"> = $</w:t>
      </w:r>
      <w:r w:rsidRPr="00310641" w:rsidR="00310641">
        <w:rPr>
          <w:rFonts w:ascii="Arial" w:hAnsi="Arial"/>
          <w:sz w:val="22"/>
        </w:rPr>
        <w:t>62,</w:t>
      </w:r>
      <w:r w:rsidR="005656D1">
        <w:rPr>
          <w:rFonts w:ascii="Arial" w:hAnsi="Arial"/>
          <w:sz w:val="22"/>
        </w:rPr>
        <w:t>784,122</w:t>
      </w:r>
      <w:r w:rsidR="00310641">
        <w:rPr>
          <w:rFonts w:ascii="Arial" w:hAnsi="Arial"/>
          <w:sz w:val="22"/>
        </w:rPr>
        <w:t>.)</w:t>
      </w:r>
    </w:p>
    <w:p w:rsidR="002A64F1" w:rsidP="002A64F1" w:rsidRDefault="002A64F1" w14:paraId="2A2B4F6E" w14:textId="77777777">
      <w:pPr>
        <w:pStyle w:val="Level1"/>
        <w:widowControl/>
        <w:rPr>
          <w:rFonts w:ascii="Arial" w:hAnsi="Arial"/>
          <w:sz w:val="22"/>
        </w:rPr>
      </w:pPr>
    </w:p>
    <w:p w:rsidRPr="006E1C6E" w:rsidR="002A64F1" w:rsidP="002850C8" w:rsidRDefault="002A64F1" w14:paraId="5A92EE59" w14:textId="77777777">
      <w:pPr>
        <w:widowControl w:val="0"/>
        <w:numPr>
          <w:ilvl w:val="0"/>
          <w:numId w:val="9"/>
        </w:numPr>
        <w:rPr>
          <w:rFonts w:ascii="Arial" w:hAnsi="Arial"/>
          <w:sz w:val="22"/>
          <w:u w:val="single"/>
        </w:rPr>
      </w:pPr>
      <w:r w:rsidRPr="006E1C6E">
        <w:rPr>
          <w:rFonts w:ascii="Arial" w:hAnsi="Arial"/>
          <w:sz w:val="22"/>
          <w:u w:val="single"/>
        </w:rPr>
        <w:t>Reasons for Change in Burden or Cost</w:t>
      </w:r>
    </w:p>
    <w:p w:rsidR="00F0085E" w:rsidP="00F0085E" w:rsidRDefault="00F0085E" w14:paraId="51CEBFCC" w14:textId="77777777">
      <w:pPr>
        <w:widowControl w:val="0"/>
        <w:rPr>
          <w:rFonts w:ascii="Arial" w:hAnsi="Arial"/>
          <w:sz w:val="22"/>
          <w:u w:val="single"/>
        </w:rPr>
      </w:pPr>
    </w:p>
    <w:p w:rsidR="00140FF8" w:rsidP="00F0085E" w:rsidRDefault="00A54008" w14:paraId="330E26F6" w14:textId="2A794945">
      <w:pPr>
        <w:widowControl w:val="0"/>
        <w:ind w:left="1080"/>
        <w:rPr>
          <w:rFonts w:ascii="Arial" w:hAnsi="Arial" w:cs="Arial"/>
          <w:sz w:val="22"/>
          <w:szCs w:val="22"/>
        </w:rPr>
      </w:pPr>
      <w:r w:rsidRPr="00A54008">
        <w:rPr>
          <w:rFonts w:ascii="Arial" w:hAnsi="Arial"/>
          <w:sz w:val="22"/>
          <w:szCs w:val="22"/>
        </w:rPr>
        <w:t xml:space="preserve">The </w:t>
      </w:r>
      <w:r w:rsidR="00FF1D51">
        <w:rPr>
          <w:rFonts w:ascii="Arial" w:hAnsi="Arial"/>
          <w:sz w:val="22"/>
          <w:szCs w:val="22"/>
        </w:rPr>
        <w:t xml:space="preserve">final </w:t>
      </w:r>
      <w:r w:rsidRPr="00A54008">
        <w:rPr>
          <w:rFonts w:ascii="Arial" w:hAnsi="Arial"/>
          <w:sz w:val="22"/>
          <w:szCs w:val="22"/>
        </w:rPr>
        <w:t>rule w</w:t>
      </w:r>
      <w:r w:rsidR="00FF1D51">
        <w:rPr>
          <w:rFonts w:ascii="Arial" w:hAnsi="Arial"/>
          <w:sz w:val="22"/>
          <w:szCs w:val="22"/>
        </w:rPr>
        <w:t>ill</w:t>
      </w:r>
      <w:r w:rsidRPr="00A54008">
        <w:rPr>
          <w:rFonts w:ascii="Arial" w:hAnsi="Arial"/>
          <w:sz w:val="22"/>
          <w:szCs w:val="22"/>
        </w:rPr>
        <w:t xml:space="preserve"> decrease </w:t>
      </w:r>
      <w:r w:rsidR="0053033E">
        <w:rPr>
          <w:rFonts w:ascii="Arial" w:hAnsi="Arial"/>
          <w:sz w:val="22"/>
          <w:szCs w:val="22"/>
        </w:rPr>
        <w:t>the burden</w:t>
      </w:r>
      <w:r w:rsidRPr="00A54008">
        <w:rPr>
          <w:rFonts w:ascii="Arial" w:hAnsi="Arial"/>
          <w:sz w:val="22"/>
          <w:szCs w:val="22"/>
        </w:rPr>
        <w:t xml:space="preserve"> for </w:t>
      </w:r>
      <w:r w:rsidR="00A1471B">
        <w:rPr>
          <w:rFonts w:ascii="Arial" w:hAnsi="Arial"/>
          <w:sz w:val="22"/>
          <w:szCs w:val="22"/>
        </w:rPr>
        <w:t>10 CFR Part </w:t>
      </w:r>
      <w:r w:rsidRPr="00A54008">
        <w:rPr>
          <w:rFonts w:ascii="Arial" w:hAnsi="Arial"/>
          <w:sz w:val="22"/>
          <w:szCs w:val="22"/>
        </w:rPr>
        <w:t xml:space="preserve">50 </w:t>
      </w:r>
      <w:r w:rsidRPr="0090582F">
        <w:rPr>
          <w:rFonts w:ascii="Arial" w:hAnsi="Arial"/>
          <w:sz w:val="22"/>
          <w:szCs w:val="22"/>
        </w:rPr>
        <w:t>from</w:t>
      </w:r>
      <w:r w:rsidRPr="00822972" w:rsidR="00822972">
        <w:rPr>
          <w:rFonts w:ascii="Arial" w:hAnsi="Arial"/>
          <w:sz w:val="22"/>
          <w:szCs w:val="22"/>
        </w:rPr>
        <w:t xml:space="preserve"> 3,710,960 </w:t>
      </w:r>
      <w:r w:rsidRPr="0053033E" w:rsidR="0053033E">
        <w:rPr>
          <w:rFonts w:ascii="Arial" w:hAnsi="Arial"/>
          <w:sz w:val="22"/>
          <w:szCs w:val="22"/>
        </w:rPr>
        <w:t xml:space="preserve">to </w:t>
      </w:r>
      <w:r w:rsidRPr="00C0104E" w:rsidR="00C0104E">
        <w:rPr>
          <w:rFonts w:ascii="Arial" w:hAnsi="Arial"/>
          <w:sz w:val="22"/>
          <w:szCs w:val="22"/>
        </w:rPr>
        <w:t>3,710,882</w:t>
      </w:r>
      <w:r w:rsidRPr="0053033E" w:rsidR="0053033E">
        <w:rPr>
          <w:rFonts w:ascii="Arial" w:hAnsi="Arial"/>
          <w:sz w:val="22"/>
          <w:szCs w:val="22"/>
        </w:rPr>
        <w:t xml:space="preserve"> hours </w:t>
      </w:r>
      <w:r w:rsidR="0053033E">
        <w:rPr>
          <w:rFonts w:ascii="Arial" w:hAnsi="Arial"/>
          <w:sz w:val="22"/>
          <w:szCs w:val="22"/>
        </w:rPr>
        <w:t>and w</w:t>
      </w:r>
      <w:r w:rsidR="00FF1D51">
        <w:rPr>
          <w:rFonts w:ascii="Arial" w:hAnsi="Arial"/>
          <w:sz w:val="22"/>
          <w:szCs w:val="22"/>
        </w:rPr>
        <w:t>ill</w:t>
      </w:r>
      <w:r w:rsidR="0053033E">
        <w:rPr>
          <w:rFonts w:ascii="Arial" w:hAnsi="Arial"/>
          <w:sz w:val="22"/>
          <w:szCs w:val="22"/>
        </w:rPr>
        <w:t xml:space="preserve"> decrease the responses from </w:t>
      </w:r>
      <w:r w:rsidRPr="0053033E" w:rsidR="0053033E">
        <w:rPr>
          <w:rFonts w:ascii="Arial" w:hAnsi="Arial"/>
          <w:sz w:val="22"/>
          <w:szCs w:val="22"/>
        </w:rPr>
        <w:t>43,6</w:t>
      </w:r>
      <w:r w:rsidR="00A95E60">
        <w:rPr>
          <w:rFonts w:ascii="Arial" w:hAnsi="Arial"/>
          <w:sz w:val="22"/>
          <w:szCs w:val="22"/>
        </w:rPr>
        <w:t>1</w:t>
      </w:r>
      <w:r w:rsidRPr="0053033E" w:rsidR="0053033E">
        <w:rPr>
          <w:rFonts w:ascii="Arial" w:hAnsi="Arial"/>
          <w:sz w:val="22"/>
          <w:szCs w:val="22"/>
        </w:rPr>
        <w:t>8 to</w:t>
      </w:r>
      <w:r w:rsidR="00C0104E">
        <w:rPr>
          <w:rFonts w:ascii="Arial" w:hAnsi="Arial"/>
          <w:sz w:val="22"/>
          <w:szCs w:val="22"/>
        </w:rPr>
        <w:t xml:space="preserve"> 43</w:t>
      </w:r>
      <w:r w:rsidR="00D41260">
        <w:rPr>
          <w:rFonts w:ascii="Arial" w:hAnsi="Arial"/>
          <w:sz w:val="22"/>
          <w:szCs w:val="22"/>
        </w:rPr>
        <w:t>,</w:t>
      </w:r>
      <w:r w:rsidR="00C0104E">
        <w:rPr>
          <w:rFonts w:ascii="Arial" w:hAnsi="Arial"/>
          <w:sz w:val="22"/>
          <w:szCs w:val="22"/>
        </w:rPr>
        <w:t>617</w:t>
      </w:r>
      <w:r w:rsidRPr="0090582F">
        <w:rPr>
          <w:rFonts w:ascii="Arial" w:hAnsi="Arial" w:cs="Arial"/>
          <w:color w:val="000000"/>
          <w:sz w:val="22"/>
          <w:szCs w:val="22"/>
        </w:rPr>
        <w:t xml:space="preserve">, a </w:t>
      </w:r>
      <w:r w:rsidRPr="0090582F" w:rsidR="003B02A7">
        <w:rPr>
          <w:rFonts w:ascii="Arial" w:hAnsi="Arial" w:cs="Arial"/>
          <w:color w:val="000000"/>
          <w:sz w:val="22"/>
          <w:szCs w:val="22"/>
        </w:rPr>
        <w:t>reduction</w:t>
      </w:r>
      <w:r>
        <w:rPr>
          <w:rFonts w:ascii="Arial" w:hAnsi="Arial" w:cs="Arial"/>
          <w:color w:val="000000"/>
          <w:sz w:val="22"/>
          <w:szCs w:val="22"/>
        </w:rPr>
        <w:t xml:space="preserve"> of </w:t>
      </w:r>
      <w:r w:rsidRPr="00653D46" w:rsidR="00653D46">
        <w:rPr>
          <w:rFonts w:ascii="Arial" w:hAnsi="Arial" w:cs="Arial"/>
          <w:sz w:val="22"/>
          <w:szCs w:val="22"/>
        </w:rPr>
        <w:t>78</w:t>
      </w:r>
      <w:r w:rsidR="00653D46">
        <w:rPr>
          <w:rFonts w:ascii="Arial" w:hAnsi="Arial" w:cs="Arial"/>
          <w:sz w:val="22"/>
          <w:szCs w:val="22"/>
        </w:rPr>
        <w:t> </w:t>
      </w:r>
      <w:r w:rsidRPr="00653D46" w:rsidR="003B02A7">
        <w:rPr>
          <w:rFonts w:ascii="Arial" w:hAnsi="Arial" w:cs="Arial"/>
          <w:sz w:val="22"/>
          <w:szCs w:val="22"/>
        </w:rPr>
        <w:t xml:space="preserve">hours </w:t>
      </w:r>
      <w:r>
        <w:rPr>
          <w:rFonts w:ascii="Arial" w:hAnsi="Arial" w:cs="Arial"/>
          <w:color w:val="000000"/>
          <w:sz w:val="22"/>
          <w:szCs w:val="22"/>
        </w:rPr>
        <w:t xml:space="preserve">and </w:t>
      </w:r>
      <w:r w:rsidR="00653D46">
        <w:rPr>
          <w:rFonts w:ascii="Arial" w:hAnsi="Arial" w:cs="Arial"/>
          <w:sz w:val="22"/>
          <w:szCs w:val="22"/>
        </w:rPr>
        <w:t>1 </w:t>
      </w:r>
      <w:r w:rsidRPr="003A1652">
        <w:rPr>
          <w:rFonts w:ascii="Arial" w:hAnsi="Arial" w:cs="Arial"/>
          <w:sz w:val="22"/>
          <w:szCs w:val="22"/>
        </w:rPr>
        <w:t>response</w:t>
      </w:r>
      <w:r w:rsidRPr="003A1652" w:rsidR="006E1C6E">
        <w:rPr>
          <w:rFonts w:ascii="Arial" w:hAnsi="Arial" w:cs="Arial"/>
          <w:sz w:val="22"/>
          <w:szCs w:val="22"/>
        </w:rPr>
        <w:t>.</w:t>
      </w:r>
      <w:r w:rsidR="00140FF8">
        <w:rPr>
          <w:rFonts w:ascii="Arial" w:hAnsi="Arial" w:cs="Arial"/>
          <w:sz w:val="22"/>
          <w:szCs w:val="22"/>
        </w:rPr>
        <w:t xml:space="preserve">  </w:t>
      </w:r>
      <w:r w:rsidRPr="00140FF8" w:rsidR="00140FF8">
        <w:rPr>
          <w:rFonts w:ascii="Arial" w:hAnsi="Arial" w:cs="Arial"/>
          <w:sz w:val="22"/>
          <w:szCs w:val="22"/>
        </w:rPr>
        <w:t xml:space="preserve">The </w:t>
      </w:r>
      <w:r w:rsidR="00FF1D51">
        <w:rPr>
          <w:rFonts w:ascii="Arial" w:hAnsi="Arial" w:cs="Arial"/>
          <w:sz w:val="22"/>
          <w:szCs w:val="22"/>
        </w:rPr>
        <w:t xml:space="preserve">final </w:t>
      </w:r>
      <w:r w:rsidRPr="00140FF8" w:rsidR="00140FF8">
        <w:rPr>
          <w:rFonts w:ascii="Arial" w:hAnsi="Arial" w:cs="Arial"/>
          <w:sz w:val="22"/>
          <w:szCs w:val="22"/>
        </w:rPr>
        <w:t>rule w</w:t>
      </w:r>
      <w:r w:rsidR="00FF1D51">
        <w:rPr>
          <w:rFonts w:ascii="Arial" w:hAnsi="Arial" w:cs="Arial"/>
          <w:sz w:val="22"/>
          <w:szCs w:val="22"/>
        </w:rPr>
        <w:t>ill</w:t>
      </w:r>
      <w:r w:rsidRPr="00140FF8" w:rsidR="00140FF8">
        <w:rPr>
          <w:rFonts w:ascii="Arial" w:hAnsi="Arial" w:cs="Arial"/>
          <w:sz w:val="22"/>
          <w:szCs w:val="22"/>
        </w:rPr>
        <w:t xml:space="preserve"> reduce burden by extending the periodicity for submitting the summary technical report under Appendix H, Section IV.A, to 10 CFR Part 50, from 1 year to 18 months.  The objective of this action is to eliminate the need for licensees to prepare and submit extension requests, and the use of NRC resources to review these requests.</w:t>
      </w:r>
    </w:p>
    <w:p w:rsidRPr="00AA4F7F" w:rsidR="00AA4F7F" w:rsidP="00AA4F7F" w:rsidRDefault="00AA4F7F" w14:paraId="03A90862" w14:textId="77777777">
      <w:pPr>
        <w:widowControl w:val="0"/>
        <w:rPr>
          <w:rFonts w:ascii="Arial" w:hAnsi="Arial" w:cs="Arial"/>
          <w:sz w:val="22"/>
          <w:szCs w:val="22"/>
        </w:rPr>
      </w:pPr>
    </w:p>
    <w:p w:rsidRPr="006208D7" w:rsidR="002A64F1" w:rsidP="002850C8" w:rsidRDefault="002A64F1" w14:paraId="32397DBE" w14:textId="77777777">
      <w:pPr>
        <w:pStyle w:val="Level1"/>
        <w:numPr>
          <w:ilvl w:val="0"/>
          <w:numId w:val="9"/>
        </w:numPr>
        <w:rPr>
          <w:rFonts w:ascii="Arial" w:hAnsi="Arial"/>
          <w:sz w:val="22"/>
          <w:szCs w:val="22"/>
        </w:rPr>
      </w:pPr>
      <w:r w:rsidRPr="006208D7">
        <w:rPr>
          <w:rFonts w:ascii="Arial" w:hAnsi="Arial"/>
          <w:sz w:val="22"/>
          <w:szCs w:val="22"/>
          <w:u w:val="single"/>
        </w:rPr>
        <w:t>Publication for Statistical Use</w:t>
      </w:r>
    </w:p>
    <w:p w:rsidR="006208D7" w:rsidP="003A100F" w:rsidRDefault="006208D7" w14:paraId="6299B75D" w14:textId="77777777">
      <w:pPr>
        <w:pStyle w:val="Level1"/>
        <w:rPr>
          <w:rFonts w:ascii="Arial" w:hAnsi="Arial"/>
          <w:sz w:val="22"/>
          <w:szCs w:val="22"/>
        </w:rPr>
      </w:pPr>
    </w:p>
    <w:p w:rsidRPr="006208D7" w:rsidR="006208D7" w:rsidP="006208D7" w:rsidRDefault="006208D7" w14:paraId="3E1C66B8" w14:textId="77777777">
      <w:pPr>
        <w:pStyle w:val="Level1"/>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P="002A64F1" w:rsidRDefault="002A64F1" w14:paraId="629D64F4" w14:textId="77777777">
      <w:pPr>
        <w:pStyle w:val="Level1"/>
        <w:rPr>
          <w:rFonts w:ascii="Arial" w:hAnsi="Arial"/>
          <w:sz w:val="22"/>
        </w:rPr>
      </w:pPr>
    </w:p>
    <w:p w:rsidRPr="00547E71" w:rsidR="002A64F1" w:rsidP="002850C8" w:rsidRDefault="002A64F1" w14:paraId="4B36C2C0" w14:textId="77777777">
      <w:pPr>
        <w:pStyle w:val="Level1"/>
        <w:numPr>
          <w:ilvl w:val="0"/>
          <w:numId w:val="9"/>
        </w:numPr>
        <w:rPr>
          <w:rFonts w:ascii="Arial" w:hAnsi="Arial"/>
          <w:sz w:val="22"/>
        </w:rPr>
      </w:pPr>
      <w:r>
        <w:rPr>
          <w:rFonts w:ascii="Arial" w:hAnsi="Arial"/>
          <w:sz w:val="22"/>
          <w:u w:val="single"/>
        </w:rPr>
        <w:t>Reason for Not Displaying the Expiration Date</w:t>
      </w:r>
    </w:p>
    <w:p w:rsidR="00547E71" w:rsidP="00547E71" w:rsidRDefault="00547E71" w14:paraId="0EDA1EFD" w14:textId="77777777">
      <w:pPr>
        <w:pStyle w:val="Level1"/>
        <w:rPr>
          <w:rFonts w:ascii="Arial" w:hAnsi="Arial"/>
          <w:sz w:val="22"/>
          <w:u w:val="single"/>
        </w:rPr>
      </w:pPr>
    </w:p>
    <w:p w:rsidR="00724952" w:rsidP="00AE65E1" w:rsidRDefault="00724952" w14:paraId="60E37E37" w14:textId="6DE84CD7">
      <w:pPr>
        <w:pStyle w:val="ListParagraph"/>
        <w:autoSpaceDE w:val="0"/>
        <w:autoSpaceDN w:val="0"/>
        <w:ind w:left="1080"/>
        <w:rPr>
          <w:rFonts w:ascii="Arial" w:hAnsi="Arial" w:cs="Arial"/>
          <w:sz w:val="22"/>
          <w:szCs w:val="22"/>
        </w:rPr>
      </w:pPr>
      <w:r w:rsidRPr="00FD007F">
        <w:rPr>
          <w:rFonts w:ascii="Arial" w:hAnsi="Arial" w:cs="Arial"/>
          <w:sz w:val="22"/>
          <w:szCs w:val="22"/>
        </w:rPr>
        <w:t xml:space="preserve">The recordkeeping and reporting requirements for this information collection are associated with regulations and are not submitted on instruments such as forms or surveys. </w:t>
      </w:r>
      <w:r w:rsidR="00EB02B9">
        <w:rPr>
          <w:rFonts w:ascii="Arial" w:hAnsi="Arial" w:cs="Arial"/>
          <w:sz w:val="22"/>
          <w:szCs w:val="22"/>
        </w:rPr>
        <w:t xml:space="preserve"> </w:t>
      </w:r>
      <w:r w:rsidRPr="00FD007F">
        <w:rPr>
          <w:rFonts w:ascii="Arial" w:hAnsi="Arial" w:cs="Arial"/>
          <w:sz w:val="22"/>
          <w:szCs w:val="22"/>
        </w:rPr>
        <w:t xml:space="preserve">For this reason, there are no data instruments on which to display an OMB expiration date. </w:t>
      </w:r>
      <w:r w:rsidR="0061160C">
        <w:rPr>
          <w:rFonts w:ascii="Arial" w:hAnsi="Arial" w:cs="Arial"/>
          <w:sz w:val="22"/>
          <w:szCs w:val="22"/>
        </w:rPr>
        <w:t xml:space="preserve"> </w:t>
      </w:r>
      <w:r w:rsidRPr="00FD007F">
        <w:rPr>
          <w:rFonts w:ascii="Arial" w:hAnsi="Arial" w:cs="Arial"/>
          <w:sz w:val="22"/>
          <w:szCs w:val="22"/>
        </w:rPr>
        <w:t>Further, amending the regulatory text</w:t>
      </w:r>
      <w:r w:rsidRPr="00AE65E1">
        <w:rPr>
          <w:rFonts w:ascii="Arial" w:hAnsi="Arial"/>
          <w:sz w:val="22"/>
        </w:rPr>
        <w:t xml:space="preserve"> of </w:t>
      </w:r>
      <w:r w:rsidRPr="00FD007F">
        <w:rPr>
          <w:rFonts w:ascii="Arial" w:hAnsi="Arial" w:cs="Arial"/>
          <w:sz w:val="22"/>
          <w:szCs w:val="22"/>
        </w:rPr>
        <w:t>the CFR to display information that, in an annual publication, could become obsolete would be unduly burdensome and too difficult to keep current.</w:t>
      </w:r>
    </w:p>
    <w:p w:rsidRPr="007F3E12" w:rsidR="00744A0C" w:rsidP="007F3E12" w:rsidRDefault="00744A0C" w14:paraId="03D8C660" w14:textId="77777777">
      <w:pPr>
        <w:autoSpaceDE w:val="0"/>
        <w:autoSpaceDN w:val="0"/>
        <w:rPr>
          <w:rFonts w:ascii="Arial" w:hAnsi="Arial"/>
          <w:sz w:val="22"/>
          <w:u w:val="single"/>
        </w:rPr>
      </w:pPr>
    </w:p>
    <w:p w:rsidRPr="006208D7" w:rsidR="002A64F1" w:rsidP="00744A0C" w:rsidRDefault="002A64F1" w14:paraId="1D594227" w14:textId="77777777">
      <w:pPr>
        <w:pStyle w:val="Level1"/>
        <w:keepNext/>
        <w:keepLines/>
        <w:widowControl/>
        <w:numPr>
          <w:ilvl w:val="0"/>
          <w:numId w:val="9"/>
        </w:numPr>
        <w:rPr>
          <w:rFonts w:ascii="Arial" w:hAnsi="Arial"/>
          <w:sz w:val="22"/>
          <w:u w:val="single"/>
        </w:rPr>
      </w:pPr>
      <w:r w:rsidRPr="006208D7">
        <w:rPr>
          <w:rFonts w:ascii="Arial" w:hAnsi="Arial"/>
          <w:sz w:val="22"/>
          <w:u w:val="single"/>
        </w:rPr>
        <w:t>Exceptions to the Certification Statement</w:t>
      </w:r>
    </w:p>
    <w:p w:rsidR="00547E71" w:rsidP="00744A0C" w:rsidRDefault="00547E71" w14:paraId="044B868C" w14:textId="77777777">
      <w:pPr>
        <w:pStyle w:val="Level1"/>
        <w:keepNext/>
        <w:keepLines/>
        <w:widowControl/>
        <w:rPr>
          <w:rFonts w:ascii="Arial" w:hAnsi="Arial"/>
          <w:sz w:val="22"/>
          <w:u w:val="single"/>
        </w:rPr>
      </w:pPr>
    </w:p>
    <w:p w:rsidRPr="006208D7" w:rsidR="00547E71" w:rsidP="00744A0C" w:rsidRDefault="006208D7" w14:paraId="60755B0F" w14:textId="77777777">
      <w:pPr>
        <w:pStyle w:val="Level1"/>
        <w:keepNext/>
        <w:keepLines/>
        <w:widowControl/>
        <w:ind w:left="1080"/>
        <w:rPr>
          <w:rFonts w:ascii="Arial" w:hAnsi="Arial"/>
          <w:sz w:val="22"/>
        </w:rPr>
      </w:pPr>
      <w:r w:rsidRPr="006208D7">
        <w:rPr>
          <w:rFonts w:ascii="Arial" w:hAnsi="Arial"/>
          <w:sz w:val="22"/>
        </w:rPr>
        <w:t>Not applicable.</w:t>
      </w:r>
    </w:p>
    <w:p w:rsidRPr="002A64F1" w:rsidR="002A64F1" w:rsidP="002A64F1" w:rsidRDefault="002A64F1" w14:paraId="1133431E" w14:textId="77777777">
      <w:pPr>
        <w:pStyle w:val="Level1"/>
        <w:rPr>
          <w:rFonts w:ascii="Arial" w:hAnsi="Arial"/>
          <w:sz w:val="22"/>
        </w:rPr>
      </w:pPr>
    </w:p>
    <w:p w:rsidR="002A64F1" w:rsidP="002A64F1" w:rsidRDefault="002A64F1" w14:paraId="76A28241" w14:textId="77777777">
      <w:pPr>
        <w:widowControl w:val="0"/>
        <w:numPr>
          <w:ilvl w:val="0"/>
          <w:numId w:val="4"/>
        </w:numPr>
        <w:rPr>
          <w:rFonts w:ascii="Arial" w:hAnsi="Arial"/>
          <w:sz w:val="22"/>
        </w:rPr>
      </w:pPr>
      <w:r>
        <w:rPr>
          <w:rFonts w:ascii="Arial" w:hAnsi="Arial"/>
          <w:sz w:val="22"/>
        </w:rPr>
        <w:t>COLLECTIONS OF INFORMATION EMPLOYING STATISTICAL METHODS</w:t>
      </w:r>
    </w:p>
    <w:p w:rsidR="002A64F1" w:rsidP="00594502" w:rsidRDefault="002A64F1" w14:paraId="536BE5D5" w14:textId="77777777">
      <w:pPr>
        <w:widowControl w:val="0"/>
        <w:rPr>
          <w:rFonts w:ascii="Arial" w:hAnsi="Arial"/>
          <w:sz w:val="22"/>
          <w:u w:val="single"/>
        </w:rPr>
      </w:pPr>
    </w:p>
    <w:p w:rsidRPr="00AA4F7F" w:rsidR="00AF72AD" w:rsidP="00AA4F7F" w:rsidRDefault="006208D7" w14:paraId="27B67AC7" w14:textId="262BFD43">
      <w:pPr>
        <w:pStyle w:val="Level1"/>
        <w:ind w:left="1080"/>
        <w:rPr>
          <w:rFonts w:ascii="Arial" w:hAnsi="Arial" w:cs="Arial"/>
          <w:sz w:val="22"/>
          <w:szCs w:val="22"/>
        </w:rPr>
      </w:pPr>
      <w:r w:rsidRPr="006208D7">
        <w:rPr>
          <w:rFonts w:ascii="Arial" w:hAnsi="Arial"/>
          <w:sz w:val="22"/>
        </w:rPr>
        <w:t>Not applicable.</w:t>
      </w:r>
    </w:p>
    <w:sectPr w:rsidRPr="00AA4F7F" w:rsidR="00AF72AD" w:rsidSect="00A356A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4CD0A" w14:textId="77777777" w:rsidR="009667A5" w:rsidRDefault="009667A5">
      <w:r>
        <w:separator/>
      </w:r>
    </w:p>
  </w:endnote>
  <w:endnote w:type="continuationSeparator" w:id="0">
    <w:p w14:paraId="4252EACE" w14:textId="77777777" w:rsidR="009667A5" w:rsidRDefault="0096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744F" w14:textId="77777777" w:rsidR="009667A5" w:rsidRDefault="009667A5">
      <w:r>
        <w:separator/>
      </w:r>
    </w:p>
  </w:footnote>
  <w:footnote w:type="continuationSeparator" w:id="0">
    <w:p w14:paraId="5293DCF3" w14:textId="77777777" w:rsidR="009667A5" w:rsidRDefault="009667A5">
      <w:r>
        <w:continuationSeparator/>
      </w:r>
    </w:p>
  </w:footnote>
  <w:footnote w:id="1">
    <w:p w14:paraId="5BA118B6" w14:textId="77777777" w:rsidR="0061160C" w:rsidRDefault="0061160C" w:rsidP="001E5407">
      <w:pPr>
        <w:pStyle w:val="FootnoteText"/>
        <w:ind w:left="360" w:hanging="360"/>
        <w:rPr>
          <w:rFonts w:ascii="Arial" w:hAnsi="Arial" w:cs="Arial"/>
          <w:sz w:val="18"/>
          <w:szCs w:val="18"/>
        </w:rPr>
      </w:pPr>
      <w:bookmarkStart w:id="0" w:name="_Hlk1671714"/>
    </w:p>
    <w:p w14:paraId="5CA62703" w14:textId="571950C9" w:rsidR="0061160C" w:rsidRPr="00EF1736" w:rsidRDefault="0061160C" w:rsidP="001E5407">
      <w:pPr>
        <w:pStyle w:val="FootnoteText"/>
        <w:ind w:left="360" w:hanging="360"/>
        <w:rPr>
          <w:rFonts w:ascii="Arial" w:hAnsi="Arial" w:cs="Arial"/>
          <w:sz w:val="18"/>
          <w:szCs w:val="18"/>
        </w:rPr>
      </w:pPr>
      <w:r w:rsidRPr="00EF1736">
        <w:rPr>
          <w:rStyle w:val="FootnoteReference"/>
          <w:rFonts w:ascii="Arial" w:hAnsi="Arial" w:cs="Arial"/>
          <w:sz w:val="18"/>
          <w:szCs w:val="18"/>
        </w:rPr>
        <w:footnoteRef/>
      </w:r>
      <w:r w:rsidRPr="00EF1736">
        <w:rPr>
          <w:rFonts w:ascii="Arial" w:hAnsi="Arial" w:cs="Arial"/>
          <w:sz w:val="18"/>
          <w:szCs w:val="18"/>
        </w:rPr>
        <w:t xml:space="preserve"> </w:t>
      </w:r>
      <w:r w:rsidRPr="00EF1736">
        <w:rPr>
          <w:rFonts w:ascii="Arial" w:hAnsi="Arial" w:cs="Arial"/>
          <w:sz w:val="18"/>
          <w:szCs w:val="18"/>
        </w:rPr>
        <w:tab/>
      </w:r>
      <w:bookmarkEnd w:id="0"/>
      <w:r>
        <w:rPr>
          <w:rFonts w:ascii="Arial" w:hAnsi="Arial" w:cs="Arial"/>
          <w:sz w:val="18"/>
          <w:szCs w:val="18"/>
        </w:rPr>
        <w:t>Appendix H to 10 CFR P</w:t>
      </w:r>
      <w:r w:rsidRPr="00EF1736">
        <w:rPr>
          <w:rFonts w:ascii="Arial" w:hAnsi="Arial" w:cs="Arial"/>
          <w:sz w:val="18"/>
          <w:szCs w:val="18"/>
        </w:rPr>
        <w:t xml:space="preserve">art 50 permits the use of an integrated surveillance program (ISP) as an alternative to a plant-specific surveillance program.  In an ISP, the representative materials chosen for surveillance </w:t>
      </w:r>
      <w:r>
        <w:rPr>
          <w:rFonts w:ascii="Arial" w:hAnsi="Arial" w:cs="Arial"/>
          <w:sz w:val="18"/>
          <w:szCs w:val="18"/>
        </w:rPr>
        <w:t>of</w:t>
      </w:r>
      <w:r w:rsidRPr="00EF1736">
        <w:rPr>
          <w:rFonts w:ascii="Arial" w:hAnsi="Arial" w:cs="Arial"/>
          <w:sz w:val="18"/>
          <w:szCs w:val="18"/>
        </w:rPr>
        <w:t xml:space="preserve"> a reactor </w:t>
      </w:r>
      <w:r>
        <w:rPr>
          <w:rFonts w:ascii="Arial" w:hAnsi="Arial" w:cs="Arial"/>
          <w:sz w:val="18"/>
          <w:szCs w:val="18"/>
        </w:rPr>
        <w:t xml:space="preserve">vessel </w:t>
      </w:r>
      <w:r w:rsidRPr="00EF1736">
        <w:rPr>
          <w:rFonts w:ascii="Arial" w:hAnsi="Arial" w:cs="Arial"/>
          <w:sz w:val="18"/>
          <w:szCs w:val="18"/>
        </w:rPr>
        <w:t>are irradiated in one or more other reactor</w:t>
      </w:r>
      <w:r>
        <w:rPr>
          <w:rFonts w:ascii="Arial" w:hAnsi="Arial" w:cs="Arial"/>
          <w:sz w:val="18"/>
          <w:szCs w:val="18"/>
        </w:rPr>
        <w:t xml:space="preserve"> vessel</w:t>
      </w:r>
      <w:r w:rsidRPr="00EF1736">
        <w:rPr>
          <w:rFonts w:ascii="Arial" w:hAnsi="Arial" w:cs="Arial"/>
          <w:sz w:val="18"/>
          <w:szCs w:val="18"/>
        </w:rPr>
        <w:t>s that have similar design and operating features.  The data obtained from these test specimens may then be used in the analysis of other plants participating in the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92F7FD2"/>
    <w:multiLevelType w:val="hybridMultilevel"/>
    <w:tmpl w:val="F3746618"/>
    <w:lvl w:ilvl="0" w:tplc="2E30693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4F14"/>
    <w:multiLevelType w:val="hybridMultilevel"/>
    <w:tmpl w:val="311A0ED2"/>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877D30"/>
    <w:multiLevelType w:val="hybridMultilevel"/>
    <w:tmpl w:val="F8349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8377CC1"/>
    <w:multiLevelType w:val="hybridMultilevel"/>
    <w:tmpl w:val="6E18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F5F34"/>
    <w:multiLevelType w:val="hybridMultilevel"/>
    <w:tmpl w:val="4A342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0E6D15"/>
    <w:multiLevelType w:val="hybridMultilevel"/>
    <w:tmpl w:val="02223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
  </w:num>
  <w:num w:numId="4">
    <w:abstractNumId w:val="10"/>
  </w:num>
  <w:num w:numId="5">
    <w:abstractNumId w:val="8"/>
  </w:num>
  <w:num w:numId="6">
    <w:abstractNumId w:val="6"/>
  </w:num>
  <w:num w:numId="7">
    <w:abstractNumId w:val="4"/>
  </w:num>
  <w:num w:numId="8">
    <w:abstractNumId w:val="2"/>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06AA"/>
    <w:rsid w:val="000010FD"/>
    <w:rsid w:val="00006933"/>
    <w:rsid w:val="00010720"/>
    <w:rsid w:val="000148CF"/>
    <w:rsid w:val="0002570C"/>
    <w:rsid w:val="00025EE0"/>
    <w:rsid w:val="00032B09"/>
    <w:rsid w:val="000378AE"/>
    <w:rsid w:val="00037F56"/>
    <w:rsid w:val="00041438"/>
    <w:rsid w:val="00046287"/>
    <w:rsid w:val="000478C4"/>
    <w:rsid w:val="00051CE7"/>
    <w:rsid w:val="00054D60"/>
    <w:rsid w:val="0005754C"/>
    <w:rsid w:val="00057A5A"/>
    <w:rsid w:val="000619E7"/>
    <w:rsid w:val="0006251D"/>
    <w:rsid w:val="00071361"/>
    <w:rsid w:val="00082425"/>
    <w:rsid w:val="00083E79"/>
    <w:rsid w:val="00084469"/>
    <w:rsid w:val="00092EE7"/>
    <w:rsid w:val="00093A4B"/>
    <w:rsid w:val="000953FE"/>
    <w:rsid w:val="000A60DC"/>
    <w:rsid w:val="000B47F8"/>
    <w:rsid w:val="000B5441"/>
    <w:rsid w:val="000C55DE"/>
    <w:rsid w:val="000D017F"/>
    <w:rsid w:val="000D175A"/>
    <w:rsid w:val="000D4F05"/>
    <w:rsid w:val="000D79FB"/>
    <w:rsid w:val="000E000B"/>
    <w:rsid w:val="000E17E8"/>
    <w:rsid w:val="000E3CD2"/>
    <w:rsid w:val="000E5627"/>
    <w:rsid w:val="000E78DF"/>
    <w:rsid w:val="000F2A84"/>
    <w:rsid w:val="00104D2A"/>
    <w:rsid w:val="00111C0A"/>
    <w:rsid w:val="00114195"/>
    <w:rsid w:val="001214B0"/>
    <w:rsid w:val="0013172D"/>
    <w:rsid w:val="00140FF8"/>
    <w:rsid w:val="00141165"/>
    <w:rsid w:val="00143CFE"/>
    <w:rsid w:val="0014542A"/>
    <w:rsid w:val="00151F2F"/>
    <w:rsid w:val="00162D42"/>
    <w:rsid w:val="0016422A"/>
    <w:rsid w:val="0016639C"/>
    <w:rsid w:val="00167BC4"/>
    <w:rsid w:val="001717C3"/>
    <w:rsid w:val="00171C8F"/>
    <w:rsid w:val="001729F8"/>
    <w:rsid w:val="001739E9"/>
    <w:rsid w:val="00174F5A"/>
    <w:rsid w:val="001765E1"/>
    <w:rsid w:val="00177AD2"/>
    <w:rsid w:val="0018245D"/>
    <w:rsid w:val="00190DBF"/>
    <w:rsid w:val="0019116B"/>
    <w:rsid w:val="00195A1C"/>
    <w:rsid w:val="00197D38"/>
    <w:rsid w:val="001A143B"/>
    <w:rsid w:val="001A2730"/>
    <w:rsid w:val="001B186B"/>
    <w:rsid w:val="001B28EA"/>
    <w:rsid w:val="001B2FE4"/>
    <w:rsid w:val="001B4EB7"/>
    <w:rsid w:val="001C2011"/>
    <w:rsid w:val="001D0296"/>
    <w:rsid w:val="001D0E7B"/>
    <w:rsid w:val="001E1B9C"/>
    <w:rsid w:val="001E5407"/>
    <w:rsid w:val="001E7456"/>
    <w:rsid w:val="002006D4"/>
    <w:rsid w:val="00201D36"/>
    <w:rsid w:val="00202601"/>
    <w:rsid w:val="00203A78"/>
    <w:rsid w:val="0020624C"/>
    <w:rsid w:val="00216086"/>
    <w:rsid w:val="002219C8"/>
    <w:rsid w:val="00221C94"/>
    <w:rsid w:val="002239CB"/>
    <w:rsid w:val="0023516B"/>
    <w:rsid w:val="002362E0"/>
    <w:rsid w:val="0023725F"/>
    <w:rsid w:val="00243734"/>
    <w:rsid w:val="00247A2E"/>
    <w:rsid w:val="0025011E"/>
    <w:rsid w:val="00250887"/>
    <w:rsid w:val="002572F7"/>
    <w:rsid w:val="0026596B"/>
    <w:rsid w:val="0026643C"/>
    <w:rsid w:val="00270A2C"/>
    <w:rsid w:val="00273B27"/>
    <w:rsid w:val="002746C1"/>
    <w:rsid w:val="0027536E"/>
    <w:rsid w:val="00276A3A"/>
    <w:rsid w:val="002841A7"/>
    <w:rsid w:val="002850C8"/>
    <w:rsid w:val="00286F46"/>
    <w:rsid w:val="0029212E"/>
    <w:rsid w:val="00293D54"/>
    <w:rsid w:val="00295331"/>
    <w:rsid w:val="002A3A9C"/>
    <w:rsid w:val="002A4B64"/>
    <w:rsid w:val="002A4F21"/>
    <w:rsid w:val="002A64F1"/>
    <w:rsid w:val="002B1B12"/>
    <w:rsid w:val="002B622D"/>
    <w:rsid w:val="002C250D"/>
    <w:rsid w:val="002C2513"/>
    <w:rsid w:val="002C447A"/>
    <w:rsid w:val="002D0B50"/>
    <w:rsid w:val="002D0CAC"/>
    <w:rsid w:val="002D1887"/>
    <w:rsid w:val="002D39C0"/>
    <w:rsid w:val="002D5CBF"/>
    <w:rsid w:val="002E3ED8"/>
    <w:rsid w:val="002E5677"/>
    <w:rsid w:val="002E60BD"/>
    <w:rsid w:val="002F20D8"/>
    <w:rsid w:val="002F6288"/>
    <w:rsid w:val="003002A5"/>
    <w:rsid w:val="00310452"/>
    <w:rsid w:val="00310641"/>
    <w:rsid w:val="0031179F"/>
    <w:rsid w:val="00313D1D"/>
    <w:rsid w:val="00316E45"/>
    <w:rsid w:val="0032725B"/>
    <w:rsid w:val="003405D6"/>
    <w:rsid w:val="00343A70"/>
    <w:rsid w:val="00347692"/>
    <w:rsid w:val="0037027E"/>
    <w:rsid w:val="00370D9E"/>
    <w:rsid w:val="003722E0"/>
    <w:rsid w:val="0037662D"/>
    <w:rsid w:val="003768AF"/>
    <w:rsid w:val="00383422"/>
    <w:rsid w:val="003879C2"/>
    <w:rsid w:val="00391CC1"/>
    <w:rsid w:val="003A100F"/>
    <w:rsid w:val="003A1652"/>
    <w:rsid w:val="003A3166"/>
    <w:rsid w:val="003B02A7"/>
    <w:rsid w:val="003B3145"/>
    <w:rsid w:val="003B415A"/>
    <w:rsid w:val="003B4B50"/>
    <w:rsid w:val="003B6A20"/>
    <w:rsid w:val="003B7E8C"/>
    <w:rsid w:val="003C0754"/>
    <w:rsid w:val="003C1C7E"/>
    <w:rsid w:val="003C5B84"/>
    <w:rsid w:val="003C7421"/>
    <w:rsid w:val="003D0BA9"/>
    <w:rsid w:val="003D32AB"/>
    <w:rsid w:val="003F09E6"/>
    <w:rsid w:val="003F2B90"/>
    <w:rsid w:val="003F350E"/>
    <w:rsid w:val="003F53D0"/>
    <w:rsid w:val="0040014D"/>
    <w:rsid w:val="00411564"/>
    <w:rsid w:val="004168BC"/>
    <w:rsid w:val="00425948"/>
    <w:rsid w:val="004261B7"/>
    <w:rsid w:val="00426A8A"/>
    <w:rsid w:val="004305A6"/>
    <w:rsid w:val="004377FE"/>
    <w:rsid w:val="004404F9"/>
    <w:rsid w:val="00441699"/>
    <w:rsid w:val="00443089"/>
    <w:rsid w:val="004434F0"/>
    <w:rsid w:val="00445BBC"/>
    <w:rsid w:val="00447DCC"/>
    <w:rsid w:val="00453713"/>
    <w:rsid w:val="004700D0"/>
    <w:rsid w:val="00471ED5"/>
    <w:rsid w:val="00472177"/>
    <w:rsid w:val="00472E69"/>
    <w:rsid w:val="00475C53"/>
    <w:rsid w:val="00476850"/>
    <w:rsid w:val="00477554"/>
    <w:rsid w:val="00480ED0"/>
    <w:rsid w:val="00481297"/>
    <w:rsid w:val="00491BDE"/>
    <w:rsid w:val="0049631D"/>
    <w:rsid w:val="004965D6"/>
    <w:rsid w:val="00496E01"/>
    <w:rsid w:val="004977C1"/>
    <w:rsid w:val="004A47C1"/>
    <w:rsid w:val="004A6B43"/>
    <w:rsid w:val="004B1035"/>
    <w:rsid w:val="004B1588"/>
    <w:rsid w:val="004B2A8C"/>
    <w:rsid w:val="004B5BD1"/>
    <w:rsid w:val="004B6A73"/>
    <w:rsid w:val="004C0EF1"/>
    <w:rsid w:val="004C1D68"/>
    <w:rsid w:val="004C24BB"/>
    <w:rsid w:val="004C506B"/>
    <w:rsid w:val="004D0353"/>
    <w:rsid w:val="004D078B"/>
    <w:rsid w:val="004D7305"/>
    <w:rsid w:val="004E309C"/>
    <w:rsid w:val="004F1B9D"/>
    <w:rsid w:val="004F3E39"/>
    <w:rsid w:val="004F4364"/>
    <w:rsid w:val="005022BA"/>
    <w:rsid w:val="0050269A"/>
    <w:rsid w:val="0051067D"/>
    <w:rsid w:val="00513C0B"/>
    <w:rsid w:val="00515D79"/>
    <w:rsid w:val="00522755"/>
    <w:rsid w:val="005241DB"/>
    <w:rsid w:val="00526867"/>
    <w:rsid w:val="0053033E"/>
    <w:rsid w:val="00531433"/>
    <w:rsid w:val="005316EB"/>
    <w:rsid w:val="00533EB2"/>
    <w:rsid w:val="00541CF8"/>
    <w:rsid w:val="00543CC8"/>
    <w:rsid w:val="00547E71"/>
    <w:rsid w:val="00554773"/>
    <w:rsid w:val="005652AD"/>
    <w:rsid w:val="005656D1"/>
    <w:rsid w:val="00566D8F"/>
    <w:rsid w:val="00573228"/>
    <w:rsid w:val="00576BBC"/>
    <w:rsid w:val="00576D72"/>
    <w:rsid w:val="005778E7"/>
    <w:rsid w:val="00584FF0"/>
    <w:rsid w:val="00585934"/>
    <w:rsid w:val="00587FB6"/>
    <w:rsid w:val="00594502"/>
    <w:rsid w:val="005A53BB"/>
    <w:rsid w:val="005B2DBF"/>
    <w:rsid w:val="005C22F8"/>
    <w:rsid w:val="005D5006"/>
    <w:rsid w:val="005E3321"/>
    <w:rsid w:val="005E7549"/>
    <w:rsid w:val="005F05FA"/>
    <w:rsid w:val="005F06AA"/>
    <w:rsid w:val="005F1B0E"/>
    <w:rsid w:val="005F2F33"/>
    <w:rsid w:val="005F3E44"/>
    <w:rsid w:val="005F4EAE"/>
    <w:rsid w:val="005F546E"/>
    <w:rsid w:val="005F6303"/>
    <w:rsid w:val="005F64D1"/>
    <w:rsid w:val="006000ED"/>
    <w:rsid w:val="00602019"/>
    <w:rsid w:val="006043DF"/>
    <w:rsid w:val="0061160C"/>
    <w:rsid w:val="006208D7"/>
    <w:rsid w:val="006366DC"/>
    <w:rsid w:val="0064713B"/>
    <w:rsid w:val="00653D46"/>
    <w:rsid w:val="00653E98"/>
    <w:rsid w:val="00655440"/>
    <w:rsid w:val="006617BC"/>
    <w:rsid w:val="00664892"/>
    <w:rsid w:val="0066655C"/>
    <w:rsid w:val="00667ED8"/>
    <w:rsid w:val="00672559"/>
    <w:rsid w:val="00676B34"/>
    <w:rsid w:val="00680F4F"/>
    <w:rsid w:val="00685551"/>
    <w:rsid w:val="0069040F"/>
    <w:rsid w:val="006953E6"/>
    <w:rsid w:val="006A29CF"/>
    <w:rsid w:val="006A31F9"/>
    <w:rsid w:val="006B758F"/>
    <w:rsid w:val="006C06B3"/>
    <w:rsid w:val="006C13E0"/>
    <w:rsid w:val="006D2133"/>
    <w:rsid w:val="006D3F63"/>
    <w:rsid w:val="006D3F93"/>
    <w:rsid w:val="006D4810"/>
    <w:rsid w:val="006D7E19"/>
    <w:rsid w:val="006E11E3"/>
    <w:rsid w:val="006E1C6E"/>
    <w:rsid w:val="006E4BF4"/>
    <w:rsid w:val="006F05BD"/>
    <w:rsid w:val="006F3410"/>
    <w:rsid w:val="006F467C"/>
    <w:rsid w:val="007012D8"/>
    <w:rsid w:val="00702231"/>
    <w:rsid w:val="00703AC7"/>
    <w:rsid w:val="00705805"/>
    <w:rsid w:val="007076ED"/>
    <w:rsid w:val="00716F00"/>
    <w:rsid w:val="007236B1"/>
    <w:rsid w:val="00724952"/>
    <w:rsid w:val="0072601B"/>
    <w:rsid w:val="00726398"/>
    <w:rsid w:val="007319E6"/>
    <w:rsid w:val="00732884"/>
    <w:rsid w:val="00732D7A"/>
    <w:rsid w:val="00733A74"/>
    <w:rsid w:val="00734DBE"/>
    <w:rsid w:val="007407AB"/>
    <w:rsid w:val="00744A0C"/>
    <w:rsid w:val="00765BD0"/>
    <w:rsid w:val="007668BF"/>
    <w:rsid w:val="0078613C"/>
    <w:rsid w:val="00790E47"/>
    <w:rsid w:val="007936C7"/>
    <w:rsid w:val="007945DD"/>
    <w:rsid w:val="0079598C"/>
    <w:rsid w:val="007964A0"/>
    <w:rsid w:val="007969FE"/>
    <w:rsid w:val="00796F14"/>
    <w:rsid w:val="007A2541"/>
    <w:rsid w:val="007B3910"/>
    <w:rsid w:val="007B59D6"/>
    <w:rsid w:val="007C1FD9"/>
    <w:rsid w:val="007D00BB"/>
    <w:rsid w:val="007D0CC3"/>
    <w:rsid w:val="007D3349"/>
    <w:rsid w:val="007D48F4"/>
    <w:rsid w:val="007D592F"/>
    <w:rsid w:val="007D7448"/>
    <w:rsid w:val="007E155E"/>
    <w:rsid w:val="007E3BC9"/>
    <w:rsid w:val="007E4405"/>
    <w:rsid w:val="007F3E12"/>
    <w:rsid w:val="007F4B17"/>
    <w:rsid w:val="00802524"/>
    <w:rsid w:val="00803DE0"/>
    <w:rsid w:val="00807A58"/>
    <w:rsid w:val="00822972"/>
    <w:rsid w:val="00846AD1"/>
    <w:rsid w:val="008513FC"/>
    <w:rsid w:val="008610FC"/>
    <w:rsid w:val="00861255"/>
    <w:rsid w:val="00871148"/>
    <w:rsid w:val="00871C0E"/>
    <w:rsid w:val="00873DB2"/>
    <w:rsid w:val="00874260"/>
    <w:rsid w:val="008767DD"/>
    <w:rsid w:val="00897A41"/>
    <w:rsid w:val="008A54DF"/>
    <w:rsid w:val="008A555F"/>
    <w:rsid w:val="008A592A"/>
    <w:rsid w:val="008A75B2"/>
    <w:rsid w:val="008B44EB"/>
    <w:rsid w:val="008C6375"/>
    <w:rsid w:val="008C744F"/>
    <w:rsid w:val="008D164E"/>
    <w:rsid w:val="008D2C2C"/>
    <w:rsid w:val="008D7F3B"/>
    <w:rsid w:val="008E0858"/>
    <w:rsid w:val="008E206A"/>
    <w:rsid w:val="008E2129"/>
    <w:rsid w:val="008E569A"/>
    <w:rsid w:val="008E67C7"/>
    <w:rsid w:val="008E7AE1"/>
    <w:rsid w:val="008F3629"/>
    <w:rsid w:val="008F3BF6"/>
    <w:rsid w:val="008F503B"/>
    <w:rsid w:val="009012B2"/>
    <w:rsid w:val="0090454A"/>
    <w:rsid w:val="00904E31"/>
    <w:rsid w:val="0090582F"/>
    <w:rsid w:val="009136F7"/>
    <w:rsid w:val="00913E05"/>
    <w:rsid w:val="00915295"/>
    <w:rsid w:val="00915FA2"/>
    <w:rsid w:val="00915FAF"/>
    <w:rsid w:val="00920F30"/>
    <w:rsid w:val="00922998"/>
    <w:rsid w:val="00922F0A"/>
    <w:rsid w:val="00925496"/>
    <w:rsid w:val="009315B5"/>
    <w:rsid w:val="00936D82"/>
    <w:rsid w:val="00942C36"/>
    <w:rsid w:val="0094670F"/>
    <w:rsid w:val="0095327B"/>
    <w:rsid w:val="009540E9"/>
    <w:rsid w:val="00955C29"/>
    <w:rsid w:val="009667A5"/>
    <w:rsid w:val="00972AC0"/>
    <w:rsid w:val="00974794"/>
    <w:rsid w:val="00980914"/>
    <w:rsid w:val="009811F1"/>
    <w:rsid w:val="009835F7"/>
    <w:rsid w:val="009903F0"/>
    <w:rsid w:val="009905C2"/>
    <w:rsid w:val="00997350"/>
    <w:rsid w:val="00997579"/>
    <w:rsid w:val="009A29AF"/>
    <w:rsid w:val="009A3FE4"/>
    <w:rsid w:val="009B4FAF"/>
    <w:rsid w:val="009C252E"/>
    <w:rsid w:val="009D03AF"/>
    <w:rsid w:val="009D0AEB"/>
    <w:rsid w:val="009D6C44"/>
    <w:rsid w:val="009E0BD9"/>
    <w:rsid w:val="009F3A4D"/>
    <w:rsid w:val="00A01F1B"/>
    <w:rsid w:val="00A02DCE"/>
    <w:rsid w:val="00A06350"/>
    <w:rsid w:val="00A064D1"/>
    <w:rsid w:val="00A07451"/>
    <w:rsid w:val="00A120ED"/>
    <w:rsid w:val="00A1471B"/>
    <w:rsid w:val="00A220DF"/>
    <w:rsid w:val="00A22637"/>
    <w:rsid w:val="00A30A41"/>
    <w:rsid w:val="00A30AB8"/>
    <w:rsid w:val="00A325C5"/>
    <w:rsid w:val="00A33D65"/>
    <w:rsid w:val="00A356A1"/>
    <w:rsid w:val="00A41307"/>
    <w:rsid w:val="00A4693B"/>
    <w:rsid w:val="00A476E9"/>
    <w:rsid w:val="00A50D03"/>
    <w:rsid w:val="00A537FC"/>
    <w:rsid w:val="00A54008"/>
    <w:rsid w:val="00A566B5"/>
    <w:rsid w:val="00A57E06"/>
    <w:rsid w:val="00A630C1"/>
    <w:rsid w:val="00A70E58"/>
    <w:rsid w:val="00A71413"/>
    <w:rsid w:val="00A75E82"/>
    <w:rsid w:val="00A80751"/>
    <w:rsid w:val="00A80E99"/>
    <w:rsid w:val="00A85BF0"/>
    <w:rsid w:val="00A95E60"/>
    <w:rsid w:val="00A972AD"/>
    <w:rsid w:val="00AA27AB"/>
    <w:rsid w:val="00AA4DA0"/>
    <w:rsid w:val="00AA4F7F"/>
    <w:rsid w:val="00AB2F36"/>
    <w:rsid w:val="00AB7531"/>
    <w:rsid w:val="00AC71DD"/>
    <w:rsid w:val="00AD49E2"/>
    <w:rsid w:val="00AE65E1"/>
    <w:rsid w:val="00AF72AD"/>
    <w:rsid w:val="00AF7394"/>
    <w:rsid w:val="00B10C1F"/>
    <w:rsid w:val="00B1114F"/>
    <w:rsid w:val="00B264DA"/>
    <w:rsid w:val="00B27C90"/>
    <w:rsid w:val="00B30578"/>
    <w:rsid w:val="00B314E8"/>
    <w:rsid w:val="00B33765"/>
    <w:rsid w:val="00B337AD"/>
    <w:rsid w:val="00B33840"/>
    <w:rsid w:val="00B443A7"/>
    <w:rsid w:val="00B457A7"/>
    <w:rsid w:val="00B46074"/>
    <w:rsid w:val="00B47088"/>
    <w:rsid w:val="00B50B78"/>
    <w:rsid w:val="00B52F3B"/>
    <w:rsid w:val="00B52F65"/>
    <w:rsid w:val="00B55313"/>
    <w:rsid w:val="00B60E22"/>
    <w:rsid w:val="00B61FC8"/>
    <w:rsid w:val="00B62720"/>
    <w:rsid w:val="00B6784C"/>
    <w:rsid w:val="00B73C9A"/>
    <w:rsid w:val="00B83858"/>
    <w:rsid w:val="00B863CF"/>
    <w:rsid w:val="00B87051"/>
    <w:rsid w:val="00B87310"/>
    <w:rsid w:val="00B92A2C"/>
    <w:rsid w:val="00B952D2"/>
    <w:rsid w:val="00B95E0E"/>
    <w:rsid w:val="00B96EBC"/>
    <w:rsid w:val="00BA00D8"/>
    <w:rsid w:val="00BA280C"/>
    <w:rsid w:val="00BA3E36"/>
    <w:rsid w:val="00BA4556"/>
    <w:rsid w:val="00BA6AEC"/>
    <w:rsid w:val="00BA77F1"/>
    <w:rsid w:val="00BB41DD"/>
    <w:rsid w:val="00BB43D3"/>
    <w:rsid w:val="00BB6CA1"/>
    <w:rsid w:val="00BB7241"/>
    <w:rsid w:val="00BB780C"/>
    <w:rsid w:val="00BC0DDA"/>
    <w:rsid w:val="00BD7185"/>
    <w:rsid w:val="00BE0019"/>
    <w:rsid w:val="00BE5023"/>
    <w:rsid w:val="00BF0062"/>
    <w:rsid w:val="00BF00CF"/>
    <w:rsid w:val="00BF171E"/>
    <w:rsid w:val="00BF3CB8"/>
    <w:rsid w:val="00BF7E5B"/>
    <w:rsid w:val="00C0104E"/>
    <w:rsid w:val="00C03615"/>
    <w:rsid w:val="00C04945"/>
    <w:rsid w:val="00C07487"/>
    <w:rsid w:val="00C14B24"/>
    <w:rsid w:val="00C26DDF"/>
    <w:rsid w:val="00C460AC"/>
    <w:rsid w:val="00C46D1D"/>
    <w:rsid w:val="00C50D76"/>
    <w:rsid w:val="00C5536E"/>
    <w:rsid w:val="00C57284"/>
    <w:rsid w:val="00C616D8"/>
    <w:rsid w:val="00C700BA"/>
    <w:rsid w:val="00C72400"/>
    <w:rsid w:val="00C74751"/>
    <w:rsid w:val="00C77094"/>
    <w:rsid w:val="00C841EB"/>
    <w:rsid w:val="00C84634"/>
    <w:rsid w:val="00C84C94"/>
    <w:rsid w:val="00C911CE"/>
    <w:rsid w:val="00C9208A"/>
    <w:rsid w:val="00C95EFA"/>
    <w:rsid w:val="00CB2FB8"/>
    <w:rsid w:val="00CB54FC"/>
    <w:rsid w:val="00CB58F0"/>
    <w:rsid w:val="00CB6E40"/>
    <w:rsid w:val="00CB72B6"/>
    <w:rsid w:val="00CC0373"/>
    <w:rsid w:val="00CC20EB"/>
    <w:rsid w:val="00CC7E60"/>
    <w:rsid w:val="00CE360F"/>
    <w:rsid w:val="00CE74E1"/>
    <w:rsid w:val="00CF0D46"/>
    <w:rsid w:val="00CF6BEE"/>
    <w:rsid w:val="00D00A8E"/>
    <w:rsid w:val="00D03A5B"/>
    <w:rsid w:val="00D06B7C"/>
    <w:rsid w:val="00D20649"/>
    <w:rsid w:val="00D23B45"/>
    <w:rsid w:val="00D2676E"/>
    <w:rsid w:val="00D32670"/>
    <w:rsid w:val="00D331DA"/>
    <w:rsid w:val="00D3414B"/>
    <w:rsid w:val="00D35D83"/>
    <w:rsid w:val="00D41260"/>
    <w:rsid w:val="00D602E8"/>
    <w:rsid w:val="00D72BED"/>
    <w:rsid w:val="00D73627"/>
    <w:rsid w:val="00D8080D"/>
    <w:rsid w:val="00D81F16"/>
    <w:rsid w:val="00D829D9"/>
    <w:rsid w:val="00D871AC"/>
    <w:rsid w:val="00D87828"/>
    <w:rsid w:val="00D90BE8"/>
    <w:rsid w:val="00D93442"/>
    <w:rsid w:val="00D94CB5"/>
    <w:rsid w:val="00D9612A"/>
    <w:rsid w:val="00DA061C"/>
    <w:rsid w:val="00DA5412"/>
    <w:rsid w:val="00DB51B8"/>
    <w:rsid w:val="00DC4EF0"/>
    <w:rsid w:val="00DC5467"/>
    <w:rsid w:val="00DC5F13"/>
    <w:rsid w:val="00DD0C78"/>
    <w:rsid w:val="00DD0F12"/>
    <w:rsid w:val="00DD19B8"/>
    <w:rsid w:val="00DD2B17"/>
    <w:rsid w:val="00DD587C"/>
    <w:rsid w:val="00DF1009"/>
    <w:rsid w:val="00DF3111"/>
    <w:rsid w:val="00E00E1B"/>
    <w:rsid w:val="00E02131"/>
    <w:rsid w:val="00E02B6E"/>
    <w:rsid w:val="00E118E9"/>
    <w:rsid w:val="00E2060B"/>
    <w:rsid w:val="00E3506F"/>
    <w:rsid w:val="00E409F7"/>
    <w:rsid w:val="00E430A2"/>
    <w:rsid w:val="00E45FC9"/>
    <w:rsid w:val="00E47467"/>
    <w:rsid w:val="00E5022C"/>
    <w:rsid w:val="00E50E1C"/>
    <w:rsid w:val="00E529D1"/>
    <w:rsid w:val="00E66F67"/>
    <w:rsid w:val="00E70F4F"/>
    <w:rsid w:val="00E83605"/>
    <w:rsid w:val="00E85439"/>
    <w:rsid w:val="00E93D6A"/>
    <w:rsid w:val="00EA0C03"/>
    <w:rsid w:val="00EA1D92"/>
    <w:rsid w:val="00EA3953"/>
    <w:rsid w:val="00EA4AC9"/>
    <w:rsid w:val="00EB02B9"/>
    <w:rsid w:val="00EB352E"/>
    <w:rsid w:val="00EB75DC"/>
    <w:rsid w:val="00EB79D8"/>
    <w:rsid w:val="00EC1F55"/>
    <w:rsid w:val="00EC231C"/>
    <w:rsid w:val="00EC298D"/>
    <w:rsid w:val="00EC530F"/>
    <w:rsid w:val="00ED42A4"/>
    <w:rsid w:val="00EE1A4D"/>
    <w:rsid w:val="00EE430B"/>
    <w:rsid w:val="00EF1736"/>
    <w:rsid w:val="00EF49EC"/>
    <w:rsid w:val="00F0085E"/>
    <w:rsid w:val="00F03A8C"/>
    <w:rsid w:val="00F03B6C"/>
    <w:rsid w:val="00F04762"/>
    <w:rsid w:val="00F06F36"/>
    <w:rsid w:val="00F1385B"/>
    <w:rsid w:val="00F16983"/>
    <w:rsid w:val="00F216D6"/>
    <w:rsid w:val="00F247D6"/>
    <w:rsid w:val="00F27AC7"/>
    <w:rsid w:val="00F40E37"/>
    <w:rsid w:val="00F42CFD"/>
    <w:rsid w:val="00F42D4B"/>
    <w:rsid w:val="00F4630B"/>
    <w:rsid w:val="00F51AB0"/>
    <w:rsid w:val="00F51CF4"/>
    <w:rsid w:val="00F55120"/>
    <w:rsid w:val="00F5568D"/>
    <w:rsid w:val="00F56D19"/>
    <w:rsid w:val="00F636A3"/>
    <w:rsid w:val="00F6665D"/>
    <w:rsid w:val="00F72CF1"/>
    <w:rsid w:val="00F806CC"/>
    <w:rsid w:val="00F823EA"/>
    <w:rsid w:val="00F83BAF"/>
    <w:rsid w:val="00F84FC3"/>
    <w:rsid w:val="00F87A6F"/>
    <w:rsid w:val="00F90FF4"/>
    <w:rsid w:val="00F975FF"/>
    <w:rsid w:val="00FA0DD6"/>
    <w:rsid w:val="00FA2453"/>
    <w:rsid w:val="00FA528C"/>
    <w:rsid w:val="00FA6C9F"/>
    <w:rsid w:val="00FB0F40"/>
    <w:rsid w:val="00FB11F1"/>
    <w:rsid w:val="00FB3495"/>
    <w:rsid w:val="00FB48C9"/>
    <w:rsid w:val="00FB6DBC"/>
    <w:rsid w:val="00FB7E04"/>
    <w:rsid w:val="00FC09DF"/>
    <w:rsid w:val="00FC4BA5"/>
    <w:rsid w:val="00FC56DB"/>
    <w:rsid w:val="00FC627D"/>
    <w:rsid w:val="00FD08C1"/>
    <w:rsid w:val="00FD095B"/>
    <w:rsid w:val="00FD3E1A"/>
    <w:rsid w:val="00FD463A"/>
    <w:rsid w:val="00FD4F78"/>
    <w:rsid w:val="00FD5540"/>
    <w:rsid w:val="00FE08B8"/>
    <w:rsid w:val="00FE0A8B"/>
    <w:rsid w:val="00FE0CC4"/>
    <w:rsid w:val="00FE509F"/>
    <w:rsid w:val="00FE6694"/>
    <w:rsid w:val="00FF1D51"/>
    <w:rsid w:val="00FF45E6"/>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398DA"/>
  <w15:docId w15:val="{AE174CDC-C636-4E12-8524-1C4BBAEC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uiPriority w:val="99"/>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link w:val="ListParagraphChar"/>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915FA2"/>
    <w:rPr>
      <w:color w:val="0000FF" w:themeColor="hyperlink"/>
      <w:u w:val="single"/>
    </w:rPr>
  </w:style>
  <w:style w:type="character" w:customStyle="1" w:styleId="ListParagraphChar">
    <w:name w:val="List Paragraph Char"/>
    <w:basedOn w:val="DefaultParagraphFont"/>
    <w:link w:val="ListParagraph"/>
    <w:uiPriority w:val="34"/>
    <w:locked/>
    <w:rsid w:val="004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96270">
      <w:bodyDiv w:val="1"/>
      <w:marLeft w:val="0"/>
      <w:marRight w:val="0"/>
      <w:marTop w:val="0"/>
      <w:marBottom w:val="0"/>
      <w:divBdr>
        <w:top w:val="none" w:sz="0" w:space="0" w:color="auto"/>
        <w:left w:val="none" w:sz="0" w:space="0" w:color="auto"/>
        <w:bottom w:val="none" w:sz="0" w:space="0" w:color="auto"/>
        <w:right w:val="none" w:sz="0" w:space="0" w:color="auto"/>
      </w:divBdr>
    </w:div>
    <w:div w:id="630944889">
      <w:bodyDiv w:val="1"/>
      <w:marLeft w:val="0"/>
      <w:marRight w:val="0"/>
      <w:marTop w:val="0"/>
      <w:marBottom w:val="0"/>
      <w:divBdr>
        <w:top w:val="none" w:sz="0" w:space="0" w:color="auto"/>
        <w:left w:val="none" w:sz="0" w:space="0" w:color="auto"/>
        <w:bottom w:val="none" w:sz="0" w:space="0" w:color="auto"/>
        <w:right w:val="none" w:sz="0" w:space="0" w:color="auto"/>
      </w:divBdr>
    </w:div>
    <w:div w:id="704596095">
      <w:bodyDiv w:val="1"/>
      <w:marLeft w:val="0"/>
      <w:marRight w:val="0"/>
      <w:marTop w:val="0"/>
      <w:marBottom w:val="0"/>
      <w:divBdr>
        <w:top w:val="none" w:sz="0" w:space="0" w:color="auto"/>
        <w:left w:val="none" w:sz="0" w:space="0" w:color="auto"/>
        <w:bottom w:val="none" w:sz="0" w:space="0" w:color="auto"/>
        <w:right w:val="none" w:sz="0" w:space="0" w:color="auto"/>
      </w:divBdr>
    </w:div>
    <w:div w:id="865172171">
      <w:bodyDiv w:val="1"/>
      <w:marLeft w:val="0"/>
      <w:marRight w:val="0"/>
      <w:marTop w:val="0"/>
      <w:marBottom w:val="0"/>
      <w:divBdr>
        <w:top w:val="none" w:sz="0" w:space="0" w:color="auto"/>
        <w:left w:val="none" w:sz="0" w:space="0" w:color="auto"/>
        <w:bottom w:val="none" w:sz="0" w:space="0" w:color="auto"/>
        <w:right w:val="none" w:sz="0" w:space="0" w:color="auto"/>
      </w:divBdr>
      <w:divsChild>
        <w:div w:id="135101356">
          <w:marLeft w:val="0"/>
          <w:marRight w:val="0"/>
          <w:marTop w:val="0"/>
          <w:marBottom w:val="0"/>
          <w:divBdr>
            <w:top w:val="none" w:sz="0" w:space="0" w:color="auto"/>
            <w:left w:val="none" w:sz="0" w:space="0" w:color="auto"/>
            <w:bottom w:val="none" w:sz="0" w:space="0" w:color="auto"/>
            <w:right w:val="none" w:sz="0" w:space="0" w:color="auto"/>
          </w:divBdr>
          <w:divsChild>
            <w:div w:id="724135614">
              <w:marLeft w:val="0"/>
              <w:marRight w:val="0"/>
              <w:marTop w:val="0"/>
              <w:marBottom w:val="0"/>
              <w:divBdr>
                <w:top w:val="single" w:sz="6" w:space="11" w:color="FCFCFC"/>
                <w:left w:val="single" w:sz="6" w:space="11" w:color="ECECEC"/>
                <w:bottom w:val="single" w:sz="6" w:space="4" w:color="ECECEC"/>
                <w:right w:val="single" w:sz="6" w:space="11" w:color="ECECEC"/>
              </w:divBdr>
              <w:divsChild>
                <w:div w:id="5992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47924">
      <w:bodyDiv w:val="1"/>
      <w:marLeft w:val="0"/>
      <w:marRight w:val="0"/>
      <w:marTop w:val="0"/>
      <w:marBottom w:val="0"/>
      <w:divBdr>
        <w:top w:val="none" w:sz="0" w:space="0" w:color="auto"/>
        <w:left w:val="none" w:sz="0" w:space="0" w:color="auto"/>
        <w:bottom w:val="none" w:sz="0" w:space="0" w:color="auto"/>
        <w:right w:val="none" w:sz="0" w:space="0" w:color="auto"/>
      </w:divBdr>
    </w:div>
    <w:div w:id="1367176526">
      <w:bodyDiv w:val="1"/>
      <w:marLeft w:val="0"/>
      <w:marRight w:val="0"/>
      <w:marTop w:val="0"/>
      <w:marBottom w:val="0"/>
      <w:divBdr>
        <w:top w:val="none" w:sz="0" w:space="0" w:color="auto"/>
        <w:left w:val="none" w:sz="0" w:space="0" w:color="auto"/>
        <w:bottom w:val="none" w:sz="0" w:space="0" w:color="auto"/>
        <w:right w:val="none" w:sz="0" w:space="0" w:color="auto"/>
      </w:divBdr>
    </w:div>
    <w:div w:id="20026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700C-6287-4ADD-8B75-77B7F043F977}">
  <ds:schemaRefs>
    <ds:schemaRef ds:uri="http://schemas.microsoft.com/sharepoint/v3/contenttype/forms"/>
  </ds:schemaRefs>
</ds:datastoreItem>
</file>

<file path=customXml/itemProps2.xml><?xml version="1.0" encoding="utf-8"?>
<ds:datastoreItem xmlns:ds="http://schemas.openxmlformats.org/officeDocument/2006/customXml" ds:itemID="{26FDCAAE-0707-4821-BF54-C719BBB0597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7786B28-8D9F-4A34-8FC6-92330AD21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1708D-8B83-41BF-A26D-26E22B4B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Benney, Kristen</dc:creator>
  <cp:lastModifiedBy>Benney, Kristen</cp:lastModifiedBy>
  <cp:revision>3</cp:revision>
  <cp:lastPrinted>2020-02-13T15:03:00Z</cp:lastPrinted>
  <dcterms:created xsi:type="dcterms:W3CDTF">2020-12-03T16:28:00Z</dcterms:created>
  <dcterms:modified xsi:type="dcterms:W3CDTF">2020-12-04T15:24:00Z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