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0FB1" w:rsidR="00286974" w:rsidP="005F0924" w:rsidRDefault="00286974" w14:paraId="6BCF2B7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Justification</w:t>
      </w:r>
    </w:p>
    <w:p w:rsidRPr="00850FB1" w:rsidR="00286974" w:rsidP="005F0924" w:rsidRDefault="00286974" w14:paraId="05C357F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b/>
          <w:bCs/>
          <w:sz w:val="22"/>
          <w:szCs w:val="22"/>
        </w:rPr>
        <w:t>Statement of Authority to Act for Employee</w:t>
      </w:r>
    </w:p>
    <w:p w:rsidRPr="00850FB1" w:rsidR="00286974" w:rsidP="005F0924" w:rsidRDefault="00286974" w14:paraId="3212493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RRB Form SI-10</w:t>
      </w:r>
    </w:p>
    <w:p w:rsidRPr="00850FB1" w:rsidR="00286974" w:rsidP="005F0924" w:rsidRDefault="00286974" w14:paraId="028F9C73" w14:textId="77777777">
      <w:pPr>
        <w:widowControl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52ABA64E" w14:textId="2CAD2296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1.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Circumstances of information collection</w:t>
      </w:r>
      <w:r w:rsidRPr="00850FB1">
        <w:rPr>
          <w:rFonts w:ascii="Arial" w:hAnsi="Arial" w:cs="Arial"/>
          <w:sz w:val="22"/>
          <w:szCs w:val="22"/>
        </w:rPr>
        <w:t xml:space="preserve"> - Under Section 5(a) of the Railroad Unemployment Insurance Act (RUIA)</w:t>
      </w:r>
      <w:r w:rsidR="00D27C36">
        <w:rPr>
          <w:rFonts w:ascii="Arial" w:hAnsi="Arial" w:cs="Arial"/>
          <w:sz w:val="22"/>
          <w:szCs w:val="22"/>
        </w:rPr>
        <w:t xml:space="preserve"> (</w:t>
      </w:r>
      <w:r w:rsidR="00225429">
        <w:rPr>
          <w:rFonts w:ascii="Arial" w:hAnsi="Arial" w:cs="Arial"/>
          <w:sz w:val="22"/>
          <w:szCs w:val="22"/>
        </w:rPr>
        <w:t>45 U.S.C. 355</w:t>
      </w:r>
      <w:r w:rsidR="00D27C36">
        <w:rPr>
          <w:rFonts w:ascii="Arial" w:hAnsi="Arial" w:cs="Arial"/>
          <w:sz w:val="22"/>
          <w:szCs w:val="22"/>
        </w:rPr>
        <w:t>)</w:t>
      </w:r>
      <w:r w:rsidR="00F22B6F">
        <w:rPr>
          <w:rFonts w:ascii="Arial" w:hAnsi="Arial" w:cs="Arial"/>
          <w:sz w:val="22"/>
          <w:szCs w:val="22"/>
        </w:rPr>
        <w:t>,</w:t>
      </w:r>
      <w:r w:rsidR="00D27C36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claims for benefits under that Act are to be made in accordance with such regulations as the Railroad Retirement Board (RRB) shall prescribe. </w:t>
      </w:r>
      <w:r w:rsidRPr="00850FB1" w:rsidR="00BB1831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The provisions for claiming sickness benefits as provided by Section 2 of the RUIA are prescribed in 20 CFR 335.2.  Included in these provisions is the RRB's acceptance of </w:t>
      </w:r>
      <w:r w:rsidRPr="00850FB1" w:rsidR="0016445C">
        <w:rPr>
          <w:rFonts w:ascii="Arial" w:hAnsi="Arial" w:cs="Arial"/>
          <w:sz w:val="22"/>
          <w:szCs w:val="22"/>
        </w:rPr>
        <w:t xml:space="preserve">someone signing </w:t>
      </w:r>
      <w:r w:rsidRPr="00850FB1">
        <w:rPr>
          <w:rFonts w:ascii="Arial" w:hAnsi="Arial" w:cs="Arial"/>
          <w:sz w:val="22"/>
          <w:szCs w:val="22"/>
        </w:rPr>
        <w:t xml:space="preserve">forms on behalf of </w:t>
      </w:r>
      <w:r w:rsidRPr="00850FB1" w:rsidR="0016445C">
        <w:rPr>
          <w:rFonts w:ascii="Arial" w:hAnsi="Arial" w:cs="Arial"/>
          <w:sz w:val="22"/>
          <w:szCs w:val="22"/>
        </w:rPr>
        <w:t xml:space="preserve">the </w:t>
      </w:r>
      <w:r w:rsidRPr="00850FB1">
        <w:rPr>
          <w:rFonts w:ascii="Arial" w:hAnsi="Arial" w:cs="Arial"/>
          <w:sz w:val="22"/>
          <w:szCs w:val="22"/>
        </w:rPr>
        <w:t>employee</w:t>
      </w:r>
      <w:r w:rsidRPr="00850FB1" w:rsidR="0016445C">
        <w:rPr>
          <w:rFonts w:ascii="Arial" w:hAnsi="Arial" w:cs="Arial"/>
          <w:sz w:val="22"/>
          <w:szCs w:val="22"/>
        </w:rPr>
        <w:t>,</w:t>
      </w:r>
      <w:r w:rsidRPr="00850FB1">
        <w:rPr>
          <w:rFonts w:ascii="Arial" w:hAnsi="Arial" w:cs="Arial"/>
          <w:sz w:val="22"/>
          <w:szCs w:val="22"/>
        </w:rPr>
        <w:t xml:space="preserve"> if the RRB is satisfied that the employee is sick or injured to the exten</w:t>
      </w:r>
      <w:r w:rsidRPr="00850FB1" w:rsidR="00476D2D">
        <w:rPr>
          <w:rFonts w:ascii="Arial" w:hAnsi="Arial" w:cs="Arial"/>
          <w:sz w:val="22"/>
          <w:szCs w:val="22"/>
        </w:rPr>
        <w:t>t of being unable to sign</w:t>
      </w:r>
      <w:r w:rsidR="00F22B6F">
        <w:rPr>
          <w:rFonts w:ascii="Arial" w:hAnsi="Arial" w:cs="Arial"/>
          <w:sz w:val="22"/>
          <w:szCs w:val="22"/>
        </w:rPr>
        <w:t>.</w:t>
      </w:r>
    </w:p>
    <w:p w:rsidR="00225429" w:rsidP="005F0924" w:rsidRDefault="00286974" w14:paraId="355F5A7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ab/>
      </w:r>
    </w:p>
    <w:p w:rsidRPr="00850FB1" w:rsidR="00286974" w:rsidP="005F0924" w:rsidRDefault="00225429" w14:paraId="1E17E1B1" w14:textId="261F296E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0FB1" w:rsidR="00286974">
        <w:rPr>
          <w:rFonts w:ascii="Arial" w:hAnsi="Arial" w:cs="Arial"/>
          <w:sz w:val="22"/>
          <w:szCs w:val="22"/>
        </w:rPr>
        <w:t xml:space="preserve">20 CFR 348, Representative Payment under the Railroad Unemployment Insurance Act, addresses situations where there is evidence of guardianship or incompetence, and the </w:t>
      </w:r>
      <w:r w:rsidRPr="00850FB1" w:rsidR="0016445C">
        <w:rPr>
          <w:rFonts w:ascii="Arial" w:hAnsi="Arial" w:cs="Arial"/>
          <w:sz w:val="22"/>
          <w:szCs w:val="22"/>
        </w:rPr>
        <w:t xml:space="preserve">RRB </w:t>
      </w:r>
      <w:r w:rsidRPr="00850FB1" w:rsidR="00286974">
        <w:rPr>
          <w:rFonts w:ascii="Arial" w:hAnsi="Arial" w:cs="Arial"/>
          <w:sz w:val="22"/>
          <w:szCs w:val="22"/>
        </w:rPr>
        <w:t xml:space="preserve">determines that the appointment of a representative payee for the beneficiary is necessary.  Form SI-10, Statement of Authority to Act for Employee, is not prescribed for use in the process of appointing a representative payee.  Instead, Form SI-10 is used </w:t>
      </w:r>
      <w:r w:rsidRPr="00850FB1" w:rsidR="0016445C">
        <w:rPr>
          <w:rFonts w:ascii="Arial" w:hAnsi="Arial" w:cs="Arial"/>
          <w:sz w:val="22"/>
          <w:szCs w:val="22"/>
        </w:rPr>
        <w:t xml:space="preserve">when </w:t>
      </w:r>
      <w:r w:rsidRPr="00850FB1" w:rsidR="00286974">
        <w:rPr>
          <w:rFonts w:ascii="Arial" w:hAnsi="Arial" w:cs="Arial"/>
          <w:sz w:val="22"/>
          <w:szCs w:val="22"/>
        </w:rPr>
        <w:t>the beneficiary</w:t>
      </w:r>
      <w:r w:rsidRPr="00850FB1" w:rsidR="0016445C">
        <w:rPr>
          <w:rFonts w:ascii="Arial" w:hAnsi="Arial" w:cs="Arial"/>
          <w:sz w:val="22"/>
          <w:szCs w:val="22"/>
        </w:rPr>
        <w:t xml:space="preserve">, though </w:t>
      </w:r>
      <w:r w:rsidRPr="00850FB1" w:rsidR="00286974">
        <w:rPr>
          <w:rFonts w:ascii="Arial" w:hAnsi="Arial" w:cs="Arial"/>
          <w:sz w:val="22"/>
          <w:szCs w:val="22"/>
        </w:rPr>
        <w:t>competent to handle his or her own affairs, is sick or injured to the extent of being unable to sign forms.</w:t>
      </w:r>
    </w:p>
    <w:p w:rsidRPr="00850FB1" w:rsidR="00286974" w:rsidP="005F0924" w:rsidRDefault="00286974" w14:paraId="153A179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1223DE" w:rsidP="005F0924" w:rsidRDefault="00286974" w14:paraId="70A80951" w14:textId="77777777">
      <w:pPr>
        <w:widowControl/>
        <w:numPr>
          <w:ilvl w:val="0"/>
          <w:numId w:val="1"/>
        </w:numPr>
        <w:tabs>
          <w:tab w:val="clear" w:pos="72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  <w:u w:val="single"/>
        </w:rPr>
        <w:t>Purpose of collecting/consequences of not collecting the information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850FB1">
        <w:rPr>
          <w:rFonts w:ascii="Arial" w:hAnsi="Arial" w:cs="Arial"/>
          <w:bCs/>
          <w:sz w:val="22"/>
          <w:szCs w:val="22"/>
        </w:rPr>
        <w:t>Form SI-10, Statement of Authority to Act for Employee</w:t>
      </w:r>
      <w:r w:rsidRPr="00850FB1">
        <w:rPr>
          <w:rFonts w:ascii="Arial" w:hAnsi="Arial" w:cs="Arial"/>
          <w:sz w:val="22"/>
          <w:szCs w:val="22"/>
        </w:rPr>
        <w:t xml:space="preserve">, </w:t>
      </w:r>
      <w:r w:rsidRPr="00850FB1" w:rsidR="0016445C">
        <w:rPr>
          <w:rFonts w:ascii="Arial" w:hAnsi="Arial" w:cs="Arial"/>
          <w:sz w:val="22"/>
          <w:szCs w:val="22"/>
        </w:rPr>
        <w:t>has two purposes</w:t>
      </w:r>
      <w:r w:rsidRPr="00850FB1" w:rsidR="00B30334">
        <w:rPr>
          <w:rFonts w:ascii="Arial" w:hAnsi="Arial" w:cs="Arial"/>
          <w:sz w:val="22"/>
          <w:szCs w:val="22"/>
        </w:rPr>
        <w:t>;</w:t>
      </w:r>
      <w:r w:rsidRPr="00850FB1" w:rsidR="0016445C">
        <w:rPr>
          <w:rFonts w:ascii="Arial" w:hAnsi="Arial" w:cs="Arial"/>
          <w:sz w:val="22"/>
          <w:szCs w:val="22"/>
        </w:rPr>
        <w:t xml:space="preserve"> to </w:t>
      </w:r>
      <w:r w:rsidRPr="00850FB1">
        <w:rPr>
          <w:rFonts w:ascii="Arial" w:hAnsi="Arial" w:cs="Arial"/>
          <w:sz w:val="22"/>
          <w:szCs w:val="22"/>
        </w:rPr>
        <w:t xml:space="preserve">provide the means for an individual to apply for authority to act on behalf of an incapacitated employee and </w:t>
      </w:r>
      <w:r w:rsidRPr="00850FB1" w:rsidR="00B30334">
        <w:rPr>
          <w:rFonts w:ascii="Arial" w:hAnsi="Arial" w:cs="Arial"/>
          <w:sz w:val="22"/>
          <w:szCs w:val="22"/>
        </w:rPr>
        <w:t xml:space="preserve">to provide </w:t>
      </w:r>
      <w:r w:rsidRPr="00850FB1">
        <w:rPr>
          <w:rFonts w:ascii="Arial" w:hAnsi="Arial" w:cs="Arial"/>
          <w:sz w:val="22"/>
          <w:szCs w:val="22"/>
        </w:rPr>
        <w:t xml:space="preserve">the means for the RRB to obtain the information necessary to satisfy itself that the delegation should be made. </w:t>
      </w:r>
      <w:r w:rsidRPr="00850FB1" w:rsidR="00476D2D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>Form SI</w:t>
      </w:r>
      <w:r w:rsidRPr="00850FB1" w:rsidR="00B30334">
        <w:rPr>
          <w:rFonts w:ascii="Arial" w:hAnsi="Arial" w:cs="Arial"/>
          <w:sz w:val="22"/>
          <w:szCs w:val="22"/>
        </w:rPr>
        <w:noBreakHyphen/>
      </w:r>
      <w:r w:rsidRPr="00850FB1">
        <w:rPr>
          <w:rFonts w:ascii="Arial" w:hAnsi="Arial" w:cs="Arial"/>
          <w:sz w:val="22"/>
          <w:szCs w:val="22"/>
        </w:rPr>
        <w:t>10 is provided both as a stand</w:t>
      </w:r>
      <w:r w:rsidRPr="00850FB1" w:rsidR="0016445C">
        <w:rPr>
          <w:rFonts w:ascii="Arial" w:hAnsi="Arial" w:cs="Arial"/>
          <w:sz w:val="22"/>
          <w:szCs w:val="22"/>
        </w:rPr>
        <w:t>-</w:t>
      </w:r>
      <w:r w:rsidRPr="00850FB1">
        <w:rPr>
          <w:rFonts w:ascii="Arial" w:hAnsi="Arial" w:cs="Arial"/>
          <w:sz w:val="22"/>
          <w:szCs w:val="22"/>
        </w:rPr>
        <w:t xml:space="preserve">alone form </w:t>
      </w:r>
      <w:r w:rsidRPr="00850FB1" w:rsidR="001223DE">
        <w:rPr>
          <w:rFonts w:ascii="Arial" w:hAnsi="Arial" w:cs="Arial"/>
          <w:sz w:val="22"/>
          <w:szCs w:val="22"/>
        </w:rPr>
        <w:t xml:space="preserve">with a cover page that contains the Paperwork Reduction Act and Privacy Act Notices </w:t>
      </w:r>
      <w:r w:rsidRPr="00850FB1" w:rsidR="00A0723A">
        <w:rPr>
          <w:rFonts w:ascii="Arial" w:hAnsi="Arial" w:cs="Arial"/>
          <w:sz w:val="22"/>
          <w:szCs w:val="22"/>
        </w:rPr>
        <w:t xml:space="preserve">and </w:t>
      </w:r>
      <w:r w:rsidRPr="00850FB1">
        <w:rPr>
          <w:rFonts w:ascii="Arial" w:hAnsi="Arial" w:cs="Arial"/>
          <w:sz w:val="22"/>
          <w:szCs w:val="22"/>
        </w:rPr>
        <w:t>as part of Form</w:t>
      </w:r>
      <w:r w:rsidRPr="00850FB1" w:rsidR="0016445C">
        <w:rPr>
          <w:rFonts w:ascii="Arial" w:hAnsi="Arial" w:cs="Arial"/>
          <w:sz w:val="22"/>
          <w:szCs w:val="22"/>
        </w:rPr>
        <w:t>s</w:t>
      </w:r>
      <w:r w:rsidRPr="00850FB1">
        <w:rPr>
          <w:rFonts w:ascii="Arial" w:hAnsi="Arial" w:cs="Arial"/>
          <w:sz w:val="22"/>
          <w:szCs w:val="22"/>
        </w:rPr>
        <w:t xml:space="preserve"> SI-1a, Application for Sickness Benefits, and SI-1b, St</w:t>
      </w:r>
      <w:r w:rsidRPr="00850FB1" w:rsidR="00476D2D">
        <w:rPr>
          <w:rFonts w:ascii="Arial" w:hAnsi="Arial" w:cs="Arial"/>
          <w:sz w:val="22"/>
          <w:szCs w:val="22"/>
        </w:rPr>
        <w:t>atement of Sickness (3220-0039)</w:t>
      </w:r>
      <w:r w:rsidRPr="00850FB1" w:rsidR="00C47012">
        <w:rPr>
          <w:rFonts w:ascii="Arial" w:hAnsi="Arial" w:cs="Arial"/>
          <w:sz w:val="22"/>
          <w:szCs w:val="22"/>
        </w:rPr>
        <w:t>, i</w:t>
      </w:r>
      <w:r w:rsidRPr="00850FB1" w:rsidR="00476D2D">
        <w:rPr>
          <w:rFonts w:ascii="Arial" w:hAnsi="Arial" w:cs="Arial"/>
          <w:sz w:val="22"/>
          <w:szCs w:val="22"/>
        </w:rPr>
        <w:t>n</w:t>
      </w:r>
      <w:r w:rsidRPr="00850FB1" w:rsidR="001223DE">
        <w:rPr>
          <w:rFonts w:ascii="Arial" w:hAnsi="Arial" w:cs="Arial"/>
          <w:sz w:val="22"/>
          <w:szCs w:val="22"/>
        </w:rPr>
        <w:t xml:space="preserve">cluded in </w:t>
      </w:r>
      <w:r w:rsidRPr="00850FB1" w:rsidR="00476D2D">
        <w:rPr>
          <w:rFonts w:ascii="Arial" w:hAnsi="Arial" w:cs="Arial"/>
          <w:sz w:val="22"/>
          <w:szCs w:val="22"/>
        </w:rPr>
        <w:t>the booklet</w:t>
      </w:r>
      <w:r w:rsidRPr="00850FB1" w:rsidR="00476D2D">
        <w:rPr>
          <w:rFonts w:ascii="Arial" w:hAnsi="Arial" w:cs="Arial"/>
          <w:strike/>
          <w:sz w:val="22"/>
          <w:szCs w:val="22"/>
        </w:rPr>
        <w:t xml:space="preserve"> </w:t>
      </w:r>
      <w:r w:rsidRPr="00850FB1" w:rsidR="00476D2D">
        <w:rPr>
          <w:rFonts w:ascii="Arial" w:hAnsi="Arial" w:cs="Arial"/>
          <w:sz w:val="22"/>
          <w:szCs w:val="22"/>
        </w:rPr>
        <w:t>UB</w:t>
      </w:r>
      <w:r w:rsidRPr="00850FB1" w:rsidR="001223DE">
        <w:rPr>
          <w:rFonts w:ascii="Arial" w:hAnsi="Arial" w:cs="Arial"/>
          <w:sz w:val="22"/>
          <w:szCs w:val="22"/>
        </w:rPr>
        <w:noBreakHyphen/>
      </w:r>
      <w:r w:rsidRPr="00850FB1" w:rsidR="00476D2D">
        <w:rPr>
          <w:rFonts w:ascii="Arial" w:hAnsi="Arial" w:cs="Arial"/>
          <w:sz w:val="22"/>
          <w:szCs w:val="22"/>
        </w:rPr>
        <w:t>11, Sickness Benefits for Railroad Employees.</w:t>
      </w:r>
      <w:r w:rsidRPr="00850FB1" w:rsidR="001223DE">
        <w:rPr>
          <w:rFonts w:ascii="Arial" w:hAnsi="Arial" w:cs="Arial"/>
          <w:sz w:val="22"/>
          <w:szCs w:val="22"/>
        </w:rPr>
        <w:t xml:space="preserve">  </w:t>
      </w:r>
      <w:r w:rsidRPr="00850FB1" w:rsidR="001223DE">
        <w:rPr>
          <w:rFonts w:ascii="Arial" w:hAnsi="Arial" w:cs="Arial"/>
          <w:bCs/>
          <w:sz w:val="22"/>
          <w:szCs w:val="22"/>
        </w:rPr>
        <w:t>The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</w:t>
      </w:r>
      <w:r w:rsidRPr="00850FB1" w:rsidR="001223DE">
        <w:rPr>
          <w:rFonts w:ascii="Arial" w:hAnsi="Arial" w:cs="Arial"/>
          <w:bCs/>
          <w:sz w:val="22"/>
          <w:szCs w:val="22"/>
        </w:rPr>
        <w:t xml:space="preserve">Paperwork Reduction Act and Privacy Act </w:t>
      </w:r>
      <w:r w:rsidRPr="00850FB1" w:rsidR="007A5C92">
        <w:rPr>
          <w:rFonts w:ascii="Arial" w:hAnsi="Arial" w:cs="Arial"/>
          <w:bCs/>
          <w:sz w:val="22"/>
          <w:szCs w:val="22"/>
        </w:rPr>
        <w:t>N</w:t>
      </w:r>
      <w:r w:rsidRPr="00850FB1" w:rsidR="001223DE">
        <w:rPr>
          <w:rFonts w:ascii="Arial" w:hAnsi="Arial" w:cs="Arial"/>
          <w:bCs/>
          <w:sz w:val="22"/>
          <w:szCs w:val="22"/>
        </w:rPr>
        <w:t xml:space="preserve">otices 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that cover </w:t>
      </w:r>
      <w:r w:rsidRPr="00850FB1" w:rsidR="00BE74E6">
        <w:rPr>
          <w:rFonts w:ascii="Arial" w:hAnsi="Arial" w:cs="Arial"/>
          <w:bCs/>
          <w:sz w:val="22"/>
          <w:szCs w:val="22"/>
        </w:rPr>
        <w:t>the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</w:t>
      </w:r>
      <w:r w:rsidRPr="00850FB1" w:rsidR="001223DE">
        <w:rPr>
          <w:rFonts w:ascii="Arial" w:hAnsi="Arial" w:cs="Arial"/>
          <w:bCs/>
          <w:sz w:val="22"/>
          <w:szCs w:val="22"/>
        </w:rPr>
        <w:t>SI-10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are included in the UB</w:t>
      </w:r>
      <w:r w:rsidRPr="00850FB1" w:rsidR="00A0723A">
        <w:rPr>
          <w:rFonts w:ascii="Arial" w:hAnsi="Arial" w:cs="Arial"/>
          <w:bCs/>
          <w:sz w:val="22"/>
          <w:szCs w:val="22"/>
        </w:rPr>
        <w:noBreakHyphen/>
        <w:t>11 booklet</w:t>
      </w:r>
      <w:r w:rsidRPr="00850FB1" w:rsidR="001223DE">
        <w:rPr>
          <w:rFonts w:ascii="Arial" w:hAnsi="Arial" w:cs="Arial"/>
          <w:bCs/>
          <w:sz w:val="22"/>
          <w:szCs w:val="22"/>
        </w:rPr>
        <w:t>.</w:t>
      </w:r>
    </w:p>
    <w:p w:rsidRPr="00850FB1" w:rsidR="001223DE" w:rsidP="005F0924" w:rsidRDefault="001223DE" w14:paraId="797A663A" w14:textId="77777777">
      <w:pPr>
        <w:widowControl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715E5F" w14:paraId="67B0BE5F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Section 1 </w:t>
      </w:r>
      <w:r w:rsidRPr="00850FB1" w:rsidR="00286974">
        <w:rPr>
          <w:rFonts w:ascii="Arial" w:hAnsi="Arial" w:cs="Arial"/>
          <w:sz w:val="22"/>
          <w:szCs w:val="22"/>
        </w:rPr>
        <w:t xml:space="preserve">of the </w:t>
      </w:r>
      <w:r w:rsidRPr="00850FB1" w:rsidR="00C47012">
        <w:rPr>
          <w:rFonts w:ascii="Arial" w:hAnsi="Arial" w:cs="Arial"/>
          <w:sz w:val="22"/>
          <w:szCs w:val="22"/>
        </w:rPr>
        <w:t>SI</w:t>
      </w:r>
      <w:r w:rsidRPr="00850FB1" w:rsidR="00C47012">
        <w:rPr>
          <w:rFonts w:ascii="Arial" w:hAnsi="Arial" w:cs="Arial"/>
          <w:sz w:val="22"/>
          <w:szCs w:val="22"/>
        </w:rPr>
        <w:noBreakHyphen/>
      </w:r>
      <w:r w:rsidRPr="00850FB1" w:rsidR="0016445C">
        <w:rPr>
          <w:rFonts w:ascii="Arial" w:hAnsi="Arial" w:cs="Arial"/>
          <w:sz w:val="22"/>
          <w:szCs w:val="22"/>
        </w:rPr>
        <w:t xml:space="preserve">10 </w:t>
      </w:r>
      <w:r w:rsidRPr="00850FB1" w:rsidR="00286974">
        <w:rPr>
          <w:rFonts w:ascii="Arial" w:hAnsi="Arial" w:cs="Arial"/>
          <w:sz w:val="22"/>
          <w:szCs w:val="22"/>
        </w:rPr>
        <w:t xml:space="preserve">is completed by the applicant for the authority and </w:t>
      </w:r>
      <w:r w:rsidRPr="00850FB1" w:rsidR="00B30334">
        <w:rPr>
          <w:rFonts w:ascii="Arial" w:hAnsi="Arial" w:cs="Arial"/>
          <w:sz w:val="22"/>
          <w:szCs w:val="22"/>
        </w:rPr>
        <w:t>Sectio</w:t>
      </w:r>
      <w:r w:rsidRPr="00850FB1">
        <w:rPr>
          <w:rFonts w:ascii="Arial" w:hAnsi="Arial" w:cs="Arial"/>
          <w:sz w:val="22"/>
          <w:szCs w:val="22"/>
        </w:rPr>
        <w:t>n 2</w:t>
      </w:r>
      <w:r w:rsidRPr="00850FB1" w:rsidR="00286974">
        <w:rPr>
          <w:rFonts w:ascii="Arial" w:hAnsi="Arial" w:cs="Arial"/>
          <w:sz w:val="22"/>
          <w:szCs w:val="22"/>
        </w:rPr>
        <w:t xml:space="preserve"> is completed by the employee's doctor.  Completion of the form is self-explanatory.</w:t>
      </w:r>
    </w:p>
    <w:p w:rsidRPr="00850FB1" w:rsidR="00286974" w:rsidP="005F0924" w:rsidRDefault="00286974" w14:paraId="028433B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24C15205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When possible, the form is preprinted by the initiating </w:t>
      </w:r>
      <w:r w:rsidRPr="00850FB1" w:rsidR="00C57468">
        <w:rPr>
          <w:rFonts w:ascii="Arial" w:hAnsi="Arial" w:cs="Arial"/>
          <w:sz w:val="22"/>
          <w:szCs w:val="22"/>
        </w:rPr>
        <w:t xml:space="preserve">RRB </w:t>
      </w:r>
      <w:r w:rsidRPr="00850FB1">
        <w:rPr>
          <w:rFonts w:ascii="Arial" w:hAnsi="Arial" w:cs="Arial"/>
          <w:sz w:val="22"/>
          <w:szCs w:val="22"/>
        </w:rPr>
        <w:t>office with the name, social security number</w:t>
      </w:r>
      <w:r w:rsidRPr="00850FB1" w:rsidR="00B30334">
        <w:rPr>
          <w:rFonts w:ascii="Arial" w:hAnsi="Arial" w:cs="Arial"/>
          <w:sz w:val="22"/>
          <w:szCs w:val="22"/>
        </w:rPr>
        <w:t>,</w:t>
      </w:r>
      <w:r w:rsidRPr="00850FB1">
        <w:rPr>
          <w:rFonts w:ascii="Arial" w:hAnsi="Arial" w:cs="Arial"/>
          <w:sz w:val="22"/>
          <w:szCs w:val="22"/>
        </w:rPr>
        <w:t xml:space="preserve"> and address of the incapacitated employee.  After Sections</w:t>
      </w:r>
      <w:r w:rsidRPr="00850FB1" w:rsidR="00715E5F">
        <w:rPr>
          <w:rFonts w:ascii="Arial" w:hAnsi="Arial" w:cs="Arial"/>
          <w:sz w:val="22"/>
          <w:szCs w:val="22"/>
        </w:rPr>
        <w:t xml:space="preserve"> 1 and 2</w:t>
      </w:r>
      <w:r w:rsidRPr="00850FB1">
        <w:rPr>
          <w:rFonts w:ascii="Arial" w:hAnsi="Arial" w:cs="Arial"/>
          <w:sz w:val="22"/>
          <w:szCs w:val="22"/>
        </w:rPr>
        <w:t xml:space="preserve"> are completed by the applicant and the employee's doctor, respectively, the form is returned</w:t>
      </w:r>
      <w:r w:rsidRPr="00850F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by the applicant to the initiating </w:t>
      </w:r>
      <w:r w:rsidRPr="00850FB1" w:rsidR="00C57468">
        <w:rPr>
          <w:rFonts w:ascii="Arial" w:hAnsi="Arial" w:cs="Arial"/>
          <w:sz w:val="22"/>
          <w:szCs w:val="22"/>
        </w:rPr>
        <w:t>RRB</w:t>
      </w:r>
      <w:r w:rsidRPr="00850FB1">
        <w:rPr>
          <w:rFonts w:ascii="Arial" w:hAnsi="Arial" w:cs="Arial"/>
          <w:sz w:val="22"/>
          <w:szCs w:val="22"/>
        </w:rPr>
        <w:t xml:space="preserve"> office in a self-return envelope provided by the RRB, or </w:t>
      </w:r>
      <w:r w:rsidRPr="00850FB1" w:rsidR="00715E5F">
        <w:rPr>
          <w:rFonts w:ascii="Arial" w:hAnsi="Arial" w:cs="Arial"/>
          <w:sz w:val="22"/>
          <w:szCs w:val="22"/>
        </w:rPr>
        <w:t xml:space="preserve">to </w:t>
      </w:r>
      <w:r w:rsidRPr="00850FB1">
        <w:rPr>
          <w:rFonts w:ascii="Arial" w:hAnsi="Arial" w:cs="Arial"/>
          <w:sz w:val="22"/>
          <w:szCs w:val="22"/>
        </w:rPr>
        <w:t xml:space="preserve">the RRB headquarters in </w:t>
      </w:r>
      <w:smartTag w:uri="urn:schemas-microsoft-com:office:smarttags" w:element="PersonName">
        <w:r w:rsidRPr="00850FB1">
          <w:rPr>
            <w:rFonts w:ascii="Arial" w:hAnsi="Arial" w:cs="Arial"/>
            <w:sz w:val="22"/>
            <w:szCs w:val="22"/>
          </w:rPr>
          <w:t>Chicago</w:t>
        </w:r>
      </w:smartTag>
      <w:r w:rsidRPr="00850FB1">
        <w:rPr>
          <w:rFonts w:ascii="Arial" w:hAnsi="Arial" w:cs="Arial"/>
          <w:sz w:val="22"/>
          <w:szCs w:val="22"/>
        </w:rPr>
        <w:t>.</w:t>
      </w:r>
    </w:p>
    <w:p w:rsidRPr="00850FB1" w:rsidR="00286974" w:rsidP="005F0924" w:rsidRDefault="00286974" w14:paraId="27744F6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3417EFA0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850FB1">
        <w:rPr>
          <w:rFonts w:ascii="Arial" w:hAnsi="Arial" w:cs="Arial"/>
          <w:b/>
          <w:sz w:val="22"/>
          <w:szCs w:val="22"/>
        </w:rPr>
        <w:t>The RRB proposes no changes to Form SI-10.</w:t>
      </w:r>
    </w:p>
    <w:p w:rsidRPr="00850FB1" w:rsidR="00286974" w:rsidP="005F0924" w:rsidRDefault="00286974" w14:paraId="15509D9A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Pr="00850FB1" w:rsidR="00286974" w:rsidP="005F0924" w:rsidRDefault="00286974" w14:paraId="58834D1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3.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Planned use of improved information technology or technical/legal impediments to further burden reduction</w:t>
      </w:r>
      <w:r w:rsidRPr="00850FB1">
        <w:rPr>
          <w:rFonts w:ascii="Arial" w:hAnsi="Arial" w:cs="Arial"/>
          <w:sz w:val="22"/>
          <w:szCs w:val="22"/>
        </w:rPr>
        <w:t xml:space="preserve"> </w:t>
      </w:r>
      <w:r w:rsidRPr="00850FB1" w:rsidR="00715E5F">
        <w:rPr>
          <w:rFonts w:ascii="Arial" w:hAnsi="Arial" w:cs="Arial"/>
          <w:sz w:val="22"/>
          <w:szCs w:val="22"/>
        </w:rPr>
        <w:t>-</w:t>
      </w:r>
      <w:r w:rsidRPr="00850FB1">
        <w:rPr>
          <w:rFonts w:ascii="Arial" w:hAnsi="Arial" w:cs="Arial"/>
          <w:sz w:val="22"/>
          <w:szCs w:val="22"/>
        </w:rPr>
        <w:t xml:space="preserve"> </w:t>
      </w:r>
      <w:r w:rsidRPr="00850FB1" w:rsidR="00FB3B43">
        <w:rPr>
          <w:rFonts w:ascii="Arial" w:hAnsi="Arial" w:cs="Arial"/>
          <w:sz w:val="22"/>
          <w:szCs w:val="22"/>
        </w:rPr>
        <w:t>Not cost effective due to low volume.</w:t>
      </w:r>
    </w:p>
    <w:p w:rsidRPr="00850FB1" w:rsidR="00286974" w:rsidP="005F0924" w:rsidRDefault="00286974" w14:paraId="4030D63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D27C36" w:rsidRDefault="00286974" w14:paraId="2C97405E" w14:textId="77293ECD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4.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Efforts to identify duplication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2C5F3A" w:rsidR="002C5F3A">
        <w:rPr>
          <w:rFonts w:ascii="Arial" w:hAnsi="Arial" w:cs="Arial"/>
          <w:sz w:val="22"/>
          <w:szCs w:val="22"/>
        </w:rPr>
        <w:t>To our knowledge, no other agency uses a form similar to Form SI-10.</w:t>
      </w:r>
    </w:p>
    <w:p w:rsidRPr="00850FB1" w:rsidR="00286974" w:rsidP="005F0924" w:rsidRDefault="00286974" w14:paraId="418D330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60ECA94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5.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Small business respondents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Pr="00850FB1" w:rsidR="00286974" w:rsidP="005F0924" w:rsidRDefault="00286974" w14:paraId="7226F908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5C2CABD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  <w:sectPr w:rsidRPr="00850FB1" w:rsidR="00286974" w:rsidSect="009876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Pr="00850FB1" w:rsidR="00286974" w:rsidP="005F0924" w:rsidRDefault="00286974" w14:paraId="38C9C57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lastRenderedPageBreak/>
        <w:t xml:space="preserve"> 6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Consequences of less frequent collection</w:t>
      </w:r>
      <w:r w:rsidRPr="00850FB1">
        <w:rPr>
          <w:rFonts w:ascii="Arial" w:hAnsi="Arial" w:cs="Arial"/>
          <w:sz w:val="22"/>
          <w:szCs w:val="22"/>
        </w:rPr>
        <w:t xml:space="preserve"> - Not applicable since the information is obtained only once.</w:t>
      </w:r>
    </w:p>
    <w:p w:rsidRPr="00850FB1" w:rsidR="00286974" w:rsidP="005F0924" w:rsidRDefault="00286974" w14:paraId="2FA8C543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78A4782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7.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Special circumstances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Pr="00850FB1" w:rsidR="00C47012" w:rsidP="005F0924" w:rsidRDefault="00C47012" w14:paraId="58A33235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07CA0FC5" w14:textId="6FFF7399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8.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Public comments/consultations outside the agency</w:t>
      </w:r>
      <w:r w:rsidRPr="00850FB1">
        <w:rPr>
          <w:rFonts w:ascii="Arial" w:hAnsi="Arial" w:cs="Arial"/>
          <w:sz w:val="22"/>
          <w:szCs w:val="22"/>
        </w:rPr>
        <w:t xml:space="preserve"> - In accordance with 5 CFR 1320.8(d), comments were invited from the public regarding this information collection.  The notice to the public was published on page</w:t>
      </w:r>
      <w:r w:rsidR="008F72AC">
        <w:rPr>
          <w:rFonts w:ascii="Arial" w:hAnsi="Arial" w:cs="Arial"/>
          <w:sz w:val="22"/>
          <w:szCs w:val="22"/>
        </w:rPr>
        <w:t xml:space="preserve"> 62777</w:t>
      </w:r>
      <w:bookmarkStart w:name="_GoBack" w:id="0"/>
      <w:bookmarkEnd w:id="0"/>
      <w:r w:rsidRPr="00850FB1">
        <w:rPr>
          <w:rFonts w:ascii="Arial" w:hAnsi="Arial" w:cs="Arial"/>
          <w:sz w:val="22"/>
          <w:szCs w:val="22"/>
        </w:rPr>
        <w:t xml:space="preserve"> of the</w:t>
      </w:r>
      <w:r w:rsidR="008F72AC">
        <w:rPr>
          <w:rFonts w:ascii="Arial" w:hAnsi="Arial" w:cs="Arial"/>
          <w:sz w:val="22"/>
          <w:szCs w:val="22"/>
        </w:rPr>
        <w:t xml:space="preserve"> October 5, 2020</w:t>
      </w:r>
      <w:r w:rsidRPr="00850FB1">
        <w:rPr>
          <w:rFonts w:ascii="Arial" w:hAnsi="Arial" w:cs="Arial"/>
          <w:sz w:val="22"/>
          <w:szCs w:val="22"/>
        </w:rPr>
        <w:t xml:space="preserve">, </w:t>
      </w:r>
      <w:r w:rsidRPr="00850FB1">
        <w:rPr>
          <w:rFonts w:ascii="Arial" w:hAnsi="Arial" w:cs="Arial"/>
          <w:sz w:val="22"/>
          <w:szCs w:val="22"/>
          <w:u w:val="single"/>
        </w:rPr>
        <w:t>Federal Register</w:t>
      </w:r>
      <w:r w:rsidRPr="00850FB1">
        <w:rPr>
          <w:rFonts w:ascii="Arial" w:hAnsi="Arial" w:cs="Arial"/>
          <w:sz w:val="22"/>
          <w:szCs w:val="22"/>
        </w:rPr>
        <w:t>.  No comments or requests for additional information were received.</w:t>
      </w:r>
    </w:p>
    <w:p w:rsidRPr="00850FB1" w:rsidR="00286974" w:rsidP="005F0924" w:rsidRDefault="00286974" w14:paraId="6DCBBD5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</w:t>
      </w:r>
    </w:p>
    <w:p w:rsidRPr="00850FB1" w:rsidR="00286974" w:rsidP="005F0924" w:rsidRDefault="00286974" w14:paraId="3C2BF5C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9. 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Payments or gifts to respondents</w:t>
      </w:r>
      <w:r w:rsidRPr="00850FB1">
        <w:rPr>
          <w:rFonts w:ascii="Arial" w:hAnsi="Arial" w:cs="Arial"/>
          <w:sz w:val="22"/>
          <w:szCs w:val="22"/>
        </w:rPr>
        <w:t xml:space="preserve"> - None</w:t>
      </w:r>
    </w:p>
    <w:p w:rsidRPr="00850FB1" w:rsidR="00286974" w:rsidP="005F0924" w:rsidRDefault="00286974" w14:paraId="7D814D53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985F2D" w:rsidP="005F0924" w:rsidRDefault="00286974" w14:paraId="64806E86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10.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Confidentiality</w:t>
      </w:r>
      <w:r w:rsidRPr="00850FB1">
        <w:rPr>
          <w:rFonts w:ascii="Arial" w:hAnsi="Arial" w:cs="Arial"/>
          <w:sz w:val="22"/>
          <w:szCs w:val="22"/>
        </w:rPr>
        <w:t xml:space="preserve"> - Privacy Act System of Records, RRB-21, Railroad Unemployment and Sickness Insurance Benefit System -</w:t>
      </w:r>
      <w:r w:rsidRPr="00850FB1" w:rsidR="00985F2D">
        <w:rPr>
          <w:rFonts w:ascii="Arial" w:hAnsi="Arial" w:cs="Arial"/>
          <w:sz w:val="22"/>
          <w:szCs w:val="22"/>
        </w:rPr>
        <w:t xml:space="preserve"> </w:t>
      </w:r>
      <w:r w:rsidRPr="00850FB1" w:rsidR="0031312E">
        <w:rPr>
          <w:rFonts w:ascii="Arial" w:hAnsi="Arial" w:cs="Arial"/>
          <w:sz w:val="22"/>
          <w:szCs w:val="22"/>
        </w:rPr>
        <w:t xml:space="preserve">In accordance with OMB Circular M-03-22, a Privacy Impact Assessment for this information collection was completed and can be found at </w:t>
      </w:r>
      <w:hyperlink w:history="1" r:id="rId14">
        <w:r w:rsidRPr="00850FB1" w:rsidR="00470EB2">
          <w:rPr>
            <w:rStyle w:val="Hyperlink"/>
            <w:rFonts w:ascii="Arial" w:hAnsi="Arial" w:cs="Arial"/>
            <w:sz w:val="22"/>
            <w:szCs w:val="22"/>
          </w:rPr>
          <w:t>https://www.rrb.gov/sites/default/files/2017-06/PIA-BPO.pdf</w:t>
        </w:r>
      </w:hyperlink>
      <w:r w:rsidRPr="00850FB1" w:rsidR="0031312E">
        <w:rPr>
          <w:rFonts w:ascii="Arial" w:hAnsi="Arial" w:cs="Arial"/>
          <w:sz w:val="22"/>
          <w:szCs w:val="22"/>
        </w:rPr>
        <w:t>.</w:t>
      </w:r>
    </w:p>
    <w:p w:rsidRPr="00850FB1" w:rsidR="00286974" w:rsidP="005F0924" w:rsidRDefault="00286974" w14:paraId="2E1CF0C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274EFEC8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11.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Sensitive questions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Pr="00850FB1" w:rsidR="00286974" w:rsidP="005F0924" w:rsidRDefault="00286974" w14:paraId="1C91005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01C7FB75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12.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Estimate of respondent burden</w:t>
      </w:r>
      <w:r w:rsidRPr="00850FB1" w:rsidR="00BB1831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- The estimated burden for this collection </w:t>
      </w:r>
      <w:r w:rsidRPr="00850FB1" w:rsidR="0031312E">
        <w:rPr>
          <w:rFonts w:ascii="Arial" w:hAnsi="Arial" w:cs="Arial"/>
          <w:sz w:val="22"/>
          <w:szCs w:val="22"/>
        </w:rPr>
        <w:t xml:space="preserve">is </w:t>
      </w:r>
      <w:r w:rsidRPr="00850FB1">
        <w:rPr>
          <w:rFonts w:ascii="Arial" w:hAnsi="Arial" w:cs="Arial"/>
          <w:sz w:val="22"/>
          <w:szCs w:val="22"/>
        </w:rPr>
        <w:t xml:space="preserve">changed </w:t>
      </w:r>
      <w:r w:rsidRPr="00850FB1" w:rsidR="0031312E">
        <w:rPr>
          <w:rFonts w:ascii="Arial" w:hAnsi="Arial" w:cs="Arial"/>
          <w:sz w:val="22"/>
          <w:szCs w:val="22"/>
        </w:rPr>
        <w:t>as follows:</w:t>
      </w:r>
    </w:p>
    <w:p w:rsidRPr="00850FB1" w:rsidR="00286974" w:rsidP="005F0924" w:rsidRDefault="00286974" w14:paraId="3ED60CC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1312E" w:rsidP="005F0924" w:rsidRDefault="007A5C92" w14:paraId="34B599A5" w14:textId="3B3C7196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41BB">
        <w:rPr>
          <w:rFonts w:ascii="Arial" w:hAnsi="Arial" w:cs="Arial"/>
          <w:b/>
          <w:sz w:val="22"/>
          <w:szCs w:val="22"/>
          <w:u w:val="single"/>
        </w:rPr>
        <w:t xml:space="preserve">Current </w:t>
      </w:r>
      <w:r w:rsidRPr="000E41BB" w:rsidR="0031312E">
        <w:rPr>
          <w:rFonts w:ascii="Arial" w:hAnsi="Arial" w:cs="Arial"/>
          <w:b/>
          <w:sz w:val="22"/>
          <w:szCs w:val="22"/>
          <w:u w:val="single"/>
        </w:rPr>
        <w:t>Burden</w:t>
      </w:r>
    </w:p>
    <w:p w:rsidRPr="000E41BB" w:rsidR="002C29C7" w:rsidP="005F0924" w:rsidRDefault="002C29C7" w14:paraId="18DE483C" w14:textId="77777777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987" w:type="dxa"/>
        <w:tblInd w:w="514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372"/>
        <w:gridCol w:w="2205"/>
        <w:gridCol w:w="2205"/>
        <w:gridCol w:w="2205"/>
      </w:tblGrid>
      <w:tr w:rsidRPr="00850FB1" w:rsidR="0031312E" w:rsidTr="000E41BB" w14:paraId="7BC900C9" w14:textId="77777777">
        <w:tc>
          <w:tcPr>
            <w:tcW w:w="2372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850FB1" w:rsidR="0031312E" w:rsidP="005F0924" w:rsidRDefault="0031312E" w14:paraId="35D416E0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850FB1" w:rsidR="0031312E" w:rsidP="005F0924" w:rsidRDefault="0031312E" w14:paraId="247E513D" w14:textId="77777777">
            <w:pPr>
              <w:keepNext/>
              <w:widowControl/>
              <w:tabs>
                <w:tab w:val="left" w:pos="450"/>
                <w:tab w:val="left" w:pos="540"/>
                <w:tab w:val="center" w:pos="1020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850FB1" w:rsidR="0031312E" w:rsidP="005F0924" w:rsidRDefault="0031312E" w14:paraId="1CFF5E0A" w14:textId="77777777">
            <w:pPr>
              <w:keepNext/>
              <w:widowControl/>
              <w:tabs>
                <w:tab w:val="left" w:pos="450"/>
                <w:tab w:val="left" w:pos="540"/>
                <w:tab w:val="center" w:pos="723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Time (Minutes)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850FB1" w:rsidR="0031312E" w:rsidP="005F0924" w:rsidRDefault="0031312E" w14:paraId="0BC7670C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Pr="0072591C" w:rsidR="0031312E" w:rsidTr="000E41BB" w14:paraId="56A328A7" w14:textId="77777777">
        <w:tc>
          <w:tcPr>
            <w:tcW w:w="2372" w:type="dxa"/>
            <w:tcBorders>
              <w:top w:val="doub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D27C36" w:rsidR="0031312E" w:rsidP="005F0924" w:rsidRDefault="0031312E" w14:paraId="69301F85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27C36">
              <w:rPr>
                <w:rFonts w:ascii="Arial" w:hAnsi="Arial" w:cs="Arial"/>
                <w:sz w:val="22"/>
              </w:rPr>
              <w:t>SI-10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shd w:val="clear" w:color="auto" w:fill="auto"/>
            <w:vAlign w:val="center"/>
          </w:tcPr>
          <w:p w:rsidRPr="00D27C36" w:rsidR="0031312E" w:rsidP="005F0924" w:rsidRDefault="008B10EB" w14:paraId="76361EEF" w14:textId="17CA5F9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0E41BB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shd w:val="clear" w:color="auto" w:fill="auto"/>
            <w:vAlign w:val="center"/>
          </w:tcPr>
          <w:p w:rsidRPr="00D27C36" w:rsidR="0031312E" w:rsidP="005F0924" w:rsidRDefault="0031312E" w14:paraId="154DAD10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27C3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shd w:val="clear" w:color="auto" w:fill="auto"/>
            <w:vAlign w:val="center"/>
          </w:tcPr>
          <w:p w:rsidRPr="00D27C36" w:rsidR="0031312E" w:rsidP="005F0924" w:rsidRDefault="008B10EB" w14:paraId="5FF50A90" w14:textId="49C244B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0E41BB">
              <w:rPr>
                <w:rFonts w:ascii="Arial" w:hAnsi="Arial" w:cs="Arial"/>
                <w:sz w:val="22"/>
              </w:rPr>
              <w:t>3</w:t>
            </w:r>
          </w:p>
        </w:tc>
      </w:tr>
    </w:tbl>
    <w:p w:rsidRPr="0072591C" w:rsidR="0031312E" w:rsidP="005F0924" w:rsidRDefault="0031312E" w14:paraId="4C5B6F8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0E41BB" w:rsidR="007A5C92" w:rsidP="007A5C92" w:rsidRDefault="007A5C92" w14:paraId="6AD348BD" w14:textId="77777777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41BB">
        <w:rPr>
          <w:rFonts w:ascii="Arial" w:hAnsi="Arial" w:cs="Arial"/>
          <w:b/>
          <w:sz w:val="22"/>
          <w:szCs w:val="22"/>
          <w:u w:val="single"/>
        </w:rPr>
        <w:t>Proposed Burden</w:t>
      </w:r>
    </w:p>
    <w:p w:rsidRPr="0072591C" w:rsidR="007A5C92" w:rsidP="005F0924" w:rsidRDefault="007A5C92" w14:paraId="469A76A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W w:w="8987" w:type="dxa"/>
        <w:tblInd w:w="514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372"/>
        <w:gridCol w:w="2205"/>
        <w:gridCol w:w="2205"/>
        <w:gridCol w:w="2205"/>
      </w:tblGrid>
      <w:tr w:rsidRPr="0072591C" w:rsidR="007A5C92" w:rsidTr="000E41BB" w14:paraId="7C123435" w14:textId="77777777">
        <w:tc>
          <w:tcPr>
            <w:tcW w:w="2372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72591C" w:rsidR="007A5C92" w:rsidP="00751333" w:rsidRDefault="007A5C92" w14:paraId="2EC74947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91C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72591C" w:rsidR="007A5C92" w:rsidP="00751333" w:rsidRDefault="007A5C92" w14:paraId="2E52E363" w14:textId="77777777">
            <w:pPr>
              <w:keepNext/>
              <w:widowControl/>
              <w:tabs>
                <w:tab w:val="left" w:pos="450"/>
                <w:tab w:val="left" w:pos="540"/>
                <w:tab w:val="center" w:pos="1020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91C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72591C" w:rsidR="007A5C92" w:rsidP="00751333" w:rsidRDefault="007A5C92" w14:paraId="3CEA2874" w14:textId="77777777">
            <w:pPr>
              <w:keepNext/>
              <w:widowControl/>
              <w:tabs>
                <w:tab w:val="left" w:pos="450"/>
                <w:tab w:val="left" w:pos="540"/>
                <w:tab w:val="center" w:pos="723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91C">
              <w:rPr>
                <w:rFonts w:ascii="Arial" w:hAnsi="Arial" w:cs="Arial"/>
                <w:sz w:val="22"/>
                <w:szCs w:val="22"/>
              </w:rPr>
              <w:t>Time (Minutes)</w:t>
            </w:r>
            <w:r w:rsidRPr="0072591C" w:rsidR="002C5F3A">
              <w:rPr>
                <w:rFonts w:ascii="Arial" w:hAnsi="Arial" w:cs="Arial"/>
                <w:sz w:val="22"/>
                <w:szCs w:val="22"/>
              </w:rPr>
              <w:t>1/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72591C" w:rsidR="007A5C92" w:rsidP="00751333" w:rsidRDefault="007A5C92" w14:paraId="7E1EBBA9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591C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Pr="00850FB1" w:rsidR="007A5C92" w:rsidTr="000E41BB" w14:paraId="7D64F22E" w14:textId="77777777">
        <w:tc>
          <w:tcPr>
            <w:tcW w:w="2372" w:type="dxa"/>
            <w:tcBorders>
              <w:top w:val="doub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72591C" w:rsidR="007A5C92" w:rsidP="00751333" w:rsidRDefault="007A5C92" w14:paraId="6169D228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72591C">
              <w:rPr>
                <w:rFonts w:ascii="Arial" w:hAnsi="Arial" w:cs="Arial"/>
                <w:sz w:val="22"/>
              </w:rPr>
              <w:t>SI-10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D27C36" w:rsidR="007A5C92" w:rsidP="00751333" w:rsidRDefault="007332D8" w14:paraId="33B040F1" w14:textId="3CD36CBC">
            <w:pPr>
              <w:widowControl/>
              <w:spacing w:before="120" w:after="120"/>
              <w:jc w:val="center"/>
              <w:rPr>
                <w:rFonts w:ascii="Arial" w:hAnsi="Arial" w:cs="Arial"/>
                <w:dstrike/>
                <w:sz w:val="22"/>
              </w:rPr>
            </w:pPr>
            <w:r w:rsidRPr="000E41BB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D27C36" w:rsidR="007A5C92" w:rsidP="00751333" w:rsidRDefault="007A5C92" w14:paraId="0BB8336C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27C3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850FB1" w:rsidR="007A5C92" w:rsidP="00751333" w:rsidRDefault="007A5C92" w14:paraId="34996FDB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72591C">
              <w:rPr>
                <w:rFonts w:ascii="Arial" w:hAnsi="Arial" w:cs="Arial"/>
                <w:sz w:val="22"/>
              </w:rPr>
              <w:t>3</w:t>
            </w:r>
          </w:p>
        </w:tc>
      </w:tr>
    </w:tbl>
    <w:p w:rsidRPr="000E41BB" w:rsidR="007A5C92" w:rsidP="005F0924" w:rsidRDefault="002C5F3A" w14:paraId="24ABD5CF" w14:textId="3C617831">
      <w:pPr>
        <w:widowControl/>
        <w:tabs>
          <w:tab w:val="left" w:pos="540"/>
        </w:tabs>
        <w:ind w:left="540" w:hanging="540"/>
        <w:jc w:val="both"/>
        <w:rPr>
          <w:rFonts w:ascii="Arial" w:hAnsi="Arial" w:eastAsia="Calibri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ab/>
      </w:r>
      <w:r w:rsidRPr="000E41BB">
        <w:rPr>
          <w:rFonts w:ascii="Arial" w:hAnsi="Arial" w:eastAsia="Calibri" w:cs="Arial"/>
          <w:sz w:val="22"/>
          <w:szCs w:val="22"/>
        </w:rPr>
        <w:t>1</w:t>
      </w:r>
      <w:r w:rsidRPr="000E41BB">
        <w:rPr>
          <w:rFonts w:ascii="Arial" w:hAnsi="Arial" w:eastAsia="Calibri" w:cs="Arial"/>
          <w:sz w:val="21"/>
          <w:szCs w:val="21"/>
        </w:rPr>
        <w:t>/The RRB has been collecting the information on these forms since OMB approved the information    collection.  Based on a sampling done when the form was originally created, the office calculated the estimated time, which includes time for getting the needed data and reviewing the completed form.</w:t>
      </w:r>
    </w:p>
    <w:p w:rsidRPr="00850FB1" w:rsidR="002C5F3A" w:rsidP="005F0924" w:rsidRDefault="002C5F3A" w14:paraId="6F362CD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D27C36" w:rsidR="0031312E" w:rsidP="005F0924" w:rsidRDefault="0031312E" w14:paraId="0C63B26A" w14:textId="77777777">
      <w:pPr>
        <w:widowControl/>
        <w:tabs>
          <w:tab w:val="left" w:pos="540"/>
        </w:tabs>
        <w:autoSpaceDE/>
        <w:autoSpaceDN/>
        <w:adjustRightInd/>
        <w:ind w:left="3600"/>
        <w:jc w:val="both"/>
        <w:rPr>
          <w:rFonts w:ascii="Arial" w:hAnsi="Arial" w:cs="Arial"/>
          <w:sz w:val="22"/>
        </w:rPr>
      </w:pPr>
      <w:r w:rsidRPr="00850FB1">
        <w:rPr>
          <w:rFonts w:ascii="Arial" w:hAnsi="Arial" w:cs="Arial"/>
          <w:sz w:val="22"/>
        </w:rPr>
        <w:t xml:space="preserve">   </w:t>
      </w:r>
      <w:r w:rsidRPr="00D27C36">
        <w:rPr>
          <w:rFonts w:ascii="Arial" w:hAnsi="Arial" w:cs="Arial"/>
          <w:sz w:val="22"/>
          <w:u w:val="single"/>
        </w:rPr>
        <w:t>Responses</w:t>
      </w:r>
      <w:r w:rsidRPr="00D27C36">
        <w:rPr>
          <w:rFonts w:ascii="Arial" w:hAnsi="Arial" w:cs="Arial"/>
          <w:sz w:val="22"/>
        </w:rPr>
        <w:t xml:space="preserve">       </w:t>
      </w:r>
      <w:r w:rsidRPr="00D27C36">
        <w:rPr>
          <w:rFonts w:ascii="Arial" w:hAnsi="Arial" w:cs="Arial"/>
          <w:sz w:val="22"/>
        </w:rPr>
        <w:tab/>
      </w:r>
      <w:r w:rsidRPr="00D27C36" w:rsidR="00755197">
        <w:rPr>
          <w:rFonts w:ascii="Arial" w:hAnsi="Arial" w:cs="Arial"/>
          <w:sz w:val="22"/>
        </w:rPr>
        <w:tab/>
      </w:r>
      <w:r w:rsidRPr="00D27C36">
        <w:rPr>
          <w:rFonts w:ascii="Arial" w:hAnsi="Arial" w:cs="Arial"/>
          <w:sz w:val="22"/>
          <w:u w:val="single"/>
        </w:rPr>
        <w:t>Hours</w:t>
      </w:r>
    </w:p>
    <w:p w:rsidRPr="00D27C36" w:rsidR="0031312E" w:rsidP="006C17F3" w:rsidRDefault="00755197" w14:paraId="67C052DD" w14:textId="57EE4E2C">
      <w:pPr>
        <w:widowControl/>
        <w:tabs>
          <w:tab w:val="right" w:pos="4500"/>
          <w:tab w:val="right" w:pos="6210"/>
        </w:tabs>
        <w:autoSpaceDE/>
        <w:autoSpaceDN/>
        <w:adjustRightInd/>
        <w:ind w:left="1440"/>
        <w:jc w:val="both"/>
        <w:rPr>
          <w:rFonts w:ascii="Arial" w:hAnsi="Arial" w:cs="Arial"/>
          <w:sz w:val="22"/>
          <w:u w:val="single"/>
        </w:rPr>
      </w:pPr>
      <w:r w:rsidRPr="00D27C36">
        <w:rPr>
          <w:rFonts w:ascii="Arial" w:hAnsi="Arial" w:cs="Arial"/>
          <w:sz w:val="22"/>
        </w:rPr>
        <w:t xml:space="preserve"> </w:t>
      </w:r>
      <w:r w:rsidRPr="00B62DAB" w:rsidR="0031312E">
        <w:rPr>
          <w:rFonts w:ascii="Arial" w:hAnsi="Arial" w:cs="Arial"/>
          <w:sz w:val="22"/>
        </w:rPr>
        <w:t xml:space="preserve">Total burden change      </w:t>
      </w:r>
      <w:r w:rsidRPr="00B62DAB" w:rsidR="0031312E">
        <w:rPr>
          <w:rFonts w:ascii="Arial" w:hAnsi="Arial" w:cs="Arial"/>
          <w:sz w:val="22"/>
        </w:rPr>
        <w:tab/>
      </w:r>
      <w:r w:rsidRPr="000E41BB" w:rsidR="007332D8">
        <w:rPr>
          <w:rFonts w:ascii="Arial" w:hAnsi="Arial" w:cs="Arial"/>
          <w:sz w:val="22"/>
          <w:u w:val="single"/>
        </w:rPr>
        <w:t>-2</w:t>
      </w:r>
      <w:r w:rsidRPr="00D27C36" w:rsidR="0031312E">
        <w:rPr>
          <w:rFonts w:ascii="Arial" w:hAnsi="Arial" w:cs="Arial"/>
          <w:sz w:val="22"/>
        </w:rPr>
        <w:t xml:space="preserve">   </w:t>
      </w:r>
      <w:r w:rsidRPr="00D27C36" w:rsidR="0031312E">
        <w:rPr>
          <w:rFonts w:ascii="Arial" w:hAnsi="Arial" w:cs="Arial"/>
          <w:sz w:val="22"/>
        </w:rPr>
        <w:tab/>
      </w:r>
      <w:r w:rsidRPr="00D27C36">
        <w:rPr>
          <w:rFonts w:ascii="Arial" w:hAnsi="Arial" w:cs="Arial"/>
          <w:sz w:val="22"/>
        </w:rPr>
        <w:tab/>
        <w:t xml:space="preserve">   </w:t>
      </w:r>
      <w:r w:rsidRPr="000E41BB" w:rsidR="007332D8">
        <w:rPr>
          <w:rFonts w:ascii="Arial" w:hAnsi="Arial" w:cs="Arial"/>
          <w:sz w:val="22"/>
          <w:u w:val="single"/>
        </w:rPr>
        <w:t>0</w:t>
      </w:r>
    </w:p>
    <w:p w:rsidRPr="00850FB1" w:rsidR="0031312E" w:rsidP="006C17F3" w:rsidRDefault="00755197" w14:paraId="5837D7A1" w14:textId="7B4AC9FC">
      <w:pPr>
        <w:widowControl/>
        <w:tabs>
          <w:tab w:val="right" w:pos="4500"/>
          <w:tab w:val="right" w:pos="6210"/>
        </w:tabs>
        <w:autoSpaceDE/>
        <w:autoSpaceDN/>
        <w:adjustRightInd/>
        <w:ind w:left="1440"/>
        <w:jc w:val="both"/>
        <w:rPr>
          <w:rFonts w:ascii="Arial" w:hAnsi="Arial" w:cs="Arial"/>
          <w:sz w:val="22"/>
        </w:rPr>
      </w:pPr>
      <w:r w:rsidRPr="00D27C36">
        <w:rPr>
          <w:rFonts w:ascii="Arial" w:hAnsi="Arial" w:cs="Arial"/>
          <w:sz w:val="22"/>
        </w:rPr>
        <w:t xml:space="preserve"> </w:t>
      </w:r>
      <w:r w:rsidRPr="00D27C36" w:rsidR="007A5C92">
        <w:rPr>
          <w:rFonts w:ascii="Arial" w:hAnsi="Arial" w:cs="Arial"/>
          <w:sz w:val="22"/>
        </w:rPr>
        <w:t>Adjustment</w:t>
      </w:r>
      <w:r w:rsidRPr="00D27C36" w:rsidR="007A5C92">
        <w:rPr>
          <w:rFonts w:ascii="Arial" w:hAnsi="Arial" w:cs="Arial"/>
          <w:sz w:val="22"/>
        </w:rPr>
        <w:tab/>
      </w:r>
      <w:r w:rsidRPr="000E41BB" w:rsidR="007332D8">
        <w:rPr>
          <w:rFonts w:ascii="Arial" w:hAnsi="Arial" w:cs="Arial"/>
          <w:sz w:val="22"/>
        </w:rPr>
        <w:t>-2</w:t>
      </w:r>
      <w:r w:rsidRPr="00D27C36" w:rsidR="0031312E">
        <w:rPr>
          <w:rFonts w:ascii="Arial" w:hAnsi="Arial" w:cs="Arial"/>
          <w:sz w:val="22"/>
        </w:rPr>
        <w:t xml:space="preserve">   </w:t>
      </w:r>
      <w:r w:rsidRPr="00D27C36" w:rsidR="0031312E">
        <w:rPr>
          <w:rFonts w:ascii="Arial" w:hAnsi="Arial" w:cs="Arial"/>
          <w:sz w:val="22"/>
        </w:rPr>
        <w:tab/>
      </w:r>
      <w:r w:rsidRPr="00D27C36">
        <w:rPr>
          <w:rFonts w:ascii="Arial" w:hAnsi="Arial" w:cs="Arial"/>
          <w:sz w:val="22"/>
        </w:rPr>
        <w:tab/>
        <w:t xml:space="preserve">   </w:t>
      </w:r>
      <w:r w:rsidRPr="000E41BB" w:rsidR="007332D8">
        <w:rPr>
          <w:rFonts w:ascii="Arial" w:hAnsi="Arial" w:cs="Arial"/>
          <w:sz w:val="22"/>
        </w:rPr>
        <w:t>0</w:t>
      </w:r>
    </w:p>
    <w:p w:rsidRPr="00850FB1" w:rsidR="0031312E" w:rsidP="005F0924" w:rsidRDefault="0031312E" w14:paraId="7158122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5ABE4E9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13.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Estimated annual cost to respondents or record keepers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Pr="00850FB1" w:rsidR="00286974" w:rsidP="005F0924" w:rsidRDefault="00286974" w14:paraId="51DAF06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57461DB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850FB1">
        <w:rPr>
          <w:rFonts w:ascii="Arial" w:hAnsi="Arial" w:cs="Arial"/>
          <w:sz w:val="22"/>
          <w:szCs w:val="22"/>
        </w:rPr>
        <w:t>14.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Estimate of cost to Federal Government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Pr="00850FB1" w:rsidR="00286974" w:rsidP="005F0924" w:rsidRDefault="00286974" w14:paraId="37EF2EC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6DE269B3" w14:textId="76FBAD0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15.</w:t>
      </w:r>
      <w:r w:rsidRPr="00850FB1">
        <w:rPr>
          <w:rFonts w:ascii="Arial" w:hAnsi="Arial" w:cs="Arial"/>
          <w:sz w:val="22"/>
          <w:szCs w:val="22"/>
        </w:rPr>
        <w:tab/>
      </w:r>
      <w:r w:rsidRPr="00D27C36">
        <w:rPr>
          <w:rFonts w:ascii="Arial" w:hAnsi="Arial" w:cs="Arial"/>
          <w:sz w:val="22"/>
          <w:szCs w:val="22"/>
          <w:u w:val="single"/>
        </w:rPr>
        <w:t>Explanation for change in burden</w:t>
      </w:r>
      <w:r w:rsidRPr="00D27C36">
        <w:rPr>
          <w:rFonts w:ascii="Arial" w:hAnsi="Arial" w:cs="Arial"/>
          <w:sz w:val="22"/>
          <w:szCs w:val="22"/>
        </w:rPr>
        <w:t xml:space="preserve"> </w:t>
      </w:r>
      <w:r w:rsidRPr="00D27C36" w:rsidR="00E862B3">
        <w:rPr>
          <w:rFonts w:ascii="Arial" w:hAnsi="Arial" w:cs="Arial"/>
          <w:sz w:val="22"/>
          <w:szCs w:val="22"/>
        </w:rPr>
        <w:t>–</w:t>
      </w:r>
      <w:r w:rsidRPr="00D27C36">
        <w:rPr>
          <w:rFonts w:ascii="Arial" w:hAnsi="Arial" w:cs="Arial"/>
          <w:sz w:val="22"/>
          <w:szCs w:val="22"/>
        </w:rPr>
        <w:t xml:space="preserve"> </w:t>
      </w:r>
      <w:r w:rsidRPr="00755197" w:rsidR="00E862B3">
        <w:rPr>
          <w:rFonts w:ascii="Arial" w:hAnsi="Arial" w:cs="Arial"/>
          <w:sz w:val="22"/>
          <w:szCs w:val="22"/>
        </w:rPr>
        <w:t xml:space="preserve">Based on our most recent three-year record of responses received, </w:t>
      </w:r>
      <w:r w:rsidRPr="00755197" w:rsidR="0031312E">
        <w:rPr>
          <w:rFonts w:ascii="Arial" w:hAnsi="Arial" w:cs="Arial"/>
          <w:sz w:val="22"/>
          <w:szCs w:val="22"/>
        </w:rPr>
        <w:t xml:space="preserve">the estimated annual responses have decreased from </w:t>
      </w:r>
      <w:r w:rsidRPr="000E41BB" w:rsidR="007332D8">
        <w:rPr>
          <w:rFonts w:ascii="Arial" w:hAnsi="Arial" w:cs="Arial"/>
          <w:sz w:val="22"/>
          <w:szCs w:val="22"/>
        </w:rPr>
        <w:t>3</w:t>
      </w:r>
      <w:r w:rsidR="00D27C36">
        <w:rPr>
          <w:rFonts w:ascii="Arial" w:hAnsi="Arial" w:cs="Arial"/>
          <w:sz w:val="22"/>
          <w:szCs w:val="22"/>
        </w:rPr>
        <w:t>2</w:t>
      </w:r>
      <w:r w:rsidRPr="00D27C36" w:rsidR="00850FB1">
        <w:rPr>
          <w:rFonts w:ascii="Arial" w:hAnsi="Arial" w:cs="Arial"/>
          <w:sz w:val="22"/>
          <w:szCs w:val="22"/>
        </w:rPr>
        <w:t xml:space="preserve"> </w:t>
      </w:r>
      <w:r w:rsidRPr="00D27C36" w:rsidR="0031312E">
        <w:rPr>
          <w:rFonts w:ascii="Arial" w:hAnsi="Arial" w:cs="Arial"/>
          <w:sz w:val="22"/>
          <w:szCs w:val="22"/>
        </w:rPr>
        <w:t xml:space="preserve">to </w:t>
      </w:r>
      <w:r w:rsidRPr="000E41BB" w:rsidR="007332D8">
        <w:rPr>
          <w:rFonts w:ascii="Arial" w:hAnsi="Arial" w:cs="Arial"/>
          <w:sz w:val="22"/>
          <w:szCs w:val="22"/>
        </w:rPr>
        <w:t>30</w:t>
      </w:r>
      <w:r w:rsidRPr="00D27C36" w:rsidR="0031312E">
        <w:rPr>
          <w:rFonts w:ascii="Arial" w:hAnsi="Arial" w:cs="Arial"/>
          <w:sz w:val="22"/>
          <w:szCs w:val="22"/>
        </w:rPr>
        <w:t xml:space="preserve"> and </w:t>
      </w:r>
      <w:r w:rsidRPr="000E41BB" w:rsidR="007332D8">
        <w:rPr>
          <w:rFonts w:ascii="Arial" w:hAnsi="Arial" w:cs="Arial"/>
          <w:sz w:val="22"/>
          <w:szCs w:val="22"/>
        </w:rPr>
        <w:t xml:space="preserve">no </w:t>
      </w:r>
      <w:r w:rsidRPr="000E41BB" w:rsidR="007332D8">
        <w:rPr>
          <w:rFonts w:ascii="Arial" w:hAnsi="Arial" w:cs="Arial"/>
          <w:sz w:val="22"/>
          <w:szCs w:val="22"/>
        </w:rPr>
        <w:lastRenderedPageBreak/>
        <w:t>change to</w:t>
      </w:r>
      <w:r w:rsidRPr="00D27C36" w:rsidR="007332D8">
        <w:rPr>
          <w:rFonts w:ascii="Arial" w:hAnsi="Arial" w:cs="Arial"/>
          <w:sz w:val="22"/>
          <w:szCs w:val="22"/>
        </w:rPr>
        <w:t xml:space="preserve"> </w:t>
      </w:r>
      <w:r w:rsidRPr="00D27C36" w:rsidR="0031312E">
        <w:rPr>
          <w:rFonts w:ascii="Arial" w:hAnsi="Arial" w:cs="Arial"/>
          <w:sz w:val="22"/>
          <w:szCs w:val="22"/>
        </w:rPr>
        <w:t xml:space="preserve">the burden hours.  </w:t>
      </w:r>
      <w:r w:rsidRPr="00D27C36" w:rsidR="00E862B3">
        <w:rPr>
          <w:rFonts w:ascii="Arial" w:hAnsi="Arial" w:cs="Arial"/>
          <w:sz w:val="22"/>
          <w:szCs w:val="22"/>
        </w:rPr>
        <w:t xml:space="preserve">This decrease more accurately reflects the number of sickness claimants that </w:t>
      </w:r>
      <w:r w:rsidRPr="00D27C36" w:rsidR="00A0723A">
        <w:rPr>
          <w:rFonts w:ascii="Arial" w:hAnsi="Arial" w:cs="Arial"/>
          <w:sz w:val="22"/>
          <w:szCs w:val="22"/>
        </w:rPr>
        <w:t>are</w:t>
      </w:r>
      <w:r w:rsidRPr="00755197" w:rsidR="00E862B3">
        <w:rPr>
          <w:rFonts w:ascii="Arial" w:hAnsi="Arial" w:cs="Arial"/>
          <w:sz w:val="22"/>
          <w:szCs w:val="22"/>
        </w:rPr>
        <w:t xml:space="preserve"> unable to act on their own behalf.  We </w:t>
      </w:r>
      <w:r w:rsidRPr="00755197" w:rsidR="0031312E">
        <w:rPr>
          <w:rFonts w:ascii="Arial" w:hAnsi="Arial" w:cs="Arial"/>
          <w:sz w:val="22"/>
          <w:szCs w:val="22"/>
        </w:rPr>
        <w:t>have shown the decrease as an adjustment.</w:t>
      </w:r>
    </w:p>
    <w:p w:rsidRPr="00850FB1" w:rsidR="00E862B3" w:rsidP="005F0924" w:rsidRDefault="00E862B3" w14:paraId="21FDD6F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850FB1" w:rsidR="00286974" w:rsidP="005F0924" w:rsidRDefault="00286974" w14:paraId="222C7A9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16.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Time schedule for data collections and publications</w:t>
      </w:r>
      <w:r w:rsidRPr="00850FB1">
        <w:rPr>
          <w:rFonts w:ascii="Arial" w:hAnsi="Arial" w:cs="Arial"/>
          <w:sz w:val="22"/>
          <w:szCs w:val="22"/>
        </w:rPr>
        <w:t xml:space="preserve"> - The results of this collection will not be published.</w:t>
      </w:r>
    </w:p>
    <w:p w:rsidRPr="00850FB1" w:rsidR="00286974" w:rsidP="005F0924" w:rsidRDefault="00286974" w14:paraId="1F683A9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0E41BB" w:rsidR="002C5F3A" w:rsidP="002C5F3A" w:rsidRDefault="00286974" w14:paraId="7C9D7C9D" w14:textId="6501CD35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850FB1">
        <w:rPr>
          <w:rFonts w:ascii="Arial" w:hAnsi="Arial" w:cs="Arial"/>
          <w:sz w:val="22"/>
          <w:szCs w:val="22"/>
        </w:rPr>
        <w:t>17.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Request not to display OMB expiration date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0E41BB" w:rsidR="002C5F3A">
        <w:rPr>
          <w:rFonts w:ascii="Arial" w:hAnsi="Arial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0E41BB" w:rsidR="002C5F3A">
        <w:rPr>
          <w:rFonts w:ascii="Arial" w:hAnsi="Arial" w:cs="Arial"/>
          <w:sz w:val="22"/>
          <w:szCs w:val="22"/>
          <w:vertAlign w:val="superscript"/>
        </w:rPr>
        <w:t>st</w:t>
      </w:r>
      <w:r w:rsidRPr="000E41BB" w:rsidR="002C5F3A">
        <w:rPr>
          <w:rFonts w:ascii="Arial" w:hAnsi="Arial" w:cs="Arial"/>
          <w:sz w:val="22"/>
          <w:szCs w:val="22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dates.  We provided OMB with a consolidated project timeline. </w:t>
      </w:r>
    </w:p>
    <w:p w:rsidRPr="000E41BB" w:rsidR="002C5F3A" w:rsidP="002C5F3A" w:rsidRDefault="002C5F3A" w14:paraId="40C27C3C" w14:textId="77777777">
      <w:pPr>
        <w:tabs>
          <w:tab w:val="left" w:pos="-144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Pr="000E41BB" w:rsidR="002C5F3A" w:rsidP="002C5F3A" w:rsidRDefault="002C5F3A" w14:paraId="0024E48A" w14:textId="77777777">
      <w:pPr>
        <w:tabs>
          <w:tab w:val="left" w:pos="-1440"/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0E41BB">
        <w:rPr>
          <w:rFonts w:ascii="Arial" w:hAnsi="Arial" w:cs="Arial"/>
          <w:sz w:val="22"/>
          <w:szCs w:val="22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0E41BB">
        <w:rPr>
          <w:rFonts w:ascii="Arial" w:hAnsi="Arial" w:cs="Arial"/>
          <w:b/>
          <w:sz w:val="22"/>
          <w:szCs w:val="22"/>
        </w:rPr>
        <w:t xml:space="preserve"> </w:t>
      </w:r>
      <w:r w:rsidRPr="000E41BB">
        <w:rPr>
          <w:rFonts w:ascii="Arial" w:hAnsi="Arial" w:cs="Arial"/>
          <w:b/>
          <w:sz w:val="22"/>
          <w:szCs w:val="22"/>
          <w:u w:val="single"/>
        </w:rPr>
        <w:t>the RRB requests the authority to not display the expiration date on the forms</w:t>
      </w:r>
      <w:r w:rsidRPr="000E41BB">
        <w:rPr>
          <w:rFonts w:ascii="Arial" w:hAnsi="Arial" w:cs="Arial"/>
          <w:sz w:val="22"/>
          <w:szCs w:val="22"/>
        </w:rPr>
        <w:t>.</w:t>
      </w:r>
    </w:p>
    <w:p w:rsidRPr="00850FB1" w:rsidR="00286974" w:rsidP="005F0924" w:rsidRDefault="00286974" w14:paraId="5FC4958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</w:p>
    <w:p w:rsidRPr="00715E5F" w:rsidR="00286974" w:rsidP="005F0924" w:rsidRDefault="00286974" w14:paraId="13A9D69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18.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Exceptions to Certification Statement</w:t>
      </w:r>
      <w:r w:rsidRPr="00850FB1" w:rsidR="0031312E">
        <w:rPr>
          <w:rFonts w:ascii="Arial" w:hAnsi="Arial" w:cs="Arial"/>
          <w:sz w:val="22"/>
          <w:szCs w:val="22"/>
        </w:rPr>
        <w:t xml:space="preserve"> -</w:t>
      </w:r>
      <w:r w:rsidRPr="00850FB1">
        <w:rPr>
          <w:rFonts w:ascii="Arial" w:hAnsi="Arial" w:cs="Arial"/>
          <w:sz w:val="22"/>
          <w:szCs w:val="22"/>
        </w:rPr>
        <w:t xml:space="preserve"> None.</w:t>
      </w:r>
    </w:p>
    <w:sectPr w:rsidRPr="00715E5F" w:rsidR="00286974" w:rsidSect="00987666">
      <w:headerReference w:type="default" r:id="rId15"/>
      <w:footerReference w:type="default" r:id="rId16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4A4C" w14:textId="77777777" w:rsidR="005329CB" w:rsidRDefault="005329CB">
      <w:r>
        <w:separator/>
      </w:r>
    </w:p>
  </w:endnote>
  <w:endnote w:type="continuationSeparator" w:id="0">
    <w:p w14:paraId="334827EE" w14:textId="77777777" w:rsidR="005329CB" w:rsidRDefault="0053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C709" w14:textId="77777777" w:rsidR="006F30D2" w:rsidRDefault="006F30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453DA" w14:textId="77777777" w:rsidR="006F30D2" w:rsidRDefault="006F3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6CB7" w14:textId="77777777" w:rsidR="002C29C7" w:rsidRDefault="002C2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C7E3" w14:textId="77777777" w:rsidR="002C29C7" w:rsidRDefault="002C29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C7E4" w14:textId="77777777" w:rsidR="006F30D2" w:rsidRDefault="006F30D2">
    <w:pPr>
      <w:spacing w:line="240" w:lineRule="exact"/>
    </w:pPr>
  </w:p>
  <w:p w14:paraId="24FF4122" w14:textId="65829E00" w:rsidR="006F30D2" w:rsidRPr="00987666" w:rsidRDefault="006F30D2">
    <w:pPr>
      <w:framePr w:w="9361" w:wrap="notBeside" w:vAnchor="text" w:hAnchor="text" w:x="1" w:y="1"/>
      <w:jc w:val="center"/>
      <w:rPr>
        <w:rFonts w:ascii="Arial" w:hAnsi="Arial" w:cs="Arial"/>
        <w:sz w:val="22"/>
        <w:szCs w:val="22"/>
      </w:rPr>
    </w:pPr>
    <w:r w:rsidRPr="00987666">
      <w:rPr>
        <w:rFonts w:ascii="Arial" w:hAnsi="Arial" w:cs="Arial"/>
        <w:sz w:val="22"/>
        <w:szCs w:val="22"/>
      </w:rPr>
      <w:sym w:font="Symbol" w:char="F02D"/>
    </w:r>
    <w:r w:rsidRPr="00987666">
      <w:rPr>
        <w:rFonts w:ascii="Arial" w:hAnsi="Arial" w:cs="Arial"/>
        <w:sz w:val="22"/>
        <w:szCs w:val="22"/>
      </w:rPr>
      <w:fldChar w:fldCharType="begin"/>
    </w:r>
    <w:r w:rsidRPr="00987666">
      <w:rPr>
        <w:rFonts w:ascii="Arial" w:hAnsi="Arial" w:cs="Arial"/>
        <w:sz w:val="22"/>
        <w:szCs w:val="22"/>
      </w:rPr>
      <w:instrText xml:space="preserve">PAGE </w:instrText>
    </w:r>
    <w:r w:rsidRPr="00987666">
      <w:rPr>
        <w:rFonts w:ascii="Arial" w:hAnsi="Arial" w:cs="Arial"/>
        <w:sz w:val="22"/>
        <w:szCs w:val="22"/>
      </w:rPr>
      <w:fldChar w:fldCharType="separate"/>
    </w:r>
    <w:r w:rsidR="00932224">
      <w:rPr>
        <w:rFonts w:ascii="Arial" w:hAnsi="Arial" w:cs="Arial"/>
        <w:noProof/>
        <w:sz w:val="22"/>
        <w:szCs w:val="22"/>
      </w:rPr>
      <w:t>3</w:t>
    </w:r>
    <w:r w:rsidRPr="00987666">
      <w:rPr>
        <w:rFonts w:ascii="Arial" w:hAnsi="Arial" w:cs="Arial"/>
        <w:sz w:val="22"/>
        <w:szCs w:val="22"/>
      </w:rPr>
      <w:fldChar w:fldCharType="end"/>
    </w:r>
    <w:r w:rsidRPr="00987666">
      <w:rPr>
        <w:rFonts w:ascii="Arial" w:hAnsi="Arial" w:cs="Arial"/>
        <w:sz w:val="22"/>
        <w:szCs w:val="22"/>
      </w:rPr>
      <w:sym w:font="Symbol" w:char="F02D"/>
    </w:r>
  </w:p>
  <w:p w14:paraId="6F727DE1" w14:textId="77777777" w:rsidR="006F30D2" w:rsidRDefault="006F3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0FC98" w14:textId="77777777" w:rsidR="005329CB" w:rsidRDefault="005329CB">
      <w:r>
        <w:separator/>
      </w:r>
    </w:p>
  </w:footnote>
  <w:footnote w:type="continuationSeparator" w:id="0">
    <w:p w14:paraId="2689AF80" w14:textId="77777777" w:rsidR="005329CB" w:rsidRDefault="0053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FC9B" w14:textId="77777777" w:rsidR="002C29C7" w:rsidRDefault="002C2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C49DC" w14:textId="77777777" w:rsidR="006F30D2" w:rsidRPr="00987666" w:rsidRDefault="006F30D2" w:rsidP="00715E5F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987666">
      <w:rPr>
        <w:rFonts w:ascii="Arial" w:hAnsi="Arial" w:cs="Arial"/>
        <w:sz w:val="22"/>
        <w:szCs w:val="22"/>
      </w:rPr>
      <w:t>OMB NO. 3220-0034</w:t>
    </w:r>
  </w:p>
  <w:p w14:paraId="2B1A575D" w14:textId="77777777" w:rsidR="006F30D2" w:rsidRPr="000311FB" w:rsidRDefault="006F30D2">
    <w:pPr>
      <w:tabs>
        <w:tab w:val="right" w:pos="9360"/>
      </w:tabs>
      <w:rPr>
        <w:rFonts w:ascii="Arial" w:hAnsi="Arial" w:cs="Arial"/>
      </w:rPr>
    </w:pPr>
  </w:p>
  <w:p w14:paraId="2C96477B" w14:textId="77777777" w:rsidR="006F30D2" w:rsidRPr="000311FB" w:rsidRDefault="006F30D2">
    <w:pPr>
      <w:tabs>
        <w:tab w:val="right" w:pos="936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4C34" w14:textId="77777777" w:rsidR="002C29C7" w:rsidRDefault="002C29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0988" w14:textId="77777777" w:rsidR="006F30D2" w:rsidRPr="00987666" w:rsidRDefault="006F30D2" w:rsidP="00715E5F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987666">
      <w:rPr>
        <w:rFonts w:ascii="Arial" w:hAnsi="Arial" w:cs="Arial"/>
        <w:sz w:val="22"/>
        <w:szCs w:val="22"/>
      </w:rPr>
      <w:t>OMB NO. 3220-0034</w:t>
    </w:r>
  </w:p>
  <w:p w14:paraId="7C4F5815" w14:textId="77777777" w:rsidR="006F30D2" w:rsidRPr="004A2699" w:rsidRDefault="006F30D2" w:rsidP="00715E5F">
    <w:pPr>
      <w:rPr>
        <w:rFonts w:ascii="Arial" w:hAnsi="Arial" w:cs="Arial"/>
      </w:rPr>
    </w:pPr>
  </w:p>
  <w:p w14:paraId="0AF307E1" w14:textId="77777777" w:rsidR="006F30D2" w:rsidRDefault="006F30D2">
    <w:pPr>
      <w:spacing w:line="240" w:lineRule="exact"/>
      <w:rPr>
        <w:rFonts w:ascii="CG Times" w:hAnsi="CG Times" w:cs="CG 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765D2"/>
    <w:multiLevelType w:val="hybridMultilevel"/>
    <w:tmpl w:val="0A4A2B3E"/>
    <w:lvl w:ilvl="0" w:tplc="56488D62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31"/>
    <w:rsid w:val="000311FB"/>
    <w:rsid w:val="00066414"/>
    <w:rsid w:val="000E41BB"/>
    <w:rsid w:val="00107531"/>
    <w:rsid w:val="001223DE"/>
    <w:rsid w:val="0016445C"/>
    <w:rsid w:val="00225429"/>
    <w:rsid w:val="00286974"/>
    <w:rsid w:val="002B5FE3"/>
    <w:rsid w:val="002B70EC"/>
    <w:rsid w:val="002C29C7"/>
    <w:rsid w:val="002C5F3A"/>
    <w:rsid w:val="002E3499"/>
    <w:rsid w:val="0031312E"/>
    <w:rsid w:val="003D36C2"/>
    <w:rsid w:val="00440826"/>
    <w:rsid w:val="00470EB2"/>
    <w:rsid w:val="00476D2D"/>
    <w:rsid w:val="004A2699"/>
    <w:rsid w:val="004A2A7D"/>
    <w:rsid w:val="005329CB"/>
    <w:rsid w:val="005436EE"/>
    <w:rsid w:val="00550AB3"/>
    <w:rsid w:val="005F0924"/>
    <w:rsid w:val="00600106"/>
    <w:rsid w:val="00603CC3"/>
    <w:rsid w:val="00636D0F"/>
    <w:rsid w:val="006B7AEF"/>
    <w:rsid w:val="006C17F3"/>
    <w:rsid w:val="006F30D2"/>
    <w:rsid w:val="006F4B52"/>
    <w:rsid w:val="00715E5F"/>
    <w:rsid w:val="0072591C"/>
    <w:rsid w:val="007332D8"/>
    <w:rsid w:val="0074212B"/>
    <w:rsid w:val="00751333"/>
    <w:rsid w:val="00755197"/>
    <w:rsid w:val="00755738"/>
    <w:rsid w:val="0076430D"/>
    <w:rsid w:val="007A5C92"/>
    <w:rsid w:val="007D2349"/>
    <w:rsid w:val="007F5CB0"/>
    <w:rsid w:val="00826700"/>
    <w:rsid w:val="0082698A"/>
    <w:rsid w:val="00830C96"/>
    <w:rsid w:val="0083463C"/>
    <w:rsid w:val="00850FB1"/>
    <w:rsid w:val="00864FBD"/>
    <w:rsid w:val="00890E0B"/>
    <w:rsid w:val="008B10EB"/>
    <w:rsid w:val="008D1EF8"/>
    <w:rsid w:val="008D75A2"/>
    <w:rsid w:val="008F72AC"/>
    <w:rsid w:val="009279B0"/>
    <w:rsid w:val="00932224"/>
    <w:rsid w:val="00985F2D"/>
    <w:rsid w:val="00987666"/>
    <w:rsid w:val="00A0723A"/>
    <w:rsid w:val="00A83665"/>
    <w:rsid w:val="00AC68E2"/>
    <w:rsid w:val="00B168F0"/>
    <w:rsid w:val="00B30334"/>
    <w:rsid w:val="00B62DAB"/>
    <w:rsid w:val="00B77DA2"/>
    <w:rsid w:val="00BA49E8"/>
    <w:rsid w:val="00BB1831"/>
    <w:rsid w:val="00BE5F60"/>
    <w:rsid w:val="00BE74E6"/>
    <w:rsid w:val="00C47012"/>
    <w:rsid w:val="00C57468"/>
    <w:rsid w:val="00C57BE5"/>
    <w:rsid w:val="00C6145E"/>
    <w:rsid w:val="00CF665D"/>
    <w:rsid w:val="00D20CAA"/>
    <w:rsid w:val="00D27C36"/>
    <w:rsid w:val="00DA5201"/>
    <w:rsid w:val="00DB782F"/>
    <w:rsid w:val="00E73C97"/>
    <w:rsid w:val="00E862B3"/>
    <w:rsid w:val="00ED3A6C"/>
    <w:rsid w:val="00F22B6F"/>
    <w:rsid w:val="00F96E47"/>
    <w:rsid w:val="00FA185E"/>
    <w:rsid w:val="00FA2CBA"/>
    <w:rsid w:val="00FB3B43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E3C005B"/>
  <w15:chartTrackingRefBased/>
  <w15:docId w15:val="{3168D395-CF5C-4FF8-B683-F67CEF1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985F2D"/>
    <w:rPr>
      <w:color w:val="0000FF"/>
      <w:u w:val="single"/>
    </w:rPr>
  </w:style>
  <w:style w:type="character" w:styleId="FollowedHyperlink">
    <w:name w:val="FollowedHyperlink"/>
    <w:rsid w:val="00850FB1"/>
    <w:rPr>
      <w:color w:val="954F72"/>
      <w:u w:val="single"/>
    </w:rPr>
  </w:style>
  <w:style w:type="character" w:styleId="CommentReference">
    <w:name w:val="annotation reference"/>
    <w:basedOn w:val="DefaultParagraphFont"/>
    <w:rsid w:val="00D27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7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C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D2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C36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66414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rrb.gov/sites/default/files/2017-06/PIA-BP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9CDD-FE61-465F-AC74-033A19BB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5012</Characters>
  <Application>Microsoft Office Word</Application>
  <DocSecurity>0</DocSecurity>
  <Lines>128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5967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</dc:creator>
  <cp:keywords/>
  <cp:lastModifiedBy>Tucker, Kennisha</cp:lastModifiedBy>
  <cp:revision>4</cp:revision>
  <cp:lastPrinted>2017-10-13T21:26:00Z</cp:lastPrinted>
  <dcterms:created xsi:type="dcterms:W3CDTF">2020-12-10T17:54:00Z</dcterms:created>
  <dcterms:modified xsi:type="dcterms:W3CDTF">2020-12-10T17:54:00Z</dcterms:modified>
</cp:coreProperties>
</file>