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29C" w:rsidRDefault="00DC329C">
      <w:pPr>
        <w:pStyle w:val="Heading3"/>
        <w:jc w:val="center"/>
      </w:pPr>
      <w:bookmarkStart w:name="_GoBack" w:id="0"/>
      <w:bookmarkEnd w:id="0"/>
      <w:r>
        <w:t>Department of Commerce</w:t>
      </w:r>
    </w:p>
    <w:p w:rsidR="00DC329C" w:rsidRDefault="00DC329C">
      <w:pPr>
        <w:pStyle w:val="Heading4"/>
      </w:pPr>
      <w:r>
        <w:t>U.S. Census Bureau</w:t>
      </w:r>
    </w:p>
    <w:p w:rsidRPr="009E0B92" w:rsidR="009E0B92" w:rsidP="009E0B92" w:rsidRDefault="009E0B92">
      <w:pPr>
        <w:pStyle w:val="Heading4"/>
      </w:pPr>
      <w:r>
        <w:t>OMB Information Collection Request</w:t>
      </w:r>
    </w:p>
    <w:p w:rsidR="00DC329C" w:rsidRDefault="00DC329C">
      <w:pPr>
        <w:jc w:val="center"/>
        <w:rPr>
          <w:b/>
          <w:color w:val="000000"/>
          <w:sz w:val="24"/>
        </w:rPr>
      </w:pPr>
      <w:r>
        <w:rPr>
          <w:b/>
          <w:color w:val="000000"/>
          <w:sz w:val="24"/>
        </w:rPr>
        <w:t>Survey of Residential Building or Zoning Permit Systems (C-411)</w:t>
      </w:r>
    </w:p>
    <w:p w:rsidR="00DC329C" w:rsidRDefault="00DC329C">
      <w:pPr>
        <w:jc w:val="center"/>
        <w:rPr>
          <w:b/>
          <w:sz w:val="24"/>
        </w:rPr>
      </w:pPr>
      <w:r>
        <w:rPr>
          <w:b/>
          <w:sz w:val="24"/>
        </w:rPr>
        <w:t>OMB Control No. 0607-0350</w:t>
      </w:r>
    </w:p>
    <w:p w:rsidR="00DC329C" w:rsidRDefault="00DC329C">
      <w:pPr>
        <w:jc w:val="center"/>
        <w:rPr>
          <w:b/>
          <w:sz w:val="24"/>
          <w:szCs w:val="24"/>
        </w:rPr>
      </w:pPr>
    </w:p>
    <w:p w:rsidR="00DC329C" w:rsidRDefault="00DC329C">
      <w:pPr>
        <w:tabs>
          <w:tab w:val="left" w:pos="720"/>
        </w:tabs>
        <w:ind w:left="720" w:hanging="720"/>
        <w:jc w:val="center"/>
        <w:rPr>
          <w:b/>
          <w:sz w:val="24"/>
          <w:szCs w:val="24"/>
        </w:rPr>
      </w:pPr>
    </w:p>
    <w:p w:rsidR="00DC329C" w:rsidRDefault="00DC329C">
      <w:pPr>
        <w:tabs>
          <w:tab w:val="left" w:pos="720"/>
        </w:tabs>
        <w:ind w:left="720" w:hanging="720"/>
        <w:rPr>
          <w:b/>
          <w:sz w:val="24"/>
          <w:szCs w:val="24"/>
        </w:rPr>
      </w:pPr>
      <w:r>
        <w:rPr>
          <w:b/>
          <w:sz w:val="24"/>
          <w:szCs w:val="24"/>
        </w:rPr>
        <w:t>A.</w:t>
      </w:r>
      <w:r>
        <w:rPr>
          <w:b/>
          <w:sz w:val="24"/>
          <w:szCs w:val="24"/>
        </w:rPr>
        <w:tab/>
      </w:r>
      <w:r>
        <w:rPr>
          <w:b/>
          <w:sz w:val="24"/>
          <w:szCs w:val="24"/>
          <w:u w:val="single"/>
        </w:rPr>
        <w:t>Justification</w:t>
      </w:r>
    </w:p>
    <w:p w:rsidR="00DC329C" w:rsidRDefault="00DC329C">
      <w:pPr>
        <w:tabs>
          <w:tab w:val="left" w:pos="720"/>
        </w:tabs>
        <w:ind w:left="720" w:hanging="720"/>
        <w:rPr>
          <w:b/>
          <w:bCs/>
          <w:sz w:val="24"/>
          <w:szCs w:val="24"/>
        </w:rPr>
      </w:pPr>
    </w:p>
    <w:p w:rsidR="00DC329C" w:rsidRDefault="00DC329C">
      <w:pPr>
        <w:tabs>
          <w:tab w:val="left" w:pos="720"/>
          <w:tab w:val="left" w:pos="1440"/>
        </w:tabs>
        <w:ind w:left="1440" w:hanging="720"/>
        <w:rPr>
          <w:b/>
          <w:bCs/>
          <w:sz w:val="24"/>
          <w:szCs w:val="24"/>
        </w:rPr>
      </w:pPr>
      <w:r>
        <w:rPr>
          <w:b/>
          <w:bCs/>
          <w:sz w:val="24"/>
          <w:szCs w:val="24"/>
        </w:rPr>
        <w:t>1.</w:t>
      </w:r>
      <w:r>
        <w:rPr>
          <w:b/>
          <w:bCs/>
          <w:sz w:val="24"/>
          <w:szCs w:val="24"/>
        </w:rPr>
        <w:tab/>
      </w:r>
      <w:r>
        <w:rPr>
          <w:b/>
          <w:bCs/>
          <w:sz w:val="24"/>
          <w:szCs w:val="24"/>
          <w:u w:val="single"/>
        </w:rPr>
        <w:t>Necessity of the Information Collection</w:t>
      </w:r>
    </w:p>
    <w:p w:rsidR="00DC329C" w:rsidRDefault="00DC329C">
      <w:pPr>
        <w:pStyle w:val="BodyTextIndent"/>
      </w:pPr>
    </w:p>
    <w:p w:rsidR="00DC329C" w:rsidRDefault="00DC329C">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U.S. Census Bureau is requesting a</w:t>
      </w:r>
      <w:r w:rsidR="00051325">
        <w:rPr>
          <w:sz w:val="24"/>
          <w:szCs w:val="24"/>
        </w:rPr>
        <w:t>n extension</w:t>
      </w:r>
      <w:r w:rsidR="00717CE1">
        <w:rPr>
          <w:sz w:val="24"/>
          <w:szCs w:val="24"/>
        </w:rPr>
        <w:t xml:space="preserve"> </w:t>
      </w:r>
      <w:r>
        <w:rPr>
          <w:sz w:val="24"/>
          <w:szCs w:val="24"/>
        </w:rPr>
        <w:t>of a currently approved collection for Form C-411, “Survey of Residential Building or Zoning Permit Systems.”  The Census Bureau is authorized under Title 13, Un</w:t>
      </w:r>
      <w:r w:rsidR="00C43FE1">
        <w:rPr>
          <w:sz w:val="24"/>
          <w:szCs w:val="24"/>
        </w:rPr>
        <w:t>ited States Code, Sections</w:t>
      </w:r>
      <w:r w:rsidR="000121D3">
        <w:rPr>
          <w:sz w:val="24"/>
          <w:szCs w:val="24"/>
        </w:rPr>
        <w:t xml:space="preserve"> 13</w:t>
      </w:r>
      <w:r>
        <w:rPr>
          <w:sz w:val="24"/>
          <w:szCs w:val="24"/>
        </w:rPr>
        <w:t>1, and 182 to collect information on new residential buildings</w:t>
      </w:r>
      <w:r w:rsidR="00491371">
        <w:rPr>
          <w:sz w:val="24"/>
          <w:szCs w:val="24"/>
        </w:rPr>
        <w:t xml:space="preserve"> (Attachment E).</w:t>
      </w:r>
    </w:p>
    <w:p w:rsidR="00DC329C" w:rsidRDefault="00DC329C">
      <w:pPr>
        <w:rPr>
          <w:sz w:val="24"/>
          <w:szCs w:val="24"/>
        </w:rPr>
      </w:pPr>
    </w:p>
    <w:p w:rsidR="00DC329C" w:rsidRDefault="00DC329C">
      <w:pPr>
        <w:ind w:left="1440"/>
        <w:rPr>
          <w:sz w:val="24"/>
          <w:szCs w:val="24"/>
        </w:rPr>
      </w:pPr>
      <w:r>
        <w:rPr>
          <w:sz w:val="24"/>
          <w:szCs w:val="24"/>
        </w:rPr>
        <w:t xml:space="preserve">The Census Bureau produces statistics used to monitor activity in the large and dynamic construction industry.  These statistics help state and local governments and the federal government, as well as private industry, to analyze this important sector of the economy.  The accuracy of the Census Bureau statistics regarding the amount of construction authorized depends on data supplied by building and zoning officials throughout the country.  The Census Bureau uses Form C-411 to obtain information from state and local building permit officials needed for updating the universe of permit-issuing places which serves as the sampling frame for the Report of Privately-Owned Residential Building or Zoning Permits Issued (OMB number 0607-0094), also known as the Building Permits Survey (BPS), and the Survey of Housing Starts, Sales, and Completions (OMB number 0607-0110), also known as Survey of Construction (SOC). </w:t>
      </w:r>
      <w:r w:rsidR="000A7335">
        <w:rPr>
          <w:sz w:val="24"/>
          <w:szCs w:val="24"/>
        </w:rPr>
        <w:t xml:space="preserve"> </w:t>
      </w:r>
      <w:r>
        <w:rPr>
          <w:sz w:val="24"/>
          <w:szCs w:val="24"/>
        </w:rPr>
        <w:t xml:space="preserve">These two sample surveys provide widely used measures of construction activity, including the </w:t>
      </w:r>
      <w:r w:rsidR="003F4B9D">
        <w:rPr>
          <w:sz w:val="24"/>
          <w:szCs w:val="24"/>
        </w:rPr>
        <w:t xml:space="preserve">principal </w:t>
      </w:r>
      <w:r>
        <w:rPr>
          <w:sz w:val="24"/>
          <w:szCs w:val="24"/>
        </w:rPr>
        <w:t>economic indicators</w:t>
      </w:r>
      <w:r w:rsidR="003F4BCA">
        <w:rPr>
          <w:sz w:val="24"/>
          <w:szCs w:val="24"/>
        </w:rPr>
        <w:t>,</w:t>
      </w:r>
      <w:r>
        <w:rPr>
          <w:sz w:val="24"/>
          <w:szCs w:val="24"/>
        </w:rPr>
        <w:t xml:space="preserve"> New Residential Construction and New Home Sales.  Data from the BPS and SOC are also used </w:t>
      </w:r>
      <w:r w:rsidR="000A7335">
        <w:rPr>
          <w:sz w:val="24"/>
          <w:szCs w:val="24"/>
        </w:rPr>
        <w:t xml:space="preserve">by the Bureau of Economic Analysis (BEA) </w:t>
      </w:r>
      <w:r>
        <w:rPr>
          <w:sz w:val="24"/>
          <w:szCs w:val="24"/>
        </w:rPr>
        <w:t xml:space="preserve">in the calculation of estimates of </w:t>
      </w:r>
      <w:r w:rsidR="000A7335">
        <w:rPr>
          <w:sz w:val="24"/>
          <w:szCs w:val="24"/>
        </w:rPr>
        <w:t xml:space="preserve">the </w:t>
      </w:r>
      <w:r>
        <w:rPr>
          <w:sz w:val="24"/>
          <w:szCs w:val="24"/>
        </w:rPr>
        <w:t xml:space="preserve">Residential Fixed Investment </w:t>
      </w:r>
      <w:r w:rsidR="000A7335">
        <w:rPr>
          <w:sz w:val="24"/>
          <w:szCs w:val="24"/>
        </w:rPr>
        <w:t xml:space="preserve">portion of the </w:t>
      </w:r>
      <w:r>
        <w:rPr>
          <w:sz w:val="24"/>
          <w:szCs w:val="24"/>
        </w:rPr>
        <w:t>Nation’s Gross Domestic Product (GDP).  In addition, data from the BPS are used by the Census Bureau in the calculation of annual population estimates; these estimates are widely used by government agencies to allocate funding and other resources to local governments.</w:t>
      </w:r>
    </w:p>
    <w:p w:rsidR="00DC329C" w:rsidRDefault="00DC329C">
      <w:pPr>
        <w:ind w:left="1440"/>
        <w:rPr>
          <w:sz w:val="24"/>
          <w:szCs w:val="24"/>
        </w:rPr>
      </w:pPr>
    </w:p>
    <w:p w:rsidR="003F2A22" w:rsidP="00860452" w:rsidRDefault="00DC329C">
      <w:pPr>
        <w:ind w:left="1440"/>
        <w:rPr>
          <w:sz w:val="24"/>
          <w:szCs w:val="24"/>
        </w:rPr>
      </w:pPr>
      <w:r>
        <w:rPr>
          <w:sz w:val="24"/>
          <w:szCs w:val="24"/>
        </w:rPr>
        <w:t>The questions on Form C-411 pertain to the legal requirements for issuing building or zoning permits in the local jurisdictions.  Information is obtained on such items as geographic coverage and types of construction for which permits are issued.</w:t>
      </w:r>
      <w:r w:rsidR="00321586">
        <w:rPr>
          <w:sz w:val="24"/>
          <w:szCs w:val="24"/>
        </w:rPr>
        <w:t xml:space="preserve">  </w:t>
      </w:r>
    </w:p>
    <w:p w:rsidR="001A2BE9" w:rsidP="00860452" w:rsidRDefault="001A2BE9">
      <w:pPr>
        <w:ind w:left="1440"/>
        <w:rPr>
          <w:sz w:val="24"/>
          <w:szCs w:val="24"/>
        </w:rPr>
      </w:pPr>
    </w:p>
    <w:p w:rsidR="001A2BE9" w:rsidP="00860452" w:rsidRDefault="001A2BE9">
      <w:pPr>
        <w:ind w:left="1440"/>
        <w:rPr>
          <w:sz w:val="24"/>
          <w:szCs w:val="24"/>
        </w:rPr>
      </w:pPr>
      <w:r>
        <w:rPr>
          <w:sz w:val="24"/>
          <w:szCs w:val="24"/>
        </w:rPr>
        <w:t>We do not plan any changes to the information we collect on the</w:t>
      </w:r>
      <w:r w:rsidR="00583E64">
        <w:rPr>
          <w:sz w:val="24"/>
          <w:szCs w:val="24"/>
        </w:rPr>
        <w:t xml:space="preserve"> C-411</w:t>
      </w:r>
      <w:r w:rsidR="00DC0EA0">
        <w:rPr>
          <w:sz w:val="24"/>
          <w:szCs w:val="24"/>
        </w:rPr>
        <w:t xml:space="preserve"> </w:t>
      </w:r>
      <w:r>
        <w:rPr>
          <w:sz w:val="24"/>
          <w:szCs w:val="24"/>
        </w:rPr>
        <w:t>forms.</w:t>
      </w:r>
      <w:r w:rsidR="00583E64">
        <w:rPr>
          <w:sz w:val="24"/>
          <w:szCs w:val="24"/>
        </w:rPr>
        <w:t xml:space="preserve">  The three variations of the</w:t>
      </w:r>
      <w:r w:rsidR="00175452">
        <w:rPr>
          <w:sz w:val="24"/>
          <w:szCs w:val="24"/>
        </w:rPr>
        <w:t xml:space="preserve"> C-411 form</w:t>
      </w:r>
      <w:r w:rsidR="00583E64">
        <w:rPr>
          <w:sz w:val="24"/>
          <w:szCs w:val="24"/>
        </w:rPr>
        <w:t xml:space="preserve"> can be found in Attachments A-C.</w:t>
      </w:r>
    </w:p>
    <w:p w:rsidR="003F2A22" w:rsidP="00860452" w:rsidRDefault="003F2A22">
      <w:pPr>
        <w:ind w:left="1440"/>
        <w:rPr>
          <w:sz w:val="24"/>
          <w:szCs w:val="24"/>
        </w:rPr>
      </w:pPr>
    </w:p>
    <w:p w:rsidR="003E0334" w:rsidP="00860452" w:rsidRDefault="003E0334">
      <w:pPr>
        <w:ind w:left="1440"/>
        <w:rPr>
          <w:sz w:val="24"/>
          <w:szCs w:val="24"/>
        </w:rPr>
      </w:pPr>
    </w:p>
    <w:p w:rsidR="00DC329C" w:rsidRDefault="00DC329C">
      <w:pPr>
        <w:tabs>
          <w:tab w:val="left" w:pos="720"/>
          <w:tab w:val="left" w:pos="1440"/>
        </w:tabs>
        <w:ind w:left="1440" w:hanging="720"/>
        <w:rPr>
          <w:b/>
          <w:bCs/>
          <w:sz w:val="24"/>
          <w:szCs w:val="24"/>
        </w:rPr>
      </w:pPr>
      <w:r>
        <w:rPr>
          <w:b/>
          <w:bCs/>
          <w:sz w:val="24"/>
          <w:szCs w:val="24"/>
        </w:rPr>
        <w:t>2.</w:t>
      </w:r>
      <w:r>
        <w:rPr>
          <w:b/>
          <w:bCs/>
          <w:sz w:val="24"/>
          <w:szCs w:val="24"/>
        </w:rPr>
        <w:tab/>
      </w:r>
      <w:r>
        <w:rPr>
          <w:b/>
          <w:bCs/>
          <w:sz w:val="24"/>
          <w:szCs w:val="24"/>
          <w:u w:val="single"/>
        </w:rPr>
        <w:t>Needs and Uses</w:t>
      </w:r>
    </w:p>
    <w:p w:rsidR="00DC329C" w:rsidRDefault="00DC329C">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8022D5" w:rsidP="003F4B9D" w:rsidRDefault="00DC329C">
      <w:pPr>
        <w:pStyle w:val="BodyTextIndent"/>
      </w:pPr>
      <w:r>
        <w:t xml:space="preserve">The </w:t>
      </w:r>
      <w:r w:rsidR="003F4B9D">
        <w:t xml:space="preserve">appropriate </w:t>
      </w:r>
      <w:r>
        <w:t xml:space="preserve">form is sent to </w:t>
      </w:r>
      <w:r w:rsidR="003F4B9D">
        <w:t xml:space="preserve">a </w:t>
      </w:r>
      <w:r>
        <w:t xml:space="preserve">jurisdiction when the </w:t>
      </w:r>
      <w:r w:rsidR="007D0859">
        <w:t>Census Bureau</w:t>
      </w:r>
      <w:r>
        <w:t xml:space="preserve"> has reason to believe that a new permit system has been established or an existing one has changed.  This is based on information from a variety of sources including survey respondents, regional councils and </w:t>
      </w:r>
      <w:r w:rsidRPr="00626C82" w:rsidR="00861115">
        <w:t>the Census Bureau’s</w:t>
      </w:r>
      <w:r w:rsidR="003D2B94">
        <w:t xml:space="preserve"> Geography Division</w:t>
      </w:r>
      <w:r w:rsidR="003F4BCA">
        <w:t>,</w:t>
      </w:r>
      <w:r w:rsidR="003D2B94">
        <w:t xml:space="preserve"> </w:t>
      </w:r>
      <w:r w:rsidRPr="00626C82">
        <w:t>which keeps abreast of changes in</w:t>
      </w:r>
      <w:r>
        <w:t xml:space="preserve"> corporate status.  </w:t>
      </w:r>
      <w:r w:rsidR="008022D5">
        <w:t>We anticipate approximately a 50% response rate to the mailed C-411 forms, which is supplemented with existing known information from the C-404 monthly and annual collection, individual follow-ups with jurisdictions by email or phone, and publicly available information to maintain coverage for the universe of permit issuing places.  We anticipate having accurate and up to date coverage for the universe for over 85% of jurisdictions as a result of these combined operations.</w:t>
      </w:r>
    </w:p>
    <w:p w:rsidR="003F4B9D" w:rsidP="003F4B9D" w:rsidRDefault="008022D5">
      <w:pPr>
        <w:pStyle w:val="BodyTextIndent"/>
        <w:rPr>
          <w:lang w:val="en-CA"/>
        </w:rPr>
      </w:pPr>
      <w:r>
        <w:tab/>
      </w:r>
      <w:r w:rsidR="003F4B9D">
        <w:rPr>
          <w:lang w:val="en-CA"/>
        </w:rPr>
        <w:t xml:space="preserve"> </w:t>
      </w:r>
    </w:p>
    <w:p w:rsidR="00DC329C" w:rsidRDefault="00DC329C">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We use the information to verify the existence of new permit systems or changes to existing systems.  Based on the information, the </w:t>
      </w:r>
      <w:r w:rsidR="00D972AC">
        <w:rPr>
          <w:sz w:val="24"/>
          <w:szCs w:val="24"/>
        </w:rPr>
        <w:t>Census Bureau</w:t>
      </w:r>
      <w:r>
        <w:rPr>
          <w:sz w:val="24"/>
          <w:szCs w:val="24"/>
        </w:rPr>
        <w:t xml:space="preserve"> adds new permit-issuing places to the universe, deletes places no longer issuing permits, and makes changes to the universe to reflect those places that have merged.</w:t>
      </w:r>
    </w:p>
    <w:p w:rsidR="003F4B9D" w:rsidP="003F4B9D" w:rsidRDefault="00DC329C">
      <w:pPr>
        <w:pStyle w:val="BodyTextIndent"/>
      </w:pPr>
      <w:r>
        <w:tab/>
      </w:r>
      <w:r>
        <w:tab/>
      </w:r>
    </w:p>
    <w:p w:rsidR="003F4B9D" w:rsidP="003F4B9D" w:rsidRDefault="003F4B9D">
      <w:pPr>
        <w:pStyle w:val="BodyTextIndent"/>
      </w:pPr>
      <w:r>
        <w:t xml:space="preserve">Failure to maintain the universe of permit-issuing places would result in deficient samples and inaccurate statistics.  This in turn jeopardizes the accuracy of the </w:t>
      </w:r>
      <w:r w:rsidR="00512051">
        <w:t>above-mentioned</w:t>
      </w:r>
      <w:r>
        <w:t xml:space="preserve"> economic indicators.  These indicators are closely monitored by the Board of Governors of the Federal Reserve System and other economic policy makers because of the sensitivity of the housing industry to changes in interest rates.</w:t>
      </w:r>
    </w:p>
    <w:p w:rsidR="00DC329C" w:rsidRDefault="00DC329C">
      <w:pPr>
        <w:rPr>
          <w:sz w:val="24"/>
          <w:szCs w:val="24"/>
        </w:rPr>
      </w:pPr>
    </w:p>
    <w:p w:rsidR="00DC329C" w:rsidRDefault="00DC329C">
      <w:pPr>
        <w:pStyle w:val="BodyTextIndent"/>
      </w:pPr>
      <w: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DC329C" w:rsidRDefault="00DC329C">
      <w:pPr>
        <w:rPr>
          <w:sz w:val="24"/>
          <w:szCs w:val="24"/>
        </w:rPr>
      </w:pPr>
    </w:p>
    <w:p w:rsidR="00DC329C" w:rsidRDefault="00DC329C">
      <w:pPr>
        <w:tabs>
          <w:tab w:val="left" w:pos="720"/>
          <w:tab w:val="left" w:pos="1440"/>
        </w:tabs>
        <w:ind w:left="1440" w:hanging="1440"/>
        <w:rPr>
          <w:b/>
          <w:bCs/>
          <w:sz w:val="24"/>
          <w:szCs w:val="24"/>
        </w:rPr>
      </w:pPr>
      <w:r>
        <w:rPr>
          <w:b/>
          <w:bCs/>
          <w:sz w:val="24"/>
          <w:szCs w:val="24"/>
        </w:rPr>
        <w:tab/>
        <w:t>3.</w:t>
      </w:r>
      <w:r>
        <w:rPr>
          <w:b/>
          <w:bCs/>
          <w:sz w:val="24"/>
          <w:szCs w:val="24"/>
        </w:rPr>
        <w:tab/>
      </w:r>
      <w:r w:rsidRPr="00A47BA2">
        <w:rPr>
          <w:b/>
          <w:bCs/>
          <w:sz w:val="24"/>
          <w:szCs w:val="24"/>
          <w:u w:val="single"/>
        </w:rPr>
        <w:t>Use of Information Technology</w:t>
      </w:r>
    </w:p>
    <w:p w:rsidR="00DC329C" w:rsidRDefault="00DC329C">
      <w:pPr>
        <w:rPr>
          <w:sz w:val="24"/>
          <w:szCs w:val="24"/>
        </w:rPr>
      </w:pPr>
    </w:p>
    <w:p w:rsidR="00DC329C" w:rsidRDefault="00C043A9">
      <w:pPr>
        <w:ind w:left="1440"/>
        <w:rPr>
          <w:sz w:val="24"/>
          <w:szCs w:val="24"/>
        </w:rPr>
      </w:pPr>
      <w:r w:rsidRPr="00F319C6">
        <w:rPr>
          <w:sz w:val="24"/>
          <w:szCs w:val="24"/>
        </w:rPr>
        <w:fldChar w:fldCharType="begin"/>
      </w:r>
      <w:r w:rsidRPr="00F319C6">
        <w:rPr>
          <w:sz w:val="24"/>
          <w:szCs w:val="24"/>
        </w:rPr>
        <w:instrText xml:space="preserve"> SEQ CHAPTER \h \r 1</w:instrText>
      </w:r>
      <w:r w:rsidRPr="00F319C6">
        <w:rPr>
          <w:sz w:val="24"/>
          <w:szCs w:val="24"/>
        </w:rPr>
        <w:fldChar w:fldCharType="end"/>
      </w:r>
      <w:r w:rsidRPr="00F319C6">
        <w:rPr>
          <w:sz w:val="24"/>
          <w:szCs w:val="24"/>
        </w:rPr>
        <w:t xml:space="preserve">The current system does </w:t>
      </w:r>
      <w:r>
        <w:rPr>
          <w:sz w:val="24"/>
          <w:szCs w:val="24"/>
        </w:rPr>
        <w:t xml:space="preserve">not </w:t>
      </w:r>
      <w:r w:rsidRPr="00F319C6">
        <w:rPr>
          <w:sz w:val="24"/>
          <w:szCs w:val="24"/>
        </w:rPr>
        <w:t xml:space="preserve">support electronic data collection for this </w:t>
      </w:r>
      <w:proofErr w:type="gramStart"/>
      <w:r w:rsidRPr="00F319C6">
        <w:rPr>
          <w:sz w:val="24"/>
          <w:szCs w:val="24"/>
        </w:rPr>
        <w:t>survey</w:t>
      </w:r>
      <w:r w:rsidR="00C12982">
        <w:rPr>
          <w:sz w:val="24"/>
          <w:szCs w:val="24"/>
        </w:rPr>
        <w:t>,</w:t>
      </w:r>
      <w:proofErr w:type="gramEnd"/>
      <w:r w:rsidR="00C12982">
        <w:rPr>
          <w:sz w:val="24"/>
          <w:szCs w:val="24"/>
        </w:rPr>
        <w:t xml:space="preserve"> however, the Census Bureau is considering adding this collection to the standard online collection instrument (Centurion) </w:t>
      </w:r>
      <w:r w:rsidR="00BA28E1">
        <w:rPr>
          <w:sz w:val="24"/>
          <w:szCs w:val="24"/>
        </w:rPr>
        <w:t>for the 2022 mailing</w:t>
      </w:r>
      <w:r w:rsidRPr="00F319C6">
        <w:rPr>
          <w:sz w:val="24"/>
          <w:szCs w:val="24"/>
        </w:rPr>
        <w:t>.</w:t>
      </w:r>
      <w:r w:rsidRPr="00860452">
        <w:rPr>
          <w:sz w:val="24"/>
          <w:szCs w:val="24"/>
        </w:rPr>
        <w:t xml:space="preserve"> </w:t>
      </w:r>
      <w:r w:rsidR="006F3D7A">
        <w:rPr>
          <w:sz w:val="24"/>
          <w:szCs w:val="24"/>
        </w:rPr>
        <w:t xml:space="preserve"> This form is </w:t>
      </w:r>
      <w:r w:rsidR="00630860">
        <w:rPr>
          <w:sz w:val="24"/>
          <w:szCs w:val="24"/>
        </w:rPr>
        <w:t xml:space="preserve">mailed </w:t>
      </w:r>
      <w:r w:rsidRPr="00860452" w:rsidR="00630860">
        <w:rPr>
          <w:sz w:val="24"/>
          <w:szCs w:val="24"/>
        </w:rPr>
        <w:t xml:space="preserve">to </w:t>
      </w:r>
      <w:r w:rsidR="00630860">
        <w:rPr>
          <w:sz w:val="24"/>
          <w:szCs w:val="24"/>
        </w:rPr>
        <w:t xml:space="preserve">active local governments </w:t>
      </w:r>
      <w:r w:rsidR="009462FD">
        <w:rPr>
          <w:sz w:val="24"/>
          <w:szCs w:val="24"/>
        </w:rPr>
        <w:t>to verify their permit-issuance status</w:t>
      </w:r>
      <w:r w:rsidR="00630860">
        <w:rPr>
          <w:sz w:val="24"/>
          <w:szCs w:val="24"/>
        </w:rPr>
        <w:t xml:space="preserve">.  </w:t>
      </w:r>
      <w:r w:rsidR="00B3080D">
        <w:rPr>
          <w:sz w:val="24"/>
          <w:szCs w:val="24"/>
        </w:rPr>
        <w:t>Additionally, t</w:t>
      </w:r>
      <w:r w:rsidR="00630860">
        <w:rPr>
          <w:sz w:val="24"/>
          <w:szCs w:val="24"/>
        </w:rPr>
        <w:t xml:space="preserve">he form </w:t>
      </w:r>
      <w:r w:rsidRPr="00860452" w:rsidR="00630860">
        <w:rPr>
          <w:sz w:val="24"/>
          <w:szCs w:val="24"/>
        </w:rPr>
        <w:t>requ</w:t>
      </w:r>
      <w:r w:rsidR="00630860">
        <w:rPr>
          <w:sz w:val="24"/>
          <w:szCs w:val="24"/>
        </w:rPr>
        <w:t>ests the permit jurisdiction’s website and the email address of the contact person to allow further follow-up electronically.</w:t>
      </w:r>
      <w:r w:rsidR="00BA28E1">
        <w:rPr>
          <w:sz w:val="24"/>
          <w:szCs w:val="24"/>
        </w:rPr>
        <w:t xml:space="preserve"> </w:t>
      </w:r>
      <w:r w:rsidR="00630860">
        <w:rPr>
          <w:sz w:val="24"/>
          <w:szCs w:val="24"/>
        </w:rPr>
        <w:t xml:space="preserve"> </w:t>
      </w:r>
      <w:r w:rsidR="00C47C4A">
        <w:rPr>
          <w:sz w:val="24"/>
          <w:szCs w:val="24"/>
        </w:rPr>
        <w:t>Sample survey forms and the cover letter</w:t>
      </w:r>
      <w:r w:rsidR="007A2C39">
        <w:rPr>
          <w:sz w:val="24"/>
          <w:szCs w:val="24"/>
        </w:rPr>
        <w:t xml:space="preserve"> are available on </w:t>
      </w:r>
      <w:r w:rsidR="00C47C4A">
        <w:rPr>
          <w:sz w:val="24"/>
          <w:szCs w:val="24"/>
        </w:rPr>
        <w:t>the Census Bureau Internet site, and can be found in Attachments A-D.</w:t>
      </w:r>
    </w:p>
    <w:p w:rsidR="00076B52" w:rsidRDefault="00076B52">
      <w:pPr>
        <w:ind w:left="1440"/>
        <w:rPr>
          <w:sz w:val="24"/>
          <w:szCs w:val="24"/>
        </w:rPr>
      </w:pPr>
    </w:p>
    <w:p w:rsidR="00076B52" w:rsidRDefault="00076B52">
      <w:pPr>
        <w:ind w:left="1440"/>
        <w:rPr>
          <w:sz w:val="24"/>
          <w:szCs w:val="24"/>
        </w:rPr>
      </w:pPr>
    </w:p>
    <w:p w:rsidR="00DC329C" w:rsidRDefault="00DC329C">
      <w:pPr>
        <w:ind w:left="1440"/>
        <w:rPr>
          <w:b/>
          <w:bCs/>
          <w:sz w:val="24"/>
          <w:szCs w:val="24"/>
        </w:rPr>
      </w:pPr>
    </w:p>
    <w:p w:rsidR="00DC329C" w:rsidRDefault="00DC329C">
      <w:pPr>
        <w:numPr>
          <w:ilvl w:val="0"/>
          <w:numId w:val="5"/>
        </w:numPr>
        <w:tabs>
          <w:tab w:val="left" w:pos="720"/>
        </w:tabs>
        <w:rPr>
          <w:b/>
          <w:bCs/>
          <w:sz w:val="24"/>
          <w:szCs w:val="24"/>
          <w:u w:val="single"/>
        </w:rPr>
      </w:pPr>
      <w:r>
        <w:rPr>
          <w:b/>
          <w:bCs/>
          <w:sz w:val="24"/>
          <w:szCs w:val="24"/>
          <w:u w:val="single"/>
        </w:rPr>
        <w:lastRenderedPageBreak/>
        <w:t>Efforts to Identify Duplication</w:t>
      </w:r>
    </w:p>
    <w:p w:rsidR="00DC329C" w:rsidRDefault="00DC329C">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szCs w:val="24"/>
        </w:rPr>
      </w:pPr>
    </w:p>
    <w:p w:rsidR="00DC329C" w:rsidRDefault="00DC329C">
      <w:pPr>
        <w:ind w:left="1440"/>
        <w:rPr>
          <w:sz w:val="24"/>
        </w:rPr>
      </w:pPr>
      <w:r>
        <w:rPr>
          <w:sz w:val="24"/>
          <w:szCs w:val="24"/>
        </w:rPr>
        <w:t>Some duplication exists between the Form C-411 and the</w:t>
      </w:r>
      <w:r>
        <w:rPr>
          <w:sz w:val="24"/>
        </w:rPr>
        <w:t xml:space="preserve"> Survey of Construction Questionnaire for the Building Permit Official (SOC-QBPO; OMB Control No. 0607-0125).  The questions related to geographic coverage of the permit jurisdiction on Form C-411 are </w:t>
      </w:r>
      <w:proofErr w:type="gramStart"/>
      <w:r>
        <w:rPr>
          <w:sz w:val="24"/>
        </w:rPr>
        <w:t>similar to</w:t>
      </w:r>
      <w:proofErr w:type="gramEnd"/>
      <w:r>
        <w:rPr>
          <w:sz w:val="24"/>
        </w:rPr>
        <w:t xml:space="preserve"> questions in the SOC-QBPO interview.  The SOC-QBPO interview is administered annually to </w:t>
      </w:r>
      <w:r w:rsidRPr="00871C0A">
        <w:rPr>
          <w:sz w:val="24"/>
        </w:rPr>
        <w:t xml:space="preserve">the </w:t>
      </w:r>
      <w:r w:rsidR="00BA28E1">
        <w:rPr>
          <w:sz w:val="24"/>
        </w:rPr>
        <w:t>950</w:t>
      </w:r>
      <w:r w:rsidRPr="00871C0A" w:rsidR="00871C0A">
        <w:rPr>
          <w:sz w:val="24"/>
        </w:rPr>
        <w:t xml:space="preserve"> </w:t>
      </w:r>
      <w:r w:rsidRPr="00871C0A">
        <w:rPr>
          <w:sz w:val="24"/>
        </w:rPr>
        <w:t>building permit offices that have been sampled for the Survey of Construction</w:t>
      </w:r>
      <w:r>
        <w:rPr>
          <w:sz w:val="24"/>
        </w:rPr>
        <w:t xml:space="preserve">.  Form C-411 is needed to update the coverage of the remaining </w:t>
      </w:r>
      <w:r w:rsidRPr="00871C0A">
        <w:rPr>
          <w:sz w:val="24"/>
        </w:rPr>
        <w:t>19,0</w:t>
      </w:r>
      <w:r w:rsidR="00BA28E1">
        <w:rPr>
          <w:sz w:val="24"/>
        </w:rPr>
        <w:t>5</w:t>
      </w:r>
      <w:r w:rsidRPr="00871C0A">
        <w:rPr>
          <w:sz w:val="24"/>
        </w:rPr>
        <w:t>0</w:t>
      </w:r>
      <w:r>
        <w:rPr>
          <w:sz w:val="24"/>
        </w:rPr>
        <w:t xml:space="preserve"> permit jurisdictions which have not been sampled for SOC.  Also, if the SOC-QBPO interview indicates that permit coverage has changed, this information is used to update the survey universes so that the jurisdiction is not also required to complete Form C-411.</w:t>
      </w:r>
    </w:p>
    <w:p w:rsidR="00DC329C" w:rsidRDefault="00DC329C">
      <w:pPr>
        <w:ind w:left="1440"/>
        <w:rPr>
          <w:sz w:val="24"/>
        </w:rPr>
      </w:pPr>
    </w:p>
    <w:p w:rsidR="00DC329C" w:rsidRDefault="00DC329C">
      <w:pPr>
        <w:tabs>
          <w:tab w:val="left" w:pos="720"/>
          <w:tab w:val="left" w:pos="1440"/>
        </w:tabs>
        <w:ind w:left="1440" w:hanging="720"/>
        <w:rPr>
          <w:b/>
          <w:bCs/>
          <w:sz w:val="24"/>
          <w:szCs w:val="24"/>
        </w:rPr>
      </w:pPr>
      <w:r>
        <w:rPr>
          <w:b/>
          <w:bCs/>
          <w:sz w:val="24"/>
          <w:szCs w:val="24"/>
        </w:rPr>
        <w:t>5.</w:t>
      </w:r>
      <w:r>
        <w:rPr>
          <w:b/>
          <w:bCs/>
          <w:sz w:val="24"/>
          <w:szCs w:val="24"/>
        </w:rPr>
        <w:tab/>
      </w:r>
      <w:r>
        <w:rPr>
          <w:b/>
          <w:bCs/>
          <w:sz w:val="24"/>
          <w:szCs w:val="24"/>
          <w:u w:val="single"/>
        </w:rPr>
        <w:t>Minimizing Burden</w:t>
      </w:r>
    </w:p>
    <w:p w:rsidR="00DC329C" w:rsidRDefault="00DC329C">
      <w:pPr>
        <w:rPr>
          <w:sz w:val="24"/>
          <w:szCs w:val="24"/>
        </w:rPr>
      </w:pPr>
    </w:p>
    <w:p w:rsidR="00DC329C" w:rsidRDefault="00DC329C">
      <w:pPr>
        <w:ind w:left="1440"/>
        <w:rPr>
          <w:sz w:val="24"/>
          <w:szCs w:val="24"/>
        </w:rPr>
      </w:pPr>
      <w:r>
        <w:rPr>
          <w:sz w:val="24"/>
          <w:szCs w:val="24"/>
        </w:rPr>
        <w:t xml:space="preserve">The C-411 is used to learn about changes to existing permit-issuing jurisdictions, identify new permit-issuing jurisdictions, and to verify geographic coverage.  Response burden to individual respondents is minimal because Form C-411 is typically used only once every </w:t>
      </w:r>
      <w:r w:rsidR="00BA28E1">
        <w:rPr>
          <w:sz w:val="24"/>
          <w:szCs w:val="24"/>
        </w:rPr>
        <w:t xml:space="preserve">five </w:t>
      </w:r>
      <w:r w:rsidR="00A61DD4">
        <w:rPr>
          <w:sz w:val="24"/>
          <w:szCs w:val="24"/>
        </w:rPr>
        <w:t>y</w:t>
      </w:r>
      <w:r>
        <w:rPr>
          <w:sz w:val="24"/>
          <w:szCs w:val="24"/>
        </w:rPr>
        <w:t xml:space="preserve">ears or when we have reason to believe that the building permit system for a jurisdiction has changed. </w:t>
      </w:r>
    </w:p>
    <w:p w:rsidR="00DC329C" w:rsidRDefault="00DC329C">
      <w:pPr>
        <w:tabs>
          <w:tab w:val="left" w:pos="720"/>
          <w:tab w:val="left" w:pos="1440"/>
        </w:tabs>
        <w:ind w:left="1440" w:hanging="720"/>
        <w:rPr>
          <w:b/>
          <w:bCs/>
          <w:sz w:val="24"/>
          <w:szCs w:val="24"/>
        </w:rPr>
      </w:pPr>
    </w:p>
    <w:p w:rsidR="00DC329C" w:rsidRDefault="00DC329C">
      <w:pPr>
        <w:tabs>
          <w:tab w:val="left" w:pos="720"/>
          <w:tab w:val="left" w:pos="1440"/>
        </w:tabs>
        <w:ind w:left="1440" w:hanging="720"/>
        <w:rPr>
          <w:b/>
          <w:bCs/>
          <w:sz w:val="24"/>
          <w:szCs w:val="24"/>
        </w:rPr>
      </w:pPr>
      <w:r>
        <w:rPr>
          <w:b/>
          <w:bCs/>
          <w:sz w:val="24"/>
          <w:szCs w:val="24"/>
        </w:rPr>
        <w:t>6.</w:t>
      </w:r>
      <w:r>
        <w:rPr>
          <w:b/>
          <w:bCs/>
          <w:sz w:val="24"/>
          <w:szCs w:val="24"/>
        </w:rPr>
        <w:tab/>
      </w:r>
      <w:r>
        <w:rPr>
          <w:b/>
          <w:bCs/>
          <w:sz w:val="24"/>
          <w:szCs w:val="24"/>
          <w:u w:val="single"/>
        </w:rPr>
        <w:t>Consequences of Less Frequent Collection</w:t>
      </w:r>
    </w:p>
    <w:p w:rsidR="00DC329C" w:rsidRDefault="00DC329C">
      <w:pPr>
        <w:rPr>
          <w:sz w:val="24"/>
          <w:szCs w:val="24"/>
        </w:rPr>
      </w:pPr>
    </w:p>
    <w:p w:rsidR="00DC329C" w:rsidRDefault="00DC329C">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If we collected these data less frequently, we could not maintain an up-to-date sampling frame of permit-issuing places.  Failure to maintain the universe would result in deficient samples and inaccurate statistics.  This in turn jeopardizes the accuracy of the economic indicators</w:t>
      </w:r>
      <w:r w:rsidR="0030141B">
        <w:rPr>
          <w:sz w:val="24"/>
          <w:szCs w:val="24"/>
        </w:rPr>
        <w:t>:</w:t>
      </w:r>
      <w:r>
        <w:rPr>
          <w:sz w:val="24"/>
          <w:szCs w:val="24"/>
        </w:rPr>
        <w:t xml:space="preserve"> New Residential Construction and New Home Sales.  </w:t>
      </w:r>
      <w:r w:rsidR="0030141B">
        <w:rPr>
          <w:sz w:val="24"/>
          <w:szCs w:val="24"/>
        </w:rPr>
        <w:t>As previously mentioned, t</w:t>
      </w:r>
      <w:r>
        <w:rPr>
          <w:sz w:val="24"/>
          <w:szCs w:val="24"/>
        </w:rPr>
        <w:t>hese indicators are closely monitored by the Board of Governors of the Federal Reserve System and other economic policy makers because of the sensitivity of the housing industry to changes in interest rates.</w:t>
      </w:r>
    </w:p>
    <w:p w:rsidR="00DC329C" w:rsidRDefault="00DC329C">
      <w:pPr>
        <w:rPr>
          <w:sz w:val="24"/>
          <w:szCs w:val="24"/>
        </w:rPr>
      </w:pPr>
    </w:p>
    <w:p w:rsidR="00DC329C" w:rsidRDefault="00DC329C">
      <w:pPr>
        <w:tabs>
          <w:tab w:val="left" w:pos="720"/>
          <w:tab w:val="left" w:pos="1440"/>
        </w:tabs>
        <w:ind w:left="1440" w:hanging="720"/>
        <w:rPr>
          <w:b/>
          <w:bCs/>
          <w:sz w:val="24"/>
          <w:szCs w:val="24"/>
        </w:rPr>
      </w:pPr>
      <w:r>
        <w:rPr>
          <w:b/>
          <w:bCs/>
          <w:sz w:val="24"/>
          <w:szCs w:val="24"/>
        </w:rPr>
        <w:t>7.</w:t>
      </w:r>
      <w:r>
        <w:rPr>
          <w:b/>
          <w:bCs/>
          <w:sz w:val="24"/>
          <w:szCs w:val="24"/>
        </w:rPr>
        <w:tab/>
      </w:r>
      <w:r>
        <w:rPr>
          <w:b/>
          <w:bCs/>
          <w:sz w:val="24"/>
          <w:szCs w:val="24"/>
          <w:u w:val="single"/>
        </w:rPr>
        <w:t>Special Circumstances</w:t>
      </w:r>
    </w:p>
    <w:p w:rsidR="00DC329C" w:rsidRDefault="00DC329C">
      <w:pPr>
        <w:rPr>
          <w:sz w:val="24"/>
          <w:szCs w:val="24"/>
        </w:rPr>
      </w:pPr>
    </w:p>
    <w:p w:rsidR="00DC329C" w:rsidRDefault="00DC329C">
      <w:pPr>
        <w:ind w:left="1440"/>
        <w:rPr>
          <w:sz w:val="24"/>
          <w:szCs w:val="24"/>
        </w:rPr>
      </w:pPr>
      <w:r>
        <w:rPr>
          <w:sz w:val="24"/>
          <w:szCs w:val="24"/>
        </w:rPr>
        <w:t>The collection of these data is consistent with the Office of Management and Budget (OMB) guidelines.</w:t>
      </w:r>
    </w:p>
    <w:p w:rsidR="00DC329C" w:rsidRDefault="00DC329C">
      <w:pPr>
        <w:rPr>
          <w:sz w:val="24"/>
          <w:szCs w:val="24"/>
        </w:rPr>
      </w:pPr>
    </w:p>
    <w:p w:rsidR="00DC329C" w:rsidRDefault="00DC329C">
      <w:pPr>
        <w:numPr>
          <w:ilvl w:val="0"/>
          <w:numId w:val="8"/>
        </w:numPr>
        <w:tabs>
          <w:tab w:val="left" w:pos="720"/>
        </w:tabs>
        <w:rPr>
          <w:b/>
          <w:bCs/>
          <w:sz w:val="24"/>
          <w:szCs w:val="24"/>
          <w:u w:val="single"/>
        </w:rPr>
      </w:pPr>
      <w:r>
        <w:rPr>
          <w:b/>
          <w:bCs/>
          <w:sz w:val="24"/>
          <w:szCs w:val="24"/>
          <w:u w:val="single"/>
        </w:rPr>
        <w:t>Consultations Outside the Agency</w:t>
      </w:r>
    </w:p>
    <w:p w:rsidR="00DC329C" w:rsidRDefault="00DC329C">
      <w:pPr>
        <w:ind w:left="2160"/>
      </w:pPr>
    </w:p>
    <w:p w:rsidR="00B12071" w:rsidP="00F52870" w:rsidRDefault="00DC329C">
      <w:pPr>
        <w:ind w:left="1440"/>
        <w:rPr>
          <w:sz w:val="24"/>
          <w:szCs w:val="24"/>
        </w:rPr>
      </w:pPr>
      <w:r w:rsidRPr="00DC329C">
        <w:rPr>
          <w:sz w:val="24"/>
          <w:szCs w:val="24"/>
          <w:lang w:val="en-CA"/>
        </w:rPr>
        <w:fldChar w:fldCharType="begin"/>
      </w:r>
      <w:r w:rsidRPr="00DC329C">
        <w:rPr>
          <w:sz w:val="24"/>
          <w:szCs w:val="24"/>
          <w:lang w:val="en-CA"/>
        </w:rPr>
        <w:instrText xml:space="preserve"> SEQ CHAPTER \h \r 1</w:instrText>
      </w:r>
      <w:r w:rsidRPr="00DC329C">
        <w:rPr>
          <w:sz w:val="24"/>
          <w:szCs w:val="24"/>
          <w:lang w:val="en-CA"/>
        </w:rPr>
        <w:fldChar w:fldCharType="end"/>
      </w:r>
      <w:r w:rsidRPr="00DC329C">
        <w:rPr>
          <w:sz w:val="24"/>
          <w:szCs w:val="24"/>
        </w:rPr>
        <w:t xml:space="preserve">We published a notice in the </w:t>
      </w:r>
      <w:r w:rsidRPr="00DC329C">
        <w:rPr>
          <w:sz w:val="24"/>
          <w:szCs w:val="24"/>
          <w:u w:val="single"/>
        </w:rPr>
        <w:t>Federal Register</w:t>
      </w:r>
      <w:r w:rsidR="0070350A">
        <w:rPr>
          <w:sz w:val="24"/>
          <w:szCs w:val="24"/>
        </w:rPr>
        <w:t xml:space="preserve"> (Vol. </w:t>
      </w:r>
      <w:r w:rsidR="00C358D4">
        <w:rPr>
          <w:sz w:val="24"/>
          <w:szCs w:val="24"/>
        </w:rPr>
        <w:t>85</w:t>
      </w:r>
      <w:r w:rsidRPr="00DC329C">
        <w:rPr>
          <w:sz w:val="24"/>
          <w:szCs w:val="24"/>
        </w:rPr>
        <w:t xml:space="preserve">, No. </w:t>
      </w:r>
      <w:r w:rsidR="0070350A">
        <w:rPr>
          <w:sz w:val="24"/>
          <w:szCs w:val="24"/>
        </w:rPr>
        <w:t>2</w:t>
      </w:r>
      <w:r w:rsidR="00C358D4">
        <w:rPr>
          <w:sz w:val="24"/>
          <w:szCs w:val="24"/>
        </w:rPr>
        <w:t>17</w:t>
      </w:r>
      <w:r w:rsidRPr="00DC329C">
        <w:rPr>
          <w:sz w:val="24"/>
          <w:szCs w:val="24"/>
        </w:rPr>
        <w:t xml:space="preserve">, Page </w:t>
      </w:r>
      <w:r w:rsidR="00C358D4">
        <w:rPr>
          <w:sz w:val="24"/>
          <w:szCs w:val="24"/>
        </w:rPr>
        <w:t>71305</w:t>
      </w:r>
      <w:r w:rsidRPr="00DC329C">
        <w:rPr>
          <w:sz w:val="24"/>
          <w:szCs w:val="24"/>
        </w:rPr>
        <w:t xml:space="preserve">) on </w:t>
      </w:r>
      <w:r w:rsidRPr="00965321" w:rsidR="00C358D4">
        <w:rPr>
          <w:sz w:val="24"/>
          <w:szCs w:val="24"/>
        </w:rPr>
        <w:t>November 9</w:t>
      </w:r>
      <w:r w:rsidRPr="00965321" w:rsidR="0070350A">
        <w:rPr>
          <w:sz w:val="24"/>
          <w:szCs w:val="24"/>
        </w:rPr>
        <w:t>, 20</w:t>
      </w:r>
      <w:r w:rsidRPr="00965321" w:rsidR="00C358D4">
        <w:rPr>
          <w:sz w:val="24"/>
          <w:szCs w:val="24"/>
        </w:rPr>
        <w:t>20</w:t>
      </w:r>
      <w:r w:rsidRPr="00965321">
        <w:rPr>
          <w:sz w:val="24"/>
          <w:szCs w:val="24"/>
        </w:rPr>
        <w:t>, inviting public comments on our plans to submit this request.</w:t>
      </w:r>
      <w:r w:rsidRPr="00965321" w:rsidR="00014863">
        <w:rPr>
          <w:sz w:val="24"/>
          <w:szCs w:val="24"/>
        </w:rPr>
        <w:t xml:space="preserve">  </w:t>
      </w:r>
      <w:r w:rsidRPr="00965321" w:rsidR="00B12071">
        <w:rPr>
          <w:sz w:val="24"/>
          <w:szCs w:val="24"/>
        </w:rPr>
        <w:t>No comments were received during the 60-day comment period.</w:t>
      </w:r>
    </w:p>
    <w:p w:rsidR="00B12071" w:rsidP="00B12071" w:rsidRDefault="00B12071">
      <w:pPr>
        <w:rPr>
          <w:sz w:val="24"/>
          <w:szCs w:val="24"/>
        </w:rPr>
      </w:pPr>
    </w:p>
    <w:p w:rsidR="00DC329C" w:rsidRDefault="00DC329C">
      <w:pPr>
        <w:tabs>
          <w:tab w:val="left" w:pos="720"/>
          <w:tab w:val="left" w:pos="1440"/>
        </w:tabs>
        <w:ind w:left="1440" w:hanging="1440"/>
        <w:rPr>
          <w:b/>
          <w:bCs/>
          <w:sz w:val="24"/>
          <w:szCs w:val="24"/>
        </w:rPr>
      </w:pPr>
      <w:r>
        <w:rPr>
          <w:b/>
          <w:bCs/>
          <w:sz w:val="24"/>
          <w:szCs w:val="24"/>
        </w:rPr>
        <w:tab/>
        <w:t>9.</w:t>
      </w:r>
      <w:r>
        <w:rPr>
          <w:b/>
          <w:bCs/>
          <w:sz w:val="24"/>
          <w:szCs w:val="24"/>
        </w:rPr>
        <w:tab/>
      </w:r>
      <w:r>
        <w:rPr>
          <w:b/>
          <w:bCs/>
          <w:sz w:val="24"/>
          <w:szCs w:val="24"/>
          <w:u w:val="single"/>
        </w:rPr>
        <w:t>Paying Respondents</w:t>
      </w:r>
    </w:p>
    <w:p w:rsidR="00DC329C" w:rsidRDefault="00DC329C">
      <w:pPr>
        <w:rPr>
          <w:sz w:val="24"/>
          <w:szCs w:val="24"/>
        </w:rPr>
      </w:pPr>
      <w:r>
        <w:rPr>
          <w:sz w:val="24"/>
          <w:szCs w:val="24"/>
        </w:rPr>
        <w:tab/>
      </w:r>
    </w:p>
    <w:p w:rsidR="00DC329C" w:rsidRDefault="00DC329C">
      <w:pPr>
        <w:tabs>
          <w:tab w:val="left" w:pos="720"/>
          <w:tab w:val="left" w:pos="1440"/>
        </w:tabs>
        <w:ind w:left="1440" w:hanging="1440"/>
        <w:rPr>
          <w:sz w:val="24"/>
          <w:szCs w:val="24"/>
        </w:rPr>
      </w:pPr>
      <w:r>
        <w:rPr>
          <w:sz w:val="24"/>
          <w:szCs w:val="24"/>
        </w:rPr>
        <w:tab/>
      </w:r>
      <w:r>
        <w:rPr>
          <w:sz w:val="24"/>
          <w:szCs w:val="24"/>
        </w:rPr>
        <w:tab/>
        <w:t>The Census B</w:t>
      </w:r>
      <w:r w:rsidR="00F52870">
        <w:rPr>
          <w:sz w:val="24"/>
          <w:szCs w:val="24"/>
        </w:rPr>
        <w:t xml:space="preserve">ureau does not pay respondents </w:t>
      </w:r>
      <w:r>
        <w:rPr>
          <w:sz w:val="24"/>
          <w:szCs w:val="24"/>
        </w:rPr>
        <w:t xml:space="preserve">or provide gifts in return for </w:t>
      </w:r>
      <w:r>
        <w:rPr>
          <w:sz w:val="24"/>
          <w:szCs w:val="24"/>
        </w:rPr>
        <w:lastRenderedPageBreak/>
        <w:t>complying with the survey.</w:t>
      </w:r>
    </w:p>
    <w:p w:rsidR="00DC329C" w:rsidRDefault="00DC329C">
      <w:pPr>
        <w:rPr>
          <w:sz w:val="24"/>
          <w:szCs w:val="24"/>
        </w:rPr>
      </w:pPr>
    </w:p>
    <w:p w:rsidR="00DC329C" w:rsidRDefault="00DC329C">
      <w:pPr>
        <w:rPr>
          <w:sz w:val="24"/>
          <w:szCs w:val="24"/>
        </w:rPr>
        <w:sectPr w:rsidR="00DC329C">
          <w:headerReference w:type="default" r:id="rId10"/>
          <w:footnotePr>
            <w:numRestart w:val="eachPage"/>
          </w:footnotePr>
          <w:endnotePr>
            <w:numFmt w:val="decimal"/>
          </w:endnotePr>
          <w:type w:val="continuous"/>
          <w:pgSz w:w="12240" w:h="15840"/>
          <w:pgMar w:top="1440" w:right="1440" w:bottom="1350" w:left="1440" w:header="1440" w:footer="1440" w:gutter="0"/>
          <w:cols w:space="720"/>
        </w:sectPr>
      </w:pPr>
    </w:p>
    <w:p w:rsidR="00DC329C" w:rsidRDefault="00DC329C">
      <w:pPr>
        <w:pStyle w:val="Level1"/>
        <w:tabs>
          <w:tab w:val="left" w:pos="720"/>
        </w:tabs>
        <w:jc w:val="left"/>
        <w:rPr>
          <w:b/>
          <w:bCs/>
          <w:u w:val="single"/>
        </w:rPr>
      </w:pPr>
      <w:r>
        <w:rPr>
          <w:b/>
          <w:bCs/>
        </w:rPr>
        <w:t>10.</w:t>
      </w:r>
      <w:r>
        <w:rPr>
          <w:b/>
          <w:bCs/>
        </w:rPr>
        <w:tab/>
      </w:r>
      <w:r>
        <w:rPr>
          <w:b/>
          <w:bCs/>
          <w:u w:val="single"/>
        </w:rPr>
        <w:t>Assurance of Confidentiality</w:t>
      </w:r>
    </w:p>
    <w:p w:rsidR="00DC329C" w:rsidRDefault="00DC329C">
      <w:pPr>
        <w:spacing w:line="2" w:lineRule="exact"/>
        <w:rPr>
          <w:sz w:val="24"/>
          <w:szCs w:val="24"/>
        </w:rPr>
      </w:pPr>
    </w:p>
    <w:p w:rsidR="00DC329C" w:rsidRDefault="00DC329C">
      <w:pPr>
        <w:numPr>
          <w:ilvl w:val="12"/>
          <w:numId w:val="0"/>
        </w:numPr>
        <w:rPr>
          <w:sz w:val="24"/>
          <w:szCs w:val="24"/>
        </w:rPr>
      </w:pPr>
    </w:p>
    <w:p w:rsidR="00DC329C" w:rsidRDefault="00DC329C">
      <w:pPr>
        <w:ind w:left="1440"/>
        <w:rPr>
          <w:sz w:val="24"/>
          <w:szCs w:val="24"/>
        </w:rPr>
      </w:pPr>
      <w:r>
        <w:rPr>
          <w:sz w:val="24"/>
          <w:szCs w:val="24"/>
        </w:rPr>
        <w:t>The information collected on Form C-411 is public infor</w:t>
      </w:r>
      <w:r w:rsidR="00ED3EBD">
        <w:rPr>
          <w:sz w:val="24"/>
          <w:szCs w:val="24"/>
        </w:rPr>
        <w:t>mation and is not confidential.</w:t>
      </w:r>
      <w:r w:rsidR="00390356">
        <w:rPr>
          <w:sz w:val="24"/>
          <w:szCs w:val="24"/>
        </w:rPr>
        <w:t xml:space="preserve">  We inform the respondents of the voluntary nature of this survey</w:t>
      </w:r>
      <w:r w:rsidR="00343297">
        <w:rPr>
          <w:sz w:val="24"/>
          <w:szCs w:val="24"/>
        </w:rPr>
        <w:t xml:space="preserve"> both on </w:t>
      </w:r>
      <w:r w:rsidR="006C0879">
        <w:rPr>
          <w:sz w:val="24"/>
          <w:szCs w:val="24"/>
        </w:rPr>
        <w:t>the</w:t>
      </w:r>
      <w:r w:rsidR="00390356">
        <w:rPr>
          <w:sz w:val="24"/>
          <w:szCs w:val="24"/>
        </w:rPr>
        <w:t xml:space="preserve"> </w:t>
      </w:r>
      <w:r w:rsidR="00343297">
        <w:rPr>
          <w:sz w:val="24"/>
          <w:szCs w:val="24"/>
        </w:rPr>
        <w:t>cover</w:t>
      </w:r>
      <w:r w:rsidR="00390356">
        <w:rPr>
          <w:sz w:val="24"/>
          <w:szCs w:val="24"/>
        </w:rPr>
        <w:t xml:space="preserve"> letter (Attachment</w:t>
      </w:r>
      <w:r w:rsidR="00343297">
        <w:rPr>
          <w:sz w:val="24"/>
          <w:szCs w:val="24"/>
        </w:rPr>
        <w:t>s</w:t>
      </w:r>
      <w:r w:rsidR="00390356">
        <w:rPr>
          <w:sz w:val="24"/>
          <w:szCs w:val="24"/>
        </w:rPr>
        <w:t xml:space="preserve"> D).</w:t>
      </w:r>
    </w:p>
    <w:p w:rsidR="00DC329C" w:rsidRDefault="00DC329C">
      <w:pPr>
        <w:numPr>
          <w:ilvl w:val="12"/>
          <w:numId w:val="0"/>
        </w:numPr>
        <w:ind w:left="1440"/>
        <w:rPr>
          <w:sz w:val="24"/>
          <w:szCs w:val="24"/>
        </w:rPr>
      </w:pPr>
      <w:r>
        <w:rPr>
          <w:sz w:val="24"/>
          <w:szCs w:val="24"/>
        </w:rPr>
        <w:tab/>
      </w:r>
      <w:r>
        <w:rPr>
          <w:sz w:val="24"/>
          <w:szCs w:val="24"/>
        </w:rPr>
        <w:tab/>
        <w:t xml:space="preserve"> </w:t>
      </w:r>
    </w:p>
    <w:p w:rsidR="00DC329C" w:rsidRDefault="00DC329C">
      <w:pPr>
        <w:numPr>
          <w:ilvl w:val="12"/>
          <w:numId w:val="0"/>
        </w:numPr>
        <w:tabs>
          <w:tab w:val="left" w:pos="720"/>
          <w:tab w:val="left" w:pos="1440"/>
        </w:tabs>
        <w:ind w:left="1440" w:hanging="720"/>
        <w:rPr>
          <w:b/>
          <w:bCs/>
          <w:sz w:val="24"/>
          <w:szCs w:val="24"/>
        </w:rPr>
      </w:pPr>
      <w:r>
        <w:rPr>
          <w:b/>
          <w:bCs/>
          <w:sz w:val="24"/>
          <w:szCs w:val="24"/>
        </w:rPr>
        <w:t>11.</w:t>
      </w:r>
      <w:r>
        <w:rPr>
          <w:b/>
          <w:bCs/>
          <w:sz w:val="24"/>
          <w:szCs w:val="24"/>
        </w:rPr>
        <w:tab/>
      </w:r>
      <w:r>
        <w:rPr>
          <w:b/>
          <w:bCs/>
          <w:sz w:val="24"/>
          <w:szCs w:val="24"/>
          <w:u w:val="single"/>
        </w:rPr>
        <w:t>Justification for Sensitive Questions</w:t>
      </w:r>
    </w:p>
    <w:p w:rsidR="00DC329C" w:rsidRDefault="00DC329C">
      <w:pPr>
        <w:numPr>
          <w:ilvl w:val="12"/>
          <w:numId w:val="0"/>
        </w:numPr>
        <w:rPr>
          <w:sz w:val="24"/>
          <w:szCs w:val="24"/>
        </w:rPr>
      </w:pPr>
    </w:p>
    <w:p w:rsidR="00DC329C" w:rsidRDefault="00DC329C">
      <w:pPr>
        <w:numPr>
          <w:ilvl w:val="12"/>
          <w:numId w:val="0"/>
        </w:numPr>
        <w:ind w:left="1440"/>
        <w:rPr>
          <w:sz w:val="24"/>
          <w:szCs w:val="24"/>
        </w:rPr>
      </w:pPr>
      <w:r>
        <w:rPr>
          <w:sz w:val="24"/>
          <w:szCs w:val="24"/>
        </w:rPr>
        <w:t>The Form C-411 contains no sensitive questions.</w:t>
      </w:r>
    </w:p>
    <w:p w:rsidR="00DC329C" w:rsidRDefault="00DC329C">
      <w:pPr>
        <w:numPr>
          <w:ilvl w:val="12"/>
          <w:numId w:val="0"/>
        </w:numPr>
        <w:rPr>
          <w:sz w:val="24"/>
          <w:szCs w:val="24"/>
        </w:rPr>
      </w:pPr>
    </w:p>
    <w:p w:rsidR="00DC329C" w:rsidRDefault="00DC329C">
      <w:pPr>
        <w:numPr>
          <w:ilvl w:val="12"/>
          <w:numId w:val="0"/>
        </w:numPr>
        <w:tabs>
          <w:tab w:val="left" w:pos="720"/>
          <w:tab w:val="left" w:pos="1440"/>
        </w:tabs>
        <w:ind w:left="1440" w:hanging="720"/>
        <w:rPr>
          <w:b/>
          <w:bCs/>
          <w:sz w:val="24"/>
          <w:szCs w:val="24"/>
        </w:rPr>
      </w:pPr>
      <w:r>
        <w:rPr>
          <w:b/>
          <w:bCs/>
          <w:sz w:val="24"/>
          <w:szCs w:val="24"/>
        </w:rPr>
        <w:t>12.</w:t>
      </w:r>
      <w:r>
        <w:rPr>
          <w:b/>
          <w:bCs/>
          <w:sz w:val="24"/>
          <w:szCs w:val="24"/>
        </w:rPr>
        <w:tab/>
      </w:r>
      <w:r>
        <w:rPr>
          <w:b/>
          <w:bCs/>
          <w:sz w:val="24"/>
          <w:szCs w:val="24"/>
          <w:u w:val="single"/>
        </w:rPr>
        <w:t>Estimate of Hour Burden</w:t>
      </w:r>
    </w:p>
    <w:p w:rsidR="00DC329C" w:rsidRDefault="00DC329C">
      <w:pPr>
        <w:numPr>
          <w:ilvl w:val="12"/>
          <w:numId w:val="0"/>
        </w:numPr>
        <w:rPr>
          <w:sz w:val="24"/>
          <w:szCs w:val="24"/>
        </w:rPr>
      </w:pPr>
    </w:p>
    <w:p w:rsidRPr="00F74AF6" w:rsidR="00DC329C" w:rsidRDefault="00DC329C">
      <w:pPr>
        <w:numPr>
          <w:ilvl w:val="12"/>
          <w:numId w:val="0"/>
        </w:numPr>
        <w:ind w:left="1440"/>
        <w:rPr>
          <w:sz w:val="24"/>
          <w:szCs w:val="24"/>
        </w:rPr>
      </w:pPr>
      <w:r w:rsidRPr="00F74AF6">
        <w:rPr>
          <w:sz w:val="24"/>
          <w:szCs w:val="24"/>
        </w:rPr>
        <w:t>Reporting burden is calculated as follows:</w:t>
      </w:r>
    </w:p>
    <w:p w:rsidRPr="00F74AF6" w:rsidR="00DC329C" w:rsidRDefault="00DC329C">
      <w:pPr>
        <w:numPr>
          <w:ilvl w:val="12"/>
          <w:numId w:val="0"/>
        </w:numPr>
      </w:pPr>
    </w:p>
    <w:tbl>
      <w:tblPr>
        <w:tblW w:w="8020" w:type="dxa"/>
        <w:tblInd w:w="1540" w:type="dxa"/>
        <w:tblCellMar>
          <w:left w:w="100" w:type="dxa"/>
          <w:right w:w="100" w:type="dxa"/>
        </w:tblCellMar>
        <w:tblLook w:val="0000" w:firstRow="0" w:lastRow="0" w:firstColumn="0" w:lastColumn="0" w:noHBand="0" w:noVBand="0"/>
      </w:tblPr>
      <w:tblGrid>
        <w:gridCol w:w="1322"/>
        <w:gridCol w:w="1223"/>
        <w:gridCol w:w="1147"/>
        <w:gridCol w:w="1059"/>
        <w:gridCol w:w="1118"/>
        <w:gridCol w:w="1152"/>
        <w:gridCol w:w="999"/>
      </w:tblGrid>
      <w:tr w:rsidRPr="00F74AF6" w:rsidR="00F75289" w:rsidTr="00EB3489">
        <w:tblPrEx>
          <w:tblCellMar>
            <w:top w:w="0" w:type="dxa"/>
            <w:bottom w:w="0" w:type="dxa"/>
          </w:tblCellMar>
        </w:tblPrEx>
        <w:trPr>
          <w:cantSplit/>
        </w:trPr>
        <w:tc>
          <w:tcPr>
            <w:tcW w:w="1046" w:type="dxa"/>
            <w:tcBorders>
              <w:top w:val="single" w:color="000000" w:sz="6" w:space="0"/>
              <w:left w:val="single" w:color="000000" w:sz="6" w:space="0"/>
            </w:tcBorders>
          </w:tcPr>
          <w:p w:rsidRPr="00F74AF6" w:rsidR="00F75289" w:rsidRDefault="00F75289">
            <w:pPr>
              <w:numPr>
                <w:ilvl w:val="12"/>
                <w:numId w:val="0"/>
              </w:numPr>
              <w:spacing w:before="100"/>
              <w:jc w:val="center"/>
            </w:pPr>
          </w:p>
          <w:p w:rsidRPr="00F74AF6" w:rsidR="00F75289" w:rsidRDefault="00F75289">
            <w:pPr>
              <w:numPr>
                <w:ilvl w:val="12"/>
                <w:numId w:val="0"/>
              </w:numPr>
              <w:spacing w:after="48"/>
              <w:jc w:val="center"/>
            </w:pPr>
            <w:r w:rsidRPr="00F74AF6">
              <w:t>Frequency</w:t>
            </w:r>
          </w:p>
        </w:tc>
        <w:tc>
          <w:tcPr>
            <w:tcW w:w="1223" w:type="dxa"/>
            <w:tcBorders>
              <w:top w:val="single" w:color="000000" w:sz="6" w:space="0"/>
              <w:left w:val="single" w:color="000000" w:sz="6" w:space="0"/>
            </w:tcBorders>
          </w:tcPr>
          <w:p w:rsidRPr="00F74AF6" w:rsidR="00F75289" w:rsidRDefault="00F75289">
            <w:pPr>
              <w:numPr>
                <w:ilvl w:val="12"/>
                <w:numId w:val="0"/>
              </w:numPr>
              <w:spacing w:before="100" w:after="48"/>
              <w:jc w:val="center"/>
            </w:pPr>
            <w:r w:rsidRPr="00F74AF6">
              <w:t>Total Respondents</w:t>
            </w:r>
          </w:p>
        </w:tc>
        <w:tc>
          <w:tcPr>
            <w:tcW w:w="1148" w:type="dxa"/>
            <w:tcBorders>
              <w:top w:val="single" w:color="000000" w:sz="6" w:space="0"/>
              <w:left w:val="single" w:color="000000" w:sz="6" w:space="0"/>
            </w:tcBorders>
          </w:tcPr>
          <w:p w:rsidRPr="00F74AF6" w:rsidR="00F75289" w:rsidRDefault="00F75289">
            <w:pPr>
              <w:numPr>
                <w:ilvl w:val="12"/>
                <w:numId w:val="0"/>
              </w:numPr>
              <w:spacing w:before="100" w:after="48"/>
              <w:jc w:val="center"/>
            </w:pPr>
            <w:r w:rsidRPr="00F74AF6">
              <w:t>Responses per Respondent</w:t>
            </w:r>
          </w:p>
        </w:tc>
        <w:tc>
          <w:tcPr>
            <w:tcW w:w="1065" w:type="dxa"/>
            <w:tcBorders>
              <w:top w:val="single" w:color="000000" w:sz="6" w:space="0"/>
              <w:left w:val="single" w:color="000000" w:sz="6" w:space="0"/>
            </w:tcBorders>
          </w:tcPr>
          <w:p w:rsidRPr="00F74AF6" w:rsidR="00F75289" w:rsidRDefault="00F75289">
            <w:pPr>
              <w:numPr>
                <w:ilvl w:val="12"/>
                <w:numId w:val="0"/>
              </w:numPr>
              <w:spacing w:before="100" w:after="48"/>
              <w:jc w:val="center"/>
            </w:pPr>
            <w:r w:rsidRPr="00F74AF6">
              <w:t>Total Responses</w:t>
            </w:r>
            <w:r>
              <w:t xml:space="preserve"> in 5 year</w:t>
            </w:r>
          </w:p>
        </w:tc>
        <w:tc>
          <w:tcPr>
            <w:tcW w:w="1182" w:type="dxa"/>
            <w:tcBorders>
              <w:top w:val="single" w:color="000000" w:sz="6" w:space="0"/>
              <w:left w:val="single" w:color="000000" w:sz="6" w:space="0"/>
            </w:tcBorders>
          </w:tcPr>
          <w:p w:rsidRPr="00F74AF6" w:rsidR="00F75289" w:rsidRDefault="00F75289">
            <w:pPr>
              <w:numPr>
                <w:ilvl w:val="12"/>
                <w:numId w:val="0"/>
              </w:numPr>
              <w:spacing w:before="100" w:after="48"/>
              <w:jc w:val="center"/>
            </w:pPr>
            <w:r w:rsidRPr="00F74AF6">
              <w:t>Avg. Burden Hour per Response</w:t>
            </w:r>
          </w:p>
        </w:tc>
        <w:tc>
          <w:tcPr>
            <w:tcW w:w="1306" w:type="dxa"/>
            <w:tcBorders>
              <w:top w:val="single" w:color="000000" w:sz="6" w:space="0"/>
              <w:left w:val="single" w:color="000000" w:sz="6" w:space="0"/>
              <w:right w:val="single" w:color="000000" w:sz="6" w:space="0"/>
            </w:tcBorders>
          </w:tcPr>
          <w:p w:rsidRPr="00F74AF6" w:rsidR="00F75289" w:rsidRDefault="00F75289">
            <w:pPr>
              <w:numPr>
                <w:ilvl w:val="12"/>
                <w:numId w:val="0"/>
              </w:numPr>
              <w:spacing w:before="100" w:after="48"/>
              <w:jc w:val="center"/>
            </w:pPr>
            <w:r w:rsidRPr="00F74AF6">
              <w:t>Total Burden (hours)</w:t>
            </w:r>
            <w:r>
              <w:t xml:space="preserve"> in 5 years</w:t>
            </w:r>
          </w:p>
        </w:tc>
        <w:tc>
          <w:tcPr>
            <w:tcW w:w="1050" w:type="dxa"/>
            <w:tcBorders>
              <w:top w:val="single" w:color="000000" w:sz="6" w:space="0"/>
              <w:left w:val="single" w:color="000000" w:sz="6" w:space="0"/>
              <w:right w:val="single" w:color="000000" w:sz="6" w:space="0"/>
            </w:tcBorders>
          </w:tcPr>
          <w:p w:rsidRPr="00F74AF6" w:rsidR="00F75289" w:rsidRDefault="00F75289">
            <w:pPr>
              <w:numPr>
                <w:ilvl w:val="12"/>
                <w:numId w:val="0"/>
              </w:numPr>
              <w:spacing w:before="100" w:after="48"/>
              <w:jc w:val="center"/>
            </w:pPr>
            <w:r>
              <w:t>Average Annual Burden</w:t>
            </w:r>
          </w:p>
        </w:tc>
      </w:tr>
      <w:tr w:rsidRPr="00F74AF6" w:rsidR="00F75289" w:rsidTr="00EB3489">
        <w:tblPrEx>
          <w:tblCellMar>
            <w:top w:w="0" w:type="dxa"/>
            <w:bottom w:w="0" w:type="dxa"/>
          </w:tblCellMar>
        </w:tblPrEx>
        <w:trPr>
          <w:cantSplit/>
        </w:trPr>
        <w:tc>
          <w:tcPr>
            <w:tcW w:w="1046" w:type="dxa"/>
            <w:tcBorders>
              <w:top w:val="single" w:color="000000" w:sz="6" w:space="0"/>
              <w:left w:val="single" w:color="000000" w:sz="6" w:space="0"/>
              <w:bottom w:val="single" w:color="000000" w:sz="6" w:space="0"/>
            </w:tcBorders>
          </w:tcPr>
          <w:p w:rsidRPr="00F74AF6" w:rsidR="00F75289" w:rsidRDefault="00F75289">
            <w:pPr>
              <w:numPr>
                <w:ilvl w:val="12"/>
                <w:numId w:val="0"/>
              </w:numPr>
              <w:spacing w:before="100" w:after="48"/>
              <w:jc w:val="center"/>
            </w:pPr>
            <w:r>
              <w:t>Every 5 years</w:t>
            </w:r>
          </w:p>
        </w:tc>
        <w:tc>
          <w:tcPr>
            <w:tcW w:w="1223" w:type="dxa"/>
            <w:tcBorders>
              <w:top w:val="single" w:color="000000" w:sz="6" w:space="0"/>
              <w:left w:val="single" w:color="000000" w:sz="6" w:space="0"/>
              <w:bottom w:val="single" w:color="000000" w:sz="6" w:space="0"/>
            </w:tcBorders>
          </w:tcPr>
          <w:p w:rsidRPr="00F74AF6" w:rsidR="00F75289" w:rsidRDefault="00F75289">
            <w:pPr>
              <w:numPr>
                <w:ilvl w:val="12"/>
                <w:numId w:val="0"/>
              </w:numPr>
              <w:spacing w:before="100" w:after="48"/>
              <w:jc w:val="center"/>
            </w:pPr>
            <w:r>
              <w:t>3</w:t>
            </w:r>
            <w:r w:rsidR="00FB0170">
              <w:t>500</w:t>
            </w:r>
          </w:p>
        </w:tc>
        <w:tc>
          <w:tcPr>
            <w:tcW w:w="1148" w:type="dxa"/>
            <w:tcBorders>
              <w:top w:val="single" w:color="000000" w:sz="6" w:space="0"/>
              <w:left w:val="single" w:color="000000" w:sz="6" w:space="0"/>
              <w:bottom w:val="single" w:color="000000" w:sz="6" w:space="0"/>
            </w:tcBorders>
          </w:tcPr>
          <w:p w:rsidRPr="00F74AF6" w:rsidR="00F75289" w:rsidRDefault="00F75289">
            <w:pPr>
              <w:numPr>
                <w:ilvl w:val="12"/>
                <w:numId w:val="0"/>
              </w:numPr>
              <w:spacing w:before="100" w:after="48"/>
              <w:jc w:val="center"/>
            </w:pPr>
            <w:r>
              <w:t>1</w:t>
            </w:r>
          </w:p>
        </w:tc>
        <w:tc>
          <w:tcPr>
            <w:tcW w:w="1065" w:type="dxa"/>
            <w:tcBorders>
              <w:top w:val="single" w:color="000000" w:sz="6" w:space="0"/>
              <w:left w:val="single" w:color="000000" w:sz="6" w:space="0"/>
              <w:bottom w:val="single" w:color="000000" w:sz="6" w:space="0"/>
            </w:tcBorders>
          </w:tcPr>
          <w:p w:rsidRPr="00F74AF6" w:rsidR="00F75289" w:rsidRDefault="00F75289">
            <w:pPr>
              <w:numPr>
                <w:ilvl w:val="12"/>
                <w:numId w:val="0"/>
              </w:numPr>
              <w:spacing w:before="100" w:after="48"/>
              <w:jc w:val="center"/>
            </w:pPr>
            <w:r>
              <w:t>3</w:t>
            </w:r>
            <w:r w:rsidR="00FB0170">
              <w:t>500</w:t>
            </w:r>
          </w:p>
        </w:tc>
        <w:tc>
          <w:tcPr>
            <w:tcW w:w="1182" w:type="dxa"/>
            <w:tcBorders>
              <w:top w:val="single" w:color="000000" w:sz="6" w:space="0"/>
              <w:left w:val="single" w:color="000000" w:sz="6" w:space="0"/>
              <w:bottom w:val="single" w:color="000000" w:sz="6" w:space="0"/>
            </w:tcBorders>
          </w:tcPr>
          <w:p w:rsidRPr="00F74AF6" w:rsidR="00F75289" w:rsidRDefault="00F75289">
            <w:pPr>
              <w:numPr>
                <w:ilvl w:val="12"/>
                <w:numId w:val="0"/>
              </w:numPr>
              <w:spacing w:before="100" w:after="48"/>
              <w:jc w:val="center"/>
            </w:pPr>
            <w:r>
              <w:t>.25</w:t>
            </w:r>
          </w:p>
        </w:tc>
        <w:tc>
          <w:tcPr>
            <w:tcW w:w="1306" w:type="dxa"/>
            <w:tcBorders>
              <w:top w:val="single" w:color="000000" w:sz="6" w:space="0"/>
              <w:left w:val="single" w:color="000000" w:sz="6" w:space="0"/>
              <w:bottom w:val="single" w:color="000000" w:sz="6" w:space="0"/>
              <w:right w:val="single" w:color="000000" w:sz="6" w:space="0"/>
            </w:tcBorders>
          </w:tcPr>
          <w:p w:rsidRPr="00F74AF6" w:rsidR="00F75289" w:rsidRDefault="00FB0170">
            <w:pPr>
              <w:numPr>
                <w:ilvl w:val="12"/>
                <w:numId w:val="0"/>
              </w:numPr>
              <w:spacing w:before="100" w:after="48"/>
              <w:jc w:val="center"/>
            </w:pPr>
            <w:r>
              <w:t>875</w:t>
            </w:r>
          </w:p>
        </w:tc>
        <w:tc>
          <w:tcPr>
            <w:tcW w:w="1050" w:type="dxa"/>
            <w:tcBorders>
              <w:top w:val="single" w:color="000000" w:sz="6" w:space="0"/>
              <w:left w:val="single" w:color="000000" w:sz="6" w:space="0"/>
              <w:bottom w:val="single" w:color="000000" w:sz="6" w:space="0"/>
              <w:right w:val="single" w:color="000000" w:sz="6" w:space="0"/>
            </w:tcBorders>
          </w:tcPr>
          <w:p w:rsidR="00F75289" w:rsidRDefault="00FB0170">
            <w:pPr>
              <w:numPr>
                <w:ilvl w:val="12"/>
                <w:numId w:val="0"/>
              </w:numPr>
              <w:spacing w:before="100" w:after="48"/>
              <w:jc w:val="center"/>
            </w:pPr>
            <w:r>
              <w:t>175</w:t>
            </w:r>
          </w:p>
        </w:tc>
      </w:tr>
      <w:tr w:rsidRPr="00F74AF6" w:rsidR="00F75289" w:rsidTr="00EB3489">
        <w:tblPrEx>
          <w:tblCellMar>
            <w:top w:w="0" w:type="dxa"/>
            <w:bottom w:w="0" w:type="dxa"/>
          </w:tblCellMar>
        </w:tblPrEx>
        <w:trPr>
          <w:cantSplit/>
        </w:trPr>
        <w:tc>
          <w:tcPr>
            <w:tcW w:w="1046" w:type="dxa"/>
            <w:tcBorders>
              <w:top w:val="single" w:color="000000" w:sz="6" w:space="0"/>
              <w:left w:val="single" w:color="000000" w:sz="6" w:space="0"/>
              <w:bottom w:val="single" w:color="000000" w:sz="6" w:space="0"/>
            </w:tcBorders>
          </w:tcPr>
          <w:p w:rsidR="00F75289" w:rsidRDefault="00537D3F">
            <w:pPr>
              <w:numPr>
                <w:ilvl w:val="12"/>
                <w:numId w:val="0"/>
              </w:numPr>
              <w:spacing w:before="100" w:after="48"/>
              <w:jc w:val="center"/>
            </w:pPr>
            <w:r>
              <w:t>Supplemental Requests</w:t>
            </w:r>
            <w:r w:rsidR="00F75289">
              <w:t>/year</w:t>
            </w:r>
          </w:p>
        </w:tc>
        <w:tc>
          <w:tcPr>
            <w:tcW w:w="1223" w:type="dxa"/>
            <w:tcBorders>
              <w:top w:val="single" w:color="000000" w:sz="6" w:space="0"/>
              <w:left w:val="single" w:color="000000" w:sz="6" w:space="0"/>
              <w:bottom w:val="single" w:color="000000" w:sz="6" w:space="0"/>
            </w:tcBorders>
          </w:tcPr>
          <w:p w:rsidR="00F75289" w:rsidRDefault="00EB3489">
            <w:pPr>
              <w:numPr>
                <w:ilvl w:val="12"/>
                <w:numId w:val="0"/>
              </w:numPr>
              <w:spacing w:before="100" w:after="48"/>
              <w:jc w:val="center"/>
            </w:pPr>
            <w:r>
              <w:t>1</w:t>
            </w:r>
            <w:r w:rsidR="00F75289">
              <w:t>50</w:t>
            </w:r>
          </w:p>
        </w:tc>
        <w:tc>
          <w:tcPr>
            <w:tcW w:w="1148" w:type="dxa"/>
            <w:tcBorders>
              <w:top w:val="single" w:color="000000" w:sz="6" w:space="0"/>
              <w:left w:val="single" w:color="000000" w:sz="6" w:space="0"/>
              <w:bottom w:val="single" w:color="000000" w:sz="6" w:space="0"/>
            </w:tcBorders>
          </w:tcPr>
          <w:p w:rsidR="00F75289" w:rsidRDefault="00F75289">
            <w:pPr>
              <w:numPr>
                <w:ilvl w:val="12"/>
                <w:numId w:val="0"/>
              </w:numPr>
              <w:spacing w:before="100" w:after="48"/>
              <w:jc w:val="center"/>
            </w:pPr>
            <w:r>
              <w:t>1</w:t>
            </w:r>
          </w:p>
        </w:tc>
        <w:tc>
          <w:tcPr>
            <w:tcW w:w="1065" w:type="dxa"/>
            <w:tcBorders>
              <w:top w:val="single" w:color="000000" w:sz="6" w:space="0"/>
              <w:left w:val="single" w:color="000000" w:sz="6" w:space="0"/>
              <w:bottom w:val="single" w:color="000000" w:sz="6" w:space="0"/>
            </w:tcBorders>
          </w:tcPr>
          <w:p w:rsidR="00F75289" w:rsidRDefault="00537D3F">
            <w:pPr>
              <w:numPr>
                <w:ilvl w:val="12"/>
                <w:numId w:val="0"/>
              </w:numPr>
              <w:spacing w:before="100" w:after="48"/>
              <w:jc w:val="center"/>
            </w:pPr>
            <w:r>
              <w:t>600</w:t>
            </w:r>
          </w:p>
        </w:tc>
        <w:tc>
          <w:tcPr>
            <w:tcW w:w="1182" w:type="dxa"/>
            <w:tcBorders>
              <w:top w:val="single" w:color="000000" w:sz="6" w:space="0"/>
              <w:left w:val="single" w:color="000000" w:sz="6" w:space="0"/>
              <w:bottom w:val="single" w:color="000000" w:sz="6" w:space="0"/>
            </w:tcBorders>
          </w:tcPr>
          <w:p w:rsidR="00F75289" w:rsidRDefault="00F75289">
            <w:pPr>
              <w:numPr>
                <w:ilvl w:val="12"/>
                <w:numId w:val="0"/>
              </w:numPr>
              <w:spacing w:before="100" w:after="48"/>
              <w:jc w:val="center"/>
            </w:pPr>
            <w:r>
              <w:t>.25</w:t>
            </w:r>
          </w:p>
        </w:tc>
        <w:tc>
          <w:tcPr>
            <w:tcW w:w="1306" w:type="dxa"/>
            <w:tcBorders>
              <w:top w:val="single" w:color="000000" w:sz="6" w:space="0"/>
              <w:left w:val="single" w:color="000000" w:sz="6" w:space="0"/>
              <w:bottom w:val="single" w:color="000000" w:sz="6" w:space="0"/>
              <w:right w:val="single" w:color="000000" w:sz="6" w:space="0"/>
            </w:tcBorders>
          </w:tcPr>
          <w:p w:rsidRPr="00F74AF6" w:rsidR="00F75289" w:rsidRDefault="00537D3F">
            <w:pPr>
              <w:numPr>
                <w:ilvl w:val="12"/>
                <w:numId w:val="0"/>
              </w:numPr>
              <w:spacing w:before="100" w:after="48"/>
              <w:jc w:val="center"/>
            </w:pPr>
            <w:r>
              <w:t>1</w:t>
            </w:r>
            <w:r w:rsidR="00F75289">
              <w:t>50</w:t>
            </w:r>
          </w:p>
        </w:tc>
        <w:tc>
          <w:tcPr>
            <w:tcW w:w="1050" w:type="dxa"/>
            <w:tcBorders>
              <w:top w:val="single" w:color="000000" w:sz="6" w:space="0"/>
              <w:left w:val="single" w:color="000000" w:sz="6" w:space="0"/>
              <w:bottom w:val="single" w:color="000000" w:sz="6" w:space="0"/>
              <w:right w:val="single" w:color="000000" w:sz="6" w:space="0"/>
            </w:tcBorders>
          </w:tcPr>
          <w:p w:rsidR="00F75289" w:rsidRDefault="00537D3F">
            <w:pPr>
              <w:numPr>
                <w:ilvl w:val="12"/>
                <w:numId w:val="0"/>
              </w:numPr>
              <w:spacing w:before="100" w:after="48"/>
              <w:jc w:val="center"/>
            </w:pPr>
            <w:r>
              <w:t>3</w:t>
            </w:r>
            <w:r w:rsidR="00F75289">
              <w:t>0</w:t>
            </w:r>
          </w:p>
        </w:tc>
      </w:tr>
      <w:tr w:rsidRPr="00F74AF6" w:rsidR="00491371" w:rsidTr="00EB3489">
        <w:tblPrEx>
          <w:tblCellMar>
            <w:top w:w="0" w:type="dxa"/>
            <w:bottom w:w="0" w:type="dxa"/>
          </w:tblCellMar>
        </w:tblPrEx>
        <w:trPr>
          <w:cantSplit/>
        </w:trPr>
        <w:tc>
          <w:tcPr>
            <w:tcW w:w="1046" w:type="dxa"/>
            <w:tcBorders>
              <w:top w:val="single" w:color="000000" w:sz="6" w:space="0"/>
              <w:left w:val="single" w:color="000000" w:sz="6" w:space="0"/>
              <w:bottom w:val="single" w:color="000000" w:sz="6" w:space="0"/>
            </w:tcBorders>
          </w:tcPr>
          <w:p w:rsidR="00491371" w:rsidRDefault="00491371">
            <w:pPr>
              <w:numPr>
                <w:ilvl w:val="12"/>
                <w:numId w:val="0"/>
              </w:numPr>
              <w:spacing w:before="100" w:after="48"/>
              <w:jc w:val="center"/>
            </w:pPr>
            <w:r>
              <w:t>Total</w:t>
            </w:r>
          </w:p>
        </w:tc>
        <w:tc>
          <w:tcPr>
            <w:tcW w:w="1223" w:type="dxa"/>
            <w:tcBorders>
              <w:top w:val="single" w:color="000000" w:sz="6" w:space="0"/>
              <w:left w:val="single" w:color="000000" w:sz="6" w:space="0"/>
              <w:bottom w:val="single" w:color="000000" w:sz="6" w:space="0"/>
            </w:tcBorders>
          </w:tcPr>
          <w:p w:rsidR="00491371" w:rsidRDefault="00491371">
            <w:pPr>
              <w:numPr>
                <w:ilvl w:val="12"/>
                <w:numId w:val="0"/>
              </w:numPr>
              <w:spacing w:before="100" w:after="48"/>
              <w:jc w:val="center"/>
            </w:pPr>
            <w:r>
              <w:t>3650</w:t>
            </w:r>
          </w:p>
        </w:tc>
        <w:tc>
          <w:tcPr>
            <w:tcW w:w="1148" w:type="dxa"/>
            <w:tcBorders>
              <w:top w:val="single" w:color="000000" w:sz="6" w:space="0"/>
              <w:left w:val="single" w:color="000000" w:sz="6" w:space="0"/>
              <w:bottom w:val="single" w:color="000000" w:sz="6" w:space="0"/>
            </w:tcBorders>
          </w:tcPr>
          <w:p w:rsidR="00491371" w:rsidRDefault="00491371">
            <w:pPr>
              <w:numPr>
                <w:ilvl w:val="12"/>
                <w:numId w:val="0"/>
              </w:numPr>
              <w:spacing w:before="100" w:after="48"/>
              <w:jc w:val="center"/>
            </w:pPr>
            <w:r>
              <w:t>1</w:t>
            </w:r>
          </w:p>
        </w:tc>
        <w:tc>
          <w:tcPr>
            <w:tcW w:w="1065" w:type="dxa"/>
            <w:tcBorders>
              <w:top w:val="single" w:color="000000" w:sz="6" w:space="0"/>
              <w:left w:val="single" w:color="000000" w:sz="6" w:space="0"/>
              <w:bottom w:val="single" w:color="000000" w:sz="6" w:space="0"/>
            </w:tcBorders>
          </w:tcPr>
          <w:p w:rsidR="00491371" w:rsidRDefault="00491371">
            <w:pPr>
              <w:numPr>
                <w:ilvl w:val="12"/>
                <w:numId w:val="0"/>
              </w:numPr>
              <w:spacing w:before="100" w:after="48"/>
              <w:jc w:val="center"/>
            </w:pPr>
            <w:r>
              <w:t>4100</w:t>
            </w:r>
          </w:p>
        </w:tc>
        <w:tc>
          <w:tcPr>
            <w:tcW w:w="1182" w:type="dxa"/>
            <w:tcBorders>
              <w:top w:val="single" w:color="000000" w:sz="6" w:space="0"/>
              <w:left w:val="single" w:color="000000" w:sz="6" w:space="0"/>
              <w:bottom w:val="single" w:color="000000" w:sz="6" w:space="0"/>
            </w:tcBorders>
          </w:tcPr>
          <w:p w:rsidR="00491371" w:rsidRDefault="00491371">
            <w:pPr>
              <w:numPr>
                <w:ilvl w:val="12"/>
                <w:numId w:val="0"/>
              </w:numPr>
              <w:spacing w:before="100" w:after="48"/>
              <w:jc w:val="center"/>
            </w:pPr>
            <w:r>
              <w:t>.25</w:t>
            </w:r>
          </w:p>
        </w:tc>
        <w:tc>
          <w:tcPr>
            <w:tcW w:w="1306" w:type="dxa"/>
            <w:tcBorders>
              <w:top w:val="single" w:color="000000" w:sz="6" w:space="0"/>
              <w:left w:val="single" w:color="000000" w:sz="6" w:space="0"/>
              <w:bottom w:val="single" w:color="000000" w:sz="6" w:space="0"/>
              <w:right w:val="single" w:color="000000" w:sz="6" w:space="0"/>
            </w:tcBorders>
          </w:tcPr>
          <w:p w:rsidR="00491371" w:rsidRDefault="00491371">
            <w:pPr>
              <w:numPr>
                <w:ilvl w:val="12"/>
                <w:numId w:val="0"/>
              </w:numPr>
              <w:spacing w:before="100" w:after="48"/>
              <w:jc w:val="center"/>
            </w:pPr>
            <w:r>
              <w:t>1,025</w:t>
            </w:r>
          </w:p>
        </w:tc>
        <w:tc>
          <w:tcPr>
            <w:tcW w:w="1050" w:type="dxa"/>
            <w:tcBorders>
              <w:top w:val="single" w:color="000000" w:sz="6" w:space="0"/>
              <w:left w:val="single" w:color="000000" w:sz="6" w:space="0"/>
              <w:bottom w:val="single" w:color="000000" w:sz="6" w:space="0"/>
              <w:right w:val="single" w:color="000000" w:sz="6" w:space="0"/>
            </w:tcBorders>
          </w:tcPr>
          <w:p w:rsidR="00491371" w:rsidRDefault="00491371">
            <w:pPr>
              <w:numPr>
                <w:ilvl w:val="12"/>
                <w:numId w:val="0"/>
              </w:numPr>
              <w:spacing w:before="100" w:after="48"/>
              <w:jc w:val="center"/>
            </w:pPr>
            <w:r>
              <w:t>205</w:t>
            </w:r>
          </w:p>
        </w:tc>
      </w:tr>
    </w:tbl>
    <w:p w:rsidRPr="00F74AF6" w:rsidR="00DC329C" w:rsidRDefault="00DC329C">
      <w:pPr>
        <w:numPr>
          <w:ilvl w:val="12"/>
          <w:numId w:val="0"/>
        </w:numPr>
      </w:pPr>
    </w:p>
    <w:p w:rsidR="00F75289" w:rsidRDefault="00DC329C">
      <w:pPr>
        <w:numPr>
          <w:ilvl w:val="12"/>
          <w:numId w:val="0"/>
        </w:numPr>
        <w:ind w:left="1440"/>
        <w:rPr>
          <w:sz w:val="24"/>
          <w:szCs w:val="24"/>
        </w:rPr>
      </w:pPr>
      <w:r w:rsidRPr="00F74AF6">
        <w:rPr>
          <w:sz w:val="24"/>
          <w:szCs w:val="24"/>
        </w:rPr>
        <w:t>Based on information from the respondents, we estimate that the average time to complete the form is 15 minutes</w:t>
      </w:r>
      <w:r w:rsidR="00F75289">
        <w:rPr>
          <w:sz w:val="24"/>
          <w:szCs w:val="24"/>
        </w:rPr>
        <w:t>. Approximately 3,</w:t>
      </w:r>
      <w:r w:rsidR="00FB0170">
        <w:rPr>
          <w:sz w:val="24"/>
          <w:szCs w:val="24"/>
        </w:rPr>
        <w:t>5</w:t>
      </w:r>
      <w:r w:rsidR="00F75289">
        <w:rPr>
          <w:sz w:val="24"/>
          <w:szCs w:val="24"/>
        </w:rPr>
        <w:t>00 forms are mailed every 5 years, with</w:t>
      </w:r>
      <w:r w:rsidR="00537D3F">
        <w:rPr>
          <w:sz w:val="24"/>
          <w:szCs w:val="24"/>
        </w:rPr>
        <w:t xml:space="preserve"> approximately</w:t>
      </w:r>
      <w:r w:rsidR="00F75289">
        <w:rPr>
          <w:sz w:val="24"/>
          <w:szCs w:val="24"/>
        </w:rPr>
        <w:t xml:space="preserve"> </w:t>
      </w:r>
      <w:r w:rsidR="00537D3F">
        <w:rPr>
          <w:sz w:val="24"/>
          <w:szCs w:val="24"/>
        </w:rPr>
        <w:t>1</w:t>
      </w:r>
      <w:r w:rsidR="00F75289">
        <w:rPr>
          <w:sz w:val="24"/>
          <w:szCs w:val="24"/>
        </w:rPr>
        <w:t xml:space="preserve">50 </w:t>
      </w:r>
      <w:r w:rsidR="00537D3F">
        <w:rPr>
          <w:sz w:val="24"/>
          <w:szCs w:val="24"/>
        </w:rPr>
        <w:t>supplemental requests</w:t>
      </w:r>
      <w:r w:rsidR="00F75289">
        <w:rPr>
          <w:sz w:val="24"/>
          <w:szCs w:val="24"/>
        </w:rPr>
        <w:t xml:space="preserve"> via e-mail/phone for the four years following</w:t>
      </w:r>
      <w:r w:rsidR="00EB3489">
        <w:rPr>
          <w:sz w:val="24"/>
          <w:szCs w:val="24"/>
        </w:rPr>
        <w:t xml:space="preserve">.  This results in </w:t>
      </w:r>
      <w:r w:rsidR="00FB0170">
        <w:rPr>
          <w:sz w:val="24"/>
          <w:szCs w:val="24"/>
        </w:rPr>
        <w:t>1,025</w:t>
      </w:r>
      <w:r w:rsidR="00EB3489">
        <w:rPr>
          <w:sz w:val="24"/>
          <w:szCs w:val="24"/>
        </w:rPr>
        <w:t xml:space="preserve"> total burden hours over a five-year period, thus an average annual response burden of </w:t>
      </w:r>
      <w:r w:rsidR="00FB0170">
        <w:rPr>
          <w:sz w:val="24"/>
          <w:szCs w:val="24"/>
        </w:rPr>
        <w:t>205</w:t>
      </w:r>
      <w:r w:rsidR="00EB3489">
        <w:rPr>
          <w:sz w:val="24"/>
          <w:szCs w:val="24"/>
        </w:rPr>
        <w:t xml:space="preserve"> hours.  </w:t>
      </w:r>
    </w:p>
    <w:p w:rsidRPr="00C809DD" w:rsidR="00DC329C" w:rsidRDefault="00DC329C">
      <w:pPr>
        <w:numPr>
          <w:ilvl w:val="12"/>
          <w:numId w:val="0"/>
        </w:numPr>
        <w:ind w:left="1440"/>
        <w:rPr>
          <w:sz w:val="24"/>
          <w:szCs w:val="24"/>
          <w:highlight w:val="yellow"/>
        </w:rPr>
      </w:pPr>
    </w:p>
    <w:p w:rsidR="00DC329C" w:rsidRDefault="00DC329C">
      <w:pPr>
        <w:numPr>
          <w:ilvl w:val="0"/>
          <w:numId w:val="6"/>
        </w:numPr>
        <w:tabs>
          <w:tab w:val="left" w:pos="720"/>
        </w:tabs>
        <w:rPr>
          <w:b/>
          <w:bCs/>
          <w:sz w:val="24"/>
          <w:szCs w:val="24"/>
          <w:u w:val="single"/>
        </w:rPr>
      </w:pPr>
      <w:r>
        <w:rPr>
          <w:b/>
          <w:bCs/>
          <w:sz w:val="24"/>
          <w:szCs w:val="24"/>
          <w:u w:val="single"/>
        </w:rPr>
        <w:t>Estimate of Cost Burden</w:t>
      </w:r>
    </w:p>
    <w:p w:rsidR="00DC329C" w:rsidRDefault="00DC329C">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szCs w:val="24"/>
        </w:rPr>
      </w:pPr>
    </w:p>
    <w:p w:rsidR="00DC329C" w:rsidRDefault="00DC329C">
      <w:pPr>
        <w:tabs>
          <w:tab w:val="left" w:pos="720"/>
          <w:tab w:val="left" w:pos="1440"/>
        </w:tabs>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We do not expect respondents to incur any costs other than that of their time to respond.  The information requested is of the type and scope normally carried in state or local government office records and no special hardware or software system is necessary to provide answers to this information collection.  Therefore, respondents are not expected to incur start-up costs or system maintenance costs in responding.  Further, there is no need to purchase outside information collection services.</w:t>
      </w:r>
    </w:p>
    <w:p w:rsidR="00DC329C" w:rsidRDefault="00DC329C">
      <w:pPr>
        <w:ind w:left="1350"/>
        <w:rPr>
          <w:sz w:val="24"/>
          <w:szCs w:val="24"/>
        </w:rPr>
      </w:pPr>
    </w:p>
    <w:p w:rsidR="00DC329C" w:rsidRDefault="00DC329C">
      <w:pPr>
        <w:numPr>
          <w:ilvl w:val="12"/>
          <w:numId w:val="0"/>
        </w:numPr>
        <w:tabs>
          <w:tab w:val="left" w:pos="720"/>
          <w:tab w:val="left" w:pos="14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p>
    <w:p w:rsidR="00DC329C" w:rsidRDefault="00DC329C">
      <w:pPr>
        <w:numPr>
          <w:ilvl w:val="12"/>
          <w:numId w:val="0"/>
        </w:numPr>
        <w:rPr>
          <w:b/>
          <w:bCs/>
          <w:sz w:val="24"/>
          <w:szCs w:val="24"/>
        </w:rPr>
      </w:pPr>
    </w:p>
    <w:p w:rsidRPr="002E656D" w:rsidR="00DC329C" w:rsidRDefault="00DC329C">
      <w:pPr>
        <w:pStyle w:val="BodyTextIndent"/>
        <w:numPr>
          <w:ilvl w:val="12"/>
          <w:numId w:val="0"/>
        </w:numPr>
        <w:ind w:left="1440"/>
      </w:pPr>
      <w:r w:rsidRPr="009C2096">
        <w:rPr>
          <w:lang w:val="en-CA"/>
        </w:rPr>
        <w:fldChar w:fldCharType="begin"/>
      </w:r>
      <w:r w:rsidRPr="009C2096">
        <w:rPr>
          <w:lang w:val="en-CA"/>
        </w:rPr>
        <w:instrText xml:space="preserve"> SEQ CHAPTER \h \r 1</w:instrText>
      </w:r>
      <w:r w:rsidRPr="009C2096">
        <w:rPr>
          <w:lang w:val="en-CA"/>
        </w:rPr>
        <w:fldChar w:fldCharType="end"/>
      </w:r>
      <w:r w:rsidRPr="009C2096">
        <w:t xml:space="preserve">The estimated total cost </w:t>
      </w:r>
      <w:r w:rsidR="007607E0">
        <w:t>to the Federal Government for the</w:t>
      </w:r>
      <w:r w:rsidRPr="009C2096">
        <w:t xml:space="preserve"> Building Permits Program, of which this questionnaire is a part</w:t>
      </w:r>
      <w:r w:rsidRPr="00A86D33">
        <w:t>, is</w:t>
      </w:r>
      <w:r w:rsidR="007607E0">
        <w:t xml:space="preserve"> expected to be relatively fixed </w:t>
      </w:r>
      <w:r w:rsidR="007607E0">
        <w:lastRenderedPageBreak/>
        <w:t>over the upcoming three years at approximately</w:t>
      </w:r>
      <w:r w:rsidRPr="00A86D33">
        <w:rPr>
          <w:color w:val="FF0000"/>
        </w:rPr>
        <w:t xml:space="preserve"> </w:t>
      </w:r>
      <w:r w:rsidRPr="00A86D33" w:rsidR="005978C8">
        <w:t>$</w:t>
      </w:r>
      <w:r w:rsidRPr="00A86D33" w:rsidR="00A86D33">
        <w:t>2,</w:t>
      </w:r>
      <w:r w:rsidR="00A61DD4">
        <w:t>500,</w:t>
      </w:r>
      <w:r w:rsidRPr="00A86D33" w:rsidR="00A86D33">
        <w:t>000</w:t>
      </w:r>
      <w:r w:rsidRPr="00A86D33">
        <w:t>, all</w:t>
      </w:r>
      <w:r w:rsidRPr="009C2096">
        <w:t xml:space="preserve"> borne by the Census Bureau.</w:t>
      </w:r>
      <w:r w:rsidR="009C2096">
        <w:t xml:space="preserve">  </w:t>
      </w:r>
      <w:r w:rsidRPr="009C2096" w:rsidR="009C2096">
        <w:t>This estimate includes the cost for such things as data collection, processing, review of tabulated data, publication, equipment, overhead, printing, support staff, etc.</w:t>
      </w:r>
    </w:p>
    <w:p w:rsidRPr="003F4B9D" w:rsidR="00DC329C" w:rsidRDefault="00DC329C">
      <w:pPr>
        <w:numPr>
          <w:ilvl w:val="12"/>
          <w:numId w:val="0"/>
        </w:numPr>
        <w:rPr>
          <w:b/>
          <w:sz w:val="24"/>
          <w:szCs w:val="24"/>
        </w:rPr>
      </w:pPr>
    </w:p>
    <w:p w:rsidR="00DC329C" w:rsidRDefault="00DC329C">
      <w:pPr>
        <w:numPr>
          <w:ilvl w:val="12"/>
          <w:numId w:val="0"/>
        </w:numPr>
        <w:tabs>
          <w:tab w:val="left" w:pos="720"/>
          <w:tab w:val="left" w:pos="1440"/>
        </w:tabs>
        <w:ind w:left="1440" w:hanging="720"/>
        <w:rPr>
          <w:b/>
          <w:bCs/>
          <w:sz w:val="24"/>
          <w:szCs w:val="24"/>
        </w:rPr>
      </w:pPr>
      <w:r>
        <w:rPr>
          <w:b/>
          <w:bCs/>
          <w:sz w:val="24"/>
          <w:szCs w:val="24"/>
        </w:rPr>
        <w:t>15.</w:t>
      </w:r>
      <w:r>
        <w:rPr>
          <w:b/>
          <w:bCs/>
          <w:sz w:val="24"/>
          <w:szCs w:val="24"/>
        </w:rPr>
        <w:tab/>
      </w:r>
      <w:r>
        <w:rPr>
          <w:b/>
          <w:bCs/>
          <w:sz w:val="24"/>
          <w:szCs w:val="24"/>
          <w:u w:val="single"/>
        </w:rPr>
        <w:t>Reason for Change in Burden</w:t>
      </w:r>
      <w:r>
        <w:rPr>
          <w:b/>
          <w:bCs/>
          <w:sz w:val="24"/>
          <w:szCs w:val="24"/>
        </w:rPr>
        <w:t xml:space="preserve">   </w:t>
      </w:r>
    </w:p>
    <w:p w:rsidR="00DC329C" w:rsidRDefault="00DC329C">
      <w:pPr>
        <w:numPr>
          <w:ilvl w:val="12"/>
          <w:numId w:val="0"/>
        </w:numPr>
        <w:rPr>
          <w:sz w:val="24"/>
          <w:szCs w:val="24"/>
        </w:rPr>
      </w:pPr>
    </w:p>
    <w:p w:rsidR="00DC329C" w:rsidRDefault="003D418F">
      <w:pPr>
        <w:numPr>
          <w:ilvl w:val="12"/>
          <w:numId w:val="0"/>
        </w:numPr>
        <w:ind w:left="1440"/>
        <w:rPr>
          <w:sz w:val="24"/>
          <w:szCs w:val="24"/>
        </w:rPr>
      </w:pPr>
      <w:r>
        <w:rPr>
          <w:sz w:val="24"/>
          <w:szCs w:val="24"/>
        </w:rPr>
        <w:t xml:space="preserve">The burden hours </w:t>
      </w:r>
      <w:r w:rsidR="00491371">
        <w:rPr>
          <w:sz w:val="24"/>
          <w:szCs w:val="24"/>
        </w:rPr>
        <w:t>were</w:t>
      </w:r>
      <w:r>
        <w:rPr>
          <w:sz w:val="24"/>
          <w:szCs w:val="24"/>
        </w:rPr>
        <w:t xml:space="preserve"> reduced from the last submission from 500 annual hours to 205 annual hours due to an effort to reduce collection and processing costs.  Starting in 2017, it was decided to send the form only to jurisdictions most likely to report a coverage change and jurisdictions that do not report to us on a regular annual basis.  This reduced the mailout from approximately 10,000 forms to 3,500, thus reducing the annual burden hours.</w:t>
      </w:r>
    </w:p>
    <w:p w:rsidR="00DC329C" w:rsidRDefault="00DC329C">
      <w:pPr>
        <w:numPr>
          <w:ilvl w:val="12"/>
          <w:numId w:val="0"/>
        </w:numPr>
        <w:rPr>
          <w:sz w:val="24"/>
          <w:szCs w:val="24"/>
        </w:rPr>
      </w:pPr>
    </w:p>
    <w:p w:rsidR="00DC329C" w:rsidRDefault="00DC329C">
      <w:pPr>
        <w:numPr>
          <w:ilvl w:val="0"/>
          <w:numId w:val="7"/>
        </w:numPr>
        <w:tabs>
          <w:tab w:val="left" w:pos="720"/>
        </w:tabs>
        <w:rPr>
          <w:b/>
          <w:bCs/>
          <w:sz w:val="24"/>
          <w:szCs w:val="24"/>
          <w:u w:val="single"/>
        </w:rPr>
      </w:pPr>
      <w:r>
        <w:rPr>
          <w:b/>
          <w:bCs/>
          <w:sz w:val="24"/>
          <w:szCs w:val="24"/>
          <w:u w:val="single"/>
        </w:rPr>
        <w:t>Project Schedule</w:t>
      </w:r>
    </w:p>
    <w:p w:rsidR="00DC329C" w:rsidRDefault="00DC329C">
      <w:pPr>
        <w:tabs>
          <w:tab w:val="left" w:pos="720"/>
        </w:tabs>
        <w:ind w:left="720"/>
        <w:rPr>
          <w:sz w:val="24"/>
          <w:szCs w:val="24"/>
          <w:lang w:val="en-CA"/>
        </w:rPr>
      </w:pPr>
    </w:p>
    <w:p w:rsidR="00DC329C" w:rsidRDefault="00DC329C">
      <w:pPr>
        <w:tabs>
          <w:tab w:val="left" w:pos="720"/>
        </w:tabs>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We collect the information on a continuous basis.  This information is stored in a database and is used to maintain and update our universe of permit-issuing places and to select new samples for the BPS and S</w:t>
      </w:r>
      <w:r w:rsidR="00F52870">
        <w:rPr>
          <w:sz w:val="24"/>
          <w:szCs w:val="24"/>
        </w:rPr>
        <w:t>OC</w:t>
      </w:r>
      <w:r w:rsidR="00C809DD">
        <w:rPr>
          <w:sz w:val="24"/>
          <w:szCs w:val="24"/>
        </w:rPr>
        <w:t xml:space="preserve"> </w:t>
      </w:r>
      <w:r>
        <w:rPr>
          <w:sz w:val="24"/>
          <w:szCs w:val="24"/>
        </w:rPr>
        <w:t>every 10 years.</w:t>
      </w:r>
    </w:p>
    <w:p w:rsidR="00DC329C" w:rsidRDefault="00DC329C">
      <w:pPr>
        <w:ind w:left="1350"/>
        <w:rPr>
          <w:sz w:val="24"/>
          <w:szCs w:val="24"/>
        </w:rPr>
      </w:pPr>
    </w:p>
    <w:p w:rsidR="00DC329C" w:rsidRDefault="00DC329C">
      <w:pPr>
        <w:numPr>
          <w:ilvl w:val="12"/>
          <w:numId w:val="0"/>
        </w:numPr>
        <w:tabs>
          <w:tab w:val="left" w:pos="720"/>
          <w:tab w:val="left" w:pos="1440"/>
        </w:tabs>
        <w:ind w:left="1440" w:hanging="720"/>
        <w:rPr>
          <w:b/>
          <w:bCs/>
          <w:sz w:val="24"/>
          <w:szCs w:val="24"/>
        </w:rPr>
      </w:pPr>
      <w:r>
        <w:rPr>
          <w:b/>
          <w:bCs/>
          <w:sz w:val="24"/>
          <w:szCs w:val="24"/>
        </w:rPr>
        <w:t>17.</w:t>
      </w:r>
      <w:r>
        <w:rPr>
          <w:b/>
          <w:bCs/>
          <w:sz w:val="24"/>
          <w:szCs w:val="24"/>
        </w:rPr>
        <w:tab/>
      </w:r>
      <w:r>
        <w:rPr>
          <w:b/>
          <w:bCs/>
          <w:sz w:val="24"/>
          <w:szCs w:val="24"/>
          <w:u w:val="single"/>
        </w:rPr>
        <w:t>Request to Not Display Expiration Date</w:t>
      </w:r>
    </w:p>
    <w:p w:rsidR="00DC329C" w:rsidRDefault="00DC329C">
      <w:pPr>
        <w:numPr>
          <w:ilvl w:val="12"/>
          <w:numId w:val="0"/>
        </w:numPr>
        <w:ind w:left="1440"/>
        <w:rPr>
          <w:sz w:val="24"/>
          <w:szCs w:val="24"/>
        </w:rPr>
      </w:pPr>
    </w:p>
    <w:p w:rsidR="00DC329C" w:rsidRDefault="00DC329C">
      <w:pPr>
        <w:pStyle w:val="BodyTextIndent"/>
      </w:pPr>
      <w:r>
        <w:t>The expiration date will be printed on the form.</w:t>
      </w:r>
    </w:p>
    <w:p w:rsidR="00DC329C" w:rsidRDefault="00DC329C">
      <w:pPr>
        <w:numPr>
          <w:ilvl w:val="12"/>
          <w:numId w:val="0"/>
        </w:numPr>
        <w:ind w:left="1440"/>
        <w:rPr>
          <w:sz w:val="24"/>
          <w:szCs w:val="24"/>
        </w:rPr>
      </w:pPr>
    </w:p>
    <w:p w:rsidR="00DC329C" w:rsidRDefault="00DC329C">
      <w:pPr>
        <w:numPr>
          <w:ilvl w:val="12"/>
          <w:numId w:val="0"/>
        </w:numPr>
        <w:tabs>
          <w:tab w:val="left" w:pos="720"/>
          <w:tab w:val="left" w:pos="1440"/>
        </w:tabs>
        <w:ind w:left="1440" w:hanging="720"/>
        <w:rPr>
          <w:b/>
          <w:bCs/>
          <w:sz w:val="24"/>
          <w:szCs w:val="24"/>
        </w:rPr>
      </w:pPr>
      <w:r>
        <w:rPr>
          <w:b/>
          <w:bCs/>
          <w:sz w:val="24"/>
          <w:szCs w:val="24"/>
        </w:rPr>
        <w:t>18.</w:t>
      </w:r>
      <w:r>
        <w:rPr>
          <w:b/>
          <w:bCs/>
          <w:sz w:val="24"/>
          <w:szCs w:val="24"/>
        </w:rPr>
        <w:tab/>
      </w:r>
      <w:r>
        <w:rPr>
          <w:b/>
          <w:bCs/>
          <w:sz w:val="24"/>
          <w:szCs w:val="24"/>
          <w:u w:val="single"/>
        </w:rPr>
        <w:t>Exceptions to the Certification</w:t>
      </w:r>
    </w:p>
    <w:p w:rsidR="00DC329C" w:rsidRDefault="00DC329C">
      <w:pPr>
        <w:numPr>
          <w:ilvl w:val="12"/>
          <w:numId w:val="0"/>
        </w:numPr>
        <w:rPr>
          <w:sz w:val="24"/>
          <w:szCs w:val="24"/>
        </w:rPr>
      </w:pPr>
    </w:p>
    <w:p w:rsidR="00DC329C" w:rsidRDefault="00DC329C">
      <w:pPr>
        <w:pStyle w:val="BodyTextIndent"/>
        <w:numPr>
          <w:ilvl w:val="12"/>
          <w:numId w:val="0"/>
        </w:numPr>
        <w:ind w:left="1440"/>
      </w:pPr>
      <w:r>
        <w:t>There are no exceptions.</w:t>
      </w:r>
    </w:p>
    <w:sectPr w:rsidR="00DC329C">
      <w:headerReference w:type="default" r:id="rId11"/>
      <w:footnotePr>
        <w:numRestart w:val="eachPage"/>
      </w:footnotePr>
      <w:endnotePr>
        <w:numFmt w:val="decimal"/>
      </w:endnotePr>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7EA" w:rsidRDefault="00A707EA">
      <w:r>
        <w:separator/>
      </w:r>
    </w:p>
  </w:endnote>
  <w:endnote w:type="continuationSeparator" w:id="0">
    <w:p w:rsidR="00A707EA" w:rsidRDefault="00A7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7EA" w:rsidRDefault="00A707EA">
      <w:r>
        <w:separator/>
      </w:r>
    </w:p>
  </w:footnote>
  <w:footnote w:type="continuationSeparator" w:id="0">
    <w:p w:rsidR="00A707EA" w:rsidRDefault="00A7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2FD" w:rsidRDefault="009462FD">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BC437B">
      <w:rPr>
        <w:noProof/>
        <w:sz w:val="24"/>
        <w:szCs w:val="24"/>
      </w:rPr>
      <w:t>2</w:t>
    </w:r>
    <w:r>
      <w:rPr>
        <w:sz w:val="24"/>
        <w:szCs w:val="24"/>
      </w:rPr>
      <w:fldChar w:fldCharType="end"/>
    </w:r>
  </w:p>
  <w:p w:rsidR="009462FD" w:rsidRDefault="009462FD">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2FD" w:rsidRDefault="009462FD">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BC437B">
      <w:rPr>
        <w:noProof/>
        <w:sz w:val="24"/>
        <w:szCs w:val="24"/>
      </w:rPr>
      <w:t>5</w:t>
    </w:r>
    <w:r>
      <w:rPr>
        <w:sz w:val="24"/>
        <w:szCs w:val="24"/>
      </w:rPr>
      <w:fldChar w:fldCharType="end"/>
    </w:r>
  </w:p>
  <w:p w:rsidR="009462FD" w:rsidRDefault="009462FD">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1DE46725"/>
    <w:multiLevelType w:val="hybridMultilevel"/>
    <w:tmpl w:val="A4CE0D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847312"/>
    <w:multiLevelType w:val="hybridMultilevel"/>
    <w:tmpl w:val="4494677C"/>
    <w:lvl w:ilvl="0" w:tplc="720CCD44">
      <w:start w:val="13"/>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1232BB"/>
    <w:multiLevelType w:val="hybridMultilevel"/>
    <w:tmpl w:val="21200F24"/>
    <w:lvl w:ilvl="0" w:tplc="7386420C">
      <w:start w:val="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E362CDF"/>
    <w:multiLevelType w:val="hybridMultilevel"/>
    <w:tmpl w:val="06B0FF30"/>
    <w:lvl w:ilvl="0" w:tplc="D764CE04">
      <w:start w:val="1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514F10DA"/>
    <w:multiLevelType w:val="hybridMultilevel"/>
    <w:tmpl w:val="56DE017A"/>
    <w:lvl w:ilvl="0" w:tplc="C4604604">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385F1E"/>
    <w:multiLevelType w:val="hybridMultilevel"/>
    <w:tmpl w:val="83D02C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AF53674"/>
    <w:multiLevelType w:val="hybridMultilevel"/>
    <w:tmpl w:val="C3E4B382"/>
    <w:lvl w:ilvl="0" w:tplc="D29E861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6"/>
  </w:num>
  <w:num w:numId="8">
    <w:abstractNumId w:val="8"/>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3F4B9D"/>
    <w:rsid w:val="000121D3"/>
    <w:rsid w:val="00014863"/>
    <w:rsid w:val="0002417D"/>
    <w:rsid w:val="00036220"/>
    <w:rsid w:val="00051325"/>
    <w:rsid w:val="000705A7"/>
    <w:rsid w:val="00075B25"/>
    <w:rsid w:val="00076B52"/>
    <w:rsid w:val="000A614F"/>
    <w:rsid w:val="000A7335"/>
    <w:rsid w:val="000D1EB8"/>
    <w:rsid w:val="000D5DBD"/>
    <w:rsid w:val="000D75C6"/>
    <w:rsid w:val="001043C9"/>
    <w:rsid w:val="00126FEA"/>
    <w:rsid w:val="00134F19"/>
    <w:rsid w:val="001439C4"/>
    <w:rsid w:val="00175452"/>
    <w:rsid w:val="001A2BE9"/>
    <w:rsid w:val="001C0643"/>
    <w:rsid w:val="001C5BC8"/>
    <w:rsid w:val="001D1C8F"/>
    <w:rsid w:val="00252331"/>
    <w:rsid w:val="002526F8"/>
    <w:rsid w:val="002546F3"/>
    <w:rsid w:val="00264830"/>
    <w:rsid w:val="00271731"/>
    <w:rsid w:val="002903F4"/>
    <w:rsid w:val="002A4447"/>
    <w:rsid w:val="002B15A8"/>
    <w:rsid w:val="002B3BF2"/>
    <w:rsid w:val="002E656D"/>
    <w:rsid w:val="002F623F"/>
    <w:rsid w:val="0030141B"/>
    <w:rsid w:val="00321586"/>
    <w:rsid w:val="003232BB"/>
    <w:rsid w:val="00335FB2"/>
    <w:rsid w:val="00343297"/>
    <w:rsid w:val="00350EB7"/>
    <w:rsid w:val="0035234F"/>
    <w:rsid w:val="00363C29"/>
    <w:rsid w:val="00390356"/>
    <w:rsid w:val="003D2B94"/>
    <w:rsid w:val="003D418F"/>
    <w:rsid w:val="003D65EC"/>
    <w:rsid w:val="003E0334"/>
    <w:rsid w:val="003F2A22"/>
    <w:rsid w:val="003F2BB8"/>
    <w:rsid w:val="003F4B9D"/>
    <w:rsid w:val="003F4BCA"/>
    <w:rsid w:val="00447328"/>
    <w:rsid w:val="00451006"/>
    <w:rsid w:val="00491371"/>
    <w:rsid w:val="004E2700"/>
    <w:rsid w:val="00502A53"/>
    <w:rsid w:val="00512051"/>
    <w:rsid w:val="0051221A"/>
    <w:rsid w:val="00515CB0"/>
    <w:rsid w:val="00537D3F"/>
    <w:rsid w:val="0054633D"/>
    <w:rsid w:val="00556F62"/>
    <w:rsid w:val="00562A0A"/>
    <w:rsid w:val="00563C37"/>
    <w:rsid w:val="00565998"/>
    <w:rsid w:val="00583E64"/>
    <w:rsid w:val="005978C8"/>
    <w:rsid w:val="005C3A9D"/>
    <w:rsid w:val="005C5E09"/>
    <w:rsid w:val="005E47F3"/>
    <w:rsid w:val="00620A92"/>
    <w:rsid w:val="006217B6"/>
    <w:rsid w:val="00626C82"/>
    <w:rsid w:val="00630860"/>
    <w:rsid w:val="006404D0"/>
    <w:rsid w:val="00653B99"/>
    <w:rsid w:val="00654112"/>
    <w:rsid w:val="006B0B84"/>
    <w:rsid w:val="006C0879"/>
    <w:rsid w:val="006C22AE"/>
    <w:rsid w:val="006F0E39"/>
    <w:rsid w:val="006F3D7A"/>
    <w:rsid w:val="0070350A"/>
    <w:rsid w:val="0071147C"/>
    <w:rsid w:val="00717CE1"/>
    <w:rsid w:val="00745DFD"/>
    <w:rsid w:val="007607E0"/>
    <w:rsid w:val="007900CD"/>
    <w:rsid w:val="007914C2"/>
    <w:rsid w:val="007A2C39"/>
    <w:rsid w:val="007B1D88"/>
    <w:rsid w:val="007D0859"/>
    <w:rsid w:val="007E0FFE"/>
    <w:rsid w:val="007E43CE"/>
    <w:rsid w:val="007E70A2"/>
    <w:rsid w:val="008022D5"/>
    <w:rsid w:val="00807484"/>
    <w:rsid w:val="0081284B"/>
    <w:rsid w:val="00851A1A"/>
    <w:rsid w:val="00860452"/>
    <w:rsid w:val="008610ED"/>
    <w:rsid w:val="00861115"/>
    <w:rsid w:val="00863C28"/>
    <w:rsid w:val="00871C0A"/>
    <w:rsid w:val="0087488C"/>
    <w:rsid w:val="008C75A5"/>
    <w:rsid w:val="00933667"/>
    <w:rsid w:val="009420D6"/>
    <w:rsid w:val="009462FD"/>
    <w:rsid w:val="00965321"/>
    <w:rsid w:val="009960E1"/>
    <w:rsid w:val="009A43B6"/>
    <w:rsid w:val="009B1782"/>
    <w:rsid w:val="009B41C2"/>
    <w:rsid w:val="009C2096"/>
    <w:rsid w:val="009E0B92"/>
    <w:rsid w:val="009F5BDD"/>
    <w:rsid w:val="00A1646D"/>
    <w:rsid w:val="00A26957"/>
    <w:rsid w:val="00A4176F"/>
    <w:rsid w:val="00A47BA2"/>
    <w:rsid w:val="00A5793F"/>
    <w:rsid w:val="00A61DD4"/>
    <w:rsid w:val="00A707EA"/>
    <w:rsid w:val="00A74883"/>
    <w:rsid w:val="00A86D33"/>
    <w:rsid w:val="00AB18D0"/>
    <w:rsid w:val="00AC73A9"/>
    <w:rsid w:val="00AD18C4"/>
    <w:rsid w:val="00B1103D"/>
    <w:rsid w:val="00B12071"/>
    <w:rsid w:val="00B16E18"/>
    <w:rsid w:val="00B208FC"/>
    <w:rsid w:val="00B20D2F"/>
    <w:rsid w:val="00B24CE3"/>
    <w:rsid w:val="00B262D2"/>
    <w:rsid w:val="00B3080D"/>
    <w:rsid w:val="00B34ECD"/>
    <w:rsid w:val="00B76948"/>
    <w:rsid w:val="00B77E6A"/>
    <w:rsid w:val="00B80BA2"/>
    <w:rsid w:val="00BA0CAD"/>
    <w:rsid w:val="00BA28E1"/>
    <w:rsid w:val="00BA5AD3"/>
    <w:rsid w:val="00BA76C5"/>
    <w:rsid w:val="00BB0930"/>
    <w:rsid w:val="00BB10DA"/>
    <w:rsid w:val="00BB4545"/>
    <w:rsid w:val="00BC437B"/>
    <w:rsid w:val="00BF2BAC"/>
    <w:rsid w:val="00C00162"/>
    <w:rsid w:val="00C0361A"/>
    <w:rsid w:val="00C043A9"/>
    <w:rsid w:val="00C05DB2"/>
    <w:rsid w:val="00C06686"/>
    <w:rsid w:val="00C12982"/>
    <w:rsid w:val="00C21054"/>
    <w:rsid w:val="00C23E2A"/>
    <w:rsid w:val="00C24590"/>
    <w:rsid w:val="00C24DA5"/>
    <w:rsid w:val="00C271E2"/>
    <w:rsid w:val="00C3270C"/>
    <w:rsid w:val="00C358D4"/>
    <w:rsid w:val="00C378F3"/>
    <w:rsid w:val="00C43FE1"/>
    <w:rsid w:val="00C47C4A"/>
    <w:rsid w:val="00C73291"/>
    <w:rsid w:val="00C809DD"/>
    <w:rsid w:val="00CA3292"/>
    <w:rsid w:val="00CB16E1"/>
    <w:rsid w:val="00CB682A"/>
    <w:rsid w:val="00CE56E9"/>
    <w:rsid w:val="00CF41C4"/>
    <w:rsid w:val="00CF7288"/>
    <w:rsid w:val="00D060B8"/>
    <w:rsid w:val="00D07788"/>
    <w:rsid w:val="00D12A46"/>
    <w:rsid w:val="00D94E72"/>
    <w:rsid w:val="00D972AC"/>
    <w:rsid w:val="00DA11AD"/>
    <w:rsid w:val="00DC0EA0"/>
    <w:rsid w:val="00DC329C"/>
    <w:rsid w:val="00DE75EC"/>
    <w:rsid w:val="00E15293"/>
    <w:rsid w:val="00E2386F"/>
    <w:rsid w:val="00E3687C"/>
    <w:rsid w:val="00E44490"/>
    <w:rsid w:val="00E83B7E"/>
    <w:rsid w:val="00E90787"/>
    <w:rsid w:val="00E91EE9"/>
    <w:rsid w:val="00E9566D"/>
    <w:rsid w:val="00EB3489"/>
    <w:rsid w:val="00EB4159"/>
    <w:rsid w:val="00EC0E4F"/>
    <w:rsid w:val="00ED3EBD"/>
    <w:rsid w:val="00EE3D9B"/>
    <w:rsid w:val="00EE50D2"/>
    <w:rsid w:val="00F319C6"/>
    <w:rsid w:val="00F52870"/>
    <w:rsid w:val="00F74AF6"/>
    <w:rsid w:val="00F75289"/>
    <w:rsid w:val="00FA039E"/>
    <w:rsid w:val="00FB0170"/>
    <w:rsid w:val="00FC3290"/>
    <w:rsid w:val="00FD19C4"/>
    <w:rsid w:val="00FD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663551-250C-4990-9058-1CF500C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ind w:left="2160"/>
      <w:outlineLvl w:val="7"/>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link w:val="BodyTextIndentChar"/>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style>
  <w:style w:type="character" w:styleId="CommentReference">
    <w:name w:val="annotation reference"/>
    <w:uiPriority w:val="99"/>
    <w:semiHidden/>
    <w:unhideWhenUsed/>
    <w:rsid w:val="00264830"/>
    <w:rPr>
      <w:sz w:val="16"/>
      <w:szCs w:val="16"/>
    </w:rPr>
  </w:style>
  <w:style w:type="paragraph" w:styleId="CommentText">
    <w:name w:val="annotation text"/>
    <w:basedOn w:val="Normal"/>
    <w:link w:val="CommentTextChar"/>
    <w:uiPriority w:val="99"/>
    <w:semiHidden/>
    <w:unhideWhenUsed/>
    <w:rsid w:val="00264830"/>
  </w:style>
  <w:style w:type="character" w:customStyle="1" w:styleId="CommentTextChar">
    <w:name w:val="Comment Text Char"/>
    <w:basedOn w:val="DefaultParagraphFont"/>
    <w:link w:val="CommentText"/>
    <w:uiPriority w:val="99"/>
    <w:semiHidden/>
    <w:rsid w:val="00264830"/>
  </w:style>
  <w:style w:type="paragraph" w:styleId="CommentSubject">
    <w:name w:val="annotation subject"/>
    <w:basedOn w:val="CommentText"/>
    <w:next w:val="CommentText"/>
    <w:link w:val="CommentSubjectChar"/>
    <w:uiPriority w:val="99"/>
    <w:semiHidden/>
    <w:unhideWhenUsed/>
    <w:rsid w:val="00264830"/>
    <w:rPr>
      <w:b/>
      <w:bCs/>
    </w:rPr>
  </w:style>
  <w:style w:type="character" w:customStyle="1" w:styleId="CommentSubjectChar">
    <w:name w:val="Comment Subject Char"/>
    <w:link w:val="CommentSubject"/>
    <w:uiPriority w:val="99"/>
    <w:semiHidden/>
    <w:rsid w:val="00264830"/>
    <w:rPr>
      <w:b/>
      <w:bCs/>
    </w:rPr>
  </w:style>
  <w:style w:type="paragraph" w:styleId="BalloonText">
    <w:name w:val="Balloon Text"/>
    <w:basedOn w:val="Normal"/>
    <w:link w:val="BalloonTextChar"/>
    <w:uiPriority w:val="99"/>
    <w:semiHidden/>
    <w:unhideWhenUsed/>
    <w:rsid w:val="00264830"/>
    <w:rPr>
      <w:rFonts w:ascii="Tahoma" w:hAnsi="Tahoma" w:cs="Tahoma"/>
      <w:sz w:val="16"/>
      <w:szCs w:val="16"/>
    </w:rPr>
  </w:style>
  <w:style w:type="character" w:customStyle="1" w:styleId="BalloonTextChar">
    <w:name w:val="Balloon Text Char"/>
    <w:link w:val="BalloonText"/>
    <w:uiPriority w:val="99"/>
    <w:semiHidden/>
    <w:rsid w:val="00264830"/>
    <w:rPr>
      <w:rFonts w:ascii="Tahoma" w:hAnsi="Tahoma" w:cs="Tahoma"/>
      <w:sz w:val="16"/>
      <w:szCs w:val="16"/>
    </w:rPr>
  </w:style>
  <w:style w:type="character" w:styleId="Emphasis">
    <w:name w:val="Emphasis"/>
    <w:uiPriority w:val="20"/>
    <w:qFormat/>
    <w:rsid w:val="005978C8"/>
    <w:rPr>
      <w:i/>
      <w:iCs/>
    </w:rPr>
  </w:style>
  <w:style w:type="character" w:customStyle="1" w:styleId="BodyTextIndentChar">
    <w:name w:val="Body Text Indent Char"/>
    <w:link w:val="BodyTextIndent"/>
    <w:semiHidden/>
    <w:rsid w:val="00562A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84227">
      <w:bodyDiv w:val="1"/>
      <w:marLeft w:val="0"/>
      <w:marRight w:val="0"/>
      <w:marTop w:val="0"/>
      <w:marBottom w:val="0"/>
      <w:divBdr>
        <w:top w:val="none" w:sz="0" w:space="0" w:color="auto"/>
        <w:left w:val="none" w:sz="0" w:space="0" w:color="auto"/>
        <w:bottom w:val="none" w:sz="0" w:space="0" w:color="auto"/>
        <w:right w:val="none" w:sz="0" w:space="0" w:color="auto"/>
      </w:divBdr>
      <w:divsChild>
        <w:div w:id="255409042">
          <w:marLeft w:val="0"/>
          <w:marRight w:val="0"/>
          <w:marTop w:val="0"/>
          <w:marBottom w:val="0"/>
          <w:divBdr>
            <w:top w:val="none" w:sz="0" w:space="0" w:color="auto"/>
            <w:left w:val="none" w:sz="0" w:space="0" w:color="auto"/>
            <w:bottom w:val="none" w:sz="0" w:space="0" w:color="auto"/>
            <w:right w:val="none" w:sz="0" w:space="0" w:color="auto"/>
          </w:divBdr>
          <w:divsChild>
            <w:div w:id="1504929693">
              <w:marLeft w:val="0"/>
              <w:marRight w:val="0"/>
              <w:marTop w:val="0"/>
              <w:marBottom w:val="0"/>
              <w:divBdr>
                <w:top w:val="none" w:sz="0" w:space="0" w:color="auto"/>
                <w:left w:val="single" w:sz="6" w:space="0" w:color="E2E2E2"/>
                <w:bottom w:val="none" w:sz="0" w:space="0" w:color="auto"/>
                <w:right w:val="single" w:sz="6" w:space="0" w:color="E2E2E2"/>
              </w:divBdr>
              <w:divsChild>
                <w:div w:id="1922523195">
                  <w:marLeft w:val="0"/>
                  <w:marRight w:val="0"/>
                  <w:marTop w:val="0"/>
                  <w:marBottom w:val="0"/>
                  <w:divBdr>
                    <w:top w:val="none" w:sz="0" w:space="0" w:color="auto"/>
                    <w:left w:val="none" w:sz="0" w:space="0" w:color="auto"/>
                    <w:bottom w:val="none" w:sz="0" w:space="0" w:color="auto"/>
                    <w:right w:val="none" w:sz="0" w:space="0" w:color="auto"/>
                  </w:divBdr>
                  <w:divsChild>
                    <w:div w:id="1964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59577-84ED-4D82-94F6-7145C6806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B5A69A-0A29-4EC8-9DAF-A883300E614F}">
  <ds:schemaRefs>
    <ds:schemaRef ds:uri="http://schemas.microsoft.com/sharepoint/v3/contenttype/forms"/>
  </ds:schemaRefs>
</ds:datastoreItem>
</file>

<file path=customXml/itemProps3.xml><?xml version="1.0" encoding="utf-8"?>
<ds:datastoreItem xmlns:ds="http://schemas.openxmlformats.org/officeDocument/2006/customXml" ds:itemID="{11FF5AA7-58BE-42AD-A997-8E7B9C2EBB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cp:lastModifiedBy>Thomas J Smith (CENSUS/EMD FED)</cp:lastModifiedBy>
  <cp:revision>2</cp:revision>
  <cp:lastPrinted>2014-06-30T18:37:00Z</cp:lastPrinted>
  <dcterms:created xsi:type="dcterms:W3CDTF">2021-01-21T13:47:00Z</dcterms:created>
  <dcterms:modified xsi:type="dcterms:W3CDTF">2021-01-21T13:47:00Z</dcterms:modified>
</cp:coreProperties>
</file>