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36DB" w:rsidR="00757F0F" w:rsidP="00757F0F" w:rsidRDefault="00757F0F" w14:paraId="69DB5DD5" w14:textId="699E0E32">
      <w:pPr>
        <w:jc w:val="center"/>
        <w:rPr>
          <w:b/>
          <w:bCs/>
        </w:rPr>
      </w:pPr>
      <w:r w:rsidRPr="00D136DB">
        <w:rPr>
          <w:b/>
          <w:bCs/>
        </w:rPr>
        <w:t>Department of Commerce</w:t>
      </w:r>
    </w:p>
    <w:p w:rsidR="00757F0F" w:rsidP="00757F0F" w:rsidRDefault="00757F0F" w14:paraId="1FABADC4" w14:textId="1C344992">
      <w:pPr>
        <w:jc w:val="center"/>
        <w:rPr>
          <w:b/>
          <w:bCs/>
        </w:rPr>
      </w:pPr>
      <w:r w:rsidRPr="00D136DB">
        <w:rPr>
          <w:b/>
          <w:bCs/>
        </w:rPr>
        <w:t>U.S. Census Bureau</w:t>
      </w:r>
    </w:p>
    <w:p w:rsidRPr="00D136DB" w:rsidR="00525893" w:rsidP="00757F0F" w:rsidRDefault="00525893" w14:paraId="1CF737A3" w14:textId="3E0F5632">
      <w:pPr>
        <w:jc w:val="center"/>
        <w:rPr>
          <w:b/>
          <w:bCs/>
        </w:rPr>
      </w:pPr>
      <w:r>
        <w:rPr>
          <w:b/>
          <w:bCs/>
        </w:rPr>
        <w:t>OMB Information Collection Request</w:t>
      </w:r>
    </w:p>
    <w:p w:rsidRPr="00D136DB" w:rsidR="00757F0F" w:rsidP="00757F0F" w:rsidRDefault="00757F0F" w14:paraId="1835F592" w14:textId="77777777">
      <w:pPr>
        <w:jc w:val="center"/>
      </w:pPr>
      <w:r w:rsidRPr="00D136DB">
        <w:rPr>
          <w:b/>
          <w:bCs/>
        </w:rPr>
        <w:t>Quarterly Services Survey</w:t>
      </w:r>
    </w:p>
    <w:p w:rsidRPr="00D136DB" w:rsidR="00757F0F" w:rsidP="00757F0F" w:rsidRDefault="00757F0F" w14:paraId="691AB2CF" w14:textId="77777777">
      <w:pPr>
        <w:tabs>
          <w:tab w:val="center" w:pos="4680"/>
        </w:tabs>
      </w:pPr>
      <w:r w:rsidRPr="00D136DB">
        <w:tab/>
      </w:r>
      <w:r w:rsidRPr="00D136DB">
        <w:rPr>
          <w:b/>
          <w:bCs/>
        </w:rPr>
        <w:t>OMB Control Number 0607-0907</w:t>
      </w:r>
    </w:p>
    <w:p w:rsidRPr="00D136DB" w:rsidR="00757F0F" w:rsidP="00757F0F" w:rsidRDefault="00757F0F" w14:paraId="404AA80F" w14:textId="77777777"/>
    <w:p w:rsidRPr="00D136DB" w:rsidR="00757F0F" w:rsidP="00757F0F" w:rsidRDefault="00757F0F" w14:paraId="0B1E20C4" w14:textId="77777777">
      <w:pPr>
        <w:pStyle w:val="QuickA"/>
        <w:tabs>
          <w:tab w:val="left" w:pos="-1440"/>
          <w:tab w:val="num" w:pos="720"/>
        </w:tabs>
        <w:rPr>
          <w:b/>
          <w:sz w:val="28"/>
          <w:szCs w:val="28"/>
        </w:rPr>
      </w:pPr>
      <w:r w:rsidRPr="00D136DB">
        <w:rPr>
          <w:b/>
          <w:sz w:val="28"/>
          <w:szCs w:val="28"/>
        </w:rPr>
        <w:t>Justification</w:t>
      </w:r>
    </w:p>
    <w:p w:rsidRPr="00D136DB" w:rsidR="00757F0F" w:rsidP="00757F0F" w:rsidRDefault="00757F0F" w14:paraId="1DDBC676" w14:textId="77777777"/>
    <w:p w:rsidRPr="00D136DB" w:rsidR="00757F0F" w:rsidP="000756CC" w:rsidRDefault="00757F0F" w14:paraId="13596CBE" w14:textId="77777777">
      <w:pPr>
        <w:pStyle w:val="Quick1"/>
        <w:numPr>
          <w:ilvl w:val="0"/>
          <w:numId w:val="2"/>
        </w:numPr>
        <w:tabs>
          <w:tab w:val="left" w:pos="-1440"/>
          <w:tab w:val="num" w:pos="1440"/>
        </w:tabs>
        <w:ind w:left="1440" w:hanging="720"/>
        <w:rPr>
          <w:b/>
        </w:rPr>
      </w:pPr>
      <w:r w:rsidRPr="00D136DB">
        <w:rPr>
          <w:b/>
          <w:u w:val="single"/>
        </w:rPr>
        <w:t>Necessity of the Information Collection</w:t>
      </w:r>
    </w:p>
    <w:p w:rsidRPr="00D136DB" w:rsidR="00757F0F" w:rsidP="00757F0F" w:rsidRDefault="00757F0F" w14:paraId="68AD80A0" w14:textId="77777777">
      <w:pPr>
        <w:tabs>
          <w:tab w:val="left" w:pos="0"/>
        </w:tabs>
        <w:ind w:left="1440"/>
      </w:pPr>
    </w:p>
    <w:p w:rsidR="00FB742E" w:rsidP="002A3B5A" w:rsidRDefault="000628D3" w14:paraId="26F3E14F" w14:textId="6AAC6D38">
      <w:pPr>
        <w:ind w:left="1440"/>
      </w:pPr>
      <w:r>
        <w:t xml:space="preserve">The U.S. Census Bureau requests an extension, without change of the Quarterly Services Survey (QSS). </w:t>
      </w:r>
      <w:r w:rsidR="00267DDF">
        <w:t>In the 1980s, it was determined that the service economy</w:t>
      </w:r>
      <w:r w:rsidR="002E20EF">
        <w:t>, despite its growing importance and share of Gross Domestic Product (GDP),</w:t>
      </w:r>
      <w:r w:rsidR="00267DDF">
        <w:t xml:space="preserve"> was not adequately covered by</w:t>
      </w:r>
      <w:r w:rsidR="00B05634">
        <w:t xml:space="preserve"> the existing federal statistical</w:t>
      </w:r>
      <w:r w:rsidR="004161BB">
        <w:t xml:space="preserve"> programs. </w:t>
      </w:r>
      <w:r w:rsidR="00267DDF">
        <w:t>At the time, the only services data available came from the Service Annual Survey (SAS) and the</w:t>
      </w:r>
      <w:r w:rsidR="002E20EF">
        <w:t xml:space="preserve"> quinq</w:t>
      </w:r>
      <w:r w:rsidR="00FB742E">
        <w:t>uennial Economic Census, therefore the decision was made to create a new principal economic indicator designed to expand upon the Census Bu</w:t>
      </w:r>
      <w:r w:rsidR="004161BB">
        <w:t xml:space="preserve">reau’s existing annual survey. </w:t>
      </w:r>
      <w:r w:rsidR="002A3B5A">
        <w:t xml:space="preserve">The QSS was first released in 2004, making it the first new </w:t>
      </w:r>
      <w:r w:rsidRPr="009718BD" w:rsidR="002A3B5A">
        <w:t xml:space="preserve">U.S. </w:t>
      </w:r>
      <w:r w:rsidR="002A3B5A">
        <w:t>f</w:t>
      </w:r>
      <w:r w:rsidRPr="009718BD" w:rsidR="002A3B5A">
        <w:t xml:space="preserve">ederal </w:t>
      </w:r>
      <w:r w:rsidR="002A3B5A">
        <w:t>g</w:t>
      </w:r>
      <w:r w:rsidRPr="009718BD" w:rsidR="002A3B5A">
        <w:t>overnment economic indicator in 30 years</w:t>
      </w:r>
      <w:r w:rsidR="004161BB">
        <w:t xml:space="preserve">. </w:t>
      </w:r>
      <w:r w:rsidRPr="00140447" w:rsidR="002A3B5A">
        <w:t>The QSS is now a major source for the development of quarterly GDP and an indicator of short term economic change.</w:t>
      </w:r>
    </w:p>
    <w:p w:rsidR="00FB742E" w:rsidP="00FB742E" w:rsidRDefault="00FB742E" w14:paraId="31A67F05" w14:textId="77777777">
      <w:pPr>
        <w:ind w:left="1440"/>
      </w:pPr>
    </w:p>
    <w:p w:rsidR="00991648" w:rsidP="00FB742E" w:rsidRDefault="00991648" w14:paraId="22B12765" w14:textId="7530F1B3">
      <w:pPr>
        <w:ind w:left="1440"/>
      </w:pPr>
      <w:r w:rsidRPr="009718BD">
        <w:t xml:space="preserve">The initial scope of </w:t>
      </w:r>
      <w:r>
        <w:t xml:space="preserve">the </w:t>
      </w:r>
      <w:r w:rsidRPr="009718BD">
        <w:t xml:space="preserve">QSS was driven primarily by </w:t>
      </w:r>
      <w:r>
        <w:t>the Bureau of Economic Analysis (</w:t>
      </w:r>
      <w:r w:rsidRPr="009718BD">
        <w:t>BEA</w:t>
      </w:r>
      <w:r>
        <w:t>)</w:t>
      </w:r>
      <w:r w:rsidRPr="009718BD">
        <w:t xml:space="preserve"> priorities and what the </w:t>
      </w:r>
      <w:r w:rsidR="004161BB">
        <w:t xml:space="preserve">budget initiative would allow. </w:t>
      </w:r>
      <w:r>
        <w:t>The</w:t>
      </w:r>
      <w:r w:rsidRPr="009718BD">
        <w:t xml:space="preserve"> goal was to begin covering the most dynamic sectors of the service economy for which BEA had little</w:t>
      </w:r>
      <w:r w:rsidR="00BF6959">
        <w:t xml:space="preserve"> to no alternate source data. I</w:t>
      </w:r>
      <w:r w:rsidRPr="009718BD">
        <w:t xml:space="preserve">n the wake of the dot-com bubble in the early 2000s, it was clear that information services and high-tech industries needed to be a priority as BEA experienced major revisions to their GDP estimates as annual data came in </w:t>
      </w:r>
      <w:r>
        <w:t>later</w:t>
      </w:r>
      <w:r w:rsidRPr="009718BD">
        <w:t>.</w:t>
      </w:r>
      <w:r>
        <w:t xml:space="preserve"> </w:t>
      </w:r>
      <w:r w:rsidRPr="009718BD">
        <w:t>So</w:t>
      </w:r>
      <w:r w:rsidR="00541D83">
        <w:t>,</w:t>
      </w:r>
      <w:r w:rsidRPr="009718BD">
        <w:t xml:space="preserve"> at the time it was launched, Q</w:t>
      </w:r>
      <w:r w:rsidR="00BF6959">
        <w:t>SS produced estimates for just three</w:t>
      </w:r>
      <w:r w:rsidRPr="009718BD">
        <w:t xml:space="preserve"> </w:t>
      </w:r>
      <w:r w:rsidRPr="00703999" w:rsidR="00703999">
        <w:t>North American Industry Classification System (NAICS)</w:t>
      </w:r>
      <w:r w:rsidRPr="009718BD">
        <w:t xml:space="preserve"> sectors</w:t>
      </w:r>
      <w:r>
        <w:t xml:space="preserve"> (51, 54, and 56)</w:t>
      </w:r>
      <w:r w:rsidR="00672F3D">
        <w:t>.</w:t>
      </w:r>
    </w:p>
    <w:p w:rsidR="00991648" w:rsidP="00991648" w:rsidRDefault="00991648" w14:paraId="01410405" w14:textId="77777777"/>
    <w:p w:rsidRPr="009718BD" w:rsidR="00991648" w:rsidP="00991648" w:rsidRDefault="00991648" w14:paraId="3643DB61" w14:textId="5E64CB04">
      <w:pPr>
        <w:ind w:left="1440"/>
      </w:pPr>
      <w:r>
        <w:t xml:space="preserve">Shortly after </w:t>
      </w:r>
      <w:r w:rsidRPr="009718BD">
        <w:t>the Financial Crisis in 2007-2008, QSS received approval to expand the scope of the survey to match that of th</w:t>
      </w:r>
      <w:r w:rsidR="00BF6959">
        <w:t xml:space="preserve">e Economic Census of Services. </w:t>
      </w:r>
      <w:r w:rsidRPr="009718BD">
        <w:t>A major part of this expansion would provide for tracking of the Financial sector which</w:t>
      </w:r>
      <w:r w:rsidR="00541D83">
        <w:t>,</w:t>
      </w:r>
      <w:r w:rsidRPr="009718BD">
        <w:t xml:space="preserve"> of course</w:t>
      </w:r>
      <w:r w:rsidR="00541D83">
        <w:t>,</w:t>
      </w:r>
      <w:r w:rsidRPr="009718BD">
        <w:t xml:space="preserve"> was</w:t>
      </w:r>
      <w:r w:rsidR="00BF6959">
        <w:t xml:space="preserve"> now in the spotlight. </w:t>
      </w:r>
      <w:r w:rsidRPr="009718BD">
        <w:t>Between 2009 and 2010, QSS underwent a multi-phased expansion, incr</w:t>
      </w:r>
      <w:r w:rsidR="00BF6959">
        <w:t>easing the total coverage from three to eleven</w:t>
      </w:r>
      <w:r w:rsidRPr="009718BD">
        <w:t xml:space="preserve"> NAICS </w:t>
      </w:r>
      <w:r w:rsidRPr="00140447">
        <w:t>sectors.</w:t>
      </w:r>
      <w:r w:rsidRPr="009718BD">
        <w:t xml:space="preserve">  </w:t>
      </w:r>
    </w:p>
    <w:p w:rsidR="00991648" w:rsidP="00991648" w:rsidRDefault="00991648" w14:paraId="6443EE7B" w14:textId="77777777"/>
    <w:p w:rsidR="00991648" w:rsidP="00991648" w:rsidRDefault="00991648" w14:paraId="1D20CC9D" w14:textId="346EE46E">
      <w:pPr>
        <w:ind w:left="1440"/>
      </w:pPr>
      <w:r w:rsidRPr="009718BD">
        <w:t>QSS expanded yet again in 2012 to cover the Accommodation subsector which was the only remaining service industry with no sub-annual coverage.</w:t>
      </w:r>
    </w:p>
    <w:p w:rsidR="00991648" w:rsidP="00991648" w:rsidRDefault="00991648" w14:paraId="0E56540B" w14:textId="67CFB0BA"/>
    <w:p w:rsidR="00991648" w:rsidP="00991648" w:rsidRDefault="00991648" w14:paraId="20E2D588" w14:textId="2515220A">
      <w:pPr>
        <w:ind w:left="1440"/>
      </w:pPr>
      <w:r>
        <w:t xml:space="preserve">We currently publish </w:t>
      </w:r>
      <w:r w:rsidRPr="00A47C7E">
        <w:t>estimates based on the 2</w:t>
      </w:r>
      <w:r w:rsidRPr="00A47C7E" w:rsidR="00A47C7E">
        <w:t>012</w:t>
      </w:r>
      <w:r w:rsidRPr="00A47C7E">
        <w:t xml:space="preserve"> NAICS. The QSS covers all or parts of the following NAICS sectors: Utilities (excluding government</w:t>
      </w:r>
      <w:r>
        <w:t xml:space="preserve"> owned); T</w:t>
      </w:r>
      <w:r w:rsidRPr="00D136DB">
        <w:t>ransportation and warehousing (except rail transp</w:t>
      </w:r>
      <w:r>
        <w:t xml:space="preserve">ortation and postal) services; </w:t>
      </w:r>
      <w:r>
        <w:lastRenderedPageBreak/>
        <w:t>Information; F</w:t>
      </w:r>
      <w:r w:rsidRPr="00D136DB">
        <w:t xml:space="preserve">inance and insurance (except funds, trusts, </w:t>
      </w:r>
      <w:r>
        <w:t>and other financial vehicles); R</w:t>
      </w:r>
      <w:r w:rsidRPr="00D136DB">
        <w:t xml:space="preserve">eal estate and rental and leasing; </w:t>
      </w:r>
      <w:r>
        <w:t>P</w:t>
      </w:r>
      <w:r w:rsidRPr="00D136DB">
        <w:t>rofessional, scien</w:t>
      </w:r>
      <w:r>
        <w:t>tific, and technical services; A</w:t>
      </w:r>
      <w:r w:rsidRPr="00D136DB">
        <w:t>dministrative and support and waste manage</w:t>
      </w:r>
      <w:r>
        <w:t>ment and remediation services; E</w:t>
      </w:r>
      <w:r w:rsidRPr="00D136DB">
        <w:t xml:space="preserve">ducational services (except elementary and secondary schools, junior colleges, and colleges, universities, and professional schools); </w:t>
      </w:r>
      <w:r>
        <w:t>H</w:t>
      </w:r>
      <w:r w:rsidRPr="00D136DB">
        <w:t xml:space="preserve">ealth care and social assistance; </w:t>
      </w:r>
      <w:r>
        <w:t>A</w:t>
      </w:r>
      <w:r w:rsidRPr="00D136DB">
        <w:t xml:space="preserve">rts, entertainment, and recreation; </w:t>
      </w:r>
      <w:r>
        <w:t>Accommodation; and O</w:t>
      </w:r>
      <w:r w:rsidRPr="00D136DB">
        <w:t>ther services (except publ</w:t>
      </w:r>
      <w:r>
        <w:t xml:space="preserve">ic administration). </w:t>
      </w:r>
      <w:r w:rsidRPr="00D136DB">
        <w:t xml:space="preserve">See </w:t>
      </w:r>
      <w:r>
        <w:t xml:space="preserve">Section </w:t>
      </w:r>
      <w:r w:rsidRPr="00C95747">
        <w:rPr>
          <w:bCs/>
        </w:rPr>
        <w:t>19</w:t>
      </w:r>
      <w:r>
        <w:rPr>
          <w:bCs/>
        </w:rPr>
        <w:t xml:space="preserve"> (</w:t>
      </w:r>
      <w:r w:rsidRPr="00C95747">
        <w:rPr>
          <w:bCs/>
        </w:rPr>
        <w:t>NAICS Codes Affected</w:t>
      </w:r>
      <w:r>
        <w:rPr>
          <w:bCs/>
        </w:rPr>
        <w:t>)</w:t>
      </w:r>
      <w:r w:rsidRPr="00D136DB">
        <w:t xml:space="preserve"> for a list of all of the QSS industries. The QSS provides the most current </w:t>
      </w:r>
      <w:r w:rsidR="000A6C94">
        <w:t xml:space="preserve">official </w:t>
      </w:r>
      <w:r>
        <w:t xml:space="preserve">measures of total </w:t>
      </w:r>
      <w:r w:rsidRPr="00D136DB">
        <w:t xml:space="preserve">revenue and percentage of revenue by class of customer (for selected industries) on a quarterly basis. In addition, the QSS provides the </w:t>
      </w:r>
      <w:r w:rsidR="000A6C94">
        <w:t>most current official</w:t>
      </w:r>
      <w:r w:rsidRPr="00D136DB">
        <w:t xml:space="preserve"> quart</w:t>
      </w:r>
      <w:r>
        <w:t xml:space="preserve">erly measure of total </w:t>
      </w:r>
      <w:r w:rsidRPr="00D136DB">
        <w:t>expenses from tax-exempt firms in industries that have a large not-for-profit component.</w:t>
      </w:r>
      <w:r w:rsidR="00F132F8">
        <w:t xml:space="preserve"> </w:t>
      </w:r>
      <w:r w:rsidRPr="00D136DB">
        <w:t>All respondent data are re</w:t>
      </w:r>
      <w:r w:rsidR="00DC0119">
        <w:t>ceived by mail,</w:t>
      </w:r>
      <w:r w:rsidRPr="00D136DB">
        <w:t xml:space="preserve"> telephone, or Internet reporting.</w:t>
      </w:r>
    </w:p>
    <w:p w:rsidR="00B40B99" w:rsidP="00991648" w:rsidRDefault="00B40B99" w14:paraId="5E407E04" w14:textId="40FA6939">
      <w:pPr>
        <w:ind w:left="1440"/>
      </w:pPr>
    </w:p>
    <w:p w:rsidR="00864AC9" w:rsidP="00864AC9" w:rsidRDefault="00864AC9" w14:paraId="1C4EBD44" w14:textId="0BB7EE6F">
      <w:pPr>
        <w:tabs>
          <w:tab w:val="left" w:pos="0"/>
        </w:tabs>
        <w:ind w:left="1440"/>
      </w:pPr>
      <w:r>
        <w:t xml:space="preserve">The total </w:t>
      </w:r>
      <w:r w:rsidRPr="00D136DB">
        <w:t xml:space="preserve">revenue estimates produced from the QSS provide current trends of economic </w:t>
      </w:r>
      <w:r>
        <w:t xml:space="preserve">activity in the </w:t>
      </w:r>
      <w:r w:rsidRPr="00D136DB">
        <w:t>service industry in the United States from service providers with paid employees.</w:t>
      </w:r>
    </w:p>
    <w:p w:rsidRPr="00D136DB" w:rsidR="00864AC9" w:rsidP="00864AC9" w:rsidRDefault="00864AC9" w14:paraId="2A42BD1E" w14:textId="77777777">
      <w:pPr>
        <w:tabs>
          <w:tab w:val="left" w:pos="0"/>
        </w:tabs>
        <w:ind w:left="1440"/>
      </w:pPr>
    </w:p>
    <w:p w:rsidR="00991648" w:rsidP="00991648" w:rsidRDefault="00991648" w14:paraId="45ADA05F" w14:textId="758EAC12">
      <w:pPr>
        <w:ind w:left="1440"/>
      </w:pPr>
      <w:r w:rsidRPr="00D136DB">
        <w:t xml:space="preserve">In addition to revenue, </w:t>
      </w:r>
      <w:r>
        <w:t xml:space="preserve">we also collect total </w:t>
      </w:r>
      <w:r w:rsidRPr="00D136DB">
        <w:t>expenses from tax-exempt firms in industries that have a large not-fo</w:t>
      </w:r>
      <w:r>
        <w:t>r-profit component. E</w:t>
      </w:r>
      <w:r w:rsidRPr="00D136DB">
        <w:t>xpenses provide a better measure of the eco</w:t>
      </w:r>
      <w:r>
        <w:t xml:space="preserve">nomic activity of these firms. </w:t>
      </w:r>
      <w:r w:rsidRPr="00D136DB">
        <w:t xml:space="preserve">Expense estimates produced by the QSS, in addition to inpatient days and discharges for the hospital industry, are used by the Centers for Medicare and Medicaid Services (CMS) to project and study hospital regulation, Medicare payment adequacy, and other related projects. For select industries in </w:t>
      </w:r>
      <w:r>
        <w:t>the A</w:t>
      </w:r>
      <w:r w:rsidRPr="00D136DB">
        <w:t>rts, entertainment, and recreation sector, the survey produces estimates of admissions revenue.</w:t>
      </w:r>
    </w:p>
    <w:p w:rsidR="00991648" w:rsidP="00991648" w:rsidRDefault="00991648" w14:paraId="30EE25F1" w14:textId="636C0478">
      <w:pPr>
        <w:ind w:left="1440"/>
      </w:pPr>
    </w:p>
    <w:p w:rsidR="00B6254B" w:rsidP="00864AC9" w:rsidRDefault="00A06419" w14:paraId="7F10F61E" w14:textId="399BFC4C">
      <w:pPr>
        <w:ind w:left="1440"/>
      </w:pPr>
      <w:r>
        <w:t>B</w:t>
      </w:r>
      <w:r w:rsidR="00864AC9">
        <w:t xml:space="preserve">eginning with the release of 2016 fourth quarter estimates on February 17, 2017, the first Advance Quarterly Services Report was released </w:t>
      </w:r>
      <w:proofErr w:type="gramStart"/>
      <w:r w:rsidR="00864AC9">
        <w:t>in an effort to</w:t>
      </w:r>
      <w:proofErr w:type="gramEnd"/>
      <w:r w:rsidR="00864AC9">
        <w:t xml:space="preserve"> meet data users</w:t>
      </w:r>
      <w:r w:rsidR="00C1799A">
        <w:t>’</w:t>
      </w:r>
      <w:r w:rsidR="00864AC9">
        <w:t xml:space="preserve"> needs for more timely</w:t>
      </w:r>
      <w:r w:rsidR="00BF6959">
        <w:t xml:space="preserve"> data. </w:t>
      </w:r>
      <w:r w:rsidR="00864AC9">
        <w:t xml:space="preserve">Published approximately 50 days following the end of the quarter, the </w:t>
      </w:r>
      <w:r w:rsidRPr="00B40B99" w:rsidR="00864AC9">
        <w:t>Advance Quarterly Services Report contains a snapshot of quarterly estimates of revenue for selected sectors, subsectors, and industries on a not seasonally adjusted basis. Our research found that these selected levels were good predictors of the estimates published in the full quarterly services report.</w:t>
      </w:r>
      <w:r w:rsidR="00E7633C">
        <w:t xml:space="preserve"> </w:t>
      </w:r>
    </w:p>
    <w:p w:rsidR="00B6254B" w:rsidP="00864AC9" w:rsidRDefault="00B6254B" w14:paraId="79991E9D" w14:textId="77777777">
      <w:pPr>
        <w:ind w:left="1440"/>
      </w:pPr>
    </w:p>
    <w:p w:rsidR="00A06419" w:rsidP="0008198C" w:rsidRDefault="00B6254B" w14:paraId="19C65E82" w14:textId="302AC1F5">
      <w:pPr>
        <w:ind w:left="1440"/>
      </w:pPr>
      <w:r>
        <w:t>B</w:t>
      </w:r>
      <w:r w:rsidR="00E7633C">
        <w:t>eginning with the release of 2019 first quart</w:t>
      </w:r>
      <w:r w:rsidR="00A410BC">
        <w:t>er estimates on May 17, 2019, the Advance Qu</w:t>
      </w:r>
      <w:r w:rsidR="00C22A5C">
        <w:t>arterly Services Report includes</w:t>
      </w:r>
      <w:r w:rsidR="00F103E0">
        <w:t xml:space="preserve"> </w:t>
      </w:r>
      <w:r w:rsidR="00A410BC">
        <w:t>a</w:t>
      </w:r>
      <w:r w:rsidR="00E7633C">
        <w:t xml:space="preserve"> seasonally adjusted estimate for the Selected Services Total. </w:t>
      </w:r>
      <w:r w:rsidR="00D36DA7">
        <w:t xml:space="preserve">Additionally, with the release of 2019 fourth quarter estimates on March 12, 2020, the Quarterly Services Report now includes 100 seasonally adjusted series. </w:t>
      </w:r>
      <w:r w:rsidR="009E56C9">
        <w:t>Seasonal adjustment is the process of estimating and removing seasonal effects from a time series in order to better reveal certain non-seasonal features. Many data users prefer seasonally adjusted data because they want to see those characteristics that seasonal movement</w:t>
      </w:r>
      <w:r w:rsidR="00C1799A">
        <w:t>s</w:t>
      </w:r>
      <w:r w:rsidR="009E56C9">
        <w:t xml:space="preserve"> tend to mask, especially changes in the direction of the series. </w:t>
      </w:r>
    </w:p>
    <w:p w:rsidR="00490CFC" w:rsidP="0008198C" w:rsidRDefault="00490CFC" w14:paraId="795909CD" w14:textId="7780C5E2">
      <w:pPr>
        <w:ind w:left="1440"/>
      </w:pPr>
    </w:p>
    <w:p w:rsidR="0008198C" w:rsidP="0008198C" w:rsidRDefault="00F364D2" w14:paraId="3205BEAF" w14:textId="07566118">
      <w:pPr>
        <w:ind w:left="1440"/>
      </w:pPr>
      <w:r w:rsidRPr="00BF59FF">
        <w:lastRenderedPageBreak/>
        <w:t xml:space="preserve">The notice in Federal Register on </w:t>
      </w:r>
      <w:r w:rsidRPr="00BF59FF">
        <w:rPr>
          <w:color w:val="000000"/>
        </w:rPr>
        <w:t xml:space="preserve">August 20, 2020, Vol. 85, No. 162, pages 51406-51408) </w:t>
      </w:r>
      <w:r w:rsidRPr="00BF59FF">
        <w:t>announcing our plans to submit this request included information on the possible upcoming collection of a new module of business expectation.  At this time, research and testing for an uncertainty pilot collection is still underway; once any concrete timeline is determined, a request for this additional module will be submitted.</w:t>
      </w:r>
    </w:p>
    <w:p w:rsidR="0008198C" w:rsidP="0008198C" w:rsidRDefault="0008198C" w14:paraId="29DBDAD9" w14:textId="77777777">
      <w:pPr>
        <w:ind w:left="1440"/>
      </w:pPr>
    </w:p>
    <w:p w:rsidR="00757F0F" w:rsidP="00991648" w:rsidRDefault="00991648" w14:paraId="172FFEF4" w14:textId="68534E59">
      <w:pPr>
        <w:ind w:left="1440"/>
      </w:pPr>
      <w:r w:rsidRPr="00D136DB">
        <w:t xml:space="preserve">The Census Bureau will conduct this survey under the authority of </w:t>
      </w:r>
      <w:r w:rsidR="00351F35">
        <w:t xml:space="preserve">an </w:t>
      </w:r>
      <w:r w:rsidRPr="00D136DB">
        <w:t>Act of Congress, Title 13, United States Code, Section</w:t>
      </w:r>
      <w:r w:rsidR="00EE6F22">
        <w:t>s</w:t>
      </w:r>
      <w:r w:rsidRPr="00D136DB">
        <w:t xml:space="preserve"> </w:t>
      </w:r>
      <w:r w:rsidR="00404837">
        <w:t>131</w:t>
      </w:r>
      <w:r w:rsidR="00EE6F22">
        <w:t xml:space="preserve"> and </w:t>
      </w:r>
      <w:r w:rsidR="00404837">
        <w:t>182</w:t>
      </w:r>
      <w:r w:rsidR="000628D3">
        <w:t xml:space="preserve"> (Attachment 31).</w:t>
      </w:r>
    </w:p>
    <w:p w:rsidRPr="00D136DB" w:rsidR="00991648" w:rsidP="00991648" w:rsidRDefault="00991648" w14:paraId="2754A65E" w14:textId="77777777">
      <w:pPr>
        <w:ind w:left="1440"/>
      </w:pPr>
    </w:p>
    <w:p w:rsidRPr="00D136DB" w:rsidR="00757F0F" w:rsidP="000756CC" w:rsidRDefault="00757F0F" w14:paraId="757F21D0" w14:textId="77777777">
      <w:pPr>
        <w:pStyle w:val="Quick1"/>
        <w:numPr>
          <w:ilvl w:val="0"/>
          <w:numId w:val="2"/>
        </w:numPr>
        <w:tabs>
          <w:tab w:val="left" w:pos="-1080"/>
          <w:tab w:val="num" w:pos="1440"/>
        </w:tabs>
        <w:ind w:left="1440" w:hanging="720"/>
        <w:rPr>
          <w:b/>
        </w:rPr>
      </w:pPr>
      <w:r w:rsidRPr="00D136DB">
        <w:rPr>
          <w:b/>
          <w:u w:val="single"/>
        </w:rPr>
        <w:t>Needs and Uses</w:t>
      </w:r>
    </w:p>
    <w:p w:rsidRPr="00D136DB" w:rsidR="00757F0F" w:rsidP="00757F0F" w:rsidRDefault="00757F0F" w14:paraId="29411536" w14:textId="77777777">
      <w:pPr>
        <w:tabs>
          <w:tab w:val="left" w:pos="360"/>
        </w:tabs>
        <w:ind w:left="1440"/>
        <w:rPr>
          <w:rFonts w:eastAsia="@MingLiU_HKSCS"/>
        </w:rPr>
      </w:pPr>
    </w:p>
    <w:p w:rsidRPr="00D136DB" w:rsidR="00757F0F" w:rsidP="00757F0F" w:rsidRDefault="00757F0F" w14:paraId="40D77AC7" w14:textId="00641B73">
      <w:pPr>
        <w:tabs>
          <w:tab w:val="left" w:pos="360"/>
        </w:tabs>
        <w:ind w:left="1440"/>
        <w:rPr>
          <w:rFonts w:eastAsia="@MingLiU_HKSCS"/>
        </w:rPr>
      </w:pPr>
      <w:r w:rsidRPr="00D136DB">
        <w:rPr>
          <w:rFonts w:eastAsia="@MingLiU_HKSCS"/>
        </w:rPr>
        <w:t>Reliable measures of economic activity are essential to an objective assessment of the need for, and impact of, a wide ran</w:t>
      </w:r>
      <w:r w:rsidR="002B1930">
        <w:rPr>
          <w:rFonts w:eastAsia="@MingLiU_HKSCS"/>
        </w:rPr>
        <w:t xml:space="preserve">ge of public policy decisions. </w:t>
      </w:r>
      <w:r w:rsidRPr="00D136DB">
        <w:rPr>
          <w:rFonts w:eastAsia="@MingLiU_HKSCS"/>
        </w:rPr>
        <w:t>The QSS supports these measures by providing the latest estimates of service industry output on a quarterly basis.</w:t>
      </w:r>
    </w:p>
    <w:p w:rsidRPr="00D136DB" w:rsidR="00757F0F" w:rsidP="00757F0F" w:rsidRDefault="00757F0F" w14:paraId="258E0D0B" w14:textId="77777777">
      <w:pPr>
        <w:tabs>
          <w:tab w:val="left" w:pos="360"/>
        </w:tabs>
        <w:ind w:left="1440"/>
        <w:rPr>
          <w:rFonts w:eastAsia="@MingLiU_HKSCS"/>
        </w:rPr>
      </w:pPr>
    </w:p>
    <w:p w:rsidRPr="00D136DB" w:rsidR="00757F0F" w:rsidP="00757F0F" w:rsidRDefault="00757F0F" w14:paraId="55973649" w14:textId="2A007607">
      <w:pPr>
        <w:tabs>
          <w:tab w:val="left" w:pos="360"/>
        </w:tabs>
        <w:ind w:left="1440"/>
        <w:rPr>
          <w:rFonts w:eastAsia="@MingLiU_HKSCS"/>
        </w:rPr>
      </w:pPr>
      <w:r w:rsidRPr="00D136DB">
        <w:rPr>
          <w:rFonts w:eastAsia="@MingLiU_HKSCS"/>
        </w:rPr>
        <w:t>Currently, the U.S. Census Bureau collect</w:t>
      </w:r>
      <w:r w:rsidR="009B3C43">
        <w:rPr>
          <w:rFonts w:eastAsia="@MingLiU_HKSCS"/>
        </w:rPr>
        <w:t>s, tabulates, and publishes estimates</w:t>
      </w:r>
      <w:r w:rsidRPr="00D136DB">
        <w:rPr>
          <w:rFonts w:eastAsia="@MingLiU_HKSCS"/>
        </w:rPr>
        <w:t xml:space="preserve"> to provide, with measurable reliability, statisti</w:t>
      </w:r>
      <w:r w:rsidR="004076F9">
        <w:rPr>
          <w:rFonts w:eastAsia="@MingLiU_HKSCS"/>
        </w:rPr>
        <w:t xml:space="preserve">cs on domestic service total revenue, total </w:t>
      </w:r>
      <w:r w:rsidRPr="00D136DB">
        <w:rPr>
          <w:rFonts w:eastAsia="@MingLiU_HKSCS"/>
        </w:rPr>
        <w:t>expenses, and percentage of revenue by class of customer</w:t>
      </w:r>
      <w:r w:rsidR="00CB320D">
        <w:rPr>
          <w:rFonts w:eastAsia="@MingLiU_HKSCS"/>
        </w:rPr>
        <w:t xml:space="preserve"> for select service providers. </w:t>
      </w:r>
      <w:r w:rsidRPr="00D136DB">
        <w:rPr>
          <w:rFonts w:eastAsia="@MingLiU_HKSCS"/>
        </w:rPr>
        <w:t xml:space="preserve">In addition, the QSS produces estimates for inpatient days and discharges for hospitals. </w:t>
      </w:r>
    </w:p>
    <w:p w:rsidRPr="00D136DB" w:rsidR="00757F0F" w:rsidP="00757F0F" w:rsidRDefault="00757F0F" w14:paraId="250A7FD0" w14:textId="77777777">
      <w:pPr>
        <w:tabs>
          <w:tab w:val="left" w:pos="360"/>
        </w:tabs>
        <w:ind w:left="1440"/>
        <w:rPr>
          <w:rFonts w:eastAsia="@MingLiU_HKSCS"/>
        </w:rPr>
      </w:pPr>
    </w:p>
    <w:p w:rsidRPr="00D136DB" w:rsidR="00757F0F" w:rsidP="00757F0F" w:rsidRDefault="00757F0F" w14:paraId="1ED61A9E" w14:textId="1EECBBBE">
      <w:pPr>
        <w:tabs>
          <w:tab w:val="left" w:pos="360"/>
        </w:tabs>
        <w:ind w:left="1440"/>
        <w:rPr>
          <w:rFonts w:eastAsia="@MingLiU_HKSCS"/>
        </w:rPr>
      </w:pPr>
      <w:r w:rsidRPr="00D136DB">
        <w:rPr>
          <w:rFonts w:eastAsia="@MingLiU_HKSCS"/>
        </w:rPr>
        <w:t>The</w:t>
      </w:r>
      <w:r w:rsidRPr="00D136DB">
        <w:t xml:space="preserve"> BEA</w:t>
      </w:r>
      <w:r w:rsidRPr="00D136DB">
        <w:rPr>
          <w:rFonts w:eastAsia="@MingLiU_HKSCS"/>
        </w:rPr>
        <w:t xml:space="preserve"> is the primary Federal use</w:t>
      </w:r>
      <w:r w:rsidR="002B1930">
        <w:rPr>
          <w:rFonts w:eastAsia="@MingLiU_HKSCS"/>
        </w:rPr>
        <w:t>r of QSS</w:t>
      </w:r>
      <w:r w:rsidR="009B3C43">
        <w:rPr>
          <w:rFonts w:eastAsia="@MingLiU_HKSCS"/>
        </w:rPr>
        <w:t xml:space="preserve"> results</w:t>
      </w:r>
      <w:r w:rsidR="002B1930">
        <w:rPr>
          <w:rFonts w:eastAsia="@MingLiU_HKSCS"/>
        </w:rPr>
        <w:t>.</w:t>
      </w:r>
      <w:r w:rsidR="00CB320D">
        <w:rPr>
          <w:rFonts w:eastAsia="@MingLiU_HKSCS"/>
        </w:rPr>
        <w:t xml:space="preserve"> </w:t>
      </w:r>
      <w:r w:rsidR="00CC6777">
        <w:rPr>
          <w:rFonts w:eastAsia="@MingLiU_HKSCS"/>
        </w:rPr>
        <w:t>The BEA utilizes the</w:t>
      </w:r>
      <w:r w:rsidRPr="00D136DB">
        <w:rPr>
          <w:rFonts w:eastAsia="@MingLiU_HKSCS"/>
        </w:rPr>
        <w:t xml:space="preserve"> </w:t>
      </w:r>
      <w:r w:rsidR="009B3C43">
        <w:rPr>
          <w:rFonts w:eastAsia="@MingLiU_HKSCS"/>
        </w:rPr>
        <w:t>QSS estimates</w:t>
      </w:r>
      <w:r w:rsidRPr="00D136DB">
        <w:rPr>
          <w:rFonts w:eastAsia="@MingLiU_HKSCS"/>
        </w:rPr>
        <w:t xml:space="preserve"> to make improvements to the national ac</w:t>
      </w:r>
      <w:r w:rsidR="002B1930">
        <w:rPr>
          <w:rFonts w:eastAsia="@MingLiU_HKSCS"/>
        </w:rPr>
        <w:t xml:space="preserve">counts for service industries. </w:t>
      </w:r>
      <w:r w:rsidR="00F132F8">
        <w:rPr>
          <w:rFonts w:eastAsia="@MingLiU_HKSCS"/>
        </w:rPr>
        <w:t xml:space="preserve"> </w:t>
      </w:r>
      <w:r w:rsidRPr="00D136DB">
        <w:rPr>
          <w:rFonts w:eastAsia="@MingLiU_HKSCS"/>
        </w:rPr>
        <w:t xml:space="preserve">In the National Income and Product </w:t>
      </w:r>
      <w:r w:rsidR="009B3C43">
        <w:rPr>
          <w:rFonts w:eastAsia="@MingLiU_HKSCS"/>
        </w:rPr>
        <w:t xml:space="preserve">Accounts (NIPA), the </w:t>
      </w:r>
      <w:r w:rsidR="003C6F1D">
        <w:rPr>
          <w:rFonts w:eastAsia="@MingLiU_HKSCS"/>
        </w:rPr>
        <w:t>QSS</w:t>
      </w:r>
      <w:r w:rsidR="009B3C43">
        <w:rPr>
          <w:rFonts w:eastAsia="@MingLiU_HKSCS"/>
        </w:rPr>
        <w:t xml:space="preserve"> estimates</w:t>
      </w:r>
      <w:r w:rsidRPr="00D136DB">
        <w:rPr>
          <w:rFonts w:eastAsia="@MingLiU_HKSCS"/>
        </w:rPr>
        <w:t xml:space="preserve"> allow more accurate estimates of both </w:t>
      </w:r>
      <w:r>
        <w:rPr>
          <w:rFonts w:eastAsia="@MingLiU_HKSCS"/>
        </w:rPr>
        <w:t>Personal Consumption Expenditures (</w:t>
      </w:r>
      <w:r w:rsidRPr="00D136DB">
        <w:rPr>
          <w:rFonts w:eastAsia="@MingLiU_HKSCS"/>
        </w:rPr>
        <w:t>PCE</w:t>
      </w:r>
      <w:r>
        <w:rPr>
          <w:rFonts w:eastAsia="@MingLiU_HKSCS"/>
        </w:rPr>
        <w:t>)</w:t>
      </w:r>
      <w:r w:rsidR="00CB320D">
        <w:rPr>
          <w:rFonts w:eastAsia="@MingLiU_HKSCS"/>
        </w:rPr>
        <w:t xml:space="preserve"> and private fixed investment. </w:t>
      </w:r>
      <w:r w:rsidRPr="00625148" w:rsidR="00625148">
        <w:rPr>
          <w:rFonts w:eastAsia="@MingLiU_HKSCS"/>
        </w:rPr>
        <w:t>For example, published revisions to the quarterly NIPA estimates are often the result of incorporation of the latest source data from the QSS</w:t>
      </w:r>
      <w:r w:rsidR="00625148">
        <w:rPr>
          <w:rFonts w:eastAsia="@MingLiU_HKSCS"/>
        </w:rPr>
        <w:t>.</w:t>
      </w:r>
      <w:r w:rsidR="00CB320D">
        <w:rPr>
          <w:rFonts w:eastAsia="@MingLiU_HKSCS"/>
        </w:rPr>
        <w:t xml:space="preserve"> </w:t>
      </w:r>
      <w:r w:rsidRPr="00D136DB">
        <w:rPr>
          <w:rFonts w:eastAsia="@MingLiU_HKSCS"/>
        </w:rPr>
        <w:t>Reven</w:t>
      </w:r>
      <w:r w:rsidR="009B3C43">
        <w:rPr>
          <w:rFonts w:eastAsia="@MingLiU_HKSCS"/>
        </w:rPr>
        <w:t>ue estimates</w:t>
      </w:r>
      <w:r w:rsidRPr="00D136DB">
        <w:rPr>
          <w:rFonts w:eastAsia="@MingLiU_HKSCS"/>
        </w:rPr>
        <w:t xml:space="preserve"> from the QSS are also used to produce estimates of gross output by industry that allow BEA t</w:t>
      </w:r>
      <w:r w:rsidR="009B3C43">
        <w:rPr>
          <w:rFonts w:eastAsia="@MingLiU_HKSCS"/>
        </w:rPr>
        <w:t>o produce a much earlier release</w:t>
      </w:r>
      <w:r w:rsidRPr="00D136DB">
        <w:rPr>
          <w:rFonts w:eastAsia="@MingLiU_HKSCS"/>
        </w:rPr>
        <w:t xml:space="preserve"> of the gross domestic product by industry estimates.</w:t>
      </w:r>
      <w:r w:rsidR="0036410B">
        <w:rPr>
          <w:rFonts w:eastAsia="@MingLiU_HKSCS"/>
        </w:rPr>
        <w:t xml:space="preserve">  </w:t>
      </w:r>
    </w:p>
    <w:p w:rsidR="00757F0F" w:rsidP="00757F0F" w:rsidRDefault="00757F0F" w14:paraId="16C7E0E3" w14:textId="77777777">
      <w:pPr>
        <w:tabs>
          <w:tab w:val="left" w:pos="360"/>
        </w:tabs>
        <w:ind w:left="1440"/>
        <w:rPr>
          <w:rFonts w:eastAsia="@MingLiU_HKSCS"/>
        </w:rPr>
      </w:pPr>
    </w:p>
    <w:p w:rsidRPr="00D136DB" w:rsidR="00757F0F" w:rsidP="00757F0F" w:rsidRDefault="00757F0F" w14:paraId="0D0B34DE" w14:textId="77777777">
      <w:pPr>
        <w:tabs>
          <w:tab w:val="left" w:pos="360"/>
        </w:tabs>
        <w:ind w:left="1440"/>
        <w:rPr>
          <w:rFonts w:eastAsia="@MingLiU_HKSCS"/>
        </w:rPr>
        <w:sectPr w:rsidRPr="00D136DB" w:rsidR="00757F0F" w:rsidSect="009A562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720" w:gutter="0"/>
          <w:cols w:space="720"/>
          <w:noEndnote/>
          <w:docGrid w:linePitch="326"/>
        </w:sectPr>
      </w:pPr>
    </w:p>
    <w:p w:rsidRPr="00D136DB" w:rsidR="00757F0F" w:rsidP="009A5623" w:rsidRDefault="00757F0F" w14:paraId="01F7D84F" w14:textId="7980A7BB">
      <w:pPr>
        <w:tabs>
          <w:tab w:val="left" w:pos="360"/>
        </w:tabs>
        <w:ind w:left="1440"/>
      </w:pPr>
      <w:r w:rsidRPr="00D136DB">
        <w:t>Estimates produced from the QSS are used by the BEA as a component of quarterly GDP estimates.</w:t>
      </w:r>
      <w:r w:rsidR="00CB320D">
        <w:t xml:space="preserve"> </w:t>
      </w:r>
      <w:r w:rsidRPr="00D136DB">
        <w:t>The estimates also provide the Federal Reserve Board (FRB) and Council of Economic Advisors (CEA) with timely information o</w:t>
      </w:r>
      <w:r w:rsidR="00CB320D">
        <w:t xml:space="preserve">n current economic performance. </w:t>
      </w:r>
      <w:r w:rsidRPr="00D136DB">
        <w:t>All estimates collected from this survey are used extensively by various government agencies and departments on economic policy decisions; private businesses; trade organizations; professional associations; academia; and other various business research and analysis organizations</w:t>
      </w:r>
      <w:r>
        <w:t>.</w:t>
      </w:r>
    </w:p>
    <w:p w:rsidRPr="00D136DB" w:rsidR="00757F0F" w:rsidP="009A5623" w:rsidRDefault="00757F0F" w14:paraId="1C31EFE5" w14:textId="77777777">
      <w:pPr>
        <w:tabs>
          <w:tab w:val="left" w:pos="360"/>
        </w:tabs>
        <w:ind w:left="1440"/>
        <w:rPr>
          <w:rFonts w:eastAsia="@MingLiU_HKSCS"/>
        </w:rPr>
      </w:pPr>
    </w:p>
    <w:p w:rsidRPr="00E86171" w:rsidR="00E86171" w:rsidP="00E86171" w:rsidRDefault="00E86171" w14:paraId="10462E47" w14:textId="03713E6F">
      <w:pPr>
        <w:tabs>
          <w:tab w:val="left" w:pos="360"/>
        </w:tabs>
        <w:ind w:left="1440"/>
        <w:rPr>
          <w:rFonts w:eastAsia="@MingLiU_HKSCS"/>
        </w:rPr>
      </w:pPr>
      <w:r w:rsidRPr="00E86171">
        <w:rPr>
          <w:rFonts w:eastAsia="@MingLiU_HKSCS"/>
        </w:rPr>
        <w:t>The CMS uses the QSS estimates to develop hospital spending estimates in the Nation</w:t>
      </w:r>
      <w:r w:rsidR="00CB320D">
        <w:rPr>
          <w:rFonts w:eastAsia="@MingLiU_HKSCS"/>
        </w:rPr>
        <w:t xml:space="preserve">al Health Expenditure Accounts. </w:t>
      </w:r>
      <w:r w:rsidRPr="00E86171">
        <w:rPr>
          <w:rFonts w:eastAsia="@MingLiU_HKSCS"/>
        </w:rPr>
        <w:t>In addition, the QSS estimates improve their ability to analyze changes in spending trends for hospitals</w:t>
      </w:r>
      <w:r w:rsidR="00CB320D">
        <w:rPr>
          <w:rFonts w:eastAsia="@MingLiU_HKSCS"/>
        </w:rPr>
        <w:t xml:space="preserve"> and other healthcare services. </w:t>
      </w:r>
      <w:r w:rsidRPr="00E86171">
        <w:rPr>
          <w:rFonts w:eastAsia="@MingLiU_HKSCS"/>
        </w:rPr>
        <w:t xml:space="preserve">The CMS also uses the estimates in its ten-year health </w:t>
      </w:r>
      <w:r w:rsidRPr="00E86171">
        <w:rPr>
          <w:rFonts w:eastAsia="@MingLiU_HKSCS"/>
        </w:rPr>
        <w:lastRenderedPageBreak/>
        <w:t>spending forecast estimates and in studies related to Medicare policy and trends.</w:t>
      </w:r>
    </w:p>
    <w:p w:rsidRPr="00E86171" w:rsidR="00E86171" w:rsidP="00E86171" w:rsidRDefault="00E86171" w14:paraId="6F6A15BC" w14:textId="77777777">
      <w:pPr>
        <w:tabs>
          <w:tab w:val="left" w:pos="360"/>
        </w:tabs>
        <w:ind w:left="1440"/>
        <w:rPr>
          <w:rFonts w:eastAsia="@MingLiU_HKSCS"/>
        </w:rPr>
      </w:pPr>
    </w:p>
    <w:p w:rsidR="00757F0F" w:rsidP="009A5623" w:rsidRDefault="00E86171" w14:paraId="454BE6D6" w14:textId="50E89C70">
      <w:pPr>
        <w:tabs>
          <w:tab w:val="left" w:pos="360"/>
        </w:tabs>
        <w:ind w:left="1440"/>
        <w:rPr>
          <w:rFonts w:eastAsia="@MingLiU_HKSCS"/>
        </w:rPr>
      </w:pPr>
      <w:r w:rsidRPr="00E86171">
        <w:rPr>
          <w:rFonts w:eastAsia="@MingLiU_HKSCS"/>
        </w:rPr>
        <w:t>The Medicare Payment Advisory Commission (MedPac) utilizes the QSS estimates to assess payment adequacy i</w:t>
      </w:r>
      <w:r w:rsidR="0054145D">
        <w:rPr>
          <w:rFonts w:eastAsia="@MingLiU_HKSCS"/>
        </w:rPr>
        <w:t>n the current Medicare program.</w:t>
      </w:r>
    </w:p>
    <w:p w:rsidRPr="00D136DB" w:rsidR="0054145D" w:rsidP="009A5623" w:rsidRDefault="0054145D" w14:paraId="06C64983" w14:textId="77777777">
      <w:pPr>
        <w:tabs>
          <w:tab w:val="left" w:pos="360"/>
        </w:tabs>
        <w:ind w:left="1440"/>
        <w:rPr>
          <w:rFonts w:eastAsia="@MingLiU_HKSCS"/>
        </w:rPr>
      </w:pPr>
    </w:p>
    <w:p w:rsidRPr="00D136DB" w:rsidR="00757F0F" w:rsidP="009A5623" w:rsidRDefault="00757F0F" w14:paraId="0BE36DBF" w14:textId="3B156C5B">
      <w:pPr>
        <w:tabs>
          <w:tab w:val="left" w:pos="360"/>
        </w:tabs>
        <w:ind w:left="1440"/>
        <w:rPr>
          <w:rFonts w:eastAsia="@MingLiU_HKSCS"/>
        </w:rPr>
      </w:pPr>
      <w:r w:rsidRPr="00D136DB">
        <w:rPr>
          <w:rFonts w:eastAsia="@MingLiU_HKSCS"/>
        </w:rPr>
        <w:t>The FRB and the CEA use the QSS information to better assess current economic performance.</w:t>
      </w:r>
      <w:r w:rsidR="00CB320D">
        <w:rPr>
          <w:rFonts w:eastAsia="@MingLiU_HKSCS"/>
        </w:rPr>
        <w:t xml:space="preserve"> </w:t>
      </w:r>
      <w:r w:rsidRPr="00D136DB">
        <w:rPr>
          <w:rFonts w:eastAsia="@MingLiU_HKSCS"/>
        </w:rPr>
        <w:t xml:space="preserve">In addition, other government agencies, businesses, and investors use the QSS </w:t>
      </w:r>
      <w:r w:rsidR="00B02A87">
        <w:rPr>
          <w:rFonts w:eastAsia="@MingLiU_HKSCS"/>
        </w:rPr>
        <w:t>estimates</w:t>
      </w:r>
      <w:r w:rsidRPr="00D136DB">
        <w:rPr>
          <w:rFonts w:eastAsia="@MingLiU_HKSCS"/>
        </w:rPr>
        <w:t xml:space="preserve"> for market research, industry growth, business planning and forecasting.</w:t>
      </w:r>
    </w:p>
    <w:p w:rsidR="00757F0F" w:rsidP="009A5623" w:rsidRDefault="00757F0F" w14:paraId="2EF5EF3C" w14:textId="71913934">
      <w:pPr>
        <w:tabs>
          <w:tab w:val="left" w:pos="360"/>
        </w:tabs>
        <w:ind w:left="1440"/>
      </w:pPr>
    </w:p>
    <w:p w:rsidRPr="00D136DB" w:rsidR="00757F0F" w:rsidP="00CB320D" w:rsidRDefault="0095582D" w14:paraId="2BE7A924" w14:textId="56042354">
      <w:pPr>
        <w:tabs>
          <w:tab w:val="left" w:pos="360"/>
        </w:tabs>
        <w:ind w:left="1440"/>
      </w:pPr>
      <w:r w:rsidRPr="0095582D">
        <w:t>Private sector data users and other government agencies both benefit from an earlier</w:t>
      </w:r>
      <w:r w:rsidR="00CB320D">
        <w:t xml:space="preserve"> release of U.S. services data. </w:t>
      </w:r>
      <w:r w:rsidRPr="0095582D">
        <w:t>The Advance Quarterly Services Report allows policymakers and private data users to make data-driven decisions sooner due to this high-l</w:t>
      </w:r>
      <w:r w:rsidR="00CB320D">
        <w:t xml:space="preserve">evel snapshot of economic data. </w:t>
      </w:r>
      <w:r w:rsidRPr="0095582D">
        <w:t>In addition, the release also allows the BEA to incorporate services data into the second estimate of</w:t>
      </w:r>
      <w:r w:rsidR="0054145D">
        <w:t xml:space="preserve"> the </w:t>
      </w:r>
      <w:r w:rsidRPr="0095582D">
        <w:t>GDP. Prior to the implementation of the Advance Quarterly Services Report, Quarterly Services Survey estimates were incorporated in the third estimate of GDP.</w:t>
      </w:r>
      <w:r w:rsidR="00CB320D">
        <w:t xml:space="preserve"> </w:t>
      </w:r>
      <w:r w:rsidRPr="00D136DB" w:rsidR="00757F0F">
        <w:t>The following is a summary of t</w:t>
      </w:r>
      <w:r w:rsidR="002B1930">
        <w:t xml:space="preserve">he data </w:t>
      </w:r>
      <w:r w:rsidR="00CB320D">
        <w:t xml:space="preserve">items that we request. </w:t>
      </w:r>
      <w:r w:rsidRPr="00903D42" w:rsidR="00757F0F">
        <w:t xml:space="preserve">See Attachment 1 for a list of QSS </w:t>
      </w:r>
      <w:r w:rsidRPr="00903D42" w:rsidR="0081131A">
        <w:t>survey form</w:t>
      </w:r>
      <w:r w:rsidRPr="00903D42" w:rsidR="00757F0F">
        <w:t>s, the NAICS industries that will receive t</w:t>
      </w:r>
      <w:r w:rsidRPr="00903D42" w:rsidR="002B1930">
        <w:t xml:space="preserve">he </w:t>
      </w:r>
      <w:r w:rsidRPr="00903D42" w:rsidR="0081131A">
        <w:t xml:space="preserve">survey </w:t>
      </w:r>
      <w:r w:rsidRPr="00903D42" w:rsidR="002B1930">
        <w:t xml:space="preserve">form, and the </w:t>
      </w:r>
      <w:r w:rsidRPr="00903D42" w:rsidR="0081131A">
        <w:t xml:space="preserve">survey </w:t>
      </w:r>
      <w:r w:rsidR="00CB320D">
        <w:t xml:space="preserve">form content. </w:t>
      </w:r>
      <w:r w:rsidRPr="00903D42" w:rsidR="00757F0F">
        <w:t>See Atta</w:t>
      </w:r>
      <w:r w:rsidRPr="00903D42" w:rsidR="0081131A">
        <w:t>chment</w:t>
      </w:r>
      <w:r w:rsidRPr="00903D42" w:rsidR="000C27C1">
        <w:t>s</w:t>
      </w:r>
      <w:r w:rsidRPr="00903D42" w:rsidR="0081131A">
        <w:t xml:space="preserve"> 2</w:t>
      </w:r>
      <w:r w:rsidRPr="00903D42" w:rsidR="000C27C1">
        <w:t>-19</w:t>
      </w:r>
      <w:r w:rsidRPr="00903D42" w:rsidR="0081131A">
        <w:t xml:space="preserve"> for</w:t>
      </w:r>
      <w:r w:rsidRPr="00903D42" w:rsidR="00903D42">
        <w:t xml:space="preserve"> the QSS survey forms</w:t>
      </w:r>
      <w:r w:rsidR="00903D42">
        <w:t xml:space="preserve"> and</w:t>
      </w:r>
      <w:r w:rsidR="00DF6D97">
        <w:t xml:space="preserve"> Attachments 20-25</w:t>
      </w:r>
      <w:r w:rsidRPr="00903D42" w:rsidR="004A0AE9">
        <w:t xml:space="preserve"> for the </w:t>
      </w:r>
      <w:r w:rsidRPr="00903D42" w:rsidR="00757F0F">
        <w:t>cover letter</w:t>
      </w:r>
      <w:r w:rsidRPr="00903D42" w:rsidR="004C077F">
        <w:t>s</w:t>
      </w:r>
      <w:r w:rsidR="00CB320D">
        <w:t xml:space="preserve">. </w:t>
      </w:r>
      <w:r w:rsidRPr="00903D42" w:rsidR="00757F0F">
        <w:t>Note that the form m</w:t>
      </w:r>
      <w:r w:rsidRPr="00903D42" w:rsidR="002B1930">
        <w:t>ay include technical</w:t>
      </w:r>
      <w:r w:rsidR="00CB320D">
        <w:t xml:space="preserve"> language. </w:t>
      </w:r>
      <w:r w:rsidRPr="00D136DB" w:rsidR="00757F0F">
        <w:t>This</w:t>
      </w:r>
      <w:r w:rsidR="0081131A">
        <w:t xml:space="preserve"> technical language has </w:t>
      </w:r>
      <w:r w:rsidRPr="00D136DB" w:rsidR="00757F0F">
        <w:t xml:space="preserve">been used in the </w:t>
      </w:r>
      <w:r w:rsidR="0081131A">
        <w:t>e</w:t>
      </w:r>
      <w:r w:rsidRPr="00D136DB" w:rsidR="00757F0F">
        <w:t xml:space="preserve">conomic </w:t>
      </w:r>
      <w:r w:rsidR="0081131A">
        <w:t>c</w:t>
      </w:r>
      <w:r w:rsidRPr="00D136DB" w:rsidR="00757F0F">
        <w:t>ensus and other programs or has been verified as conforming to industry usage during</w:t>
      </w:r>
      <w:r w:rsidR="00E66216">
        <w:t xml:space="preserve"> cognitive testing of the forms.</w:t>
      </w:r>
    </w:p>
    <w:p w:rsidRPr="00D136DB" w:rsidR="00757F0F" w:rsidP="009A5623" w:rsidRDefault="00757F0F" w14:paraId="71508378" w14:textId="77777777">
      <w:pPr>
        <w:tabs>
          <w:tab w:val="left" w:pos="360"/>
        </w:tabs>
        <w:ind w:left="1440"/>
      </w:pPr>
    </w:p>
    <w:p w:rsidRPr="00D136DB" w:rsidR="00757F0F" w:rsidP="00A61C1E" w:rsidRDefault="00757F0F" w14:paraId="38D0980B" w14:textId="15154096">
      <w:pPr>
        <w:pStyle w:val="ListParagraph"/>
        <w:numPr>
          <w:ilvl w:val="0"/>
          <w:numId w:val="7"/>
        </w:numPr>
        <w:tabs>
          <w:tab w:val="left" w:pos="0"/>
        </w:tabs>
        <w:ind w:left="1800" w:right="-90"/>
      </w:pPr>
      <w:r w:rsidRPr="00D136DB">
        <w:t xml:space="preserve">Total Revenue - Needed for the national economic accounts produced by BEA. </w:t>
      </w:r>
      <w:r w:rsidR="00E804FD">
        <w:t xml:space="preserve"> </w:t>
      </w:r>
      <w:r w:rsidR="00D01D78">
        <w:t>Revenue estimates</w:t>
      </w:r>
      <w:r w:rsidRPr="00D136DB">
        <w:t xml:space="preserve"> are used in the estimates of services within </w:t>
      </w:r>
      <w:r w:rsidR="006356E2">
        <w:t>PCE</w:t>
      </w:r>
      <w:r w:rsidRPr="00D136DB">
        <w:t>s and for est</w:t>
      </w:r>
      <w:r w:rsidR="00CB320D">
        <w:t xml:space="preserve">imates of software investment. </w:t>
      </w:r>
      <w:r w:rsidRPr="00D136DB">
        <w:t xml:space="preserve">These </w:t>
      </w:r>
      <w:r w:rsidR="00D01D78">
        <w:t>estimates</w:t>
      </w:r>
      <w:r w:rsidRPr="00D136DB">
        <w:t xml:space="preserve"> are also used for developing the GDP by industry estimates.</w:t>
      </w:r>
      <w:r w:rsidRPr="00D136DB">
        <w:tab/>
      </w:r>
    </w:p>
    <w:p w:rsidRPr="00D136DB" w:rsidR="00757F0F" w:rsidP="009A5623" w:rsidRDefault="00757F0F" w14:paraId="3565A4CE" w14:textId="77777777">
      <w:pPr>
        <w:tabs>
          <w:tab w:val="left" w:pos="0"/>
        </w:tabs>
        <w:ind w:left="1440" w:right="-90"/>
      </w:pPr>
    </w:p>
    <w:p w:rsidR="00757F0F" w:rsidP="00A61C1E" w:rsidRDefault="00757F0F" w14:paraId="17703F44" w14:textId="411B33C8">
      <w:pPr>
        <w:pStyle w:val="ListParagraph"/>
        <w:numPr>
          <w:ilvl w:val="0"/>
          <w:numId w:val="7"/>
        </w:numPr>
        <w:tabs>
          <w:tab w:val="left" w:pos="0"/>
        </w:tabs>
        <w:ind w:left="1800" w:right="-90"/>
      </w:pPr>
      <w:r w:rsidRPr="00D136DB">
        <w:t>Total Expenses - Total expenses are collected from tax-exempt organiz</w:t>
      </w:r>
      <w:r w:rsidR="00CB320D">
        <w:t xml:space="preserve">ations in selected industries. </w:t>
      </w:r>
      <w:r w:rsidRPr="00D136DB">
        <w:t>Expenses are a better indicator of economic activity than revenue for non-profit firms and organizations.</w:t>
      </w:r>
    </w:p>
    <w:p w:rsidR="00364013" w:rsidP="009A5623" w:rsidRDefault="00364013" w14:paraId="4837D1AB" w14:textId="77777777">
      <w:pPr>
        <w:pStyle w:val="ListParagraph"/>
        <w:ind w:left="1440"/>
      </w:pPr>
    </w:p>
    <w:p w:rsidRPr="00D136DB" w:rsidR="00364013" w:rsidP="00A61C1E" w:rsidRDefault="00364013" w14:paraId="20736F48" w14:textId="77777777">
      <w:pPr>
        <w:pStyle w:val="ListParagraph"/>
        <w:numPr>
          <w:ilvl w:val="0"/>
          <w:numId w:val="7"/>
        </w:numPr>
        <w:tabs>
          <w:tab w:val="left" w:pos="0"/>
          <w:tab w:val="left" w:pos="2700"/>
        </w:tabs>
        <w:ind w:left="1800" w:right="-90"/>
      </w:pPr>
      <w:r>
        <w:t>Source of Revenue – Used by BEA in estim</w:t>
      </w:r>
      <w:r w:rsidR="002B1930">
        <w:t xml:space="preserve">ating PCE. </w:t>
      </w:r>
      <w:r>
        <w:t>It includes:</w:t>
      </w:r>
    </w:p>
    <w:p w:rsidRPr="00D136DB" w:rsidR="00757F0F" w:rsidP="009A5623" w:rsidRDefault="00757F0F" w14:paraId="0780CEB0" w14:textId="77777777">
      <w:pPr>
        <w:tabs>
          <w:tab w:val="left" w:pos="0"/>
        </w:tabs>
        <w:ind w:left="1440" w:right="-90"/>
      </w:pPr>
    </w:p>
    <w:p w:rsidRPr="00D136DB" w:rsidR="00757F0F" w:rsidP="009A5623" w:rsidRDefault="00757F0F" w14:paraId="7385EBE2" w14:textId="77777777">
      <w:pPr>
        <w:tabs>
          <w:tab w:val="left" w:pos="0"/>
        </w:tabs>
        <w:ind w:left="1440" w:right="-90"/>
        <w:sectPr w:rsidRPr="00D136DB" w:rsidR="00757F0F" w:rsidSect="00673F57">
          <w:type w:val="continuous"/>
          <w:pgSz w:w="12240" w:h="15840"/>
          <w:pgMar w:top="1440" w:right="1440" w:bottom="1440" w:left="1440" w:header="1440" w:footer="720" w:gutter="0"/>
          <w:cols w:space="720"/>
          <w:noEndnote/>
          <w:docGrid w:linePitch="326"/>
        </w:sectPr>
      </w:pPr>
    </w:p>
    <w:p w:rsidR="00757F0F" w:rsidP="00A61C1E" w:rsidRDefault="00D0014D" w14:paraId="73B734E9" w14:textId="2523C6BD">
      <w:pPr>
        <w:pStyle w:val="ListParagraph"/>
        <w:numPr>
          <w:ilvl w:val="3"/>
          <w:numId w:val="16"/>
        </w:numPr>
        <w:tabs>
          <w:tab w:val="left" w:pos="0"/>
        </w:tabs>
        <w:ind w:left="2160"/>
      </w:pPr>
      <w:r>
        <w:t>Percentage of r</w:t>
      </w:r>
      <w:r w:rsidRPr="00D136DB" w:rsidR="00757F0F">
        <w:t xml:space="preserve">eceipts by </w:t>
      </w:r>
      <w:r>
        <w:t>c</w:t>
      </w:r>
      <w:r w:rsidRPr="00D136DB" w:rsidR="00757F0F">
        <w:t xml:space="preserve">lass of </w:t>
      </w:r>
      <w:r>
        <w:t>c</w:t>
      </w:r>
      <w:r w:rsidRPr="00D136DB" w:rsidR="00757F0F">
        <w:t>ustomer</w:t>
      </w:r>
      <w:r w:rsidR="00A10E16">
        <w:t>.</w:t>
      </w:r>
    </w:p>
    <w:p w:rsidR="00757F0F" w:rsidP="00A61C1E" w:rsidRDefault="00D0014D" w14:paraId="5675B991" w14:textId="241F2A16">
      <w:pPr>
        <w:pStyle w:val="ListParagraph"/>
        <w:numPr>
          <w:ilvl w:val="3"/>
          <w:numId w:val="16"/>
        </w:numPr>
        <w:tabs>
          <w:tab w:val="left" w:pos="0"/>
        </w:tabs>
        <w:ind w:left="2160"/>
      </w:pPr>
      <w:r>
        <w:t>Percentage of r</w:t>
      </w:r>
      <w:r w:rsidRPr="00D136DB" w:rsidR="00757F0F">
        <w:t xml:space="preserve">evenue from </w:t>
      </w:r>
      <w:r>
        <w:t>a</w:t>
      </w:r>
      <w:r w:rsidRPr="00D136DB" w:rsidR="00757F0F">
        <w:t>dmissions from select arts and entertainment companies such as spec</w:t>
      </w:r>
      <w:r w:rsidR="001E67C4">
        <w:t>tator sports</w:t>
      </w:r>
      <w:r w:rsidR="00A10E16">
        <w:t>.</w:t>
      </w:r>
    </w:p>
    <w:p w:rsidR="00771196" w:rsidP="00A61C1E" w:rsidRDefault="002D2143" w14:paraId="2E902191" w14:textId="309FB5BE">
      <w:pPr>
        <w:pStyle w:val="ListParagraph"/>
        <w:numPr>
          <w:ilvl w:val="3"/>
          <w:numId w:val="16"/>
        </w:numPr>
        <w:tabs>
          <w:tab w:val="left" w:pos="0"/>
        </w:tabs>
        <w:ind w:left="2160"/>
      </w:pPr>
      <w:r>
        <w:t>Gross billing, direct costs of worksite employees, and net revenue</w:t>
      </w:r>
      <w:r w:rsidR="00A10E16">
        <w:t>.</w:t>
      </w:r>
    </w:p>
    <w:p w:rsidR="00D0014D" w:rsidP="009A5623" w:rsidRDefault="00D0014D" w14:paraId="2E746F08" w14:textId="77777777">
      <w:pPr>
        <w:tabs>
          <w:tab w:val="left" w:pos="0"/>
        </w:tabs>
        <w:ind w:left="1440"/>
      </w:pPr>
    </w:p>
    <w:p w:rsidR="00D0014D" w:rsidP="00A61C1E" w:rsidRDefault="00D0014D" w14:paraId="43D45E9F" w14:textId="57399707">
      <w:pPr>
        <w:pStyle w:val="ListParagraph"/>
        <w:numPr>
          <w:ilvl w:val="0"/>
          <w:numId w:val="18"/>
        </w:numPr>
        <w:tabs>
          <w:tab w:val="left" w:pos="0"/>
        </w:tabs>
        <w:ind w:left="1800"/>
      </w:pPr>
      <w:r w:rsidRPr="00D136DB">
        <w:t xml:space="preserve">Inpatient and Discharge Days - Used by CMS to develop hospital spending estimates </w:t>
      </w:r>
      <w:r>
        <w:t>in the National Health Accounts</w:t>
      </w:r>
      <w:r w:rsidR="00593A4B">
        <w:t>.</w:t>
      </w:r>
    </w:p>
    <w:p w:rsidRPr="00D136DB" w:rsidR="00D0014D" w:rsidP="009A5623" w:rsidRDefault="00D0014D" w14:paraId="453ED600" w14:textId="77777777">
      <w:pPr>
        <w:tabs>
          <w:tab w:val="left" w:pos="0"/>
        </w:tabs>
        <w:ind w:left="1440"/>
      </w:pPr>
    </w:p>
    <w:p w:rsidRPr="00D136DB" w:rsidR="00757F0F" w:rsidP="009A5623" w:rsidRDefault="00757F0F" w14:paraId="16A4887B" w14:textId="77DAB90E">
      <w:pPr>
        <w:tabs>
          <w:tab w:val="left" w:pos="360"/>
        </w:tabs>
        <w:ind w:left="1440"/>
        <w:rPr>
          <w:b/>
          <w:bCs/>
        </w:rPr>
      </w:pPr>
      <w:r w:rsidRPr="00D136DB">
        <w:t xml:space="preserve">Information quality is an integral part of the pre-dissemination review of </w:t>
      </w:r>
      <w:r w:rsidRPr="00D136DB">
        <w:lastRenderedPageBreak/>
        <w:t>information disseminated by the Census Bureau (fully described in the Census Bureau</w:t>
      </w:r>
      <w:r w:rsidR="006F7F45">
        <w:t>’</w:t>
      </w:r>
      <w:r w:rsidRPr="00D136DB">
        <w:t>s In</w:t>
      </w:r>
      <w:r w:rsidR="00CB320D">
        <w:t xml:space="preserve">formation Quality Guidelines). </w:t>
      </w:r>
      <w:r w:rsidRPr="00D136DB">
        <w:t xml:space="preserve">Information quality is also integral to information collections conducted by the Census </w:t>
      </w:r>
      <w:proofErr w:type="gramStart"/>
      <w:r w:rsidRPr="00D136DB">
        <w:t>Bureau, and</w:t>
      </w:r>
      <w:proofErr w:type="gramEnd"/>
      <w:r w:rsidRPr="00D136DB">
        <w:t xml:space="preserve"> is incorporated into the clearance process required by the Paperwork Reduction Act.</w:t>
      </w:r>
    </w:p>
    <w:p w:rsidRPr="00D136DB" w:rsidR="00C154BD" w:rsidP="00C154BD" w:rsidRDefault="00C154BD" w14:paraId="46331094" w14:textId="77777777">
      <w:pPr>
        <w:tabs>
          <w:tab w:val="left" w:pos="-360"/>
        </w:tabs>
        <w:rPr>
          <w:b/>
          <w:bCs/>
        </w:rPr>
      </w:pPr>
    </w:p>
    <w:p w:rsidRPr="00D136DB" w:rsidR="00757F0F" w:rsidP="00A61C1E" w:rsidRDefault="00757F0F" w14:paraId="4F2FB419" w14:textId="77777777">
      <w:pPr>
        <w:tabs>
          <w:tab w:val="left" w:pos="-360"/>
        </w:tabs>
        <w:ind w:left="1440" w:hanging="720"/>
        <w:rPr>
          <w:b/>
          <w:bCs/>
        </w:rPr>
      </w:pPr>
      <w:r w:rsidRPr="00D136DB">
        <w:rPr>
          <w:b/>
          <w:bCs/>
        </w:rPr>
        <w:t>3.</w:t>
      </w:r>
      <w:r w:rsidRPr="00D136DB">
        <w:rPr>
          <w:b/>
          <w:bCs/>
        </w:rPr>
        <w:tab/>
      </w:r>
      <w:r w:rsidRPr="00D136DB">
        <w:rPr>
          <w:b/>
          <w:bCs/>
          <w:u w:val="single"/>
        </w:rPr>
        <w:t>Use of Information Technology</w:t>
      </w:r>
    </w:p>
    <w:p w:rsidRPr="00D136DB" w:rsidR="00757F0F" w:rsidP="009A5623" w:rsidRDefault="00757F0F" w14:paraId="741CF13B" w14:textId="77777777">
      <w:pPr>
        <w:tabs>
          <w:tab w:val="left" w:pos="-360"/>
        </w:tabs>
        <w:ind w:left="1440"/>
      </w:pPr>
    </w:p>
    <w:p w:rsidRPr="00D136DB" w:rsidR="00757F0F" w:rsidP="009A5623" w:rsidRDefault="00757F0F" w14:paraId="155F4F96" w14:textId="77777777">
      <w:pPr>
        <w:tabs>
          <w:tab w:val="left" w:pos="-360"/>
        </w:tabs>
        <w:ind w:left="1440"/>
      </w:pPr>
      <w:r w:rsidRPr="00D136DB">
        <w:t>The following are the E-Government services that we currently provide for the QSS:</w:t>
      </w:r>
    </w:p>
    <w:p w:rsidRPr="00D136DB" w:rsidR="00757F0F" w:rsidP="009A5623" w:rsidRDefault="00757F0F" w14:paraId="047CD762" w14:textId="77777777">
      <w:pPr>
        <w:tabs>
          <w:tab w:val="left" w:pos="-360"/>
        </w:tabs>
        <w:ind w:left="1440"/>
      </w:pPr>
    </w:p>
    <w:p w:rsidRPr="00D136DB" w:rsidR="00757F0F" w:rsidP="00A61C1E" w:rsidRDefault="00757F0F" w14:paraId="445F6C52" w14:textId="46BA4446">
      <w:pPr>
        <w:pStyle w:val="Level1"/>
        <w:numPr>
          <w:ilvl w:val="0"/>
          <w:numId w:val="9"/>
        </w:numPr>
        <w:tabs>
          <w:tab w:val="left" w:pos="360"/>
        </w:tabs>
        <w:ind w:left="1800"/>
      </w:pPr>
      <w:r w:rsidRPr="00D136DB">
        <w:t xml:space="preserve">A print on-demand system referred to as DocuPrint is used </w:t>
      </w:r>
      <w:r w:rsidR="00CB320D">
        <w:t xml:space="preserve">to prepare all questionnaires. </w:t>
      </w:r>
      <w:r w:rsidRPr="00D136DB">
        <w:t>The benefit of this system is its ability to print a specific document or set of related documents (upon request) and overlay variable data in predetermined locations throughout the documents.</w:t>
      </w:r>
      <w:r w:rsidR="00CB320D">
        <w:t xml:space="preserve"> </w:t>
      </w:r>
      <w:r w:rsidRPr="00D136DB">
        <w:t>This process reduces the time and cost of preparing mailout packages, while allowing each form to be individually tailored to provide industry and even company specific instructions to clarify reporting criteria.</w:t>
      </w:r>
    </w:p>
    <w:p w:rsidRPr="00D136DB" w:rsidR="00757F0F" w:rsidP="009A5623" w:rsidRDefault="00757F0F" w14:paraId="1BCB5597" w14:textId="77777777">
      <w:pPr>
        <w:tabs>
          <w:tab w:val="left" w:pos="360"/>
        </w:tabs>
        <w:ind w:left="1440"/>
      </w:pPr>
    </w:p>
    <w:p w:rsidRPr="00D136DB" w:rsidR="00757F0F" w:rsidP="00DB427C" w:rsidRDefault="00757F0F" w14:paraId="679CE692" w14:textId="48786856">
      <w:pPr>
        <w:pStyle w:val="Level1"/>
        <w:numPr>
          <w:ilvl w:val="0"/>
          <w:numId w:val="9"/>
        </w:numPr>
        <w:tabs>
          <w:tab w:val="left" w:pos="360"/>
        </w:tabs>
        <w:ind w:left="1800"/>
        <w:sectPr w:rsidRPr="00D136DB" w:rsidR="00757F0F" w:rsidSect="00673F57">
          <w:type w:val="continuous"/>
          <w:pgSz w:w="12240" w:h="15840"/>
          <w:pgMar w:top="1440" w:right="1350" w:bottom="1440" w:left="1440" w:header="1440" w:footer="720" w:gutter="0"/>
          <w:cols w:space="720"/>
          <w:noEndnote/>
          <w:docGrid w:linePitch="326"/>
        </w:sectPr>
      </w:pPr>
      <w:r w:rsidRPr="00D136DB">
        <w:t>Internet collection is conducted through the Centurion Internet Reporti</w:t>
      </w:r>
      <w:r w:rsidR="00CB320D">
        <w:t xml:space="preserve">ng System. </w:t>
      </w:r>
      <w:r w:rsidRPr="00D136DB">
        <w:t xml:space="preserve">This method of data collection reduces the amount of data entry, thus providing a means of </w:t>
      </w:r>
      <w:r w:rsidR="00CB320D">
        <w:t xml:space="preserve">cost-effective data retrieval. </w:t>
      </w:r>
      <w:r w:rsidRPr="00D136DB">
        <w:t>In addition, the system</w:t>
      </w:r>
      <w:r w:rsidR="00071D99">
        <w:t>’</w:t>
      </w:r>
      <w:r w:rsidRPr="00D136DB">
        <w:t xml:space="preserve">s built-in data checks/edits improve quality of response and </w:t>
      </w:r>
      <w:r w:rsidR="0081131A">
        <w:t>reduce</w:t>
      </w:r>
      <w:r w:rsidRPr="00D136DB">
        <w:t xml:space="preserve"> the</w:t>
      </w:r>
      <w:r w:rsidR="00CB320D">
        <w:t xml:space="preserve"> need for telephone follow-up. </w:t>
      </w:r>
      <w:r w:rsidRPr="00D136DB">
        <w:t xml:space="preserve">Respondents can complete the survey online by visiting the following website: </w:t>
      </w:r>
      <w:r w:rsidRPr="00D136DB">
        <w:rPr>
          <w:rStyle w:val="Hypertext"/>
        </w:rPr>
        <w:t>http</w:t>
      </w:r>
      <w:r w:rsidR="00616443">
        <w:rPr>
          <w:rStyle w:val="Hypertext"/>
        </w:rPr>
        <w:t>s</w:t>
      </w:r>
      <w:r w:rsidRPr="00D136DB">
        <w:rPr>
          <w:rStyle w:val="Hypertext"/>
        </w:rPr>
        <w:t>://</w:t>
      </w:r>
      <w:r w:rsidR="00616443">
        <w:rPr>
          <w:rStyle w:val="Hypertext"/>
        </w:rPr>
        <w:t>econhelp.census.gov/qss.</w:t>
      </w:r>
      <w:r w:rsidR="002B1930">
        <w:t xml:space="preserve"> </w:t>
      </w:r>
      <w:r w:rsidRPr="00D136DB">
        <w:t xml:space="preserve">The </w:t>
      </w:r>
      <w:r>
        <w:t>web</w:t>
      </w:r>
      <w:r w:rsidRPr="00D136DB">
        <w:t xml:space="preserve"> address and the re</w:t>
      </w:r>
      <w:r w:rsidR="00616443">
        <w:t>spondent’s username and authentication code</w:t>
      </w:r>
      <w:r w:rsidRPr="00D136DB">
        <w:t xml:space="preserve"> are located on</w:t>
      </w:r>
      <w:r>
        <w:t xml:space="preserve"> page 1 of the form.</w:t>
      </w:r>
      <w:r w:rsidRPr="00D136DB">
        <w:t xml:space="preserve"> Once the respondent is logged into the system, they may complete the entire QSS, save any unfinished QSS form(s) to complete at a later time, and print any forms they complete online. No additional softwar</w:t>
      </w:r>
      <w:r w:rsidR="002B1930">
        <w:t xml:space="preserve">e is needed by the respondent. </w:t>
      </w:r>
      <w:r w:rsidRPr="00D136DB">
        <w:t>In addition, all data submitted through the Centurion Internet Reporting System are encrypted.</w:t>
      </w:r>
      <w:r w:rsidR="00F132F8">
        <w:t xml:space="preserve"> </w:t>
      </w:r>
      <w:r w:rsidR="009F644E">
        <w:t>At the beginning of a</w:t>
      </w:r>
      <w:r w:rsidR="00B93E99">
        <w:t xml:space="preserve"> new</w:t>
      </w:r>
      <w:r w:rsidR="009F644E">
        <w:t xml:space="preserve"> sample, a</w:t>
      </w:r>
      <w:r w:rsidR="004912FA">
        <w:t xml:space="preserve">pproximately half of the QSS respondents are mailed a full paper form that provides the option for submission </w:t>
      </w:r>
      <w:r w:rsidR="00DB427C">
        <w:t>by Internet or</w:t>
      </w:r>
      <w:r w:rsidR="00DC0119">
        <w:t xml:space="preserve"> mail.</w:t>
      </w:r>
      <w:r w:rsidR="00CB320D">
        <w:t xml:space="preserve"> </w:t>
      </w:r>
      <w:r w:rsidRPr="008C4D7B" w:rsidR="004912FA">
        <w:t xml:space="preserve">The remaining half of respondents are mailed only </w:t>
      </w:r>
      <w:r w:rsidRPr="008C4D7B" w:rsidR="00CC2F2E">
        <w:t xml:space="preserve">the first page of the form containing </w:t>
      </w:r>
      <w:r w:rsidR="00256443">
        <w:t xml:space="preserve">their username and authentication code </w:t>
      </w:r>
      <w:r w:rsidRPr="008C4D7B" w:rsidR="004912FA">
        <w:t>providing for submission by Internet.</w:t>
      </w:r>
      <w:r w:rsidR="009F644E">
        <w:t xml:space="preserve">  Historically, over time the percentages tend to shift towards a smaller percentage of respondents receiving the full paper form and a larger percentage of respondents </w:t>
      </w:r>
      <w:r w:rsidR="00CB320D">
        <w:t xml:space="preserve">receiving the shorter version. </w:t>
      </w:r>
      <w:r w:rsidR="00B93E99">
        <w:t>For example, a</w:t>
      </w:r>
      <w:r w:rsidR="009F644E">
        <w:t xml:space="preserve">t the end of the last sample, approximately </w:t>
      </w:r>
      <w:r w:rsidR="00B93E99">
        <w:t>20% of respondents received the full form, while approximately 80% received the shorter version.</w:t>
      </w:r>
      <w:r w:rsidR="00CB320D">
        <w:t xml:space="preserve"> </w:t>
      </w:r>
      <w:r w:rsidR="004912FA">
        <w:t xml:space="preserve">Respondents that report via the Internet </w:t>
      </w:r>
      <w:r w:rsidR="00AD4171">
        <w:t>in any given quarter now have the option to choose how they want to receive f</w:t>
      </w:r>
      <w:r w:rsidR="00D00F1D">
        <w:t xml:space="preserve">orms in the future, i.e., email or mailed form. </w:t>
      </w:r>
    </w:p>
    <w:p w:rsidRPr="003254A3" w:rsidR="00675F5A" w:rsidP="00675F5A" w:rsidRDefault="00675F5A" w14:paraId="7083C9D6" w14:textId="485535A6">
      <w:pPr>
        <w:pStyle w:val="Level1"/>
        <w:tabs>
          <w:tab w:val="left" w:pos="360"/>
        </w:tabs>
        <w:ind w:left="0" w:firstLine="0"/>
      </w:pPr>
    </w:p>
    <w:p w:rsidR="00F904BC" w:rsidP="003A3D09" w:rsidRDefault="00885788" w14:paraId="1209EBC8" w14:textId="1EBC530B">
      <w:pPr>
        <w:pStyle w:val="Level1"/>
        <w:numPr>
          <w:ilvl w:val="0"/>
          <w:numId w:val="9"/>
        </w:numPr>
        <w:tabs>
          <w:tab w:val="left" w:pos="360"/>
        </w:tabs>
        <w:ind w:left="1800"/>
      </w:pPr>
      <w:r>
        <w:t>Beginning in the spring o</w:t>
      </w:r>
      <w:r w:rsidR="00A14E49">
        <w:t xml:space="preserve">f 2018, we began utilizing </w:t>
      </w:r>
      <w:r>
        <w:t xml:space="preserve">email notifications to inform respondents that the online reporting portal is open and </w:t>
      </w:r>
      <w:r w:rsidR="002C474E">
        <w:t xml:space="preserve">to </w:t>
      </w:r>
      <w:r>
        <w:t>remind</w:t>
      </w:r>
      <w:r w:rsidR="003A30CA">
        <w:t xml:space="preserve"> them of delinquent responses. Sample e-mail notifications can be found in </w:t>
      </w:r>
      <w:r w:rsidR="003A30CA">
        <w:lastRenderedPageBreak/>
        <w:t>A</w:t>
      </w:r>
      <w:r w:rsidR="002C474E">
        <w:t>ttachments 26</w:t>
      </w:r>
      <w:r w:rsidR="003A30CA">
        <w:t>-2</w:t>
      </w:r>
      <w:r w:rsidR="002C474E">
        <w:t xml:space="preserve">8. </w:t>
      </w:r>
      <w:r w:rsidR="003A30CA">
        <w:t xml:space="preserve">As a result of increased use of online reporting, we phased out the use of outgoing facsimiles to companies. </w:t>
      </w:r>
    </w:p>
    <w:p w:rsidRPr="003A3D09" w:rsidR="00C154BD" w:rsidP="00C154BD" w:rsidRDefault="00C154BD" w14:paraId="08D57A51" w14:textId="77777777">
      <w:pPr>
        <w:pStyle w:val="Level1"/>
        <w:tabs>
          <w:tab w:val="left" w:pos="360"/>
        </w:tabs>
      </w:pPr>
    </w:p>
    <w:p w:rsidRPr="00D136DB" w:rsidR="00757F0F" w:rsidP="00A61C1E" w:rsidRDefault="00757F0F" w14:paraId="58180079" w14:textId="437E5BC2">
      <w:pPr>
        <w:tabs>
          <w:tab w:val="left" w:pos="-360"/>
        </w:tabs>
        <w:ind w:left="1440" w:hanging="720"/>
      </w:pPr>
      <w:r w:rsidRPr="00D136DB">
        <w:rPr>
          <w:b/>
          <w:bCs/>
        </w:rPr>
        <w:t>4.</w:t>
      </w:r>
      <w:r w:rsidRPr="00D136DB">
        <w:rPr>
          <w:b/>
          <w:bCs/>
        </w:rPr>
        <w:tab/>
      </w:r>
      <w:r w:rsidRPr="00D136DB">
        <w:rPr>
          <w:b/>
          <w:bCs/>
          <w:u w:val="single"/>
        </w:rPr>
        <w:t>Efforts to Identify Duplication</w:t>
      </w:r>
    </w:p>
    <w:p w:rsidRPr="00D136DB" w:rsidR="00757F0F" w:rsidP="009A5623" w:rsidRDefault="00757F0F" w14:paraId="2BD71054" w14:textId="77777777">
      <w:pPr>
        <w:tabs>
          <w:tab w:val="left" w:pos="-360"/>
        </w:tabs>
        <w:ind w:left="1440"/>
      </w:pPr>
    </w:p>
    <w:p w:rsidRPr="00D136DB" w:rsidR="00757F0F" w:rsidP="009A5623" w:rsidRDefault="00311DE7" w14:paraId="749A2F58" w14:textId="1663B307">
      <w:pPr>
        <w:tabs>
          <w:tab w:val="left" w:pos="360"/>
        </w:tabs>
        <w:ind w:left="1440"/>
      </w:pPr>
      <w:r>
        <w:t xml:space="preserve">During the initial launch of </w:t>
      </w:r>
      <w:r w:rsidR="003A3D09">
        <w:t xml:space="preserve">the </w:t>
      </w:r>
      <w:r>
        <w:t>QSS, and its subsequent expansion, c</w:t>
      </w:r>
      <w:r w:rsidRPr="00D136DB" w:rsidR="00757F0F">
        <w:t>onsultations were held with representatives of the Federal Government and industry organizations regarding the availability and need of statistical information for the service industries and to ensure that there is no duplication.</w:t>
      </w:r>
      <w:r w:rsidR="002C474E">
        <w:t xml:space="preserve"> </w:t>
      </w:r>
      <w:r w:rsidRPr="00311DE7">
        <w:t>We continue to coordinate with these stakeholders to assess ongoing relevance of service industry measurement through the QSS</w:t>
      </w:r>
      <w:r>
        <w:t>.</w:t>
      </w:r>
    </w:p>
    <w:p w:rsidRPr="00D136DB" w:rsidR="00757F0F" w:rsidP="009A5623" w:rsidRDefault="00757F0F" w14:paraId="5A173216" w14:textId="77777777">
      <w:pPr>
        <w:tabs>
          <w:tab w:val="left" w:pos="360"/>
        </w:tabs>
        <w:ind w:left="1440"/>
      </w:pPr>
    </w:p>
    <w:p w:rsidRPr="00CF3838" w:rsidR="002320F5" w:rsidP="002452F7" w:rsidRDefault="00757F0F" w14:paraId="2300F349" w14:textId="62B08DA6">
      <w:pPr>
        <w:tabs>
          <w:tab w:val="left" w:pos="360"/>
        </w:tabs>
        <w:ind w:left="1440"/>
      </w:pPr>
      <w:r w:rsidRPr="00D136DB">
        <w:t>Service industry data are collected in the Service Annual Survey (OMB Approval Number 0607-0422) and in the</w:t>
      </w:r>
      <w:r w:rsidR="002B1930">
        <w:t xml:space="preserve"> quinquennial Economic Census. </w:t>
      </w:r>
      <w:r w:rsidRPr="00D136DB">
        <w:t xml:space="preserve">While the annual and quinquennial </w:t>
      </w:r>
      <w:r>
        <w:t>d</w:t>
      </w:r>
      <w:r w:rsidRPr="00D136DB">
        <w:t>ata provide service industry data, they do not provide the data points needed to monitor the</w:t>
      </w:r>
      <w:r w:rsidR="002B1930">
        <w:t xml:space="preserve"> current state of the economy. </w:t>
      </w:r>
      <w:r w:rsidRPr="00D136DB">
        <w:t xml:space="preserve">The </w:t>
      </w:r>
      <w:r w:rsidR="00A654B2">
        <w:t>QSS estimates are</w:t>
      </w:r>
      <w:r w:rsidRPr="00D136DB">
        <w:t xml:space="preserve"> the only available data source for evaluating current business conditions.</w:t>
      </w:r>
    </w:p>
    <w:p w:rsidRPr="00D136DB" w:rsidR="00757F0F" w:rsidP="009A5623" w:rsidRDefault="00757F0F" w14:paraId="01D05739" w14:textId="77777777">
      <w:pPr>
        <w:tabs>
          <w:tab w:val="left" w:pos="-360"/>
        </w:tabs>
        <w:ind w:left="1440"/>
        <w:rPr>
          <w:b/>
          <w:bCs/>
        </w:rPr>
      </w:pPr>
    </w:p>
    <w:p w:rsidRPr="00D136DB" w:rsidR="00757F0F" w:rsidP="00A61C1E" w:rsidRDefault="00757F0F" w14:paraId="30AEE71F" w14:textId="77777777">
      <w:pPr>
        <w:tabs>
          <w:tab w:val="left" w:pos="-360"/>
        </w:tabs>
        <w:ind w:left="1440" w:hanging="720"/>
      </w:pPr>
      <w:r w:rsidRPr="00D136DB">
        <w:rPr>
          <w:b/>
          <w:bCs/>
        </w:rPr>
        <w:t>5</w:t>
      </w:r>
      <w:r w:rsidRPr="00D136DB">
        <w:t>.</w:t>
      </w:r>
      <w:r w:rsidRPr="00D136DB">
        <w:tab/>
      </w:r>
      <w:r w:rsidRPr="00D136DB">
        <w:rPr>
          <w:b/>
          <w:bCs/>
          <w:u w:val="single"/>
        </w:rPr>
        <w:t>Minimizing Burden</w:t>
      </w:r>
    </w:p>
    <w:p w:rsidRPr="00D136DB" w:rsidR="00757F0F" w:rsidP="009A5623" w:rsidRDefault="00757F0F" w14:paraId="40E559B2" w14:textId="77777777">
      <w:pPr>
        <w:tabs>
          <w:tab w:val="left" w:pos="-360"/>
        </w:tabs>
        <w:ind w:left="1440"/>
      </w:pPr>
    </w:p>
    <w:p w:rsidRPr="00D136DB" w:rsidR="00757F0F" w:rsidP="009A5623" w:rsidRDefault="00757F0F" w14:paraId="01E5EF89" w14:textId="04A76A0D">
      <w:pPr>
        <w:tabs>
          <w:tab w:val="left" w:pos="360"/>
        </w:tabs>
        <w:ind w:left="1440"/>
      </w:pPr>
      <w:r w:rsidRPr="00D136DB">
        <w:t>The stratified</w:t>
      </w:r>
      <w:r w:rsidR="006356E2">
        <w:t xml:space="preserve"> systematic, probability proportional-to-size</w:t>
      </w:r>
      <w:r w:rsidRPr="00D136DB">
        <w:t xml:space="preserve"> sample design used for the QSS utilizes the least number of sampling units required to produce national level estimates with the desired level of reliability, thus minimizing respondent burden. </w:t>
      </w:r>
    </w:p>
    <w:p w:rsidRPr="00D136DB" w:rsidR="00757F0F" w:rsidP="009A5623" w:rsidRDefault="00757F0F" w14:paraId="6D22FE22" w14:textId="77777777">
      <w:pPr>
        <w:tabs>
          <w:tab w:val="left" w:pos="360"/>
        </w:tabs>
        <w:ind w:left="1440"/>
      </w:pPr>
    </w:p>
    <w:p w:rsidRPr="00D136DB" w:rsidR="00757F0F" w:rsidP="009A5623" w:rsidRDefault="00757F0F" w14:paraId="727C545D" w14:textId="77777777">
      <w:pPr>
        <w:tabs>
          <w:tab w:val="left" w:pos="360"/>
        </w:tabs>
        <w:ind w:left="1440"/>
      </w:pPr>
      <w:r w:rsidRPr="00D136DB">
        <w:t>Data are collected from the largest firms and from a sample of small- and</w:t>
      </w:r>
    </w:p>
    <w:p w:rsidRPr="00D136DB" w:rsidR="00757F0F" w:rsidP="009A5623" w:rsidRDefault="00757F0F" w14:paraId="26BD67DA" w14:textId="671D47B6">
      <w:pPr>
        <w:tabs>
          <w:tab w:val="left" w:pos="360"/>
        </w:tabs>
        <w:ind w:left="1440"/>
      </w:pPr>
      <w:r w:rsidRPr="00D136DB">
        <w:t>medium-sized businesses using a stratified random sampling procedure with the probability of selection increas</w:t>
      </w:r>
      <w:r w:rsidR="002B1930">
        <w:t xml:space="preserve">ing with increasing </w:t>
      </w:r>
      <w:r w:rsidRPr="00E66216" w:rsidR="002B1930">
        <w:t xml:space="preserve">firm size. </w:t>
      </w:r>
      <w:r w:rsidRPr="00E66216">
        <w:t xml:space="preserve">The sampling rate for the smallest businesses is approximately 1 in 750. </w:t>
      </w:r>
    </w:p>
    <w:p w:rsidRPr="00D136DB" w:rsidR="00757F0F" w:rsidP="009A5623" w:rsidRDefault="00757F0F" w14:paraId="4B45D79B" w14:textId="77777777">
      <w:pPr>
        <w:tabs>
          <w:tab w:val="left" w:pos="360"/>
        </w:tabs>
        <w:ind w:left="1440"/>
      </w:pPr>
    </w:p>
    <w:p w:rsidRPr="00D136DB" w:rsidR="00757F0F" w:rsidP="009A5623" w:rsidRDefault="00757F0F" w14:paraId="516D451A" w14:textId="77777777">
      <w:pPr>
        <w:tabs>
          <w:tab w:val="left" w:pos="360"/>
        </w:tabs>
        <w:ind w:left="1440"/>
      </w:pPr>
      <w:r w:rsidRPr="00D136DB">
        <w:t xml:space="preserve">The Census Bureau provides respondents with the option of reporting electronically via the Internet and will work with individual companies that desire to set up a customized reporting arrangement tailored to the company’s needs. </w:t>
      </w:r>
    </w:p>
    <w:p w:rsidRPr="00D136DB" w:rsidR="00757F0F" w:rsidP="009A5623" w:rsidRDefault="00757F0F" w14:paraId="6800D095" w14:textId="77777777">
      <w:pPr>
        <w:tabs>
          <w:tab w:val="left" w:pos="360"/>
        </w:tabs>
        <w:ind w:left="1440"/>
      </w:pPr>
    </w:p>
    <w:p w:rsidRPr="00D136DB" w:rsidR="00757F0F" w:rsidP="009A5623" w:rsidRDefault="00757F0F" w14:paraId="024ED1AE" w14:textId="77777777">
      <w:pPr>
        <w:tabs>
          <w:tab w:val="left" w:pos="360"/>
        </w:tabs>
        <w:ind w:left="1440"/>
        <w:sectPr w:rsidRPr="00D136DB" w:rsidR="00757F0F" w:rsidSect="00673F57">
          <w:type w:val="continuous"/>
          <w:pgSz w:w="12240" w:h="15840"/>
          <w:pgMar w:top="1440" w:right="1350" w:bottom="1440" w:left="1440" w:header="1440" w:footer="720" w:gutter="0"/>
          <w:cols w:space="720"/>
          <w:noEndnote/>
          <w:docGrid w:linePitch="326"/>
        </w:sectPr>
      </w:pPr>
    </w:p>
    <w:p w:rsidRPr="00D136DB" w:rsidR="00757F0F" w:rsidP="009A5623" w:rsidRDefault="00757F0F" w14:paraId="24CEA2C1" w14:textId="5E3F5E98">
      <w:pPr>
        <w:tabs>
          <w:tab w:val="left" w:pos="360"/>
        </w:tabs>
        <w:ind w:left="1440"/>
      </w:pPr>
      <w:r w:rsidRPr="00D136DB">
        <w:t xml:space="preserve">An automated, paperless processing system is used for mailed-back report forms for timely identification of returned cases, thus minimizing unnecessary follow-up </w:t>
      </w:r>
      <w:r w:rsidR="002B1930">
        <w:t>contacts with respondents.</w:t>
      </w:r>
      <w:r w:rsidR="00F132F8">
        <w:t xml:space="preserve"> </w:t>
      </w:r>
      <w:r w:rsidRPr="00D136DB">
        <w:t>We provide respondents with a toll-free number if they have questions or need assi</w:t>
      </w:r>
      <w:r w:rsidR="003A3D09">
        <w:t>stance. In addition, we have a w</w:t>
      </w:r>
      <w:r w:rsidRPr="00D136DB">
        <w:t>eb site that contains information about the survey and how respondents can complete their report.</w:t>
      </w:r>
    </w:p>
    <w:p w:rsidRPr="00D136DB" w:rsidR="00757F0F" w:rsidP="00757F0F" w:rsidRDefault="00757F0F" w14:paraId="264695D7" w14:textId="77777777">
      <w:pPr>
        <w:tabs>
          <w:tab w:val="left" w:pos="360"/>
        </w:tabs>
        <w:ind w:left="1440"/>
      </w:pPr>
    </w:p>
    <w:p w:rsidRPr="00D136DB" w:rsidR="00757F0F" w:rsidP="00757F0F" w:rsidRDefault="00757F0F" w14:paraId="7CEF2DC5" w14:textId="34185E99">
      <w:pPr>
        <w:tabs>
          <w:tab w:val="left" w:pos="360"/>
        </w:tabs>
        <w:ind w:left="1440"/>
      </w:pPr>
      <w:r w:rsidRPr="00D136DB">
        <w:t>Firms canvassed are not required to maintain additional records for the survey, nor do we expect participants to incur extra expenses to devel</w:t>
      </w:r>
      <w:r w:rsidR="002B1930">
        <w:t xml:space="preserve">op data not readily available. </w:t>
      </w:r>
      <w:r w:rsidRPr="00D136DB">
        <w:t>To emphasize this point, depending on the participant</w:t>
      </w:r>
      <w:r w:rsidR="00625AEF">
        <w:t>’</w:t>
      </w:r>
      <w:r w:rsidRPr="00D136DB">
        <w:t>s method of financial bookkeeping and reporting, respondents have the option of repor</w:t>
      </w:r>
      <w:r w:rsidR="002B1930">
        <w:t xml:space="preserve">ting fiscal data if necessary. Estimates are acceptable. </w:t>
      </w:r>
      <w:r w:rsidRPr="00D136DB">
        <w:t xml:space="preserve">Furthermore, the Census Bureau </w:t>
      </w:r>
      <w:r w:rsidRPr="00D136DB">
        <w:lastRenderedPageBreak/>
        <w:t>works with respondents in the QSS to set up special mailing and other reporting arrangements to help ease the reporting burden.</w:t>
      </w:r>
      <w:r w:rsidR="00F132F8">
        <w:t xml:space="preserve"> </w:t>
      </w:r>
      <w:r w:rsidR="004912FA">
        <w:t>W</w:t>
      </w:r>
      <w:r w:rsidRPr="004912FA" w:rsidR="00EE2D72">
        <w:t xml:space="preserve">e give </w:t>
      </w:r>
      <w:r w:rsidRPr="004912FA" w:rsidR="008D0FDC">
        <w:t xml:space="preserve">respondents </w:t>
      </w:r>
      <w:r w:rsidRPr="004912FA" w:rsidR="00EE2D72">
        <w:t xml:space="preserve">the option </w:t>
      </w:r>
      <w:r w:rsidRPr="004912FA" w:rsidR="008D0FDC">
        <w:t>to</w:t>
      </w:r>
      <w:r w:rsidRPr="004912FA" w:rsidR="00EE2D72">
        <w:t xml:space="preserve"> consolidate their data and report these consolidated data to</w:t>
      </w:r>
      <w:r w:rsidRPr="004912FA" w:rsidR="008D0FDC">
        <w:t xml:space="preserve"> us</w:t>
      </w:r>
      <w:r w:rsidRPr="004912FA" w:rsidR="002B1930">
        <w:t>.</w:t>
      </w:r>
      <w:r w:rsidR="00F132F8">
        <w:t xml:space="preserve"> </w:t>
      </w:r>
      <w:r w:rsidR="00EE2D72">
        <w:t>They then receive a consolidated report</w:t>
      </w:r>
      <w:r w:rsidR="008D0FDC">
        <w:t xml:space="preserve"> </w:t>
      </w:r>
      <w:r w:rsidR="00EE2D72">
        <w:t>instead of multiple forms.</w:t>
      </w:r>
    </w:p>
    <w:p w:rsidRPr="00D136DB" w:rsidR="00757F0F" w:rsidP="00757F0F" w:rsidRDefault="00757F0F" w14:paraId="7EBBE882" w14:textId="77777777">
      <w:pPr>
        <w:tabs>
          <w:tab w:val="left" w:pos="360"/>
        </w:tabs>
        <w:ind w:left="1440"/>
      </w:pPr>
    </w:p>
    <w:p w:rsidRPr="00D136DB" w:rsidR="005E0337" w:rsidP="005E0337" w:rsidRDefault="00F64F4B" w14:paraId="1FCBF0E2" w14:textId="77777777">
      <w:pPr>
        <w:tabs>
          <w:tab w:val="left" w:pos="360"/>
        </w:tabs>
        <w:ind w:left="1440"/>
        <w:rPr>
          <w:color w:val="000000"/>
        </w:rPr>
      </w:pPr>
      <w:r>
        <w:t xml:space="preserve">Some </w:t>
      </w:r>
      <w:r w:rsidRPr="00D136DB">
        <w:t xml:space="preserve">multi-establishment companies </w:t>
      </w:r>
      <w:r>
        <w:t xml:space="preserve">operate in </w:t>
      </w:r>
      <w:r w:rsidR="00EA59B7">
        <w:t>several</w:t>
      </w:r>
      <w:r>
        <w:t xml:space="preserve"> NAICS </w:t>
      </w:r>
      <w:r w:rsidR="00E57C13">
        <w:t xml:space="preserve">industries </w:t>
      </w:r>
      <w:r>
        <w:t>covered by the QSS</w:t>
      </w:r>
      <w:r w:rsidRPr="00EA59B7">
        <w:t>.</w:t>
      </w:r>
      <w:r w:rsidR="00F132F8">
        <w:t xml:space="preserve"> </w:t>
      </w:r>
      <w:r w:rsidRPr="00EA59B7" w:rsidR="00757F0F">
        <w:t xml:space="preserve">To minimize response burden on </w:t>
      </w:r>
      <w:r w:rsidRPr="00EA59B7">
        <w:t>these</w:t>
      </w:r>
      <w:r w:rsidRPr="00EA59B7" w:rsidR="00757F0F">
        <w:t xml:space="preserve"> companies, the Census Bureau will </w:t>
      </w:r>
      <w:r>
        <w:t xml:space="preserve">collect data </w:t>
      </w:r>
      <w:r w:rsidRPr="00D14C24" w:rsidR="00D14C24">
        <w:t>only for the industries which represent a substantial portion</w:t>
      </w:r>
      <w:r w:rsidR="00D14C24">
        <w:t xml:space="preserve"> of</w:t>
      </w:r>
      <w:r w:rsidRPr="00D14C24" w:rsidR="00D14C24">
        <w:t xml:space="preserve"> the company's total revenue or are deemed a significant contributor to the aggregate industry measurement</w:t>
      </w:r>
      <w:r w:rsidR="00EA59B7">
        <w:t>.</w:t>
      </w:r>
      <w:r w:rsidRPr="00D136DB" w:rsidR="00757F0F">
        <w:rPr>
          <w:color w:val="000000"/>
        </w:rPr>
        <w:t xml:space="preserve"> </w:t>
      </w:r>
      <w:r w:rsidR="00EA59B7">
        <w:rPr>
          <w:color w:val="000000"/>
        </w:rPr>
        <w:t>The Census Bureau will impute data for the industries in which they have minimal operations</w:t>
      </w:r>
      <w:r w:rsidR="002B1930">
        <w:rPr>
          <w:color w:val="000000"/>
        </w:rPr>
        <w:t xml:space="preserve">. </w:t>
      </w:r>
      <w:r>
        <w:rPr>
          <w:color w:val="000000"/>
        </w:rPr>
        <w:t xml:space="preserve">This practice eliminates </w:t>
      </w:r>
      <w:r w:rsidRPr="00F64F4B">
        <w:rPr>
          <w:color w:val="000000"/>
        </w:rPr>
        <w:t xml:space="preserve">approximately </w:t>
      </w:r>
      <w:r w:rsidR="00311DE7">
        <w:t>4</w:t>
      </w:r>
      <w:r w:rsidR="002D7081">
        <w:t>,3</w:t>
      </w:r>
      <w:r w:rsidR="00311DE7">
        <w:t>00</w:t>
      </w:r>
      <w:r w:rsidRPr="00F64F4B">
        <w:t xml:space="preserve"> </w:t>
      </w:r>
      <w:r>
        <w:t>forms from mailing.</w:t>
      </w:r>
      <w:r w:rsidR="00F132F8">
        <w:t xml:space="preserve"> </w:t>
      </w:r>
      <w:r w:rsidR="00D14C24">
        <w:rPr>
          <w:color w:val="000000"/>
        </w:rPr>
        <w:t>Excluding these reporting units from collection is</w:t>
      </w:r>
      <w:r w:rsidRPr="00D136DB" w:rsidR="00757F0F">
        <w:rPr>
          <w:color w:val="000000"/>
        </w:rPr>
        <w:t xml:space="preserve"> expected to have a negligible effect on the published estimates.</w:t>
      </w:r>
      <w:r w:rsidR="005E0337">
        <w:rPr>
          <w:color w:val="000000"/>
        </w:rPr>
        <w:t xml:space="preserve"> </w:t>
      </w:r>
      <w:r w:rsidR="005E0337">
        <w:t>Previously, we excluded companies coded as refusals from the burden calculation; however, since these companies do have the opportunity to fill out the report, they were included in the burden estimate for this submission.</w:t>
      </w:r>
      <w:r w:rsidRPr="005C18CB" w:rsidR="005E0337">
        <w:t xml:space="preserve"> </w:t>
      </w:r>
    </w:p>
    <w:p w:rsidR="005E0337" w:rsidP="00757F0F" w:rsidRDefault="005E0337" w14:paraId="4D6860D9" w14:textId="38584963">
      <w:pPr>
        <w:tabs>
          <w:tab w:val="left" w:pos="360"/>
        </w:tabs>
        <w:ind w:left="1440"/>
        <w:rPr>
          <w:color w:val="000000"/>
        </w:rPr>
      </w:pPr>
    </w:p>
    <w:p w:rsidRPr="00757F0F" w:rsidR="00757F0F" w:rsidP="00A02C1B" w:rsidRDefault="00757F0F" w14:paraId="094B8193" w14:textId="77777777">
      <w:pPr>
        <w:pStyle w:val="Quick1"/>
        <w:numPr>
          <w:ilvl w:val="0"/>
          <w:numId w:val="14"/>
        </w:numPr>
        <w:tabs>
          <w:tab w:val="left" w:pos="-360"/>
        </w:tabs>
        <w:ind w:left="720"/>
        <w:rPr>
          <w:b/>
        </w:rPr>
      </w:pPr>
      <w:r w:rsidRPr="00757F0F">
        <w:rPr>
          <w:b/>
          <w:u w:val="single"/>
        </w:rPr>
        <w:t>Consequences of Less Frequent Collection</w:t>
      </w:r>
    </w:p>
    <w:p w:rsidRPr="00D136DB" w:rsidR="00757F0F" w:rsidP="00757F0F" w:rsidRDefault="00757F0F" w14:paraId="30B68898" w14:textId="77777777">
      <w:pPr>
        <w:tabs>
          <w:tab w:val="left" w:pos="-360"/>
        </w:tabs>
        <w:ind w:left="1440"/>
      </w:pPr>
    </w:p>
    <w:p w:rsidRPr="00D136DB" w:rsidR="00757F0F" w:rsidP="00757F0F" w:rsidRDefault="00757F0F" w14:paraId="65A2FECA" w14:textId="4DFB314B">
      <w:pPr>
        <w:tabs>
          <w:tab w:val="left" w:pos="-360"/>
        </w:tabs>
        <w:ind w:left="1440"/>
      </w:pPr>
      <w:r w:rsidRPr="00D136DB">
        <w:t xml:space="preserve">Estimates from the QSS are used by government and private economists to evaluate current economic, </w:t>
      </w:r>
      <w:r w:rsidR="002B1930">
        <w:t xml:space="preserve">fiscal, and monetary policies. </w:t>
      </w:r>
      <w:r w:rsidRPr="00D136DB">
        <w:t>The quarterly service estimates are important economic indicators and provide timely input for BEA</w:t>
      </w:r>
      <w:r w:rsidR="00CC4A21">
        <w:t>’</w:t>
      </w:r>
      <w:r w:rsidRPr="00D136DB">
        <w:t>s computation of the national accounts.</w:t>
      </w:r>
      <w:r w:rsidR="00F132F8">
        <w:t xml:space="preserve"> </w:t>
      </w:r>
      <w:r w:rsidRPr="00D136DB">
        <w:t>Less frequent data collection would leave a serious gap in the economic information available to evaluate current economic conditions and to formulate economic policy.</w:t>
      </w:r>
    </w:p>
    <w:p w:rsidRPr="00D136DB" w:rsidR="00757F0F" w:rsidP="00757F0F" w:rsidRDefault="00757F0F" w14:paraId="391587D7" w14:textId="77777777">
      <w:pPr>
        <w:tabs>
          <w:tab w:val="left" w:pos="-360"/>
        </w:tabs>
        <w:ind w:left="720"/>
      </w:pPr>
    </w:p>
    <w:p w:rsidRPr="00D136DB" w:rsidR="00757F0F" w:rsidP="00757F0F" w:rsidRDefault="00757F0F" w14:paraId="0A0911A2" w14:textId="77777777">
      <w:pPr>
        <w:pStyle w:val="Quick1"/>
        <w:numPr>
          <w:ilvl w:val="0"/>
          <w:numId w:val="13"/>
        </w:numPr>
        <w:tabs>
          <w:tab w:val="left" w:pos="-360"/>
          <w:tab w:val="num" w:pos="1440"/>
        </w:tabs>
        <w:ind w:left="1440" w:hanging="720"/>
        <w:rPr>
          <w:b/>
        </w:rPr>
      </w:pPr>
      <w:r w:rsidRPr="00D136DB">
        <w:rPr>
          <w:b/>
          <w:u w:val="single"/>
        </w:rPr>
        <w:t>Special Circumstances</w:t>
      </w:r>
    </w:p>
    <w:p w:rsidRPr="00D136DB" w:rsidR="00757F0F" w:rsidP="00757F0F" w:rsidRDefault="00757F0F" w14:paraId="18F6351E" w14:textId="77777777">
      <w:pPr>
        <w:tabs>
          <w:tab w:val="left" w:pos="-360"/>
        </w:tabs>
        <w:ind w:left="720"/>
      </w:pPr>
    </w:p>
    <w:p w:rsidRPr="00D136DB" w:rsidR="00757F0F" w:rsidP="00757F0F" w:rsidRDefault="00757F0F" w14:paraId="38607B64" w14:textId="4A476D98">
      <w:pPr>
        <w:tabs>
          <w:tab w:val="left" w:pos="-360"/>
        </w:tabs>
        <w:ind w:left="1440"/>
        <w:rPr>
          <w:b/>
          <w:bCs/>
        </w:rPr>
      </w:pPr>
      <w:r w:rsidRPr="00D136DB">
        <w:t xml:space="preserve">Because of the importance of the survey as an economic indicator, respondents are </w:t>
      </w:r>
      <w:r w:rsidR="00384601">
        <w:t>reques</w:t>
      </w:r>
      <w:r w:rsidRPr="00D136DB">
        <w:t>ted t</w:t>
      </w:r>
      <w:r w:rsidR="002B1930">
        <w:t xml:space="preserve">o report on a quarterly basis. </w:t>
      </w:r>
      <w:r w:rsidRPr="00D136DB">
        <w:t xml:space="preserve">Note, the </w:t>
      </w:r>
      <w:r w:rsidR="002B7871">
        <w:t xml:space="preserve">key </w:t>
      </w:r>
      <w:r w:rsidRPr="00D136DB">
        <w:t>data we collect in this survey are normally maintained on a q</w:t>
      </w:r>
      <w:r w:rsidR="002B1930">
        <w:t xml:space="preserve">uarterly basis by respondents. </w:t>
      </w:r>
      <w:r w:rsidRPr="00D136DB">
        <w:t>Because the timeliness of the QSS is critical to its value, respondents are asked to reply to the questionnaire within 10 business days of receipt of the form.</w:t>
      </w:r>
    </w:p>
    <w:p w:rsidRPr="00D136DB" w:rsidR="00757F0F" w:rsidP="00757F0F" w:rsidRDefault="00757F0F" w14:paraId="686A8DB5" w14:textId="77777777">
      <w:pPr>
        <w:tabs>
          <w:tab w:val="left" w:pos="-360"/>
        </w:tabs>
        <w:ind w:left="720"/>
        <w:rPr>
          <w:b/>
          <w:bCs/>
        </w:rPr>
      </w:pPr>
    </w:p>
    <w:p w:rsidRPr="00D136DB" w:rsidR="00757F0F" w:rsidP="00757F0F" w:rsidRDefault="00757F0F" w14:paraId="5ACB458C" w14:textId="77777777">
      <w:pPr>
        <w:pStyle w:val="Quick1"/>
        <w:numPr>
          <w:ilvl w:val="0"/>
          <w:numId w:val="13"/>
        </w:numPr>
        <w:tabs>
          <w:tab w:val="left" w:pos="-360"/>
          <w:tab w:val="num" w:pos="1440"/>
        </w:tabs>
        <w:ind w:left="1440" w:hanging="720"/>
        <w:rPr>
          <w:b/>
        </w:rPr>
      </w:pPr>
      <w:r w:rsidRPr="00D136DB">
        <w:rPr>
          <w:b/>
          <w:u w:val="single"/>
        </w:rPr>
        <w:t>Consultations Outside the Agency</w:t>
      </w:r>
    </w:p>
    <w:p w:rsidRPr="00D136DB" w:rsidR="00757F0F" w:rsidP="00757F0F" w:rsidRDefault="00757F0F" w14:paraId="4338022C" w14:textId="77777777">
      <w:pPr>
        <w:tabs>
          <w:tab w:val="left" w:pos="-360"/>
        </w:tabs>
        <w:ind w:left="720"/>
      </w:pPr>
    </w:p>
    <w:p w:rsidRPr="00D136DB" w:rsidR="00757F0F" w:rsidP="00757F0F" w:rsidRDefault="00757F0F" w14:paraId="56B8248E" w14:textId="77777777">
      <w:pPr>
        <w:pStyle w:val="ListParagraph"/>
        <w:numPr>
          <w:ilvl w:val="0"/>
          <w:numId w:val="10"/>
        </w:numPr>
        <w:tabs>
          <w:tab w:val="left" w:pos="-360"/>
        </w:tabs>
        <w:rPr>
          <w:vanish/>
        </w:rPr>
      </w:pPr>
    </w:p>
    <w:p w:rsidRPr="00D136DB" w:rsidR="00757F0F" w:rsidP="00757F0F" w:rsidRDefault="00757F0F" w14:paraId="715F3BDE" w14:textId="77777777">
      <w:pPr>
        <w:pStyle w:val="ListParagraph"/>
        <w:numPr>
          <w:ilvl w:val="0"/>
          <w:numId w:val="10"/>
        </w:numPr>
        <w:tabs>
          <w:tab w:val="left" w:pos="-360"/>
        </w:tabs>
        <w:rPr>
          <w:vanish/>
        </w:rPr>
      </w:pPr>
    </w:p>
    <w:p w:rsidR="00757F0F" w:rsidP="000756CC" w:rsidRDefault="00757F0F" w14:paraId="6D889D25" w14:textId="56A9E65C">
      <w:pPr>
        <w:tabs>
          <w:tab w:val="left" w:pos="-360"/>
        </w:tabs>
        <w:ind w:left="1440"/>
        <w:rPr>
          <w:color w:val="000000"/>
        </w:rPr>
      </w:pPr>
      <w:r w:rsidRPr="000756CC">
        <w:rPr>
          <w:b/>
        </w:rPr>
        <w:t>Consultations with Principal Data Users</w:t>
      </w:r>
      <w:r w:rsidRPr="000756CC" w:rsidR="000756CC">
        <w:rPr>
          <w:b/>
        </w:rPr>
        <w:t>:</w:t>
      </w:r>
      <w:r w:rsidR="00A550C7">
        <w:rPr>
          <w:b/>
        </w:rPr>
        <w:t xml:space="preserve"> </w:t>
      </w:r>
      <w:r w:rsidR="005A7780">
        <w:t>During the initial</w:t>
      </w:r>
      <w:r w:rsidR="007A243D">
        <w:t xml:space="preserve"> planning </w:t>
      </w:r>
      <w:r w:rsidR="005A7780">
        <w:t xml:space="preserve">of </w:t>
      </w:r>
      <w:r w:rsidR="007A243D">
        <w:t xml:space="preserve">the </w:t>
      </w:r>
      <w:r w:rsidRPr="00D136DB">
        <w:t>QSS, the Census Bureau convened an Interagency group meeting with representatives from the Bureau of Labor Statistics (BLS), BEA,</w:t>
      </w:r>
      <w:r w:rsidR="00EA15FC">
        <w:t xml:space="preserve"> </w:t>
      </w:r>
      <w:r w:rsidRPr="00D136DB">
        <w:t>FRB,</w:t>
      </w:r>
      <w:r w:rsidR="0088416A">
        <w:t xml:space="preserve"> CMS</w:t>
      </w:r>
      <w:r w:rsidRPr="00D136DB">
        <w:t xml:space="preserve"> and </w:t>
      </w:r>
      <w:r w:rsidR="000756CC">
        <w:t xml:space="preserve">the </w:t>
      </w:r>
      <w:r w:rsidRPr="00D136DB">
        <w:t>Department of Commerce to assist in formulating our plans for</w:t>
      </w:r>
      <w:r w:rsidRPr="00D136DB">
        <w:rPr>
          <w:color w:val="FF0000"/>
        </w:rPr>
        <w:t xml:space="preserve"> </w:t>
      </w:r>
      <w:r w:rsidRPr="00D136DB">
        <w:rPr>
          <w:color w:val="000000"/>
        </w:rPr>
        <w:t xml:space="preserve">data collection of </w:t>
      </w:r>
      <w:r w:rsidR="005A7780">
        <w:rPr>
          <w:color w:val="000000"/>
        </w:rPr>
        <w:t xml:space="preserve">the </w:t>
      </w:r>
      <w:r w:rsidRPr="00D136DB">
        <w:rPr>
          <w:color w:val="000000"/>
        </w:rPr>
        <w:t>QSS</w:t>
      </w:r>
      <w:r w:rsidRPr="00D136DB">
        <w:rPr>
          <w:color w:val="FF0000"/>
        </w:rPr>
        <w:t>.</w:t>
      </w:r>
      <w:r w:rsidR="00DD4BE7">
        <w:rPr>
          <w:color w:val="FF0000"/>
        </w:rPr>
        <w:t xml:space="preserve"> </w:t>
      </w:r>
      <w:r w:rsidRPr="00D136DB">
        <w:rPr>
          <w:color w:val="000000"/>
        </w:rPr>
        <w:t>This Interagency Group included representativ</w:t>
      </w:r>
      <w:r w:rsidR="000756CC">
        <w:rPr>
          <w:color w:val="000000"/>
        </w:rPr>
        <w:t>es from the following agencies:</w:t>
      </w:r>
    </w:p>
    <w:p w:rsidRPr="00D136DB" w:rsidR="00757F0F" w:rsidP="000756CC" w:rsidRDefault="00757F0F" w14:paraId="53B9014A" w14:textId="77777777">
      <w:pPr>
        <w:pStyle w:val="Level1"/>
        <w:numPr>
          <w:ilvl w:val="0"/>
          <w:numId w:val="11"/>
        </w:numPr>
        <w:tabs>
          <w:tab w:val="left" w:pos="-360"/>
        </w:tabs>
        <w:ind w:left="1800"/>
        <w:rPr>
          <w:color w:val="000000"/>
        </w:rPr>
      </w:pPr>
      <w:r w:rsidRPr="00D136DB">
        <w:rPr>
          <w:color w:val="000000"/>
        </w:rPr>
        <w:t>Associate Director for National Economic Accounts, BEA</w:t>
      </w:r>
    </w:p>
    <w:p w:rsidRPr="00D136DB" w:rsidR="00757F0F" w:rsidP="000756CC" w:rsidRDefault="00757F0F" w14:paraId="7B735AC2" w14:textId="77777777">
      <w:pPr>
        <w:pStyle w:val="Level1"/>
        <w:numPr>
          <w:ilvl w:val="0"/>
          <w:numId w:val="11"/>
        </w:numPr>
        <w:tabs>
          <w:tab w:val="left" w:pos="-360"/>
        </w:tabs>
        <w:ind w:left="1800"/>
        <w:rPr>
          <w:color w:val="000000"/>
        </w:rPr>
      </w:pPr>
      <w:r w:rsidRPr="00D136DB">
        <w:rPr>
          <w:color w:val="000000"/>
        </w:rPr>
        <w:t>Associate Director for Industry Accounts, BEA</w:t>
      </w:r>
    </w:p>
    <w:p w:rsidRPr="00D136DB" w:rsidR="00757F0F" w:rsidP="000756CC" w:rsidRDefault="00757F0F" w14:paraId="136DAD61" w14:textId="77777777">
      <w:pPr>
        <w:pStyle w:val="Level1"/>
        <w:numPr>
          <w:ilvl w:val="0"/>
          <w:numId w:val="11"/>
        </w:numPr>
        <w:tabs>
          <w:tab w:val="left" w:pos="-360"/>
        </w:tabs>
        <w:ind w:left="1800"/>
        <w:rPr>
          <w:color w:val="000000"/>
        </w:rPr>
      </w:pPr>
      <w:r w:rsidRPr="00D136DB">
        <w:rPr>
          <w:color w:val="000000"/>
        </w:rPr>
        <w:t>Chief Statistician, BEA</w:t>
      </w:r>
    </w:p>
    <w:p w:rsidRPr="00D136DB" w:rsidR="00757F0F" w:rsidP="000756CC" w:rsidRDefault="00757F0F" w14:paraId="71A1211A" w14:textId="77777777">
      <w:pPr>
        <w:pStyle w:val="Level1"/>
        <w:numPr>
          <w:ilvl w:val="0"/>
          <w:numId w:val="11"/>
        </w:numPr>
        <w:tabs>
          <w:tab w:val="left" w:pos="-360"/>
        </w:tabs>
        <w:ind w:left="1800"/>
        <w:rPr>
          <w:color w:val="000000"/>
        </w:rPr>
      </w:pPr>
      <w:r w:rsidRPr="00D136DB">
        <w:rPr>
          <w:color w:val="000000"/>
        </w:rPr>
        <w:t>National Income and Wealth Division, BEA</w:t>
      </w:r>
      <w:r w:rsidRPr="00D136DB">
        <w:rPr>
          <w:color w:val="000000"/>
        </w:rPr>
        <w:tab/>
      </w:r>
      <w:r w:rsidRPr="00D136DB">
        <w:rPr>
          <w:color w:val="000000"/>
        </w:rPr>
        <w:tab/>
      </w:r>
    </w:p>
    <w:p w:rsidRPr="00D136DB" w:rsidR="00757F0F" w:rsidP="000756CC" w:rsidRDefault="00757F0F" w14:paraId="4D7FCB7F" w14:textId="77777777">
      <w:pPr>
        <w:pStyle w:val="Level1"/>
        <w:numPr>
          <w:ilvl w:val="0"/>
          <w:numId w:val="11"/>
        </w:numPr>
        <w:tabs>
          <w:tab w:val="left" w:pos="-360"/>
        </w:tabs>
        <w:ind w:left="1800"/>
        <w:rPr>
          <w:color w:val="000000"/>
        </w:rPr>
      </w:pPr>
      <w:r w:rsidRPr="00D136DB">
        <w:rPr>
          <w:color w:val="000000"/>
        </w:rPr>
        <w:t>Associate Commissioner for Productivity and Technology, BLS</w:t>
      </w:r>
    </w:p>
    <w:p w:rsidRPr="00D136DB" w:rsidR="00757F0F" w:rsidP="000756CC" w:rsidRDefault="00757F0F" w14:paraId="3AAE9417" w14:textId="77777777">
      <w:pPr>
        <w:pStyle w:val="Level1"/>
        <w:numPr>
          <w:ilvl w:val="0"/>
          <w:numId w:val="11"/>
        </w:numPr>
        <w:tabs>
          <w:tab w:val="left" w:pos="-360"/>
        </w:tabs>
        <w:ind w:left="1800"/>
        <w:rPr>
          <w:color w:val="000000"/>
        </w:rPr>
      </w:pPr>
      <w:r w:rsidRPr="00D136DB">
        <w:rPr>
          <w:color w:val="000000"/>
        </w:rPr>
        <w:lastRenderedPageBreak/>
        <w:t>Industry Productivity Studies Division, BLS</w:t>
      </w:r>
    </w:p>
    <w:p w:rsidRPr="00D136DB" w:rsidR="00757F0F" w:rsidP="000756CC" w:rsidRDefault="00757F0F" w14:paraId="5673FEBC" w14:textId="77777777">
      <w:pPr>
        <w:pStyle w:val="Level1"/>
        <w:numPr>
          <w:ilvl w:val="0"/>
          <w:numId w:val="11"/>
        </w:numPr>
        <w:tabs>
          <w:tab w:val="left" w:pos="-360"/>
        </w:tabs>
        <w:ind w:left="1800"/>
        <w:rPr>
          <w:color w:val="000000"/>
        </w:rPr>
      </w:pPr>
      <w:r w:rsidRPr="00D136DB">
        <w:rPr>
          <w:color w:val="000000"/>
        </w:rPr>
        <w:t>Industrial Output Section, Division of Research and Statistics, FRB</w:t>
      </w:r>
    </w:p>
    <w:p w:rsidR="00757F0F" w:rsidP="000756CC" w:rsidRDefault="00757F0F" w14:paraId="3B005DF8" w14:textId="12C50FFB">
      <w:pPr>
        <w:pStyle w:val="Level1"/>
        <w:numPr>
          <w:ilvl w:val="0"/>
          <w:numId w:val="11"/>
        </w:numPr>
        <w:tabs>
          <w:tab w:val="left" w:pos="-360"/>
        </w:tabs>
        <w:ind w:left="1800"/>
        <w:rPr>
          <w:color w:val="000000"/>
        </w:rPr>
      </w:pPr>
      <w:r w:rsidRPr="00D136DB">
        <w:rPr>
          <w:color w:val="000000"/>
        </w:rPr>
        <w:t>National Health Statistics Group, Office of the Actuary, CMS</w:t>
      </w:r>
    </w:p>
    <w:p w:rsidR="00F4242D" w:rsidP="000756CC" w:rsidRDefault="00F4242D" w14:paraId="2D02CBFA" w14:textId="23245270">
      <w:pPr>
        <w:pStyle w:val="Level1"/>
        <w:numPr>
          <w:ilvl w:val="0"/>
          <w:numId w:val="11"/>
        </w:numPr>
        <w:tabs>
          <w:tab w:val="left" w:pos="-360"/>
        </w:tabs>
        <w:ind w:left="1800"/>
        <w:rPr>
          <w:color w:val="000000"/>
        </w:rPr>
      </w:pPr>
      <w:r>
        <w:rPr>
          <w:color w:val="000000"/>
        </w:rPr>
        <w:t>Department of Commerce</w:t>
      </w:r>
    </w:p>
    <w:p w:rsidR="0062009D" w:rsidP="0062009D" w:rsidRDefault="0062009D" w14:paraId="437B5260" w14:textId="038145CF">
      <w:pPr>
        <w:pStyle w:val="Level1"/>
        <w:tabs>
          <w:tab w:val="left" w:pos="-360"/>
        </w:tabs>
        <w:ind w:left="1800" w:firstLine="0"/>
        <w:rPr>
          <w:color w:val="000000"/>
        </w:rPr>
      </w:pPr>
    </w:p>
    <w:p w:rsidR="00C154BD" w:rsidP="0062009D" w:rsidRDefault="00C154BD" w14:paraId="115FCB1A" w14:textId="77777777">
      <w:pPr>
        <w:pStyle w:val="Level1"/>
        <w:tabs>
          <w:tab w:val="left" w:pos="-360"/>
        </w:tabs>
        <w:ind w:left="1800" w:firstLine="0"/>
        <w:rPr>
          <w:color w:val="000000"/>
        </w:rPr>
      </w:pPr>
    </w:p>
    <w:p w:rsidR="00DB70B2" w:rsidP="00DB70B2" w:rsidRDefault="00DB70B2" w14:paraId="13B86AEC" w14:textId="735F9F61">
      <w:pPr>
        <w:tabs>
          <w:tab w:val="left" w:pos="-360"/>
        </w:tabs>
        <w:ind w:left="1440"/>
        <w:rPr>
          <w:color w:val="000000"/>
        </w:rPr>
      </w:pPr>
      <w:r>
        <w:rPr>
          <w:color w:val="000000"/>
        </w:rPr>
        <w:t>We continue to work closely with the above entities on an ongoing basis to ensure the QSS remains a valuable and relevant source of service industry measurement, including identifying potential gaps or duplication in effort.</w:t>
      </w:r>
    </w:p>
    <w:p w:rsidRPr="00D136DB" w:rsidR="00C1799A" w:rsidP="00DB70B2" w:rsidRDefault="00C1799A" w14:paraId="3672421A" w14:textId="77777777">
      <w:pPr>
        <w:tabs>
          <w:tab w:val="left" w:pos="-360"/>
        </w:tabs>
        <w:ind w:left="1440"/>
        <w:rPr>
          <w:color w:val="000000"/>
        </w:rPr>
      </w:pPr>
    </w:p>
    <w:p w:rsidRPr="00D136DB" w:rsidR="00757F0F" w:rsidP="000756CC" w:rsidRDefault="00847F50" w14:paraId="63D99D55" w14:textId="1D179A70">
      <w:pPr>
        <w:tabs>
          <w:tab w:val="left" w:pos="-360"/>
        </w:tabs>
        <w:ind w:left="1440"/>
        <w:rPr>
          <w:color w:val="000000"/>
        </w:rPr>
      </w:pPr>
      <w:r>
        <w:rPr>
          <w:color w:val="000000"/>
        </w:rPr>
        <w:t>During the development and approval phases of the Advance Quarterly Services Report, we reached out to the</w:t>
      </w:r>
      <w:r w:rsidRPr="00D136DB" w:rsidR="00757F0F">
        <w:rPr>
          <w:color w:val="000000"/>
        </w:rPr>
        <w:t xml:space="preserve"> Census Bureau</w:t>
      </w:r>
      <w:r w:rsidR="00757F0F">
        <w:rPr>
          <w:color w:val="000000"/>
        </w:rPr>
        <w:t>’</w:t>
      </w:r>
      <w:r w:rsidRPr="00D136DB" w:rsidR="00757F0F">
        <w:rPr>
          <w:color w:val="000000"/>
        </w:rPr>
        <w:t>s Advisory Committee of the American Economic Association and to the National Association of Business Economists</w:t>
      </w:r>
      <w:r>
        <w:rPr>
          <w:color w:val="000000"/>
        </w:rPr>
        <w:t xml:space="preserve"> for feedback</w:t>
      </w:r>
      <w:r w:rsidRPr="00D136DB" w:rsidR="00757F0F">
        <w:rPr>
          <w:color w:val="000000"/>
        </w:rPr>
        <w:t>.</w:t>
      </w:r>
    </w:p>
    <w:p w:rsidRPr="00D136DB" w:rsidR="00757F0F" w:rsidP="00757F0F" w:rsidRDefault="00757F0F" w14:paraId="2E75A08B" w14:textId="77777777">
      <w:pPr>
        <w:tabs>
          <w:tab w:val="left" w:pos="-360"/>
        </w:tabs>
        <w:ind w:left="720"/>
        <w:rPr>
          <w:color w:val="000000"/>
        </w:rPr>
      </w:pPr>
    </w:p>
    <w:p w:rsidR="005A7780" w:rsidP="000756CC" w:rsidRDefault="008907D6" w14:paraId="719CC617" w14:textId="039EFA8A">
      <w:pPr>
        <w:tabs>
          <w:tab w:val="left" w:pos="-360"/>
        </w:tabs>
        <w:ind w:left="1440"/>
        <w:rPr>
          <w:color w:val="000000"/>
        </w:rPr>
      </w:pPr>
      <w:r>
        <w:rPr>
          <w:color w:val="000000"/>
        </w:rPr>
        <w:t xml:space="preserve">QSS representatives continue to meet with BEA representatives at least once per year to discuss </w:t>
      </w:r>
      <w:proofErr w:type="gramStart"/>
      <w:r>
        <w:rPr>
          <w:color w:val="000000"/>
        </w:rPr>
        <w:t>future plans</w:t>
      </w:r>
      <w:proofErr w:type="gramEnd"/>
      <w:r>
        <w:rPr>
          <w:color w:val="000000"/>
        </w:rPr>
        <w:t xml:space="preserve"> for the survey. </w:t>
      </w:r>
      <w:r w:rsidR="005A7780">
        <w:rPr>
          <w:color w:val="000000"/>
        </w:rPr>
        <w:t xml:space="preserve">An annual </w:t>
      </w:r>
      <w:r w:rsidR="00C1799A">
        <w:rPr>
          <w:color w:val="000000"/>
        </w:rPr>
        <w:t xml:space="preserve">discussion </w:t>
      </w:r>
      <w:r w:rsidR="005A7780">
        <w:rPr>
          <w:color w:val="000000"/>
        </w:rPr>
        <w:t xml:space="preserve">is held with CMS representatives </w:t>
      </w:r>
      <w:r w:rsidR="00C1799A">
        <w:rPr>
          <w:color w:val="000000"/>
        </w:rPr>
        <w:t>regarding</w:t>
      </w:r>
      <w:r w:rsidR="005A7780">
        <w:rPr>
          <w:color w:val="000000"/>
        </w:rPr>
        <w:t xml:space="preserve"> its continued use of QSS data.</w:t>
      </w:r>
    </w:p>
    <w:p w:rsidR="005A7780" w:rsidP="000756CC" w:rsidRDefault="005A7780" w14:paraId="26685924" w14:textId="77777777">
      <w:pPr>
        <w:tabs>
          <w:tab w:val="left" w:pos="-360"/>
        </w:tabs>
        <w:ind w:left="1440"/>
        <w:rPr>
          <w:color w:val="000000"/>
        </w:rPr>
      </w:pPr>
    </w:p>
    <w:p w:rsidRPr="00D136DB" w:rsidR="00757F0F" w:rsidP="000756CC" w:rsidRDefault="00FC5899" w14:paraId="0C308C6E" w14:textId="77777777">
      <w:pPr>
        <w:tabs>
          <w:tab w:val="left" w:pos="-360"/>
        </w:tabs>
        <w:ind w:left="1440"/>
        <w:rPr>
          <w:color w:val="000000"/>
        </w:rPr>
      </w:pPr>
      <w:r w:rsidRPr="00AE51C9">
        <w:rPr>
          <w:color w:val="000000"/>
        </w:rPr>
        <w:t>Tiffany Burrell</w:t>
      </w:r>
      <w:r w:rsidRPr="00FC5899" w:rsidR="00757F0F">
        <w:rPr>
          <w:color w:val="000000"/>
        </w:rPr>
        <w:t xml:space="preserve"> of the Bureau of Economic Analysis, (202) </w:t>
      </w:r>
      <w:r>
        <w:rPr>
          <w:color w:val="000000"/>
        </w:rPr>
        <w:t>606-9618</w:t>
      </w:r>
      <w:r w:rsidRPr="00D136DB" w:rsidR="00757F0F">
        <w:rPr>
          <w:color w:val="000000"/>
        </w:rPr>
        <w:t>, has been our primary source of consultations concerning the implementation of the Interagency W</w:t>
      </w:r>
      <w:r w:rsidR="000A63C3">
        <w:rPr>
          <w:color w:val="000000"/>
        </w:rPr>
        <w:t>orking Group’s recommendations.</w:t>
      </w:r>
    </w:p>
    <w:p w:rsidR="00757F0F" w:rsidP="00757F0F" w:rsidRDefault="00757F0F" w14:paraId="1DF248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5F2599" w:rsidR="008310F1" w:rsidP="00F904BC" w:rsidRDefault="004F477A" w14:paraId="0910F847" w14:textId="57766F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highlight w:val="yellow"/>
          <w:shd w:val="clear" w:color="auto" w:fill="FFFFFF"/>
        </w:rPr>
      </w:pPr>
      <w:r>
        <w:rPr>
          <w:color w:val="000000"/>
        </w:rPr>
        <w:tab/>
      </w:r>
      <w:r>
        <w:rPr>
          <w:color w:val="000000"/>
        </w:rPr>
        <w:tab/>
      </w:r>
      <w:r w:rsidRPr="000E293D">
        <w:rPr>
          <w:b/>
          <w:color w:val="000000"/>
        </w:rPr>
        <w:t>Presubmission notice:</w:t>
      </w:r>
      <w:r w:rsidRPr="000E293D" w:rsidR="000724D5">
        <w:rPr>
          <w:color w:val="000000"/>
        </w:rPr>
        <w:t xml:space="preserve">  The</w:t>
      </w:r>
      <w:r w:rsidRPr="000E293D">
        <w:rPr>
          <w:color w:val="000000"/>
        </w:rPr>
        <w:t xml:space="preserve"> presubmission notice was published </w:t>
      </w:r>
      <w:r w:rsidRPr="000E293D" w:rsidR="002D2143">
        <w:rPr>
          <w:color w:val="000000"/>
        </w:rPr>
        <w:t xml:space="preserve">in the Federal Register </w:t>
      </w:r>
      <w:r w:rsidRPr="00193B40" w:rsidR="002D2143">
        <w:rPr>
          <w:color w:val="000000"/>
        </w:rPr>
        <w:t xml:space="preserve">on </w:t>
      </w:r>
      <w:r w:rsidRPr="00193B40" w:rsidR="00193B40">
        <w:rPr>
          <w:color w:val="000000"/>
        </w:rPr>
        <w:t>August 20, 2020</w:t>
      </w:r>
      <w:r w:rsidRPr="00193B40">
        <w:rPr>
          <w:color w:val="000000"/>
        </w:rPr>
        <w:t xml:space="preserve">, Vol. </w:t>
      </w:r>
      <w:r w:rsidRPr="00193B40" w:rsidR="00193B40">
        <w:rPr>
          <w:color w:val="000000"/>
        </w:rPr>
        <w:t>85</w:t>
      </w:r>
      <w:r w:rsidRPr="00193B40">
        <w:rPr>
          <w:color w:val="000000"/>
        </w:rPr>
        <w:t xml:space="preserve">, No. </w:t>
      </w:r>
      <w:r w:rsidRPr="00193B40" w:rsidR="000E293D">
        <w:rPr>
          <w:color w:val="000000"/>
        </w:rPr>
        <w:t>1</w:t>
      </w:r>
      <w:r w:rsidRPr="00193B40" w:rsidR="00193B40">
        <w:rPr>
          <w:color w:val="000000"/>
        </w:rPr>
        <w:t>62</w:t>
      </w:r>
      <w:r w:rsidRPr="00193B40">
        <w:rPr>
          <w:color w:val="000000"/>
        </w:rPr>
        <w:t>, page</w:t>
      </w:r>
      <w:r w:rsidRPr="00193B40" w:rsidR="000E293D">
        <w:rPr>
          <w:color w:val="000000"/>
        </w:rPr>
        <w:t>s</w:t>
      </w:r>
      <w:r w:rsidRPr="00193B40">
        <w:rPr>
          <w:color w:val="000000"/>
        </w:rPr>
        <w:t xml:space="preserve"> </w:t>
      </w:r>
      <w:r w:rsidRPr="00193B40" w:rsidR="00193B40">
        <w:rPr>
          <w:color w:val="000000"/>
        </w:rPr>
        <w:t>51406</w:t>
      </w:r>
      <w:r w:rsidRPr="00193B40" w:rsidR="000E293D">
        <w:rPr>
          <w:color w:val="000000"/>
        </w:rPr>
        <w:t>-</w:t>
      </w:r>
      <w:r w:rsidRPr="00193B40" w:rsidR="00193B40">
        <w:rPr>
          <w:color w:val="000000"/>
        </w:rPr>
        <w:t>51408</w:t>
      </w:r>
      <w:r w:rsidRPr="000E293D" w:rsidR="005A0A86">
        <w:rPr>
          <w:color w:val="000000"/>
          <w:shd w:val="clear" w:color="auto" w:fill="FFFFFF"/>
        </w:rPr>
        <w:t>, inviting</w:t>
      </w:r>
      <w:r w:rsidRPr="005C09A2" w:rsidR="005A0A86">
        <w:rPr>
          <w:color w:val="000000"/>
          <w:shd w:val="clear" w:color="auto" w:fill="FFFFFF"/>
        </w:rPr>
        <w:t xml:space="preserve"> comments on our plans to submit this request.</w:t>
      </w:r>
      <w:r w:rsidR="005C09A2">
        <w:rPr>
          <w:color w:val="000000"/>
        </w:rPr>
        <w:t xml:space="preserve"> </w:t>
      </w:r>
      <w:r w:rsidRPr="002452F7" w:rsidR="002452F7">
        <w:rPr>
          <w:color w:val="000000"/>
          <w:shd w:val="clear" w:color="auto" w:fill="FFFFFF"/>
        </w:rPr>
        <w:t xml:space="preserve">One </w:t>
      </w:r>
      <w:r w:rsidRPr="002452F7" w:rsidR="00234F39">
        <w:rPr>
          <w:color w:val="000000"/>
          <w:shd w:val="clear" w:color="auto" w:fill="FFFFFF"/>
        </w:rPr>
        <w:t>comment w</w:t>
      </w:r>
      <w:r w:rsidRPr="002452F7" w:rsidR="002452F7">
        <w:rPr>
          <w:color w:val="000000"/>
          <w:shd w:val="clear" w:color="auto" w:fill="FFFFFF"/>
        </w:rPr>
        <w:t>as</w:t>
      </w:r>
      <w:r w:rsidRPr="002452F7" w:rsidR="00234F39">
        <w:rPr>
          <w:color w:val="000000"/>
          <w:shd w:val="clear" w:color="auto" w:fill="FFFFFF"/>
        </w:rPr>
        <w:t xml:space="preserve"> received during the 60-day comment period</w:t>
      </w:r>
      <w:r w:rsidRPr="002452F7" w:rsidR="008310F1">
        <w:t xml:space="preserve"> from the Bureau of Eco</w:t>
      </w:r>
      <w:r w:rsidRPr="002452F7" w:rsidR="002452F7">
        <w:t>no</w:t>
      </w:r>
      <w:r w:rsidRPr="002452F7" w:rsidR="008310F1">
        <w:t>mic Analysis (BEA) stating that the BEA strongly supports this data collection because data collected in this survey are crucial to key components</w:t>
      </w:r>
      <w:r w:rsidRPr="002452F7" w:rsidR="00A550C7">
        <w:t xml:space="preserve"> of BEA’s economic statistics. </w:t>
      </w:r>
      <w:r w:rsidRPr="002452F7" w:rsidR="008310F1">
        <w:t xml:space="preserve">BEA’s letter of support can be found in </w:t>
      </w:r>
      <w:r w:rsidRPr="002452F7" w:rsidR="00C07AA2">
        <w:t>Attachment 29</w:t>
      </w:r>
      <w:r w:rsidRPr="002452F7" w:rsidR="00A550C7">
        <w:t xml:space="preserve">. </w:t>
      </w:r>
      <w:r w:rsidRPr="002452F7" w:rsidR="008310F1">
        <w:t xml:space="preserve">We followed up with BEA and thanked them for their support. </w:t>
      </w:r>
    </w:p>
    <w:p w:rsidR="006A7F74" w:rsidP="00F904BC" w:rsidRDefault="006A7F74" w14:paraId="5D5EC2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p>
    <w:p w:rsidR="006A7F74" w:rsidP="00B138DF" w:rsidRDefault="006A7F74" w14:paraId="37E935DE" w14:textId="387E358D">
      <w:pPr>
        <w:tabs>
          <w:tab w:val="left" w:pos="720"/>
          <w:tab w:val="left" w:pos="1440"/>
          <w:tab w:val="left" w:pos="1530"/>
        </w:tabs>
        <w:ind w:left="1440"/>
      </w:pPr>
      <w:r w:rsidRPr="006B5971">
        <w:t xml:space="preserve">The </w:t>
      </w:r>
      <w:proofErr w:type="spellStart"/>
      <w:r w:rsidRPr="006B5971">
        <w:t>presubmission</w:t>
      </w:r>
      <w:proofErr w:type="spellEnd"/>
      <w:r w:rsidRPr="006B5971">
        <w:t xml:space="preserve"> notice indicated </w:t>
      </w:r>
      <w:r w:rsidR="00443BB3">
        <w:t>19,500</w:t>
      </w:r>
      <w:r w:rsidRPr="006B5971">
        <w:t xml:space="preserve"> respondents and </w:t>
      </w:r>
      <w:r w:rsidR="00443BB3">
        <w:t>26,800</w:t>
      </w:r>
      <w:r w:rsidRPr="006B5971">
        <w:t xml:space="preserve"> annual burden hours. </w:t>
      </w:r>
      <w:r w:rsidR="00EF3E94">
        <w:t xml:space="preserve">It should be noted that this calculation is based on the use of different variations of the forms which hold a different estimated time per response (some forms </w:t>
      </w:r>
      <w:r w:rsidR="00C1799A">
        <w:t>were</w:t>
      </w:r>
      <w:r w:rsidR="00443BB3">
        <w:t xml:space="preserve"> estimated at 20</w:t>
      </w:r>
      <w:r w:rsidR="00EF3E94">
        <w:t xml:space="preserve"> minutes and some</w:t>
      </w:r>
      <w:r w:rsidR="00443BB3">
        <w:t xml:space="preserve"> </w:t>
      </w:r>
      <w:r w:rsidR="00C1799A">
        <w:t>were</w:t>
      </w:r>
      <w:r w:rsidR="00443BB3">
        <w:t xml:space="preserve"> estimated at 15</w:t>
      </w:r>
      <w:r w:rsidR="00A550C7">
        <w:t xml:space="preserve"> minutes). </w:t>
      </w:r>
      <w:r w:rsidR="00EF3E94">
        <w:t xml:space="preserve">The calculation utilizes the number of minutes required for the respective form, and therefore </w:t>
      </w:r>
      <w:r w:rsidR="007B7E16">
        <w:t>the number of respondents per form is multiplied by the number of minutes for that respective form.</w:t>
      </w:r>
      <w:r w:rsidR="00A550C7">
        <w:t xml:space="preserve"> </w:t>
      </w:r>
      <w:r w:rsidRPr="00BF59FF" w:rsidR="0026080F">
        <w:t>This initial calculation also included an extra 5 minutes of burden applied for the uncertainties question originally proposed to be added</w:t>
      </w:r>
      <w:r w:rsidRPr="00BF59FF" w:rsidR="001C1EA1">
        <w:t xml:space="preserve"> to the electronic instrument</w:t>
      </w:r>
      <w:r w:rsidRPr="00BF59FF" w:rsidR="0026080F">
        <w:t xml:space="preserve">. </w:t>
      </w:r>
      <w:r w:rsidRPr="00BF59FF" w:rsidR="001A5169">
        <w:t xml:space="preserve">The estimated total annual burden hours </w:t>
      </w:r>
      <w:r w:rsidRPr="00BF59FF" w:rsidR="007B7E16">
        <w:t xml:space="preserve">published </w:t>
      </w:r>
      <w:r w:rsidRPr="00BF59FF" w:rsidR="0026080F">
        <w:t xml:space="preserve">has been revised downward to 19,300 annual hours excluding the business uncertainty module that is </w:t>
      </w:r>
      <w:r w:rsidRPr="00BF59FF" w:rsidR="00672536">
        <w:t>still in the planning stages</w:t>
      </w:r>
      <w:r w:rsidRPr="00BF59FF" w:rsidR="00A550C7">
        <w:t>.</w:t>
      </w:r>
      <w:r w:rsidR="00A550C7">
        <w:t xml:space="preserve"> </w:t>
      </w:r>
      <w:r w:rsidR="00310EC9">
        <w:t>The details of the</w:t>
      </w:r>
      <w:r w:rsidR="00EF3E94">
        <w:t xml:space="preserve"> calculation</w:t>
      </w:r>
      <w:r w:rsidR="007B7E16">
        <w:t>s</w:t>
      </w:r>
      <w:r w:rsidR="00EF3E94">
        <w:t xml:space="preserve"> can be found in Section 12. Estimate of Hour Burden.</w:t>
      </w:r>
    </w:p>
    <w:p w:rsidR="00540446" w:rsidP="00B138DF" w:rsidRDefault="00540446" w14:paraId="5CD93FA8" w14:textId="77777777">
      <w:pPr>
        <w:tabs>
          <w:tab w:val="left" w:pos="720"/>
          <w:tab w:val="left" w:pos="1440"/>
          <w:tab w:val="left" w:pos="1530"/>
        </w:tabs>
        <w:ind w:left="1440"/>
        <w:rPr>
          <w:color w:val="000000"/>
          <w:shd w:val="clear" w:color="auto" w:fill="FFFFFF"/>
        </w:rPr>
      </w:pPr>
    </w:p>
    <w:p w:rsidRPr="00D136DB" w:rsidR="00757F0F" w:rsidP="001A5169" w:rsidRDefault="006A7F74" w14:paraId="162736E2" w14:textId="3C5B5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rPr>
      </w:pPr>
      <w:r>
        <w:rPr>
          <w:color w:val="000000"/>
          <w:shd w:val="clear" w:color="auto" w:fill="FFFFFF"/>
        </w:rPr>
        <w:tab/>
      </w:r>
      <w:r>
        <w:rPr>
          <w:color w:val="000000"/>
          <w:shd w:val="clear" w:color="auto" w:fill="FFFFFF"/>
        </w:rPr>
        <w:tab/>
      </w:r>
      <w:r>
        <w:rPr>
          <w:color w:val="000000"/>
          <w:shd w:val="clear" w:color="auto" w:fill="FFFFFF"/>
        </w:rPr>
        <w:tab/>
      </w:r>
      <w:r w:rsidRPr="00D136DB" w:rsidR="00757F0F">
        <w:rPr>
          <w:color w:val="000000"/>
        </w:rPr>
        <w:tab/>
      </w:r>
      <w:r w:rsidRPr="00D136DB" w:rsidR="00757F0F">
        <w:rPr>
          <w:color w:val="000000"/>
        </w:rPr>
        <w:tab/>
      </w:r>
      <w:r w:rsidRPr="00D136DB" w:rsidR="00757F0F">
        <w:rPr>
          <w:color w:val="000000"/>
        </w:rPr>
        <w:tab/>
      </w:r>
      <w:r w:rsidRPr="00D136DB" w:rsidR="00757F0F">
        <w:rPr>
          <w:color w:val="000000"/>
        </w:rPr>
        <w:tab/>
      </w:r>
    </w:p>
    <w:p w:rsidRPr="00D136DB" w:rsidR="00757F0F" w:rsidP="00757F0F" w:rsidRDefault="00757F0F" w14:paraId="797142C1" w14:textId="77777777">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lastRenderedPageBreak/>
        <w:t>Paying Respondents</w:t>
      </w:r>
    </w:p>
    <w:p w:rsidRPr="00D136DB" w:rsidR="00757F0F" w:rsidP="00757F0F" w:rsidRDefault="00757F0F" w14:paraId="091AF15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D136DB" w:rsidR="00757F0F" w:rsidP="00757F0F" w:rsidRDefault="00757F0F" w14:paraId="69A9103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The Census Bureau does not pay respondents nor provide gifts for participation in the QSS.</w:t>
      </w:r>
    </w:p>
    <w:p w:rsidR="00757F0F" w:rsidP="00757F0F" w:rsidRDefault="00757F0F" w14:paraId="15E0BD25" w14:textId="15A5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040"/>
        <w:rPr>
          <w:b/>
          <w:bCs/>
        </w:rPr>
      </w:pPr>
    </w:p>
    <w:p w:rsidR="00B138DF" w:rsidP="00757F0F" w:rsidRDefault="00B138DF" w14:paraId="0710EB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040"/>
        <w:rPr>
          <w:b/>
          <w:bCs/>
        </w:rPr>
      </w:pPr>
    </w:p>
    <w:p w:rsidRPr="00D136DB" w:rsidR="00757F0F" w:rsidP="00757F0F" w:rsidRDefault="00757F0F" w14:paraId="69C4E4C5" w14:textId="77777777">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Assurance of Confidentiality</w:t>
      </w:r>
    </w:p>
    <w:p w:rsidRPr="00D136DB" w:rsidR="00757F0F" w:rsidP="00757F0F" w:rsidRDefault="00757F0F" w14:paraId="4189397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D136DB" w:rsidR="00757F0F" w:rsidP="00757F0F" w:rsidRDefault="00757F0F" w14:paraId="486EC3FA" w14:textId="32204E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 xml:space="preserve">Data collected in this survey are confidential under Title 13, United States Code, Section 9, </w:t>
      </w:r>
      <w:r w:rsidR="00CB26B8">
        <w:t>and may be used only for statistical purposes</w:t>
      </w:r>
      <w:r w:rsidR="002D2143">
        <w:t>.</w:t>
      </w:r>
      <w:r w:rsidRPr="00D136DB">
        <w:t xml:space="preserve"> </w:t>
      </w:r>
      <w:r w:rsidRPr="00221282">
        <w:t xml:space="preserve">Respondents are advised of this on </w:t>
      </w:r>
      <w:r w:rsidRPr="00221282" w:rsidR="00465FB6">
        <w:t xml:space="preserve">both </w:t>
      </w:r>
      <w:r w:rsidRPr="00221282">
        <w:t xml:space="preserve">the </w:t>
      </w:r>
      <w:r w:rsidRPr="00221282" w:rsidR="00465FB6">
        <w:t>full form mailing and the front-page-only form. The full form mailing also informs the respondent that this survey is voluntary.</w:t>
      </w:r>
      <w:r w:rsidR="00223237">
        <w:t xml:space="preserve"> </w:t>
      </w:r>
      <w:r w:rsidRPr="00221282" w:rsidR="003D73F5">
        <w:t xml:space="preserve">The voluntary nature of the survey is also included in the burden statement on the </w:t>
      </w:r>
      <w:r w:rsidRPr="00EF0506" w:rsidR="003D73F5">
        <w:t>Centurion Internet Reporting System for r</w:t>
      </w:r>
      <w:r w:rsidRPr="00EF0506" w:rsidR="00465FB6">
        <w:t xml:space="preserve">espondents who receive the front-page-only </w:t>
      </w:r>
      <w:r w:rsidRPr="00EF0506" w:rsidR="003D73F5">
        <w:t>form</w:t>
      </w:r>
      <w:r w:rsidRPr="00EF0506" w:rsidR="00465FB6">
        <w:t>.</w:t>
      </w:r>
      <w:r w:rsidR="00EF0506">
        <w:t xml:space="preserve">  </w:t>
      </w:r>
      <w:r w:rsidRPr="00FC71C2" w:rsidR="00EF0506">
        <w:t>Please see Atta</w:t>
      </w:r>
      <w:r w:rsidR="00C07AA2">
        <w:t>chment 3</w:t>
      </w:r>
      <w:r w:rsidR="00303EFA">
        <w:t>0</w:t>
      </w:r>
      <w:r w:rsidRPr="00FC71C2" w:rsidR="00EF0506">
        <w:t xml:space="preserve"> – Instrument Screenshots.</w:t>
      </w:r>
    </w:p>
    <w:p w:rsidRPr="00D136DB" w:rsidR="00757F0F" w:rsidP="00757F0F" w:rsidRDefault="00757F0F" w14:paraId="5C6132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D136DB" w:rsidR="00757F0F" w:rsidP="00757F0F" w:rsidRDefault="00757F0F" w14:paraId="17E1DD0F" w14:textId="77777777">
      <w:pPr>
        <w:pStyle w:val="Quick1"/>
        <w:numPr>
          <w:ilvl w:val="0"/>
          <w:numId w:val="13"/>
        </w:numPr>
        <w:tabs>
          <w:tab w:val="left" w:pos="720"/>
          <w:tab w:val="num" w:pos="1440"/>
          <w:tab w:val="left" w:pos="1530"/>
        </w:tabs>
        <w:ind w:left="1440" w:hanging="720"/>
        <w:rPr>
          <w:b/>
        </w:rPr>
      </w:pPr>
      <w:r w:rsidRPr="00D136DB">
        <w:rPr>
          <w:b/>
          <w:u w:val="single"/>
        </w:rPr>
        <w:t>Justification for Sensitive Questions</w:t>
      </w:r>
    </w:p>
    <w:p w:rsidRPr="00D136DB" w:rsidR="00757F0F" w:rsidP="00757F0F" w:rsidRDefault="00757F0F" w14:paraId="4EEA437E" w14:textId="77777777">
      <w:pPr>
        <w:tabs>
          <w:tab w:val="left" w:pos="720"/>
          <w:tab w:val="left" w:pos="1440"/>
          <w:tab w:val="left" w:pos="1530"/>
        </w:tabs>
        <w:ind w:left="720" w:firstLine="2880"/>
      </w:pPr>
    </w:p>
    <w:p w:rsidRPr="00D136DB" w:rsidR="00757F0F" w:rsidP="00005A23" w:rsidRDefault="00757F0F" w14:paraId="0C2C17B6" w14:textId="77777777">
      <w:pPr>
        <w:tabs>
          <w:tab w:val="left" w:pos="720"/>
          <w:tab w:val="left" w:pos="1440"/>
          <w:tab w:val="left" w:pos="1530"/>
        </w:tabs>
        <w:ind w:left="1440"/>
        <w:rPr>
          <w:b/>
          <w:bCs/>
        </w:rPr>
      </w:pPr>
      <w:r w:rsidRPr="00D136DB">
        <w:t>Requested data concern only routine business information and are not of a sensitive nature.</w:t>
      </w:r>
    </w:p>
    <w:p w:rsidR="001827CF" w:rsidP="00757F0F" w:rsidRDefault="001827CF" w14:paraId="129659EA" w14:textId="77777777">
      <w:pPr>
        <w:tabs>
          <w:tab w:val="left" w:pos="720"/>
          <w:tab w:val="left" w:pos="1440"/>
          <w:tab w:val="left" w:pos="1530"/>
        </w:tabs>
        <w:ind w:left="4320" w:hanging="3600"/>
        <w:rPr>
          <w:b/>
          <w:bCs/>
        </w:rPr>
      </w:pPr>
    </w:p>
    <w:p w:rsidRPr="00D136DB" w:rsidR="00757F0F" w:rsidP="00757F0F" w:rsidRDefault="00757F0F" w14:paraId="15408E75" w14:textId="77777777">
      <w:pPr>
        <w:tabs>
          <w:tab w:val="left" w:pos="720"/>
          <w:tab w:val="left" w:pos="1440"/>
          <w:tab w:val="left" w:pos="1530"/>
        </w:tabs>
        <w:ind w:left="4320" w:hanging="3600"/>
      </w:pPr>
      <w:r w:rsidRPr="00D136DB">
        <w:rPr>
          <w:b/>
          <w:bCs/>
        </w:rPr>
        <w:t>12.</w:t>
      </w:r>
      <w:r w:rsidRPr="00D136DB">
        <w:rPr>
          <w:b/>
          <w:bCs/>
        </w:rPr>
        <w:tab/>
      </w:r>
      <w:r w:rsidRPr="00D136DB">
        <w:rPr>
          <w:b/>
          <w:bCs/>
          <w:u w:val="single"/>
        </w:rPr>
        <w:t>Estimate of Hour Burden</w:t>
      </w:r>
      <w:r w:rsidRPr="00D136DB">
        <w:tab/>
      </w:r>
      <w:r w:rsidRPr="00D136DB">
        <w:tab/>
      </w:r>
    </w:p>
    <w:p w:rsidRPr="00D136DB" w:rsidR="00757F0F" w:rsidP="00757F0F" w:rsidRDefault="00757F0F" w14:paraId="68A5E0F7" w14:textId="77777777">
      <w:pPr>
        <w:tabs>
          <w:tab w:val="left" w:pos="1440"/>
          <w:tab w:val="left" w:pos="2160"/>
          <w:tab w:val="left" w:pos="2250"/>
        </w:tabs>
        <w:ind w:left="1440"/>
      </w:pPr>
    </w:p>
    <w:tbl>
      <w:tblPr>
        <w:tblW w:w="7859" w:type="dxa"/>
        <w:tblInd w:w="1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2029"/>
        <w:gridCol w:w="1350"/>
        <w:gridCol w:w="1260"/>
        <w:gridCol w:w="1170"/>
        <w:gridCol w:w="1080"/>
        <w:gridCol w:w="970"/>
      </w:tblGrid>
      <w:tr w:rsidRPr="000E20B4" w:rsidR="00757F0F" w:rsidTr="00DE3944" w14:paraId="203C5A54" w14:textId="77777777">
        <w:trPr>
          <w:trHeight w:val="193"/>
        </w:trPr>
        <w:tc>
          <w:tcPr>
            <w:tcW w:w="2029" w:type="dxa"/>
          </w:tcPr>
          <w:p w:rsidRPr="00107070" w:rsidR="00757F0F" w:rsidP="00DE3944" w:rsidRDefault="00757F0F" w14:paraId="3EB441FE" w14:textId="77777777">
            <w:pPr>
              <w:tabs>
                <w:tab w:val="left" w:pos="1440"/>
                <w:tab w:val="left" w:pos="2160"/>
                <w:tab w:val="left" w:pos="2250"/>
              </w:tabs>
              <w:rPr>
                <w:sz w:val="20"/>
                <w:szCs w:val="20"/>
              </w:rPr>
            </w:pPr>
            <w:r w:rsidRPr="00107070">
              <w:rPr>
                <w:sz w:val="20"/>
                <w:szCs w:val="20"/>
              </w:rPr>
              <w:t>Form</w:t>
            </w:r>
          </w:p>
        </w:tc>
        <w:tc>
          <w:tcPr>
            <w:tcW w:w="1350" w:type="dxa"/>
          </w:tcPr>
          <w:p w:rsidRPr="00107070" w:rsidR="00770D73" w:rsidP="00DE3944" w:rsidRDefault="00770D73" w14:paraId="24547415" w14:textId="77777777">
            <w:pPr>
              <w:tabs>
                <w:tab w:val="left" w:pos="1440"/>
                <w:tab w:val="left" w:pos="2160"/>
                <w:tab w:val="left" w:pos="2250"/>
              </w:tabs>
              <w:rPr>
                <w:sz w:val="20"/>
                <w:szCs w:val="20"/>
              </w:rPr>
            </w:pPr>
          </w:p>
          <w:p w:rsidRPr="00107070" w:rsidR="00757F0F" w:rsidP="00DE3944" w:rsidRDefault="000F7200" w14:paraId="39B8FB6A" w14:textId="276B791F">
            <w:pPr>
              <w:tabs>
                <w:tab w:val="left" w:pos="1440"/>
                <w:tab w:val="left" w:pos="2160"/>
                <w:tab w:val="left" w:pos="2250"/>
              </w:tabs>
              <w:rPr>
                <w:sz w:val="20"/>
                <w:szCs w:val="20"/>
              </w:rPr>
            </w:pPr>
            <w:r>
              <w:rPr>
                <w:sz w:val="20"/>
                <w:szCs w:val="20"/>
              </w:rPr>
              <w:t>Quarterly Responses</w:t>
            </w:r>
          </w:p>
        </w:tc>
        <w:tc>
          <w:tcPr>
            <w:tcW w:w="1260" w:type="dxa"/>
          </w:tcPr>
          <w:p w:rsidRPr="00107070" w:rsidR="00757F0F" w:rsidP="00DE3944" w:rsidRDefault="00757F0F" w14:paraId="0891F3AB" w14:textId="77777777">
            <w:pPr>
              <w:tabs>
                <w:tab w:val="left" w:pos="1440"/>
                <w:tab w:val="left" w:pos="2160"/>
                <w:tab w:val="left" w:pos="2250"/>
              </w:tabs>
              <w:rPr>
                <w:sz w:val="20"/>
                <w:szCs w:val="20"/>
              </w:rPr>
            </w:pPr>
            <w:r w:rsidRPr="00107070">
              <w:rPr>
                <w:sz w:val="20"/>
                <w:szCs w:val="20"/>
              </w:rPr>
              <w:t>Responses per Respondent</w:t>
            </w:r>
            <w:r w:rsidRPr="00107070" w:rsidR="00770D73">
              <w:rPr>
                <w:sz w:val="20"/>
                <w:szCs w:val="20"/>
              </w:rPr>
              <w:t xml:space="preserve"> per year</w:t>
            </w:r>
          </w:p>
        </w:tc>
        <w:tc>
          <w:tcPr>
            <w:tcW w:w="1170" w:type="dxa"/>
          </w:tcPr>
          <w:p w:rsidRPr="00107070" w:rsidR="00770D73" w:rsidP="00DE3944" w:rsidRDefault="00770D73" w14:paraId="623D98A6" w14:textId="77777777">
            <w:pPr>
              <w:tabs>
                <w:tab w:val="left" w:pos="1440"/>
                <w:tab w:val="left" w:pos="2160"/>
                <w:tab w:val="left" w:pos="2250"/>
              </w:tabs>
              <w:rPr>
                <w:sz w:val="20"/>
                <w:szCs w:val="20"/>
              </w:rPr>
            </w:pPr>
          </w:p>
          <w:p w:rsidRPr="00107070" w:rsidR="00757F0F" w:rsidP="00DE3944" w:rsidRDefault="00757F0F" w14:paraId="7015F49D" w14:textId="77777777">
            <w:pPr>
              <w:tabs>
                <w:tab w:val="left" w:pos="1440"/>
                <w:tab w:val="left" w:pos="2160"/>
                <w:tab w:val="left" w:pos="2250"/>
              </w:tabs>
              <w:rPr>
                <w:sz w:val="20"/>
                <w:szCs w:val="20"/>
              </w:rPr>
            </w:pPr>
            <w:r w:rsidRPr="00107070">
              <w:rPr>
                <w:sz w:val="20"/>
                <w:szCs w:val="20"/>
              </w:rPr>
              <w:t>Annual Responses</w:t>
            </w:r>
          </w:p>
        </w:tc>
        <w:tc>
          <w:tcPr>
            <w:tcW w:w="1080" w:type="dxa"/>
          </w:tcPr>
          <w:p w:rsidRPr="00107070" w:rsidR="00770D73" w:rsidP="00DE3944" w:rsidRDefault="00770D73" w14:paraId="155622D9" w14:textId="77777777">
            <w:pPr>
              <w:tabs>
                <w:tab w:val="left" w:pos="1440"/>
                <w:tab w:val="left" w:pos="2160"/>
                <w:tab w:val="left" w:pos="2250"/>
              </w:tabs>
              <w:rPr>
                <w:sz w:val="20"/>
                <w:szCs w:val="20"/>
              </w:rPr>
            </w:pPr>
          </w:p>
          <w:p w:rsidRPr="00107070" w:rsidR="00757F0F" w:rsidP="00DE3944" w:rsidRDefault="00757F0F" w14:paraId="2483A365" w14:textId="77777777">
            <w:pPr>
              <w:tabs>
                <w:tab w:val="left" w:pos="1440"/>
                <w:tab w:val="left" w:pos="2160"/>
                <w:tab w:val="left" w:pos="2250"/>
              </w:tabs>
              <w:rPr>
                <w:sz w:val="20"/>
                <w:szCs w:val="20"/>
              </w:rPr>
            </w:pPr>
            <w:r w:rsidRPr="00107070">
              <w:rPr>
                <w:sz w:val="20"/>
                <w:szCs w:val="20"/>
              </w:rPr>
              <w:t>Time per Response</w:t>
            </w:r>
          </w:p>
        </w:tc>
        <w:tc>
          <w:tcPr>
            <w:tcW w:w="970" w:type="dxa"/>
          </w:tcPr>
          <w:p w:rsidRPr="00107070" w:rsidR="00770D73" w:rsidP="00DE3944" w:rsidRDefault="00770D73" w14:paraId="692014E2" w14:textId="77777777">
            <w:pPr>
              <w:tabs>
                <w:tab w:val="left" w:pos="1440"/>
                <w:tab w:val="left" w:pos="2160"/>
                <w:tab w:val="left" w:pos="2250"/>
              </w:tabs>
              <w:rPr>
                <w:sz w:val="20"/>
                <w:szCs w:val="20"/>
              </w:rPr>
            </w:pPr>
          </w:p>
          <w:p w:rsidRPr="00107070" w:rsidR="00757F0F" w:rsidP="00DE3944" w:rsidRDefault="00757F0F" w14:paraId="0ECE0EFA" w14:textId="77777777">
            <w:pPr>
              <w:tabs>
                <w:tab w:val="left" w:pos="1440"/>
                <w:tab w:val="left" w:pos="2160"/>
                <w:tab w:val="left" w:pos="2250"/>
              </w:tabs>
              <w:rPr>
                <w:sz w:val="20"/>
                <w:szCs w:val="20"/>
              </w:rPr>
            </w:pPr>
            <w:r w:rsidRPr="00107070">
              <w:rPr>
                <w:sz w:val="20"/>
                <w:szCs w:val="20"/>
              </w:rPr>
              <w:t>Annual Burden</w:t>
            </w:r>
          </w:p>
          <w:p w:rsidRPr="00107070" w:rsidR="00757F0F" w:rsidP="00DE3944" w:rsidRDefault="00757F0F" w14:paraId="12213D61" w14:textId="77777777">
            <w:pPr>
              <w:tabs>
                <w:tab w:val="left" w:pos="1440"/>
                <w:tab w:val="left" w:pos="2160"/>
                <w:tab w:val="left" w:pos="2250"/>
              </w:tabs>
              <w:rPr>
                <w:sz w:val="20"/>
                <w:szCs w:val="20"/>
              </w:rPr>
            </w:pPr>
          </w:p>
        </w:tc>
      </w:tr>
      <w:tr w:rsidRPr="00BF59FF" w:rsidR="00757F0F" w:rsidTr="00DE3944" w14:paraId="5920DEF6" w14:textId="77777777">
        <w:trPr>
          <w:trHeight w:val="193"/>
        </w:trPr>
        <w:tc>
          <w:tcPr>
            <w:tcW w:w="2029" w:type="dxa"/>
          </w:tcPr>
          <w:p w:rsidRPr="00BF59FF" w:rsidR="002D2143" w:rsidP="00DE3944" w:rsidRDefault="00EA1076" w14:paraId="466202CF" w14:textId="1AEF61CE">
            <w:pPr>
              <w:tabs>
                <w:tab w:val="left" w:pos="1440"/>
                <w:tab w:val="left" w:pos="2160"/>
                <w:tab w:val="left" w:pos="2250"/>
              </w:tabs>
              <w:rPr>
                <w:sz w:val="20"/>
                <w:szCs w:val="20"/>
              </w:rPr>
            </w:pPr>
            <w:r w:rsidRPr="00BF59FF">
              <w:rPr>
                <w:sz w:val="20"/>
                <w:szCs w:val="20"/>
              </w:rPr>
              <w:t>QSS</w:t>
            </w:r>
            <w:r w:rsidRPr="00BF59FF" w:rsidR="00757F0F">
              <w:rPr>
                <w:sz w:val="20"/>
                <w:szCs w:val="20"/>
              </w:rPr>
              <w:t>-1A, QSS-1E,</w:t>
            </w:r>
            <w:r w:rsidRPr="00BF59FF" w:rsidR="00CC4A21">
              <w:rPr>
                <w:sz w:val="20"/>
                <w:szCs w:val="20"/>
              </w:rPr>
              <w:t xml:space="preserve"> QSS</w:t>
            </w:r>
            <w:r w:rsidRPr="00BF59FF" w:rsidR="00640F69">
              <w:rPr>
                <w:sz w:val="20"/>
                <w:szCs w:val="20"/>
              </w:rPr>
              <w:t>-</w:t>
            </w:r>
            <w:r w:rsidRPr="00BF59FF" w:rsidR="00CC4A21">
              <w:rPr>
                <w:sz w:val="20"/>
                <w:szCs w:val="20"/>
              </w:rPr>
              <w:t>1PA, QSS</w:t>
            </w:r>
            <w:r w:rsidRPr="00BF59FF" w:rsidR="00640F69">
              <w:rPr>
                <w:sz w:val="20"/>
                <w:szCs w:val="20"/>
              </w:rPr>
              <w:t>-</w:t>
            </w:r>
            <w:r w:rsidRPr="00BF59FF" w:rsidR="00CC4A21">
              <w:rPr>
                <w:sz w:val="20"/>
                <w:szCs w:val="20"/>
              </w:rPr>
              <w:t>1PE,</w:t>
            </w:r>
            <w:r w:rsidRPr="00BF59FF" w:rsidR="00757F0F">
              <w:rPr>
                <w:sz w:val="20"/>
                <w:szCs w:val="20"/>
              </w:rPr>
              <w:t xml:space="preserve"> QSS-2A,</w:t>
            </w:r>
            <w:r w:rsidRPr="00BF59FF" w:rsidR="002D2143">
              <w:rPr>
                <w:sz w:val="20"/>
                <w:szCs w:val="20"/>
              </w:rPr>
              <w:t xml:space="preserve"> QSS-2E,</w:t>
            </w:r>
          </w:p>
          <w:p w:rsidRPr="00BF59FF" w:rsidR="004912FA" w:rsidP="00CC4A21" w:rsidRDefault="002D2143" w14:paraId="3912A52D" w14:textId="77777777">
            <w:pPr>
              <w:tabs>
                <w:tab w:val="left" w:pos="1440"/>
                <w:tab w:val="left" w:pos="2160"/>
                <w:tab w:val="left" w:pos="2250"/>
              </w:tabs>
              <w:rPr>
                <w:sz w:val="20"/>
                <w:szCs w:val="20"/>
              </w:rPr>
            </w:pPr>
            <w:r w:rsidRPr="00BF59FF">
              <w:rPr>
                <w:sz w:val="20"/>
                <w:szCs w:val="20"/>
              </w:rPr>
              <w:t>QSS-3A,</w:t>
            </w:r>
            <w:r w:rsidRPr="00BF59FF" w:rsidR="00757F0F">
              <w:rPr>
                <w:sz w:val="20"/>
                <w:szCs w:val="20"/>
              </w:rPr>
              <w:t xml:space="preserve"> QSS-3E, </w:t>
            </w:r>
          </w:p>
          <w:p w:rsidRPr="00BF59FF" w:rsidR="00757F0F" w:rsidRDefault="004912FA" w14:paraId="1B57915B" w14:textId="033B4062">
            <w:pPr>
              <w:tabs>
                <w:tab w:val="left" w:pos="1440"/>
                <w:tab w:val="left" w:pos="2160"/>
                <w:tab w:val="left" w:pos="2250"/>
              </w:tabs>
              <w:rPr>
                <w:sz w:val="20"/>
                <w:szCs w:val="20"/>
              </w:rPr>
            </w:pPr>
            <w:r w:rsidRPr="00BF59FF">
              <w:rPr>
                <w:sz w:val="20"/>
                <w:szCs w:val="20"/>
              </w:rPr>
              <w:t xml:space="preserve">QSS-3SA, QSS-3SE, </w:t>
            </w:r>
            <w:r w:rsidRPr="00BF59FF" w:rsidR="00757F0F">
              <w:rPr>
                <w:sz w:val="20"/>
                <w:szCs w:val="20"/>
              </w:rPr>
              <w:t xml:space="preserve">QSS-5A, QSS-5E, </w:t>
            </w:r>
          </w:p>
        </w:tc>
        <w:tc>
          <w:tcPr>
            <w:tcW w:w="1350" w:type="dxa"/>
          </w:tcPr>
          <w:p w:rsidRPr="00BF59FF" w:rsidR="00757F0F" w:rsidP="000F7200" w:rsidRDefault="005F0078" w14:paraId="09701A04" w14:textId="71E0A5CF">
            <w:pPr>
              <w:tabs>
                <w:tab w:val="left" w:pos="1440"/>
                <w:tab w:val="left" w:pos="2160"/>
                <w:tab w:val="left" w:pos="2250"/>
              </w:tabs>
              <w:rPr>
                <w:sz w:val="20"/>
                <w:szCs w:val="20"/>
              </w:rPr>
            </w:pPr>
            <w:r w:rsidRPr="00BF59FF">
              <w:rPr>
                <w:sz w:val="20"/>
                <w:szCs w:val="20"/>
              </w:rPr>
              <w:t>12,</w:t>
            </w:r>
            <w:r w:rsidRPr="00BF59FF" w:rsidR="000F7200">
              <w:rPr>
                <w:sz w:val="20"/>
                <w:szCs w:val="20"/>
              </w:rPr>
              <w:t>900</w:t>
            </w:r>
          </w:p>
        </w:tc>
        <w:tc>
          <w:tcPr>
            <w:tcW w:w="1260" w:type="dxa"/>
          </w:tcPr>
          <w:p w:rsidRPr="00BF59FF" w:rsidR="00757F0F" w:rsidP="00DE3944" w:rsidRDefault="00757F0F" w14:paraId="2CA2C9A5" w14:textId="77777777">
            <w:pPr>
              <w:tabs>
                <w:tab w:val="left" w:pos="1440"/>
                <w:tab w:val="left" w:pos="2160"/>
                <w:tab w:val="left" w:pos="2250"/>
              </w:tabs>
              <w:rPr>
                <w:sz w:val="20"/>
                <w:szCs w:val="20"/>
              </w:rPr>
            </w:pPr>
            <w:r w:rsidRPr="00BF59FF">
              <w:rPr>
                <w:sz w:val="20"/>
                <w:szCs w:val="20"/>
              </w:rPr>
              <w:t>4</w:t>
            </w:r>
          </w:p>
        </w:tc>
        <w:tc>
          <w:tcPr>
            <w:tcW w:w="1170" w:type="dxa"/>
          </w:tcPr>
          <w:p w:rsidRPr="00BF59FF" w:rsidR="00757F0F" w:rsidP="002D2143" w:rsidRDefault="000F7200" w14:paraId="7C1E8FA3" w14:textId="3B369A2A">
            <w:pPr>
              <w:tabs>
                <w:tab w:val="left" w:pos="1440"/>
                <w:tab w:val="left" w:pos="2160"/>
                <w:tab w:val="left" w:pos="2250"/>
              </w:tabs>
              <w:rPr>
                <w:sz w:val="20"/>
                <w:szCs w:val="20"/>
              </w:rPr>
            </w:pPr>
            <w:r w:rsidRPr="00BF59FF">
              <w:rPr>
                <w:sz w:val="20"/>
                <w:szCs w:val="20"/>
              </w:rPr>
              <w:t>51,600</w:t>
            </w:r>
          </w:p>
        </w:tc>
        <w:tc>
          <w:tcPr>
            <w:tcW w:w="1080" w:type="dxa"/>
          </w:tcPr>
          <w:p w:rsidRPr="00BF59FF" w:rsidR="00757F0F" w:rsidP="00DE3944" w:rsidRDefault="00672536" w14:paraId="3B79521B" w14:textId="1C9685FD">
            <w:pPr>
              <w:tabs>
                <w:tab w:val="left" w:pos="1440"/>
                <w:tab w:val="left" w:pos="2160"/>
                <w:tab w:val="left" w:pos="2250"/>
              </w:tabs>
              <w:rPr>
                <w:sz w:val="20"/>
                <w:szCs w:val="20"/>
              </w:rPr>
            </w:pPr>
            <w:r w:rsidRPr="00BF59FF">
              <w:rPr>
                <w:sz w:val="20"/>
                <w:szCs w:val="20"/>
              </w:rPr>
              <w:t>15</w:t>
            </w:r>
            <w:r w:rsidRPr="00BF59FF" w:rsidR="00757F0F">
              <w:rPr>
                <w:sz w:val="20"/>
                <w:szCs w:val="20"/>
              </w:rPr>
              <w:t xml:space="preserve"> min</w:t>
            </w:r>
          </w:p>
        </w:tc>
        <w:tc>
          <w:tcPr>
            <w:tcW w:w="970" w:type="dxa"/>
          </w:tcPr>
          <w:p w:rsidRPr="00BF59FF" w:rsidR="00757F0F" w:rsidP="00DE3944" w:rsidRDefault="00672536" w14:paraId="384FB33F" w14:textId="17A0CD1F">
            <w:pPr>
              <w:tabs>
                <w:tab w:val="left" w:pos="1440"/>
                <w:tab w:val="left" w:pos="2160"/>
                <w:tab w:val="left" w:pos="2250"/>
              </w:tabs>
              <w:rPr>
                <w:sz w:val="20"/>
                <w:szCs w:val="20"/>
              </w:rPr>
            </w:pPr>
            <w:r w:rsidRPr="00BF59FF">
              <w:rPr>
                <w:sz w:val="20"/>
                <w:szCs w:val="20"/>
              </w:rPr>
              <w:t>12,900</w:t>
            </w:r>
            <w:r w:rsidRPr="00BF59FF" w:rsidR="00757F0F">
              <w:rPr>
                <w:sz w:val="20"/>
                <w:szCs w:val="20"/>
              </w:rPr>
              <w:t xml:space="preserve"> </w:t>
            </w:r>
            <w:proofErr w:type="spellStart"/>
            <w:r w:rsidRPr="00BF59FF" w:rsidR="00757F0F">
              <w:rPr>
                <w:sz w:val="20"/>
                <w:szCs w:val="20"/>
              </w:rPr>
              <w:t>hrs</w:t>
            </w:r>
            <w:proofErr w:type="spellEnd"/>
          </w:p>
          <w:p w:rsidRPr="00BF59FF" w:rsidR="00757F0F" w:rsidP="00DE3944" w:rsidRDefault="00757F0F" w14:paraId="649C3EC4" w14:textId="77777777">
            <w:pPr>
              <w:tabs>
                <w:tab w:val="left" w:pos="1440"/>
                <w:tab w:val="left" w:pos="2160"/>
                <w:tab w:val="left" w:pos="2250"/>
              </w:tabs>
              <w:rPr>
                <w:sz w:val="20"/>
                <w:szCs w:val="20"/>
              </w:rPr>
            </w:pPr>
          </w:p>
        </w:tc>
      </w:tr>
      <w:tr w:rsidRPr="00BF59FF" w:rsidR="00757F0F" w:rsidTr="00DE3944" w14:paraId="673D9837" w14:textId="77777777">
        <w:trPr>
          <w:trHeight w:val="193"/>
        </w:trPr>
        <w:tc>
          <w:tcPr>
            <w:tcW w:w="2029" w:type="dxa"/>
          </w:tcPr>
          <w:p w:rsidRPr="00BF59FF" w:rsidR="00640F69" w:rsidP="00CC4A21" w:rsidRDefault="00757F0F" w14:paraId="5D166393" w14:textId="77777777">
            <w:pPr>
              <w:tabs>
                <w:tab w:val="left" w:pos="1440"/>
                <w:tab w:val="left" w:pos="2160"/>
                <w:tab w:val="left" w:pos="2250"/>
              </w:tabs>
              <w:rPr>
                <w:sz w:val="20"/>
                <w:szCs w:val="20"/>
              </w:rPr>
            </w:pPr>
            <w:r w:rsidRPr="00BF59FF">
              <w:rPr>
                <w:sz w:val="20"/>
                <w:szCs w:val="20"/>
              </w:rPr>
              <w:t>QSS-4A, QSS-4E,</w:t>
            </w:r>
          </w:p>
          <w:p w:rsidRPr="00BF59FF" w:rsidR="00757F0F" w:rsidRDefault="00640F69" w14:paraId="3EF6E0EF" w14:textId="434E274A">
            <w:pPr>
              <w:tabs>
                <w:tab w:val="left" w:pos="1440"/>
                <w:tab w:val="left" w:pos="2160"/>
                <w:tab w:val="left" w:pos="2250"/>
              </w:tabs>
              <w:rPr>
                <w:sz w:val="20"/>
                <w:szCs w:val="20"/>
              </w:rPr>
            </w:pPr>
            <w:r w:rsidRPr="00BF59FF">
              <w:rPr>
                <w:sz w:val="20"/>
                <w:szCs w:val="20"/>
              </w:rPr>
              <w:t>QSS-4</w:t>
            </w:r>
            <w:r w:rsidRPr="00BF59FF" w:rsidR="00EA1076">
              <w:rPr>
                <w:sz w:val="20"/>
                <w:szCs w:val="20"/>
              </w:rPr>
              <w:t>F</w:t>
            </w:r>
            <w:r w:rsidRPr="00BF59FF">
              <w:rPr>
                <w:sz w:val="20"/>
                <w:szCs w:val="20"/>
              </w:rPr>
              <w:t>A, QSS-4</w:t>
            </w:r>
            <w:r w:rsidRPr="00BF59FF" w:rsidR="00EA1076">
              <w:rPr>
                <w:sz w:val="20"/>
                <w:szCs w:val="20"/>
              </w:rPr>
              <w:t>F</w:t>
            </w:r>
            <w:r w:rsidRPr="00BF59FF">
              <w:rPr>
                <w:sz w:val="20"/>
                <w:szCs w:val="20"/>
              </w:rPr>
              <w:t xml:space="preserve">E, </w:t>
            </w:r>
            <w:r w:rsidRPr="00BF59FF" w:rsidR="00757F0F">
              <w:rPr>
                <w:sz w:val="20"/>
                <w:szCs w:val="20"/>
              </w:rPr>
              <w:t xml:space="preserve"> QSS</w:t>
            </w:r>
            <w:r w:rsidRPr="00BF59FF" w:rsidR="00EA1076">
              <w:rPr>
                <w:sz w:val="20"/>
                <w:szCs w:val="20"/>
              </w:rPr>
              <w:t>-</w:t>
            </w:r>
            <w:r w:rsidRPr="00BF59FF" w:rsidR="00757F0F">
              <w:rPr>
                <w:sz w:val="20"/>
                <w:szCs w:val="20"/>
              </w:rPr>
              <w:t>4</w:t>
            </w:r>
            <w:r w:rsidRPr="00BF59FF" w:rsidR="00EA1076">
              <w:rPr>
                <w:sz w:val="20"/>
                <w:szCs w:val="20"/>
              </w:rPr>
              <w:t>S</w:t>
            </w:r>
            <w:r w:rsidRPr="00BF59FF" w:rsidR="00757F0F">
              <w:rPr>
                <w:sz w:val="20"/>
                <w:szCs w:val="20"/>
              </w:rPr>
              <w:t>A, QSS</w:t>
            </w:r>
            <w:r w:rsidRPr="00BF59FF" w:rsidR="00EA1076">
              <w:rPr>
                <w:sz w:val="20"/>
                <w:szCs w:val="20"/>
              </w:rPr>
              <w:t>-</w:t>
            </w:r>
            <w:r w:rsidRPr="00BF59FF" w:rsidR="00757F0F">
              <w:rPr>
                <w:sz w:val="20"/>
                <w:szCs w:val="20"/>
              </w:rPr>
              <w:t>4</w:t>
            </w:r>
            <w:r w:rsidRPr="00BF59FF" w:rsidR="00EA1076">
              <w:rPr>
                <w:sz w:val="20"/>
                <w:szCs w:val="20"/>
              </w:rPr>
              <w:t>S</w:t>
            </w:r>
            <w:r w:rsidRPr="00BF59FF" w:rsidR="00757F0F">
              <w:rPr>
                <w:sz w:val="20"/>
                <w:szCs w:val="20"/>
              </w:rPr>
              <w:t>E</w:t>
            </w:r>
          </w:p>
        </w:tc>
        <w:tc>
          <w:tcPr>
            <w:tcW w:w="1350" w:type="dxa"/>
          </w:tcPr>
          <w:p w:rsidRPr="00BF59FF" w:rsidR="00757F0F" w:rsidP="00DE3944" w:rsidRDefault="000F7200" w14:paraId="20200532" w14:textId="0908F806">
            <w:pPr>
              <w:tabs>
                <w:tab w:val="left" w:pos="1440"/>
                <w:tab w:val="left" w:pos="2160"/>
                <w:tab w:val="left" w:pos="2250"/>
              </w:tabs>
              <w:rPr>
                <w:sz w:val="20"/>
                <w:szCs w:val="20"/>
              </w:rPr>
            </w:pPr>
            <w:r w:rsidRPr="00BF59FF">
              <w:rPr>
                <w:sz w:val="20"/>
                <w:szCs w:val="20"/>
              </w:rPr>
              <w:t>9,600</w:t>
            </w:r>
          </w:p>
        </w:tc>
        <w:tc>
          <w:tcPr>
            <w:tcW w:w="1260" w:type="dxa"/>
          </w:tcPr>
          <w:p w:rsidRPr="00BF59FF" w:rsidR="00757F0F" w:rsidP="00DE3944" w:rsidRDefault="00757F0F" w14:paraId="077416E0" w14:textId="77777777">
            <w:pPr>
              <w:tabs>
                <w:tab w:val="left" w:pos="1440"/>
                <w:tab w:val="left" w:pos="2160"/>
                <w:tab w:val="left" w:pos="2250"/>
              </w:tabs>
              <w:rPr>
                <w:sz w:val="20"/>
                <w:szCs w:val="20"/>
              </w:rPr>
            </w:pPr>
            <w:r w:rsidRPr="00BF59FF">
              <w:rPr>
                <w:sz w:val="20"/>
                <w:szCs w:val="20"/>
              </w:rPr>
              <w:t>4</w:t>
            </w:r>
          </w:p>
        </w:tc>
        <w:tc>
          <w:tcPr>
            <w:tcW w:w="1170" w:type="dxa"/>
          </w:tcPr>
          <w:p w:rsidRPr="00BF59FF" w:rsidR="00757F0F" w:rsidP="0007042F" w:rsidRDefault="000F7200" w14:paraId="0B9E3C56" w14:textId="56DAB10F">
            <w:pPr>
              <w:tabs>
                <w:tab w:val="left" w:pos="1440"/>
                <w:tab w:val="left" w:pos="2160"/>
                <w:tab w:val="left" w:pos="2250"/>
              </w:tabs>
              <w:rPr>
                <w:sz w:val="20"/>
                <w:szCs w:val="20"/>
              </w:rPr>
            </w:pPr>
            <w:r w:rsidRPr="00BF59FF">
              <w:rPr>
                <w:sz w:val="20"/>
                <w:szCs w:val="20"/>
              </w:rPr>
              <w:t>38,400</w:t>
            </w:r>
          </w:p>
        </w:tc>
        <w:tc>
          <w:tcPr>
            <w:tcW w:w="1080" w:type="dxa"/>
          </w:tcPr>
          <w:p w:rsidRPr="00BF59FF" w:rsidR="00757F0F" w:rsidP="00DE3944" w:rsidRDefault="000F7200" w14:paraId="507D621E" w14:textId="333E23C0">
            <w:pPr>
              <w:tabs>
                <w:tab w:val="left" w:pos="1440"/>
                <w:tab w:val="left" w:pos="2160"/>
                <w:tab w:val="left" w:pos="2250"/>
              </w:tabs>
              <w:rPr>
                <w:sz w:val="20"/>
                <w:szCs w:val="20"/>
              </w:rPr>
            </w:pPr>
            <w:r w:rsidRPr="00BF59FF">
              <w:rPr>
                <w:sz w:val="20"/>
                <w:szCs w:val="20"/>
              </w:rPr>
              <w:t>1</w:t>
            </w:r>
            <w:r w:rsidRPr="00BF59FF" w:rsidR="00672536">
              <w:rPr>
                <w:sz w:val="20"/>
                <w:szCs w:val="20"/>
              </w:rPr>
              <w:t>0</w:t>
            </w:r>
            <w:r w:rsidRPr="00BF59FF" w:rsidR="00757F0F">
              <w:rPr>
                <w:sz w:val="20"/>
                <w:szCs w:val="20"/>
              </w:rPr>
              <w:t xml:space="preserve"> min</w:t>
            </w:r>
          </w:p>
        </w:tc>
        <w:tc>
          <w:tcPr>
            <w:tcW w:w="970" w:type="dxa"/>
          </w:tcPr>
          <w:p w:rsidRPr="00BF59FF" w:rsidR="00757F0F" w:rsidP="00DE3944" w:rsidRDefault="00672536" w14:paraId="7529FF8C" w14:textId="590B9F7A">
            <w:pPr>
              <w:tabs>
                <w:tab w:val="left" w:pos="1440"/>
                <w:tab w:val="left" w:pos="2160"/>
                <w:tab w:val="left" w:pos="2250"/>
              </w:tabs>
              <w:rPr>
                <w:sz w:val="20"/>
                <w:szCs w:val="20"/>
              </w:rPr>
            </w:pPr>
            <w:r w:rsidRPr="00BF59FF">
              <w:rPr>
                <w:sz w:val="20"/>
                <w:szCs w:val="20"/>
              </w:rPr>
              <w:t>6,4</w:t>
            </w:r>
            <w:r w:rsidRPr="00BF59FF" w:rsidR="000F7200">
              <w:rPr>
                <w:sz w:val="20"/>
                <w:szCs w:val="20"/>
              </w:rPr>
              <w:t>00</w:t>
            </w:r>
            <w:r w:rsidRPr="00BF59FF" w:rsidR="00757F0F">
              <w:rPr>
                <w:sz w:val="20"/>
                <w:szCs w:val="20"/>
              </w:rPr>
              <w:t xml:space="preserve"> </w:t>
            </w:r>
            <w:proofErr w:type="spellStart"/>
            <w:r w:rsidRPr="00BF59FF" w:rsidR="00757F0F">
              <w:rPr>
                <w:sz w:val="20"/>
                <w:szCs w:val="20"/>
              </w:rPr>
              <w:t>hrs</w:t>
            </w:r>
            <w:proofErr w:type="spellEnd"/>
          </w:p>
        </w:tc>
      </w:tr>
      <w:tr w:rsidRPr="00BF59FF" w:rsidR="00757F0F" w:rsidTr="00DE3944" w14:paraId="66A2D885" w14:textId="77777777">
        <w:trPr>
          <w:trHeight w:val="193"/>
        </w:trPr>
        <w:tc>
          <w:tcPr>
            <w:tcW w:w="2029" w:type="dxa"/>
          </w:tcPr>
          <w:p w:rsidRPr="00BF59FF" w:rsidR="00757F0F" w:rsidP="00DE3944" w:rsidRDefault="00757F0F" w14:paraId="410567A6" w14:textId="77777777">
            <w:pPr>
              <w:tabs>
                <w:tab w:val="left" w:pos="1440"/>
                <w:tab w:val="left" w:pos="2160"/>
                <w:tab w:val="left" w:pos="2250"/>
              </w:tabs>
              <w:rPr>
                <w:b/>
                <w:sz w:val="20"/>
                <w:szCs w:val="20"/>
              </w:rPr>
            </w:pPr>
            <w:r w:rsidRPr="00BF59FF">
              <w:rPr>
                <w:b/>
                <w:sz w:val="20"/>
                <w:szCs w:val="20"/>
              </w:rPr>
              <w:t>Totals</w:t>
            </w:r>
          </w:p>
        </w:tc>
        <w:tc>
          <w:tcPr>
            <w:tcW w:w="1350" w:type="dxa"/>
          </w:tcPr>
          <w:p w:rsidRPr="00BF59FF" w:rsidR="00757F0F" w:rsidP="00DE3944" w:rsidRDefault="000F7200" w14:paraId="076613D7" w14:textId="08A8D8FD">
            <w:pPr>
              <w:tabs>
                <w:tab w:val="left" w:pos="1440"/>
                <w:tab w:val="left" w:pos="2160"/>
                <w:tab w:val="left" w:pos="2250"/>
              </w:tabs>
              <w:rPr>
                <w:b/>
                <w:sz w:val="20"/>
                <w:szCs w:val="20"/>
              </w:rPr>
            </w:pPr>
            <w:r w:rsidRPr="00BF59FF">
              <w:rPr>
                <w:b/>
                <w:sz w:val="20"/>
                <w:szCs w:val="20"/>
              </w:rPr>
              <w:t>22,500</w:t>
            </w:r>
          </w:p>
        </w:tc>
        <w:tc>
          <w:tcPr>
            <w:tcW w:w="1260" w:type="dxa"/>
          </w:tcPr>
          <w:p w:rsidRPr="00BF59FF" w:rsidR="00757F0F" w:rsidP="00DE3944" w:rsidRDefault="00757F0F" w14:paraId="7213CBFC" w14:textId="77777777">
            <w:pPr>
              <w:tabs>
                <w:tab w:val="left" w:pos="1440"/>
                <w:tab w:val="left" w:pos="2160"/>
                <w:tab w:val="left" w:pos="2250"/>
              </w:tabs>
              <w:rPr>
                <w:b/>
                <w:sz w:val="20"/>
                <w:szCs w:val="20"/>
              </w:rPr>
            </w:pPr>
          </w:p>
        </w:tc>
        <w:tc>
          <w:tcPr>
            <w:tcW w:w="1170" w:type="dxa"/>
          </w:tcPr>
          <w:p w:rsidRPr="00BF59FF" w:rsidR="00757F0F" w:rsidP="00DE3944" w:rsidRDefault="000F7200" w14:paraId="7C857B2E" w14:textId="166BCC6E">
            <w:pPr>
              <w:tabs>
                <w:tab w:val="left" w:pos="1440"/>
                <w:tab w:val="left" w:pos="2160"/>
                <w:tab w:val="left" w:pos="2250"/>
              </w:tabs>
              <w:rPr>
                <w:b/>
                <w:sz w:val="20"/>
                <w:szCs w:val="20"/>
              </w:rPr>
            </w:pPr>
            <w:r w:rsidRPr="00BF59FF">
              <w:rPr>
                <w:b/>
                <w:sz w:val="20"/>
                <w:szCs w:val="20"/>
              </w:rPr>
              <w:t>90,000</w:t>
            </w:r>
          </w:p>
        </w:tc>
        <w:tc>
          <w:tcPr>
            <w:tcW w:w="1080" w:type="dxa"/>
          </w:tcPr>
          <w:p w:rsidRPr="00BF59FF" w:rsidR="00757F0F" w:rsidP="00DE3944" w:rsidRDefault="00757F0F" w14:paraId="27D37EA3" w14:textId="77777777">
            <w:pPr>
              <w:tabs>
                <w:tab w:val="left" w:pos="1440"/>
                <w:tab w:val="left" w:pos="2160"/>
                <w:tab w:val="left" w:pos="2250"/>
              </w:tabs>
              <w:rPr>
                <w:b/>
                <w:sz w:val="20"/>
                <w:szCs w:val="20"/>
              </w:rPr>
            </w:pPr>
          </w:p>
        </w:tc>
        <w:tc>
          <w:tcPr>
            <w:tcW w:w="970" w:type="dxa"/>
          </w:tcPr>
          <w:p w:rsidRPr="00BF59FF" w:rsidR="00757F0F" w:rsidP="00DE3944" w:rsidRDefault="00672536" w14:paraId="77ADEE7B" w14:textId="3B6BD669">
            <w:pPr>
              <w:tabs>
                <w:tab w:val="left" w:pos="1440"/>
                <w:tab w:val="left" w:pos="2160"/>
                <w:tab w:val="left" w:pos="2250"/>
              </w:tabs>
              <w:rPr>
                <w:b/>
                <w:sz w:val="20"/>
                <w:szCs w:val="20"/>
              </w:rPr>
            </w:pPr>
            <w:r w:rsidRPr="00BF59FF">
              <w:rPr>
                <w:b/>
                <w:sz w:val="20"/>
                <w:szCs w:val="20"/>
              </w:rPr>
              <w:t>19,300</w:t>
            </w:r>
          </w:p>
        </w:tc>
      </w:tr>
    </w:tbl>
    <w:p w:rsidRPr="00BF59FF" w:rsidR="00757F0F" w:rsidP="00757F0F" w:rsidRDefault="00757F0F" w14:paraId="10595FA1" w14:textId="77777777">
      <w:pPr>
        <w:tabs>
          <w:tab w:val="left" w:pos="1440"/>
          <w:tab w:val="left" w:pos="2160"/>
          <w:tab w:val="left" w:pos="2250"/>
        </w:tabs>
        <w:ind w:left="1440"/>
      </w:pPr>
    </w:p>
    <w:p w:rsidRPr="00BF59FF" w:rsidR="00C027A0" w:rsidP="00757F0F" w:rsidRDefault="00617793" w14:paraId="4FB659E3" w14:textId="6F704203">
      <w:pPr>
        <w:tabs>
          <w:tab w:val="left" w:pos="1440"/>
          <w:tab w:val="left" w:pos="2160"/>
          <w:tab w:val="left" w:pos="2250"/>
        </w:tabs>
        <w:ind w:left="1440"/>
        <w:rPr>
          <w:color w:val="000000"/>
        </w:rPr>
      </w:pPr>
      <w:r w:rsidRPr="00BF59FF">
        <w:t>We estimated the burden hours based on extensive contact and routine discus</w:t>
      </w:r>
      <w:r w:rsidRPr="00BF59FF" w:rsidR="00FD5F3D">
        <w:t xml:space="preserve">sions with survey respondents. </w:t>
      </w:r>
      <w:r w:rsidRPr="00BF59FF" w:rsidR="00C027A0">
        <w:t xml:space="preserve">The estimated time per response </w:t>
      </w:r>
      <w:r w:rsidRPr="00BF59FF" w:rsidR="00C027A0">
        <w:rPr>
          <w:color w:val="000000"/>
        </w:rPr>
        <w:t>includes the time for reviewing instructions, searching existing data sources, gathering and maintaining the data needed, and completing and reviewing the collection of information.</w:t>
      </w:r>
      <w:r w:rsidRPr="00BF59FF" w:rsidR="00223237">
        <w:rPr>
          <w:color w:val="000000"/>
        </w:rPr>
        <w:t xml:space="preserve"> </w:t>
      </w:r>
      <w:r w:rsidRPr="00BF59FF" w:rsidR="009E4CEF">
        <w:rPr>
          <w:color w:val="000000"/>
        </w:rPr>
        <w:t xml:space="preserve"> Fo</w:t>
      </w:r>
      <w:r w:rsidRPr="00BF59FF" w:rsidR="00D00BDA">
        <w:rPr>
          <w:color w:val="000000"/>
        </w:rPr>
        <w:t>rms with a burden estimate of 1</w:t>
      </w:r>
      <w:r w:rsidRPr="00BF59FF" w:rsidR="00672536">
        <w:rPr>
          <w:color w:val="000000"/>
        </w:rPr>
        <w:t>0</w:t>
      </w:r>
      <w:r w:rsidRPr="00BF59FF" w:rsidR="009E4CEF">
        <w:rPr>
          <w:color w:val="000000"/>
        </w:rPr>
        <w:t xml:space="preserve"> minutes collect only one data item, revenue, in addition to collecting general information about the company such as correct coverage and changes in organizational structure. Fo</w:t>
      </w:r>
      <w:r w:rsidRPr="00BF59FF" w:rsidR="00D00BDA">
        <w:rPr>
          <w:color w:val="000000"/>
        </w:rPr>
        <w:t xml:space="preserve">rms with a burden estimate of </w:t>
      </w:r>
      <w:r w:rsidRPr="00BF59FF" w:rsidR="009E4CEF">
        <w:rPr>
          <w:color w:val="000000"/>
        </w:rPr>
        <w:t xml:space="preserve"> </w:t>
      </w:r>
      <w:r w:rsidRPr="00BF59FF" w:rsidR="00672536">
        <w:rPr>
          <w:color w:val="000000"/>
        </w:rPr>
        <w:t xml:space="preserve">15 </w:t>
      </w:r>
      <w:r w:rsidRPr="00BF59FF" w:rsidR="009E4CEF">
        <w:rPr>
          <w:color w:val="000000"/>
        </w:rPr>
        <w:t>minutes collect additional data items such as expenses, source of revenue breakouts, and hospital inpatient days and discharges.</w:t>
      </w:r>
      <w:r w:rsidRPr="00BF59FF" w:rsidR="008D5950">
        <w:rPr>
          <w:color w:val="000000"/>
        </w:rPr>
        <w:t xml:space="preserve"> These items, especially source of revenue breakouts, are not always maintained on a quarterly basis as part </w:t>
      </w:r>
      <w:r w:rsidRPr="00BF59FF" w:rsidR="008D5950">
        <w:rPr>
          <w:color w:val="000000"/>
        </w:rPr>
        <w:lastRenderedPageBreak/>
        <w:t>of standard accounting practices and therefore may require more time to gather.</w:t>
      </w:r>
    </w:p>
    <w:p w:rsidRPr="00BF59FF" w:rsidR="007447B8" w:rsidP="00757F0F" w:rsidRDefault="007447B8" w14:paraId="2DFBA1F5" w14:textId="5BCBF448">
      <w:pPr>
        <w:tabs>
          <w:tab w:val="left" w:pos="1440"/>
          <w:tab w:val="left" w:pos="2160"/>
          <w:tab w:val="left" w:pos="2250"/>
        </w:tabs>
        <w:ind w:left="1440"/>
        <w:rPr>
          <w:color w:val="000000"/>
        </w:rPr>
      </w:pPr>
    </w:p>
    <w:p w:rsidRPr="00E62E56" w:rsidR="007447B8" w:rsidP="007447B8" w:rsidRDefault="007447B8" w14:paraId="2BD6D8E8" w14:textId="7346C546">
      <w:pPr>
        <w:tabs>
          <w:tab w:val="left" w:pos="1440"/>
          <w:tab w:val="left" w:pos="2160"/>
          <w:tab w:val="left" w:pos="2250"/>
        </w:tabs>
        <w:ind w:left="1440"/>
      </w:pPr>
      <w:r w:rsidRPr="00BF59FF">
        <w:t>The estimated annual cost to the respondents is $</w:t>
      </w:r>
      <w:r w:rsidRPr="00BF59FF" w:rsidR="004417D7">
        <w:t>737,839</w:t>
      </w:r>
      <w:r w:rsidRPr="00BF59FF" w:rsidR="00456644">
        <w:t>.</w:t>
      </w:r>
      <w:r w:rsidR="00FD5F3D">
        <w:t xml:space="preserve"> </w:t>
      </w:r>
      <w:r w:rsidRPr="00E859FE">
        <w:t>We calculated this annual cost by multiplying the total burden hours by the average hourly wage of $</w:t>
      </w:r>
      <w:r w:rsidR="00CD3C15">
        <w:t>38.23</w:t>
      </w:r>
      <w:r w:rsidR="00FD5F3D">
        <w:t xml:space="preserve">. </w:t>
      </w:r>
      <w:r w:rsidRPr="00E859FE">
        <w:t>(Occupational Employment and Wages - Bur</w:t>
      </w:r>
      <w:r w:rsidR="00CD3C15">
        <w:t>eau of Labor Statistics May 2019</w:t>
      </w:r>
      <w:r w:rsidRPr="00E859FE">
        <w:t xml:space="preserve"> National Occupational Employment and Wage Estimates; $</w:t>
      </w:r>
      <w:r w:rsidR="00CD3C15">
        <w:t>38.23</w:t>
      </w:r>
      <w:r w:rsidRPr="00E859FE">
        <w:t xml:space="preserve"> represents the mean hourly wage of the full-time wage and salary earnings of accountants and auditors, SOC code 13-2011.)</w:t>
      </w:r>
      <w:r>
        <w:t xml:space="preserve"> </w:t>
      </w:r>
    </w:p>
    <w:p w:rsidR="007447B8" w:rsidP="007447B8" w:rsidRDefault="007447B8" w14:paraId="6C4BFB12" w14:textId="77777777">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highlight w:val="yellow"/>
        </w:rPr>
      </w:pPr>
      <w:r>
        <w:tab/>
      </w:r>
      <w:r>
        <w:tab/>
      </w:r>
      <w:r>
        <w:tab/>
      </w:r>
      <w:r>
        <w:tab/>
      </w:r>
      <w:hyperlink w:history="1" r:id="rId14">
        <w:r w:rsidRPr="00B1611C">
          <w:rPr>
            <w:rStyle w:val="Hyperlink"/>
          </w:rPr>
          <w:t>http://stats.bls.gov/oes/current/oes132011.htm</w:t>
        </w:r>
      </w:hyperlink>
      <w:r>
        <w:t xml:space="preserve"> </w:t>
      </w:r>
    </w:p>
    <w:p w:rsidRPr="00D136DB" w:rsidR="00757F0F" w:rsidP="00757F0F" w:rsidRDefault="00757F0F" w14:paraId="1AE31E56" w14:textId="19082866">
      <w:pPr>
        <w:tabs>
          <w:tab w:val="left" w:pos="1440"/>
          <w:tab w:val="left" w:pos="2160"/>
          <w:tab w:val="left" w:pos="2250"/>
        </w:tabs>
      </w:pPr>
    </w:p>
    <w:p w:rsidRPr="00D136DB" w:rsidR="00757F0F" w:rsidP="00757F0F" w:rsidRDefault="00757F0F" w14:paraId="160F7EBE" w14:textId="77777777">
      <w:pPr>
        <w:tabs>
          <w:tab w:val="left" w:pos="720"/>
          <w:tab w:val="left" w:pos="1440"/>
          <w:tab w:val="left" w:pos="1530"/>
        </w:tabs>
        <w:ind w:left="1440" w:hanging="720"/>
      </w:pPr>
      <w:r w:rsidRPr="00D136DB">
        <w:rPr>
          <w:b/>
          <w:bCs/>
        </w:rPr>
        <w:t>13.</w:t>
      </w:r>
      <w:r w:rsidRPr="00D136DB">
        <w:tab/>
      </w:r>
      <w:r w:rsidRPr="00D136DB">
        <w:rPr>
          <w:b/>
          <w:bCs/>
          <w:u w:val="single"/>
        </w:rPr>
        <w:t>Estimate of Cost Burden</w:t>
      </w:r>
    </w:p>
    <w:p w:rsidRPr="00D136DB" w:rsidR="00757F0F" w:rsidP="00757F0F" w:rsidRDefault="00757F0F" w14:paraId="6B7E0D05" w14:textId="77777777">
      <w:pPr>
        <w:tabs>
          <w:tab w:val="left" w:pos="720"/>
          <w:tab w:val="left" w:pos="1440"/>
          <w:tab w:val="left" w:pos="1530"/>
        </w:tabs>
        <w:ind w:left="720" w:firstLine="1440"/>
      </w:pPr>
    </w:p>
    <w:p w:rsidRPr="00CC7D33" w:rsidR="00757F0F" w:rsidP="00757F0F" w:rsidRDefault="00757F0F" w14:paraId="5DC67C64" w14:textId="3BA7AFD3">
      <w:pPr>
        <w:tabs>
          <w:tab w:val="left" w:pos="720"/>
          <w:tab w:val="left" w:pos="1440"/>
          <w:tab w:val="left" w:pos="1530"/>
        </w:tabs>
        <w:ind w:left="1440"/>
      </w:pPr>
      <w:r w:rsidRPr="00D136DB">
        <w:t xml:space="preserve">We do not expect respondents to incur any costs other than their time to respond.  </w:t>
      </w:r>
      <w:r w:rsidR="00DD4BE7">
        <w:t xml:space="preserve"> </w:t>
      </w:r>
      <w:r w:rsidRPr="00D136DB">
        <w:t>The information requested is of the type and scope normally carried in company records and no special hardware or accounting software or system is necessary to provide answers t</w:t>
      </w:r>
      <w:r w:rsidR="0007042F">
        <w:t xml:space="preserve">o this information collection. </w:t>
      </w:r>
      <w:r w:rsidRPr="00D136DB">
        <w:t>Therefore, respondents are not expected to incur any capital and start-up costs or system ma</w:t>
      </w:r>
      <w:r w:rsidR="0007042F">
        <w:t xml:space="preserve">intenance costs in responding. </w:t>
      </w:r>
      <w:r w:rsidRPr="00D136DB">
        <w:t>Further, purchasing of outside accounting or information collection services, if performed by the respondent, is part of usual and customary business practices and not specifically required for this information collection.</w:t>
      </w:r>
    </w:p>
    <w:p w:rsidR="00757F0F" w:rsidP="00757F0F" w:rsidRDefault="00757F0F" w14:paraId="441DDFE1" w14:textId="252CD1B7">
      <w:pPr>
        <w:tabs>
          <w:tab w:val="left" w:pos="720"/>
          <w:tab w:val="left" w:pos="1440"/>
          <w:tab w:val="left" w:pos="1530"/>
        </w:tabs>
        <w:ind w:left="720"/>
        <w:rPr>
          <w:b/>
          <w:bCs/>
        </w:rPr>
      </w:pPr>
    </w:p>
    <w:p w:rsidRPr="00D136DB" w:rsidR="00C367DD" w:rsidP="00757F0F" w:rsidRDefault="00C367DD" w14:paraId="43761D4A" w14:textId="77777777">
      <w:pPr>
        <w:tabs>
          <w:tab w:val="left" w:pos="720"/>
          <w:tab w:val="left" w:pos="1440"/>
          <w:tab w:val="left" w:pos="1530"/>
        </w:tabs>
        <w:ind w:left="720"/>
        <w:rPr>
          <w:b/>
          <w:bCs/>
        </w:rPr>
        <w:sectPr w:rsidRPr="00D136DB" w:rsidR="00C367DD" w:rsidSect="00F904BC">
          <w:type w:val="continuous"/>
          <w:pgSz w:w="12240" w:h="15840"/>
          <w:pgMar w:top="1440" w:right="1350" w:bottom="1260" w:left="1440" w:header="1440" w:footer="720" w:gutter="0"/>
          <w:cols w:space="720"/>
          <w:noEndnote/>
          <w:docGrid w:linePitch="326"/>
        </w:sectPr>
      </w:pPr>
    </w:p>
    <w:p w:rsidRPr="00D136DB" w:rsidR="00757F0F" w:rsidP="00757F0F" w:rsidRDefault="00757F0F" w14:paraId="492299D2" w14:textId="77777777">
      <w:pPr>
        <w:tabs>
          <w:tab w:val="left" w:pos="720"/>
          <w:tab w:val="left" w:pos="1440"/>
          <w:tab w:val="left" w:pos="1530"/>
        </w:tabs>
        <w:ind w:left="1440" w:hanging="720"/>
      </w:pPr>
      <w:r w:rsidRPr="00D136DB">
        <w:rPr>
          <w:b/>
          <w:bCs/>
        </w:rPr>
        <w:t>14</w:t>
      </w:r>
      <w:r w:rsidRPr="00D136DB">
        <w:t>.</w:t>
      </w:r>
      <w:r w:rsidRPr="00D136DB">
        <w:tab/>
      </w:r>
      <w:r w:rsidRPr="00D136DB">
        <w:rPr>
          <w:b/>
          <w:bCs/>
          <w:u w:val="single"/>
        </w:rPr>
        <w:t>Cost to Federal Government</w:t>
      </w:r>
    </w:p>
    <w:p w:rsidRPr="00D136DB" w:rsidR="00757F0F" w:rsidP="00757F0F" w:rsidRDefault="00757F0F" w14:paraId="4F73FA62" w14:textId="77777777">
      <w:pPr>
        <w:tabs>
          <w:tab w:val="left" w:pos="720"/>
          <w:tab w:val="left" w:pos="1440"/>
          <w:tab w:val="left" w:pos="1530"/>
        </w:tabs>
        <w:ind w:left="720"/>
      </w:pPr>
    </w:p>
    <w:p w:rsidRPr="00D136DB" w:rsidR="00757F0F" w:rsidP="00757F0F" w:rsidRDefault="00757F0F" w14:paraId="2F596D6D" w14:textId="7416121C">
      <w:pPr>
        <w:tabs>
          <w:tab w:val="left" w:pos="720"/>
          <w:tab w:val="left" w:pos="1440"/>
          <w:tab w:val="left" w:pos="1530"/>
        </w:tabs>
        <w:ind w:left="1440" w:hanging="2070"/>
      </w:pPr>
      <w:r w:rsidRPr="00D136DB">
        <w:t xml:space="preserve">          </w:t>
      </w:r>
      <w:r w:rsidRPr="00D136DB">
        <w:tab/>
      </w:r>
      <w:r w:rsidRPr="00D136DB">
        <w:tab/>
        <w:t xml:space="preserve">The annual </w:t>
      </w:r>
      <w:r w:rsidRPr="00B20D74">
        <w:t>cost to the government for conducting the QSS will be $</w:t>
      </w:r>
      <w:r w:rsidRPr="00B20D74" w:rsidR="005C09A2">
        <w:t>3.</w:t>
      </w:r>
      <w:r w:rsidR="001E6DCF">
        <w:t>5</w:t>
      </w:r>
      <w:r w:rsidRPr="00B20D74">
        <w:t xml:space="preserve"> million, all</w:t>
      </w:r>
      <w:r w:rsidRPr="00D136DB">
        <w:t xml:space="preserve"> borne by the Census Bureau. This estimate includes planning and development; data collection and processing; and operational costs such as overhead, equipment, printing, and support staff.</w:t>
      </w:r>
      <w:r w:rsidR="00B529D2">
        <w:t xml:space="preserve"> This cost should remain relatively consistent over the 3 years of clearance.</w:t>
      </w:r>
    </w:p>
    <w:p w:rsidR="00757F0F" w:rsidP="00757F0F" w:rsidRDefault="00757F0F" w14:paraId="14C7B0B0" w14:textId="6FF29B87">
      <w:pPr>
        <w:tabs>
          <w:tab w:val="left" w:pos="720"/>
          <w:tab w:val="left" w:pos="1440"/>
          <w:tab w:val="left" w:pos="1530"/>
        </w:tabs>
        <w:ind w:left="720" w:hanging="1350"/>
      </w:pPr>
    </w:p>
    <w:p w:rsidRPr="00D136DB" w:rsidR="00757F0F" w:rsidP="00757F0F" w:rsidRDefault="00757F0F" w14:paraId="4BD20B5B" w14:textId="77777777">
      <w:pPr>
        <w:tabs>
          <w:tab w:val="left" w:pos="720"/>
          <w:tab w:val="left" w:pos="1440"/>
          <w:tab w:val="left" w:pos="1530"/>
        </w:tabs>
        <w:ind w:left="1440" w:hanging="720"/>
      </w:pPr>
      <w:r w:rsidRPr="00D136DB">
        <w:rPr>
          <w:b/>
          <w:bCs/>
        </w:rPr>
        <w:t>15</w:t>
      </w:r>
      <w:r w:rsidRPr="00D136DB">
        <w:t>.</w:t>
      </w:r>
      <w:r w:rsidRPr="00D136DB">
        <w:tab/>
      </w:r>
      <w:r w:rsidRPr="00D136DB">
        <w:rPr>
          <w:b/>
          <w:bCs/>
          <w:u w:val="single"/>
        </w:rPr>
        <w:t>Reason for Change in Burden</w:t>
      </w:r>
    </w:p>
    <w:p w:rsidRPr="00D136DB" w:rsidR="00757F0F" w:rsidP="00757F0F" w:rsidRDefault="00757F0F" w14:paraId="540A7D78" w14:textId="77777777">
      <w:pPr>
        <w:tabs>
          <w:tab w:val="left" w:pos="720"/>
          <w:tab w:val="left" w:pos="1440"/>
          <w:tab w:val="left" w:pos="1530"/>
        </w:tabs>
        <w:ind w:left="720" w:hanging="1350"/>
      </w:pPr>
    </w:p>
    <w:p w:rsidR="00145C9F" w:rsidP="00B20D74" w:rsidRDefault="00F27E40" w14:paraId="0CF3A7BF" w14:textId="74043DD2">
      <w:pPr>
        <w:tabs>
          <w:tab w:val="left" w:pos="720"/>
          <w:tab w:val="left" w:pos="1440"/>
          <w:tab w:val="left" w:pos="1530"/>
        </w:tabs>
        <w:ind w:left="1440"/>
      </w:pPr>
      <w:r w:rsidRPr="00BF59FF">
        <w:t xml:space="preserve">The annual reporting burden for the QSS </w:t>
      </w:r>
      <w:r w:rsidRPr="00BF59FF" w:rsidR="002D7081">
        <w:t>in</w:t>
      </w:r>
      <w:r w:rsidRPr="00BF59FF" w:rsidR="00410D32">
        <w:t>creased</w:t>
      </w:r>
      <w:r w:rsidRPr="00BF59FF">
        <w:t xml:space="preserve"> </w:t>
      </w:r>
      <w:r w:rsidR="00701707">
        <w:t>because of</w:t>
      </w:r>
      <w:bookmarkStart w:name="_GoBack" w:id="0"/>
      <w:bookmarkEnd w:id="0"/>
      <w:r w:rsidRPr="00BF59FF" w:rsidR="00855852">
        <w:t xml:space="preserve"> </w:t>
      </w:r>
      <w:r w:rsidR="005E0337">
        <w:t>a small</w:t>
      </w:r>
      <w:r w:rsidR="000628D3">
        <w:t xml:space="preserve"> increase in the </w:t>
      </w:r>
      <w:r w:rsidR="005E0337">
        <w:t>number of annual responses</w:t>
      </w:r>
      <w:r w:rsidR="002401E2">
        <w:t xml:space="preserve"> due to improved record keeping on our part.</w:t>
      </w:r>
    </w:p>
    <w:p w:rsidR="00B20D74" w:rsidP="00B20D74" w:rsidRDefault="00B20D74" w14:paraId="0989A791" w14:textId="3A3D1B87">
      <w:pPr>
        <w:tabs>
          <w:tab w:val="left" w:pos="720"/>
          <w:tab w:val="left" w:pos="1440"/>
          <w:tab w:val="left" w:pos="1530"/>
        </w:tabs>
        <w:ind w:left="1440"/>
      </w:pPr>
    </w:p>
    <w:p w:rsidRPr="00D136DB" w:rsidR="00757F0F" w:rsidP="00757F0F" w:rsidRDefault="00757F0F" w14:paraId="5701EB59" w14:textId="77777777">
      <w:pPr>
        <w:tabs>
          <w:tab w:val="left" w:pos="0"/>
          <w:tab w:val="left" w:pos="720"/>
          <w:tab w:val="left" w:pos="810"/>
        </w:tabs>
        <w:ind w:left="1440" w:hanging="720"/>
      </w:pPr>
      <w:r w:rsidRPr="00D136DB">
        <w:rPr>
          <w:b/>
          <w:bCs/>
        </w:rPr>
        <w:t>16</w:t>
      </w:r>
      <w:r w:rsidRPr="00D136DB">
        <w:t>.</w:t>
      </w:r>
      <w:r w:rsidRPr="00D136DB">
        <w:tab/>
      </w:r>
      <w:r w:rsidRPr="00D136DB">
        <w:rPr>
          <w:b/>
          <w:bCs/>
          <w:u w:val="single"/>
        </w:rPr>
        <w:t>Project Schedule</w:t>
      </w:r>
      <w:r w:rsidRPr="00D136DB">
        <w:tab/>
      </w:r>
      <w:r w:rsidRPr="00D136DB">
        <w:tab/>
      </w:r>
    </w:p>
    <w:p w:rsidRPr="00D136DB" w:rsidR="00757F0F" w:rsidP="00757F0F" w:rsidRDefault="00757F0F" w14:paraId="7FAEAA37" w14:textId="77777777">
      <w:pPr>
        <w:tabs>
          <w:tab w:val="left" w:pos="0"/>
          <w:tab w:val="left" w:pos="720"/>
          <w:tab w:val="left" w:pos="810"/>
        </w:tabs>
        <w:ind w:hanging="1350"/>
      </w:pPr>
    </w:p>
    <w:p w:rsidR="00414FEF" w:rsidP="005B6030" w:rsidRDefault="00860955" w14:paraId="40EDDDBA" w14:textId="6502C148">
      <w:pPr>
        <w:tabs>
          <w:tab w:val="left" w:pos="0"/>
          <w:tab w:val="left" w:pos="720"/>
          <w:tab w:val="left" w:pos="990"/>
        </w:tabs>
        <w:ind w:left="1440"/>
        <w:rPr>
          <w:rFonts w:eastAsia="@MingLiU_HKSCS"/>
        </w:rPr>
      </w:pPr>
      <w:r>
        <w:t>Survey</w:t>
      </w:r>
      <w:r w:rsidRPr="00D136DB" w:rsidR="00757F0F">
        <w:t xml:space="preserve"> forms are mailed to respondents at the end of each calen</w:t>
      </w:r>
      <w:r w:rsidR="0007042F">
        <w:t xml:space="preserve">dar quarter. </w:t>
      </w:r>
      <w:r w:rsidR="00223237">
        <w:t xml:space="preserve"> </w:t>
      </w:r>
      <w:r w:rsidRPr="00D136DB" w:rsidR="00757F0F">
        <w:t>They are expected to be co</w:t>
      </w:r>
      <w:r w:rsidR="0007042F">
        <w:t xml:space="preserve">mpleted 10 </w:t>
      </w:r>
      <w:r w:rsidR="00414FEF">
        <w:t xml:space="preserve">business </w:t>
      </w:r>
      <w:r w:rsidR="0007042F">
        <w:t xml:space="preserve">days after receipt. </w:t>
      </w:r>
      <w:r w:rsidRPr="00D136DB" w:rsidR="00757F0F">
        <w:t>Respondents have the option of reporting by mail, the Interne</w:t>
      </w:r>
      <w:r w:rsidR="00DB427C">
        <w:t>t,</w:t>
      </w:r>
      <w:r w:rsidR="00FD5F3D">
        <w:t xml:space="preserve"> or</w:t>
      </w:r>
      <w:r w:rsidR="00DB427C">
        <w:t xml:space="preserve"> telephone</w:t>
      </w:r>
      <w:r w:rsidR="0007042F">
        <w:t>.</w:t>
      </w:r>
      <w:r w:rsidR="00FD5F3D">
        <w:t xml:space="preserve"> </w:t>
      </w:r>
      <w:r w:rsidR="00414FEF">
        <w:rPr>
          <w:rFonts w:eastAsia="@MingLiU_HKSCS"/>
        </w:rPr>
        <w:t>The data from this collection contributes to two separate</w:t>
      </w:r>
      <w:r w:rsidR="00FD5F3D">
        <w:rPr>
          <w:rFonts w:eastAsia="@MingLiU_HKSCS"/>
        </w:rPr>
        <w:t xml:space="preserve"> press releases: the Advance Quarterly Services Report</w:t>
      </w:r>
      <w:r w:rsidR="00414FEF">
        <w:rPr>
          <w:rFonts w:eastAsia="@MingLiU_HKSCS"/>
        </w:rPr>
        <w:t xml:space="preserve">, which is published </w:t>
      </w:r>
      <w:r w:rsidRPr="00B40B99" w:rsidR="00414FEF">
        <w:rPr>
          <w:rFonts w:eastAsia="@MingLiU_HKSCS"/>
        </w:rPr>
        <w:t>approximately 50 days</w:t>
      </w:r>
      <w:r w:rsidR="00414FEF">
        <w:rPr>
          <w:rFonts w:eastAsia="@MingLiU_HKSCS"/>
        </w:rPr>
        <w:t xml:space="preserve"> after the end of each calendar quarter, and to the QSS, which is published </w:t>
      </w:r>
      <w:r w:rsidRPr="00D136DB" w:rsidR="00414FEF">
        <w:rPr>
          <w:rFonts w:eastAsia="@MingLiU_HKSCS"/>
        </w:rPr>
        <w:t xml:space="preserve">no later than 75 days after the end of each calendar quarter. </w:t>
      </w:r>
    </w:p>
    <w:p w:rsidRPr="00D136DB" w:rsidR="00757F0F" w:rsidP="00757F0F" w:rsidRDefault="00757F0F" w14:paraId="6C54609A" w14:textId="77777777">
      <w:pPr>
        <w:tabs>
          <w:tab w:val="left" w:pos="0"/>
          <w:tab w:val="left" w:pos="720"/>
          <w:tab w:val="left" w:pos="810"/>
        </w:tabs>
        <w:ind w:left="1440"/>
      </w:pPr>
    </w:p>
    <w:p w:rsidRPr="00D136DB" w:rsidR="00757F0F" w:rsidP="00757F0F" w:rsidRDefault="00757F0F" w14:paraId="7C0AE396" w14:textId="2BDD7F82">
      <w:pPr>
        <w:tabs>
          <w:tab w:val="left" w:pos="0"/>
          <w:tab w:val="left" w:pos="720"/>
          <w:tab w:val="left" w:pos="810"/>
        </w:tabs>
        <w:ind w:left="1440"/>
      </w:pPr>
      <w:r w:rsidRPr="00D136DB">
        <w:t>The data are tabulated and published at the two-, three-, selected four-, and sel</w:t>
      </w:r>
      <w:r w:rsidR="0007042F">
        <w:t>ected five-digit NAICS levels.</w:t>
      </w:r>
      <w:r w:rsidR="00223237">
        <w:t xml:space="preserve"> </w:t>
      </w:r>
      <w:r w:rsidRPr="00D136DB">
        <w:t xml:space="preserve">Summary data are analyzed to ensure the </w:t>
      </w:r>
      <w:r w:rsidRPr="00D136DB">
        <w:lastRenderedPageBreak/>
        <w:t xml:space="preserve">estimates are consistent with the SAS </w:t>
      </w:r>
      <w:r w:rsidR="00860955">
        <w:t xml:space="preserve">estimates </w:t>
      </w:r>
      <w:r w:rsidRPr="00D136DB">
        <w:t>and meet all publication standards.</w:t>
      </w:r>
    </w:p>
    <w:p w:rsidRPr="00D136DB" w:rsidR="00757F0F" w:rsidP="00757F0F" w:rsidRDefault="00757F0F" w14:paraId="48C9E435" w14:textId="77777777">
      <w:pPr>
        <w:tabs>
          <w:tab w:val="left" w:pos="0"/>
          <w:tab w:val="left" w:pos="720"/>
          <w:tab w:val="left" w:pos="810"/>
        </w:tabs>
        <w:ind w:left="1440"/>
      </w:pPr>
    </w:p>
    <w:p w:rsidR="00757F0F" w:rsidP="00757F0F" w:rsidRDefault="00757F0F" w14:paraId="0444A2B2" w14:textId="77777777">
      <w:pPr>
        <w:tabs>
          <w:tab w:val="left" w:pos="720"/>
          <w:tab w:val="left" w:pos="810"/>
          <w:tab w:val="left" w:pos="1170"/>
        </w:tabs>
        <w:ind w:left="1440"/>
      </w:pPr>
      <w:r w:rsidRPr="00D136DB">
        <w:t>The schedule of activities for this quarterly survey is as follows:</w:t>
      </w:r>
    </w:p>
    <w:p w:rsidR="00757F0F" w:rsidP="00757F0F" w:rsidRDefault="00757F0F" w14:paraId="5822272F" w14:textId="77777777">
      <w:pPr>
        <w:tabs>
          <w:tab w:val="left" w:pos="720"/>
          <w:tab w:val="left" w:pos="810"/>
          <w:tab w:val="left" w:pos="1170"/>
        </w:tabs>
        <w:ind w:left="1440"/>
      </w:pPr>
    </w:p>
    <w:p w:rsidR="00B85813" w:rsidP="006F0388" w:rsidRDefault="006F0388" w14:paraId="31460978" w14:textId="313B7C5A">
      <w:pPr>
        <w:pStyle w:val="Level1"/>
        <w:tabs>
          <w:tab w:val="left" w:pos="1080"/>
          <w:tab w:val="left" w:pos="1440"/>
        </w:tabs>
        <w:ind w:left="3600" w:hanging="2160"/>
      </w:pPr>
      <w:r>
        <w:t>First month</w:t>
      </w:r>
      <w:r>
        <w:tab/>
      </w:r>
      <w:r w:rsidR="00B85813">
        <w:t>Mail-out on the last business day of the reference quarter i.e. the last bus</w:t>
      </w:r>
      <w:r w:rsidR="00DB427C">
        <w:t>iness day of the previous month</w:t>
      </w:r>
      <w:r w:rsidR="00FD5F3D">
        <w:t xml:space="preserve">. </w:t>
      </w:r>
      <w:r w:rsidR="00B85813">
        <w:t>Begin telephone follow-up (TFU) the last week of the month.</w:t>
      </w:r>
    </w:p>
    <w:p w:rsidR="00B85813" w:rsidP="006F0388" w:rsidRDefault="00B85813" w14:paraId="66E620CD" w14:textId="77777777">
      <w:pPr>
        <w:pStyle w:val="NormalWeb"/>
        <w:tabs>
          <w:tab w:val="left" w:pos="720"/>
          <w:tab w:val="left" w:pos="1440"/>
          <w:tab w:val="left" w:pos="2160"/>
          <w:tab w:val="left" w:pos="2880"/>
          <w:tab w:val="left" w:pos="3600"/>
          <w:tab w:val="left" w:pos="4320"/>
        </w:tabs>
        <w:spacing w:before="0" w:beforeAutospacing="0" w:after="0" w:afterAutospacing="0"/>
        <w:ind w:left="3600" w:hanging="2160"/>
        <w:rPr>
          <w:rFonts w:hint="default" w:ascii="Times New Roman" w:hAnsi="Times New Roman" w:eastAsia="Times New Roman" w:cs="Times New Roman"/>
        </w:rPr>
      </w:pPr>
    </w:p>
    <w:p w:rsidR="00B85813" w:rsidP="006F0388" w:rsidRDefault="00B85813" w14:paraId="25853B01" w14:textId="7BD0CF5C">
      <w:pPr>
        <w:tabs>
          <w:tab w:val="left" w:pos="1080"/>
          <w:tab w:val="left" w:pos="1440"/>
          <w:tab w:val="left" w:pos="2160"/>
          <w:tab w:val="left" w:pos="2880"/>
          <w:tab w:val="left" w:pos="3600"/>
          <w:tab w:val="left" w:pos="4320"/>
        </w:tabs>
        <w:ind w:left="3600" w:hanging="2160"/>
        <w:rPr>
          <w:i/>
          <w:iCs/>
          <w:sz w:val="16"/>
        </w:rPr>
      </w:pPr>
      <w:r>
        <w:t>Second month</w:t>
      </w:r>
      <w:r>
        <w:tab/>
      </w:r>
      <w:r>
        <w:tab/>
        <w:t>Analyze, process, and tabulate data</w:t>
      </w:r>
      <w:r w:rsidR="007C2822">
        <w:t xml:space="preserve"> for the </w:t>
      </w:r>
      <w:r w:rsidR="000D4149">
        <w:t>A</w:t>
      </w:r>
      <w:r w:rsidR="007C2822">
        <w:t>dvance</w:t>
      </w:r>
      <w:r w:rsidR="000D4149">
        <w:t xml:space="preserve"> Quarterly Services R</w:t>
      </w:r>
      <w:r w:rsidR="007C2822">
        <w:t>eport</w:t>
      </w:r>
      <w:r>
        <w:t xml:space="preserve">. </w:t>
      </w:r>
      <w:r w:rsidR="00410D32">
        <w:t xml:space="preserve">Publish Advance data in the Advance Quarterly Services </w:t>
      </w:r>
      <w:r w:rsidR="004B6902">
        <w:t>Report</w:t>
      </w:r>
      <w:r w:rsidR="00410D32">
        <w:t>.</w:t>
      </w:r>
      <w:r w:rsidR="007C2822">
        <w:t xml:space="preserve"> Analyze, process and </w:t>
      </w:r>
      <w:r w:rsidR="000D4149">
        <w:t>tabulate</w:t>
      </w:r>
      <w:r w:rsidR="007C2822">
        <w:t xml:space="preserve"> data for the Quarterly Services Report.</w:t>
      </w:r>
    </w:p>
    <w:p w:rsidR="00B85813" w:rsidP="006F0388" w:rsidRDefault="00B85813" w14:paraId="033569BD" w14:textId="77777777">
      <w:pPr>
        <w:tabs>
          <w:tab w:val="left" w:pos="1440"/>
          <w:tab w:val="left" w:pos="2160"/>
          <w:tab w:val="left" w:pos="2880"/>
          <w:tab w:val="left" w:pos="3600"/>
          <w:tab w:val="left" w:pos="4320"/>
        </w:tabs>
        <w:ind w:left="3600" w:hanging="2160"/>
        <w:rPr>
          <w:i/>
          <w:iCs/>
          <w:sz w:val="16"/>
        </w:rPr>
      </w:pPr>
    </w:p>
    <w:p w:rsidR="00B85813" w:rsidP="006F0388" w:rsidRDefault="00B85813" w14:paraId="33261901" w14:textId="22D59D9D">
      <w:pPr>
        <w:tabs>
          <w:tab w:val="left" w:pos="1080"/>
          <w:tab w:val="left" w:pos="1440"/>
          <w:tab w:val="left" w:pos="2160"/>
          <w:tab w:val="left" w:pos="2880"/>
          <w:tab w:val="left" w:pos="3600"/>
          <w:tab w:val="left" w:pos="4320"/>
        </w:tabs>
        <w:ind w:left="3600" w:hanging="2160"/>
      </w:pPr>
      <w:r>
        <w:t>Third month</w:t>
      </w:r>
      <w:r>
        <w:tab/>
      </w:r>
      <w:r>
        <w:tab/>
        <w:t>Publish</w:t>
      </w:r>
      <w:r w:rsidR="007C2822">
        <w:t xml:space="preserve"> </w:t>
      </w:r>
      <w:r>
        <w:t xml:space="preserve">data in </w:t>
      </w:r>
      <w:r w:rsidR="00410D32">
        <w:t xml:space="preserve">the Quarterly Services </w:t>
      </w:r>
      <w:r w:rsidR="004B6902">
        <w:t>Report</w:t>
      </w:r>
      <w:r>
        <w:t xml:space="preserve">.  </w:t>
      </w:r>
    </w:p>
    <w:p w:rsidRPr="001D305C" w:rsidR="001D305C" w:rsidP="001D305C" w:rsidRDefault="001D305C" w14:paraId="1A2D778C" w14:textId="77777777">
      <w:pPr>
        <w:pStyle w:val="Quick1"/>
        <w:numPr>
          <w:ilvl w:val="0"/>
          <w:numId w:val="0"/>
        </w:numPr>
        <w:tabs>
          <w:tab w:val="left" w:pos="-1350"/>
          <w:tab w:val="left" w:pos="-810"/>
          <w:tab w:val="left" w:pos="-720"/>
          <w:tab w:val="left" w:pos="0"/>
        </w:tabs>
        <w:ind w:left="720"/>
        <w:rPr>
          <w:b/>
        </w:rPr>
      </w:pPr>
    </w:p>
    <w:p w:rsidRPr="00757F0F" w:rsidR="00757F0F" w:rsidP="00757F0F" w:rsidRDefault="00757F0F" w14:paraId="3EC71283" w14:textId="62816C88">
      <w:pPr>
        <w:pStyle w:val="Quick1"/>
        <w:numPr>
          <w:ilvl w:val="0"/>
          <w:numId w:val="15"/>
        </w:numPr>
        <w:tabs>
          <w:tab w:val="left" w:pos="-1350"/>
          <w:tab w:val="left" w:pos="-810"/>
          <w:tab w:val="left" w:pos="-720"/>
          <w:tab w:val="left" w:pos="0"/>
        </w:tabs>
        <w:ind w:left="720"/>
        <w:rPr>
          <w:b/>
        </w:rPr>
      </w:pPr>
      <w:r w:rsidRPr="00757F0F">
        <w:rPr>
          <w:b/>
          <w:bCs/>
          <w:u w:val="single"/>
        </w:rPr>
        <w:t>Request to Not Display Expiration Date</w:t>
      </w:r>
    </w:p>
    <w:p w:rsidRPr="00D136DB" w:rsidR="00757F0F" w:rsidP="00757F0F" w:rsidRDefault="00757F0F" w14:paraId="761E0068" w14:textId="77777777">
      <w:pPr>
        <w:tabs>
          <w:tab w:val="left" w:pos="0"/>
          <w:tab w:val="left" w:pos="720"/>
          <w:tab w:val="left" w:pos="810"/>
        </w:tabs>
        <w:ind w:hanging="1350"/>
      </w:pPr>
    </w:p>
    <w:p w:rsidRPr="00D136DB" w:rsidR="00757F0F" w:rsidP="0006399F" w:rsidRDefault="00757F0F" w14:paraId="7802874B" w14:textId="77777777">
      <w:pPr>
        <w:tabs>
          <w:tab w:val="left" w:pos="0"/>
          <w:tab w:val="left" w:pos="720"/>
          <w:tab w:val="left" w:pos="810"/>
        </w:tabs>
        <w:ind w:left="1440"/>
      </w:pPr>
      <w:r w:rsidRPr="00D136DB">
        <w:t>We will di</w:t>
      </w:r>
      <w:r w:rsidR="0006399F">
        <w:t>splay the expiration date on all</w:t>
      </w:r>
      <w:r w:rsidRPr="00D136DB">
        <w:t xml:space="preserve"> information collection instruments</w:t>
      </w:r>
      <w:r w:rsidR="0006399F">
        <w:t>, including the survey forms, first-page-only forms, and online reporting website</w:t>
      </w:r>
      <w:r w:rsidRPr="00D136DB">
        <w:t>.</w:t>
      </w:r>
    </w:p>
    <w:p w:rsidRPr="00D136DB" w:rsidR="00757F0F" w:rsidP="00757F0F" w:rsidRDefault="00757F0F" w14:paraId="140D4FA5" w14:textId="77777777">
      <w:pPr>
        <w:tabs>
          <w:tab w:val="left" w:pos="0"/>
          <w:tab w:val="left" w:pos="720"/>
          <w:tab w:val="left" w:pos="810"/>
        </w:tabs>
        <w:ind w:hanging="1350"/>
      </w:pPr>
    </w:p>
    <w:p w:rsidRPr="00D136DB" w:rsidR="00757F0F" w:rsidP="00757F0F" w:rsidRDefault="00757F0F" w14:paraId="5DB5291B" w14:textId="77777777">
      <w:pPr>
        <w:tabs>
          <w:tab w:val="left" w:pos="0"/>
          <w:tab w:val="left" w:pos="720"/>
          <w:tab w:val="left" w:pos="810"/>
        </w:tabs>
        <w:ind w:hanging="1350"/>
        <w:sectPr w:rsidRPr="00D136DB" w:rsidR="00757F0F" w:rsidSect="00673F57">
          <w:type w:val="continuous"/>
          <w:pgSz w:w="12240" w:h="15840"/>
          <w:pgMar w:top="1440" w:right="1440" w:bottom="1440" w:left="1440" w:header="1440" w:footer="720" w:gutter="0"/>
          <w:cols w:space="720"/>
          <w:noEndnote/>
          <w:docGrid w:linePitch="326"/>
        </w:sectPr>
      </w:pPr>
    </w:p>
    <w:p w:rsidRPr="00D136DB" w:rsidR="00757F0F" w:rsidP="00757F0F" w:rsidRDefault="00757F0F" w14:paraId="09F6EB8B" w14:textId="77777777">
      <w:pPr>
        <w:tabs>
          <w:tab w:val="left" w:pos="0"/>
          <w:tab w:val="left" w:pos="720"/>
          <w:tab w:val="left" w:pos="810"/>
        </w:tabs>
        <w:ind w:left="1440" w:hanging="720"/>
      </w:pPr>
      <w:r w:rsidRPr="00D136DB">
        <w:rPr>
          <w:b/>
          <w:bCs/>
        </w:rPr>
        <w:t>18.</w:t>
      </w:r>
      <w:r w:rsidRPr="00D136DB">
        <w:tab/>
      </w:r>
      <w:r w:rsidRPr="00D136DB">
        <w:rPr>
          <w:b/>
          <w:bCs/>
          <w:u w:val="single"/>
        </w:rPr>
        <w:t>Exceptions to the Certification</w:t>
      </w:r>
    </w:p>
    <w:p w:rsidRPr="00D136DB" w:rsidR="00757F0F" w:rsidP="00757F0F" w:rsidRDefault="00757F0F" w14:paraId="60B6FB33" w14:textId="77777777">
      <w:pPr>
        <w:tabs>
          <w:tab w:val="left" w:pos="0"/>
          <w:tab w:val="left" w:pos="720"/>
          <w:tab w:val="left" w:pos="810"/>
        </w:tabs>
        <w:ind w:hanging="1350"/>
      </w:pPr>
    </w:p>
    <w:p w:rsidRPr="00D136DB" w:rsidR="00757F0F" w:rsidP="00757F0F" w:rsidRDefault="00757F0F" w14:paraId="66CFCD35" w14:textId="77777777">
      <w:pPr>
        <w:tabs>
          <w:tab w:val="left" w:pos="0"/>
          <w:tab w:val="left" w:pos="720"/>
          <w:tab w:val="left" w:pos="810"/>
        </w:tabs>
        <w:ind w:left="720" w:firstLine="720"/>
      </w:pPr>
      <w:r w:rsidRPr="00D136DB">
        <w:t>There are no exceptions to the certification.</w:t>
      </w:r>
    </w:p>
    <w:p w:rsidRPr="00D136DB" w:rsidR="00757F0F" w:rsidP="00757F0F" w:rsidRDefault="00757F0F" w14:paraId="4D0069DB" w14:textId="77777777">
      <w:pPr>
        <w:tabs>
          <w:tab w:val="left" w:pos="0"/>
          <w:tab w:val="left" w:pos="720"/>
          <w:tab w:val="left" w:pos="810"/>
        </w:tabs>
        <w:ind w:firstLine="810"/>
      </w:pPr>
    </w:p>
    <w:p w:rsidRPr="00D136DB" w:rsidR="00757F0F" w:rsidP="00757F0F" w:rsidRDefault="00757F0F" w14:paraId="23E9DD36" w14:textId="77777777">
      <w:pPr>
        <w:tabs>
          <w:tab w:val="left" w:pos="0"/>
          <w:tab w:val="left" w:pos="720"/>
          <w:tab w:val="left" w:pos="810"/>
        </w:tabs>
        <w:ind w:left="1440" w:hanging="720"/>
      </w:pPr>
      <w:r w:rsidRPr="00D136DB">
        <w:rPr>
          <w:b/>
          <w:bCs/>
        </w:rPr>
        <w:t>19.</w:t>
      </w:r>
      <w:r w:rsidRPr="00D136DB">
        <w:tab/>
      </w:r>
      <w:r w:rsidRPr="00D136DB">
        <w:rPr>
          <w:b/>
          <w:bCs/>
          <w:u w:val="single"/>
        </w:rPr>
        <w:t>NAICS Codes Affected</w:t>
      </w:r>
    </w:p>
    <w:p w:rsidRPr="00D136DB" w:rsidR="00757F0F" w:rsidP="00757F0F" w:rsidRDefault="00757F0F" w14:paraId="5DD8349C" w14:textId="77777777">
      <w:pPr>
        <w:tabs>
          <w:tab w:val="left" w:pos="-1080"/>
          <w:tab w:val="left" w:pos="-720"/>
          <w:tab w:val="left" w:pos="0"/>
          <w:tab w:val="left" w:pos="720"/>
          <w:tab w:val="left" w:pos="900"/>
          <w:tab w:val="left" w:pos="1080"/>
        </w:tabs>
      </w:pPr>
    </w:p>
    <w:p w:rsidRPr="00D136DB" w:rsidR="00757F0F" w:rsidP="00757F0F" w:rsidRDefault="00757F0F" w14:paraId="4A673643" w14:textId="77777777">
      <w:pPr>
        <w:tabs>
          <w:tab w:val="left" w:pos="-1080"/>
          <w:tab w:val="left" w:pos="-720"/>
          <w:tab w:val="left" w:pos="0"/>
          <w:tab w:val="left" w:pos="720"/>
          <w:tab w:val="left" w:pos="900"/>
          <w:tab w:val="left" w:pos="1080"/>
        </w:tabs>
        <w:ind w:firstLine="1440"/>
      </w:pPr>
      <w:r>
        <w:rPr>
          <w:u w:val="single"/>
        </w:rPr>
        <w:t>NAICS</w:t>
      </w:r>
      <w:r w:rsidRPr="00D136DB">
        <w:tab/>
      </w:r>
      <w:r w:rsidRPr="00D136DB">
        <w:tab/>
      </w:r>
      <w:r>
        <w:tab/>
      </w:r>
      <w:r w:rsidRPr="00D136DB">
        <w:rPr>
          <w:u w:val="single"/>
        </w:rPr>
        <w:t>Description</w:t>
      </w:r>
    </w:p>
    <w:p w:rsidRPr="00D136DB" w:rsidR="00757F0F" w:rsidP="00757F0F" w:rsidRDefault="00757F0F" w14:paraId="74999043" w14:textId="77777777">
      <w:pPr>
        <w:tabs>
          <w:tab w:val="left" w:pos="-1080"/>
          <w:tab w:val="left" w:pos="-720"/>
          <w:tab w:val="left" w:pos="0"/>
          <w:tab w:val="left" w:pos="720"/>
          <w:tab w:val="left" w:pos="900"/>
          <w:tab w:val="left" w:pos="1080"/>
        </w:tabs>
        <w:ind w:firstLine="720"/>
      </w:pPr>
    </w:p>
    <w:p w:rsidRPr="00D136DB" w:rsidR="00757F0F" w:rsidP="00757F0F" w:rsidRDefault="00757F0F" w14:paraId="42405812" w14:textId="77777777">
      <w:pPr>
        <w:tabs>
          <w:tab w:val="left" w:pos="-1080"/>
          <w:tab w:val="left" w:pos="-720"/>
          <w:tab w:val="left" w:pos="0"/>
          <w:tab w:val="left" w:pos="720"/>
          <w:tab w:val="left" w:pos="900"/>
          <w:tab w:val="left" w:pos="1080"/>
        </w:tabs>
        <w:ind w:firstLine="1440"/>
      </w:pPr>
      <w:r w:rsidRPr="00D136DB">
        <w:t>22</w:t>
      </w:r>
      <w:r w:rsidRPr="00D136DB">
        <w:tab/>
      </w:r>
      <w:r w:rsidRPr="00D136DB">
        <w:tab/>
      </w:r>
      <w:r w:rsidRPr="00D136DB">
        <w:tab/>
      </w:r>
      <w:r w:rsidRPr="00D136DB">
        <w:tab/>
        <w:t>Utilities</w:t>
      </w:r>
    </w:p>
    <w:p w:rsidRPr="00D136DB" w:rsidR="00757F0F" w:rsidP="00757F0F" w:rsidRDefault="00757F0F" w14:paraId="397F7C96" w14:textId="77777777">
      <w:pPr>
        <w:tabs>
          <w:tab w:val="left" w:pos="-1080"/>
          <w:tab w:val="left" w:pos="-720"/>
          <w:tab w:val="left" w:pos="0"/>
          <w:tab w:val="left" w:pos="720"/>
          <w:tab w:val="left" w:pos="900"/>
          <w:tab w:val="left" w:pos="1080"/>
        </w:tabs>
        <w:ind w:firstLine="1440"/>
      </w:pPr>
      <w:r w:rsidRPr="00D136DB">
        <w:t>48-49</w:t>
      </w:r>
      <w:r w:rsidRPr="00D136DB">
        <w:tab/>
      </w:r>
      <w:r w:rsidRPr="00D136DB">
        <w:tab/>
      </w:r>
      <w:r w:rsidRPr="00D136DB">
        <w:tab/>
      </w:r>
      <w:r>
        <w:tab/>
      </w:r>
      <w:r w:rsidRPr="00D136DB">
        <w:t>Transportation and warehousing</w:t>
      </w:r>
    </w:p>
    <w:p w:rsidRPr="00D136DB" w:rsidR="00757F0F" w:rsidP="00757F0F" w:rsidRDefault="00757F0F" w14:paraId="6ADB5C5C" w14:textId="77777777">
      <w:pPr>
        <w:tabs>
          <w:tab w:val="left" w:pos="-1080"/>
          <w:tab w:val="left" w:pos="-720"/>
          <w:tab w:val="left" w:pos="0"/>
          <w:tab w:val="left" w:pos="720"/>
          <w:tab w:val="left" w:pos="900"/>
          <w:tab w:val="left" w:pos="1080"/>
        </w:tabs>
        <w:ind w:firstLine="1440"/>
      </w:pPr>
      <w:r w:rsidRPr="00D136DB">
        <w:t>51</w:t>
      </w:r>
      <w:r w:rsidRPr="00D136DB">
        <w:tab/>
      </w:r>
      <w:r w:rsidRPr="00D136DB">
        <w:tab/>
      </w:r>
      <w:r w:rsidRPr="00D136DB">
        <w:tab/>
      </w:r>
      <w:r w:rsidRPr="00D136DB">
        <w:tab/>
        <w:t>Information</w:t>
      </w:r>
    </w:p>
    <w:p w:rsidRPr="00D136DB" w:rsidR="00757F0F" w:rsidP="00757F0F" w:rsidRDefault="00757F0F" w14:paraId="7C731567" w14:textId="77777777">
      <w:pPr>
        <w:tabs>
          <w:tab w:val="left" w:pos="-1080"/>
          <w:tab w:val="left" w:pos="-720"/>
          <w:tab w:val="left" w:pos="0"/>
          <w:tab w:val="left" w:pos="720"/>
          <w:tab w:val="left" w:pos="900"/>
          <w:tab w:val="left" w:pos="1080"/>
        </w:tabs>
        <w:ind w:firstLine="1440"/>
      </w:pPr>
      <w:r w:rsidRPr="00D136DB">
        <w:t>52</w:t>
      </w:r>
      <w:r w:rsidRPr="00D136DB">
        <w:tab/>
      </w:r>
      <w:r w:rsidRPr="00D136DB">
        <w:tab/>
      </w:r>
      <w:r w:rsidRPr="00D136DB">
        <w:tab/>
      </w:r>
      <w:r w:rsidRPr="00D136DB">
        <w:tab/>
        <w:t>Finance and insurance</w:t>
      </w:r>
    </w:p>
    <w:p w:rsidRPr="00D136DB" w:rsidR="00757F0F" w:rsidP="00757F0F" w:rsidRDefault="00757F0F" w14:paraId="6609047B" w14:textId="77777777">
      <w:pPr>
        <w:tabs>
          <w:tab w:val="left" w:pos="-1080"/>
          <w:tab w:val="left" w:pos="-720"/>
          <w:tab w:val="left" w:pos="0"/>
          <w:tab w:val="left" w:pos="720"/>
          <w:tab w:val="left" w:pos="900"/>
          <w:tab w:val="left" w:pos="1080"/>
        </w:tabs>
        <w:ind w:firstLine="1440"/>
      </w:pPr>
      <w:r w:rsidRPr="00D136DB">
        <w:t>53</w:t>
      </w:r>
      <w:r w:rsidRPr="00D136DB">
        <w:tab/>
      </w:r>
      <w:r w:rsidRPr="00D136DB">
        <w:tab/>
      </w:r>
      <w:r w:rsidRPr="00D136DB">
        <w:tab/>
      </w:r>
      <w:r w:rsidRPr="00D136DB">
        <w:tab/>
        <w:t>Real estate and rental and leasing</w:t>
      </w:r>
    </w:p>
    <w:p w:rsidRPr="00D136DB" w:rsidR="00757F0F" w:rsidP="00757F0F" w:rsidRDefault="00757F0F" w14:paraId="02FDCA77" w14:textId="77777777">
      <w:pPr>
        <w:tabs>
          <w:tab w:val="left" w:pos="-1080"/>
          <w:tab w:val="left" w:pos="-720"/>
          <w:tab w:val="left" w:pos="0"/>
          <w:tab w:val="left" w:pos="720"/>
          <w:tab w:val="left" w:pos="900"/>
          <w:tab w:val="left" w:pos="1080"/>
        </w:tabs>
        <w:ind w:firstLine="1440"/>
      </w:pPr>
      <w:r w:rsidRPr="00D136DB">
        <w:t>54</w:t>
      </w:r>
      <w:r w:rsidRPr="00D136DB">
        <w:tab/>
      </w:r>
      <w:r w:rsidRPr="00D136DB">
        <w:tab/>
      </w:r>
      <w:r w:rsidRPr="00D136DB">
        <w:tab/>
      </w:r>
      <w:r w:rsidRPr="00D136DB">
        <w:tab/>
        <w:t>Professional, scientific, and technical services</w:t>
      </w:r>
    </w:p>
    <w:p w:rsidRPr="00D136DB" w:rsidR="00757F0F" w:rsidP="00757F0F" w:rsidRDefault="00757F0F" w14:paraId="5D4CDA4C" w14:textId="77777777">
      <w:pPr>
        <w:tabs>
          <w:tab w:val="left" w:pos="-1080"/>
          <w:tab w:val="left" w:pos="-720"/>
          <w:tab w:val="left" w:pos="0"/>
          <w:tab w:val="left" w:pos="720"/>
          <w:tab w:val="left" w:pos="900"/>
          <w:tab w:val="left" w:pos="1080"/>
        </w:tabs>
        <w:ind w:left="4320" w:hanging="2880"/>
      </w:pPr>
      <w:r>
        <w:t>56</w:t>
      </w:r>
      <w:r>
        <w:tab/>
      </w:r>
      <w:r w:rsidRPr="00D136DB">
        <w:t>Administrative and support and waste management and remediation services</w:t>
      </w:r>
    </w:p>
    <w:p w:rsidRPr="00D136DB" w:rsidR="00757F0F" w:rsidP="00757F0F" w:rsidRDefault="00757F0F" w14:paraId="685F6FC0" w14:textId="77777777">
      <w:pPr>
        <w:tabs>
          <w:tab w:val="left" w:pos="-1080"/>
          <w:tab w:val="left" w:pos="-720"/>
          <w:tab w:val="left" w:pos="0"/>
          <w:tab w:val="left" w:pos="720"/>
          <w:tab w:val="left" w:pos="900"/>
          <w:tab w:val="left" w:pos="1080"/>
        </w:tabs>
        <w:ind w:firstLine="1440"/>
      </w:pPr>
      <w:r w:rsidRPr="00D136DB">
        <w:t>61</w:t>
      </w:r>
      <w:r w:rsidRPr="00D136DB">
        <w:tab/>
      </w:r>
      <w:r w:rsidRPr="00D136DB">
        <w:tab/>
      </w:r>
      <w:r w:rsidRPr="00D136DB">
        <w:tab/>
      </w:r>
      <w:r w:rsidRPr="00D136DB">
        <w:tab/>
        <w:t>Educational services</w:t>
      </w:r>
    </w:p>
    <w:p w:rsidRPr="00D136DB" w:rsidR="00757F0F" w:rsidP="00757F0F" w:rsidRDefault="00757F0F" w14:paraId="304EF6F0" w14:textId="77777777">
      <w:pPr>
        <w:tabs>
          <w:tab w:val="left" w:pos="-1080"/>
          <w:tab w:val="left" w:pos="-720"/>
          <w:tab w:val="left" w:pos="0"/>
          <w:tab w:val="left" w:pos="720"/>
          <w:tab w:val="left" w:pos="900"/>
          <w:tab w:val="left" w:pos="1080"/>
        </w:tabs>
        <w:ind w:firstLine="1440"/>
      </w:pPr>
      <w:r w:rsidRPr="00D136DB">
        <w:t>62</w:t>
      </w:r>
      <w:r w:rsidRPr="00D136DB">
        <w:tab/>
      </w:r>
      <w:r w:rsidRPr="00D136DB">
        <w:tab/>
      </w:r>
      <w:r w:rsidRPr="00D136DB">
        <w:tab/>
      </w:r>
      <w:r w:rsidRPr="00D136DB">
        <w:tab/>
        <w:t>Health care and social assistance</w:t>
      </w:r>
    </w:p>
    <w:p w:rsidRPr="00D136DB" w:rsidR="00757F0F" w:rsidP="00757F0F" w:rsidRDefault="00757F0F" w14:paraId="60641506" w14:textId="77777777">
      <w:pPr>
        <w:tabs>
          <w:tab w:val="left" w:pos="-1080"/>
          <w:tab w:val="left" w:pos="-720"/>
          <w:tab w:val="left" w:pos="0"/>
          <w:tab w:val="left" w:pos="720"/>
          <w:tab w:val="left" w:pos="900"/>
          <w:tab w:val="left" w:pos="1080"/>
        </w:tabs>
        <w:ind w:firstLine="1440"/>
      </w:pPr>
      <w:r w:rsidRPr="00D136DB">
        <w:t>71</w:t>
      </w:r>
      <w:r w:rsidRPr="00D136DB">
        <w:tab/>
      </w:r>
      <w:r w:rsidRPr="00D136DB">
        <w:tab/>
      </w:r>
      <w:r w:rsidRPr="00D136DB">
        <w:tab/>
      </w:r>
      <w:r w:rsidRPr="00D136DB">
        <w:tab/>
        <w:t>Arts, entertainment, and recreation</w:t>
      </w:r>
    </w:p>
    <w:p w:rsidRPr="00D136DB" w:rsidR="00757F0F" w:rsidP="00757F0F" w:rsidRDefault="00757F0F" w14:paraId="7A877E16" w14:textId="77777777">
      <w:pPr>
        <w:tabs>
          <w:tab w:val="left" w:pos="-1080"/>
          <w:tab w:val="left" w:pos="-720"/>
          <w:tab w:val="left" w:pos="0"/>
          <w:tab w:val="left" w:pos="720"/>
          <w:tab w:val="left" w:pos="900"/>
          <w:tab w:val="left" w:pos="1080"/>
        </w:tabs>
        <w:ind w:firstLine="1440"/>
      </w:pPr>
      <w:r w:rsidRPr="00D136DB">
        <w:t>721</w:t>
      </w:r>
      <w:r w:rsidRPr="00D136DB">
        <w:tab/>
      </w:r>
      <w:r w:rsidRPr="00D136DB">
        <w:tab/>
      </w:r>
      <w:r w:rsidRPr="00D136DB">
        <w:tab/>
      </w:r>
      <w:r>
        <w:tab/>
      </w:r>
      <w:r w:rsidRPr="00D136DB">
        <w:t>Accommodation</w:t>
      </w:r>
    </w:p>
    <w:p w:rsidRPr="00D136DB" w:rsidR="00757F0F" w:rsidP="00757F0F" w:rsidRDefault="00757F0F" w14:paraId="3AFD1C4F" w14:textId="77777777">
      <w:pPr>
        <w:tabs>
          <w:tab w:val="left" w:pos="-1080"/>
          <w:tab w:val="left" w:pos="-720"/>
          <w:tab w:val="left" w:pos="0"/>
          <w:tab w:val="left" w:pos="720"/>
          <w:tab w:val="left" w:pos="900"/>
          <w:tab w:val="left" w:pos="1080"/>
        </w:tabs>
        <w:ind w:firstLine="1440"/>
      </w:pPr>
      <w:r w:rsidRPr="00D136DB">
        <w:t>81</w:t>
      </w:r>
      <w:r w:rsidRPr="00D136DB">
        <w:tab/>
      </w:r>
      <w:r w:rsidRPr="00D136DB">
        <w:tab/>
      </w:r>
      <w:r w:rsidRPr="00D136DB">
        <w:tab/>
      </w:r>
      <w:r w:rsidRPr="00D136DB">
        <w:tab/>
        <w:t>Other services (except public administration)</w:t>
      </w:r>
    </w:p>
    <w:sectPr w:rsidRPr="00D136DB" w:rsidR="00757F0F" w:rsidSect="00673F57">
      <w:footerReference w:type="default" r:id="rId15"/>
      <w:type w:val="continuous"/>
      <w:pgSz w:w="12240" w:h="15840"/>
      <w:pgMar w:top="1260" w:right="135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BBDD" w14:textId="77777777" w:rsidR="00C367DD" w:rsidRDefault="00C367DD" w:rsidP="00921841">
      <w:r>
        <w:separator/>
      </w:r>
    </w:p>
  </w:endnote>
  <w:endnote w:type="continuationSeparator" w:id="0">
    <w:p w14:paraId="314DB6F8" w14:textId="77777777" w:rsidR="00C367DD" w:rsidRDefault="00C367DD"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gLiU_HKSCS">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86CD" w14:textId="77777777" w:rsidR="00C367DD" w:rsidRDefault="00C36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221449"/>
      <w:docPartObj>
        <w:docPartGallery w:val="Page Numbers (Bottom of Page)"/>
        <w:docPartUnique/>
      </w:docPartObj>
    </w:sdtPr>
    <w:sdtEndPr>
      <w:rPr>
        <w:noProof/>
      </w:rPr>
    </w:sdtEndPr>
    <w:sdtContent>
      <w:p w14:paraId="0DBAA0E6" w14:textId="0BE5F8FE" w:rsidR="00C367DD" w:rsidRDefault="00C367DD">
        <w:pPr>
          <w:pStyle w:val="Footer"/>
          <w:jc w:val="center"/>
        </w:pPr>
        <w:r>
          <w:fldChar w:fldCharType="begin"/>
        </w:r>
        <w:r>
          <w:instrText xml:space="preserve"> PAGE   \* MERGEFORMAT </w:instrText>
        </w:r>
        <w:r>
          <w:fldChar w:fldCharType="separate"/>
        </w:r>
        <w:r w:rsidR="001D305C">
          <w:rPr>
            <w:noProof/>
          </w:rPr>
          <w:t>12</w:t>
        </w:r>
        <w:r>
          <w:rPr>
            <w:noProof/>
          </w:rPr>
          <w:fldChar w:fldCharType="end"/>
        </w:r>
      </w:p>
    </w:sdtContent>
  </w:sdt>
  <w:p w14:paraId="4BBB5E10" w14:textId="77777777" w:rsidR="00C367DD" w:rsidRDefault="00C367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57D4" w14:textId="77777777" w:rsidR="00C367DD" w:rsidRDefault="00C3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12292"/>
      <w:docPartObj>
        <w:docPartGallery w:val="Page Numbers (Bottom of Page)"/>
        <w:docPartUnique/>
      </w:docPartObj>
    </w:sdtPr>
    <w:sdtEndPr>
      <w:rPr>
        <w:noProof/>
      </w:rPr>
    </w:sdtEndPr>
    <w:sdtContent>
      <w:p w14:paraId="3B1ED376" w14:textId="685BF2EB" w:rsidR="00C367DD" w:rsidRDefault="00C367DD">
        <w:pPr>
          <w:pStyle w:val="Footer"/>
          <w:jc w:val="center"/>
        </w:pPr>
        <w:r>
          <w:fldChar w:fldCharType="begin"/>
        </w:r>
        <w:r>
          <w:instrText xml:space="preserve"> PAGE   \* MERGEFORMAT </w:instrText>
        </w:r>
        <w:r>
          <w:fldChar w:fldCharType="separate"/>
        </w:r>
        <w:r w:rsidR="001D305C">
          <w:rPr>
            <w:noProof/>
          </w:rPr>
          <w:t>13</w:t>
        </w:r>
        <w:r>
          <w:rPr>
            <w:noProof/>
          </w:rPr>
          <w:fldChar w:fldCharType="end"/>
        </w:r>
      </w:p>
    </w:sdtContent>
  </w:sdt>
  <w:p w14:paraId="28A336E7" w14:textId="77777777" w:rsidR="00C367DD" w:rsidRDefault="00C367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C020" w14:textId="77777777" w:rsidR="00C367DD" w:rsidRDefault="00C367DD" w:rsidP="00921841">
      <w:r>
        <w:separator/>
      </w:r>
    </w:p>
  </w:footnote>
  <w:footnote w:type="continuationSeparator" w:id="0">
    <w:p w14:paraId="67FE240F" w14:textId="77777777" w:rsidR="00C367DD" w:rsidRDefault="00C367DD" w:rsidP="0092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BA65" w14:textId="77777777" w:rsidR="00C367DD" w:rsidRDefault="00C36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7317" w14:textId="77777777" w:rsidR="00C367DD" w:rsidRDefault="00C36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6E63" w14:textId="77777777" w:rsidR="00C367DD" w:rsidRDefault="00C3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E5244A4"/>
    <w:lvl w:ilvl="0">
      <w:numFmt w:val="bullet"/>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15:restartNumberingAfterBreak="0">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60769E4"/>
    <w:multiLevelType w:val="hybridMultilevel"/>
    <w:tmpl w:val="0C50BE3A"/>
    <w:lvl w:ilvl="0" w:tplc="28DAA9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7EC1EDE"/>
    <w:multiLevelType w:val="hybridMultilevel"/>
    <w:tmpl w:val="39E20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AE037E4"/>
    <w:multiLevelType w:val="hybridMultilevel"/>
    <w:tmpl w:val="AAC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C31D9"/>
    <w:multiLevelType w:val="hybridMultilevel"/>
    <w:tmpl w:val="23B648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04A3D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773E82"/>
    <w:multiLevelType w:val="hybridMultilevel"/>
    <w:tmpl w:val="A2F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F1C08"/>
    <w:multiLevelType w:val="hybridMultilevel"/>
    <w:tmpl w:val="38A8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D6BA2"/>
    <w:multiLevelType w:val="hybridMultilevel"/>
    <w:tmpl w:val="FC8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1626F"/>
    <w:multiLevelType w:val="hybridMultilevel"/>
    <w:tmpl w:val="0C2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66FCD"/>
    <w:multiLevelType w:val="hybridMultilevel"/>
    <w:tmpl w:val="5A50467E"/>
    <w:lvl w:ilvl="0" w:tplc="271CA1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lvlOverride w:ilvl="0">
      <w:startOverride w:val="1"/>
      <w:lvl w:ilvl="0">
        <w:start w:val="1"/>
        <w:numFmt w:val="upperLetter"/>
        <w:pStyle w:val="QuickA"/>
        <w:lvlText w:val="%1."/>
        <w:lvlJc w:val="left"/>
      </w:lvl>
    </w:lvlOverride>
  </w:num>
  <w:num w:numId="2">
    <w:abstractNumId w:val="2"/>
    <w:lvlOverride w:ilvl="0">
      <w:lvl w:ilvl="0">
        <w:start w:val="1"/>
        <w:numFmt w:val="decimal"/>
        <w:pStyle w:val="Quick1"/>
        <w:lvlText w:val="%1."/>
        <w:lvlJc w:val="left"/>
        <w:pPr>
          <w:ind w:left="0" w:firstLine="0"/>
        </w:pPr>
        <w:rPr>
          <w:rFonts w:hint="default"/>
        </w:rPr>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20"/>
  </w:num>
  <w:num w:numId="7">
    <w:abstractNumId w:val="17"/>
  </w:num>
  <w:num w:numId="8">
    <w:abstractNumId w:val="11"/>
  </w:num>
  <w:num w:numId="9">
    <w:abstractNumId w:val="12"/>
  </w:num>
  <w:num w:numId="10">
    <w:abstractNumId w:val="15"/>
  </w:num>
  <w:num w:numId="11">
    <w:abstractNumId w:val="19"/>
  </w:num>
  <w:num w:numId="12">
    <w:abstractNumId w:val="14"/>
  </w:num>
  <w:num w:numId="13">
    <w:abstractNumId w:val="2"/>
    <w:lvlOverride w:ilvl="0">
      <w:lvl w:ilvl="0">
        <w:start w:val="1"/>
        <w:numFmt w:val="decimal"/>
        <w:pStyle w:val="Quick1"/>
        <w:lvlText w:val="%1."/>
        <w:lvlJc w:val="left"/>
        <w:pPr>
          <w:ind w:left="0" w:firstLine="0"/>
        </w:pPr>
        <w:rPr>
          <w:rFonts w:hint="default"/>
        </w:rPr>
      </w:lvl>
    </w:lvlOverride>
  </w:num>
  <w:num w:numId="14">
    <w:abstractNumId w:val="2"/>
    <w:lvlOverride w:ilvl="0">
      <w:startOverride w:val="6"/>
      <w:lvl w:ilvl="0">
        <w:start w:val="6"/>
        <w:numFmt w:val="decimal"/>
        <w:pStyle w:val="Quick1"/>
        <w:lvlText w:val="%1."/>
        <w:lvlJc w:val="left"/>
        <w:pPr>
          <w:ind w:left="0" w:firstLine="0"/>
        </w:pPr>
        <w:rPr>
          <w:rFonts w:hint="default"/>
        </w:rPr>
      </w:lvl>
    </w:lvlOverride>
  </w:num>
  <w:num w:numId="15">
    <w:abstractNumId w:val="2"/>
    <w:lvlOverride w:ilvl="0">
      <w:startOverride w:val="17"/>
      <w:lvl w:ilvl="0">
        <w:start w:val="17"/>
        <w:numFmt w:val="decimal"/>
        <w:pStyle w:val="Quick1"/>
        <w:lvlText w:val="%1."/>
        <w:lvlJc w:val="left"/>
        <w:pPr>
          <w:ind w:left="0" w:firstLine="0"/>
        </w:pPr>
        <w:rPr>
          <w:rFonts w:hint="default"/>
        </w:rPr>
      </w:lvl>
    </w:lvlOverride>
  </w:num>
  <w:num w:numId="16">
    <w:abstractNumId w:val="13"/>
  </w:num>
  <w:num w:numId="17">
    <w:abstractNumId w:val="16"/>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22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921841"/>
    <w:rsid w:val="00005A23"/>
    <w:rsid w:val="000206E5"/>
    <w:rsid w:val="00022A87"/>
    <w:rsid w:val="00025330"/>
    <w:rsid w:val="0003385A"/>
    <w:rsid w:val="00037B08"/>
    <w:rsid w:val="00044CE9"/>
    <w:rsid w:val="0004629A"/>
    <w:rsid w:val="000534FF"/>
    <w:rsid w:val="00053777"/>
    <w:rsid w:val="000628D3"/>
    <w:rsid w:val="0006399F"/>
    <w:rsid w:val="00067681"/>
    <w:rsid w:val="00067FE4"/>
    <w:rsid w:val="0007042F"/>
    <w:rsid w:val="00071D99"/>
    <w:rsid w:val="000724D5"/>
    <w:rsid w:val="000756CC"/>
    <w:rsid w:val="0008198C"/>
    <w:rsid w:val="00083072"/>
    <w:rsid w:val="00093DED"/>
    <w:rsid w:val="000A63C3"/>
    <w:rsid w:val="000A6C94"/>
    <w:rsid w:val="000B7797"/>
    <w:rsid w:val="000C27C1"/>
    <w:rsid w:val="000C387F"/>
    <w:rsid w:val="000D1638"/>
    <w:rsid w:val="000D4149"/>
    <w:rsid w:val="000E20B4"/>
    <w:rsid w:val="000E293D"/>
    <w:rsid w:val="000E2E70"/>
    <w:rsid w:val="000F1CE1"/>
    <w:rsid w:val="000F2EFA"/>
    <w:rsid w:val="000F3173"/>
    <w:rsid w:val="000F7200"/>
    <w:rsid w:val="00103D99"/>
    <w:rsid w:val="00107070"/>
    <w:rsid w:val="00110A22"/>
    <w:rsid w:val="001158C3"/>
    <w:rsid w:val="00140447"/>
    <w:rsid w:val="001433C8"/>
    <w:rsid w:val="00145C9F"/>
    <w:rsid w:val="00145FD1"/>
    <w:rsid w:val="00155A8C"/>
    <w:rsid w:val="00167C8D"/>
    <w:rsid w:val="00175BCD"/>
    <w:rsid w:val="001773C6"/>
    <w:rsid w:val="001827CF"/>
    <w:rsid w:val="00193B40"/>
    <w:rsid w:val="00195FD7"/>
    <w:rsid w:val="001A5169"/>
    <w:rsid w:val="001B4C09"/>
    <w:rsid w:val="001C1EA1"/>
    <w:rsid w:val="001D01D1"/>
    <w:rsid w:val="001D16E7"/>
    <w:rsid w:val="001D305C"/>
    <w:rsid w:val="001D4BBA"/>
    <w:rsid w:val="001E4036"/>
    <w:rsid w:val="001E67C4"/>
    <w:rsid w:val="001E6DCF"/>
    <w:rsid w:val="001F3ACA"/>
    <w:rsid w:val="001F791A"/>
    <w:rsid w:val="002008BA"/>
    <w:rsid w:val="00202FAA"/>
    <w:rsid w:val="00204683"/>
    <w:rsid w:val="0020595B"/>
    <w:rsid w:val="00205A49"/>
    <w:rsid w:val="00211283"/>
    <w:rsid w:val="002130BF"/>
    <w:rsid w:val="00217EB6"/>
    <w:rsid w:val="00221282"/>
    <w:rsid w:val="00223237"/>
    <w:rsid w:val="00223362"/>
    <w:rsid w:val="002320F5"/>
    <w:rsid w:val="002337BA"/>
    <w:rsid w:val="00234F39"/>
    <w:rsid w:val="002401E2"/>
    <w:rsid w:val="00241800"/>
    <w:rsid w:val="002445DB"/>
    <w:rsid w:val="002452F7"/>
    <w:rsid w:val="00256443"/>
    <w:rsid w:val="002605C4"/>
    <w:rsid w:val="0026080F"/>
    <w:rsid w:val="002617CB"/>
    <w:rsid w:val="00267DDF"/>
    <w:rsid w:val="00270397"/>
    <w:rsid w:val="00274AB7"/>
    <w:rsid w:val="00277775"/>
    <w:rsid w:val="00282EB7"/>
    <w:rsid w:val="0028664D"/>
    <w:rsid w:val="00293DC9"/>
    <w:rsid w:val="002A3B5A"/>
    <w:rsid w:val="002A5111"/>
    <w:rsid w:val="002B14CF"/>
    <w:rsid w:val="002B1930"/>
    <w:rsid w:val="002B7871"/>
    <w:rsid w:val="002C474E"/>
    <w:rsid w:val="002D0D33"/>
    <w:rsid w:val="002D2143"/>
    <w:rsid w:val="002D5307"/>
    <w:rsid w:val="002D7081"/>
    <w:rsid w:val="002E17DA"/>
    <w:rsid w:val="002E20EF"/>
    <w:rsid w:val="00301B46"/>
    <w:rsid w:val="00303CEE"/>
    <w:rsid w:val="00303D2B"/>
    <w:rsid w:val="00303EFA"/>
    <w:rsid w:val="00310EC9"/>
    <w:rsid w:val="00311DE7"/>
    <w:rsid w:val="00315B15"/>
    <w:rsid w:val="00316907"/>
    <w:rsid w:val="00317FDA"/>
    <w:rsid w:val="003254B4"/>
    <w:rsid w:val="003329E8"/>
    <w:rsid w:val="00336C4E"/>
    <w:rsid w:val="003375B0"/>
    <w:rsid w:val="0034474B"/>
    <w:rsid w:val="00345DE4"/>
    <w:rsid w:val="0034648D"/>
    <w:rsid w:val="00351894"/>
    <w:rsid w:val="00351F35"/>
    <w:rsid w:val="003604D5"/>
    <w:rsid w:val="00364013"/>
    <w:rsid w:val="0036410B"/>
    <w:rsid w:val="003701A4"/>
    <w:rsid w:val="00376A13"/>
    <w:rsid w:val="00384601"/>
    <w:rsid w:val="003A2D48"/>
    <w:rsid w:val="003A30CA"/>
    <w:rsid w:val="003A3B1C"/>
    <w:rsid w:val="003A3D09"/>
    <w:rsid w:val="003A6BC7"/>
    <w:rsid w:val="003A7472"/>
    <w:rsid w:val="003B47C1"/>
    <w:rsid w:val="003B64D8"/>
    <w:rsid w:val="003C5323"/>
    <w:rsid w:val="003C6F1D"/>
    <w:rsid w:val="003D1068"/>
    <w:rsid w:val="003D73F5"/>
    <w:rsid w:val="003E2DBF"/>
    <w:rsid w:val="0040246B"/>
    <w:rsid w:val="00404837"/>
    <w:rsid w:val="00406EC1"/>
    <w:rsid w:val="004076F9"/>
    <w:rsid w:val="00410D32"/>
    <w:rsid w:val="00414FEF"/>
    <w:rsid w:val="004161BB"/>
    <w:rsid w:val="00416695"/>
    <w:rsid w:val="004200EC"/>
    <w:rsid w:val="0042727B"/>
    <w:rsid w:val="004417D7"/>
    <w:rsid w:val="00443BB3"/>
    <w:rsid w:val="00456644"/>
    <w:rsid w:val="00465338"/>
    <w:rsid w:val="00465FB6"/>
    <w:rsid w:val="00467290"/>
    <w:rsid w:val="00471C99"/>
    <w:rsid w:val="004801FB"/>
    <w:rsid w:val="00487E02"/>
    <w:rsid w:val="00490CFC"/>
    <w:rsid w:val="004912FA"/>
    <w:rsid w:val="004A0AE9"/>
    <w:rsid w:val="004B6902"/>
    <w:rsid w:val="004C077F"/>
    <w:rsid w:val="004D04CC"/>
    <w:rsid w:val="004D2398"/>
    <w:rsid w:val="004D40E0"/>
    <w:rsid w:val="004E1FDE"/>
    <w:rsid w:val="004E3FAE"/>
    <w:rsid w:val="004E6F5A"/>
    <w:rsid w:val="004F477A"/>
    <w:rsid w:val="00502BD5"/>
    <w:rsid w:val="00506249"/>
    <w:rsid w:val="0052332C"/>
    <w:rsid w:val="00525893"/>
    <w:rsid w:val="00530190"/>
    <w:rsid w:val="00540446"/>
    <w:rsid w:val="0054145D"/>
    <w:rsid w:val="00541D83"/>
    <w:rsid w:val="005434E5"/>
    <w:rsid w:val="00566133"/>
    <w:rsid w:val="00570B04"/>
    <w:rsid w:val="005714B0"/>
    <w:rsid w:val="00582D65"/>
    <w:rsid w:val="00591C12"/>
    <w:rsid w:val="00593A4B"/>
    <w:rsid w:val="00595939"/>
    <w:rsid w:val="005A0A86"/>
    <w:rsid w:val="005A7780"/>
    <w:rsid w:val="005B6030"/>
    <w:rsid w:val="005C09A2"/>
    <w:rsid w:val="005C18CB"/>
    <w:rsid w:val="005C2EED"/>
    <w:rsid w:val="005D5412"/>
    <w:rsid w:val="005E0337"/>
    <w:rsid w:val="005E1625"/>
    <w:rsid w:val="005E39AC"/>
    <w:rsid w:val="005E3DA5"/>
    <w:rsid w:val="005E4E26"/>
    <w:rsid w:val="005F0078"/>
    <w:rsid w:val="005F2599"/>
    <w:rsid w:val="00616443"/>
    <w:rsid w:val="00617793"/>
    <w:rsid w:val="0062009D"/>
    <w:rsid w:val="00625148"/>
    <w:rsid w:val="00625AEF"/>
    <w:rsid w:val="00630A99"/>
    <w:rsid w:val="006323D3"/>
    <w:rsid w:val="006356E2"/>
    <w:rsid w:val="00640F69"/>
    <w:rsid w:val="00661B63"/>
    <w:rsid w:val="006720EF"/>
    <w:rsid w:val="00672536"/>
    <w:rsid w:val="00672F3D"/>
    <w:rsid w:val="00673F57"/>
    <w:rsid w:val="00675F5A"/>
    <w:rsid w:val="00680F23"/>
    <w:rsid w:val="00683A75"/>
    <w:rsid w:val="006A110C"/>
    <w:rsid w:val="006A7F74"/>
    <w:rsid w:val="006B0C20"/>
    <w:rsid w:val="006B5971"/>
    <w:rsid w:val="006C05F1"/>
    <w:rsid w:val="006D0C1F"/>
    <w:rsid w:val="006D37B0"/>
    <w:rsid w:val="006E7943"/>
    <w:rsid w:val="006F0388"/>
    <w:rsid w:val="006F7F45"/>
    <w:rsid w:val="00701707"/>
    <w:rsid w:val="00703999"/>
    <w:rsid w:val="00712979"/>
    <w:rsid w:val="00717E92"/>
    <w:rsid w:val="00731CAC"/>
    <w:rsid w:val="00732B1F"/>
    <w:rsid w:val="0073581C"/>
    <w:rsid w:val="007447B8"/>
    <w:rsid w:val="00745F72"/>
    <w:rsid w:val="00757F0F"/>
    <w:rsid w:val="00760FA4"/>
    <w:rsid w:val="00766325"/>
    <w:rsid w:val="00770D73"/>
    <w:rsid w:val="00771196"/>
    <w:rsid w:val="00771C83"/>
    <w:rsid w:val="0078410C"/>
    <w:rsid w:val="00785CD9"/>
    <w:rsid w:val="007912EE"/>
    <w:rsid w:val="00795193"/>
    <w:rsid w:val="007A0A24"/>
    <w:rsid w:val="007A243D"/>
    <w:rsid w:val="007A4BD3"/>
    <w:rsid w:val="007B50EB"/>
    <w:rsid w:val="007B7E16"/>
    <w:rsid w:val="007C2822"/>
    <w:rsid w:val="007E3FE1"/>
    <w:rsid w:val="00800A6F"/>
    <w:rsid w:val="00804466"/>
    <w:rsid w:val="0081131A"/>
    <w:rsid w:val="00812F48"/>
    <w:rsid w:val="0081765F"/>
    <w:rsid w:val="00824181"/>
    <w:rsid w:val="008310F1"/>
    <w:rsid w:val="00844DCF"/>
    <w:rsid w:val="00847F50"/>
    <w:rsid w:val="00853BAB"/>
    <w:rsid w:val="00855852"/>
    <w:rsid w:val="00860955"/>
    <w:rsid w:val="00864AC9"/>
    <w:rsid w:val="0087708D"/>
    <w:rsid w:val="0088416A"/>
    <w:rsid w:val="00885788"/>
    <w:rsid w:val="008907D6"/>
    <w:rsid w:val="00892DCF"/>
    <w:rsid w:val="008A5EAA"/>
    <w:rsid w:val="008B153B"/>
    <w:rsid w:val="008B7013"/>
    <w:rsid w:val="008C4D7B"/>
    <w:rsid w:val="008D0FDC"/>
    <w:rsid w:val="008D5950"/>
    <w:rsid w:val="008E2930"/>
    <w:rsid w:val="008E57E4"/>
    <w:rsid w:val="008E7D36"/>
    <w:rsid w:val="008F2E5D"/>
    <w:rsid w:val="009016F4"/>
    <w:rsid w:val="00903D42"/>
    <w:rsid w:val="00905670"/>
    <w:rsid w:val="00920E87"/>
    <w:rsid w:val="00921841"/>
    <w:rsid w:val="00921C41"/>
    <w:rsid w:val="0092233B"/>
    <w:rsid w:val="0093005E"/>
    <w:rsid w:val="0095582D"/>
    <w:rsid w:val="00970E5E"/>
    <w:rsid w:val="00991648"/>
    <w:rsid w:val="00996A83"/>
    <w:rsid w:val="009A5623"/>
    <w:rsid w:val="009B3C43"/>
    <w:rsid w:val="009B6C0F"/>
    <w:rsid w:val="009C03CC"/>
    <w:rsid w:val="009D3D28"/>
    <w:rsid w:val="009D754B"/>
    <w:rsid w:val="009E4CEF"/>
    <w:rsid w:val="009E56C9"/>
    <w:rsid w:val="009F1216"/>
    <w:rsid w:val="009F5E52"/>
    <w:rsid w:val="009F644E"/>
    <w:rsid w:val="00A02C1B"/>
    <w:rsid w:val="00A06419"/>
    <w:rsid w:val="00A06E3C"/>
    <w:rsid w:val="00A10E16"/>
    <w:rsid w:val="00A14E49"/>
    <w:rsid w:val="00A410BC"/>
    <w:rsid w:val="00A47C7E"/>
    <w:rsid w:val="00A550C7"/>
    <w:rsid w:val="00A61C1E"/>
    <w:rsid w:val="00A64AAA"/>
    <w:rsid w:val="00A654B2"/>
    <w:rsid w:val="00A718B6"/>
    <w:rsid w:val="00A74F22"/>
    <w:rsid w:val="00A75297"/>
    <w:rsid w:val="00A762D9"/>
    <w:rsid w:val="00A857EC"/>
    <w:rsid w:val="00A963E4"/>
    <w:rsid w:val="00A9778B"/>
    <w:rsid w:val="00AA6C2F"/>
    <w:rsid w:val="00AD4171"/>
    <w:rsid w:val="00AE0D58"/>
    <w:rsid w:val="00AE2632"/>
    <w:rsid w:val="00AE313D"/>
    <w:rsid w:val="00AE51C9"/>
    <w:rsid w:val="00AF3600"/>
    <w:rsid w:val="00B003BA"/>
    <w:rsid w:val="00B02A87"/>
    <w:rsid w:val="00B034A6"/>
    <w:rsid w:val="00B05634"/>
    <w:rsid w:val="00B11902"/>
    <w:rsid w:val="00B1248F"/>
    <w:rsid w:val="00B138DF"/>
    <w:rsid w:val="00B20D74"/>
    <w:rsid w:val="00B2784C"/>
    <w:rsid w:val="00B36E6C"/>
    <w:rsid w:val="00B40B99"/>
    <w:rsid w:val="00B43ACE"/>
    <w:rsid w:val="00B529D2"/>
    <w:rsid w:val="00B6254B"/>
    <w:rsid w:val="00B66B5C"/>
    <w:rsid w:val="00B711AE"/>
    <w:rsid w:val="00B77764"/>
    <w:rsid w:val="00B85813"/>
    <w:rsid w:val="00B93E99"/>
    <w:rsid w:val="00BB49E6"/>
    <w:rsid w:val="00BB619D"/>
    <w:rsid w:val="00BB7784"/>
    <w:rsid w:val="00BE3BB7"/>
    <w:rsid w:val="00BF0007"/>
    <w:rsid w:val="00BF59FF"/>
    <w:rsid w:val="00BF6959"/>
    <w:rsid w:val="00C022FC"/>
    <w:rsid w:val="00C027A0"/>
    <w:rsid w:val="00C07AA2"/>
    <w:rsid w:val="00C154BD"/>
    <w:rsid w:val="00C1799A"/>
    <w:rsid w:val="00C20115"/>
    <w:rsid w:val="00C22A5C"/>
    <w:rsid w:val="00C2755B"/>
    <w:rsid w:val="00C35141"/>
    <w:rsid w:val="00C367DD"/>
    <w:rsid w:val="00C36A71"/>
    <w:rsid w:val="00C406A6"/>
    <w:rsid w:val="00C4072B"/>
    <w:rsid w:val="00C43049"/>
    <w:rsid w:val="00C518F9"/>
    <w:rsid w:val="00C76F79"/>
    <w:rsid w:val="00C80487"/>
    <w:rsid w:val="00C85ADF"/>
    <w:rsid w:val="00C95747"/>
    <w:rsid w:val="00CB26B8"/>
    <w:rsid w:val="00CB320D"/>
    <w:rsid w:val="00CB3825"/>
    <w:rsid w:val="00CC1779"/>
    <w:rsid w:val="00CC2F2E"/>
    <w:rsid w:val="00CC4A21"/>
    <w:rsid w:val="00CC6777"/>
    <w:rsid w:val="00CD2FF5"/>
    <w:rsid w:val="00CD3C15"/>
    <w:rsid w:val="00CF040C"/>
    <w:rsid w:val="00CF5768"/>
    <w:rsid w:val="00CF7298"/>
    <w:rsid w:val="00D0014D"/>
    <w:rsid w:val="00D00BDA"/>
    <w:rsid w:val="00D00F1D"/>
    <w:rsid w:val="00D01D78"/>
    <w:rsid w:val="00D10515"/>
    <w:rsid w:val="00D136DB"/>
    <w:rsid w:val="00D14C24"/>
    <w:rsid w:val="00D24178"/>
    <w:rsid w:val="00D30BC4"/>
    <w:rsid w:val="00D322B9"/>
    <w:rsid w:val="00D3336F"/>
    <w:rsid w:val="00D36DA7"/>
    <w:rsid w:val="00D442E0"/>
    <w:rsid w:val="00D46D97"/>
    <w:rsid w:val="00D5667E"/>
    <w:rsid w:val="00D62EEC"/>
    <w:rsid w:val="00D65A70"/>
    <w:rsid w:val="00D72758"/>
    <w:rsid w:val="00D82AA5"/>
    <w:rsid w:val="00D842CA"/>
    <w:rsid w:val="00D8595A"/>
    <w:rsid w:val="00D906A7"/>
    <w:rsid w:val="00D96F7D"/>
    <w:rsid w:val="00DB427C"/>
    <w:rsid w:val="00DB70B2"/>
    <w:rsid w:val="00DC0119"/>
    <w:rsid w:val="00DC1121"/>
    <w:rsid w:val="00DD4BE7"/>
    <w:rsid w:val="00DE3086"/>
    <w:rsid w:val="00DE3944"/>
    <w:rsid w:val="00DF4AD7"/>
    <w:rsid w:val="00DF6D97"/>
    <w:rsid w:val="00E03B6C"/>
    <w:rsid w:val="00E05EC6"/>
    <w:rsid w:val="00E1720A"/>
    <w:rsid w:val="00E41543"/>
    <w:rsid w:val="00E4241D"/>
    <w:rsid w:val="00E546D3"/>
    <w:rsid w:val="00E57C13"/>
    <w:rsid w:val="00E63C05"/>
    <w:rsid w:val="00E66216"/>
    <w:rsid w:val="00E7633C"/>
    <w:rsid w:val="00E804FD"/>
    <w:rsid w:val="00E80CBD"/>
    <w:rsid w:val="00E859FE"/>
    <w:rsid w:val="00E86171"/>
    <w:rsid w:val="00E870B6"/>
    <w:rsid w:val="00E933E0"/>
    <w:rsid w:val="00E9422D"/>
    <w:rsid w:val="00E951CD"/>
    <w:rsid w:val="00EA1076"/>
    <w:rsid w:val="00EA15FC"/>
    <w:rsid w:val="00EA180D"/>
    <w:rsid w:val="00EA59B7"/>
    <w:rsid w:val="00EA7F6E"/>
    <w:rsid w:val="00EB1A0F"/>
    <w:rsid w:val="00EB4DAB"/>
    <w:rsid w:val="00EC66E9"/>
    <w:rsid w:val="00ED6D67"/>
    <w:rsid w:val="00EE2D72"/>
    <w:rsid w:val="00EE3B79"/>
    <w:rsid w:val="00EE44DA"/>
    <w:rsid w:val="00EE4816"/>
    <w:rsid w:val="00EE6F22"/>
    <w:rsid w:val="00EF0506"/>
    <w:rsid w:val="00EF3E94"/>
    <w:rsid w:val="00EF4A82"/>
    <w:rsid w:val="00F01F85"/>
    <w:rsid w:val="00F103E0"/>
    <w:rsid w:val="00F132F8"/>
    <w:rsid w:val="00F14698"/>
    <w:rsid w:val="00F146A6"/>
    <w:rsid w:val="00F148A7"/>
    <w:rsid w:val="00F16C70"/>
    <w:rsid w:val="00F27E40"/>
    <w:rsid w:val="00F364D2"/>
    <w:rsid w:val="00F41C0E"/>
    <w:rsid w:val="00F4242D"/>
    <w:rsid w:val="00F46D43"/>
    <w:rsid w:val="00F63DE4"/>
    <w:rsid w:val="00F64F4B"/>
    <w:rsid w:val="00F70334"/>
    <w:rsid w:val="00F8014C"/>
    <w:rsid w:val="00F828F6"/>
    <w:rsid w:val="00F87963"/>
    <w:rsid w:val="00F90412"/>
    <w:rsid w:val="00F904BC"/>
    <w:rsid w:val="00F94081"/>
    <w:rsid w:val="00F94B63"/>
    <w:rsid w:val="00F9663F"/>
    <w:rsid w:val="00FA0F15"/>
    <w:rsid w:val="00FB0EC2"/>
    <w:rsid w:val="00FB2711"/>
    <w:rsid w:val="00FB742E"/>
    <w:rsid w:val="00FC10DC"/>
    <w:rsid w:val="00FC368D"/>
    <w:rsid w:val="00FC5899"/>
    <w:rsid w:val="00FC71C2"/>
    <w:rsid w:val="00FD1970"/>
    <w:rsid w:val="00FD47D0"/>
    <w:rsid w:val="00FD5F3D"/>
    <w:rsid w:val="00FD7982"/>
    <w:rsid w:val="00FF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3B30D7E4"/>
  <w14:defaultImageDpi w14:val="0"/>
  <w15:docId w15:val="{EA247BF3-C927-4DAD-AC89-762A2C30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 w:type="character" w:styleId="CommentReference">
    <w:name w:val="annotation reference"/>
    <w:basedOn w:val="DefaultParagraphFont"/>
    <w:uiPriority w:val="99"/>
    <w:semiHidden/>
    <w:unhideWhenUsed/>
    <w:rsid w:val="00465FB6"/>
    <w:rPr>
      <w:sz w:val="16"/>
      <w:szCs w:val="16"/>
    </w:rPr>
  </w:style>
  <w:style w:type="paragraph" w:styleId="CommentText">
    <w:name w:val="annotation text"/>
    <w:basedOn w:val="Normal"/>
    <w:link w:val="CommentTextChar"/>
    <w:uiPriority w:val="99"/>
    <w:unhideWhenUsed/>
    <w:rsid w:val="00465FB6"/>
    <w:rPr>
      <w:sz w:val="20"/>
      <w:szCs w:val="20"/>
    </w:rPr>
  </w:style>
  <w:style w:type="character" w:customStyle="1" w:styleId="CommentTextChar">
    <w:name w:val="Comment Text Char"/>
    <w:basedOn w:val="DefaultParagraphFont"/>
    <w:link w:val="CommentText"/>
    <w:uiPriority w:val="99"/>
    <w:rsid w:val="00465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B6"/>
    <w:rPr>
      <w:b/>
      <w:bCs/>
    </w:rPr>
  </w:style>
  <w:style w:type="character" w:customStyle="1" w:styleId="CommentSubjectChar">
    <w:name w:val="Comment Subject Char"/>
    <w:basedOn w:val="CommentTextChar"/>
    <w:link w:val="CommentSubject"/>
    <w:uiPriority w:val="99"/>
    <w:semiHidden/>
    <w:rsid w:val="00465FB6"/>
    <w:rPr>
      <w:rFonts w:ascii="Times New Roman" w:hAnsi="Times New Roman" w:cs="Times New Roman"/>
      <w:b/>
      <w:bCs/>
      <w:sz w:val="20"/>
      <w:szCs w:val="20"/>
    </w:rPr>
  </w:style>
  <w:style w:type="character" w:styleId="Hyperlink">
    <w:name w:val="Hyperlink"/>
    <w:basedOn w:val="DefaultParagraphFont"/>
    <w:uiPriority w:val="99"/>
    <w:unhideWhenUsed/>
    <w:rsid w:val="007447B8"/>
    <w:rPr>
      <w:color w:val="0000FF" w:themeColor="hyperlink"/>
      <w:u w:val="single"/>
    </w:rPr>
  </w:style>
  <w:style w:type="character" w:styleId="FollowedHyperlink">
    <w:name w:val="FollowedHyperlink"/>
    <w:basedOn w:val="DefaultParagraphFont"/>
    <w:uiPriority w:val="99"/>
    <w:semiHidden/>
    <w:unhideWhenUsed/>
    <w:rsid w:val="00744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98132">
      <w:bodyDiv w:val="1"/>
      <w:marLeft w:val="0"/>
      <w:marRight w:val="0"/>
      <w:marTop w:val="0"/>
      <w:marBottom w:val="0"/>
      <w:divBdr>
        <w:top w:val="none" w:sz="0" w:space="0" w:color="auto"/>
        <w:left w:val="none" w:sz="0" w:space="0" w:color="auto"/>
        <w:bottom w:val="none" w:sz="0" w:space="0" w:color="auto"/>
        <w:right w:val="none" w:sz="0" w:space="0" w:color="auto"/>
      </w:divBdr>
    </w:div>
    <w:div w:id="1337882902">
      <w:bodyDiv w:val="1"/>
      <w:marLeft w:val="0"/>
      <w:marRight w:val="0"/>
      <w:marTop w:val="0"/>
      <w:marBottom w:val="0"/>
      <w:divBdr>
        <w:top w:val="none" w:sz="0" w:space="0" w:color="auto"/>
        <w:left w:val="none" w:sz="0" w:space="0" w:color="auto"/>
        <w:bottom w:val="none" w:sz="0" w:space="0" w:color="auto"/>
        <w:right w:val="none" w:sz="0" w:space="0" w:color="auto"/>
      </w:divBdr>
    </w:div>
    <w:div w:id="20437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ats.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835A-6ED7-4355-A0BB-44D49AE9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4116</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Thomas J Smith (CENSUS/EMD FED)</cp:lastModifiedBy>
  <cp:revision>2</cp:revision>
  <cp:lastPrinted>2012-04-27T15:37:00Z</cp:lastPrinted>
  <dcterms:created xsi:type="dcterms:W3CDTF">2021-01-12T17:51:00Z</dcterms:created>
  <dcterms:modified xsi:type="dcterms:W3CDTF">2021-01-12T17:51:00Z</dcterms:modified>
</cp:coreProperties>
</file>