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37452" w:rsidR="00B300C6" w:rsidP="00CF10CE" w:rsidRDefault="00B300C6">
      <w:pPr>
        <w:pStyle w:val="DFARS"/>
        <w:rPr>
          <w:szCs w:val="24"/>
        </w:rPr>
      </w:pPr>
      <w:bookmarkStart w:name="BM252239" w:id="0"/>
      <w:bookmarkStart w:name="_GoBack" w:id="1"/>
      <w:bookmarkEnd w:id="1"/>
    </w:p>
    <w:p w:rsidRPr="00137452" w:rsidR="00B300C6" w:rsidP="00CF10CE" w:rsidRDefault="00B300C6">
      <w:pPr>
        <w:pStyle w:val="DFARS"/>
        <w:rPr>
          <w:szCs w:val="24"/>
        </w:rPr>
      </w:pPr>
    </w:p>
    <w:p w:rsidRPr="00023F7F" w:rsidR="00023F7F" w:rsidP="00023F7F" w:rsidRDefault="00023F7F">
      <w:pPr>
        <w:shd w:val="clear" w:color="auto" w:fill="FFFFFF"/>
        <w:spacing w:before="200" w:after="100"/>
        <w:outlineLvl w:val="1"/>
        <w:rPr>
          <w:rFonts w:ascii="Arial" w:hAnsi="Arial" w:cs="Arial"/>
          <w:b/>
          <w:bCs/>
          <w:color w:val="000000"/>
          <w:sz w:val="21"/>
          <w:szCs w:val="21"/>
        </w:rPr>
      </w:pPr>
      <w:r w:rsidRPr="00023F7F">
        <w:rPr>
          <w:rFonts w:ascii="Arial" w:hAnsi="Arial" w:cs="Arial"/>
          <w:b/>
          <w:bCs/>
          <w:color w:val="000000"/>
          <w:sz w:val="21"/>
          <w:szCs w:val="21"/>
        </w:rPr>
        <w:t>252.239-7000   Protection against compromising emanations.</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21"/>
          <w:szCs w:val="21"/>
        </w:rPr>
      </w:pPr>
      <w:r w:rsidRPr="00023F7F">
        <w:rPr>
          <w:rFonts w:ascii="Arial" w:hAnsi="Arial" w:cs="Arial"/>
          <w:color w:val="000000"/>
          <w:sz w:val="21"/>
          <w:szCs w:val="21"/>
        </w:rPr>
        <w:t>As prescribed in 239.7103(a), use the following clause:</w:t>
      </w:r>
    </w:p>
    <w:p w:rsidRPr="00023F7F" w:rsidR="00023F7F" w:rsidP="00023F7F" w:rsidRDefault="00023F7F">
      <w:pPr>
        <w:shd w:val="clear" w:color="auto" w:fill="FFFFFF"/>
        <w:spacing w:before="200" w:after="100"/>
        <w:jc w:val="center"/>
        <w:outlineLvl w:val="0"/>
        <w:rPr>
          <w:rFonts w:ascii="Arial" w:hAnsi="Arial" w:cs="Arial"/>
          <w:smallCaps/>
          <w:color w:val="000000"/>
          <w:kern w:val="36"/>
          <w:sz w:val="21"/>
          <w:szCs w:val="21"/>
        </w:rPr>
      </w:pPr>
      <w:r w:rsidRPr="00023F7F">
        <w:rPr>
          <w:rFonts w:ascii="Arial" w:hAnsi="Arial" w:cs="Arial"/>
          <w:smallCaps/>
          <w:color w:val="000000"/>
          <w:kern w:val="36"/>
          <w:sz w:val="21"/>
          <w:szCs w:val="21"/>
        </w:rPr>
        <w:t>Protection Against Compromising Emanations (OCT 2019)</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(a) The Contractor shall provide or use only information technology, as specified by the Government, that has been accredited to meet the appropriate information assurance requirements of—</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(1) The National Security Agency National TEMPEST Standards (NSTISSAM TEMPEST 1-92, Compromising Emanations Laboratory Test Requirements, Electromagnetics (U)); or</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(2) Other standards specified by this contract, including the date through which the required accreditation is current or valid for the contract.</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(b) Upon request of the Contracting Officer, the Contractor shall provide documentation supporting the accreditation.</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(c) The Government may, as part of its inspection and acceptance, conduct additional tests to ensure that information technology delivered under this contract satisfies the information assurance standards specified. The Government may conduct additional tests—</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(1) At the installation site or contractor's facility; and</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(2) Notwithstanding the existence of valid accreditations of information technology prior to the award of this contract.</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(d) Unless otherwise provided in this contract under the Warranty of Supplies or Warranty of Systems and Equipment clause, the Contractor shall correct or replace accepted information technology found to be deficient within 1 year after proper installations.</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(1) The correction or replacement shall be at no cost to the Government.</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(2) Should a modification to the delivered information technology be made by the Contractor, the 1-year period applies to the modification upon its proper installation.</w:t>
      </w:r>
    </w:p>
    <w:p w:rsidRPr="00023F7F" w:rsidR="00023F7F" w:rsidP="00023F7F" w:rsidRDefault="00023F7F">
      <w:pPr>
        <w:shd w:val="clear" w:color="auto" w:fill="FFFFFF"/>
        <w:spacing w:before="100" w:beforeAutospacing="1" w:after="100" w:afterAutospacing="1"/>
        <w:ind w:firstLine="480"/>
        <w:rPr>
          <w:rFonts w:ascii="Arial" w:hAnsi="Arial" w:cs="Arial"/>
          <w:color w:val="000000"/>
          <w:sz w:val="18"/>
          <w:szCs w:val="18"/>
        </w:rPr>
      </w:pPr>
      <w:r w:rsidRPr="00023F7F">
        <w:rPr>
          <w:rFonts w:ascii="Arial" w:hAnsi="Arial" w:cs="Arial"/>
          <w:color w:val="000000"/>
          <w:sz w:val="18"/>
          <w:szCs w:val="18"/>
        </w:rPr>
        <w:t>(3) This paragraph (d) applies regardless of f.o.b. point or the point of acceptance of the deficient information technology.</w:t>
      </w:r>
    </w:p>
    <w:p w:rsidRPr="00023F7F" w:rsidR="00023F7F" w:rsidP="00023F7F" w:rsidRDefault="00023F7F">
      <w:pPr>
        <w:shd w:val="clear" w:color="auto" w:fill="FFFFFF"/>
        <w:spacing w:before="200" w:after="100"/>
        <w:jc w:val="center"/>
        <w:outlineLvl w:val="2"/>
        <w:rPr>
          <w:rFonts w:ascii="Arial" w:hAnsi="Arial" w:cs="Arial"/>
          <w:color w:val="000000"/>
          <w:sz w:val="21"/>
          <w:szCs w:val="21"/>
        </w:rPr>
      </w:pPr>
      <w:r w:rsidRPr="00023F7F">
        <w:rPr>
          <w:rFonts w:ascii="Arial" w:hAnsi="Arial" w:cs="Arial"/>
          <w:color w:val="000000"/>
          <w:sz w:val="21"/>
          <w:szCs w:val="21"/>
        </w:rPr>
        <w:t>(End of clause)</w:t>
      </w:r>
    </w:p>
    <w:p w:rsidRPr="00137452" w:rsidR="00B300C6" w:rsidP="00CF10CE" w:rsidRDefault="00B300C6">
      <w:pPr>
        <w:pStyle w:val="DFARS"/>
        <w:rPr>
          <w:szCs w:val="24"/>
        </w:rPr>
      </w:pPr>
    </w:p>
    <w:bookmarkEnd w:id="0"/>
    <w:p w:rsidR="00023F7F" w:rsidP="00023F7F" w:rsidRDefault="00023F7F">
      <w:pPr>
        <w:pStyle w:val="Heading2"/>
        <w:shd w:val="clear" w:color="auto" w:fill="FFFFFF"/>
        <w:spacing w:before="200" w:beforeAutospacing="0" w:afterAutospacing="0"/>
        <w:rPr>
          <w:rFonts w:ascii="Arial" w:hAnsi="Arial" w:cs="Arial"/>
          <w:color w:val="000000"/>
          <w:sz w:val="21"/>
          <w:szCs w:val="21"/>
        </w:rPr>
      </w:pPr>
      <w:r>
        <w:rPr>
          <w:rFonts w:ascii="Arial" w:hAnsi="Arial" w:cs="Arial"/>
          <w:color w:val="000000"/>
          <w:sz w:val="21"/>
          <w:szCs w:val="21"/>
        </w:rPr>
        <w:t>239.7408-1   General.</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(a) Special construction normally involves a common carrier giving a special service or facility related to the performance of the basic telecommunications service requirements.</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This may include—</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(1) Moving or relocating equipment;</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(2) Providing temporary facilities;</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(3) Expediting provision of facilities; or</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(4) Providing specially constructed channel facilities to meet Government requirements.</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(b) Use this subpart instead of FAR part 36 for acquisition of “special construction.”</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(c) Special construction costs may be—</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lastRenderedPageBreak/>
        <w:t>(1) A contingent liability for using telecommunications services for a shorter time than the minimum to reimburse the contractor for unamortized nonrecoverable costs. These costs are usually expressed in terms of a termination liability, as provided in the contract or by tariff;</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(2) A onetime special construction charge;</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(3) Recurring charges for constructed facilities;</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(4) A minimum service charge;</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(5) An expediting charge; or</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(6) A move or relocation charge.</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(d) When a common carrier submits a proposal or quotation which has special construction requirements, the contracting officer shall require a detailed special construction proposal. Analyze all special construction proposals to—</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(1) Determine the adequacy of the proposed construction;</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(2) Disclose excessive or duplicative construction; and</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(3) When different forms of charge are possible, provide for the form of charge most advantageous to the Government.</w:t>
      </w:r>
    </w:p>
    <w:p w:rsidR="00023F7F" w:rsidP="00023F7F" w:rsidRDefault="00023F7F">
      <w:pPr>
        <w:pStyle w:val="NormalWeb"/>
        <w:shd w:val="clear" w:color="auto" w:fill="FFFFFF"/>
        <w:ind w:firstLine="480"/>
        <w:rPr>
          <w:rFonts w:ascii="Arial" w:hAnsi="Arial" w:cs="Arial"/>
          <w:color w:val="000000"/>
          <w:sz w:val="21"/>
          <w:szCs w:val="21"/>
        </w:rPr>
      </w:pPr>
      <w:r>
        <w:rPr>
          <w:rFonts w:ascii="Arial" w:hAnsi="Arial" w:cs="Arial"/>
          <w:color w:val="000000"/>
          <w:sz w:val="21"/>
          <w:szCs w:val="21"/>
        </w:rPr>
        <w:t>(e) When possible, analyze and approve special construction charges before receiving the service. Impose a ceiling on the special construction costs before authorizing the contractor to proceed, if prior approval is not possible. The contracting officer must approve special construction charges before final payment.</w:t>
      </w:r>
    </w:p>
    <w:p w:rsidRPr="00137452" w:rsidR="00023F7F" w:rsidP="00CF10CE" w:rsidRDefault="00023F7F">
      <w:pPr>
        <w:pStyle w:val="DFARS"/>
        <w:rPr>
          <w:szCs w:val="24"/>
        </w:rPr>
      </w:pPr>
    </w:p>
    <w:sectPr w:rsidRPr="00137452" w:rsidR="00023F7F">
      <w:headerReference w:type="even" r:id="rId6"/>
      <w:footerReference w:type="even" r:id="rId7"/>
      <w:footerReference w:type="default" r:id="rId8"/>
      <w:pgSz w:w="12240" w:h="15840" w:code="1"/>
      <w:pgMar w:top="720" w:right="1440" w:bottom="720" w:left="1440" w:header="634"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A8D" w:rsidRDefault="00150A8D">
      <w:r>
        <w:separator/>
      </w:r>
    </w:p>
  </w:endnote>
  <w:endnote w:type="continuationSeparator" w:id="0">
    <w:p w:rsidR="00150A8D" w:rsidRDefault="0015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3A1D99-32BD-4FD0-B99C-B84E2AA5A119}"/>
    <w:embedBold r:id="rId2" w:fontKey="{F5B33F59-9857-4DAF-BEB8-85513C421595}"/>
  </w:font>
  <w:font w:name="Century Schoolbook">
    <w:panose1 w:val="02040604050505020304"/>
    <w:charset w:val="00"/>
    <w:family w:val="roman"/>
    <w:pitch w:val="variable"/>
    <w:sig w:usb0="00000287" w:usb1="00000000" w:usb2="00000000" w:usb3="00000000" w:csb0="0000009F" w:csb1="00000000"/>
    <w:embedRegular r:id="rId3" w:fontKey="{0989FD90-7707-4072-8D05-C8D99DBF1377}"/>
    <w:embedBold r:id="rId4" w:fontKey="{7B4EBCEE-58E3-4F26-BC2E-B3C79DCAECCC}"/>
  </w:font>
  <w:font w:name="Arial">
    <w:panose1 w:val="020B0604020202020204"/>
    <w:charset w:val="00"/>
    <w:family w:val="swiss"/>
    <w:pitch w:val="variable"/>
    <w:sig w:usb0="E0002EFF" w:usb1="C000785B" w:usb2="00000009" w:usb3="00000000" w:csb0="000001FF" w:csb1="00000000"/>
    <w:embedRegular r:id="rId5" w:fontKey="{CC4AA343-B362-4392-9B69-EADCD3FAE808}"/>
    <w:embedBold r:id="rId6" w:fontKey="{1D1CC5C3-28F4-4B86-91B9-D1354E79E7A6}"/>
  </w:font>
  <w:font w:name="Calibri Light">
    <w:panose1 w:val="020F0302020204030204"/>
    <w:charset w:val="00"/>
    <w:family w:val="swiss"/>
    <w:pitch w:val="variable"/>
    <w:sig w:usb0="E0002AFF" w:usb1="C000247B" w:usb2="00000009" w:usb3="00000000" w:csb0="000001FF" w:csb1="00000000"/>
    <w:embedRegular r:id="rId7" w:fontKey="{96140168-BF30-496A-BA32-E5F3C3AB82B1}"/>
  </w:font>
  <w:font w:name="Calibri">
    <w:panose1 w:val="020F0502020204030204"/>
    <w:charset w:val="00"/>
    <w:family w:val="swiss"/>
    <w:pitch w:val="variable"/>
    <w:sig w:usb0="E0002EFF" w:usb1="C000247B" w:usb2="00000009" w:usb3="00000000" w:csb0="000001FF" w:csb1="00000000"/>
    <w:embedRegular r:id="rId8" w:fontKey="{152D8848-0B28-45A3-9AA2-B1008A21AF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5AD" w:rsidRDefault="009A65AD">
    <w:pPr>
      <w:tabs>
        <w:tab w:val="left" w:pos="80"/>
      </w:tabs>
      <w:rPr>
        <w:rFonts w:ascii="Century Schoolbook" w:hAnsi="Century Schoolbook"/>
        <w:sz w:val="20"/>
      </w:rPr>
    </w:pPr>
  </w:p>
  <w:p w:rsidR="009A65AD" w:rsidRDefault="009A65AD">
    <w:pPr>
      <w:rPr>
        <w:rFonts w:ascii="Century Schoolbook" w:hAnsi="Century Schoolbook"/>
        <w:sz w:val="20"/>
      </w:rPr>
    </w:pPr>
  </w:p>
  <w:p w:rsidR="009A65AD" w:rsidRDefault="009A65AD">
    <w:pPr>
      <w:pBdr>
        <w:top w:val="single" w:sz="6" w:space="1" w:color="auto"/>
      </w:pBdr>
      <w:tabs>
        <w:tab w:val="left" w:pos="810"/>
        <w:tab w:val="right" w:pos="9260"/>
      </w:tabs>
      <w:rPr>
        <w:rFonts w:ascii="Century Schoolbook" w:hAnsi="Century Schoolbook"/>
        <w:b/>
        <w:sz w:val="20"/>
      </w:rPr>
    </w:pPr>
    <w:r>
      <w:rPr>
        <w:rFonts w:ascii="Century Schoolbook" w:hAnsi="Century Schoolbook"/>
        <w:b/>
        <w:sz w:val="20"/>
      </w:rPr>
      <w:t>252.239-</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5AD" w:rsidRDefault="009A65AD">
    <w:pPr>
      <w:pStyle w:val="Footer"/>
      <w:pBdr>
        <w:top w:val="single" w:sz="6" w:space="1" w:color="auto"/>
      </w:pBdr>
      <w:tabs>
        <w:tab w:val="clear" w:pos="8640"/>
        <w:tab w:val="right" w:pos="9260"/>
      </w:tabs>
      <w:ind w:left="0" w:firstLine="0"/>
      <w:rPr>
        <w:rFonts w:ascii="Century Schoolbook" w:hAnsi="Century Schoolbook"/>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A8D" w:rsidRDefault="00150A8D">
      <w:r>
        <w:separator/>
      </w:r>
    </w:p>
  </w:footnote>
  <w:footnote w:type="continuationSeparator" w:id="0">
    <w:p w:rsidR="00150A8D" w:rsidRDefault="00150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5AD" w:rsidRDefault="009A65AD">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9A65AD" w:rsidRDefault="009A65AD">
    <w:pPr>
      <w:pStyle w:val="Header"/>
      <w:ind w:left="0" w:firstLine="0"/>
      <w:rPr>
        <w:rFonts w:ascii="Century Schoolbook" w:hAnsi="Century Schoolbook"/>
        <w:b w:val="0"/>
        <w:sz w:val="20"/>
      </w:rPr>
    </w:pPr>
  </w:p>
  <w:p w:rsidR="009A65AD" w:rsidRDefault="009A65AD">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9A65AD" w:rsidRDefault="009A65AD">
    <w:pPr>
      <w:pStyle w:val="Header"/>
      <w:spacing w:before="10" w:line="40" w:lineRule="exact"/>
      <w:ind w:left="0" w:firstLine="0"/>
      <w:rPr>
        <w:rFonts w:ascii="Century Schoolbook" w:hAnsi="Century Schoolbook"/>
        <w:b w:val="0"/>
        <w:position w:val="6"/>
        <w:sz w:val="20"/>
      </w:rPr>
    </w:pPr>
  </w:p>
  <w:p w:rsidR="009A65AD" w:rsidRDefault="009A65AD">
    <w:pPr>
      <w:pStyle w:val="Header"/>
      <w:tabs>
        <w:tab w:val="right" w:pos="10260"/>
      </w:tabs>
      <w:ind w:left="0" w:firstLine="0"/>
      <w:rPr>
        <w:rFonts w:ascii="Century Schoolbook" w:hAnsi="Century Schoolbook"/>
        <w:b w:val="0"/>
        <w:sz w:val="20"/>
      </w:rPr>
    </w:pPr>
  </w:p>
  <w:p w:rsidR="009A65AD" w:rsidRDefault="009A65AD">
    <w:pPr>
      <w:pStyle w:val="Header"/>
      <w:tabs>
        <w:tab w:val="right" w:pos="10260"/>
      </w:tabs>
      <w:ind w:left="0" w:firstLine="0"/>
      <w:rPr>
        <w:rFonts w:ascii="Century Schoolbook" w:hAnsi="Century Schoolbook"/>
        <w:b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10"/>
  <w:removePersonalInformation/>
  <w:removeDateAndTime/>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39"/>
    <w:rsid w:val="00023F7F"/>
    <w:rsid w:val="000C1481"/>
    <w:rsid w:val="00106F64"/>
    <w:rsid w:val="00126C7B"/>
    <w:rsid w:val="00137452"/>
    <w:rsid w:val="00150A8D"/>
    <w:rsid w:val="002007E6"/>
    <w:rsid w:val="00217DAD"/>
    <w:rsid w:val="00311F85"/>
    <w:rsid w:val="00384F69"/>
    <w:rsid w:val="00412845"/>
    <w:rsid w:val="004300E3"/>
    <w:rsid w:val="00433894"/>
    <w:rsid w:val="00433F7D"/>
    <w:rsid w:val="00495FEC"/>
    <w:rsid w:val="004B2258"/>
    <w:rsid w:val="004B6DC8"/>
    <w:rsid w:val="005817E4"/>
    <w:rsid w:val="00587BDC"/>
    <w:rsid w:val="005D4132"/>
    <w:rsid w:val="006018AD"/>
    <w:rsid w:val="00676270"/>
    <w:rsid w:val="00726307"/>
    <w:rsid w:val="00731452"/>
    <w:rsid w:val="00866EDC"/>
    <w:rsid w:val="008A79D2"/>
    <w:rsid w:val="009401BC"/>
    <w:rsid w:val="009A65AD"/>
    <w:rsid w:val="009B31BC"/>
    <w:rsid w:val="009E139D"/>
    <w:rsid w:val="00A041E9"/>
    <w:rsid w:val="00A04FA7"/>
    <w:rsid w:val="00A106B5"/>
    <w:rsid w:val="00A23323"/>
    <w:rsid w:val="00A37907"/>
    <w:rsid w:val="00A40F19"/>
    <w:rsid w:val="00AB2711"/>
    <w:rsid w:val="00B2208B"/>
    <w:rsid w:val="00B300C6"/>
    <w:rsid w:val="00BB4039"/>
    <w:rsid w:val="00C33619"/>
    <w:rsid w:val="00CE5F79"/>
    <w:rsid w:val="00CF10CE"/>
    <w:rsid w:val="00CF7B79"/>
    <w:rsid w:val="00DE32DA"/>
    <w:rsid w:val="00E201EC"/>
    <w:rsid w:val="00E540E5"/>
    <w:rsid w:val="00FB2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link w:val="Heading1Char"/>
    <w:uiPriority w:val="9"/>
    <w:qFormat/>
    <w:rsid w:val="00023F7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23F7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23F7F"/>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Header">
    <w:name w:val="header"/>
    <w:basedOn w:val="Normal"/>
    <w:pPr>
      <w:tabs>
        <w:tab w:val="left" w:pos="1000"/>
        <w:tab w:val="center" w:pos="4320"/>
        <w:tab w:val="right" w:pos="8640"/>
      </w:tabs>
      <w:ind w:left="1000" w:hanging="1000"/>
    </w:pPr>
    <w:rPr>
      <w:b/>
      <w:noProof/>
    </w:rPr>
  </w:style>
  <w:style w:type="paragraph" w:styleId="Footer">
    <w:name w:val="footer"/>
    <w:basedOn w:val="Normal"/>
    <w:pPr>
      <w:tabs>
        <w:tab w:val="left" w:pos="1000"/>
        <w:tab w:val="center" w:pos="4320"/>
        <w:tab w:val="right" w:pos="8640"/>
      </w:tabs>
      <w:ind w:left="1000" w:hanging="1000"/>
    </w:pPr>
    <w:rPr>
      <w:b/>
      <w:noProof/>
    </w:rPr>
  </w:style>
  <w:style w:type="character" w:styleId="Hyperlink">
    <w:name w:val="Hyperlink"/>
    <w:rsid w:val="002007E6"/>
    <w:rPr>
      <w:color w:val="0000FF"/>
      <w:u w:val="single"/>
    </w:rPr>
  </w:style>
  <w:style w:type="character" w:customStyle="1" w:styleId="Heading1Char">
    <w:name w:val="Heading 1 Char"/>
    <w:link w:val="Heading1"/>
    <w:uiPriority w:val="9"/>
    <w:rsid w:val="00023F7F"/>
    <w:rPr>
      <w:b/>
      <w:bCs/>
      <w:kern w:val="36"/>
      <w:sz w:val="48"/>
      <w:szCs w:val="48"/>
    </w:rPr>
  </w:style>
  <w:style w:type="character" w:customStyle="1" w:styleId="Heading2Char">
    <w:name w:val="Heading 2 Char"/>
    <w:link w:val="Heading2"/>
    <w:uiPriority w:val="9"/>
    <w:rsid w:val="00023F7F"/>
    <w:rPr>
      <w:b/>
      <w:bCs/>
      <w:sz w:val="36"/>
      <w:szCs w:val="36"/>
    </w:rPr>
  </w:style>
  <w:style w:type="character" w:customStyle="1" w:styleId="Heading3Char">
    <w:name w:val="Heading 3 Char"/>
    <w:link w:val="Heading3"/>
    <w:uiPriority w:val="9"/>
    <w:rsid w:val="00023F7F"/>
    <w:rPr>
      <w:b/>
      <w:bCs/>
      <w:sz w:val="27"/>
      <w:szCs w:val="27"/>
    </w:rPr>
  </w:style>
  <w:style w:type="paragraph" w:styleId="NormalWeb">
    <w:name w:val="Normal (Web)"/>
    <w:basedOn w:val="Normal"/>
    <w:uiPriority w:val="99"/>
    <w:unhideWhenUsed/>
    <w:rsid w:val="00023F7F"/>
    <w:pPr>
      <w:spacing w:before="100" w:beforeAutospacing="1" w:after="100" w:afterAutospacing="1"/>
    </w:pPr>
    <w:rPr>
      <w:szCs w:val="24"/>
    </w:rPr>
  </w:style>
  <w:style w:type="paragraph" w:styleId="BalloonText">
    <w:name w:val="Balloon Text"/>
    <w:basedOn w:val="Normal"/>
    <w:link w:val="BalloonTextChar"/>
    <w:rsid w:val="00217DAD"/>
    <w:rPr>
      <w:sz w:val="18"/>
      <w:szCs w:val="18"/>
    </w:rPr>
  </w:style>
  <w:style w:type="character" w:customStyle="1" w:styleId="BalloonTextChar">
    <w:name w:val="Balloon Text Char"/>
    <w:link w:val="BalloonText"/>
    <w:rsid w:val="00217D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589639">
      <w:bodyDiv w:val="1"/>
      <w:marLeft w:val="0"/>
      <w:marRight w:val="0"/>
      <w:marTop w:val="0"/>
      <w:marBottom w:val="0"/>
      <w:divBdr>
        <w:top w:val="none" w:sz="0" w:space="0" w:color="auto"/>
        <w:left w:val="none" w:sz="0" w:space="0" w:color="auto"/>
        <w:bottom w:val="none" w:sz="0" w:space="0" w:color="auto"/>
        <w:right w:val="none" w:sz="0" w:space="0" w:color="auto"/>
      </w:divBdr>
    </w:div>
    <w:div w:id="373388334">
      <w:bodyDiv w:val="1"/>
      <w:marLeft w:val="0"/>
      <w:marRight w:val="0"/>
      <w:marTop w:val="0"/>
      <w:marBottom w:val="0"/>
      <w:divBdr>
        <w:top w:val="none" w:sz="0" w:space="0" w:color="auto"/>
        <w:left w:val="none" w:sz="0" w:space="0" w:color="auto"/>
        <w:bottom w:val="none" w:sz="0" w:space="0" w:color="auto"/>
        <w:right w:val="none" w:sz="0" w:space="0" w:color="auto"/>
      </w:divBdr>
    </w:div>
    <w:div w:id="498081060">
      <w:bodyDiv w:val="1"/>
      <w:marLeft w:val="0"/>
      <w:marRight w:val="0"/>
      <w:marTop w:val="0"/>
      <w:marBottom w:val="0"/>
      <w:divBdr>
        <w:top w:val="none" w:sz="0" w:space="0" w:color="auto"/>
        <w:left w:val="none" w:sz="0" w:space="0" w:color="auto"/>
        <w:bottom w:val="none" w:sz="0" w:space="0" w:color="auto"/>
        <w:right w:val="none" w:sz="0" w:space="0" w:color="auto"/>
      </w:divBdr>
    </w:div>
    <w:div w:id="78592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3150</Characters>
  <Application>Microsoft Office Word</Application>
  <DocSecurity>2</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2005-11-04T22:40:00Z</cp:lastPrinted>
  <dcterms:created xsi:type="dcterms:W3CDTF">2021-01-13T16:11:00Z</dcterms:created>
  <dcterms:modified xsi:type="dcterms:W3CDTF">2021-01-13T16:11:00Z</dcterms:modified>
</cp:coreProperties>
</file>