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93A" w:rsidP="0079426D" w:rsidRDefault="00DD493A">
      <w:pPr>
        <w:autoSpaceDE w:val="0"/>
        <w:autoSpaceDN w:val="0"/>
        <w:adjustRightInd w:val="0"/>
        <w:jc w:val="center"/>
        <w:rPr>
          <w:b/>
          <w:bCs/>
          <w:sz w:val="28"/>
          <w:szCs w:val="28"/>
        </w:rPr>
      </w:pPr>
      <w:r>
        <w:rPr>
          <w:b/>
          <w:bCs/>
          <w:sz w:val="28"/>
          <w:szCs w:val="28"/>
        </w:rPr>
        <w:t>U.S. Food and Drug Administration</w:t>
      </w:r>
    </w:p>
    <w:p w:rsidR="006B32F1" w:rsidP="0079426D" w:rsidRDefault="00632F07">
      <w:pPr>
        <w:autoSpaceDE w:val="0"/>
        <w:autoSpaceDN w:val="0"/>
        <w:adjustRightInd w:val="0"/>
        <w:jc w:val="center"/>
        <w:rPr>
          <w:b/>
          <w:bCs/>
          <w:sz w:val="28"/>
          <w:szCs w:val="28"/>
        </w:rPr>
      </w:pPr>
      <w:r w:rsidRPr="00632F07">
        <w:rPr>
          <w:b/>
          <w:bCs/>
          <w:sz w:val="28"/>
          <w:szCs w:val="28"/>
        </w:rPr>
        <w:t>Inspection by</w:t>
      </w:r>
      <w:r w:rsidR="007250B2">
        <w:rPr>
          <w:b/>
          <w:bCs/>
          <w:sz w:val="28"/>
          <w:szCs w:val="28"/>
        </w:rPr>
        <w:t xml:space="preserve"> </w:t>
      </w:r>
      <w:r w:rsidRPr="00632F07">
        <w:rPr>
          <w:b/>
          <w:bCs/>
          <w:sz w:val="28"/>
          <w:szCs w:val="28"/>
        </w:rPr>
        <w:t>Accredited Persons Program Under the Medical Device User Fee and</w:t>
      </w:r>
      <w:r w:rsidR="007250B2">
        <w:rPr>
          <w:b/>
          <w:bCs/>
          <w:sz w:val="28"/>
          <w:szCs w:val="28"/>
        </w:rPr>
        <w:t xml:space="preserve"> </w:t>
      </w:r>
      <w:r w:rsidRPr="00632F07">
        <w:rPr>
          <w:b/>
          <w:bCs/>
          <w:sz w:val="28"/>
          <w:szCs w:val="28"/>
        </w:rPr>
        <w:t>Modernization Act of 2002</w:t>
      </w:r>
    </w:p>
    <w:p w:rsidR="00DD493A" w:rsidP="0079426D" w:rsidRDefault="00DD493A">
      <w:pPr>
        <w:autoSpaceDE w:val="0"/>
        <w:autoSpaceDN w:val="0"/>
        <w:adjustRightInd w:val="0"/>
        <w:jc w:val="center"/>
        <w:rPr>
          <w:b/>
          <w:bCs/>
          <w:sz w:val="28"/>
          <w:szCs w:val="28"/>
        </w:rPr>
      </w:pPr>
    </w:p>
    <w:p w:rsidR="007250B2" w:rsidP="007250B2" w:rsidRDefault="00DD493A">
      <w:pPr>
        <w:autoSpaceDE w:val="0"/>
        <w:autoSpaceDN w:val="0"/>
        <w:adjustRightInd w:val="0"/>
        <w:jc w:val="center"/>
        <w:rPr>
          <w:b/>
          <w:bCs/>
          <w:sz w:val="28"/>
          <w:szCs w:val="28"/>
        </w:rPr>
      </w:pPr>
      <w:r>
        <w:rPr>
          <w:b/>
          <w:bCs/>
          <w:sz w:val="28"/>
          <w:szCs w:val="28"/>
        </w:rPr>
        <w:t xml:space="preserve">OMB Control Number </w:t>
      </w:r>
      <w:r w:rsidR="007250B2">
        <w:rPr>
          <w:b/>
          <w:bCs/>
          <w:sz w:val="28"/>
          <w:szCs w:val="28"/>
        </w:rPr>
        <w:t>0910-0510</w:t>
      </w:r>
    </w:p>
    <w:p w:rsidR="006B32F1" w:rsidP="00632F07" w:rsidRDefault="00632F07">
      <w:pPr>
        <w:jc w:val="center"/>
        <w:rPr>
          <w:b/>
        </w:rPr>
      </w:pPr>
      <w:r w:rsidRPr="00632F07">
        <w:rPr>
          <w:b/>
        </w:rPr>
        <w:t>SUPPORTING STATEMENT</w:t>
      </w:r>
    </w:p>
    <w:p w:rsidR="00632F07" w:rsidP="00632F07" w:rsidRDefault="00632F07">
      <w:pPr>
        <w:jc w:val="center"/>
        <w:rPr>
          <w:b/>
        </w:rPr>
      </w:pPr>
    </w:p>
    <w:p w:rsidRPr="00632F07" w:rsidR="00632F07" w:rsidP="00632F07" w:rsidRDefault="00632F07">
      <w:pPr>
        <w:jc w:val="center"/>
        <w:rPr>
          <w:b/>
        </w:rPr>
      </w:pPr>
    </w:p>
    <w:p w:rsidRPr="00C03B17" w:rsidR="00C03B17" w:rsidP="00632F07" w:rsidRDefault="00C03B17">
      <w:pPr>
        <w:pStyle w:val="Heading2"/>
        <w:spacing w:line="240" w:lineRule="auto"/>
        <w:rPr>
          <w:b w:val="0"/>
        </w:rPr>
      </w:pPr>
      <w:r>
        <w:t>Terms of Clearance:</w:t>
      </w:r>
      <w:r>
        <w:rPr>
          <w:b w:val="0"/>
        </w:rPr>
        <w:t xml:space="preserve">  None.</w:t>
      </w:r>
    </w:p>
    <w:p w:rsidR="00C03B17" w:rsidP="00632F07" w:rsidRDefault="00C03B17">
      <w:pPr>
        <w:pStyle w:val="Heading2"/>
        <w:spacing w:line="240" w:lineRule="auto"/>
      </w:pPr>
    </w:p>
    <w:p w:rsidR="004526EF" w:rsidP="00632F07" w:rsidRDefault="006B32F1">
      <w:pPr>
        <w:pStyle w:val="Heading2"/>
        <w:spacing w:line="240" w:lineRule="auto"/>
      </w:pPr>
      <w:r>
        <w:t xml:space="preserve">A.  </w:t>
      </w:r>
      <w:r w:rsidR="008702CA">
        <w:t>Justification</w:t>
      </w:r>
    </w:p>
    <w:p w:rsidRPr="00C03B17" w:rsidR="00C03B17" w:rsidP="00C03B17" w:rsidRDefault="00C03B17"/>
    <w:p w:rsidRPr="00A15964" w:rsidR="006B32F1" w:rsidP="00C03B17" w:rsidRDefault="00F206EB">
      <w:pPr>
        <w:rPr>
          <w:b/>
          <w:u w:val="single"/>
        </w:rPr>
      </w:pPr>
      <w:r>
        <w:rPr>
          <w:b/>
          <w:u w:val="single"/>
        </w:rPr>
        <w:t xml:space="preserve">1.  </w:t>
      </w:r>
      <w:r w:rsidR="006B32F1">
        <w:rPr>
          <w:b/>
          <w:u w:val="single"/>
        </w:rPr>
        <w:t xml:space="preserve">Circumstances </w:t>
      </w:r>
      <w:r w:rsidR="00F81377">
        <w:rPr>
          <w:b/>
          <w:u w:val="single"/>
        </w:rPr>
        <w:t>Making the Collection of I</w:t>
      </w:r>
      <w:r w:rsidR="006B32F1">
        <w:rPr>
          <w:b/>
          <w:u w:val="single"/>
        </w:rPr>
        <w:t xml:space="preserve">nformation </w:t>
      </w:r>
      <w:r w:rsidR="00F81377">
        <w:rPr>
          <w:b/>
          <w:u w:val="single"/>
        </w:rPr>
        <w:t>Necessary</w:t>
      </w:r>
    </w:p>
    <w:p w:rsidR="007250B2" w:rsidP="00DF2E7F" w:rsidRDefault="007250B2">
      <w:pPr>
        <w:pStyle w:val="HTMLPreformatted"/>
        <w:jc w:val="center"/>
        <w:rPr>
          <w:rFonts w:ascii="Times New Roman" w:hAnsi="Times New Roman"/>
          <w:sz w:val="24"/>
        </w:rPr>
      </w:pPr>
    </w:p>
    <w:p w:rsidR="00C01D1A" w:rsidP="0052320F" w:rsidRDefault="00C01D1A">
      <w:r w:rsidRPr="00C01D1A">
        <w:t xml:space="preserve">This information collection supports the requirements of section 704(g) </w:t>
      </w:r>
      <w:r w:rsidRPr="0052320F" w:rsidR="0031544D">
        <w:t>of the Federal Food, Drug, and Cosmetic Act (the FD&amp;C Act)</w:t>
      </w:r>
      <w:r w:rsidR="0031544D">
        <w:t xml:space="preserve"> </w:t>
      </w:r>
      <w:r w:rsidRPr="0052320F" w:rsidR="0031544D">
        <w:t>(</w:t>
      </w:r>
      <w:hyperlink w:history="1" r:id="rId8">
        <w:r w:rsidRPr="0052320F" w:rsidR="0031544D">
          <w:rPr>
            <w:rStyle w:val="Hyperlink"/>
          </w:rPr>
          <w:t>21 U.S.C. 37</w:t>
        </w:r>
        <w:r w:rsidRPr="0052320F" w:rsidR="0031544D">
          <w:rPr>
            <w:rStyle w:val="Hyperlink"/>
          </w:rPr>
          <w:t>4</w:t>
        </w:r>
        <w:r w:rsidRPr="0052320F" w:rsidR="0031544D">
          <w:rPr>
            <w:rStyle w:val="Hyperlink"/>
          </w:rPr>
          <w:t>(g)</w:t>
        </w:r>
      </w:hyperlink>
      <w:r w:rsidRPr="0052320F" w:rsidR="0031544D">
        <w:t>)</w:t>
      </w:r>
      <w:r w:rsidRPr="00C01D1A">
        <w:t xml:space="preserve"> </w:t>
      </w:r>
      <w:r w:rsidR="000D17C6">
        <w:t>and</w:t>
      </w:r>
      <w:r>
        <w:t xml:space="preserve"> FDA’s Inspection by Accredited Persons Program (or</w:t>
      </w:r>
      <w:r w:rsidRPr="00C01D1A">
        <w:t xml:space="preserve"> AP Program</w:t>
      </w:r>
      <w:r>
        <w:t>)</w:t>
      </w:r>
      <w:r w:rsidR="00F053F8">
        <w:t xml:space="preserve">, </w:t>
      </w:r>
      <w:r w:rsidRPr="00C01D1A" w:rsidR="00F053F8">
        <w:t>including request</w:t>
      </w:r>
      <w:r w:rsidR="0031544D">
        <w:t>s</w:t>
      </w:r>
      <w:r w:rsidRPr="00C01D1A" w:rsidR="00F053F8">
        <w:t xml:space="preserve"> to become an Accredited Person under the AP Program</w:t>
      </w:r>
      <w:r w:rsidR="00F053F8">
        <w:t xml:space="preserve"> and a manufacturer’s notice of </w:t>
      </w:r>
      <w:r w:rsidR="0031544D">
        <w:t xml:space="preserve"> their </w:t>
      </w:r>
      <w:r w:rsidR="00F053F8">
        <w:t>intent</w:t>
      </w:r>
      <w:r w:rsidR="0031544D">
        <w:t>ion</w:t>
      </w:r>
      <w:r w:rsidR="00F053F8">
        <w:t xml:space="preserve"> to use an Accredited Person to conduct inspections of their establishment.</w:t>
      </w:r>
    </w:p>
    <w:p w:rsidR="00C01D1A" w:rsidP="0052320F" w:rsidRDefault="00C01D1A"/>
    <w:p w:rsidRPr="0052320F" w:rsidR="0052320F" w:rsidP="0052320F" w:rsidRDefault="0052320F">
      <w:r w:rsidRPr="0052320F">
        <w:t>Under section 704(g) of the FD&amp;C Act, as amended by section 201 of the Medical Device User Fee and Modernization Act of 2002 and the FDA Amendments Act of 2007, FDA established</w:t>
      </w:r>
      <w:r w:rsidR="00DB1A9E">
        <w:t xml:space="preserve"> the Inspection by Accredited Persons Program (</w:t>
      </w:r>
      <w:r w:rsidR="00F053F8">
        <w:t>or AP Program),</w:t>
      </w:r>
      <w:r w:rsidRPr="0052320F">
        <w:t xml:space="preserve"> a voluntary </w:t>
      </w:r>
      <w:proofErr w:type="gramStart"/>
      <w:r w:rsidRPr="0052320F">
        <w:t>third party</w:t>
      </w:r>
      <w:proofErr w:type="gramEnd"/>
      <w:r w:rsidRPr="0052320F">
        <w:t xml:space="preserve"> inspection program applicable to manufacturers of class II or class III medical devices who meet certain eligibility criteria.  Under the AP Program, eligible manufacturers may elect to have third parties that have been accredited by FDA (Accredited Persons) conduct some of their inspections instead of FDA. This is a voluntary program.</w:t>
      </w:r>
    </w:p>
    <w:p w:rsidRPr="0052320F" w:rsidR="0052320F" w:rsidP="0052320F" w:rsidRDefault="0052320F"/>
    <w:p w:rsidR="005509BE" w:rsidP="00C01D1A" w:rsidRDefault="00F053F8">
      <w:pPr>
        <w:pStyle w:val="HTMLPreformatted"/>
        <w:rPr>
          <w:rFonts w:ascii="Times New Roman" w:hAnsi="Times New Roman"/>
          <w:sz w:val="24"/>
        </w:rPr>
      </w:pPr>
      <w:r w:rsidRPr="00C01D1A">
        <w:rPr>
          <w:rFonts w:ascii="Times New Roman" w:hAnsi="Times New Roman"/>
          <w:sz w:val="24"/>
        </w:rPr>
        <w:t xml:space="preserve">To assist respondents, FDA developed </w:t>
      </w:r>
      <w:r>
        <w:rPr>
          <w:rFonts w:ascii="Times New Roman" w:hAnsi="Times New Roman"/>
          <w:sz w:val="24"/>
        </w:rPr>
        <w:t>two guidance documents.</w:t>
      </w:r>
      <w:r w:rsidR="005509BE">
        <w:rPr>
          <w:rStyle w:val="FootnoteReference"/>
          <w:rFonts w:ascii="Times New Roman" w:hAnsi="Times New Roman"/>
          <w:sz w:val="24"/>
        </w:rPr>
        <w:footnoteReference w:id="1"/>
      </w:r>
      <w:r>
        <w:rPr>
          <w:rFonts w:ascii="Times New Roman" w:hAnsi="Times New Roman"/>
          <w:sz w:val="24"/>
        </w:rPr>
        <w:t xml:space="preserve"> </w:t>
      </w:r>
      <w:r w:rsidRPr="00C01D1A" w:rsidR="00C01D1A">
        <w:rPr>
          <w:rFonts w:ascii="Times New Roman" w:hAnsi="Times New Roman"/>
          <w:sz w:val="24"/>
        </w:rPr>
        <w:t xml:space="preserve">The guidance document “Guidance for Industry, FDA Staff, and Third Parties – Inspection by Accredited Persons under the Medical Device User Fee and Modernization Act of 2002 and the FDA Amendments Act of 2007: Accreditation Criteria” describes, among other things, the information an applicant should include in their request for accreditation to demonstrate that they meet the qualifications </w:t>
      </w:r>
      <w:r w:rsidRPr="00C01D1A" w:rsidR="00C01D1A">
        <w:rPr>
          <w:rFonts w:ascii="Times New Roman" w:hAnsi="Times New Roman"/>
          <w:sz w:val="24"/>
        </w:rPr>
        <w:lastRenderedPageBreak/>
        <w:t>necessary to become an Accredited Person.</w:t>
      </w:r>
      <w:r w:rsidR="005509BE">
        <w:rPr>
          <w:rFonts w:ascii="Times New Roman" w:hAnsi="Times New Roman"/>
          <w:sz w:val="24"/>
        </w:rPr>
        <w:t xml:space="preserve"> T</w:t>
      </w:r>
      <w:r w:rsidRPr="00C01D1A" w:rsidR="00C01D1A">
        <w:rPr>
          <w:rFonts w:ascii="Times New Roman" w:hAnsi="Times New Roman"/>
          <w:sz w:val="24"/>
        </w:rPr>
        <w:t xml:space="preserve">he guidance document, “Manufacturer's Notification of the Intent to Use an Accredited Person Under the Accredited Persons Inspection Program Authorized by Section 228 of the Food and Drug Administration Amendments Act of 2007” provides recommendations to respondents on notifying FDA of their intent to request inspection under the AP Program. </w:t>
      </w:r>
    </w:p>
    <w:p w:rsidR="002C36AD" w:rsidP="00C01D1A" w:rsidRDefault="002C36AD">
      <w:pPr>
        <w:pStyle w:val="HTMLPreformatted"/>
        <w:rPr>
          <w:rFonts w:ascii="Times New Roman" w:hAnsi="Times New Roman"/>
          <w:sz w:val="24"/>
        </w:rPr>
      </w:pPr>
    </w:p>
    <w:p w:rsidR="002C36AD" w:rsidP="00C01D1A" w:rsidRDefault="002C36AD">
      <w:pPr>
        <w:pStyle w:val="HTMLPreformatted"/>
        <w:rPr>
          <w:rFonts w:ascii="Times New Roman" w:hAnsi="Times New Roman"/>
          <w:sz w:val="24"/>
        </w:rPr>
      </w:pPr>
      <w:r>
        <w:rPr>
          <w:rFonts w:ascii="Times New Roman" w:hAnsi="Times New Roman"/>
          <w:sz w:val="24"/>
        </w:rPr>
        <w:t>We request OMB approval for the information collection provisions of section 704(g) of the FD&amp;C Act and discussed in this supporting statement.</w:t>
      </w:r>
    </w:p>
    <w:p w:rsidR="0093609D" w:rsidP="00407220" w:rsidRDefault="0093609D"/>
    <w:p w:rsidRPr="00A15964" w:rsidR="006B32F1" w:rsidP="00C03B17" w:rsidRDefault="00F206EB">
      <w:pPr>
        <w:rPr>
          <w:b/>
          <w:u w:val="single"/>
        </w:rPr>
      </w:pPr>
      <w:r>
        <w:rPr>
          <w:b/>
          <w:u w:val="single"/>
        </w:rPr>
        <w:t xml:space="preserve">2.  </w:t>
      </w:r>
      <w:r w:rsidRPr="00A15964" w:rsidR="00A15964">
        <w:rPr>
          <w:b/>
          <w:u w:val="single"/>
        </w:rPr>
        <w:t>Purpose</w:t>
      </w:r>
      <w:r w:rsidR="006B32F1">
        <w:rPr>
          <w:b/>
          <w:u w:val="single"/>
        </w:rPr>
        <w:t xml:space="preserve"> and </w:t>
      </w:r>
      <w:r w:rsidR="00C03B17">
        <w:rPr>
          <w:b/>
          <w:u w:val="single"/>
        </w:rPr>
        <w:t>U</w:t>
      </w:r>
      <w:r w:rsidR="006B32F1">
        <w:rPr>
          <w:b/>
          <w:u w:val="single"/>
        </w:rPr>
        <w:t xml:space="preserve">se of </w:t>
      </w:r>
      <w:r w:rsidR="00F81377">
        <w:rPr>
          <w:b/>
          <w:u w:val="single"/>
        </w:rPr>
        <w:t xml:space="preserve">the </w:t>
      </w:r>
      <w:r w:rsidR="006B32F1">
        <w:rPr>
          <w:b/>
          <w:u w:val="single"/>
        </w:rPr>
        <w:t>Information</w:t>
      </w:r>
      <w:r w:rsidR="00F81377">
        <w:rPr>
          <w:b/>
          <w:u w:val="single"/>
        </w:rPr>
        <w:t xml:space="preserve"> Collection</w:t>
      </w:r>
    </w:p>
    <w:p w:rsidR="008160D5" w:rsidP="001376FE" w:rsidRDefault="008160D5">
      <w:pPr>
        <w:pStyle w:val="Footer"/>
        <w:tabs>
          <w:tab w:val="clear" w:pos="4320"/>
          <w:tab w:val="clear" w:pos="8640"/>
        </w:tabs>
        <w:jc w:val="both"/>
      </w:pPr>
    </w:p>
    <w:p w:rsidR="000C7764" w:rsidP="000C7764" w:rsidRDefault="006B32F1">
      <w:r>
        <w:t xml:space="preserve">Information from this collection will be used by FDA to implement </w:t>
      </w:r>
      <w:r w:rsidR="000C7764">
        <w:t xml:space="preserve">the </w:t>
      </w:r>
      <w:r>
        <w:t xml:space="preserve">Inspection by Accredited Persons </w:t>
      </w:r>
      <w:r w:rsidR="000C7764">
        <w:t>P</w:t>
      </w:r>
      <w:r>
        <w:t>rogram.</w:t>
      </w:r>
      <w:r w:rsidR="000C7764">
        <w:t xml:space="preserve">  </w:t>
      </w:r>
      <w:r w:rsidR="002952C4">
        <w:t>FDA will use the information</w:t>
      </w:r>
      <w:r w:rsidRPr="00A87A70" w:rsidR="000C7764">
        <w:t xml:space="preserve"> </w:t>
      </w:r>
      <w:r w:rsidR="005509BE">
        <w:t xml:space="preserve">in a request for accreditation </w:t>
      </w:r>
      <w:r w:rsidRPr="00A87A70" w:rsidR="000C7764">
        <w:t>to determine</w:t>
      </w:r>
      <w:r w:rsidR="000C7764">
        <w:t xml:space="preserve"> </w:t>
      </w:r>
      <w:r w:rsidRPr="00A87A70" w:rsidR="000C7764">
        <w:t>whether a</w:t>
      </w:r>
      <w:r w:rsidR="000C7764">
        <w:t>n applicant meets the criteria to become accredited to conduct inspections</w:t>
      </w:r>
      <w:r w:rsidR="005509BE">
        <w:t xml:space="preserve"> (an Accredited Person)</w:t>
      </w:r>
      <w:r w:rsidR="000C7764">
        <w:t>.</w:t>
      </w:r>
      <w:r w:rsidR="005509BE">
        <w:t xml:space="preserve"> </w:t>
      </w:r>
      <w:r w:rsidRPr="005509BE" w:rsidR="005509BE">
        <w:t>The information submitted to FDA in the notification</w:t>
      </w:r>
      <w:r w:rsidR="005509BE">
        <w:t xml:space="preserve"> from manufacturers</w:t>
      </w:r>
      <w:r w:rsidRPr="005509BE" w:rsidR="005509BE">
        <w:t xml:space="preserve"> is used to determine whether </w:t>
      </w:r>
      <w:r w:rsidR="005509BE">
        <w:t>they</w:t>
      </w:r>
      <w:r w:rsidRPr="005509BE" w:rsidR="005509BE">
        <w:t xml:space="preserve"> satisfy the eligibility criteria for participation in the AP Program.</w:t>
      </w:r>
    </w:p>
    <w:p w:rsidR="00DF2E7F" w:rsidP="001376FE" w:rsidRDefault="00DF2E7F">
      <w:pPr>
        <w:pStyle w:val="HTMLPreformatted"/>
        <w:rPr>
          <w:rFonts w:ascii="Times New Roman" w:hAnsi="Times New Roman"/>
          <w:sz w:val="24"/>
        </w:rPr>
      </w:pPr>
    </w:p>
    <w:p w:rsidR="00DF2E7F" w:rsidP="001376FE" w:rsidRDefault="00DF2E7F">
      <w:pPr>
        <w:pStyle w:val="HTMLPreformatted"/>
        <w:rPr>
          <w:rFonts w:ascii="Times New Roman" w:hAnsi="Times New Roman"/>
          <w:sz w:val="24"/>
        </w:rPr>
      </w:pPr>
      <w:r>
        <w:rPr>
          <w:rFonts w:ascii="Times New Roman" w:hAnsi="Times New Roman"/>
          <w:sz w:val="24"/>
        </w:rPr>
        <w:t>The respondents for this information collection are</w:t>
      </w:r>
      <w:r w:rsidR="009E2627">
        <w:rPr>
          <w:rFonts w:ascii="Times New Roman" w:hAnsi="Times New Roman"/>
          <w:sz w:val="24"/>
        </w:rPr>
        <w:t xml:space="preserve"> businesses or other for profit.</w:t>
      </w:r>
    </w:p>
    <w:p w:rsidR="006B32F1" w:rsidP="001376FE" w:rsidRDefault="006B32F1">
      <w:pPr>
        <w:rPr>
          <w:u w:val="single"/>
        </w:rPr>
      </w:pPr>
    </w:p>
    <w:p w:rsidR="006B32F1" w:rsidP="00C03B17" w:rsidRDefault="00C03B17">
      <w:pPr>
        <w:keepNext/>
        <w:jc w:val="both"/>
        <w:rPr>
          <w:b/>
          <w:u w:val="single"/>
        </w:rPr>
      </w:pPr>
      <w:r>
        <w:rPr>
          <w:b/>
          <w:u w:val="single"/>
        </w:rPr>
        <w:t xml:space="preserve">3.  </w:t>
      </w:r>
      <w:r w:rsidR="006B32F1">
        <w:rPr>
          <w:b/>
          <w:u w:val="single"/>
        </w:rPr>
        <w:t xml:space="preserve">Use of </w:t>
      </w:r>
      <w:r>
        <w:rPr>
          <w:b/>
          <w:u w:val="single"/>
        </w:rPr>
        <w:t xml:space="preserve">Improved </w:t>
      </w:r>
      <w:r w:rsidR="006B32F1">
        <w:rPr>
          <w:b/>
          <w:u w:val="single"/>
        </w:rPr>
        <w:t>Information Technology and Burden Reduction</w:t>
      </w:r>
    </w:p>
    <w:p w:rsidRPr="00B06325" w:rsidR="00466911" w:rsidP="00B06325" w:rsidRDefault="00466911">
      <w:pPr>
        <w:keepNext/>
      </w:pPr>
    </w:p>
    <w:p w:rsidRPr="00547324" w:rsidR="006B32F1" w:rsidP="00466911" w:rsidRDefault="00C57A84">
      <w:pPr>
        <w:rPr>
          <w:bCs/>
          <w:u w:val="single"/>
        </w:rPr>
      </w:pPr>
      <w:r>
        <w:rPr>
          <w:bCs/>
        </w:rPr>
        <w:t>While requests for accreditation and notifications to FDA do not require a specific format,</w:t>
      </w:r>
      <w:r w:rsidRPr="00547324">
        <w:rPr>
          <w:bCs/>
        </w:rPr>
        <w:t xml:space="preserve"> </w:t>
      </w:r>
      <w:r w:rsidRPr="00547324" w:rsidR="006B32F1">
        <w:rPr>
          <w:bCs/>
        </w:rPr>
        <w:t xml:space="preserve">FDA will accept electronic submissions from any applicant that wishes to submit in </w:t>
      </w:r>
      <w:r>
        <w:rPr>
          <w:bCs/>
        </w:rPr>
        <w:t>an electronic</w:t>
      </w:r>
      <w:r w:rsidRPr="00547324" w:rsidR="006B32F1">
        <w:rPr>
          <w:bCs/>
        </w:rPr>
        <w:t xml:space="preserve"> format.</w:t>
      </w:r>
      <w:r w:rsidR="00B06325">
        <w:rPr>
          <w:bCs/>
        </w:rPr>
        <w:t xml:space="preserve"> </w:t>
      </w:r>
      <w:r>
        <w:rPr>
          <w:bCs/>
        </w:rPr>
        <w:t>We</w:t>
      </w:r>
      <w:r w:rsidR="00B06325">
        <w:rPr>
          <w:bCs/>
        </w:rPr>
        <w:t xml:space="preserve"> estimate that 100% of the respondents will use electronic means to </w:t>
      </w:r>
      <w:r w:rsidR="00FA4F26">
        <w:rPr>
          <w:bCs/>
        </w:rPr>
        <w:t>submit the information</w:t>
      </w:r>
      <w:r w:rsidR="00B06325">
        <w:rPr>
          <w:bCs/>
        </w:rPr>
        <w:t>.</w:t>
      </w:r>
    </w:p>
    <w:p w:rsidR="006B32F1" w:rsidP="00632F07" w:rsidRDefault="006B32F1">
      <w:pPr>
        <w:rPr>
          <w:u w:val="single"/>
        </w:rPr>
      </w:pPr>
    </w:p>
    <w:p w:rsidRPr="00AF422D" w:rsidR="00F206EB" w:rsidP="00C03B17" w:rsidRDefault="00097140">
      <w:pPr>
        <w:rPr>
          <w:b/>
          <w:u w:val="single"/>
        </w:rPr>
      </w:pPr>
      <w:r>
        <w:rPr>
          <w:b/>
          <w:u w:val="single"/>
        </w:rPr>
        <w:t xml:space="preserve">4.  </w:t>
      </w:r>
      <w:r w:rsidRPr="00AF422D" w:rsidR="00F206EB">
        <w:rPr>
          <w:b/>
          <w:u w:val="single"/>
        </w:rPr>
        <w:t>Efforts to Identify Duplication a</w:t>
      </w:r>
      <w:r w:rsidR="00F206EB">
        <w:rPr>
          <w:b/>
          <w:u w:val="single"/>
        </w:rPr>
        <w:t>n</w:t>
      </w:r>
      <w:r w:rsidRPr="00AF422D" w:rsidR="00F206EB">
        <w:rPr>
          <w:b/>
          <w:u w:val="single"/>
        </w:rPr>
        <w:t>d Use of Similar Information</w:t>
      </w:r>
    </w:p>
    <w:p w:rsidR="006B32F1" w:rsidP="000F6A3C" w:rsidRDefault="006B32F1"/>
    <w:p w:rsidR="006B32F1" w:rsidP="000F6A3C" w:rsidRDefault="00C57A84">
      <w:r>
        <w:t xml:space="preserve">We are unaware of duplicative information collection. </w:t>
      </w:r>
      <w:r w:rsidR="006B32F1">
        <w:t>FDA is the only Federal Agency responsible for the collection of this information.</w:t>
      </w:r>
    </w:p>
    <w:p w:rsidR="006B32F1" w:rsidP="000F6A3C" w:rsidRDefault="006B32F1"/>
    <w:p w:rsidR="006B32F1" w:rsidP="000F6A3C" w:rsidRDefault="00097140">
      <w:pPr>
        <w:rPr>
          <w:b/>
          <w:u w:val="single"/>
        </w:rPr>
      </w:pPr>
      <w:r>
        <w:rPr>
          <w:b/>
          <w:u w:val="single"/>
        </w:rPr>
        <w:t xml:space="preserve">5.  </w:t>
      </w:r>
      <w:r w:rsidR="006B32F1">
        <w:rPr>
          <w:b/>
          <w:u w:val="single"/>
        </w:rPr>
        <w:t>Impact on Small Businesses or Other Small Entities</w:t>
      </w:r>
    </w:p>
    <w:p w:rsidR="004D4127" w:rsidP="000F6A3C" w:rsidRDefault="004D4127"/>
    <w:p w:rsidR="00EC0E9F" w:rsidP="000F6A3C" w:rsidRDefault="00EC0E9F">
      <w:r>
        <w:t>The information being collected has been held to the absolute minimum required for the intended use of the data. The information collection does not impose undue burden on small entities. Rather, it is intended to provide specific regulatory options to manufacturers of medical devices.</w:t>
      </w:r>
      <w:r w:rsidR="009E2627">
        <w:t xml:space="preserve"> </w:t>
      </w:r>
      <w:r w:rsidR="006B32F1">
        <w:t xml:space="preserve">Participation in the Inspection by Accredited Persons </w:t>
      </w:r>
      <w:r w:rsidR="008817D5">
        <w:t>P</w:t>
      </w:r>
      <w:r w:rsidR="006B32F1">
        <w:t>rogram is voluntary.</w:t>
      </w:r>
    </w:p>
    <w:p w:rsidR="00EC0E9F" w:rsidP="000F6A3C" w:rsidRDefault="00EC0E9F"/>
    <w:p w:rsidR="006B32F1" w:rsidP="000F6A3C" w:rsidRDefault="00EC0E9F">
      <w:r>
        <w:t>FDA aids small business by providing guidance and information through Agency components including the CDRH’s Division of Industry and Consumer Education (DICE).</w:t>
      </w:r>
      <w:r w:rsidR="006B32F1">
        <w:t xml:space="preserve"> </w:t>
      </w:r>
      <w:r>
        <w:t>DICE provides workshops, onsite evaluations, and other technical and nonfinancial assistance to small manufacturers. The workshops make available publications and educational materials, which include medical device establishment and listing requirements. DICE also maintains a toll-free “800” telephone number and a website that firms may use to obtain regulatory compliance information.</w:t>
      </w:r>
    </w:p>
    <w:p w:rsidR="00DD5F5B" w:rsidP="000F6A3C" w:rsidRDefault="00DD5F5B"/>
    <w:p w:rsidR="006B32F1" w:rsidP="000F6A3C" w:rsidRDefault="00097140">
      <w:pPr>
        <w:rPr>
          <w:b/>
          <w:u w:val="single"/>
        </w:rPr>
      </w:pPr>
      <w:r>
        <w:rPr>
          <w:b/>
          <w:u w:val="single"/>
        </w:rPr>
        <w:lastRenderedPageBreak/>
        <w:t xml:space="preserve">6.  </w:t>
      </w:r>
      <w:r w:rsidR="006B32F1">
        <w:rPr>
          <w:b/>
          <w:u w:val="single"/>
        </w:rPr>
        <w:t>Consequences of Collecting the Information Less Frequently</w:t>
      </w:r>
    </w:p>
    <w:p w:rsidR="009E2627" w:rsidP="000F6A3C" w:rsidRDefault="009E2627"/>
    <w:p w:rsidR="009E2627" w:rsidP="000F6A3C" w:rsidRDefault="009E2627">
      <w:r>
        <w:t>Respondents to this information collection respond occasionally</w:t>
      </w:r>
      <w:r w:rsidR="00591958">
        <w:t xml:space="preserve">, </w:t>
      </w:r>
      <w:r w:rsidR="00422A82">
        <w:t xml:space="preserve">when they are requesting </w:t>
      </w:r>
      <w:r w:rsidR="007B20B1">
        <w:t>a</w:t>
      </w:r>
      <w:r w:rsidR="00422A82">
        <w:t>ccreditation</w:t>
      </w:r>
      <w:r w:rsidR="00EC0E9F">
        <w:t xml:space="preserve"> or providing notification</w:t>
      </w:r>
      <w:r w:rsidR="007B20B1">
        <w:t>.</w:t>
      </w:r>
      <w:r w:rsidR="00E643C2">
        <w:t xml:space="preserve"> Participation in the Inspection by Accredited Persons </w:t>
      </w:r>
      <w:r w:rsidR="008817D5">
        <w:t>P</w:t>
      </w:r>
      <w:r w:rsidR="00E643C2">
        <w:t>rogram is voluntary. FDA uses the request</w:t>
      </w:r>
      <w:r w:rsidR="00EC0E9F">
        <w:t>s</w:t>
      </w:r>
      <w:r w:rsidR="00E643C2">
        <w:t xml:space="preserve"> for accreditation to determine whether applicants meet the criteria to become Accredited Persons</w:t>
      </w:r>
      <w:r w:rsidR="00EC0E9F">
        <w:t>. FDA uses the notification of intent to use an Accredited Person to determine whether manufacturer meets the criteria to participate in the program</w:t>
      </w:r>
      <w:r w:rsidR="001C79BC">
        <w:t xml:space="preserve">. </w:t>
      </w:r>
      <w:r w:rsidR="00033C12">
        <w:t xml:space="preserve">Without collecting the information, FDA would have no means by which to determine whether </w:t>
      </w:r>
      <w:r w:rsidR="00AA3C48">
        <w:t>respondents</w:t>
      </w:r>
      <w:r w:rsidR="00033C12">
        <w:t xml:space="preserve"> </w:t>
      </w:r>
      <w:r w:rsidR="00AA3C48">
        <w:t>may participate in the program</w:t>
      </w:r>
      <w:r w:rsidR="00033C12">
        <w:t>.</w:t>
      </w:r>
    </w:p>
    <w:p w:rsidR="004D4127" w:rsidP="000F6A3C" w:rsidRDefault="004D4127"/>
    <w:p w:rsidR="006B32F1" w:rsidP="000F6A3C" w:rsidRDefault="000F6A3C">
      <w:pPr>
        <w:rPr>
          <w:b/>
          <w:u w:val="single"/>
        </w:rPr>
      </w:pPr>
      <w:r>
        <w:rPr>
          <w:b/>
          <w:u w:val="single"/>
        </w:rPr>
        <w:t xml:space="preserve">7.  </w:t>
      </w:r>
      <w:r w:rsidR="006B32F1">
        <w:rPr>
          <w:b/>
          <w:u w:val="single"/>
        </w:rPr>
        <w:t>Special Circumstances Relating to the Guidelines of 5 CFR 1320.5</w:t>
      </w:r>
    </w:p>
    <w:p w:rsidR="00591958" w:rsidP="000F6A3C" w:rsidRDefault="00591958">
      <w:pPr>
        <w:rPr>
          <w:b/>
          <w:u w:val="single"/>
        </w:rPr>
      </w:pPr>
    </w:p>
    <w:p w:rsidR="00401B76" w:rsidP="000F6A3C" w:rsidRDefault="003D787A">
      <w:r>
        <w:t>There are no special circumstances for this collection of information.</w:t>
      </w:r>
    </w:p>
    <w:p w:rsidR="00401B76" w:rsidP="000F6A3C" w:rsidRDefault="00401B76"/>
    <w:p w:rsidR="00097140" w:rsidP="000F6A3C" w:rsidRDefault="000F6A3C">
      <w:pPr>
        <w:rPr>
          <w:b/>
          <w:u w:val="single"/>
        </w:rPr>
      </w:pPr>
      <w:r>
        <w:rPr>
          <w:b/>
          <w:u w:val="single"/>
        </w:rPr>
        <w:t xml:space="preserve">8.  </w:t>
      </w:r>
      <w:r w:rsidRPr="00AF422D" w:rsidR="00097140">
        <w:rPr>
          <w:b/>
          <w:u w:val="single"/>
        </w:rPr>
        <w:t>Comments in Response to the Federal Register Notice and Efforts to Consult Outside the Agency</w:t>
      </w:r>
    </w:p>
    <w:p w:rsidR="00591958" w:rsidP="000F6A3C" w:rsidRDefault="00591958">
      <w:pPr>
        <w:rPr>
          <w:b/>
          <w:u w:val="single"/>
        </w:rPr>
      </w:pPr>
    </w:p>
    <w:p w:rsidR="00323DAF" w:rsidP="000F6A3C" w:rsidRDefault="003D24F6">
      <w:pPr>
        <w:pStyle w:val="BodyTextIndent"/>
        <w:spacing w:line="240" w:lineRule="auto"/>
        <w:ind w:left="0"/>
      </w:pPr>
      <w:r w:rsidRPr="00591958">
        <w:t xml:space="preserve">In accordance with 5 CFR 1320.8(d), FDA </w:t>
      </w:r>
      <w:r w:rsidR="00AA3C48">
        <w:t xml:space="preserve">routinely </w:t>
      </w:r>
      <w:r w:rsidRPr="00591958">
        <w:t>publishe</w:t>
      </w:r>
      <w:r w:rsidR="00AA3C48">
        <w:t>s</w:t>
      </w:r>
      <w:r w:rsidRPr="00591958">
        <w:t xml:space="preserve"> notice</w:t>
      </w:r>
      <w:r w:rsidR="00AA3C48">
        <w:t>s</w:t>
      </w:r>
      <w:r w:rsidRPr="00591958">
        <w:t xml:space="preserve"> for public comment </w:t>
      </w:r>
      <w:r w:rsidR="00AA3C48">
        <w:t>on the information collection</w:t>
      </w:r>
      <w:r>
        <w:t>.</w:t>
      </w:r>
      <w:r w:rsidR="00AA3C48">
        <w:t xml:space="preserve"> The burden estimates presented in this supporting statement have been approved by OMB previously (under OMB Control Nos. 0910-0510 and 0910-0569). </w:t>
      </w:r>
    </w:p>
    <w:p w:rsidR="00591958" w:rsidP="000F6A3C" w:rsidRDefault="00591958">
      <w:pPr>
        <w:pStyle w:val="BodyTextIndent"/>
        <w:spacing w:line="240" w:lineRule="auto"/>
        <w:ind w:left="0"/>
      </w:pPr>
    </w:p>
    <w:p w:rsidRPr="00AF422D" w:rsidR="001371D3" w:rsidP="000F6A3C" w:rsidRDefault="001371D3">
      <w:pPr>
        <w:rPr>
          <w:b/>
          <w:u w:val="single"/>
        </w:rPr>
      </w:pPr>
      <w:r>
        <w:rPr>
          <w:b/>
          <w:u w:val="single"/>
        </w:rPr>
        <w:t xml:space="preserve">9.  </w:t>
      </w:r>
      <w:r w:rsidRPr="00AF422D">
        <w:rPr>
          <w:b/>
          <w:u w:val="single"/>
        </w:rPr>
        <w:t>Explanation of Any Payment or Gift to Respondents</w:t>
      </w:r>
    </w:p>
    <w:p w:rsidRPr="00097140" w:rsidR="00097140" w:rsidP="000F6A3C" w:rsidRDefault="00097140">
      <w:pPr>
        <w:rPr>
          <w:highlight w:val="yellow"/>
        </w:rPr>
      </w:pPr>
    </w:p>
    <w:p w:rsidRPr="00FF43C7" w:rsidR="003117D3" w:rsidP="000F6A3C" w:rsidRDefault="006B32F1">
      <w:pPr>
        <w:rPr>
          <w:highlight w:val="yellow"/>
        </w:rPr>
      </w:pPr>
      <w:r>
        <w:t xml:space="preserve">No </w:t>
      </w:r>
      <w:r w:rsidR="00A775BA">
        <w:t>p</w:t>
      </w:r>
      <w:r>
        <w:t xml:space="preserve">ayments or gifts </w:t>
      </w:r>
      <w:r w:rsidR="00A775BA">
        <w:t xml:space="preserve">will </w:t>
      </w:r>
      <w:r>
        <w:t xml:space="preserve">be provided to respondents </w:t>
      </w:r>
      <w:r w:rsidR="00584475">
        <w:t>to this information collection</w:t>
      </w:r>
      <w:r>
        <w:t>.</w:t>
      </w:r>
    </w:p>
    <w:p w:rsidR="006B32F1" w:rsidP="000F6A3C" w:rsidRDefault="006B32F1"/>
    <w:p w:rsidRPr="00AF422D" w:rsidR="001371D3" w:rsidP="002F2FC9" w:rsidRDefault="001371D3">
      <w:pPr>
        <w:keepNext/>
        <w:rPr>
          <w:b/>
          <w:u w:val="single"/>
        </w:rPr>
      </w:pPr>
      <w:r>
        <w:rPr>
          <w:b/>
          <w:u w:val="single"/>
        </w:rPr>
        <w:t xml:space="preserve">10.  </w:t>
      </w:r>
      <w:r w:rsidRPr="00AF422D">
        <w:rPr>
          <w:b/>
          <w:u w:val="single"/>
        </w:rPr>
        <w:t>Assurance of Confidentiality Provided to Respondents</w:t>
      </w:r>
    </w:p>
    <w:p w:rsidR="00F81377" w:rsidP="000F6A3C" w:rsidRDefault="00F81377"/>
    <w:p w:rsidRPr="00EF588B" w:rsidR="0071327C" w:rsidP="00AE1D0B" w:rsidRDefault="0071327C">
      <w:pPr>
        <w:tabs>
          <w:tab w:val="left" w:pos="-1080"/>
          <w:tab w:val="left" w:pos="-720"/>
          <w:tab w:val="left" w:pos="360"/>
          <w:tab w:val="left" w:pos="540"/>
          <w:tab w:val="left" w:pos="1440"/>
        </w:tabs>
      </w:pPr>
      <w:r w:rsidRPr="00EF588B">
        <w:t>This ICR</w:t>
      </w:r>
      <w:r>
        <w:t xml:space="preserve"> </w:t>
      </w:r>
      <w:r w:rsidRPr="00EF588B">
        <w:t>collects personally identifiable information (PII). PII collected</w:t>
      </w:r>
      <w:r w:rsidR="001B1F98">
        <w:t xml:space="preserve"> is</w:t>
      </w:r>
      <w:r w:rsidR="000170BE">
        <w:t xml:space="preserve"> </w:t>
      </w:r>
      <w:r w:rsidR="0087451C">
        <w:t xml:space="preserve">name of the person responsible for compliance with the Quality System </w:t>
      </w:r>
      <w:r w:rsidR="00AA3C48">
        <w:t>R</w:t>
      </w:r>
      <w:r w:rsidR="0087451C">
        <w:t>egulation</w:t>
      </w:r>
      <w:r w:rsidR="001B1F98">
        <w:t>.</w:t>
      </w:r>
      <w:r w:rsidRPr="001B1F98" w:rsidR="001B1F98">
        <w:t xml:space="preserve"> </w:t>
      </w:r>
      <w:r w:rsidRPr="00132F13" w:rsidR="001B1F98">
        <w:t>Information from this collection will be used by FDA to implement an Inspection by Accredited Persons program that will train and accredit persons that wish to conduct inspections of eligible manufacturers of class II and class III medical devices</w:t>
      </w:r>
      <w:r w:rsidR="00327B81">
        <w:t>.</w:t>
      </w:r>
    </w:p>
    <w:p w:rsidRPr="00EF588B" w:rsidR="0071327C" w:rsidP="0071327C" w:rsidRDefault="0071327C">
      <w:pPr>
        <w:tabs>
          <w:tab w:val="left" w:pos="-1080"/>
          <w:tab w:val="left" w:pos="-720"/>
          <w:tab w:val="left" w:pos="360"/>
          <w:tab w:val="left" w:pos="540"/>
          <w:tab w:val="left" w:pos="1440"/>
        </w:tabs>
        <w:ind w:left="360"/>
      </w:pPr>
    </w:p>
    <w:p w:rsidRPr="00EF588B" w:rsidR="0071327C" w:rsidP="00AE1D0B" w:rsidRDefault="0071327C">
      <w:r w:rsidRPr="00EF588B">
        <w:t xml:space="preserve">FDA further determined that although PII is collected the collection is not subject to the Privacy Act of 1974 and the </w:t>
      </w:r>
      <w:proofErr w:type="gramStart"/>
      <w:r w:rsidRPr="00EF588B">
        <w:t>particular notice</w:t>
      </w:r>
      <w:proofErr w:type="gramEnd"/>
      <w:r w:rsidRPr="00EF588B">
        <w:t xml:space="preserve"> and other requirements of the Act do not apply. Specifically, FDA does not use name or any other personal identifier to routinely retrieve records from the information collected. FDA also minimized the PII to be collected to protect the privacy of the individuals.</w:t>
      </w:r>
    </w:p>
    <w:p w:rsidRPr="00EF588B" w:rsidR="0071327C" w:rsidP="0071327C" w:rsidRDefault="0071327C"/>
    <w:p w:rsidRPr="00EF588B" w:rsidR="0071327C" w:rsidP="00AE1D0B" w:rsidRDefault="0071327C">
      <w:r w:rsidRPr="00EF588B">
        <w:t>In preparing this Supporting Statement, FDA staff consulted with the FDA Privacy Office to ensure appropriate handling of information collected. FDA minimized the PII to be collected to protect the privacy of the individuals.</w:t>
      </w:r>
    </w:p>
    <w:p w:rsidR="0071327C" w:rsidP="000F6A3C" w:rsidRDefault="0071327C"/>
    <w:p w:rsidR="00D415B1" w:rsidP="000F6A3C" w:rsidRDefault="00545D15">
      <w:r>
        <w:t xml:space="preserve">Information submitted to obtain approval for participation in the program will be available for disclosure by FDA except to the extent it constitutes trade secret, confidential commercial or </w:t>
      </w:r>
      <w:r>
        <w:lastRenderedPageBreak/>
        <w:t>personal privacy, or information that is otherwise exempt from public disclosure by l</w:t>
      </w:r>
      <w:r w:rsidR="00570124">
        <w:t>aw.</w:t>
      </w:r>
      <w:r>
        <w:t xml:space="preserve"> </w:t>
      </w:r>
      <w:r w:rsidR="006B32F1">
        <w:t xml:space="preserve">FDA </w:t>
      </w:r>
      <w:r w:rsidR="00DA61EE">
        <w:t>has</w:t>
      </w:r>
      <w:r w:rsidR="006B32F1">
        <w:t xml:space="preserve"> post</w:t>
      </w:r>
      <w:r w:rsidR="00DA61EE">
        <w:t>ed</w:t>
      </w:r>
      <w:r w:rsidR="006B32F1">
        <w:t xml:space="preserve"> on its </w:t>
      </w:r>
      <w:r w:rsidR="00584475">
        <w:t>I</w:t>
      </w:r>
      <w:r w:rsidR="006B32F1">
        <w:t xml:space="preserve">nternet site, a </w:t>
      </w:r>
      <w:hyperlink w:history="1" w:anchor="list" r:id="rId9">
        <w:r w:rsidRPr="00DA61EE" w:rsidR="006B32F1">
          <w:rPr>
            <w:rStyle w:val="Hyperlink"/>
          </w:rPr>
          <w:t>list o</w:t>
        </w:r>
        <w:r w:rsidRPr="00DA61EE" w:rsidR="006B32F1">
          <w:rPr>
            <w:rStyle w:val="Hyperlink"/>
          </w:rPr>
          <w:t>f</w:t>
        </w:r>
        <w:r w:rsidRPr="00DA61EE" w:rsidR="006B32F1">
          <w:rPr>
            <w:rStyle w:val="Hyperlink"/>
          </w:rPr>
          <w:t xml:space="preserve"> persons</w:t>
        </w:r>
      </w:hyperlink>
      <w:r w:rsidR="006B32F1">
        <w:t xml:space="preserve"> who are accredited</w:t>
      </w:r>
      <w:r w:rsidR="002468CC">
        <w:t>.</w:t>
      </w:r>
    </w:p>
    <w:p w:rsidR="00BA3F8A" w:rsidP="000F6A3C" w:rsidRDefault="00BA3F8A"/>
    <w:p w:rsidRPr="00F52C4E" w:rsidR="006B32F1" w:rsidP="000F6A3C" w:rsidRDefault="001371D3">
      <w:pPr>
        <w:rPr>
          <w:b/>
        </w:rPr>
      </w:pPr>
      <w:r>
        <w:rPr>
          <w:b/>
          <w:u w:val="single"/>
        </w:rPr>
        <w:t xml:space="preserve">11.  </w:t>
      </w:r>
      <w:r w:rsidR="006B32F1">
        <w:rPr>
          <w:b/>
          <w:u w:val="single"/>
        </w:rPr>
        <w:t>Justification for Sensitive Questions</w:t>
      </w:r>
    </w:p>
    <w:p w:rsidR="00D7737D" w:rsidP="000F6A3C" w:rsidRDefault="00D7737D"/>
    <w:p w:rsidR="00F52C4E" w:rsidP="000F6A3C" w:rsidRDefault="006B32F1">
      <w:r>
        <w:t xml:space="preserve">This information collection does not </w:t>
      </w:r>
      <w:r w:rsidR="00584475">
        <w:t xml:space="preserve">contain </w:t>
      </w:r>
      <w:r>
        <w:t>questions of a sensitive nature.</w:t>
      </w:r>
    </w:p>
    <w:p w:rsidR="00401B76" w:rsidP="000F6A3C" w:rsidRDefault="00401B76"/>
    <w:p w:rsidR="006B32F1" w:rsidP="000F6A3C" w:rsidRDefault="000F6A3C">
      <w:pPr>
        <w:rPr>
          <w:b/>
          <w:u w:val="single"/>
        </w:rPr>
      </w:pPr>
      <w:r>
        <w:rPr>
          <w:b/>
          <w:u w:val="single"/>
        </w:rPr>
        <w:t xml:space="preserve">12.  </w:t>
      </w:r>
      <w:r w:rsidR="006B32F1">
        <w:rPr>
          <w:b/>
          <w:u w:val="single"/>
        </w:rPr>
        <w:t>Estimate</w:t>
      </w:r>
      <w:r w:rsidR="001371D3">
        <w:rPr>
          <w:b/>
          <w:u w:val="single"/>
        </w:rPr>
        <w:t>s</w:t>
      </w:r>
      <w:r w:rsidR="006B32F1">
        <w:rPr>
          <w:b/>
          <w:u w:val="single"/>
        </w:rPr>
        <w:t xml:space="preserve"> of </w:t>
      </w:r>
      <w:r w:rsidR="001371D3">
        <w:rPr>
          <w:b/>
          <w:u w:val="single"/>
        </w:rPr>
        <w:t xml:space="preserve">Annualized </w:t>
      </w:r>
      <w:r w:rsidR="006B32F1">
        <w:rPr>
          <w:b/>
          <w:u w:val="single"/>
        </w:rPr>
        <w:t>Burden</w:t>
      </w:r>
      <w:r>
        <w:rPr>
          <w:b/>
          <w:u w:val="single"/>
        </w:rPr>
        <w:t xml:space="preserve"> Hours</w:t>
      </w:r>
      <w:r w:rsidR="006B32F1">
        <w:rPr>
          <w:b/>
          <w:u w:val="single"/>
        </w:rPr>
        <w:t xml:space="preserve"> </w:t>
      </w:r>
      <w:r w:rsidR="001371D3">
        <w:rPr>
          <w:b/>
          <w:u w:val="single"/>
        </w:rPr>
        <w:t>and Costs</w:t>
      </w:r>
    </w:p>
    <w:p w:rsidR="00401B76" w:rsidP="000F6A3C" w:rsidRDefault="00401B76">
      <w:pPr>
        <w:rPr>
          <w:b/>
          <w:u w:val="single"/>
        </w:rPr>
      </w:pPr>
    </w:p>
    <w:p w:rsidR="003F7AD6" w:rsidP="000F6A3C" w:rsidRDefault="003F7AD6">
      <w:r>
        <w:rPr>
          <w:b/>
          <w:u w:val="single"/>
        </w:rPr>
        <w:t xml:space="preserve">12a.  </w:t>
      </w:r>
      <w:r w:rsidRPr="00AF422D">
        <w:rPr>
          <w:b/>
          <w:u w:val="single"/>
        </w:rPr>
        <w:t xml:space="preserve">Annualized </w:t>
      </w:r>
      <w:r>
        <w:rPr>
          <w:b/>
          <w:u w:val="single"/>
        </w:rPr>
        <w:t xml:space="preserve">Hour </w:t>
      </w:r>
      <w:r w:rsidRPr="00AF422D">
        <w:rPr>
          <w:b/>
          <w:u w:val="single"/>
        </w:rPr>
        <w:t>Burden Estimate</w:t>
      </w:r>
    </w:p>
    <w:p w:rsidR="000F6A3C" w:rsidP="000F6A3C" w:rsidRDefault="000F6A3C"/>
    <w:p w:rsidR="0031544D" w:rsidP="0031544D" w:rsidRDefault="008D105F">
      <w:pPr>
        <w:pStyle w:val="HTMLPreformatted"/>
        <w:rPr>
          <w:rFonts w:ascii="Times New Roman" w:hAnsi="Times New Roman"/>
          <w:sz w:val="24"/>
        </w:rPr>
      </w:pPr>
      <w:r>
        <w:rPr>
          <w:rFonts w:ascii="Times New Roman" w:hAnsi="Times New Roman"/>
          <w:sz w:val="24"/>
        </w:rPr>
        <w:t>S</w:t>
      </w:r>
      <w:r w:rsidRPr="0031544D" w:rsidR="0031544D">
        <w:rPr>
          <w:rFonts w:ascii="Times New Roman" w:hAnsi="Times New Roman"/>
          <w:sz w:val="24"/>
        </w:rPr>
        <w:t>ection 704(g) of the FD&amp;C Act</w:t>
      </w:r>
      <w:r>
        <w:rPr>
          <w:rFonts w:ascii="Times New Roman" w:hAnsi="Times New Roman"/>
          <w:sz w:val="24"/>
        </w:rPr>
        <w:t xml:space="preserve"> </w:t>
      </w:r>
      <w:r w:rsidRPr="008D105F">
        <w:rPr>
          <w:rFonts w:ascii="Times New Roman" w:hAnsi="Times New Roman"/>
          <w:sz w:val="24"/>
        </w:rPr>
        <w:t xml:space="preserve">provides for accreditation of persons for the purpose of conducting inspections and provides the minimum requirements </w:t>
      </w:r>
      <w:proofErr w:type="gramStart"/>
      <w:r w:rsidRPr="008D105F">
        <w:rPr>
          <w:rFonts w:ascii="Times New Roman" w:hAnsi="Times New Roman"/>
          <w:sz w:val="24"/>
        </w:rPr>
        <w:t>an</w:t>
      </w:r>
      <w:proofErr w:type="gramEnd"/>
      <w:r w:rsidRPr="008D105F">
        <w:rPr>
          <w:rFonts w:ascii="Times New Roman" w:hAnsi="Times New Roman"/>
          <w:sz w:val="24"/>
        </w:rPr>
        <w:t xml:space="preserve"> </w:t>
      </w:r>
      <w:r w:rsidR="00301796">
        <w:rPr>
          <w:rFonts w:ascii="Times New Roman" w:hAnsi="Times New Roman"/>
          <w:sz w:val="24"/>
        </w:rPr>
        <w:t>p</w:t>
      </w:r>
      <w:r w:rsidRPr="008D105F">
        <w:rPr>
          <w:rFonts w:ascii="Times New Roman" w:hAnsi="Times New Roman"/>
          <w:sz w:val="24"/>
        </w:rPr>
        <w:t>erson must meet</w:t>
      </w:r>
      <w:r w:rsidR="00301796">
        <w:rPr>
          <w:rFonts w:ascii="Times New Roman" w:hAnsi="Times New Roman"/>
          <w:sz w:val="24"/>
        </w:rPr>
        <w:t xml:space="preserve"> to be accredited to conduct inspections (an Accredited Person)</w:t>
      </w:r>
      <w:r w:rsidRPr="008D105F">
        <w:rPr>
          <w:rFonts w:ascii="Times New Roman" w:hAnsi="Times New Roman"/>
          <w:sz w:val="24"/>
        </w:rPr>
        <w:t>.</w:t>
      </w:r>
    </w:p>
    <w:p w:rsidR="00301796" w:rsidP="0031544D" w:rsidRDefault="00301796">
      <w:pPr>
        <w:pStyle w:val="HTMLPreformatted"/>
        <w:rPr>
          <w:rFonts w:ascii="Times New Roman" w:hAnsi="Times New Roman"/>
          <w:sz w:val="24"/>
        </w:rPr>
      </w:pPr>
    </w:p>
    <w:p w:rsidR="00301796" w:rsidP="0031544D" w:rsidRDefault="00301796">
      <w:pPr>
        <w:pStyle w:val="HTMLPreformatted"/>
        <w:rPr>
          <w:rFonts w:ascii="Times New Roman" w:hAnsi="Times New Roman"/>
          <w:sz w:val="24"/>
        </w:rPr>
      </w:pPr>
      <w:r>
        <w:rPr>
          <w:rFonts w:ascii="Times New Roman" w:hAnsi="Times New Roman"/>
          <w:sz w:val="24"/>
        </w:rPr>
        <w:t>The burden estimate for requests for accreditation is based on the number of applications we’ve received.</w:t>
      </w:r>
      <w:r w:rsidRPr="00301796">
        <w:rPr>
          <w:rFonts w:ascii="Times New Roman" w:hAnsi="Times New Roman"/>
          <w:sz w:val="24"/>
        </w:rPr>
        <w:t xml:space="preserve"> Once an organization is accredited, it will not be required to reapply.</w:t>
      </w:r>
    </w:p>
    <w:p w:rsidR="0031544D" w:rsidP="0031544D" w:rsidRDefault="0031544D">
      <w:pPr>
        <w:pStyle w:val="HTMLPreformatted"/>
        <w:rPr>
          <w:rFonts w:ascii="Times New Roman" w:hAnsi="Times New Roman"/>
          <w:sz w:val="24"/>
        </w:rPr>
      </w:pPr>
    </w:p>
    <w:p w:rsidRPr="00C01D1A" w:rsidR="0031544D" w:rsidP="0031544D" w:rsidRDefault="0031544D">
      <w:pPr>
        <w:pStyle w:val="HTMLPreformatted"/>
        <w:rPr>
          <w:rFonts w:ascii="Times New Roman" w:hAnsi="Times New Roman"/>
          <w:sz w:val="24"/>
        </w:rPr>
      </w:pPr>
      <w:r w:rsidRPr="00C01D1A">
        <w:rPr>
          <w:rFonts w:ascii="Times New Roman" w:hAnsi="Times New Roman"/>
          <w:sz w:val="24"/>
        </w:rPr>
        <w:t xml:space="preserve">Under section 510(h) of the FD&amp;C Act (21 U.S.C. 360(h)), domestic manufacturers of class II or class III medical devices are subject to inspection for compliance with the Quality System Regulations (21 CFR Part 820) and other applicable requirements. The AP Program permits eligible manufacturers to use Accredited Persons to perform certain inspections. While all firms remain subject to inspection by FDA, eligible manufacturers have the option of requesting inspection by an Accredited Person. </w:t>
      </w:r>
      <w:r>
        <w:rPr>
          <w:rFonts w:ascii="Times New Roman" w:hAnsi="Times New Roman"/>
          <w:sz w:val="24"/>
        </w:rPr>
        <w:t xml:space="preserve">A </w:t>
      </w:r>
      <w:r w:rsidRPr="000D17C6">
        <w:rPr>
          <w:rFonts w:ascii="Times New Roman" w:hAnsi="Times New Roman"/>
          <w:sz w:val="24"/>
        </w:rPr>
        <w:t xml:space="preserve">device establishment </w:t>
      </w:r>
      <w:r>
        <w:rPr>
          <w:rFonts w:ascii="Times New Roman" w:hAnsi="Times New Roman"/>
          <w:sz w:val="24"/>
        </w:rPr>
        <w:t>is</w:t>
      </w:r>
      <w:r w:rsidRPr="000D17C6">
        <w:rPr>
          <w:rFonts w:ascii="Times New Roman" w:hAnsi="Times New Roman"/>
          <w:sz w:val="24"/>
        </w:rPr>
        <w:t xml:space="preserve"> eligible for inspection</w:t>
      </w:r>
      <w:r>
        <w:rPr>
          <w:rFonts w:ascii="Times New Roman" w:hAnsi="Times New Roman"/>
          <w:sz w:val="24"/>
        </w:rPr>
        <w:t xml:space="preserve"> </w:t>
      </w:r>
      <w:r w:rsidRPr="000D17C6">
        <w:rPr>
          <w:rFonts w:ascii="Times New Roman" w:hAnsi="Times New Roman"/>
          <w:sz w:val="24"/>
        </w:rPr>
        <w:t xml:space="preserve">by </w:t>
      </w:r>
      <w:r>
        <w:rPr>
          <w:rFonts w:ascii="Times New Roman" w:hAnsi="Times New Roman"/>
          <w:sz w:val="24"/>
        </w:rPr>
        <w:t>Accredited Persons if the establishment meets certain conditions</w:t>
      </w:r>
      <w:r w:rsidR="00301796">
        <w:rPr>
          <w:rFonts w:ascii="Times New Roman" w:hAnsi="Times New Roman"/>
          <w:sz w:val="24"/>
        </w:rPr>
        <w:t xml:space="preserve"> of section 704(g)(6) of the FD&amp;C Act</w:t>
      </w:r>
      <w:r>
        <w:rPr>
          <w:rFonts w:ascii="Times New Roman" w:hAnsi="Times New Roman"/>
          <w:sz w:val="24"/>
        </w:rPr>
        <w:t xml:space="preserve">, including </w:t>
      </w:r>
      <w:r w:rsidR="00301796">
        <w:rPr>
          <w:rFonts w:ascii="Times New Roman" w:hAnsi="Times New Roman"/>
          <w:sz w:val="24"/>
        </w:rPr>
        <w:t>that they provide</w:t>
      </w:r>
      <w:r w:rsidRPr="00DB1A9E">
        <w:rPr>
          <w:rFonts w:ascii="Times New Roman" w:hAnsi="Times New Roman"/>
          <w:sz w:val="24"/>
        </w:rPr>
        <w:t xml:space="preserve"> notice</w:t>
      </w:r>
      <w:r>
        <w:rPr>
          <w:rFonts w:ascii="Times New Roman" w:hAnsi="Times New Roman"/>
          <w:sz w:val="24"/>
        </w:rPr>
        <w:t xml:space="preserve"> of their intention to use an Accredited Person to conduct inspections of the establishment. </w:t>
      </w:r>
    </w:p>
    <w:p w:rsidR="0031544D" w:rsidP="000F6A3C" w:rsidRDefault="0031544D">
      <w:bookmarkStart w:name="_GoBack" w:id="0"/>
      <w:bookmarkEnd w:id="0"/>
    </w:p>
    <w:p w:rsidR="002C36AD" w:rsidP="000F6A3C" w:rsidRDefault="00DA61EE">
      <w:r>
        <w:t>We</w:t>
      </w:r>
      <w:r w:rsidRPr="00DA61EE">
        <w:t xml:space="preserve"> estimate there are 4,000 domestic manufacturers and 4,000 foreign manufacturers that are eligible for inclusion under the AP program. Based on informal communications with industry, approximately 10 of these manufacturers may submit a request to use an A</w:t>
      </w:r>
      <w:r>
        <w:t xml:space="preserve">ccredited </w:t>
      </w:r>
      <w:r w:rsidRPr="00DA61EE">
        <w:t>P</w:t>
      </w:r>
      <w:r>
        <w:t>erson</w:t>
      </w:r>
      <w:r w:rsidRPr="00DA61EE">
        <w:t xml:space="preserve"> in any given year.</w:t>
      </w:r>
    </w:p>
    <w:p w:rsidR="0031544D" w:rsidP="000F6A3C" w:rsidRDefault="0031544D"/>
    <w:p w:rsidR="006B32F1" w:rsidP="000F6A3C" w:rsidRDefault="006B32F1">
      <w:r>
        <w:t>FDA estimates the burden of this information collection as follows:</w:t>
      </w:r>
    </w:p>
    <w:p w:rsidR="00401B76" w:rsidP="00632F07" w:rsidRDefault="00401B76">
      <w:pPr>
        <w:widowControl w:val="0"/>
        <w:tabs>
          <w:tab w:val="left" w:pos="855"/>
        </w:tabs>
        <w:autoSpaceDE w:val="0"/>
        <w:autoSpaceDN w:val="0"/>
        <w:adjustRightInd w:val="0"/>
        <w:rPr>
          <w:color w:val="00000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0"/>
        <w:gridCol w:w="1830"/>
        <w:gridCol w:w="1830"/>
        <w:gridCol w:w="1435"/>
        <w:gridCol w:w="1502"/>
        <w:gridCol w:w="883"/>
        <w:tblGridChange w:id="1">
          <w:tblGrid>
            <w:gridCol w:w="1880"/>
            <w:gridCol w:w="1830"/>
            <w:gridCol w:w="1830"/>
            <w:gridCol w:w="1435"/>
            <w:gridCol w:w="1502"/>
            <w:gridCol w:w="883"/>
          </w:tblGrid>
        </w:tblGridChange>
      </w:tblGrid>
      <w:tr w:rsidRPr="002468CC" w:rsidR="007675D5" w:rsidTr="003E3E63">
        <w:tblPrEx>
          <w:tblCellMar>
            <w:top w:w="0" w:type="dxa"/>
            <w:bottom w:w="0" w:type="dxa"/>
          </w:tblCellMar>
        </w:tblPrEx>
        <w:trPr>
          <w:cantSplit/>
          <w:trHeight w:val="20"/>
          <w:jc w:val="center"/>
        </w:trPr>
        <w:tc>
          <w:tcPr>
            <w:tcW w:w="9576" w:type="dxa"/>
            <w:gridSpan w:val="6"/>
            <w:tcBorders>
              <w:top w:val="nil"/>
              <w:left w:val="nil"/>
              <w:bottom w:val="single" w:color="auto" w:sz="4" w:space="0"/>
              <w:right w:val="nil"/>
            </w:tcBorders>
          </w:tcPr>
          <w:p w:rsidRPr="002468CC" w:rsidR="007675D5" w:rsidP="0073409F" w:rsidRDefault="007675D5">
            <w:pPr>
              <w:keepNext/>
              <w:jc w:val="center"/>
              <w:rPr>
                <w:color w:val="000000"/>
                <w:sz w:val="20"/>
                <w:szCs w:val="20"/>
              </w:rPr>
            </w:pPr>
            <w:bookmarkStart w:name="_Hlk529862699" w:id="2"/>
            <w:r w:rsidRPr="002468CC">
              <w:rPr>
                <w:color w:val="000000"/>
                <w:sz w:val="20"/>
                <w:szCs w:val="20"/>
              </w:rPr>
              <w:t xml:space="preserve">Table </w:t>
            </w:r>
            <w:proofErr w:type="gramStart"/>
            <w:r w:rsidRPr="002468CC">
              <w:rPr>
                <w:color w:val="000000"/>
                <w:sz w:val="20"/>
                <w:szCs w:val="20"/>
              </w:rPr>
              <w:t>1.--</w:t>
            </w:r>
            <w:proofErr w:type="gramEnd"/>
            <w:r w:rsidRPr="002468CC">
              <w:rPr>
                <w:color w:val="000000"/>
                <w:sz w:val="20"/>
                <w:szCs w:val="20"/>
              </w:rPr>
              <w:t>Estimated Annual Reporting Burden</w:t>
            </w:r>
          </w:p>
        </w:tc>
      </w:tr>
      <w:tr w:rsidRPr="002468CC" w:rsidR="007675D5" w:rsidTr="00335251">
        <w:tblPrEx>
          <w:tblCellMar>
            <w:top w:w="0" w:type="dxa"/>
            <w:bottom w:w="0" w:type="dxa"/>
          </w:tblCellMar>
        </w:tblPrEx>
        <w:trPr>
          <w:cantSplit/>
          <w:trHeight w:val="20"/>
          <w:jc w:val="center"/>
        </w:trPr>
        <w:tc>
          <w:tcPr>
            <w:tcW w:w="1925" w:type="dxa"/>
            <w:tcBorders>
              <w:top w:val="single" w:color="auto" w:sz="4" w:space="0"/>
              <w:left w:val="single" w:color="auto" w:sz="4" w:space="0"/>
              <w:bottom w:val="single" w:color="auto" w:sz="4" w:space="0"/>
              <w:right w:val="single" w:color="auto" w:sz="4" w:space="0"/>
            </w:tcBorders>
          </w:tcPr>
          <w:p w:rsidRPr="002468CC" w:rsidR="007675D5" w:rsidP="0073409F" w:rsidRDefault="002C36AD">
            <w:pPr>
              <w:keepNext/>
              <w:jc w:val="center"/>
              <w:rPr>
                <w:color w:val="000000"/>
                <w:sz w:val="20"/>
                <w:szCs w:val="20"/>
              </w:rPr>
            </w:pPr>
            <w:r>
              <w:rPr>
                <w:color w:val="000000"/>
                <w:sz w:val="20"/>
                <w:szCs w:val="20"/>
              </w:rPr>
              <w:t xml:space="preserve">Activity Under </w:t>
            </w:r>
            <w:r w:rsidR="007675D5">
              <w:rPr>
                <w:color w:val="000000"/>
                <w:sz w:val="20"/>
                <w:szCs w:val="20"/>
              </w:rPr>
              <w:t>Section</w:t>
            </w:r>
            <w:r>
              <w:rPr>
                <w:color w:val="000000"/>
                <w:sz w:val="20"/>
                <w:szCs w:val="20"/>
              </w:rPr>
              <w:t xml:space="preserve"> 704(g)</w:t>
            </w:r>
            <w:r w:rsidR="007675D5">
              <w:rPr>
                <w:color w:val="000000"/>
                <w:sz w:val="20"/>
                <w:szCs w:val="20"/>
              </w:rPr>
              <w:t xml:space="preserve"> of the FD&amp;C</w:t>
            </w:r>
            <w:r w:rsidRPr="002468CC" w:rsidR="007675D5">
              <w:rPr>
                <w:color w:val="000000"/>
                <w:sz w:val="20"/>
                <w:szCs w:val="20"/>
              </w:rPr>
              <w:t xml:space="preserve"> Act</w:t>
            </w:r>
          </w:p>
        </w:tc>
        <w:tc>
          <w:tcPr>
            <w:tcW w:w="1873"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center"/>
              <w:rPr>
                <w:color w:val="000000"/>
                <w:sz w:val="20"/>
                <w:szCs w:val="20"/>
              </w:rPr>
            </w:pPr>
            <w:r w:rsidRPr="002468CC">
              <w:rPr>
                <w:color w:val="000000"/>
                <w:sz w:val="20"/>
                <w:szCs w:val="20"/>
              </w:rPr>
              <w:t>No. of Respondents</w:t>
            </w:r>
          </w:p>
        </w:tc>
        <w:tc>
          <w:tcPr>
            <w:tcW w:w="1873"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center"/>
              <w:rPr>
                <w:color w:val="000000"/>
                <w:sz w:val="20"/>
                <w:szCs w:val="20"/>
              </w:rPr>
            </w:pPr>
            <w:r>
              <w:rPr>
                <w:color w:val="000000"/>
                <w:sz w:val="20"/>
                <w:szCs w:val="20"/>
              </w:rPr>
              <w:t>No. of Responses per Respondent</w:t>
            </w:r>
          </w:p>
        </w:tc>
        <w:tc>
          <w:tcPr>
            <w:tcW w:w="1468"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center"/>
              <w:rPr>
                <w:color w:val="000000"/>
                <w:sz w:val="20"/>
                <w:szCs w:val="20"/>
              </w:rPr>
            </w:pPr>
            <w:r w:rsidRPr="002468CC">
              <w:rPr>
                <w:color w:val="000000"/>
                <w:sz w:val="20"/>
                <w:szCs w:val="20"/>
              </w:rPr>
              <w:t>Total Annual Responses</w:t>
            </w:r>
          </w:p>
        </w:tc>
        <w:tc>
          <w:tcPr>
            <w:tcW w:w="1536"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center"/>
              <w:rPr>
                <w:color w:val="000000"/>
                <w:sz w:val="20"/>
                <w:szCs w:val="20"/>
              </w:rPr>
            </w:pPr>
            <w:r>
              <w:rPr>
                <w:color w:val="000000"/>
                <w:sz w:val="20"/>
                <w:szCs w:val="20"/>
              </w:rPr>
              <w:t>Average Burden per Response</w:t>
            </w:r>
          </w:p>
        </w:tc>
        <w:tc>
          <w:tcPr>
            <w:tcW w:w="901"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center"/>
              <w:rPr>
                <w:color w:val="000000"/>
                <w:sz w:val="20"/>
                <w:szCs w:val="20"/>
              </w:rPr>
            </w:pPr>
            <w:r w:rsidRPr="002468CC">
              <w:rPr>
                <w:color w:val="000000"/>
                <w:sz w:val="20"/>
                <w:szCs w:val="20"/>
              </w:rPr>
              <w:t>Total</w:t>
            </w:r>
            <w:r>
              <w:rPr>
                <w:color w:val="000000"/>
                <w:sz w:val="20"/>
                <w:szCs w:val="20"/>
              </w:rPr>
              <w:t xml:space="preserve"> </w:t>
            </w:r>
            <w:r w:rsidRPr="002468CC">
              <w:rPr>
                <w:color w:val="000000"/>
                <w:sz w:val="20"/>
                <w:szCs w:val="20"/>
              </w:rPr>
              <w:t>Hours</w:t>
            </w:r>
          </w:p>
        </w:tc>
      </w:tr>
      <w:tr w:rsidRPr="002468CC" w:rsidR="007675D5" w:rsidTr="00335251">
        <w:tblPrEx>
          <w:tblCellMar>
            <w:top w:w="0" w:type="dxa"/>
            <w:bottom w:w="0" w:type="dxa"/>
          </w:tblCellMar>
        </w:tblPrEx>
        <w:trPr>
          <w:cantSplit/>
          <w:trHeight w:val="20"/>
          <w:jc w:val="center"/>
        </w:trPr>
        <w:tc>
          <w:tcPr>
            <w:tcW w:w="1925"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rPr>
                <w:color w:val="000000"/>
                <w:sz w:val="20"/>
                <w:szCs w:val="20"/>
              </w:rPr>
            </w:pPr>
            <w:r w:rsidRPr="002468CC">
              <w:rPr>
                <w:color w:val="000000"/>
                <w:sz w:val="20"/>
                <w:szCs w:val="20"/>
              </w:rPr>
              <w:t xml:space="preserve">Request for </w:t>
            </w:r>
            <w:r>
              <w:rPr>
                <w:color w:val="000000"/>
                <w:sz w:val="20"/>
                <w:szCs w:val="20"/>
              </w:rPr>
              <w:t>a</w:t>
            </w:r>
            <w:r w:rsidRPr="002468CC">
              <w:rPr>
                <w:color w:val="000000"/>
                <w:sz w:val="20"/>
                <w:szCs w:val="20"/>
              </w:rPr>
              <w:t>ccreditation</w:t>
            </w:r>
          </w:p>
        </w:tc>
        <w:tc>
          <w:tcPr>
            <w:tcW w:w="1873"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right"/>
              <w:rPr>
                <w:color w:val="000000"/>
                <w:sz w:val="20"/>
                <w:szCs w:val="20"/>
              </w:rPr>
            </w:pPr>
            <w:r>
              <w:rPr>
                <w:color w:val="000000"/>
                <w:sz w:val="20"/>
                <w:szCs w:val="20"/>
              </w:rPr>
              <w:t>1</w:t>
            </w:r>
          </w:p>
        </w:tc>
        <w:tc>
          <w:tcPr>
            <w:tcW w:w="1873"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right"/>
              <w:rPr>
                <w:color w:val="000000"/>
                <w:sz w:val="20"/>
                <w:szCs w:val="20"/>
              </w:rPr>
            </w:pPr>
            <w:r w:rsidRPr="002468CC">
              <w:rPr>
                <w:color w:val="000000"/>
                <w:sz w:val="20"/>
                <w:szCs w:val="20"/>
              </w:rPr>
              <w:t>1</w:t>
            </w:r>
          </w:p>
        </w:tc>
        <w:tc>
          <w:tcPr>
            <w:tcW w:w="1468"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right"/>
              <w:rPr>
                <w:color w:val="000000"/>
                <w:sz w:val="20"/>
                <w:szCs w:val="20"/>
              </w:rPr>
            </w:pPr>
            <w:r>
              <w:rPr>
                <w:color w:val="000000"/>
                <w:sz w:val="20"/>
                <w:szCs w:val="20"/>
              </w:rPr>
              <w:t>1</w:t>
            </w:r>
          </w:p>
        </w:tc>
        <w:tc>
          <w:tcPr>
            <w:tcW w:w="1536"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right"/>
              <w:rPr>
                <w:color w:val="000000"/>
                <w:sz w:val="20"/>
                <w:szCs w:val="20"/>
              </w:rPr>
            </w:pPr>
            <w:r w:rsidRPr="002468CC">
              <w:rPr>
                <w:color w:val="000000"/>
                <w:sz w:val="20"/>
                <w:szCs w:val="20"/>
              </w:rPr>
              <w:t>80</w:t>
            </w:r>
          </w:p>
        </w:tc>
        <w:tc>
          <w:tcPr>
            <w:tcW w:w="901" w:type="dxa"/>
            <w:tcBorders>
              <w:top w:val="single" w:color="auto" w:sz="4" w:space="0"/>
              <w:left w:val="single" w:color="auto" w:sz="4" w:space="0"/>
              <w:bottom w:val="single" w:color="auto" w:sz="4" w:space="0"/>
              <w:right w:val="single" w:color="auto" w:sz="4" w:space="0"/>
            </w:tcBorders>
          </w:tcPr>
          <w:p w:rsidRPr="002468CC" w:rsidR="007675D5" w:rsidP="0073409F" w:rsidRDefault="007675D5">
            <w:pPr>
              <w:keepNext/>
              <w:jc w:val="right"/>
              <w:rPr>
                <w:color w:val="000000"/>
                <w:sz w:val="20"/>
                <w:szCs w:val="20"/>
              </w:rPr>
            </w:pPr>
            <w:r>
              <w:rPr>
                <w:color w:val="000000"/>
                <w:sz w:val="20"/>
                <w:szCs w:val="20"/>
              </w:rPr>
              <w:t>80</w:t>
            </w:r>
          </w:p>
        </w:tc>
      </w:tr>
      <w:tr w:rsidRPr="002468CC" w:rsidR="002C36AD" w:rsidTr="00335251">
        <w:tblPrEx>
          <w:tblCellMar>
            <w:top w:w="0" w:type="dxa"/>
            <w:bottom w:w="0" w:type="dxa"/>
          </w:tblCellMar>
        </w:tblPrEx>
        <w:trPr>
          <w:cantSplit/>
          <w:trHeight w:val="20"/>
          <w:jc w:val="center"/>
        </w:trPr>
        <w:tc>
          <w:tcPr>
            <w:tcW w:w="1925" w:type="dxa"/>
            <w:tcBorders>
              <w:top w:val="single" w:color="auto" w:sz="4" w:space="0"/>
              <w:left w:val="single" w:color="auto" w:sz="4" w:space="0"/>
              <w:bottom w:val="single" w:color="auto" w:sz="4" w:space="0"/>
              <w:right w:val="single" w:color="auto" w:sz="4" w:space="0"/>
            </w:tcBorders>
          </w:tcPr>
          <w:p w:rsidRPr="002468CC" w:rsidR="002C36AD" w:rsidP="0073409F" w:rsidRDefault="002C36AD">
            <w:pPr>
              <w:keepNext/>
              <w:rPr>
                <w:color w:val="000000"/>
                <w:sz w:val="20"/>
                <w:szCs w:val="20"/>
              </w:rPr>
            </w:pPr>
            <w:r>
              <w:rPr>
                <w:color w:val="000000"/>
                <w:sz w:val="20"/>
                <w:szCs w:val="20"/>
              </w:rPr>
              <w:t>Notification of the intent to use an Accredited Person</w:t>
            </w:r>
          </w:p>
        </w:tc>
        <w:tc>
          <w:tcPr>
            <w:tcW w:w="1873"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r>
              <w:rPr>
                <w:color w:val="000000"/>
                <w:sz w:val="20"/>
                <w:szCs w:val="20"/>
              </w:rPr>
              <w:t>10</w:t>
            </w:r>
          </w:p>
        </w:tc>
        <w:tc>
          <w:tcPr>
            <w:tcW w:w="1873" w:type="dxa"/>
            <w:tcBorders>
              <w:top w:val="single" w:color="auto" w:sz="4" w:space="0"/>
              <w:left w:val="single" w:color="auto" w:sz="4" w:space="0"/>
              <w:bottom w:val="single" w:color="auto" w:sz="4" w:space="0"/>
              <w:right w:val="single" w:color="auto" w:sz="4" w:space="0"/>
            </w:tcBorders>
          </w:tcPr>
          <w:p w:rsidRPr="002468CC" w:rsidR="002C36AD" w:rsidP="0073409F" w:rsidRDefault="002C36AD">
            <w:pPr>
              <w:keepNext/>
              <w:jc w:val="right"/>
              <w:rPr>
                <w:color w:val="000000"/>
                <w:sz w:val="20"/>
                <w:szCs w:val="20"/>
              </w:rPr>
            </w:pPr>
            <w:r>
              <w:rPr>
                <w:color w:val="000000"/>
                <w:sz w:val="20"/>
                <w:szCs w:val="20"/>
              </w:rPr>
              <w:t>1</w:t>
            </w:r>
          </w:p>
        </w:tc>
        <w:tc>
          <w:tcPr>
            <w:tcW w:w="1468"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r>
              <w:rPr>
                <w:color w:val="000000"/>
                <w:sz w:val="20"/>
                <w:szCs w:val="20"/>
              </w:rPr>
              <w:t>10</w:t>
            </w:r>
          </w:p>
        </w:tc>
        <w:tc>
          <w:tcPr>
            <w:tcW w:w="1536" w:type="dxa"/>
            <w:tcBorders>
              <w:top w:val="single" w:color="auto" w:sz="4" w:space="0"/>
              <w:left w:val="single" w:color="auto" w:sz="4" w:space="0"/>
              <w:bottom w:val="single" w:color="auto" w:sz="4" w:space="0"/>
              <w:right w:val="single" w:color="auto" w:sz="4" w:space="0"/>
            </w:tcBorders>
          </w:tcPr>
          <w:p w:rsidRPr="002468CC" w:rsidR="002C36AD" w:rsidP="0073409F" w:rsidRDefault="002C36AD">
            <w:pPr>
              <w:keepNext/>
              <w:jc w:val="right"/>
              <w:rPr>
                <w:color w:val="000000"/>
                <w:sz w:val="20"/>
                <w:szCs w:val="20"/>
              </w:rPr>
            </w:pPr>
            <w:r>
              <w:rPr>
                <w:color w:val="000000"/>
                <w:sz w:val="20"/>
                <w:szCs w:val="20"/>
              </w:rPr>
              <w:t>15</w:t>
            </w:r>
          </w:p>
        </w:tc>
        <w:tc>
          <w:tcPr>
            <w:tcW w:w="901"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r>
              <w:rPr>
                <w:color w:val="000000"/>
                <w:sz w:val="20"/>
                <w:szCs w:val="20"/>
              </w:rPr>
              <w:t>150</w:t>
            </w:r>
          </w:p>
        </w:tc>
      </w:tr>
      <w:tr w:rsidRPr="002468CC" w:rsidR="002C36AD" w:rsidTr="00335251">
        <w:tblPrEx>
          <w:tblCellMar>
            <w:top w:w="0" w:type="dxa"/>
            <w:bottom w:w="0" w:type="dxa"/>
          </w:tblCellMar>
        </w:tblPrEx>
        <w:trPr>
          <w:cantSplit/>
          <w:trHeight w:val="20"/>
          <w:jc w:val="center"/>
        </w:trPr>
        <w:tc>
          <w:tcPr>
            <w:tcW w:w="1925" w:type="dxa"/>
            <w:tcBorders>
              <w:top w:val="single" w:color="auto" w:sz="4" w:space="0"/>
              <w:left w:val="single" w:color="auto" w:sz="4" w:space="0"/>
              <w:bottom w:val="single" w:color="auto" w:sz="4" w:space="0"/>
              <w:right w:val="single" w:color="auto" w:sz="4" w:space="0"/>
            </w:tcBorders>
          </w:tcPr>
          <w:p w:rsidR="002C36AD" w:rsidP="0073409F" w:rsidRDefault="002C36AD">
            <w:pPr>
              <w:keepNext/>
              <w:rPr>
                <w:color w:val="000000"/>
                <w:sz w:val="20"/>
                <w:szCs w:val="20"/>
              </w:rPr>
            </w:pPr>
            <w:r>
              <w:rPr>
                <w:color w:val="000000"/>
                <w:sz w:val="20"/>
                <w:szCs w:val="20"/>
              </w:rPr>
              <w:t>Total</w:t>
            </w:r>
          </w:p>
        </w:tc>
        <w:tc>
          <w:tcPr>
            <w:tcW w:w="1873"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p>
        </w:tc>
        <w:tc>
          <w:tcPr>
            <w:tcW w:w="1873"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p>
        </w:tc>
        <w:tc>
          <w:tcPr>
            <w:tcW w:w="1468"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r>
              <w:rPr>
                <w:color w:val="000000"/>
                <w:sz w:val="20"/>
                <w:szCs w:val="20"/>
              </w:rPr>
              <w:t>11</w:t>
            </w:r>
          </w:p>
        </w:tc>
        <w:tc>
          <w:tcPr>
            <w:tcW w:w="1536"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p>
        </w:tc>
        <w:tc>
          <w:tcPr>
            <w:tcW w:w="901" w:type="dxa"/>
            <w:tcBorders>
              <w:top w:val="single" w:color="auto" w:sz="4" w:space="0"/>
              <w:left w:val="single" w:color="auto" w:sz="4" w:space="0"/>
              <w:bottom w:val="single" w:color="auto" w:sz="4" w:space="0"/>
              <w:right w:val="single" w:color="auto" w:sz="4" w:space="0"/>
            </w:tcBorders>
          </w:tcPr>
          <w:p w:rsidR="002C36AD" w:rsidP="0073409F" w:rsidRDefault="002C36AD">
            <w:pPr>
              <w:keepNext/>
              <w:jc w:val="right"/>
              <w:rPr>
                <w:color w:val="000000"/>
                <w:sz w:val="20"/>
                <w:szCs w:val="20"/>
              </w:rPr>
            </w:pPr>
            <w:r>
              <w:rPr>
                <w:color w:val="000000"/>
                <w:sz w:val="20"/>
                <w:szCs w:val="20"/>
              </w:rPr>
              <w:t>230</w:t>
            </w:r>
          </w:p>
        </w:tc>
      </w:tr>
      <w:bookmarkEnd w:id="2"/>
    </w:tbl>
    <w:p w:rsidR="007675D5" w:rsidP="00632F07" w:rsidRDefault="007675D5">
      <w:pPr>
        <w:widowControl w:val="0"/>
        <w:tabs>
          <w:tab w:val="left" w:pos="855"/>
        </w:tabs>
        <w:autoSpaceDE w:val="0"/>
        <w:autoSpaceDN w:val="0"/>
        <w:adjustRightInd w:val="0"/>
        <w:rPr>
          <w:color w:val="000000"/>
        </w:rPr>
      </w:pPr>
    </w:p>
    <w:p w:rsidRPr="000F6A3C" w:rsidR="007675D5" w:rsidP="00632F07" w:rsidRDefault="007675D5">
      <w:pPr>
        <w:widowControl w:val="0"/>
        <w:tabs>
          <w:tab w:val="left" w:pos="855"/>
        </w:tabs>
        <w:autoSpaceDE w:val="0"/>
        <w:autoSpaceDN w:val="0"/>
        <w:adjustRightInd w:val="0"/>
        <w:rPr>
          <w:color w:val="000000"/>
        </w:rPr>
      </w:pPr>
    </w:p>
    <w:p w:rsidR="00401B76" w:rsidP="000F6A3C" w:rsidRDefault="00401B76">
      <w:pPr>
        <w:pStyle w:val="BodyText"/>
      </w:pPr>
    </w:p>
    <w:p w:rsidRPr="00AF422D" w:rsidR="003F7AD6" w:rsidP="002468CC" w:rsidRDefault="003F7AD6">
      <w:pPr>
        <w:rPr>
          <w:b/>
          <w:u w:val="single"/>
        </w:rPr>
      </w:pPr>
      <w:r>
        <w:rPr>
          <w:b/>
          <w:u w:val="single"/>
        </w:rPr>
        <w:lastRenderedPageBreak/>
        <w:t>12b</w:t>
      </w:r>
      <w:r w:rsidRPr="00AF422D">
        <w:rPr>
          <w:b/>
          <w:u w:val="single"/>
        </w:rPr>
        <w:t>.  Annualized Cost Burden Estimate</w:t>
      </w:r>
    </w:p>
    <w:p w:rsidR="00D16E54" w:rsidP="002468CC" w:rsidRDefault="00D16E54">
      <w:pPr>
        <w:pStyle w:val="BodyText2"/>
        <w:rPr>
          <w:highlight w:val="yellow"/>
        </w:rPr>
      </w:pPr>
    </w:p>
    <w:p w:rsidR="00544662" w:rsidP="00144784" w:rsidRDefault="00144784">
      <w:r>
        <w:t xml:space="preserve">The annualized cost burden estimate includes the salaries for personnel who prepare requests for accreditation. We expect that approximately half of the hour burden will be work performed by a Quality System </w:t>
      </w:r>
      <w:r w:rsidR="00522D7D">
        <w:t>Specialist</w:t>
      </w:r>
      <w:r w:rsidR="003E3E63">
        <w:t>*</w:t>
      </w:r>
      <w:r w:rsidR="00522D7D">
        <w:t xml:space="preserve"> </w:t>
      </w:r>
      <w:r>
        <w:t xml:space="preserve">and approximately half by a Regulatory Affairs </w:t>
      </w:r>
      <w:proofErr w:type="gramStart"/>
      <w:r>
        <w:t>Professional.</w:t>
      </w:r>
      <w:r w:rsidR="003E3E63">
        <w:t>*</w:t>
      </w:r>
      <w:proofErr w:type="gramEnd"/>
      <w:r w:rsidR="003E3E63">
        <w:t>*</w:t>
      </w:r>
    </w:p>
    <w:p w:rsidR="00544662" w:rsidP="00144784" w:rsidRDefault="00544662"/>
    <w:p w:rsidR="00144784" w:rsidP="00144784" w:rsidRDefault="00544662">
      <w:r>
        <w:t xml:space="preserve">We expect a notification of intent to use an Accredited Person for an inspection, will be prepared by a Regulatory Affairs </w:t>
      </w:r>
      <w:proofErr w:type="gramStart"/>
      <w:r>
        <w:t>Professional.*</w:t>
      </w:r>
      <w:proofErr w:type="gramEnd"/>
      <w:r>
        <w:t xml:space="preserve">* </w:t>
      </w:r>
      <w:r w:rsidR="00144784">
        <w:t xml:space="preserve"> </w:t>
      </w:r>
    </w:p>
    <w:p w:rsidRPr="00FF43C7" w:rsidR="00D7737D" w:rsidP="002468CC" w:rsidRDefault="00D7737D">
      <w:pPr>
        <w:pStyle w:val="BodyText2"/>
        <w:rPr>
          <w:highlight w:val="yellow"/>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2160"/>
        <w:gridCol w:w="2300"/>
        <w:gridCol w:w="2200"/>
        <w:tblGridChange w:id="3">
          <w:tblGrid>
            <w:gridCol w:w="2700"/>
            <w:gridCol w:w="2160"/>
            <w:gridCol w:w="2300"/>
            <w:gridCol w:w="2200"/>
          </w:tblGrid>
        </w:tblGridChange>
      </w:tblGrid>
      <w:tr w:rsidRPr="00DC7BDB" w:rsidR="006662ED" w:rsidTr="00DC7BDB">
        <w:trPr>
          <w:cantSplit/>
          <w:jc w:val="center"/>
        </w:trPr>
        <w:tc>
          <w:tcPr>
            <w:tcW w:w="2700" w:type="dxa"/>
            <w:shd w:val="clear" w:color="auto" w:fill="auto"/>
          </w:tcPr>
          <w:p w:rsidRPr="00DC7BDB" w:rsidR="006662ED" w:rsidP="00DC7BDB" w:rsidRDefault="006662ED">
            <w:pPr>
              <w:keepNext/>
              <w:jc w:val="center"/>
              <w:rPr>
                <w:sz w:val="20"/>
                <w:szCs w:val="20"/>
              </w:rPr>
            </w:pPr>
            <w:r w:rsidRPr="00DC7BDB">
              <w:rPr>
                <w:sz w:val="20"/>
                <w:szCs w:val="20"/>
              </w:rPr>
              <w:t>Type of Respondent</w:t>
            </w:r>
          </w:p>
        </w:tc>
        <w:tc>
          <w:tcPr>
            <w:tcW w:w="2160" w:type="dxa"/>
            <w:shd w:val="clear" w:color="auto" w:fill="auto"/>
          </w:tcPr>
          <w:p w:rsidRPr="00DC7BDB" w:rsidR="006662ED" w:rsidP="00DC7BDB" w:rsidRDefault="006662ED">
            <w:pPr>
              <w:keepNext/>
              <w:jc w:val="center"/>
              <w:rPr>
                <w:sz w:val="20"/>
                <w:szCs w:val="20"/>
              </w:rPr>
            </w:pPr>
            <w:r w:rsidRPr="00DC7BDB">
              <w:rPr>
                <w:sz w:val="20"/>
                <w:szCs w:val="20"/>
              </w:rPr>
              <w:t>Total Burden Hours</w:t>
            </w:r>
          </w:p>
        </w:tc>
        <w:tc>
          <w:tcPr>
            <w:tcW w:w="2300" w:type="dxa"/>
            <w:shd w:val="clear" w:color="auto" w:fill="auto"/>
          </w:tcPr>
          <w:p w:rsidRPr="00DC7BDB" w:rsidR="006662ED" w:rsidP="00DC7BDB" w:rsidRDefault="006662ED">
            <w:pPr>
              <w:keepNext/>
              <w:jc w:val="center"/>
              <w:rPr>
                <w:sz w:val="20"/>
                <w:szCs w:val="20"/>
              </w:rPr>
            </w:pPr>
            <w:r w:rsidRPr="00DC7BDB">
              <w:rPr>
                <w:sz w:val="20"/>
                <w:szCs w:val="20"/>
              </w:rPr>
              <w:t>Hourly Wage Rate</w:t>
            </w:r>
          </w:p>
        </w:tc>
        <w:tc>
          <w:tcPr>
            <w:tcW w:w="2200" w:type="dxa"/>
            <w:shd w:val="clear" w:color="auto" w:fill="auto"/>
          </w:tcPr>
          <w:p w:rsidRPr="00DC7BDB" w:rsidR="006662ED" w:rsidP="00DC7BDB" w:rsidRDefault="006662ED">
            <w:pPr>
              <w:keepNext/>
              <w:jc w:val="center"/>
              <w:rPr>
                <w:sz w:val="20"/>
                <w:szCs w:val="20"/>
              </w:rPr>
            </w:pPr>
            <w:r w:rsidRPr="00DC7BDB">
              <w:rPr>
                <w:sz w:val="20"/>
                <w:szCs w:val="20"/>
              </w:rPr>
              <w:t>Total Respondent Costs</w:t>
            </w:r>
          </w:p>
        </w:tc>
      </w:tr>
      <w:tr w:rsidRPr="00DC7BDB" w:rsidR="00544662" w:rsidTr="001E142C">
        <w:trPr>
          <w:cantSplit/>
          <w:jc w:val="center"/>
        </w:trPr>
        <w:tc>
          <w:tcPr>
            <w:tcW w:w="9360" w:type="dxa"/>
            <w:gridSpan w:val="4"/>
            <w:shd w:val="clear" w:color="auto" w:fill="auto"/>
          </w:tcPr>
          <w:p w:rsidRPr="00DC7BDB" w:rsidR="00544662" w:rsidP="00544662" w:rsidRDefault="00544662">
            <w:pPr>
              <w:keepNext/>
              <w:rPr>
                <w:sz w:val="20"/>
                <w:szCs w:val="20"/>
              </w:rPr>
            </w:pPr>
            <w:r>
              <w:rPr>
                <w:sz w:val="20"/>
                <w:szCs w:val="20"/>
              </w:rPr>
              <w:t>Request for accreditation</w:t>
            </w:r>
          </w:p>
        </w:tc>
      </w:tr>
      <w:tr w:rsidRPr="00DC7BDB" w:rsidR="006662ED" w:rsidTr="00DC7BDB">
        <w:trPr>
          <w:cantSplit/>
          <w:jc w:val="center"/>
        </w:trPr>
        <w:tc>
          <w:tcPr>
            <w:tcW w:w="2700" w:type="dxa"/>
            <w:shd w:val="clear" w:color="auto" w:fill="auto"/>
          </w:tcPr>
          <w:p w:rsidRPr="00DC7BDB" w:rsidR="006662ED" w:rsidP="00544662" w:rsidRDefault="00422A82">
            <w:pPr>
              <w:keepNext/>
              <w:ind w:left="340"/>
              <w:rPr>
                <w:sz w:val="20"/>
                <w:szCs w:val="20"/>
              </w:rPr>
            </w:pPr>
            <w:r w:rsidRPr="00DC7BDB">
              <w:rPr>
                <w:sz w:val="20"/>
                <w:szCs w:val="20"/>
              </w:rPr>
              <w:t xml:space="preserve">Quality System </w:t>
            </w:r>
            <w:r w:rsidR="00850D7C">
              <w:rPr>
                <w:sz w:val="20"/>
                <w:szCs w:val="20"/>
              </w:rPr>
              <w:t>Specialist</w:t>
            </w:r>
          </w:p>
        </w:tc>
        <w:tc>
          <w:tcPr>
            <w:tcW w:w="2160" w:type="dxa"/>
            <w:shd w:val="clear" w:color="auto" w:fill="auto"/>
          </w:tcPr>
          <w:p w:rsidRPr="00DC7BDB" w:rsidR="006662ED" w:rsidP="00DC7BDB" w:rsidRDefault="002F2FC9">
            <w:pPr>
              <w:keepNext/>
              <w:jc w:val="right"/>
              <w:rPr>
                <w:sz w:val="20"/>
                <w:szCs w:val="20"/>
              </w:rPr>
            </w:pPr>
            <w:r w:rsidRPr="00DC7BDB">
              <w:rPr>
                <w:sz w:val="20"/>
                <w:szCs w:val="20"/>
              </w:rPr>
              <w:t>40</w:t>
            </w:r>
          </w:p>
        </w:tc>
        <w:tc>
          <w:tcPr>
            <w:tcW w:w="2300" w:type="dxa"/>
            <w:shd w:val="clear" w:color="auto" w:fill="auto"/>
          </w:tcPr>
          <w:p w:rsidRPr="00DC7BDB" w:rsidR="006662ED" w:rsidP="00DC7BDB" w:rsidRDefault="00440EFB">
            <w:pPr>
              <w:keepNext/>
              <w:jc w:val="right"/>
              <w:rPr>
                <w:sz w:val="20"/>
                <w:szCs w:val="20"/>
              </w:rPr>
            </w:pPr>
            <w:r w:rsidRPr="00DC7BDB">
              <w:rPr>
                <w:sz w:val="20"/>
                <w:szCs w:val="20"/>
              </w:rPr>
              <w:t>$</w:t>
            </w:r>
            <w:r w:rsidR="00F02144">
              <w:rPr>
                <w:sz w:val="20"/>
                <w:szCs w:val="20"/>
              </w:rPr>
              <w:t>36</w:t>
            </w:r>
          </w:p>
        </w:tc>
        <w:tc>
          <w:tcPr>
            <w:tcW w:w="2200" w:type="dxa"/>
            <w:shd w:val="clear" w:color="auto" w:fill="auto"/>
          </w:tcPr>
          <w:p w:rsidRPr="00DC7BDB" w:rsidR="006662ED" w:rsidP="00DC7BDB" w:rsidRDefault="00440EFB">
            <w:pPr>
              <w:keepNext/>
              <w:jc w:val="right"/>
              <w:rPr>
                <w:sz w:val="20"/>
                <w:szCs w:val="20"/>
              </w:rPr>
            </w:pPr>
            <w:r w:rsidRPr="00DC7BDB">
              <w:rPr>
                <w:sz w:val="20"/>
                <w:szCs w:val="20"/>
              </w:rPr>
              <w:t>$</w:t>
            </w:r>
            <w:r w:rsidRPr="00DC7BDB" w:rsidR="002F2FC9">
              <w:rPr>
                <w:sz w:val="20"/>
                <w:szCs w:val="20"/>
              </w:rPr>
              <w:t>1,</w:t>
            </w:r>
            <w:r w:rsidR="00F02144">
              <w:rPr>
                <w:sz w:val="20"/>
                <w:szCs w:val="20"/>
              </w:rPr>
              <w:t>440</w:t>
            </w:r>
          </w:p>
        </w:tc>
      </w:tr>
      <w:tr w:rsidRPr="00DC7BDB" w:rsidR="00422A82" w:rsidTr="00DC7BDB">
        <w:trPr>
          <w:cantSplit/>
          <w:jc w:val="center"/>
        </w:trPr>
        <w:tc>
          <w:tcPr>
            <w:tcW w:w="2700" w:type="dxa"/>
            <w:shd w:val="clear" w:color="auto" w:fill="auto"/>
          </w:tcPr>
          <w:p w:rsidRPr="00DC7BDB" w:rsidR="00422A82" w:rsidP="00544662" w:rsidRDefault="00422A82">
            <w:pPr>
              <w:keepNext/>
              <w:ind w:left="340"/>
              <w:rPr>
                <w:sz w:val="20"/>
                <w:szCs w:val="20"/>
              </w:rPr>
            </w:pPr>
            <w:r w:rsidRPr="00DC7BDB">
              <w:rPr>
                <w:sz w:val="20"/>
                <w:szCs w:val="20"/>
              </w:rPr>
              <w:t>Regulatory Affairs</w:t>
            </w:r>
            <w:r w:rsidR="003E3E63">
              <w:rPr>
                <w:sz w:val="20"/>
                <w:szCs w:val="20"/>
              </w:rPr>
              <w:t xml:space="preserve"> Professional</w:t>
            </w:r>
          </w:p>
        </w:tc>
        <w:tc>
          <w:tcPr>
            <w:tcW w:w="2160" w:type="dxa"/>
            <w:shd w:val="clear" w:color="auto" w:fill="auto"/>
          </w:tcPr>
          <w:p w:rsidRPr="00DC7BDB" w:rsidR="00422A82" w:rsidP="00DC7BDB" w:rsidRDefault="002F2FC9">
            <w:pPr>
              <w:keepNext/>
              <w:jc w:val="right"/>
              <w:rPr>
                <w:sz w:val="20"/>
                <w:szCs w:val="20"/>
              </w:rPr>
            </w:pPr>
            <w:r w:rsidRPr="00DC7BDB">
              <w:rPr>
                <w:sz w:val="20"/>
                <w:szCs w:val="20"/>
              </w:rPr>
              <w:t>40</w:t>
            </w:r>
          </w:p>
        </w:tc>
        <w:tc>
          <w:tcPr>
            <w:tcW w:w="2300" w:type="dxa"/>
            <w:shd w:val="clear" w:color="auto" w:fill="auto"/>
          </w:tcPr>
          <w:p w:rsidRPr="00DC7BDB" w:rsidR="00422A82" w:rsidP="00E653D0" w:rsidRDefault="00440EFB">
            <w:pPr>
              <w:keepNext/>
              <w:jc w:val="right"/>
              <w:rPr>
                <w:sz w:val="20"/>
                <w:szCs w:val="20"/>
              </w:rPr>
            </w:pPr>
            <w:r w:rsidRPr="00DC7BDB">
              <w:rPr>
                <w:sz w:val="20"/>
                <w:szCs w:val="20"/>
              </w:rPr>
              <w:t>$</w:t>
            </w:r>
            <w:r w:rsidR="00544662">
              <w:rPr>
                <w:sz w:val="20"/>
                <w:szCs w:val="20"/>
              </w:rPr>
              <w:t>144</w:t>
            </w:r>
          </w:p>
        </w:tc>
        <w:tc>
          <w:tcPr>
            <w:tcW w:w="2200" w:type="dxa"/>
            <w:shd w:val="clear" w:color="auto" w:fill="auto"/>
          </w:tcPr>
          <w:p w:rsidRPr="00DC7BDB" w:rsidR="00422A82" w:rsidP="00E653D0" w:rsidRDefault="00440EFB">
            <w:pPr>
              <w:keepNext/>
              <w:jc w:val="right"/>
              <w:rPr>
                <w:sz w:val="20"/>
                <w:szCs w:val="20"/>
              </w:rPr>
            </w:pPr>
            <w:r w:rsidRPr="00DC7BDB">
              <w:rPr>
                <w:sz w:val="20"/>
                <w:szCs w:val="20"/>
              </w:rPr>
              <w:t>$</w:t>
            </w:r>
            <w:r w:rsidR="00E653D0">
              <w:rPr>
                <w:sz w:val="20"/>
                <w:szCs w:val="20"/>
              </w:rPr>
              <w:t>2,</w:t>
            </w:r>
            <w:r w:rsidR="005B3423">
              <w:rPr>
                <w:sz w:val="20"/>
                <w:szCs w:val="20"/>
              </w:rPr>
              <w:t>88</w:t>
            </w:r>
            <w:r w:rsidR="00E653D0">
              <w:rPr>
                <w:sz w:val="20"/>
                <w:szCs w:val="20"/>
              </w:rPr>
              <w:t>0</w:t>
            </w:r>
          </w:p>
        </w:tc>
      </w:tr>
      <w:tr w:rsidRPr="00DC7BDB" w:rsidR="00544662" w:rsidTr="001E142C">
        <w:trPr>
          <w:cantSplit/>
          <w:jc w:val="center"/>
        </w:trPr>
        <w:tc>
          <w:tcPr>
            <w:tcW w:w="9360" w:type="dxa"/>
            <w:gridSpan w:val="4"/>
            <w:shd w:val="clear" w:color="auto" w:fill="auto"/>
          </w:tcPr>
          <w:p w:rsidRPr="00DC7BDB" w:rsidR="00544662" w:rsidP="00544662" w:rsidRDefault="00544662">
            <w:pPr>
              <w:keepNext/>
              <w:rPr>
                <w:sz w:val="20"/>
                <w:szCs w:val="20"/>
              </w:rPr>
            </w:pPr>
            <w:r>
              <w:rPr>
                <w:sz w:val="20"/>
                <w:szCs w:val="20"/>
              </w:rPr>
              <w:t>Notification of the intent to use an Accredited Person</w:t>
            </w:r>
          </w:p>
        </w:tc>
      </w:tr>
      <w:tr w:rsidRPr="00DC7BDB" w:rsidR="00544662" w:rsidTr="00DC7BDB">
        <w:trPr>
          <w:cantSplit/>
          <w:jc w:val="center"/>
        </w:trPr>
        <w:tc>
          <w:tcPr>
            <w:tcW w:w="2700" w:type="dxa"/>
            <w:shd w:val="clear" w:color="auto" w:fill="auto"/>
          </w:tcPr>
          <w:p w:rsidRPr="00DC7BDB" w:rsidR="00544662" w:rsidP="00544662" w:rsidRDefault="00544662">
            <w:pPr>
              <w:keepNext/>
              <w:ind w:left="340"/>
              <w:rPr>
                <w:sz w:val="20"/>
                <w:szCs w:val="20"/>
              </w:rPr>
            </w:pPr>
            <w:r>
              <w:rPr>
                <w:sz w:val="20"/>
                <w:szCs w:val="20"/>
              </w:rPr>
              <w:t>Regulatory Affairs Professional</w:t>
            </w:r>
          </w:p>
        </w:tc>
        <w:tc>
          <w:tcPr>
            <w:tcW w:w="2160" w:type="dxa"/>
            <w:shd w:val="clear" w:color="auto" w:fill="auto"/>
          </w:tcPr>
          <w:p w:rsidRPr="00DC7BDB" w:rsidR="00544662" w:rsidP="00DC7BDB" w:rsidRDefault="00544662">
            <w:pPr>
              <w:keepNext/>
              <w:jc w:val="right"/>
              <w:rPr>
                <w:sz w:val="20"/>
                <w:szCs w:val="20"/>
              </w:rPr>
            </w:pPr>
            <w:r>
              <w:rPr>
                <w:sz w:val="20"/>
                <w:szCs w:val="20"/>
              </w:rPr>
              <w:t>150</w:t>
            </w:r>
          </w:p>
        </w:tc>
        <w:tc>
          <w:tcPr>
            <w:tcW w:w="2300" w:type="dxa"/>
            <w:shd w:val="clear" w:color="auto" w:fill="auto"/>
          </w:tcPr>
          <w:p w:rsidRPr="00DC7BDB" w:rsidR="00544662" w:rsidP="00E653D0" w:rsidRDefault="00544662">
            <w:pPr>
              <w:keepNext/>
              <w:jc w:val="right"/>
              <w:rPr>
                <w:sz w:val="20"/>
                <w:szCs w:val="20"/>
              </w:rPr>
            </w:pPr>
            <w:r>
              <w:rPr>
                <w:sz w:val="20"/>
                <w:szCs w:val="20"/>
              </w:rPr>
              <w:t>$144</w:t>
            </w:r>
          </w:p>
        </w:tc>
        <w:tc>
          <w:tcPr>
            <w:tcW w:w="2200" w:type="dxa"/>
            <w:shd w:val="clear" w:color="auto" w:fill="auto"/>
          </w:tcPr>
          <w:p w:rsidRPr="00DC7BDB" w:rsidR="00544662" w:rsidP="00E653D0" w:rsidRDefault="00544662">
            <w:pPr>
              <w:keepNext/>
              <w:jc w:val="right"/>
              <w:rPr>
                <w:sz w:val="20"/>
                <w:szCs w:val="20"/>
              </w:rPr>
            </w:pPr>
            <w:r>
              <w:rPr>
                <w:sz w:val="20"/>
                <w:szCs w:val="20"/>
              </w:rPr>
              <w:t>$</w:t>
            </w:r>
            <w:r w:rsidR="006A65B3">
              <w:rPr>
                <w:sz w:val="20"/>
                <w:szCs w:val="20"/>
              </w:rPr>
              <w:t>21,600</w:t>
            </w:r>
          </w:p>
        </w:tc>
      </w:tr>
      <w:tr w:rsidRPr="00DC7BDB" w:rsidR="00BA564C" w:rsidTr="00DC7BDB">
        <w:trPr>
          <w:cantSplit/>
          <w:jc w:val="center"/>
        </w:trPr>
        <w:tc>
          <w:tcPr>
            <w:tcW w:w="7160" w:type="dxa"/>
            <w:gridSpan w:val="3"/>
            <w:shd w:val="clear" w:color="auto" w:fill="auto"/>
          </w:tcPr>
          <w:p w:rsidRPr="00DC7BDB" w:rsidR="00BA564C" w:rsidP="00DC7BDB" w:rsidRDefault="00BA564C">
            <w:pPr>
              <w:keepNext/>
              <w:rPr>
                <w:sz w:val="20"/>
                <w:szCs w:val="20"/>
              </w:rPr>
            </w:pPr>
            <w:r w:rsidRPr="00DC7BDB">
              <w:rPr>
                <w:sz w:val="20"/>
                <w:szCs w:val="20"/>
              </w:rPr>
              <w:t>Total annualized cost burden estimate</w:t>
            </w:r>
          </w:p>
        </w:tc>
        <w:tc>
          <w:tcPr>
            <w:tcW w:w="2200" w:type="dxa"/>
            <w:shd w:val="clear" w:color="auto" w:fill="auto"/>
          </w:tcPr>
          <w:p w:rsidRPr="00DC7BDB" w:rsidR="00BA564C" w:rsidP="00E653D0" w:rsidRDefault="00BA564C">
            <w:pPr>
              <w:keepNext/>
              <w:jc w:val="right"/>
              <w:rPr>
                <w:sz w:val="20"/>
                <w:szCs w:val="20"/>
              </w:rPr>
            </w:pPr>
            <w:r w:rsidRPr="00DC7BDB">
              <w:rPr>
                <w:sz w:val="20"/>
                <w:szCs w:val="20"/>
              </w:rPr>
              <w:t>$</w:t>
            </w:r>
            <w:r w:rsidR="006A65B3">
              <w:rPr>
                <w:sz w:val="20"/>
                <w:szCs w:val="20"/>
              </w:rPr>
              <w:t>25,920</w:t>
            </w:r>
          </w:p>
        </w:tc>
      </w:tr>
    </w:tbl>
    <w:p w:rsidR="006662ED" w:rsidP="002468CC" w:rsidRDefault="006662ED">
      <w:pPr>
        <w:pStyle w:val="BodyText2"/>
      </w:pPr>
    </w:p>
    <w:p w:rsidRPr="00144784" w:rsidR="00BA564C" w:rsidP="00BA564C" w:rsidRDefault="00BA564C">
      <w:pPr>
        <w:rPr>
          <w:sz w:val="20"/>
          <w:szCs w:val="20"/>
        </w:rPr>
      </w:pPr>
      <w:r w:rsidRPr="00144784">
        <w:rPr>
          <w:sz w:val="20"/>
          <w:szCs w:val="20"/>
        </w:rPr>
        <w:t>*</w:t>
      </w:r>
      <w:r>
        <w:rPr>
          <w:sz w:val="20"/>
          <w:szCs w:val="20"/>
        </w:rPr>
        <w:t xml:space="preserve">The </w:t>
      </w:r>
      <w:r w:rsidR="002376AD">
        <w:rPr>
          <w:sz w:val="20"/>
          <w:szCs w:val="20"/>
        </w:rPr>
        <w:t xml:space="preserve">estimated </w:t>
      </w:r>
      <w:r w:rsidR="00F02144">
        <w:rPr>
          <w:sz w:val="20"/>
          <w:szCs w:val="20"/>
        </w:rPr>
        <w:t xml:space="preserve">hourly </w:t>
      </w:r>
      <w:r>
        <w:rPr>
          <w:sz w:val="20"/>
          <w:szCs w:val="20"/>
        </w:rPr>
        <w:t xml:space="preserve">wage rate for </w:t>
      </w:r>
      <w:r w:rsidR="0051609B">
        <w:rPr>
          <w:sz w:val="20"/>
          <w:szCs w:val="20"/>
        </w:rPr>
        <w:t xml:space="preserve">a Quality System </w:t>
      </w:r>
      <w:r w:rsidR="00522D7D">
        <w:rPr>
          <w:sz w:val="20"/>
          <w:szCs w:val="20"/>
        </w:rPr>
        <w:t>Specialist</w:t>
      </w:r>
      <w:r w:rsidR="00850D7C">
        <w:rPr>
          <w:sz w:val="20"/>
          <w:szCs w:val="20"/>
        </w:rPr>
        <w:t>,</w:t>
      </w:r>
      <w:r w:rsidR="00F1269E">
        <w:rPr>
          <w:sz w:val="20"/>
          <w:szCs w:val="20"/>
        </w:rPr>
        <w:t xml:space="preserve"> $36, is based on the</w:t>
      </w:r>
      <w:r w:rsidR="00850D7C">
        <w:rPr>
          <w:sz w:val="20"/>
          <w:szCs w:val="20"/>
        </w:rPr>
        <w:t xml:space="preserve"> </w:t>
      </w:r>
      <w:r w:rsidR="00F02144">
        <w:rPr>
          <w:sz w:val="20"/>
          <w:szCs w:val="20"/>
        </w:rPr>
        <w:t>average</w:t>
      </w:r>
      <w:r w:rsidR="00850D7C">
        <w:rPr>
          <w:sz w:val="20"/>
          <w:szCs w:val="20"/>
        </w:rPr>
        <w:t xml:space="preserve"> annual</w:t>
      </w:r>
      <w:r w:rsidR="00F02144">
        <w:rPr>
          <w:sz w:val="20"/>
          <w:szCs w:val="20"/>
        </w:rPr>
        <w:t xml:space="preserve"> salary</w:t>
      </w:r>
      <w:r w:rsidR="00F1269E">
        <w:rPr>
          <w:sz w:val="20"/>
          <w:szCs w:val="20"/>
        </w:rPr>
        <w:t xml:space="preserve"> of</w:t>
      </w:r>
      <w:r w:rsidR="00F02144">
        <w:rPr>
          <w:sz w:val="20"/>
          <w:szCs w:val="20"/>
        </w:rPr>
        <w:t xml:space="preserve"> </w:t>
      </w:r>
      <w:r w:rsidR="00F1269E">
        <w:rPr>
          <w:sz w:val="20"/>
          <w:szCs w:val="20"/>
        </w:rPr>
        <w:t xml:space="preserve">a Quality System Specialist, </w:t>
      </w:r>
      <w:r w:rsidR="003E1623">
        <w:rPr>
          <w:sz w:val="20"/>
          <w:szCs w:val="20"/>
        </w:rPr>
        <w:t>$75</w:t>
      </w:r>
      <w:r w:rsidR="00F02144">
        <w:rPr>
          <w:sz w:val="20"/>
          <w:szCs w:val="20"/>
        </w:rPr>
        <w:t>,583</w:t>
      </w:r>
      <w:r w:rsidR="00850D7C">
        <w:rPr>
          <w:sz w:val="20"/>
          <w:szCs w:val="20"/>
        </w:rPr>
        <w:t>,</w:t>
      </w:r>
      <w:r w:rsidR="003E1623">
        <w:rPr>
          <w:sz w:val="20"/>
          <w:szCs w:val="20"/>
        </w:rPr>
        <w:t xml:space="preserve"> </w:t>
      </w:r>
      <w:r w:rsidR="00F1269E">
        <w:rPr>
          <w:sz w:val="20"/>
          <w:szCs w:val="20"/>
        </w:rPr>
        <w:t>listed in</w:t>
      </w:r>
      <w:r w:rsidR="006275A7">
        <w:rPr>
          <w:sz w:val="20"/>
          <w:szCs w:val="20"/>
        </w:rPr>
        <w:t xml:space="preserve"> the </w:t>
      </w:r>
      <w:r w:rsidRPr="006275A7" w:rsidR="006275A7">
        <w:rPr>
          <w:sz w:val="20"/>
          <w:szCs w:val="20"/>
        </w:rPr>
        <w:t>American Society for Quality</w:t>
      </w:r>
      <w:r w:rsidR="00F1269E">
        <w:rPr>
          <w:sz w:val="20"/>
          <w:szCs w:val="20"/>
        </w:rPr>
        <w:t>’s</w:t>
      </w:r>
      <w:r w:rsidR="006275A7">
        <w:rPr>
          <w:sz w:val="20"/>
          <w:szCs w:val="20"/>
        </w:rPr>
        <w:t xml:space="preserve"> </w:t>
      </w:r>
      <w:r w:rsidR="00F1269E">
        <w:rPr>
          <w:sz w:val="20"/>
          <w:szCs w:val="20"/>
        </w:rPr>
        <w:t>infographic “</w:t>
      </w:r>
      <w:r w:rsidR="00EE5481">
        <w:rPr>
          <w:sz w:val="20"/>
          <w:szCs w:val="20"/>
        </w:rPr>
        <w:t>Quality Jobs</w:t>
      </w:r>
      <w:r w:rsidR="00F1269E">
        <w:rPr>
          <w:sz w:val="20"/>
          <w:szCs w:val="20"/>
        </w:rPr>
        <w:t>”</w:t>
      </w:r>
      <w:r w:rsidR="006275A7">
        <w:rPr>
          <w:sz w:val="20"/>
          <w:szCs w:val="20"/>
        </w:rPr>
        <w:t xml:space="preserve"> </w:t>
      </w:r>
      <w:r w:rsidR="00EE5481">
        <w:rPr>
          <w:sz w:val="20"/>
          <w:szCs w:val="20"/>
        </w:rPr>
        <w:t xml:space="preserve">(downloaded from </w:t>
      </w:r>
      <w:hyperlink w:history="1" r:id="rId10">
        <w:r w:rsidRPr="00A91C48" w:rsidR="00850D7C">
          <w:rPr>
            <w:rStyle w:val="Hyperlink"/>
            <w:sz w:val="20"/>
            <w:szCs w:val="20"/>
          </w:rPr>
          <w:t>https://asq.org/career/-/media/90CF12B4221E4FF7BC0165F71C31027E.ashx</w:t>
        </w:r>
      </w:hyperlink>
      <w:r w:rsidR="00850D7C">
        <w:rPr>
          <w:sz w:val="20"/>
          <w:szCs w:val="20"/>
        </w:rPr>
        <w:t xml:space="preserve"> </w:t>
      </w:r>
      <w:r w:rsidR="00EE5481">
        <w:rPr>
          <w:sz w:val="20"/>
          <w:szCs w:val="20"/>
        </w:rPr>
        <w:t>on</w:t>
      </w:r>
      <w:r w:rsidR="00850D7C">
        <w:rPr>
          <w:sz w:val="20"/>
          <w:szCs w:val="20"/>
        </w:rPr>
        <w:t xml:space="preserve"> 11/12/18)</w:t>
      </w:r>
      <w:r w:rsidRPr="00144784">
        <w:rPr>
          <w:sz w:val="20"/>
          <w:szCs w:val="20"/>
        </w:rPr>
        <w:t>.</w:t>
      </w:r>
      <w:r>
        <w:rPr>
          <w:sz w:val="20"/>
          <w:szCs w:val="20"/>
        </w:rPr>
        <w:t xml:space="preserve"> The hourly wage rate assumes a 40-hour work week</w:t>
      </w:r>
      <w:r w:rsidR="00850D7C">
        <w:rPr>
          <w:sz w:val="20"/>
          <w:szCs w:val="20"/>
        </w:rPr>
        <w:t xml:space="preserve"> and is rounded to the nearest dollar</w:t>
      </w:r>
      <w:r>
        <w:rPr>
          <w:sz w:val="20"/>
          <w:szCs w:val="20"/>
        </w:rPr>
        <w:t>.</w:t>
      </w:r>
    </w:p>
    <w:p w:rsidR="00BA564C" w:rsidP="00BA564C" w:rsidRDefault="00F1269E">
      <w:pPr>
        <w:pStyle w:val="BodyText2"/>
        <w:rPr>
          <w:sz w:val="20"/>
          <w:szCs w:val="20"/>
        </w:rPr>
      </w:pPr>
      <w:r>
        <w:rPr>
          <w:sz w:val="20"/>
          <w:szCs w:val="20"/>
        </w:rPr>
        <w:t>*</w:t>
      </w:r>
      <w:r w:rsidRPr="005B3423" w:rsidR="005B3423">
        <w:rPr>
          <w:sz w:val="20"/>
          <w:szCs w:val="20"/>
        </w:rPr>
        <w:t xml:space="preserve">*The estimated </w:t>
      </w:r>
      <w:r w:rsidR="002376AD">
        <w:rPr>
          <w:sz w:val="20"/>
          <w:szCs w:val="20"/>
        </w:rPr>
        <w:t xml:space="preserve">hourly </w:t>
      </w:r>
      <w:r w:rsidRPr="005B3423" w:rsidR="005B3423">
        <w:rPr>
          <w:sz w:val="20"/>
          <w:szCs w:val="20"/>
        </w:rPr>
        <w:t>wage rate</w:t>
      </w:r>
      <w:r w:rsidR="00EE5481">
        <w:rPr>
          <w:sz w:val="20"/>
          <w:szCs w:val="20"/>
        </w:rPr>
        <w:t xml:space="preserve"> for a Regulatory Affairs Professional, $72,</w:t>
      </w:r>
      <w:r w:rsidRPr="005B3423" w:rsidR="005B3423">
        <w:rPr>
          <w:sz w:val="20"/>
          <w:szCs w:val="20"/>
        </w:rPr>
        <w:t xml:space="preserve"> is based on The Regulatory Affairs Professional Society (RAPS) average total compensation for all U.S.-based regulatory professionals at all levels, $150,422 per year (The Regulatory Affairs Professional Society (RAPS), “2016 Scope of Practice &amp; Compensation Report for the Regulatory Profession,” p. 11, downloaded from https://www.raps.org/careers/scope-of-practice-survey on 11/05/18). The hourly wage rate of $72 assumes a 40-hour work week</w:t>
      </w:r>
      <w:r w:rsidR="00544662">
        <w:rPr>
          <w:sz w:val="20"/>
          <w:szCs w:val="20"/>
        </w:rPr>
        <w:t>,</w:t>
      </w:r>
      <w:r w:rsidRPr="005B3423" w:rsidR="005B3423">
        <w:rPr>
          <w:sz w:val="20"/>
          <w:szCs w:val="20"/>
        </w:rPr>
        <w:t xml:space="preserve"> rounded to the nearest dollar</w:t>
      </w:r>
      <w:r w:rsidR="00544662">
        <w:rPr>
          <w:sz w:val="20"/>
          <w:szCs w:val="20"/>
        </w:rPr>
        <w:t>, and doubled to account for benefits and overhead</w:t>
      </w:r>
      <w:r w:rsidRPr="005B3423" w:rsidR="005B3423">
        <w:rPr>
          <w:sz w:val="20"/>
          <w:szCs w:val="20"/>
        </w:rPr>
        <w:t>.</w:t>
      </w:r>
    </w:p>
    <w:p w:rsidR="00522D7D" w:rsidP="00BA564C" w:rsidRDefault="00522D7D">
      <w:pPr>
        <w:pStyle w:val="BodyText2"/>
      </w:pPr>
    </w:p>
    <w:p w:rsidR="006B32F1" w:rsidP="005A033A" w:rsidRDefault="002468CC">
      <w:pPr>
        <w:keepNext/>
        <w:rPr>
          <w:b/>
          <w:u w:val="single"/>
        </w:rPr>
      </w:pPr>
      <w:r>
        <w:rPr>
          <w:b/>
          <w:u w:val="single"/>
        </w:rPr>
        <w:t xml:space="preserve">13.  </w:t>
      </w:r>
      <w:r w:rsidR="006B32F1">
        <w:rPr>
          <w:b/>
          <w:u w:val="single"/>
        </w:rPr>
        <w:t>Estimate of Other Total Annual Cost to Respondents</w:t>
      </w:r>
      <w:r w:rsidR="003F7AD6">
        <w:rPr>
          <w:b/>
          <w:u w:val="single"/>
        </w:rPr>
        <w:t xml:space="preserve"> and/</w:t>
      </w:r>
      <w:r w:rsidR="006B32F1">
        <w:rPr>
          <w:b/>
          <w:u w:val="single"/>
        </w:rPr>
        <w:t>or Recordkeepers</w:t>
      </w:r>
      <w:r w:rsidR="003F7AD6">
        <w:rPr>
          <w:b/>
          <w:u w:val="single"/>
        </w:rPr>
        <w:t>/Capital Costs</w:t>
      </w:r>
    </w:p>
    <w:p w:rsidRPr="002468CC" w:rsidR="00D7737D" w:rsidP="005A033A" w:rsidRDefault="00D7737D">
      <w:pPr>
        <w:keepNext/>
        <w:rPr>
          <w:u w:val="single"/>
        </w:rPr>
      </w:pPr>
    </w:p>
    <w:p w:rsidR="006B32F1" w:rsidP="002468CC" w:rsidRDefault="00406C5D">
      <w:r w:rsidRPr="00406C5D">
        <w:t xml:space="preserve">There </w:t>
      </w:r>
      <w:proofErr w:type="gramStart"/>
      <w:r w:rsidRPr="00406C5D">
        <w:t>are</w:t>
      </w:r>
      <w:proofErr w:type="gramEnd"/>
      <w:r w:rsidRPr="00406C5D">
        <w:t xml:space="preserve"> no capital, start-up,</w:t>
      </w:r>
      <w:r w:rsidR="00DE2A6E">
        <w:t xml:space="preserve"> or </w:t>
      </w:r>
      <w:r w:rsidR="00D7737D">
        <w:t>op</w:t>
      </w:r>
      <w:r w:rsidRPr="00406C5D">
        <w:t>erating or maintenance costs associated with this information collection</w:t>
      </w:r>
      <w:r>
        <w:t>.</w:t>
      </w:r>
    </w:p>
    <w:p w:rsidR="006B32F1" w:rsidP="002468CC" w:rsidRDefault="006B32F1"/>
    <w:p w:rsidR="006B32F1" w:rsidP="002468CC" w:rsidRDefault="002468CC">
      <w:pPr>
        <w:rPr>
          <w:b/>
          <w:u w:val="single"/>
        </w:rPr>
      </w:pPr>
      <w:r>
        <w:rPr>
          <w:b/>
          <w:u w:val="single"/>
        </w:rPr>
        <w:t xml:space="preserve">14.  </w:t>
      </w:r>
      <w:r w:rsidR="006B32F1">
        <w:rPr>
          <w:b/>
          <w:u w:val="single"/>
        </w:rPr>
        <w:t>Annualized Cost to the Federal Government</w:t>
      </w:r>
    </w:p>
    <w:p w:rsidR="005A6BCB" w:rsidP="002468CC" w:rsidRDefault="005A6BCB"/>
    <w:p w:rsidR="009425B2" w:rsidP="009425B2" w:rsidRDefault="009425B2">
      <w:r>
        <w:t>The annualized cost to the federal government will be the cost of two full time FDA employees (FTEs).  Based on a cost of $270,305 per position (which is the agency’s projected average cost of an FTE in CDRH including their non-pay costs*), the estimated annual Federal cost is $540,610.</w:t>
      </w:r>
    </w:p>
    <w:p w:rsidR="009425B2" w:rsidP="009425B2" w:rsidRDefault="009425B2"/>
    <w:p w:rsidRPr="00883CA6" w:rsidR="00876B52" w:rsidP="002468CC" w:rsidRDefault="009425B2">
      <w:pPr>
        <w:autoSpaceDE w:val="0"/>
        <w:autoSpaceDN w:val="0"/>
        <w:adjustRightInd w:val="0"/>
        <w:rPr>
          <w:sz w:val="20"/>
          <w:szCs w:val="20"/>
        </w:rPr>
      </w:pPr>
      <w:r>
        <w:t>*Based on the Food and Drug Administration fully loaded FTE cost model (domestic) for FY 2018, as provided by agency economists.</w:t>
      </w:r>
    </w:p>
    <w:p w:rsidR="00876B52" w:rsidP="002468CC" w:rsidRDefault="00876B52">
      <w:pPr>
        <w:autoSpaceDE w:val="0"/>
        <w:autoSpaceDN w:val="0"/>
        <w:adjustRightInd w:val="0"/>
      </w:pPr>
    </w:p>
    <w:p w:rsidR="006B32F1" w:rsidP="006A65B3" w:rsidRDefault="003F7AD6">
      <w:pPr>
        <w:keepNext/>
        <w:rPr>
          <w:b/>
          <w:u w:val="single"/>
        </w:rPr>
      </w:pPr>
      <w:r>
        <w:rPr>
          <w:b/>
          <w:u w:val="single"/>
        </w:rPr>
        <w:lastRenderedPageBreak/>
        <w:t xml:space="preserve">15.  </w:t>
      </w:r>
      <w:r w:rsidR="006B32F1">
        <w:rPr>
          <w:b/>
          <w:u w:val="single"/>
        </w:rPr>
        <w:t>Explanation for Program Changes o</w:t>
      </w:r>
      <w:r>
        <w:rPr>
          <w:b/>
          <w:u w:val="single"/>
        </w:rPr>
        <w:t>r</w:t>
      </w:r>
      <w:r w:rsidR="006B32F1">
        <w:rPr>
          <w:b/>
          <w:u w:val="single"/>
        </w:rPr>
        <w:t xml:space="preserve"> Adjustments</w:t>
      </w:r>
    </w:p>
    <w:p w:rsidR="005A6BCB" w:rsidP="006A65B3" w:rsidRDefault="005A6BCB">
      <w:pPr>
        <w:keepNext/>
        <w:rPr>
          <w:highlight w:val="yellow"/>
        </w:rPr>
      </w:pPr>
      <w:bookmarkStart w:name="OLE_LINK1" w:id="4"/>
    </w:p>
    <w:p w:rsidRPr="009802D6" w:rsidR="007F2195" w:rsidP="002468CC" w:rsidRDefault="006A65B3">
      <w:r>
        <w:t>FDA has requested consolidation of OMB Control Nos. 0910-0510 and 0910-0569. The estimated hour burden has increased by 150 hours as the result of adding the approved burden from OMB Control No. 0910-0569 to this ICR.</w:t>
      </w:r>
      <w:r w:rsidRPr="009802D6" w:rsidR="006F05C3">
        <w:t xml:space="preserve"> </w:t>
      </w:r>
    </w:p>
    <w:p w:rsidR="00391FE2" w:rsidP="002468CC" w:rsidRDefault="00391FE2"/>
    <w:bookmarkEnd w:id="4"/>
    <w:p w:rsidR="006B32F1" w:rsidP="002468CC" w:rsidRDefault="003F7AD6">
      <w:pPr>
        <w:rPr>
          <w:b/>
          <w:u w:val="single"/>
        </w:rPr>
      </w:pPr>
      <w:r>
        <w:rPr>
          <w:b/>
          <w:u w:val="single"/>
        </w:rPr>
        <w:t xml:space="preserve">16.  </w:t>
      </w:r>
      <w:r w:rsidR="006B32F1">
        <w:rPr>
          <w:b/>
          <w:u w:val="single"/>
        </w:rPr>
        <w:t>Plans for Tabulation and Publication and Project Time Schedule</w:t>
      </w:r>
    </w:p>
    <w:p w:rsidR="006B32F1" w:rsidP="002468CC" w:rsidRDefault="006B32F1"/>
    <w:p w:rsidR="006B32F1" w:rsidP="002468CC" w:rsidRDefault="006B32F1">
      <w:r>
        <w:t>No publication of information for statistical use is planned.</w:t>
      </w:r>
    </w:p>
    <w:p w:rsidR="00061742" w:rsidP="002468CC" w:rsidRDefault="00061742"/>
    <w:p w:rsidR="006B32F1" w:rsidP="002468CC" w:rsidRDefault="003F7AD6">
      <w:pPr>
        <w:rPr>
          <w:b/>
          <w:u w:val="single"/>
        </w:rPr>
      </w:pPr>
      <w:r>
        <w:rPr>
          <w:b/>
          <w:u w:val="single"/>
        </w:rPr>
        <w:t xml:space="preserve">17.  </w:t>
      </w:r>
      <w:r w:rsidR="006B32F1">
        <w:rPr>
          <w:b/>
          <w:u w:val="single"/>
        </w:rPr>
        <w:t>Reason(s) Display of OMB Expiration Date Is Inappropriate</w:t>
      </w:r>
    </w:p>
    <w:p w:rsidR="00487B06" w:rsidP="002468CC" w:rsidRDefault="00487B06"/>
    <w:p w:rsidR="003F7AD6" w:rsidP="002468CC" w:rsidRDefault="00EA243E">
      <w:r w:rsidRPr="00EA243E">
        <w:t>FDA will display the OMB expiration date as required by 5 CFR 1320.5</w:t>
      </w:r>
      <w:r w:rsidR="006A65B3">
        <w:t>.</w:t>
      </w:r>
    </w:p>
    <w:p w:rsidR="00401B76" w:rsidP="002468CC" w:rsidRDefault="00401B76"/>
    <w:p w:rsidR="006B32F1" w:rsidP="002468CC" w:rsidRDefault="006D28B3">
      <w:pPr>
        <w:rPr>
          <w:b/>
          <w:u w:val="single"/>
        </w:rPr>
      </w:pPr>
      <w:r w:rsidRPr="00487B06">
        <w:rPr>
          <w:b/>
          <w:u w:val="single"/>
        </w:rPr>
        <w:t xml:space="preserve">18.  </w:t>
      </w:r>
      <w:r w:rsidR="006B32F1">
        <w:rPr>
          <w:b/>
          <w:u w:val="single"/>
        </w:rPr>
        <w:t>Exceptions to Certification for Paperwork Reduction Act Submissions</w:t>
      </w:r>
    </w:p>
    <w:p w:rsidR="006B32F1" w:rsidP="002468CC" w:rsidRDefault="006B32F1"/>
    <w:p w:rsidR="00487B06" w:rsidP="002468CC" w:rsidRDefault="00487B06">
      <w:r>
        <w:t>There are no exceptions to the certification.</w:t>
      </w:r>
    </w:p>
    <w:p w:rsidR="006B32F1" w:rsidP="002468CC" w:rsidRDefault="006B32F1"/>
    <w:sectPr w:rsidR="006B32F1" w:rsidSect="00883CA6">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42C" w:rsidRDefault="001E142C">
      <w:r>
        <w:separator/>
      </w:r>
    </w:p>
  </w:endnote>
  <w:endnote w:type="continuationSeparator" w:id="0">
    <w:p w:rsidR="001E142C" w:rsidRDefault="001E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30B" w:rsidRDefault="00355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530B" w:rsidRDefault="00355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30B" w:rsidRDefault="00355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319B">
      <w:rPr>
        <w:rStyle w:val="PageNumber"/>
        <w:noProof/>
      </w:rPr>
      <w:t>2</w:t>
    </w:r>
    <w:r>
      <w:rPr>
        <w:rStyle w:val="PageNumber"/>
      </w:rPr>
      <w:fldChar w:fldCharType="end"/>
    </w:r>
  </w:p>
  <w:p w:rsidR="0035530B" w:rsidRDefault="0035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42C" w:rsidRDefault="001E142C">
      <w:r>
        <w:separator/>
      </w:r>
    </w:p>
  </w:footnote>
  <w:footnote w:type="continuationSeparator" w:id="0">
    <w:p w:rsidR="001E142C" w:rsidRDefault="001E142C">
      <w:r>
        <w:continuationSeparator/>
      </w:r>
    </w:p>
  </w:footnote>
  <w:footnote w:id="1">
    <w:p w:rsidR="005509BE" w:rsidRDefault="005509BE" w:rsidP="005509BE">
      <w:pPr>
        <w:pStyle w:val="FootnoteText"/>
      </w:pPr>
      <w:r>
        <w:rPr>
          <w:rStyle w:val="FootnoteReference"/>
        </w:rPr>
        <w:footnoteRef/>
      </w:r>
      <w:r>
        <w:t xml:space="preserve"> As noted on the coversheet for both guidance documents described above, the FDA Reauthorization Act of 2017 (FDARA), signed into law on August 18, 2017, amended several sections of the FD&amp;C Act. The guidance documents were developed and issued prior to the enactment of FDARA, and certain sections may no longer be current as a result. FDA is assessing how to revise the guidance documents to represent our current thinking on this topic. </w:t>
      </w:r>
    </w:p>
    <w:p w:rsidR="005509BE" w:rsidRDefault="005509BE" w:rsidP="005509BE">
      <w:pPr>
        <w:pStyle w:val="FootnoteText"/>
        <w:ind w:firstLine="360"/>
      </w:pPr>
      <w:r>
        <w:t>We note that, while the guidances are intended to assist respondents regarding the AP Program, section 704(g) of the FD&amp;C Act provides for accreditation of persons for the purpose of conducting inspections and provides the minimum requirements an Accredited Person must meet. Section 704(g) also provides for a manufacturer’s notice of their intention to use an Accredited Person to conduct inspections and provides the other conditions for a device establishment to be eligible for inspection by Accredited Persons. Further, a person who intends to participate in the AP Program can, under section 704(g) of the FD&amp;C Act, request accreditation to conduct inspections or provide notice of their intention to use an Accredited Person to perform inspections.</w:t>
      </w:r>
    </w:p>
    <w:p w:rsidR="005509BE" w:rsidRDefault="005509BE" w:rsidP="005509BE">
      <w:pPr>
        <w:pStyle w:val="FootnoteText"/>
        <w:ind w:firstLine="360"/>
      </w:pPr>
      <w:r>
        <w:t>Therefore, we regard section 704(g) of the FD&amp;C Act to be the primary collection instrument for this information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005"/>
    <w:multiLevelType w:val="hybridMultilevel"/>
    <w:tmpl w:val="FCDAF634"/>
    <w:lvl w:ilvl="0" w:tplc="0409000F">
      <w:start w:val="1"/>
      <w:numFmt w:val="decimal"/>
      <w:lvlText w:val="%1."/>
      <w:lvlJc w:val="left"/>
      <w:pPr>
        <w:ind w:left="-180" w:hanging="360"/>
      </w:p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start w:val="1"/>
      <w:numFmt w:val="decimal"/>
      <w:lvlText w:val="%4."/>
      <w:lvlJc w:val="left"/>
      <w:pPr>
        <w:ind w:left="1980" w:hanging="360"/>
      </w:pPr>
    </w:lvl>
    <w:lvl w:ilvl="4" w:tplc="04090019">
      <w:start w:val="1"/>
      <w:numFmt w:val="lowerLetter"/>
      <w:lvlText w:val="%5."/>
      <w:lvlJc w:val="left"/>
      <w:pPr>
        <w:ind w:left="2700" w:hanging="360"/>
      </w:pPr>
    </w:lvl>
    <w:lvl w:ilvl="5" w:tplc="0409001B">
      <w:start w:val="1"/>
      <w:numFmt w:val="lowerRoman"/>
      <w:lvlText w:val="%6."/>
      <w:lvlJc w:val="right"/>
      <w:pPr>
        <w:ind w:left="3420" w:hanging="180"/>
      </w:pPr>
    </w:lvl>
    <w:lvl w:ilvl="6" w:tplc="0409000F">
      <w:start w:val="1"/>
      <w:numFmt w:val="decimal"/>
      <w:lvlText w:val="%7."/>
      <w:lvlJc w:val="left"/>
      <w:pPr>
        <w:ind w:left="4140" w:hanging="360"/>
      </w:pPr>
    </w:lvl>
    <w:lvl w:ilvl="7" w:tplc="04090019">
      <w:start w:val="1"/>
      <w:numFmt w:val="lowerLetter"/>
      <w:lvlText w:val="%8."/>
      <w:lvlJc w:val="left"/>
      <w:pPr>
        <w:ind w:left="4860" w:hanging="360"/>
      </w:pPr>
    </w:lvl>
    <w:lvl w:ilvl="8" w:tplc="0409001B">
      <w:start w:val="1"/>
      <w:numFmt w:val="lowerRoman"/>
      <w:lvlText w:val="%9."/>
      <w:lvlJc w:val="right"/>
      <w:pPr>
        <w:ind w:left="5580" w:hanging="180"/>
      </w:pPr>
    </w:lvl>
  </w:abstractNum>
  <w:abstractNum w:abstractNumId="1" w15:restartNumberingAfterBreak="0">
    <w:nsid w:val="03323DAF"/>
    <w:multiLevelType w:val="hybridMultilevel"/>
    <w:tmpl w:val="55A0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2B679DD"/>
    <w:multiLevelType w:val="hybridMultilevel"/>
    <w:tmpl w:val="BB52DE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DD3723"/>
    <w:multiLevelType w:val="hybridMultilevel"/>
    <w:tmpl w:val="579678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2A346D"/>
    <w:multiLevelType w:val="hybridMultilevel"/>
    <w:tmpl w:val="D430F7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1FA70D4"/>
    <w:multiLevelType w:val="hybridMultilevel"/>
    <w:tmpl w:val="3A8C618E"/>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2DE34E2"/>
    <w:multiLevelType w:val="hybridMultilevel"/>
    <w:tmpl w:val="6540BF54"/>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3D4080C"/>
    <w:multiLevelType w:val="hybridMultilevel"/>
    <w:tmpl w:val="E85E0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8E4116"/>
    <w:multiLevelType w:val="hybridMultilevel"/>
    <w:tmpl w:val="E2DC8EDE"/>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5AC43D5"/>
    <w:multiLevelType w:val="hybridMultilevel"/>
    <w:tmpl w:val="F5FC65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1905C3"/>
    <w:multiLevelType w:val="hybridMultilevel"/>
    <w:tmpl w:val="AD7CF1CC"/>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05B164D"/>
    <w:multiLevelType w:val="hybridMultilevel"/>
    <w:tmpl w:val="51A82EEA"/>
    <w:lvl w:ilvl="0" w:tplc="E91A069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B07A9B"/>
    <w:multiLevelType w:val="hybridMultilevel"/>
    <w:tmpl w:val="32C28932"/>
    <w:lvl w:ilvl="0" w:tplc="42AC222C">
      <w:start w:val="14"/>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3C02230"/>
    <w:multiLevelType w:val="hybridMultilevel"/>
    <w:tmpl w:val="0A9EAFE4"/>
    <w:lvl w:ilvl="0">
      <w:start w:val="5"/>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9" w15:restartNumberingAfterBreak="0">
    <w:nsid w:val="63AC1387"/>
    <w:multiLevelType w:val="hybridMultilevel"/>
    <w:tmpl w:val="C42688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4CC399F"/>
    <w:multiLevelType w:val="hybridMultilevel"/>
    <w:tmpl w:val="6F769E7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52F037B"/>
    <w:multiLevelType w:val="hybridMultilevel"/>
    <w:tmpl w:val="9D2070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3CD52CE"/>
    <w:multiLevelType w:val="hybridMultilevel"/>
    <w:tmpl w:val="D04C86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5C84BF4"/>
    <w:multiLevelType w:val="hybridMultilevel"/>
    <w:tmpl w:val="38D00F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7C81436"/>
    <w:multiLevelType w:val="hybridMultilevel"/>
    <w:tmpl w:val="06924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921ED3"/>
    <w:multiLevelType w:val="hybridMultilevel"/>
    <w:tmpl w:val="84180FAA"/>
    <w:lvl w:ilvl="0" w:tplc="CB8E84F8">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E3911FF"/>
    <w:multiLevelType w:val="hybridMultilevel"/>
    <w:tmpl w:val="133EA27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19"/>
  </w:num>
  <w:num w:numId="4">
    <w:abstractNumId w:val="13"/>
  </w:num>
  <w:num w:numId="5">
    <w:abstractNumId w:val="10"/>
  </w:num>
  <w:num w:numId="6">
    <w:abstractNumId w:val="8"/>
  </w:num>
  <w:num w:numId="7">
    <w:abstractNumId w:val="18"/>
  </w:num>
  <w:num w:numId="8">
    <w:abstractNumId w:val="21"/>
  </w:num>
  <w:num w:numId="9">
    <w:abstractNumId w:val="4"/>
  </w:num>
  <w:num w:numId="10">
    <w:abstractNumId w:val="14"/>
  </w:num>
  <w:num w:numId="11">
    <w:abstractNumId w:val="11"/>
  </w:num>
  <w:num w:numId="12">
    <w:abstractNumId w:val="9"/>
  </w:num>
  <w:num w:numId="13">
    <w:abstractNumId w:val="5"/>
  </w:num>
  <w:num w:numId="14">
    <w:abstractNumId w:val="2"/>
  </w:num>
  <w:num w:numId="15">
    <w:abstractNumId w:val="23"/>
  </w:num>
  <w:num w:numId="16">
    <w:abstractNumId w:val="22"/>
  </w:num>
  <w:num w:numId="17">
    <w:abstractNumId w:val="24"/>
  </w:num>
  <w:num w:numId="18">
    <w:abstractNumId w:val="17"/>
  </w:num>
  <w:num w:numId="19">
    <w:abstractNumId w:val="16"/>
  </w:num>
  <w:num w:numId="20">
    <w:abstractNumId w:val="12"/>
  </w:num>
  <w:num w:numId="21">
    <w:abstractNumId w:val="6"/>
  </w:num>
  <w:num w:numId="22">
    <w:abstractNumId w:val="15"/>
  </w:num>
  <w:num w:numId="23">
    <w:abstractNumId w:val="25"/>
  </w:num>
  <w:num w:numId="24">
    <w:abstractNumId w:val="26"/>
  </w:num>
  <w:num w:numId="25">
    <w:abstractNumId w:val="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B4"/>
    <w:rsid w:val="00016079"/>
    <w:rsid w:val="000170BE"/>
    <w:rsid w:val="00033C12"/>
    <w:rsid w:val="00047E43"/>
    <w:rsid w:val="000555A7"/>
    <w:rsid w:val="00061742"/>
    <w:rsid w:val="00067CE1"/>
    <w:rsid w:val="00072472"/>
    <w:rsid w:val="00075528"/>
    <w:rsid w:val="000755B4"/>
    <w:rsid w:val="00097140"/>
    <w:rsid w:val="000C7764"/>
    <w:rsid w:val="000D17C6"/>
    <w:rsid w:val="000D319B"/>
    <w:rsid w:val="000E400A"/>
    <w:rsid w:val="000F429E"/>
    <w:rsid w:val="000F6A3C"/>
    <w:rsid w:val="00111FDF"/>
    <w:rsid w:val="00113A60"/>
    <w:rsid w:val="00114E23"/>
    <w:rsid w:val="001226B0"/>
    <w:rsid w:val="0012448E"/>
    <w:rsid w:val="001371D3"/>
    <w:rsid w:val="001376FE"/>
    <w:rsid w:val="00144784"/>
    <w:rsid w:val="00161721"/>
    <w:rsid w:val="001B0AA8"/>
    <w:rsid w:val="001B1F98"/>
    <w:rsid w:val="001B70C5"/>
    <w:rsid w:val="001C64B4"/>
    <w:rsid w:val="001C79BC"/>
    <w:rsid w:val="001D5A38"/>
    <w:rsid w:val="001E017F"/>
    <w:rsid w:val="001E0AB8"/>
    <w:rsid w:val="001E142C"/>
    <w:rsid w:val="001E1B7D"/>
    <w:rsid w:val="001E3107"/>
    <w:rsid w:val="00204D2D"/>
    <w:rsid w:val="00205AB9"/>
    <w:rsid w:val="0021404F"/>
    <w:rsid w:val="002261BE"/>
    <w:rsid w:val="002376AD"/>
    <w:rsid w:val="002468CC"/>
    <w:rsid w:val="00276C1A"/>
    <w:rsid w:val="00281238"/>
    <w:rsid w:val="00282D11"/>
    <w:rsid w:val="0028459F"/>
    <w:rsid w:val="0028484C"/>
    <w:rsid w:val="002952C4"/>
    <w:rsid w:val="002A7EA6"/>
    <w:rsid w:val="002B2F17"/>
    <w:rsid w:val="002C36AD"/>
    <w:rsid w:val="002C6527"/>
    <w:rsid w:val="002D61D9"/>
    <w:rsid w:val="002E572D"/>
    <w:rsid w:val="002F2FC9"/>
    <w:rsid w:val="00301796"/>
    <w:rsid w:val="003064B4"/>
    <w:rsid w:val="003117D3"/>
    <w:rsid w:val="0031544D"/>
    <w:rsid w:val="003201CE"/>
    <w:rsid w:val="00323DAF"/>
    <w:rsid w:val="00327B81"/>
    <w:rsid w:val="00333DC1"/>
    <w:rsid w:val="00335251"/>
    <w:rsid w:val="00353919"/>
    <w:rsid w:val="0035530B"/>
    <w:rsid w:val="00357841"/>
    <w:rsid w:val="00362B84"/>
    <w:rsid w:val="00380C63"/>
    <w:rsid w:val="00391FE2"/>
    <w:rsid w:val="0039548F"/>
    <w:rsid w:val="003B2E8E"/>
    <w:rsid w:val="003D24F6"/>
    <w:rsid w:val="003D6D2A"/>
    <w:rsid w:val="003D787A"/>
    <w:rsid w:val="003E0337"/>
    <w:rsid w:val="003E1623"/>
    <w:rsid w:val="003E3E63"/>
    <w:rsid w:val="003F176C"/>
    <w:rsid w:val="003F7AD6"/>
    <w:rsid w:val="00401B76"/>
    <w:rsid w:val="00406C5D"/>
    <w:rsid w:val="00407220"/>
    <w:rsid w:val="00422A82"/>
    <w:rsid w:val="004373D6"/>
    <w:rsid w:val="00440EFB"/>
    <w:rsid w:val="004526EF"/>
    <w:rsid w:val="00456682"/>
    <w:rsid w:val="00466911"/>
    <w:rsid w:val="00474D0D"/>
    <w:rsid w:val="00476BE1"/>
    <w:rsid w:val="00487B06"/>
    <w:rsid w:val="00494969"/>
    <w:rsid w:val="004A5DC8"/>
    <w:rsid w:val="004B54E9"/>
    <w:rsid w:val="004C407C"/>
    <w:rsid w:val="004C5748"/>
    <w:rsid w:val="004D4127"/>
    <w:rsid w:val="004F1F65"/>
    <w:rsid w:val="004F2B0D"/>
    <w:rsid w:val="004F33B5"/>
    <w:rsid w:val="004F4B0F"/>
    <w:rsid w:val="0050631B"/>
    <w:rsid w:val="0051609B"/>
    <w:rsid w:val="00522D7D"/>
    <w:rsid w:val="0052320F"/>
    <w:rsid w:val="00544662"/>
    <w:rsid w:val="00545D15"/>
    <w:rsid w:val="00547324"/>
    <w:rsid w:val="005509BE"/>
    <w:rsid w:val="0055614B"/>
    <w:rsid w:val="00563049"/>
    <w:rsid w:val="00570124"/>
    <w:rsid w:val="00575868"/>
    <w:rsid w:val="00575E4D"/>
    <w:rsid w:val="005765C5"/>
    <w:rsid w:val="00584475"/>
    <w:rsid w:val="00591958"/>
    <w:rsid w:val="005A033A"/>
    <w:rsid w:val="005A3947"/>
    <w:rsid w:val="005A6BCB"/>
    <w:rsid w:val="005B3423"/>
    <w:rsid w:val="005B6A18"/>
    <w:rsid w:val="005C372E"/>
    <w:rsid w:val="005D1BF4"/>
    <w:rsid w:val="005E7F02"/>
    <w:rsid w:val="005F0883"/>
    <w:rsid w:val="006027CF"/>
    <w:rsid w:val="006059C3"/>
    <w:rsid w:val="006275A7"/>
    <w:rsid w:val="00632F07"/>
    <w:rsid w:val="00634D06"/>
    <w:rsid w:val="00650076"/>
    <w:rsid w:val="00652A21"/>
    <w:rsid w:val="00653193"/>
    <w:rsid w:val="006637BC"/>
    <w:rsid w:val="006646E7"/>
    <w:rsid w:val="006662ED"/>
    <w:rsid w:val="00687580"/>
    <w:rsid w:val="006A4F43"/>
    <w:rsid w:val="006A65B3"/>
    <w:rsid w:val="006B32F1"/>
    <w:rsid w:val="006B40AC"/>
    <w:rsid w:val="006B61C4"/>
    <w:rsid w:val="006C241E"/>
    <w:rsid w:val="006C39A9"/>
    <w:rsid w:val="006D28B3"/>
    <w:rsid w:val="006D2AF2"/>
    <w:rsid w:val="006E00E2"/>
    <w:rsid w:val="006E3139"/>
    <w:rsid w:val="006F05C3"/>
    <w:rsid w:val="0071327C"/>
    <w:rsid w:val="007250B2"/>
    <w:rsid w:val="0072554B"/>
    <w:rsid w:val="00733321"/>
    <w:rsid w:val="00733647"/>
    <w:rsid w:val="00733E58"/>
    <w:rsid w:val="0073409F"/>
    <w:rsid w:val="00737A21"/>
    <w:rsid w:val="00746BD7"/>
    <w:rsid w:val="007675D5"/>
    <w:rsid w:val="00773279"/>
    <w:rsid w:val="00775B09"/>
    <w:rsid w:val="007813EA"/>
    <w:rsid w:val="00790D69"/>
    <w:rsid w:val="0079426D"/>
    <w:rsid w:val="007B20B1"/>
    <w:rsid w:val="007F2195"/>
    <w:rsid w:val="007F5E99"/>
    <w:rsid w:val="008158AF"/>
    <w:rsid w:val="008160D5"/>
    <w:rsid w:val="00844FB6"/>
    <w:rsid w:val="00850D7C"/>
    <w:rsid w:val="008702CA"/>
    <w:rsid w:val="0087451C"/>
    <w:rsid w:val="00876B52"/>
    <w:rsid w:val="00880BC4"/>
    <w:rsid w:val="008817D5"/>
    <w:rsid w:val="00883CA6"/>
    <w:rsid w:val="008A4ED4"/>
    <w:rsid w:val="008A51DC"/>
    <w:rsid w:val="008A5942"/>
    <w:rsid w:val="008B5E49"/>
    <w:rsid w:val="008C1311"/>
    <w:rsid w:val="008C49B0"/>
    <w:rsid w:val="008D105F"/>
    <w:rsid w:val="008D2479"/>
    <w:rsid w:val="008E28E6"/>
    <w:rsid w:val="008F2CAF"/>
    <w:rsid w:val="00913A34"/>
    <w:rsid w:val="0093609D"/>
    <w:rsid w:val="009425B2"/>
    <w:rsid w:val="00942D31"/>
    <w:rsid w:val="0094789D"/>
    <w:rsid w:val="009571C9"/>
    <w:rsid w:val="009573DC"/>
    <w:rsid w:val="00957D1F"/>
    <w:rsid w:val="0096431F"/>
    <w:rsid w:val="00965654"/>
    <w:rsid w:val="00977329"/>
    <w:rsid w:val="009802D6"/>
    <w:rsid w:val="009C06B2"/>
    <w:rsid w:val="009C72A8"/>
    <w:rsid w:val="009E02EC"/>
    <w:rsid w:val="009E2627"/>
    <w:rsid w:val="009E78E3"/>
    <w:rsid w:val="009F0B06"/>
    <w:rsid w:val="009F4614"/>
    <w:rsid w:val="00A07110"/>
    <w:rsid w:val="00A0789A"/>
    <w:rsid w:val="00A1410C"/>
    <w:rsid w:val="00A15964"/>
    <w:rsid w:val="00A22968"/>
    <w:rsid w:val="00A53E23"/>
    <w:rsid w:val="00A746DB"/>
    <w:rsid w:val="00A775BA"/>
    <w:rsid w:val="00A81844"/>
    <w:rsid w:val="00A93063"/>
    <w:rsid w:val="00A942B3"/>
    <w:rsid w:val="00AA0E20"/>
    <w:rsid w:val="00AA3C48"/>
    <w:rsid w:val="00AA5473"/>
    <w:rsid w:val="00AD751C"/>
    <w:rsid w:val="00AE1D0B"/>
    <w:rsid w:val="00AE2A29"/>
    <w:rsid w:val="00B06325"/>
    <w:rsid w:val="00B1171A"/>
    <w:rsid w:val="00B1786B"/>
    <w:rsid w:val="00B17AB3"/>
    <w:rsid w:val="00B40C33"/>
    <w:rsid w:val="00B47EEF"/>
    <w:rsid w:val="00B50E0D"/>
    <w:rsid w:val="00B74A38"/>
    <w:rsid w:val="00B84FFB"/>
    <w:rsid w:val="00B9256C"/>
    <w:rsid w:val="00BA3F8A"/>
    <w:rsid w:val="00BA564C"/>
    <w:rsid w:val="00C01D1A"/>
    <w:rsid w:val="00C03B17"/>
    <w:rsid w:val="00C06BDE"/>
    <w:rsid w:val="00C126F3"/>
    <w:rsid w:val="00C56358"/>
    <w:rsid w:val="00C57A84"/>
    <w:rsid w:val="00C8514C"/>
    <w:rsid w:val="00C923F0"/>
    <w:rsid w:val="00C9691F"/>
    <w:rsid w:val="00CA07CC"/>
    <w:rsid w:val="00CC2624"/>
    <w:rsid w:val="00CC7F30"/>
    <w:rsid w:val="00CD01F8"/>
    <w:rsid w:val="00CD42A4"/>
    <w:rsid w:val="00CE35D7"/>
    <w:rsid w:val="00CE7F7A"/>
    <w:rsid w:val="00D03457"/>
    <w:rsid w:val="00D147B2"/>
    <w:rsid w:val="00D16E54"/>
    <w:rsid w:val="00D31303"/>
    <w:rsid w:val="00D353CB"/>
    <w:rsid w:val="00D415B1"/>
    <w:rsid w:val="00D515BA"/>
    <w:rsid w:val="00D70ABE"/>
    <w:rsid w:val="00D7737D"/>
    <w:rsid w:val="00DA61EE"/>
    <w:rsid w:val="00DB1A9E"/>
    <w:rsid w:val="00DB3B57"/>
    <w:rsid w:val="00DB649B"/>
    <w:rsid w:val="00DC3560"/>
    <w:rsid w:val="00DC7BDB"/>
    <w:rsid w:val="00DD493A"/>
    <w:rsid w:val="00DD5F5B"/>
    <w:rsid w:val="00DE2A6E"/>
    <w:rsid w:val="00DF0A1E"/>
    <w:rsid w:val="00DF2E7F"/>
    <w:rsid w:val="00E04D8A"/>
    <w:rsid w:val="00E12715"/>
    <w:rsid w:val="00E131FF"/>
    <w:rsid w:val="00E34D1F"/>
    <w:rsid w:val="00E477B3"/>
    <w:rsid w:val="00E63E02"/>
    <w:rsid w:val="00E643C2"/>
    <w:rsid w:val="00E653D0"/>
    <w:rsid w:val="00E77393"/>
    <w:rsid w:val="00E95B66"/>
    <w:rsid w:val="00EA243E"/>
    <w:rsid w:val="00EA36EB"/>
    <w:rsid w:val="00EB105D"/>
    <w:rsid w:val="00EC0E9F"/>
    <w:rsid w:val="00EE3AA2"/>
    <w:rsid w:val="00EE5481"/>
    <w:rsid w:val="00EF7625"/>
    <w:rsid w:val="00F02144"/>
    <w:rsid w:val="00F03AEC"/>
    <w:rsid w:val="00F053F8"/>
    <w:rsid w:val="00F1269E"/>
    <w:rsid w:val="00F206EB"/>
    <w:rsid w:val="00F2580A"/>
    <w:rsid w:val="00F52C4E"/>
    <w:rsid w:val="00F54FAB"/>
    <w:rsid w:val="00F81377"/>
    <w:rsid w:val="00FA446B"/>
    <w:rsid w:val="00FA4F26"/>
    <w:rsid w:val="00FB6D4A"/>
    <w:rsid w:val="00FD31F9"/>
    <w:rsid w:val="00FF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0136E4-2AF0-44ED-973F-25EA6101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line="480" w:lineRule="auto"/>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quote">
    <w:name w:val="Blockquote"/>
    <w:basedOn w:val="Normal"/>
    <w:pPr>
      <w:spacing w:before="100" w:after="100"/>
      <w:ind w:left="360" w:right="360"/>
    </w:pPr>
    <w:rPr>
      <w:snapToGrid w:val="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val="0"/>
      <w:tabs>
        <w:tab w:val="left" w:pos="855"/>
      </w:tabs>
      <w:autoSpaceDE w:val="0"/>
      <w:autoSpaceDN w:val="0"/>
      <w:adjustRightInd w:val="0"/>
    </w:pPr>
    <w:rPr>
      <w:color w:val="000000"/>
    </w:rPr>
  </w:style>
  <w:style w:type="paragraph" w:styleId="BodyText2">
    <w:name w:val="Body Text 2"/>
    <w:basedOn w:val="Normal"/>
    <w:rPr>
      <w:snapToGrid w:val="0"/>
      <w:sz w:val="22"/>
    </w:rPr>
  </w:style>
  <w:style w:type="paragraph" w:styleId="BodyTextIndent">
    <w:name w:val="Body Text Indent"/>
    <w:basedOn w:val="Normal"/>
    <w:pPr>
      <w:spacing w:line="480" w:lineRule="auto"/>
      <w:ind w:left="360"/>
    </w:pPr>
  </w:style>
  <w:style w:type="character" w:styleId="Hyperlink">
    <w:name w:val="Hyperlink"/>
    <w:rsid w:val="002D61D9"/>
    <w:rPr>
      <w:color w:val="0000FF"/>
      <w:u w:val="single"/>
    </w:rPr>
  </w:style>
  <w:style w:type="character" w:styleId="HTMLAcronym">
    <w:name w:val="HTML Acronym"/>
    <w:basedOn w:val="DefaultParagraphFont"/>
    <w:rsid w:val="001E1B7D"/>
  </w:style>
  <w:style w:type="table" w:styleId="TableGrid">
    <w:name w:val="Table Grid"/>
    <w:basedOn w:val="TableNormal"/>
    <w:rsid w:val="0066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A6BCB"/>
    <w:rPr>
      <w:color w:val="800080"/>
      <w:u w:val="single"/>
    </w:rPr>
  </w:style>
  <w:style w:type="paragraph" w:customStyle="1" w:styleId="Default">
    <w:name w:val="Default"/>
    <w:rsid w:val="007250B2"/>
    <w:pPr>
      <w:autoSpaceDE w:val="0"/>
      <w:autoSpaceDN w:val="0"/>
      <w:adjustRightInd w:val="0"/>
    </w:pPr>
    <w:rPr>
      <w:rFonts w:ascii="Calibri" w:hAnsi="Calibri" w:cs="Calibri"/>
      <w:color w:val="000000"/>
      <w:sz w:val="24"/>
      <w:szCs w:val="24"/>
    </w:rPr>
  </w:style>
  <w:style w:type="character" w:styleId="CommentReference">
    <w:name w:val="annotation reference"/>
    <w:semiHidden/>
    <w:rsid w:val="001376FE"/>
    <w:rPr>
      <w:sz w:val="16"/>
      <w:szCs w:val="16"/>
    </w:rPr>
  </w:style>
  <w:style w:type="paragraph" w:styleId="CommentText">
    <w:name w:val="annotation text"/>
    <w:basedOn w:val="Normal"/>
    <w:semiHidden/>
    <w:rsid w:val="001376FE"/>
    <w:rPr>
      <w:sz w:val="20"/>
      <w:szCs w:val="20"/>
    </w:rPr>
  </w:style>
  <w:style w:type="paragraph" w:styleId="CommentSubject">
    <w:name w:val="annotation subject"/>
    <w:basedOn w:val="CommentText"/>
    <w:next w:val="CommentText"/>
    <w:semiHidden/>
    <w:rsid w:val="001376FE"/>
    <w:rPr>
      <w:b/>
      <w:bCs/>
    </w:rPr>
  </w:style>
  <w:style w:type="character" w:styleId="UnresolvedMention">
    <w:name w:val="Unresolved Mention"/>
    <w:uiPriority w:val="99"/>
    <w:semiHidden/>
    <w:unhideWhenUsed/>
    <w:rsid w:val="006275A7"/>
    <w:rPr>
      <w:color w:val="808080"/>
      <w:shd w:val="clear" w:color="auto" w:fill="E6E6E6"/>
    </w:rPr>
  </w:style>
  <w:style w:type="paragraph" w:styleId="ListParagraph">
    <w:name w:val="List Paragraph"/>
    <w:basedOn w:val="Normal"/>
    <w:uiPriority w:val="34"/>
    <w:qFormat/>
    <w:rsid w:val="001D5A38"/>
    <w:pPr>
      <w:ind w:left="720"/>
    </w:pPr>
    <w:rPr>
      <w:rFonts w:ascii="Calibri" w:eastAsia="Calibri" w:hAnsi="Calibri"/>
      <w:sz w:val="22"/>
      <w:szCs w:val="22"/>
    </w:rPr>
  </w:style>
  <w:style w:type="paragraph" w:styleId="FootnoteText">
    <w:name w:val="footnote text"/>
    <w:basedOn w:val="Normal"/>
    <w:link w:val="FootnoteTextChar"/>
    <w:rsid w:val="00C01D1A"/>
    <w:rPr>
      <w:sz w:val="20"/>
      <w:szCs w:val="20"/>
    </w:rPr>
  </w:style>
  <w:style w:type="character" w:customStyle="1" w:styleId="FootnoteTextChar">
    <w:name w:val="Footnote Text Char"/>
    <w:basedOn w:val="DefaultParagraphFont"/>
    <w:link w:val="FootnoteText"/>
    <w:rsid w:val="00C01D1A"/>
  </w:style>
  <w:style w:type="character" w:styleId="FootnoteReference">
    <w:name w:val="footnote reference"/>
    <w:rsid w:val="00C01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1759">
      <w:bodyDiv w:val="1"/>
      <w:marLeft w:val="0"/>
      <w:marRight w:val="0"/>
      <w:marTop w:val="0"/>
      <w:marBottom w:val="0"/>
      <w:divBdr>
        <w:top w:val="none" w:sz="0" w:space="0" w:color="auto"/>
        <w:left w:val="none" w:sz="0" w:space="0" w:color="auto"/>
        <w:bottom w:val="none" w:sz="0" w:space="0" w:color="auto"/>
        <w:right w:val="none" w:sz="0" w:space="0" w:color="auto"/>
      </w:divBdr>
    </w:div>
    <w:div w:id="170530861">
      <w:bodyDiv w:val="1"/>
      <w:marLeft w:val="0"/>
      <w:marRight w:val="0"/>
      <w:marTop w:val="0"/>
      <w:marBottom w:val="0"/>
      <w:divBdr>
        <w:top w:val="none" w:sz="0" w:space="0" w:color="auto"/>
        <w:left w:val="none" w:sz="0" w:space="0" w:color="auto"/>
        <w:bottom w:val="none" w:sz="0" w:space="0" w:color="auto"/>
        <w:right w:val="none" w:sz="0" w:space="0" w:color="auto"/>
      </w:divBdr>
    </w:div>
    <w:div w:id="588807653">
      <w:bodyDiv w:val="1"/>
      <w:marLeft w:val="0"/>
      <w:marRight w:val="0"/>
      <w:marTop w:val="0"/>
      <w:marBottom w:val="0"/>
      <w:divBdr>
        <w:top w:val="none" w:sz="0" w:space="0" w:color="auto"/>
        <w:left w:val="none" w:sz="0" w:space="0" w:color="auto"/>
        <w:bottom w:val="none" w:sz="0" w:space="0" w:color="auto"/>
        <w:right w:val="none" w:sz="0" w:space="0" w:color="auto"/>
      </w:divBdr>
    </w:div>
    <w:div w:id="1131902701">
      <w:bodyDiv w:val="1"/>
      <w:marLeft w:val="0"/>
      <w:marRight w:val="0"/>
      <w:marTop w:val="0"/>
      <w:marBottom w:val="0"/>
      <w:divBdr>
        <w:top w:val="none" w:sz="0" w:space="0" w:color="auto"/>
        <w:left w:val="none" w:sz="0" w:space="0" w:color="auto"/>
        <w:bottom w:val="none" w:sz="0" w:space="0" w:color="auto"/>
        <w:right w:val="none" w:sz="0" w:space="0" w:color="auto"/>
      </w:divBdr>
    </w:div>
    <w:div w:id="1483276300">
      <w:bodyDiv w:val="1"/>
      <w:marLeft w:val="0"/>
      <w:marRight w:val="0"/>
      <w:marTop w:val="0"/>
      <w:marBottom w:val="0"/>
      <w:divBdr>
        <w:top w:val="none" w:sz="0" w:space="0" w:color="auto"/>
        <w:left w:val="none" w:sz="0" w:space="0" w:color="auto"/>
        <w:bottom w:val="none" w:sz="0" w:space="0" w:color="auto"/>
        <w:right w:val="none" w:sz="0" w:space="0" w:color="auto"/>
      </w:divBdr>
    </w:div>
    <w:div w:id="14952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USCODE-2010-title21/pdf/USCODE-2010-title21-chap9-subchapVII-partA-sec37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q.org/career/-/media/90CF12B4221E4FF7BC0165F71C31027E.ashx" TargetMode="External"/><Relationship Id="rId4" Type="http://schemas.openxmlformats.org/officeDocument/2006/relationships/settings" Target="settings.xml"/><Relationship Id="rId9" Type="http://schemas.openxmlformats.org/officeDocument/2006/relationships/hyperlink" Target="https://www.fda.gov/medical-devices/third-party-inspection-devices/accredited-persons-inspection-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EDD1-ED4A-4299-BE63-28489EA8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FDA/CDRH</Company>
  <LinksUpToDate>false</LinksUpToDate>
  <CharactersWithSpaces>12811</CharactersWithSpaces>
  <SharedDoc>false</SharedDoc>
  <HLinks>
    <vt:vector size="18" baseType="variant">
      <vt:variant>
        <vt:i4>5767173</vt:i4>
      </vt:variant>
      <vt:variant>
        <vt:i4>6</vt:i4>
      </vt:variant>
      <vt:variant>
        <vt:i4>0</vt:i4>
      </vt:variant>
      <vt:variant>
        <vt:i4>5</vt:i4>
      </vt:variant>
      <vt:variant>
        <vt:lpwstr>https://asq.org/career/-/media/90CF12B4221E4FF7BC0165F71C31027E.ashx</vt:lpwstr>
      </vt:variant>
      <vt:variant>
        <vt:lpwstr/>
      </vt:variant>
      <vt:variant>
        <vt:i4>4653062</vt:i4>
      </vt:variant>
      <vt:variant>
        <vt:i4>3</vt:i4>
      </vt:variant>
      <vt:variant>
        <vt:i4>0</vt:i4>
      </vt:variant>
      <vt:variant>
        <vt:i4>5</vt:i4>
      </vt:variant>
      <vt:variant>
        <vt:lpwstr>https://www.fda.gov/medical-devices/third-party-inspection-devices/accredited-persons-inspection-program</vt:lpwstr>
      </vt:variant>
      <vt:variant>
        <vt:lpwstr>list</vt:lpwstr>
      </vt:variant>
      <vt:variant>
        <vt:i4>7274530</vt:i4>
      </vt:variant>
      <vt:variant>
        <vt:i4>0</vt:i4>
      </vt:variant>
      <vt:variant>
        <vt:i4>0</vt:i4>
      </vt:variant>
      <vt:variant>
        <vt:i4>5</vt:i4>
      </vt:variant>
      <vt:variant>
        <vt:lpwstr>http://www.gpo.gov/fdsys/pkg/USCODE-2010-title21/pdf/USCODE-2010-title21-chap9-subchapVII-partA-sec374.pdf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subject/>
  <dc:creator>CDRH</dc:creator>
  <cp:keywords/>
  <cp:lastModifiedBy>Sanford, Amber</cp:lastModifiedBy>
  <cp:revision>2</cp:revision>
  <cp:lastPrinted>2018-11-05T16:39:00Z</cp:lastPrinted>
  <dcterms:created xsi:type="dcterms:W3CDTF">2021-01-14T15:06:00Z</dcterms:created>
  <dcterms:modified xsi:type="dcterms:W3CDTF">2021-01-14T15:06:00Z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