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D035C" w:rsidR="00E21CB7" w:rsidP="00C50AD6" w:rsidRDefault="008C53B4" w14:paraId="45925A7B" w14:textId="77777777">
      <w:pPr>
        <w:pStyle w:val="BodyText"/>
        <w:widowControl/>
        <w:contextualSpacing/>
        <w:jc w:val="center"/>
        <w:rPr>
          <w:caps/>
        </w:rPr>
      </w:pPr>
      <w:r w:rsidRPr="001D035C">
        <w:rPr>
          <w:caps/>
        </w:rPr>
        <w:t>UNITED STATES FOOD &amp; DRUG ADMINISTRATION</w:t>
      </w:r>
    </w:p>
    <w:p w:rsidRPr="001D035C" w:rsidR="00E21CB7" w:rsidP="001D035C" w:rsidRDefault="00E21CB7" w14:paraId="1AA5FC40" w14:textId="77777777">
      <w:pPr>
        <w:pStyle w:val="BodyText"/>
        <w:widowControl/>
        <w:contextualSpacing/>
      </w:pPr>
    </w:p>
    <w:p w:rsidRPr="001D035C" w:rsidR="00E328B6" w:rsidP="001D035C" w:rsidRDefault="00E328B6" w14:paraId="6CCAD560" w14:textId="77777777">
      <w:pPr>
        <w:pStyle w:val="BodyText"/>
        <w:widowControl/>
        <w:contextualSpacing/>
        <w:jc w:val="center"/>
      </w:pPr>
      <w:r w:rsidRPr="001D035C">
        <w:t>Inspection by Accredited Persons Program Under the Medical Device User Fee and Modernization Act of 2002</w:t>
      </w:r>
    </w:p>
    <w:p w:rsidRPr="001D035C" w:rsidR="00E328B6" w:rsidP="001D035C" w:rsidRDefault="00E328B6" w14:paraId="3C68B192" w14:textId="77777777">
      <w:pPr>
        <w:pStyle w:val="BodyText"/>
        <w:widowControl/>
        <w:ind w:left="2551" w:right="2507"/>
        <w:contextualSpacing/>
        <w:jc w:val="center"/>
        <w:rPr>
          <w:u w:val="single"/>
        </w:rPr>
      </w:pPr>
    </w:p>
    <w:p w:rsidRPr="001D035C" w:rsidR="00E21CB7" w:rsidP="001D035C" w:rsidRDefault="008C53B4" w14:paraId="177104E2" w14:textId="77777777">
      <w:pPr>
        <w:pStyle w:val="BodyText"/>
        <w:widowControl/>
        <w:ind w:left="2551" w:right="2507"/>
        <w:contextualSpacing/>
        <w:jc w:val="center"/>
      </w:pPr>
      <w:r w:rsidRPr="001D035C">
        <w:rPr>
          <w:u w:val="single"/>
        </w:rPr>
        <w:t>OMB Control No. 0910-</w:t>
      </w:r>
      <w:r w:rsidRPr="001D035C" w:rsidR="00E328B6">
        <w:rPr>
          <w:u w:val="single"/>
        </w:rPr>
        <w:t>0510</w:t>
      </w:r>
    </w:p>
    <w:p w:rsidR="001D035C" w:rsidP="001D035C" w:rsidRDefault="001D035C" w14:paraId="76670B56" w14:textId="77777777">
      <w:pPr>
        <w:pStyle w:val="Heading1"/>
        <w:widowControl/>
        <w:contextualSpacing/>
      </w:pPr>
    </w:p>
    <w:p w:rsidRPr="001D035C" w:rsidR="001D035C" w:rsidP="001D035C" w:rsidRDefault="001D035C" w14:paraId="6D945DF9" w14:textId="6904C0D8">
      <w:pPr>
        <w:pStyle w:val="Heading1"/>
        <w:widowControl/>
        <w:contextualSpacing/>
      </w:pPr>
      <w:r w:rsidRPr="001D035C">
        <w:t>January 2021</w:t>
      </w:r>
    </w:p>
    <w:p w:rsidRPr="001D035C" w:rsidR="001D035C" w:rsidP="001D035C" w:rsidRDefault="001D035C" w14:paraId="69173E47" w14:textId="77777777">
      <w:pPr>
        <w:pStyle w:val="Heading1"/>
        <w:widowControl/>
        <w:contextualSpacing/>
      </w:pPr>
    </w:p>
    <w:p w:rsidRPr="001D035C" w:rsidR="00E21CB7" w:rsidP="001D035C" w:rsidRDefault="008C53B4" w14:paraId="65D51995" w14:textId="6FE61742">
      <w:pPr>
        <w:pStyle w:val="Heading1"/>
        <w:widowControl/>
        <w:contextualSpacing/>
        <w:rPr>
          <w:b w:val="0"/>
        </w:rPr>
      </w:pPr>
      <w:r w:rsidRPr="001D035C">
        <w:t xml:space="preserve">Request for </w:t>
      </w:r>
      <w:r w:rsidRPr="001D035C" w:rsidR="00E328B6">
        <w:t>n</w:t>
      </w:r>
      <w:r w:rsidRPr="001D035C">
        <w:t>on-substantive, non-material change</w:t>
      </w:r>
      <w:r w:rsidRPr="001D035C">
        <w:rPr>
          <w:b w:val="0"/>
        </w:rPr>
        <w:t>:</w:t>
      </w:r>
    </w:p>
    <w:p w:rsidRPr="001D035C" w:rsidR="00E21CB7" w:rsidP="001D035C" w:rsidRDefault="00E21CB7" w14:paraId="3B434DE8" w14:textId="77777777">
      <w:pPr>
        <w:pStyle w:val="BodyText"/>
        <w:widowControl/>
        <w:contextualSpacing/>
      </w:pPr>
    </w:p>
    <w:p w:rsidRPr="001D035C" w:rsidR="00533B05" w:rsidP="001D035C" w:rsidRDefault="00AC10F0" w14:paraId="776CE80C" w14:textId="7433732B">
      <w:pPr>
        <w:pStyle w:val="BodyText"/>
        <w:widowControl/>
        <w:ind w:left="120" w:right="88"/>
        <w:contextualSpacing/>
      </w:pPr>
      <w:r w:rsidRPr="001D035C">
        <w:t>The Food and Drug Administration (FDA)</w:t>
      </w:r>
      <w:r w:rsidRPr="001D035C" w:rsidR="008C53B4">
        <w:t xml:space="preserve"> request</w:t>
      </w:r>
      <w:r w:rsidRPr="001D035C">
        <w:t>s</w:t>
      </w:r>
      <w:r w:rsidRPr="001D035C" w:rsidR="008C53B4">
        <w:t xml:space="preserve"> </w:t>
      </w:r>
      <w:r w:rsidR="001D035C">
        <w:t>consolidation</w:t>
      </w:r>
      <w:r w:rsidRPr="001D035C">
        <w:t xml:space="preserve"> of</w:t>
      </w:r>
      <w:r w:rsidRPr="001D035C" w:rsidR="008C53B4">
        <w:t xml:space="preserve"> the </w:t>
      </w:r>
      <w:r w:rsidRPr="001D035C" w:rsidR="009E5720">
        <w:t>information collection burden</w:t>
      </w:r>
      <w:r w:rsidRPr="001D035C" w:rsidR="008C53B4">
        <w:t xml:space="preserve"> currently approved under OMB control number 0910-05</w:t>
      </w:r>
      <w:r w:rsidRPr="001D035C" w:rsidR="00E328B6">
        <w:t>69,</w:t>
      </w:r>
      <w:r w:rsidRPr="001D035C" w:rsidR="008C53B4">
        <w:t xml:space="preserve"> into the information collection associated with </w:t>
      </w:r>
      <w:r w:rsidRPr="001D035C" w:rsidR="00533B05">
        <w:t>FDA’s</w:t>
      </w:r>
      <w:r w:rsidRPr="001D035C" w:rsidR="005B1D39">
        <w:t xml:space="preserve"> Inspection by Accredited Persons Program</w:t>
      </w:r>
      <w:r w:rsidRPr="001D035C" w:rsidR="00533B05">
        <w:t>, approved under OMB Control Number 0910-0510</w:t>
      </w:r>
      <w:r w:rsidRPr="001D035C" w:rsidR="00FE0C76">
        <w:rPr>
          <w:i/>
        </w:rPr>
        <w:t>.</w:t>
      </w:r>
    </w:p>
    <w:p w:rsidRPr="001D035C" w:rsidR="00533B05" w:rsidP="001D035C" w:rsidRDefault="00533B05" w14:paraId="4F99B38E" w14:textId="1F830836">
      <w:pPr>
        <w:pStyle w:val="BodyText"/>
        <w:widowControl/>
        <w:ind w:left="120" w:right="88"/>
        <w:contextualSpacing/>
      </w:pPr>
    </w:p>
    <w:p w:rsidRPr="001D035C" w:rsidR="00AC10F0" w:rsidP="001D035C" w:rsidRDefault="00AC10F0" w14:paraId="00DEB605" w14:textId="52F6D80C">
      <w:pPr>
        <w:pStyle w:val="BodyText"/>
        <w:widowControl/>
        <w:ind w:left="120" w:right="88"/>
        <w:contextualSpacing/>
        <w:rPr>
          <w:u w:val="single"/>
        </w:rPr>
      </w:pPr>
      <w:r w:rsidRPr="001D035C">
        <w:rPr>
          <w:u w:val="single"/>
        </w:rPr>
        <w:t>Background on the AP Program and Associated Information Collection</w:t>
      </w:r>
    </w:p>
    <w:p w:rsidRPr="001D035C" w:rsidR="00AC10F0" w:rsidP="001D035C" w:rsidRDefault="00AC10F0" w14:paraId="528A0474" w14:textId="77777777">
      <w:pPr>
        <w:pStyle w:val="BodyText"/>
        <w:widowControl/>
        <w:ind w:left="120" w:right="88"/>
        <w:contextualSpacing/>
      </w:pPr>
    </w:p>
    <w:p w:rsidRPr="001D035C" w:rsidR="00FE0C76" w:rsidP="001D035C" w:rsidRDefault="00FE0C76" w14:paraId="2B7F414C" w14:textId="74D6367F">
      <w:pPr>
        <w:pStyle w:val="BodyText"/>
        <w:widowControl/>
        <w:ind w:left="120" w:right="88"/>
        <w:contextualSpacing/>
      </w:pPr>
      <w:r w:rsidRPr="001D035C">
        <w:t>Under section 704(g) of the Federal Food, Drug, and Cosmetic Act (the FD&amp;C Act) (21 U.S.C. 374(g)), as amended by section 201 of the Medical Device User Fee and Modernization Act of 2002</w:t>
      </w:r>
      <w:r w:rsidRPr="001D035C" w:rsidR="00CA21E6">
        <w:t xml:space="preserve"> and the FDA Amendments Act of 2007</w:t>
      </w:r>
      <w:r w:rsidRPr="001D035C" w:rsidR="00533B05">
        <w:t>,</w:t>
      </w:r>
      <w:r w:rsidRPr="001D035C">
        <w:t xml:space="preserve"> FDA established a voluntary third party inspection program applicable to manufacturers of class II or class III medical devices who meet certain eligibility criteria.  Under the Inspection by Accredited Persons Program</w:t>
      </w:r>
      <w:r w:rsidRPr="001D035C" w:rsidR="00AC302F">
        <w:t xml:space="preserve"> (or AP Program)</w:t>
      </w:r>
      <w:r w:rsidRPr="001D035C">
        <w:t>, eligible manufacturers may elect to have third parties that have been accredited by FDA (Accredited Persons) conduct some of their inspections instead of FDA. This is a voluntary program.</w:t>
      </w:r>
    </w:p>
    <w:p w:rsidRPr="001D035C" w:rsidR="00FE0C76" w:rsidP="001D035C" w:rsidRDefault="00FE0C76" w14:paraId="4BF8B8CE" w14:textId="77777777">
      <w:pPr>
        <w:pStyle w:val="BodyText"/>
        <w:widowControl/>
        <w:ind w:left="120" w:right="88"/>
        <w:contextualSpacing/>
      </w:pPr>
    </w:p>
    <w:p w:rsidRPr="001D035C" w:rsidR="00FE0C76" w:rsidP="001D035C" w:rsidRDefault="00533B05" w14:paraId="7B50F591" w14:textId="4E35A141">
      <w:pPr>
        <w:pStyle w:val="BodyText"/>
        <w:widowControl/>
        <w:ind w:left="120" w:right="88"/>
        <w:contextualSpacing/>
      </w:pPr>
      <w:r w:rsidRPr="001D035C">
        <w:t xml:space="preserve">OMB Control Number 0910-0510 supports </w:t>
      </w:r>
      <w:r w:rsidRPr="001D035C" w:rsidR="00CA21E6">
        <w:t xml:space="preserve">the requirements </w:t>
      </w:r>
      <w:r w:rsidRPr="001D035C" w:rsidR="00FF2819">
        <w:t>of</w:t>
      </w:r>
      <w:r w:rsidRPr="001D035C" w:rsidR="00CA21E6">
        <w:t xml:space="preserve"> section 704(g) of the FD&amp;C Act, as amended, </w:t>
      </w:r>
      <w:r w:rsidRPr="001D035C" w:rsidR="00A3420B">
        <w:t>including the</w:t>
      </w:r>
      <w:r w:rsidRPr="001D035C" w:rsidR="00CB5E85">
        <w:t xml:space="preserve"> request </w:t>
      </w:r>
      <w:r w:rsidRPr="001D035C" w:rsidR="00FF2819">
        <w:t>to become an Accredited Person under the AP Program</w:t>
      </w:r>
      <w:r w:rsidRPr="001D035C" w:rsidR="00CB5E85">
        <w:t>.</w:t>
      </w:r>
      <w:r w:rsidRPr="001D035C">
        <w:t xml:space="preserve"> </w:t>
      </w:r>
      <w:r w:rsidRPr="001D035C" w:rsidR="00CB5E85">
        <w:t>T</w:t>
      </w:r>
      <w:r w:rsidRPr="001D035C" w:rsidR="00FE0C76">
        <w:t>he guidance document “</w:t>
      </w:r>
      <w:hyperlink w:history="1" r:id="rId5">
        <w:r w:rsidRPr="001D035C" w:rsidR="00FE0C76">
          <w:rPr>
            <w:rStyle w:val="Hyperlink"/>
            <w:i/>
          </w:rPr>
          <w:t>Guidance for Industry, FDA Staff, and Third Parties – Inspection by Accredited Persons under the Medical Device User Fee and Modernization Act of 2002 and the FDA Amendments Act of 2007: Accreditation Criteria</w:t>
        </w:r>
      </w:hyperlink>
      <w:r w:rsidRPr="001D035C" w:rsidR="00FE0C76">
        <w:t>”</w:t>
      </w:r>
      <w:r w:rsidRPr="001D035C">
        <w:t xml:space="preserve"> </w:t>
      </w:r>
      <w:r w:rsidRPr="001D035C" w:rsidR="00CB5E85">
        <w:t>d</w:t>
      </w:r>
      <w:r w:rsidRPr="001D035C" w:rsidR="00FE0C76">
        <w:t>escribes, among other things, the information an applicant should include in their request for accreditation to demonstrate that they meet the qualifications necessary to become an Accredited Person.</w:t>
      </w:r>
    </w:p>
    <w:p w:rsidRPr="001D035C" w:rsidR="00FE0C76" w:rsidP="001D035C" w:rsidRDefault="00FE0C76" w14:paraId="02C22281" w14:textId="77777777">
      <w:pPr>
        <w:pStyle w:val="BodyText"/>
        <w:widowControl/>
        <w:ind w:left="120" w:right="88"/>
        <w:contextualSpacing/>
      </w:pPr>
    </w:p>
    <w:p w:rsidRPr="001D035C" w:rsidR="00D668BD" w:rsidP="001D035C" w:rsidRDefault="00D668BD" w14:paraId="640AF659" w14:textId="1B2FDA86">
      <w:pPr>
        <w:pStyle w:val="BodyText"/>
        <w:widowControl/>
        <w:ind w:left="120" w:right="88"/>
        <w:contextualSpacing/>
      </w:pPr>
      <w:r w:rsidRPr="001D035C">
        <w:t>Under section 510(h) of the FD&amp;C Act (21 U.S.C. 360(h)), domestic manufacturers of class II or class III medical devices are subject to inspection for compliance with</w:t>
      </w:r>
      <w:r w:rsidR="00697766">
        <w:t xml:space="preserve"> the</w:t>
      </w:r>
      <w:r w:rsidRPr="001D035C">
        <w:t xml:space="preserve"> Quality System Regulations (21 CFR Part 820) and other applicable requirements. </w:t>
      </w:r>
      <w:r w:rsidRPr="001D035C" w:rsidR="00CA21E6">
        <w:t>The AP Program</w:t>
      </w:r>
      <w:r w:rsidRPr="001D035C">
        <w:t xml:space="preserve"> permits eligible manufacturers to </w:t>
      </w:r>
      <w:r w:rsidR="006E20C1">
        <w:t>use</w:t>
      </w:r>
      <w:r w:rsidRPr="001D035C">
        <w:t xml:space="preserve"> </w:t>
      </w:r>
      <w:r w:rsidRPr="001D035C" w:rsidR="00CA21E6">
        <w:t>Accredited Persons</w:t>
      </w:r>
      <w:r w:rsidRPr="001D035C">
        <w:t xml:space="preserve"> to perform certain inspections. While all firms remain subject to inspection by FDA, eligible manufacturers have the option of requesting inspection by an Accredited Person.</w:t>
      </w:r>
      <w:r w:rsidRPr="001D035C" w:rsidR="001C4E5C">
        <w:t xml:space="preserve"> Currently, OMB Control Number 0910-0569 supports notification to FDA of </w:t>
      </w:r>
      <w:r w:rsidR="006E20C1">
        <w:t>a manufacturer’s</w:t>
      </w:r>
      <w:r w:rsidRPr="001D035C" w:rsidR="001C4E5C">
        <w:t xml:space="preserve"> intent to use an Accredited Person under the AP Program.</w:t>
      </w:r>
      <w:r w:rsidRPr="001D035C">
        <w:t xml:space="preserve"> </w:t>
      </w:r>
    </w:p>
    <w:p w:rsidRPr="001D035C" w:rsidR="00D668BD" w:rsidP="001D035C" w:rsidRDefault="00D668BD" w14:paraId="0565DA5C" w14:textId="77777777">
      <w:pPr>
        <w:pStyle w:val="BodyText"/>
        <w:widowControl/>
        <w:ind w:left="120" w:right="88"/>
        <w:contextualSpacing/>
      </w:pPr>
    </w:p>
    <w:p w:rsidRPr="001D035C" w:rsidR="00087AF2" w:rsidP="001D035C" w:rsidRDefault="006C1343" w14:paraId="46129EC1" w14:textId="1D7E194F">
      <w:pPr>
        <w:pStyle w:val="BodyText"/>
        <w:widowControl/>
        <w:ind w:left="120" w:right="88"/>
        <w:contextualSpacing/>
      </w:pPr>
      <w:r w:rsidRPr="001D035C">
        <w:t>To assist respondents, FDA developed the guidance document, “</w:t>
      </w:r>
      <w:hyperlink w:history="1" r:id="rId6">
        <w:r w:rsidRPr="001D035C">
          <w:rPr>
            <w:rStyle w:val="Hyperlink"/>
            <w:i/>
            <w:iCs/>
          </w:rPr>
          <w:t>Manufacturer's Notification of the Intent to Use an Accredited Person Under the Accredited Persons Inspection Program Authorized by Section 228 of the Food and Drug Administration Amendments Act of 2007</w:t>
        </w:r>
      </w:hyperlink>
      <w:r w:rsidRPr="001D035C">
        <w:t xml:space="preserve">.” The guidance provides recommendations to respondents </w:t>
      </w:r>
      <w:r w:rsidRPr="001D035C" w:rsidR="00AC302F">
        <w:t>on</w:t>
      </w:r>
      <w:r w:rsidRPr="001D035C">
        <w:t xml:space="preserve"> notify</w:t>
      </w:r>
      <w:r w:rsidRPr="001D035C" w:rsidR="00AC302F">
        <w:t>ing</w:t>
      </w:r>
      <w:r w:rsidRPr="001D035C">
        <w:t xml:space="preserve"> FDA of their intent to request inspection under the AP </w:t>
      </w:r>
      <w:r w:rsidRPr="001D035C" w:rsidR="005B5949">
        <w:lastRenderedPageBreak/>
        <w:t>P</w:t>
      </w:r>
      <w:r w:rsidRPr="001D035C">
        <w:t>rogram.</w:t>
      </w:r>
      <w:r w:rsidRPr="001D035C" w:rsidR="00CA21E6">
        <w:t xml:space="preserve"> The information submitted to FDA in the notification is used to determine whether respondents satisfy the eligibility criteria for participation in the AP Program.</w:t>
      </w:r>
      <w:r w:rsidRPr="001D035C">
        <w:t xml:space="preserve"> </w:t>
      </w:r>
    </w:p>
    <w:p w:rsidRPr="001D035C" w:rsidR="00AC10F0" w:rsidP="001D035C" w:rsidRDefault="00AC10F0" w14:paraId="19623705" w14:textId="67E57DE0">
      <w:pPr>
        <w:pStyle w:val="BodyText"/>
        <w:widowControl/>
        <w:ind w:left="120" w:right="88"/>
        <w:contextualSpacing/>
      </w:pPr>
    </w:p>
    <w:p w:rsidRPr="001D035C" w:rsidR="00AC10F0" w:rsidP="001D035C" w:rsidRDefault="00AC10F0" w14:paraId="6A1AEA04" w14:textId="59FED01F">
      <w:pPr>
        <w:pStyle w:val="BodyText"/>
        <w:widowControl/>
        <w:ind w:left="120" w:right="88"/>
        <w:contextualSpacing/>
        <w:rPr>
          <w:u w:val="single"/>
        </w:rPr>
      </w:pPr>
      <w:r w:rsidRPr="001D035C">
        <w:rPr>
          <w:u w:val="single"/>
        </w:rPr>
        <w:t>Request for Consolidation of OMB Control Nos. 0910-0510 and 0910-0569</w:t>
      </w:r>
    </w:p>
    <w:p w:rsidRPr="001D035C" w:rsidR="00087AF2" w:rsidP="001D035C" w:rsidRDefault="00087AF2" w14:paraId="38719751" w14:textId="78C6BF29">
      <w:pPr>
        <w:pStyle w:val="BodyText"/>
        <w:widowControl/>
        <w:ind w:left="120" w:right="88"/>
        <w:contextualSpacing/>
      </w:pPr>
    </w:p>
    <w:p w:rsidRPr="001D035C" w:rsidR="00CA21E6" w:rsidP="001D035C" w:rsidRDefault="00C75825" w14:paraId="6148AB1F" w14:textId="5A8FBA5A">
      <w:pPr>
        <w:pStyle w:val="BodyText"/>
        <w:widowControl/>
        <w:ind w:left="120" w:right="88"/>
        <w:contextualSpacing/>
      </w:pPr>
      <w:r w:rsidRPr="001D035C">
        <w:t xml:space="preserve">Because these two information collections are related </w:t>
      </w:r>
      <w:r w:rsidRPr="001D035C" w:rsidR="00A3420B">
        <w:t>to</w:t>
      </w:r>
      <w:r w:rsidRPr="001D035C">
        <w:t xml:space="preserve"> the same program, authorized under section 704(g) of the FD&amp;C Act, we believe the estimated burdens described above are most appropriately expressed under one ICR.</w:t>
      </w:r>
      <w:r w:rsidRPr="001D035C" w:rsidR="00AC10F0">
        <w:t xml:space="preserve"> Additionally, this consolidation may increase administrative efficiency by reducing FDA’s active ICR inventory.</w:t>
      </w:r>
      <w:r w:rsidRPr="001D035C">
        <w:t xml:space="preserve"> Therefore, we request the addition of the information collection in OMB Control No. 0910-0569 to OMB Control No. 0910-0510. Upon approval of this consolidation, we would then terminate OMB Control No. 0910-0569.</w:t>
      </w:r>
    </w:p>
    <w:p w:rsidRPr="001D035C" w:rsidR="00CA21E6" w:rsidP="001D035C" w:rsidRDefault="00CA21E6" w14:paraId="29255F81" w14:textId="5C8306C4">
      <w:pPr>
        <w:pStyle w:val="BodyText"/>
        <w:widowControl/>
        <w:ind w:left="120" w:right="88"/>
        <w:contextualSpacing/>
      </w:pPr>
    </w:p>
    <w:p w:rsidRPr="001D035C" w:rsidR="00A3420B" w:rsidP="001D035C" w:rsidRDefault="00A3420B" w14:paraId="29A77C8C" w14:textId="56CEFD70">
      <w:pPr>
        <w:pStyle w:val="BodyText"/>
        <w:widowControl/>
        <w:ind w:left="120" w:right="88"/>
        <w:contextualSpacing/>
        <w:rPr>
          <w:u w:val="single"/>
        </w:rPr>
      </w:pPr>
      <w:r w:rsidRPr="001D035C">
        <w:rPr>
          <w:u w:val="single"/>
        </w:rPr>
        <w:t>A Note Regarding the Guidance Documents</w:t>
      </w:r>
    </w:p>
    <w:p w:rsidRPr="001D035C" w:rsidR="00A3420B" w:rsidP="001D035C" w:rsidRDefault="00A3420B" w14:paraId="5DDDA8D2" w14:textId="1BA27927">
      <w:pPr>
        <w:pStyle w:val="BodyText"/>
        <w:widowControl/>
        <w:ind w:left="120" w:right="88"/>
        <w:contextualSpacing/>
      </w:pPr>
    </w:p>
    <w:p w:rsidRPr="001D035C" w:rsidR="00A3420B" w:rsidP="001D035C" w:rsidRDefault="00A3420B" w14:paraId="26DF7568" w14:textId="5C8A4D17">
      <w:pPr>
        <w:pStyle w:val="BodyText"/>
        <w:widowControl/>
        <w:ind w:left="120" w:right="88"/>
        <w:contextualSpacing/>
      </w:pPr>
      <w:r w:rsidRPr="001D035C">
        <w:t>As noted on the coversheet for both guidance</w:t>
      </w:r>
      <w:r w:rsidRPr="001D035C" w:rsidR="00C10DEE">
        <w:t xml:space="preserve"> document</w:t>
      </w:r>
      <w:r w:rsidRPr="001D035C">
        <w:t xml:space="preserve">s described above, </w:t>
      </w:r>
      <w:r w:rsidRPr="001D035C" w:rsidR="00C10DEE">
        <w:t>t</w:t>
      </w:r>
      <w:r w:rsidRPr="001D035C">
        <w:t xml:space="preserve">he FDA Reauthorization Act of 2017 (FDARA), signed into law on August 18, 2017, amended several sections of the </w:t>
      </w:r>
      <w:r w:rsidRPr="001D035C" w:rsidR="00C10DEE">
        <w:t>FD&amp;C</w:t>
      </w:r>
      <w:r w:rsidRPr="001D035C">
        <w:t xml:space="preserve"> Act. Th</w:t>
      </w:r>
      <w:r w:rsidRPr="001D035C" w:rsidR="00C10DEE">
        <w:t>e</w:t>
      </w:r>
      <w:r w:rsidRPr="001D035C">
        <w:t xml:space="preserve"> </w:t>
      </w:r>
      <w:r w:rsidRPr="001D035C" w:rsidR="00C10DEE">
        <w:t>guidance documents were</w:t>
      </w:r>
      <w:r w:rsidRPr="001D035C">
        <w:t xml:space="preserve"> developed and issued prior to the enactment of FDARA, and certain sections may no longer be current as a result. FDA is assessing how to revise </w:t>
      </w:r>
      <w:r w:rsidRPr="001D035C" w:rsidR="00C10DEE">
        <w:t>the</w:t>
      </w:r>
      <w:r w:rsidRPr="001D035C">
        <w:t xml:space="preserve"> </w:t>
      </w:r>
      <w:r w:rsidRPr="001D035C" w:rsidR="00C10DEE">
        <w:t>guidance documents</w:t>
      </w:r>
      <w:r w:rsidRPr="001D035C">
        <w:t xml:space="preserve"> to represent our current thinking on this topic. </w:t>
      </w:r>
    </w:p>
    <w:p w:rsidRPr="001D035C" w:rsidR="00C10DEE" w:rsidP="001D035C" w:rsidRDefault="00C10DEE" w14:paraId="5FA56CE2" w14:textId="684EF789">
      <w:pPr>
        <w:pStyle w:val="BodyText"/>
        <w:widowControl/>
        <w:ind w:left="120" w:right="88"/>
        <w:contextualSpacing/>
      </w:pPr>
    </w:p>
    <w:p w:rsidR="00462D1D" w:rsidP="001D035C" w:rsidRDefault="00C10DEE" w14:paraId="228F641E" w14:textId="119CEF17">
      <w:pPr>
        <w:pStyle w:val="BodyText"/>
        <w:widowControl/>
        <w:ind w:left="120" w:right="88"/>
        <w:contextualSpacing/>
      </w:pPr>
      <w:r w:rsidRPr="001D035C">
        <w:t>We note that</w:t>
      </w:r>
      <w:r w:rsidR="001D05D3">
        <w:t xml:space="preserve">, while the </w:t>
      </w:r>
      <w:proofErr w:type="spellStart"/>
      <w:r w:rsidR="001D05D3">
        <w:t>guidances</w:t>
      </w:r>
      <w:proofErr w:type="spellEnd"/>
      <w:r w:rsidR="001D05D3">
        <w:t xml:space="preserve"> are intended to assist respondents regarding the AP Program,</w:t>
      </w:r>
      <w:r w:rsidRPr="001D035C">
        <w:t xml:space="preserve"> section 704(g) of the FD&amp;C Act provides for accreditation of persons for the purpose of conducting inspections</w:t>
      </w:r>
      <w:r w:rsidRPr="001D035C" w:rsidR="00D95285">
        <w:t xml:space="preserve"> and</w:t>
      </w:r>
      <w:r w:rsidRPr="001D035C">
        <w:t xml:space="preserve"> provides the </w:t>
      </w:r>
      <w:r w:rsidRPr="001D035C" w:rsidR="00D95285">
        <w:t xml:space="preserve">minimum </w:t>
      </w:r>
      <w:r w:rsidRPr="001D035C">
        <w:t>require</w:t>
      </w:r>
      <w:r w:rsidRPr="001D035C" w:rsidR="00D95285">
        <w:t>ments</w:t>
      </w:r>
      <w:r w:rsidRPr="001D035C">
        <w:t xml:space="preserve"> an Accredited Person must meet.</w:t>
      </w:r>
      <w:r w:rsidRPr="001D035C" w:rsidR="00D95285">
        <w:t xml:space="preserve"> Section 704(g) also provides for a </w:t>
      </w:r>
      <w:r w:rsidR="006E20C1">
        <w:t>manufacturer’s</w:t>
      </w:r>
      <w:r w:rsidRPr="001D035C" w:rsidR="00D95285">
        <w:t xml:space="preserve"> notice of their intention to use an Accredited Person to conduct inspections and</w:t>
      </w:r>
      <w:r w:rsidRPr="001D035C" w:rsidR="001D035C">
        <w:t xml:space="preserve"> provides the</w:t>
      </w:r>
      <w:r w:rsidRPr="001D035C" w:rsidR="00D95285">
        <w:t xml:space="preserve"> other conditions</w:t>
      </w:r>
      <w:r w:rsidR="00462D1D">
        <w:t xml:space="preserve"> for a device establishment to be</w:t>
      </w:r>
      <w:r w:rsidRPr="001D035C" w:rsidR="00D95285">
        <w:t xml:space="preserve"> eligib</w:t>
      </w:r>
      <w:r w:rsidR="00462D1D">
        <w:t>le</w:t>
      </w:r>
      <w:r w:rsidRPr="001D035C" w:rsidR="00D95285">
        <w:t xml:space="preserve"> for</w:t>
      </w:r>
      <w:r w:rsidRPr="001D035C" w:rsidR="001D035C">
        <w:t xml:space="preserve"> inspection by Accredited Persons</w:t>
      </w:r>
      <w:r w:rsidRPr="001D035C" w:rsidR="00D95285">
        <w:t>.</w:t>
      </w:r>
      <w:r w:rsidR="001D05D3">
        <w:t xml:space="preserve"> </w:t>
      </w:r>
      <w:r w:rsidR="00F21319">
        <w:t>Further</w:t>
      </w:r>
      <w:r w:rsidR="001D05D3">
        <w:t>, a person who intends to participate in the AP Program can</w:t>
      </w:r>
      <w:r w:rsidR="00F21319">
        <w:t>, under section 704(g) of the FD&amp;C Act,</w:t>
      </w:r>
      <w:r w:rsidR="001D05D3">
        <w:t xml:space="preserve"> </w:t>
      </w:r>
      <w:r w:rsidR="00F21319">
        <w:t>request accreditation</w:t>
      </w:r>
      <w:r w:rsidR="00231D50">
        <w:t xml:space="preserve"> to conduct inspections</w:t>
      </w:r>
      <w:r w:rsidR="00F21319">
        <w:t xml:space="preserve"> or provide notice of their intention to use an Accredited Person to perform inspections.</w:t>
      </w:r>
    </w:p>
    <w:p w:rsidR="00462D1D" w:rsidP="001D035C" w:rsidRDefault="00462D1D" w14:paraId="1AA8719C" w14:textId="77777777">
      <w:pPr>
        <w:pStyle w:val="BodyText"/>
        <w:widowControl/>
        <w:ind w:left="120" w:right="88"/>
        <w:contextualSpacing/>
      </w:pPr>
    </w:p>
    <w:p w:rsidRPr="001D035C" w:rsidR="00C10DEE" w:rsidP="001D035C" w:rsidRDefault="00462D1D" w14:paraId="387B3004" w14:textId="739F829C">
      <w:pPr>
        <w:pStyle w:val="BodyText"/>
        <w:widowControl/>
        <w:ind w:left="120" w:right="88"/>
        <w:contextualSpacing/>
      </w:pPr>
      <w:r>
        <w:t>T</w:t>
      </w:r>
      <w:r w:rsidRPr="001D035C" w:rsidR="001D035C">
        <w:t xml:space="preserve">herefore, </w:t>
      </w:r>
      <w:r>
        <w:t xml:space="preserve">we </w:t>
      </w:r>
      <w:r w:rsidR="001D05D3">
        <w:t>regard</w:t>
      </w:r>
      <w:r w:rsidRPr="001D035C" w:rsidR="001D035C">
        <w:t xml:space="preserve"> section 704(g) of the FD&amp;C Act </w:t>
      </w:r>
      <w:r w:rsidR="001D05D3">
        <w:t>to be</w:t>
      </w:r>
      <w:r w:rsidRPr="001D035C" w:rsidR="001D035C">
        <w:t xml:space="preserve"> the primary collection instrument for both OMB Control No. 0910-0510 and 0910-0569.</w:t>
      </w:r>
      <w:r w:rsidR="006E20C1">
        <w:t xml:space="preserve"> We have edited </w:t>
      </w:r>
      <w:r w:rsidR="00F21319">
        <w:t>the supporting statement for OMB Control No. 0910-0510</w:t>
      </w:r>
      <w:r w:rsidR="006E20C1">
        <w:t xml:space="preserve"> to reflect that section 704(g) is the primary collection instrument.</w:t>
      </w:r>
      <w:r w:rsidR="00231D50">
        <w:t xml:space="preserve"> </w:t>
      </w:r>
    </w:p>
    <w:p w:rsidRPr="001D035C" w:rsidR="00A3420B" w:rsidP="001D035C" w:rsidRDefault="00A3420B" w14:paraId="729C6569" w14:textId="77777777">
      <w:pPr>
        <w:pStyle w:val="BodyText"/>
        <w:widowControl/>
        <w:ind w:left="120" w:right="88"/>
        <w:contextualSpacing/>
      </w:pPr>
    </w:p>
    <w:p w:rsidRPr="001D035C" w:rsidR="00A3420B" w:rsidP="001D035C" w:rsidRDefault="00A3420B" w14:paraId="5A486567" w14:textId="630F497C">
      <w:pPr>
        <w:pStyle w:val="BodyText"/>
        <w:widowControl/>
        <w:ind w:left="120" w:right="88"/>
        <w:contextualSpacing/>
        <w:rPr>
          <w:u w:val="single"/>
        </w:rPr>
      </w:pPr>
      <w:r w:rsidRPr="001D035C">
        <w:rPr>
          <w:u w:val="single"/>
        </w:rPr>
        <w:t>Resultant Burden Estimate</w:t>
      </w:r>
    </w:p>
    <w:p w:rsidRPr="001D035C" w:rsidR="00A3420B" w:rsidP="001D035C" w:rsidRDefault="00A3420B" w14:paraId="5AC3434E" w14:textId="77777777">
      <w:pPr>
        <w:pStyle w:val="BodyText"/>
        <w:widowControl/>
        <w:ind w:left="120" w:right="88"/>
        <w:contextualSpacing/>
      </w:pPr>
    </w:p>
    <w:p w:rsidRPr="001D035C" w:rsidR="00C75825" w:rsidP="001D035C" w:rsidRDefault="00C75825" w14:paraId="778BE207" w14:textId="496280CD">
      <w:pPr>
        <w:pStyle w:val="BodyText"/>
        <w:widowControl/>
        <w:ind w:left="120" w:right="88"/>
        <w:contextualSpacing/>
      </w:pPr>
      <w:bookmarkStart w:name="_GoBack" w:id="0"/>
      <w:r w:rsidRPr="001D035C">
        <w:t>The burden estimate for requests for accreditation is based on the number of applications we’ve received to date.</w:t>
      </w:r>
      <w:r w:rsidRPr="001D035C" w:rsidR="00320589">
        <w:t xml:space="preserve"> </w:t>
      </w:r>
      <w:r w:rsidRPr="001D035C">
        <w:t xml:space="preserve">We have not changed this estimate. </w:t>
      </w:r>
    </w:p>
    <w:bookmarkEnd w:id="0"/>
    <w:p w:rsidRPr="001D035C" w:rsidR="00C75825" w:rsidP="001D035C" w:rsidRDefault="00C75825" w14:paraId="4216E909" w14:textId="77777777">
      <w:pPr>
        <w:pStyle w:val="BodyText"/>
        <w:widowControl/>
        <w:ind w:left="120" w:right="88"/>
        <w:contextualSpacing/>
      </w:pPr>
    </w:p>
    <w:p w:rsidR="00087AF2" w:rsidP="001D035C" w:rsidRDefault="00320589" w14:paraId="7BA085B2" w14:textId="0E97C7C7">
      <w:pPr>
        <w:pStyle w:val="BodyText"/>
        <w:widowControl/>
        <w:ind w:left="120" w:right="88"/>
        <w:contextualSpacing/>
      </w:pPr>
      <w:r w:rsidRPr="001D035C">
        <w:t xml:space="preserve">We request the addition of “Notification of the intent to use an Accredited Person” to OMB Control No. 0910-0510. </w:t>
      </w:r>
      <w:r w:rsidR="00F21319">
        <w:t>W</w:t>
      </w:r>
      <w:r w:rsidRPr="001D035C">
        <w:t>e have not changed the burden estimate from what is currently approved under OMB Control No. 0910-0569</w:t>
      </w:r>
      <w:r w:rsidR="00F21319">
        <w:t xml:space="preserve"> for this information collection</w:t>
      </w:r>
      <w:r w:rsidR="00231D50">
        <w:t>.</w:t>
      </w:r>
    </w:p>
    <w:p w:rsidR="00231D50" w:rsidP="001D035C" w:rsidRDefault="00231D50" w14:paraId="6FD7CEBE" w14:textId="45234ABB">
      <w:pPr>
        <w:pStyle w:val="BodyText"/>
        <w:widowControl/>
        <w:ind w:left="120" w:right="88"/>
        <w:contextualSpacing/>
      </w:pPr>
    </w:p>
    <w:p w:rsidRPr="001D035C" w:rsidR="00231D50" w:rsidP="001D035C" w:rsidRDefault="00231D50" w14:paraId="75F6BD93" w14:textId="65939176">
      <w:pPr>
        <w:pStyle w:val="BodyText"/>
        <w:widowControl/>
        <w:ind w:left="120" w:right="88"/>
        <w:contextualSpacing/>
      </w:pPr>
      <w:r>
        <w:t>The following burden table reflects the consolidation of these two ICRs:</w:t>
      </w:r>
    </w:p>
    <w:p w:rsidRPr="001D035C" w:rsidR="00442361" w:rsidP="001D035C" w:rsidRDefault="00442361" w14:paraId="4430156A" w14:textId="03B24B38">
      <w:pPr>
        <w:pStyle w:val="BodyText"/>
        <w:widowControl/>
        <w:ind w:left="120" w:right="88"/>
        <w:contextualSpacing/>
      </w:pPr>
    </w:p>
    <w:p w:rsidRPr="001D035C" w:rsidR="00E966FE" w:rsidP="001D035C" w:rsidRDefault="00E966FE" w14:paraId="6CC85FF1" w14:textId="5E158614">
      <w:pPr>
        <w:pStyle w:val="BodyText"/>
        <w:widowControl/>
        <w:ind w:left="120" w:right="88"/>
        <w:contextualSpacing/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14"/>
        <w:gridCol w:w="2014"/>
        <w:gridCol w:w="1578"/>
        <w:gridCol w:w="1651"/>
        <w:gridCol w:w="969"/>
      </w:tblGrid>
      <w:tr w:rsidRPr="001D035C" w:rsidR="00E966FE" w:rsidTr="00C925ED" w14:paraId="756A0939" w14:textId="77777777">
        <w:trPr>
          <w:cantSplit/>
          <w:trHeight w:val="20"/>
          <w:jc w:val="center"/>
        </w:trPr>
        <w:tc>
          <w:tcPr>
            <w:tcW w:w="95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D035C" w:rsidR="00E966FE" w:rsidP="001D035C" w:rsidRDefault="00E966FE" w14:paraId="0794E035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bookmarkStart w:name="_Hlk529862699" w:id="1"/>
            <w:r w:rsidRPr="001D035C">
              <w:rPr>
                <w:color w:val="000000"/>
                <w:sz w:val="24"/>
                <w:szCs w:val="24"/>
              </w:rPr>
              <w:lastRenderedPageBreak/>
              <w:t xml:space="preserve">Table </w:t>
            </w:r>
            <w:proofErr w:type="gramStart"/>
            <w:r w:rsidRPr="001D035C">
              <w:rPr>
                <w:color w:val="000000"/>
                <w:sz w:val="24"/>
                <w:szCs w:val="24"/>
              </w:rPr>
              <w:t>1.--</w:t>
            </w:r>
            <w:proofErr w:type="gramEnd"/>
            <w:r w:rsidRPr="001D035C">
              <w:rPr>
                <w:color w:val="000000"/>
                <w:sz w:val="24"/>
                <w:szCs w:val="24"/>
              </w:rPr>
              <w:t>Estimated Annual Reporting Burden</w:t>
            </w:r>
          </w:p>
        </w:tc>
      </w:tr>
      <w:tr w:rsidRPr="001D035C" w:rsidR="00E966FE" w:rsidTr="00C925ED" w14:paraId="32B22A51" w14:textId="77777777">
        <w:trPr>
          <w:cantSplit/>
          <w:trHeight w:val="20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7FF0C3D8" w14:textId="32487206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52962449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No. of Respondents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64FAF73C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No. of Responses per Respondent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0AEB9629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Total Annual Responses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0AEC62D0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Average Burden per Response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299776B8" w14:textId="77777777">
            <w:pPr>
              <w:keepNext/>
              <w:widowControl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Total Hours</w:t>
            </w:r>
          </w:p>
        </w:tc>
      </w:tr>
      <w:tr w:rsidRPr="001D035C" w:rsidR="00E966FE" w:rsidTr="00C925ED" w14:paraId="4249575A" w14:textId="77777777">
        <w:trPr>
          <w:cantSplit/>
          <w:trHeight w:val="20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780E251D" w14:textId="098E470D">
            <w:pPr>
              <w:keepNext/>
              <w:widowControl/>
              <w:contextualSpacing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Request for accreditation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51B2B282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4F77117F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25E72109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2EEB1F53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E966FE" w:rsidP="001D035C" w:rsidRDefault="00E966FE" w14:paraId="0D1D90D1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80</w:t>
            </w:r>
          </w:p>
        </w:tc>
      </w:tr>
      <w:tr w:rsidRPr="001D035C" w:rsidR="00442361" w:rsidTr="00C925ED" w14:paraId="10864569" w14:textId="77777777">
        <w:trPr>
          <w:cantSplit/>
          <w:trHeight w:val="20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5648F1F2" w14:textId="60FC0168">
            <w:pPr>
              <w:keepNext/>
              <w:widowControl/>
              <w:contextualSpacing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 xml:space="preserve">Notification </w:t>
            </w:r>
            <w:r w:rsidRPr="001D035C" w:rsidR="00157235">
              <w:rPr>
                <w:color w:val="000000"/>
                <w:sz w:val="24"/>
                <w:szCs w:val="24"/>
              </w:rPr>
              <w:t xml:space="preserve">of the intent to </w:t>
            </w:r>
            <w:r w:rsidRPr="001D035C">
              <w:rPr>
                <w:color w:val="000000"/>
                <w:sz w:val="24"/>
                <w:szCs w:val="24"/>
              </w:rPr>
              <w:t>use an Accredited Person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4776B4A5" w14:textId="09700FBA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2FFCEEB7" w14:textId="2B181050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155EB4FB" w14:textId="2ACAD351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6D51B422" w14:textId="6CF3540B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727869F8" w14:textId="6A2CCAB9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150</w:t>
            </w:r>
          </w:p>
        </w:tc>
      </w:tr>
      <w:tr w:rsidRPr="001D035C" w:rsidR="00442361" w:rsidTr="00C925ED" w14:paraId="3B05907D" w14:textId="77777777">
        <w:trPr>
          <w:cantSplit/>
          <w:trHeight w:val="20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3F81DADE" w14:textId="056EE514">
            <w:pPr>
              <w:keepNext/>
              <w:widowControl/>
              <w:contextualSpacing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73B64F23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3406DF69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06B595FE" w14:textId="43ADB336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7F47D263" w14:textId="77777777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035C" w:rsidR="00442361" w:rsidP="001D035C" w:rsidRDefault="00442361" w14:paraId="015F2B1C" w14:textId="1403E825">
            <w:pPr>
              <w:keepNext/>
              <w:widowControl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D035C">
              <w:rPr>
                <w:color w:val="000000"/>
                <w:sz w:val="24"/>
                <w:szCs w:val="24"/>
              </w:rPr>
              <w:t>230</w:t>
            </w:r>
          </w:p>
        </w:tc>
      </w:tr>
      <w:bookmarkEnd w:id="1"/>
    </w:tbl>
    <w:p w:rsidRPr="001D035C" w:rsidR="00E966FE" w:rsidP="001D035C" w:rsidRDefault="00E966FE" w14:paraId="7AC58BE6" w14:textId="77777777">
      <w:pPr>
        <w:pStyle w:val="BodyText"/>
        <w:widowControl/>
        <w:ind w:left="120" w:right="88"/>
        <w:contextualSpacing/>
      </w:pPr>
    </w:p>
    <w:p w:rsidRPr="001D035C" w:rsidR="00087AF2" w:rsidP="001D035C" w:rsidRDefault="00087AF2" w14:paraId="2A3D4865" w14:textId="0C0F1AB8">
      <w:pPr>
        <w:pStyle w:val="BodyText"/>
        <w:widowControl/>
        <w:ind w:left="120" w:right="88"/>
        <w:contextualSpacing/>
      </w:pPr>
    </w:p>
    <w:p w:rsidRPr="00087AF2" w:rsidR="00087AF2" w:rsidP="001D035C" w:rsidRDefault="00087AF2" w14:paraId="48DB9946" w14:textId="77777777">
      <w:pPr>
        <w:widowControl/>
        <w:kinsoku w:val="0"/>
        <w:overflowPunct w:val="0"/>
        <w:adjustRightInd w:val="0"/>
        <w:contextualSpacing/>
        <w:rPr>
          <w:rFonts w:eastAsiaTheme="minorHAnsi"/>
          <w:sz w:val="24"/>
          <w:szCs w:val="24"/>
        </w:rPr>
      </w:pPr>
    </w:p>
    <w:p w:rsidRPr="001D035C" w:rsidR="00E21CB7" w:rsidP="001D035C" w:rsidRDefault="00E21CB7" w14:paraId="53BBE541" w14:textId="38E6C519">
      <w:pPr>
        <w:pStyle w:val="Heading1"/>
        <w:widowControl/>
        <w:ind w:left="120"/>
        <w:contextualSpacing/>
      </w:pPr>
    </w:p>
    <w:sectPr w:rsidRPr="001D035C" w:rsidR="00E21CB7" w:rsidSect="0027046C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EB7"/>
    <w:multiLevelType w:val="multilevel"/>
    <w:tmpl w:val="C32E555C"/>
    <w:lvl w:ilvl="0">
      <w:start w:val="312"/>
      <w:numFmt w:val="decimal"/>
      <w:lvlText w:val="%1"/>
      <w:lvlJc w:val="left"/>
      <w:pPr>
        <w:ind w:left="120" w:hanging="662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20" w:hanging="662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2">
      <w:start w:val="1"/>
      <w:numFmt w:val="decimal"/>
      <w:lvlText w:val="(%3)"/>
      <w:lvlJc w:val="left"/>
      <w:pPr>
        <w:ind w:left="840" w:hanging="3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617" w:hanging="340"/>
      </w:pPr>
      <w:rPr>
        <w:rFonts w:hint="default"/>
      </w:rPr>
    </w:lvl>
    <w:lvl w:ilvl="4">
      <w:numFmt w:val="bullet"/>
      <w:lvlText w:val="•"/>
      <w:lvlJc w:val="left"/>
      <w:pPr>
        <w:ind w:left="3506" w:hanging="340"/>
      </w:pPr>
      <w:rPr>
        <w:rFonts w:hint="default"/>
      </w:rPr>
    </w:lvl>
    <w:lvl w:ilvl="5">
      <w:numFmt w:val="bullet"/>
      <w:lvlText w:val="•"/>
      <w:lvlJc w:val="left"/>
      <w:pPr>
        <w:ind w:left="4395" w:hanging="340"/>
      </w:pPr>
      <w:rPr>
        <w:rFonts w:hint="default"/>
      </w:rPr>
    </w:lvl>
    <w:lvl w:ilvl="6">
      <w:numFmt w:val="bullet"/>
      <w:lvlText w:val="•"/>
      <w:lvlJc w:val="left"/>
      <w:pPr>
        <w:ind w:left="5284" w:hanging="340"/>
      </w:pPr>
      <w:rPr>
        <w:rFonts w:hint="default"/>
      </w:rPr>
    </w:lvl>
    <w:lvl w:ilvl="7">
      <w:numFmt w:val="bullet"/>
      <w:lvlText w:val="•"/>
      <w:lvlJc w:val="left"/>
      <w:pPr>
        <w:ind w:left="6173" w:hanging="340"/>
      </w:pPr>
      <w:rPr>
        <w:rFonts w:hint="default"/>
      </w:rPr>
    </w:lvl>
    <w:lvl w:ilvl="8">
      <w:numFmt w:val="bullet"/>
      <w:lvlText w:val="•"/>
      <w:lvlJc w:val="left"/>
      <w:pPr>
        <w:ind w:left="7062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B7"/>
    <w:rsid w:val="00087AF2"/>
    <w:rsid w:val="00157235"/>
    <w:rsid w:val="001C4E5C"/>
    <w:rsid w:val="001D035C"/>
    <w:rsid w:val="001D05D3"/>
    <w:rsid w:val="002001BD"/>
    <w:rsid w:val="00231D50"/>
    <w:rsid w:val="00263888"/>
    <w:rsid w:val="0027046C"/>
    <w:rsid w:val="00320589"/>
    <w:rsid w:val="003221D9"/>
    <w:rsid w:val="003F6F6D"/>
    <w:rsid w:val="00442361"/>
    <w:rsid w:val="00462D1D"/>
    <w:rsid w:val="00496542"/>
    <w:rsid w:val="00533B05"/>
    <w:rsid w:val="005B1D39"/>
    <w:rsid w:val="005B5949"/>
    <w:rsid w:val="00697766"/>
    <w:rsid w:val="006C1343"/>
    <w:rsid w:val="006C2197"/>
    <w:rsid w:val="006E20C1"/>
    <w:rsid w:val="00850A50"/>
    <w:rsid w:val="008C53B4"/>
    <w:rsid w:val="009B6594"/>
    <w:rsid w:val="009E5720"/>
    <w:rsid w:val="00A2704B"/>
    <w:rsid w:val="00A3420B"/>
    <w:rsid w:val="00AC10F0"/>
    <w:rsid w:val="00AC302F"/>
    <w:rsid w:val="00C10DEE"/>
    <w:rsid w:val="00C50AD6"/>
    <w:rsid w:val="00C75825"/>
    <w:rsid w:val="00CA21E6"/>
    <w:rsid w:val="00CB5E85"/>
    <w:rsid w:val="00D668BD"/>
    <w:rsid w:val="00D95285"/>
    <w:rsid w:val="00E21CB7"/>
    <w:rsid w:val="00E25C76"/>
    <w:rsid w:val="00E328B6"/>
    <w:rsid w:val="00E966FE"/>
    <w:rsid w:val="00F1338C"/>
    <w:rsid w:val="00F21319"/>
    <w:rsid w:val="00F54417"/>
    <w:rsid w:val="00FE0C7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3DDC"/>
  <w15:docId w15:val="{2BED088A-BF3F-4A11-86AC-CE95469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B1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D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B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B05"/>
    <w:rPr>
      <w:color w:val="800080" w:themeColor="followedHyperlink"/>
      <w:u w:val="single"/>
    </w:rPr>
  </w:style>
  <w:style w:type="paragraph" w:customStyle="1" w:styleId="Default">
    <w:name w:val="Default"/>
    <w:rsid w:val="00087AF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ucm/groups/fdagov-public/@fdagov-meddev-gen/documents/document/ucm085252.pdf" TargetMode="External"/><Relationship Id="rId5" Type="http://schemas.openxmlformats.org/officeDocument/2006/relationships/hyperlink" Target="https://www.fda.gov/media/73458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- 0001 Non sub Change August 2019 form update.docx</vt:lpstr>
    </vt:vector>
  </TitlesOfParts>
  <Company>FDA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- 0001 Non sub Change August 2019 form update.docx</dc:title>
  <dc:creator>DHC</dc:creator>
  <cp:lastModifiedBy>Sanford, Amber</cp:lastModifiedBy>
  <cp:revision>2</cp:revision>
  <dcterms:created xsi:type="dcterms:W3CDTF">2021-01-14T14:50:00Z</dcterms:created>
  <dcterms:modified xsi:type="dcterms:W3CDTF">2021-01-14T14:50:00Z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2021-01-07T00:00:00Z</vt:filetime>
  </property>
</Properties>
</file>