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943A6" w:rsidR="00875F3E" w:rsidP="00875F3E" w:rsidRDefault="00813FD2" w14:paraId="15166D5B" w14:textId="2A634934">
      <w:pPr>
        <w:autoSpaceDE/>
        <w:autoSpaceDN/>
        <w:adjustRightInd/>
        <w:spacing w:before="100" w:beforeAutospacing="1" w:after="100" w:afterAutospacing="1"/>
        <w:jc w:val="center"/>
        <w:outlineLvl w:val="0"/>
        <w:rPr>
          <w:rFonts w:ascii="Times New Roman" w:hAnsi="Times New Roman"/>
          <w:b/>
          <w:sz w:val="24"/>
          <w:szCs w:val="24"/>
        </w:rPr>
      </w:pPr>
      <w:r>
        <w:rPr>
          <w:rFonts w:ascii="Times New Roman" w:hAnsi="Times New Roman"/>
          <w:b/>
          <w:sz w:val="24"/>
          <w:szCs w:val="24"/>
        </w:rPr>
        <w:t xml:space="preserve">OMB Control No. </w:t>
      </w:r>
      <w:r w:rsidR="001D7784">
        <w:rPr>
          <w:rFonts w:ascii="Times New Roman" w:hAnsi="Times New Roman"/>
          <w:b/>
          <w:sz w:val="24"/>
          <w:szCs w:val="24"/>
        </w:rPr>
        <w:t>0910-0810</w:t>
      </w:r>
    </w:p>
    <w:p w:rsidRPr="006967DB" w:rsidR="006967DB" w:rsidP="006967DB" w:rsidRDefault="006967DB" w14:paraId="186DE619" w14:textId="77777777">
      <w:pPr>
        <w:rPr>
          <w:rFonts w:ascii="Times New Roman" w:hAnsi="Times New Roman"/>
          <w:b/>
          <w:color w:val="000000"/>
          <w:sz w:val="16"/>
          <w:szCs w:val="16"/>
        </w:rPr>
      </w:pPr>
    </w:p>
    <w:p w:rsidRPr="006967DB" w:rsidR="006967DB" w:rsidP="006967DB" w:rsidRDefault="00875F3E" w14:paraId="4B20FCBC" w14:textId="77777777">
      <w:pPr>
        <w:rPr>
          <w:rFonts w:ascii="Times New Roman" w:hAnsi="Times New Roman"/>
          <w:b/>
          <w:color w:val="000000"/>
          <w:sz w:val="28"/>
          <w:szCs w:val="28"/>
        </w:rPr>
      </w:pPr>
      <w:r>
        <w:rPr>
          <w:rFonts w:ascii="Times New Roman" w:hAnsi="Times New Roman"/>
          <w:b/>
          <w:color w:val="000000"/>
          <w:sz w:val="28"/>
          <w:szCs w:val="28"/>
        </w:rPr>
        <w:t>Supporting Statement: Summary</w:t>
      </w:r>
    </w:p>
    <w:p w:rsidRPr="006967DB" w:rsidR="006967DB" w:rsidP="006967DB" w:rsidRDefault="006967DB" w14:paraId="4B8CA637" w14:textId="77777777">
      <w:pPr>
        <w:rPr>
          <w:rFonts w:ascii="Times New Roman" w:hAnsi="Times New Roman"/>
          <w:b/>
          <w:color w:val="000000"/>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2E3ECD" w:rsidR="00581DB5" w:rsidTr="002E3ECD" w14:paraId="707E3755" w14:textId="77777777">
        <w:tc>
          <w:tcPr>
            <w:tcW w:w="9576" w:type="dxa"/>
            <w:shd w:val="clear" w:color="auto" w:fill="auto"/>
          </w:tcPr>
          <w:p w:rsidRPr="002E3ECD" w:rsidR="006967DB" w:rsidP="002E3ECD" w:rsidRDefault="006967DB" w14:paraId="6DD177BA" w14:textId="0D38AC39">
            <w:pPr>
              <w:pStyle w:val="ListParagraph"/>
              <w:numPr>
                <w:ilvl w:val="0"/>
                <w:numId w:val="29"/>
              </w:numPr>
              <w:spacing w:before="240"/>
              <w:rPr>
                <w:rFonts w:ascii="Times New Roman" w:hAnsi="Times New Roman"/>
              </w:rPr>
            </w:pPr>
            <w:r w:rsidRPr="002E3ECD">
              <w:rPr>
                <w:rFonts w:ascii="Times New Roman" w:hAnsi="Times New Roman"/>
              </w:rPr>
              <w:t xml:space="preserve">The goal of this project is to measure </w:t>
            </w:r>
            <w:r w:rsidR="00884E45">
              <w:rPr>
                <w:rFonts w:ascii="Times New Roman" w:hAnsi="Times New Roman"/>
              </w:rPr>
              <w:t xml:space="preserve">target audience reactions to </w:t>
            </w:r>
            <w:r w:rsidRPr="002E3ECD">
              <w:rPr>
                <w:rFonts w:ascii="Times New Roman" w:hAnsi="Times New Roman"/>
              </w:rPr>
              <w:t xml:space="preserve">various tobacco-related </w:t>
            </w:r>
            <w:r w:rsidR="00884E45">
              <w:rPr>
                <w:rFonts w:ascii="Times New Roman" w:hAnsi="Times New Roman"/>
              </w:rPr>
              <w:t>education messages</w:t>
            </w:r>
            <w:r w:rsidR="009C2550">
              <w:rPr>
                <w:rFonts w:ascii="Times New Roman" w:hAnsi="Times New Roman"/>
              </w:rPr>
              <w:t xml:space="preserve"> among youth ages 13-17 (N=</w:t>
            </w:r>
            <w:r w:rsidR="009C7D78">
              <w:rPr>
                <w:rFonts w:ascii="Times New Roman" w:hAnsi="Times New Roman"/>
              </w:rPr>
              <w:t>5</w:t>
            </w:r>
            <w:r w:rsidR="00B07535">
              <w:rPr>
                <w:rFonts w:ascii="Times New Roman" w:hAnsi="Times New Roman"/>
              </w:rPr>
              <w:t>,</w:t>
            </w:r>
            <w:r w:rsidR="009C7D78">
              <w:rPr>
                <w:rFonts w:ascii="Times New Roman" w:hAnsi="Times New Roman"/>
              </w:rPr>
              <w:t>500</w:t>
            </w:r>
            <w:r w:rsidR="009C2550">
              <w:rPr>
                <w:rFonts w:ascii="Times New Roman" w:hAnsi="Times New Roman"/>
              </w:rPr>
              <w:t>) and adults aged 1</w:t>
            </w:r>
            <w:r w:rsidR="00613556">
              <w:rPr>
                <w:rFonts w:ascii="Times New Roman" w:hAnsi="Times New Roman"/>
              </w:rPr>
              <w:t>8</w:t>
            </w:r>
            <w:r w:rsidR="009C2550">
              <w:rPr>
                <w:rFonts w:ascii="Times New Roman" w:hAnsi="Times New Roman"/>
              </w:rPr>
              <w:t>-54 (N=</w:t>
            </w:r>
            <w:r w:rsidR="009C7D78">
              <w:rPr>
                <w:rFonts w:ascii="Times New Roman" w:hAnsi="Times New Roman"/>
              </w:rPr>
              <w:t>5</w:t>
            </w:r>
            <w:r w:rsidR="00B07535">
              <w:rPr>
                <w:rFonts w:ascii="Times New Roman" w:hAnsi="Times New Roman"/>
              </w:rPr>
              <w:t>,</w:t>
            </w:r>
            <w:r w:rsidR="009C7D78">
              <w:rPr>
                <w:rFonts w:ascii="Times New Roman" w:hAnsi="Times New Roman"/>
              </w:rPr>
              <w:t>500</w:t>
            </w:r>
            <w:r w:rsidR="009C2550">
              <w:rPr>
                <w:rFonts w:ascii="Times New Roman" w:hAnsi="Times New Roman"/>
              </w:rPr>
              <w:t>)</w:t>
            </w:r>
          </w:p>
          <w:p w:rsidRPr="009C2550" w:rsidR="006967DB" w:rsidP="009C2550" w:rsidRDefault="006967DB" w14:paraId="17EAFC0E" w14:textId="77777777">
            <w:pPr>
              <w:pStyle w:val="ListParagraph"/>
              <w:numPr>
                <w:ilvl w:val="0"/>
                <w:numId w:val="29"/>
              </w:numPr>
              <w:rPr>
                <w:rFonts w:ascii="Times New Roman" w:hAnsi="Times New Roman"/>
              </w:rPr>
            </w:pPr>
            <w:r w:rsidRPr="002E3ECD">
              <w:rPr>
                <w:rFonts w:ascii="Times New Roman" w:hAnsi="Times New Roman"/>
              </w:rPr>
              <w:t>The study will be conducted using web-based surveys that are self-administered on personal computers</w:t>
            </w:r>
            <w:r w:rsidR="00726486">
              <w:rPr>
                <w:rFonts w:ascii="Times New Roman" w:hAnsi="Times New Roman"/>
              </w:rPr>
              <w:t xml:space="preserve"> or mobile devices</w:t>
            </w:r>
            <w:r w:rsidRPr="002E3ECD">
              <w:rPr>
                <w:rFonts w:ascii="Times New Roman" w:hAnsi="Times New Roman"/>
              </w:rPr>
              <w:t xml:space="preserve">. The study will </w:t>
            </w:r>
            <w:r w:rsidR="009C2550">
              <w:rPr>
                <w:rFonts w:ascii="Times New Roman" w:hAnsi="Times New Roman"/>
              </w:rPr>
              <w:t>consist of an</w:t>
            </w:r>
            <w:r w:rsidRPr="002E3ECD">
              <w:rPr>
                <w:rFonts w:ascii="Times New Roman" w:hAnsi="Times New Roman"/>
              </w:rPr>
              <w:t xml:space="preserve"> online survey </w:t>
            </w:r>
            <w:r w:rsidR="009C2550">
              <w:rPr>
                <w:rFonts w:ascii="Times New Roman" w:hAnsi="Times New Roman"/>
              </w:rPr>
              <w:t>with youth</w:t>
            </w:r>
            <w:r w:rsidRPr="002E3ECD">
              <w:rPr>
                <w:rFonts w:ascii="Times New Roman" w:hAnsi="Times New Roman"/>
              </w:rPr>
              <w:t xml:space="preserve"> who have experimented with </w:t>
            </w:r>
            <w:r w:rsidR="007234F3">
              <w:rPr>
                <w:rFonts w:ascii="Times New Roman" w:hAnsi="Times New Roman"/>
              </w:rPr>
              <w:t xml:space="preserve">tobacco products </w:t>
            </w:r>
            <w:r w:rsidRPr="002E3ECD">
              <w:rPr>
                <w:rFonts w:ascii="Times New Roman" w:hAnsi="Times New Roman"/>
              </w:rPr>
              <w:t xml:space="preserve">or who are at risk of experimenting with </w:t>
            </w:r>
            <w:r w:rsidR="007234F3">
              <w:rPr>
                <w:rFonts w:ascii="Times New Roman" w:hAnsi="Times New Roman"/>
              </w:rPr>
              <w:t>tobacco products</w:t>
            </w:r>
            <w:r w:rsidR="009C2550">
              <w:rPr>
                <w:rFonts w:ascii="Times New Roman" w:hAnsi="Times New Roman"/>
              </w:rPr>
              <w:t xml:space="preserve"> as well as adult current and former tobacco users.</w:t>
            </w:r>
            <w:r w:rsidRPr="009C2550">
              <w:rPr>
                <w:rFonts w:ascii="Times New Roman" w:hAnsi="Times New Roman"/>
              </w:rPr>
              <w:t xml:space="preserve"> The study will take approximately 20 minutes to complete per participant.  </w:t>
            </w:r>
          </w:p>
          <w:p w:rsidRPr="002E3ECD" w:rsidR="006967DB" w:rsidP="002E3ECD" w:rsidRDefault="006967DB" w14:paraId="2CD464B4" w14:textId="77777777">
            <w:pPr>
              <w:pStyle w:val="ListParagraph"/>
              <w:numPr>
                <w:ilvl w:val="0"/>
                <w:numId w:val="29"/>
              </w:numPr>
              <w:rPr>
                <w:rFonts w:ascii="Times New Roman" w:hAnsi="Times New Roman"/>
              </w:rPr>
            </w:pPr>
            <w:r w:rsidRPr="002E3ECD">
              <w:rPr>
                <w:rFonts w:ascii="Times New Roman" w:hAnsi="Times New Roman"/>
              </w:rPr>
              <w:t xml:space="preserve">The outcome of the survey will be an understanding of receptivity to various tobacco-related </w:t>
            </w:r>
            <w:r w:rsidR="007234F3">
              <w:rPr>
                <w:rFonts w:ascii="Times New Roman" w:hAnsi="Times New Roman"/>
              </w:rPr>
              <w:t>education messages</w:t>
            </w:r>
            <w:r w:rsidR="00AB7F2F">
              <w:rPr>
                <w:rFonts w:ascii="Times New Roman" w:hAnsi="Times New Roman"/>
              </w:rPr>
              <w:t>, tobacco facts, and tobacco related knowledge, attitudes and beliefs</w:t>
            </w:r>
            <w:r w:rsidRPr="002E3ECD">
              <w:rPr>
                <w:rFonts w:ascii="Times New Roman" w:hAnsi="Times New Roman"/>
              </w:rPr>
              <w:t xml:space="preserve">.  Understanding </w:t>
            </w:r>
            <w:r w:rsidR="00730BA2">
              <w:rPr>
                <w:rFonts w:ascii="Times New Roman" w:hAnsi="Times New Roman"/>
              </w:rPr>
              <w:t>youth and adult</w:t>
            </w:r>
            <w:r w:rsidRPr="002E3ECD">
              <w:rPr>
                <w:rFonts w:ascii="Times New Roman" w:hAnsi="Times New Roman"/>
              </w:rPr>
              <w:t xml:space="preserve"> perceptions </w:t>
            </w:r>
            <w:r w:rsidR="00AB7F2F">
              <w:rPr>
                <w:rFonts w:ascii="Times New Roman" w:hAnsi="Times New Roman"/>
              </w:rPr>
              <w:t>regarding tobacco products can help refine</w:t>
            </w:r>
            <w:r w:rsidRPr="002E3ECD">
              <w:rPr>
                <w:rFonts w:ascii="Times New Roman" w:hAnsi="Times New Roman"/>
              </w:rPr>
              <w:t xml:space="preserve"> tobacco-related messaging for future tobacco prevention campaigns.</w:t>
            </w:r>
          </w:p>
          <w:p w:rsidR="006967DB" w:rsidP="002E3ECD" w:rsidRDefault="006967DB" w14:paraId="6B280908" w14:textId="77777777">
            <w:pPr>
              <w:pStyle w:val="ListParagraph"/>
              <w:numPr>
                <w:ilvl w:val="0"/>
                <w:numId w:val="29"/>
              </w:numPr>
              <w:rPr>
                <w:rFonts w:ascii="Times New Roman" w:hAnsi="Times New Roman"/>
              </w:rPr>
            </w:pPr>
            <w:r w:rsidRPr="002E3ECD">
              <w:rPr>
                <w:rFonts w:ascii="Times New Roman" w:hAnsi="Times New Roman"/>
              </w:rPr>
              <w:t xml:space="preserve">The resulting data will be analyzed using conventional tabulation techniques. The study questions collect information about respondents’ reactions to </w:t>
            </w:r>
            <w:r w:rsidR="00AB7F2F">
              <w:rPr>
                <w:rFonts w:ascii="Times New Roman" w:hAnsi="Times New Roman"/>
              </w:rPr>
              <w:t xml:space="preserve">messaging, </w:t>
            </w:r>
            <w:r w:rsidRPr="002E3ECD">
              <w:rPr>
                <w:rFonts w:ascii="Times New Roman" w:hAnsi="Times New Roman"/>
              </w:rPr>
              <w:t xml:space="preserve">tobacco-related facts, and also include basic demographic and tobacco use information in order to understand whether and how </w:t>
            </w:r>
            <w:r w:rsidR="00AB7F2F">
              <w:rPr>
                <w:rFonts w:ascii="Times New Roman" w:hAnsi="Times New Roman"/>
              </w:rPr>
              <w:t xml:space="preserve">messaging </w:t>
            </w:r>
            <w:r w:rsidRPr="002E3ECD">
              <w:rPr>
                <w:rFonts w:ascii="Times New Roman" w:hAnsi="Times New Roman"/>
              </w:rPr>
              <w:t xml:space="preserve">may influence individuals’ </w:t>
            </w:r>
            <w:r w:rsidR="00AB7F2F">
              <w:rPr>
                <w:rFonts w:ascii="Times New Roman" w:hAnsi="Times New Roman"/>
              </w:rPr>
              <w:t>behavioral intention</w:t>
            </w:r>
            <w:r w:rsidRPr="002E3ECD">
              <w:rPr>
                <w:rFonts w:ascii="Times New Roman" w:hAnsi="Times New Roman"/>
              </w:rPr>
              <w:t>.</w:t>
            </w:r>
          </w:p>
          <w:p w:rsidR="00613556" w:rsidP="00613556" w:rsidRDefault="00613556" w14:paraId="7985B7FF" w14:textId="77777777">
            <w:pPr>
              <w:rPr>
                <w:rFonts w:ascii="Times New Roman" w:hAnsi="Times New Roman"/>
                <w:b/>
              </w:rPr>
            </w:pPr>
            <w:r>
              <w:rPr>
                <w:rFonts w:ascii="Times New Roman" w:hAnsi="Times New Roman"/>
                <w:b/>
              </w:rPr>
              <w:t>REQUEST FOR APPROVAL DATE: March 1</w:t>
            </w:r>
            <w:r w:rsidRPr="00613556">
              <w:rPr>
                <w:rFonts w:ascii="Times New Roman" w:hAnsi="Times New Roman"/>
                <w:b/>
                <w:vertAlign w:val="superscript"/>
              </w:rPr>
              <w:t>st</w:t>
            </w:r>
            <w:r>
              <w:rPr>
                <w:rFonts w:ascii="Times New Roman" w:hAnsi="Times New Roman"/>
                <w:b/>
              </w:rPr>
              <w:t xml:space="preserve"> 2020</w:t>
            </w:r>
          </w:p>
          <w:p w:rsidRPr="00613556" w:rsidR="00940B06" w:rsidP="00613556" w:rsidRDefault="00940B06" w14:paraId="79EF6838" w14:textId="62628B45">
            <w:pPr>
              <w:rPr>
                <w:rFonts w:ascii="Times New Roman" w:hAnsi="Times New Roman"/>
                <w:b/>
              </w:rPr>
            </w:pPr>
          </w:p>
        </w:tc>
      </w:tr>
    </w:tbl>
    <w:p w:rsidRPr="006967DB" w:rsidR="006967DB" w:rsidP="006967DB" w:rsidRDefault="006967DB" w14:paraId="351DB5FC" w14:textId="77777777">
      <w:pPr>
        <w:rPr>
          <w:rFonts w:ascii="Times New Roman" w:hAnsi="Times New Roman"/>
          <w:b/>
          <w:color w:val="000000"/>
        </w:rPr>
      </w:pPr>
    </w:p>
    <w:p w:rsidRPr="00940B06" w:rsidR="006967DB" w:rsidP="006967DB" w:rsidRDefault="00613556" w14:paraId="4FDB52FF" w14:textId="77777777">
      <w:pPr>
        <w:rPr>
          <w:rFonts w:ascii="Times New Roman" w:hAnsi="Times New Roman"/>
          <w:b/>
          <w:color w:val="000000"/>
          <w:sz w:val="22"/>
          <w:szCs w:val="22"/>
          <w:u w:val="single"/>
        </w:rPr>
      </w:pPr>
      <w:r w:rsidRPr="00940B06">
        <w:rPr>
          <w:rFonts w:ascii="Times New Roman" w:hAnsi="Times New Roman"/>
          <w:b/>
          <w:color w:val="000000"/>
          <w:sz w:val="22"/>
          <w:szCs w:val="22"/>
          <w:u w:val="single"/>
        </w:rPr>
        <w:t xml:space="preserve">Participant Assent/Consent &amp; Parental </w:t>
      </w:r>
      <w:r w:rsidRPr="00940B06" w:rsidR="0061672F">
        <w:rPr>
          <w:rFonts w:ascii="Times New Roman" w:hAnsi="Times New Roman"/>
          <w:b/>
          <w:color w:val="000000"/>
          <w:sz w:val="22"/>
          <w:szCs w:val="22"/>
          <w:u w:val="single"/>
        </w:rPr>
        <w:t xml:space="preserve">Notification and </w:t>
      </w:r>
      <w:r w:rsidRPr="00940B06">
        <w:rPr>
          <w:rFonts w:ascii="Times New Roman" w:hAnsi="Times New Roman"/>
          <w:b/>
          <w:color w:val="000000"/>
          <w:sz w:val="22"/>
          <w:szCs w:val="22"/>
          <w:u w:val="single"/>
        </w:rPr>
        <w:t>Opt-Out Forms</w:t>
      </w:r>
    </w:p>
    <w:p w:rsidRPr="00940B06" w:rsidR="006967DB" w:rsidP="006967DB" w:rsidRDefault="006967DB" w14:paraId="2C0BE14C" w14:textId="4D4B8CFF">
      <w:pPr>
        <w:pStyle w:val="ListParagraph"/>
        <w:numPr>
          <w:ilvl w:val="0"/>
          <w:numId w:val="30"/>
        </w:numPr>
        <w:spacing w:after="0"/>
        <w:rPr>
          <w:rFonts w:ascii="Times New Roman" w:hAnsi="Times New Roman"/>
          <w:color w:val="000000"/>
        </w:rPr>
      </w:pPr>
      <w:bookmarkStart w:name="_Hlk29390116" w:id="0"/>
      <w:r w:rsidRPr="00940B06">
        <w:rPr>
          <w:rFonts w:ascii="Times New Roman" w:hAnsi="Times New Roman"/>
          <w:color w:val="000000"/>
        </w:rPr>
        <w:t xml:space="preserve">Attachment A: </w:t>
      </w:r>
      <w:r w:rsidR="00940B06">
        <w:rPr>
          <w:rFonts w:ascii="Times New Roman" w:hAnsi="Times New Roman"/>
          <w:color w:val="000000"/>
        </w:rPr>
        <w:tab/>
      </w:r>
      <w:r w:rsidRPr="00940B06">
        <w:rPr>
          <w:rFonts w:ascii="Times New Roman" w:hAnsi="Times New Roman"/>
          <w:color w:val="000000"/>
        </w:rPr>
        <w:t xml:space="preserve">Parental </w:t>
      </w:r>
      <w:r w:rsidRPr="00940B06" w:rsidR="00613556">
        <w:rPr>
          <w:rFonts w:ascii="Times New Roman" w:hAnsi="Times New Roman"/>
          <w:color w:val="000000"/>
        </w:rPr>
        <w:t xml:space="preserve">Notification and Opt-Out </w:t>
      </w:r>
      <w:r w:rsidRPr="00940B06">
        <w:rPr>
          <w:rFonts w:ascii="Times New Roman" w:hAnsi="Times New Roman"/>
          <w:color w:val="000000"/>
        </w:rPr>
        <w:t>Form</w:t>
      </w:r>
    </w:p>
    <w:p w:rsidRPr="00940B06" w:rsidR="00B46EE5" w:rsidP="006967DB" w:rsidRDefault="00B46EE5" w14:paraId="6C4A11A7" w14:textId="0AB7A559">
      <w:pPr>
        <w:pStyle w:val="ListParagraph"/>
        <w:numPr>
          <w:ilvl w:val="0"/>
          <w:numId w:val="30"/>
        </w:numPr>
        <w:spacing w:after="0"/>
        <w:rPr>
          <w:rFonts w:ascii="Times New Roman" w:hAnsi="Times New Roman"/>
          <w:color w:val="000000"/>
        </w:rPr>
      </w:pPr>
      <w:r w:rsidRPr="00940B06">
        <w:rPr>
          <w:rFonts w:ascii="Times New Roman" w:hAnsi="Times New Roman"/>
          <w:color w:val="000000"/>
        </w:rPr>
        <w:t xml:space="preserve">Attachment A1: Email </w:t>
      </w:r>
      <w:r w:rsidR="00FA2794">
        <w:rPr>
          <w:rFonts w:ascii="Times New Roman" w:hAnsi="Times New Roman"/>
          <w:color w:val="000000"/>
        </w:rPr>
        <w:t>I</w:t>
      </w:r>
      <w:r w:rsidRPr="00940B06">
        <w:rPr>
          <w:rFonts w:ascii="Times New Roman" w:hAnsi="Times New Roman"/>
          <w:color w:val="000000"/>
        </w:rPr>
        <w:t xml:space="preserve">nvitation </w:t>
      </w:r>
    </w:p>
    <w:p w:rsidRPr="00940B06" w:rsidR="006967DB" w:rsidP="001B4319" w:rsidRDefault="006967DB" w14:paraId="5ECEE039" w14:textId="666CEDD3">
      <w:pPr>
        <w:pStyle w:val="ListParagraph"/>
        <w:numPr>
          <w:ilvl w:val="0"/>
          <w:numId w:val="30"/>
        </w:numPr>
        <w:spacing w:after="0"/>
        <w:rPr>
          <w:rFonts w:ascii="Times New Roman" w:hAnsi="Times New Roman"/>
          <w:b/>
          <w:color w:val="000000"/>
        </w:rPr>
      </w:pPr>
      <w:r w:rsidRPr="00940B06">
        <w:rPr>
          <w:rFonts w:ascii="Times New Roman" w:hAnsi="Times New Roman"/>
          <w:color w:val="000000"/>
        </w:rPr>
        <w:t xml:space="preserve">Attachment B: </w:t>
      </w:r>
      <w:r w:rsidR="00940B06">
        <w:rPr>
          <w:rFonts w:ascii="Times New Roman" w:hAnsi="Times New Roman"/>
          <w:color w:val="000000"/>
        </w:rPr>
        <w:tab/>
      </w:r>
      <w:r w:rsidRPr="00940B06" w:rsidR="00613556">
        <w:rPr>
          <w:rFonts w:ascii="Times New Roman" w:hAnsi="Times New Roman"/>
          <w:color w:val="000000"/>
        </w:rPr>
        <w:t>Youth Assent Form</w:t>
      </w:r>
    </w:p>
    <w:p w:rsidRPr="00940B06" w:rsidR="00613556" w:rsidP="001B4319" w:rsidRDefault="00613556" w14:paraId="417CCCB7" w14:textId="7BEC93A9">
      <w:pPr>
        <w:pStyle w:val="ListParagraph"/>
        <w:numPr>
          <w:ilvl w:val="0"/>
          <w:numId w:val="30"/>
        </w:numPr>
        <w:spacing w:after="0"/>
        <w:rPr>
          <w:rFonts w:ascii="Times New Roman" w:hAnsi="Times New Roman"/>
          <w:b/>
          <w:color w:val="000000"/>
        </w:rPr>
      </w:pPr>
      <w:r w:rsidRPr="00940B06">
        <w:rPr>
          <w:rFonts w:ascii="Times New Roman" w:hAnsi="Times New Roman"/>
          <w:color w:val="000000"/>
        </w:rPr>
        <w:t xml:space="preserve">Attachment C: </w:t>
      </w:r>
      <w:r w:rsidR="00940B06">
        <w:rPr>
          <w:rFonts w:ascii="Times New Roman" w:hAnsi="Times New Roman"/>
          <w:color w:val="000000"/>
        </w:rPr>
        <w:tab/>
      </w:r>
      <w:r w:rsidRPr="00940B06">
        <w:rPr>
          <w:rFonts w:ascii="Times New Roman" w:hAnsi="Times New Roman"/>
          <w:color w:val="000000"/>
        </w:rPr>
        <w:t>Adult Participant Consent Form</w:t>
      </w:r>
    </w:p>
    <w:p w:rsidRPr="00940B06" w:rsidR="00613556" w:rsidP="00613556" w:rsidRDefault="00613556" w14:paraId="6BC6526F" w14:textId="77777777">
      <w:pPr>
        <w:rPr>
          <w:rFonts w:ascii="Times New Roman" w:hAnsi="Times New Roman"/>
          <w:b/>
          <w:color w:val="000000"/>
          <w:sz w:val="22"/>
          <w:szCs w:val="22"/>
          <w:u w:val="single"/>
        </w:rPr>
      </w:pPr>
      <w:r w:rsidRPr="00940B06">
        <w:rPr>
          <w:rFonts w:ascii="Times New Roman" w:hAnsi="Times New Roman"/>
          <w:b/>
          <w:color w:val="000000"/>
          <w:sz w:val="22"/>
          <w:szCs w:val="22"/>
          <w:u w:val="single"/>
        </w:rPr>
        <w:t>Data Collection Instruments:</w:t>
      </w:r>
    </w:p>
    <w:p w:rsidRPr="00940B06" w:rsidR="006967DB" w:rsidP="006967DB" w:rsidRDefault="006967DB" w14:paraId="325550E1" w14:textId="1E9500D1">
      <w:pPr>
        <w:pStyle w:val="ListParagraph"/>
        <w:numPr>
          <w:ilvl w:val="0"/>
          <w:numId w:val="28"/>
        </w:numPr>
        <w:spacing w:after="0"/>
        <w:ind w:left="720"/>
        <w:rPr>
          <w:rFonts w:ascii="Times New Roman" w:hAnsi="Times New Roman"/>
          <w:color w:val="000000"/>
        </w:rPr>
      </w:pPr>
      <w:r w:rsidRPr="00940B06">
        <w:rPr>
          <w:rFonts w:ascii="Times New Roman" w:hAnsi="Times New Roman"/>
          <w:color w:val="000000"/>
        </w:rPr>
        <w:t xml:space="preserve">Attachment </w:t>
      </w:r>
      <w:r w:rsidRPr="00940B06" w:rsidR="00613556">
        <w:rPr>
          <w:rFonts w:ascii="Times New Roman" w:hAnsi="Times New Roman"/>
          <w:color w:val="000000"/>
        </w:rPr>
        <w:t>D</w:t>
      </w:r>
      <w:r w:rsidRPr="00940B06">
        <w:rPr>
          <w:rFonts w:ascii="Times New Roman" w:hAnsi="Times New Roman"/>
          <w:color w:val="000000"/>
        </w:rPr>
        <w:t xml:space="preserve">: </w:t>
      </w:r>
      <w:r w:rsidR="00940B06">
        <w:rPr>
          <w:rFonts w:ascii="Times New Roman" w:hAnsi="Times New Roman"/>
          <w:color w:val="000000"/>
        </w:rPr>
        <w:tab/>
      </w:r>
      <w:r w:rsidRPr="00940B06" w:rsidR="00613556">
        <w:rPr>
          <w:rFonts w:ascii="Times New Roman" w:hAnsi="Times New Roman"/>
          <w:color w:val="000000"/>
        </w:rPr>
        <w:t xml:space="preserve">Youth </w:t>
      </w:r>
      <w:r w:rsidR="00FA2794">
        <w:rPr>
          <w:rFonts w:ascii="Times New Roman" w:hAnsi="Times New Roman"/>
          <w:color w:val="000000"/>
        </w:rPr>
        <w:t>S</w:t>
      </w:r>
      <w:r w:rsidRPr="00940B06" w:rsidR="00613556">
        <w:rPr>
          <w:rFonts w:ascii="Times New Roman" w:hAnsi="Times New Roman"/>
          <w:color w:val="000000"/>
        </w:rPr>
        <w:t>creener</w:t>
      </w:r>
    </w:p>
    <w:p w:rsidRPr="00940B06" w:rsidR="006967DB" w:rsidP="006967DB" w:rsidRDefault="006967DB" w14:paraId="0E0C9897" w14:textId="4AF8CDB5">
      <w:pPr>
        <w:pStyle w:val="ListParagraph"/>
        <w:numPr>
          <w:ilvl w:val="0"/>
          <w:numId w:val="28"/>
        </w:numPr>
        <w:spacing w:after="0"/>
        <w:ind w:left="720"/>
        <w:rPr>
          <w:rFonts w:ascii="Times New Roman" w:hAnsi="Times New Roman"/>
          <w:color w:val="000000"/>
        </w:rPr>
      </w:pPr>
      <w:r w:rsidRPr="00940B06">
        <w:rPr>
          <w:rFonts w:ascii="Times New Roman" w:hAnsi="Times New Roman"/>
          <w:color w:val="000000"/>
        </w:rPr>
        <w:t>Attachment</w:t>
      </w:r>
      <w:r w:rsidRPr="00940B06" w:rsidR="00613556">
        <w:rPr>
          <w:rFonts w:ascii="Times New Roman" w:hAnsi="Times New Roman"/>
          <w:color w:val="000000"/>
        </w:rPr>
        <w:t xml:space="preserve"> E: </w:t>
      </w:r>
      <w:r w:rsidR="00940B06">
        <w:rPr>
          <w:rFonts w:ascii="Times New Roman" w:hAnsi="Times New Roman"/>
          <w:color w:val="000000"/>
        </w:rPr>
        <w:t xml:space="preserve"> </w:t>
      </w:r>
      <w:r w:rsidR="00940B06">
        <w:rPr>
          <w:rFonts w:ascii="Times New Roman" w:hAnsi="Times New Roman"/>
          <w:color w:val="000000"/>
        </w:rPr>
        <w:tab/>
      </w:r>
      <w:r w:rsidRPr="00940B06" w:rsidR="00613556">
        <w:rPr>
          <w:rFonts w:ascii="Times New Roman" w:hAnsi="Times New Roman"/>
          <w:color w:val="000000"/>
        </w:rPr>
        <w:t>Adult Screener</w:t>
      </w:r>
    </w:p>
    <w:p w:rsidRPr="00940B06" w:rsidR="008F6F32" w:rsidP="008F6F32" w:rsidRDefault="006967DB" w14:paraId="14468BF6" w14:textId="45F878D0">
      <w:pPr>
        <w:pStyle w:val="ListParagraph"/>
        <w:numPr>
          <w:ilvl w:val="0"/>
          <w:numId w:val="28"/>
        </w:numPr>
        <w:spacing w:after="0"/>
        <w:ind w:left="720"/>
        <w:rPr>
          <w:rFonts w:ascii="Times New Roman" w:hAnsi="Times New Roman"/>
          <w:color w:val="000000"/>
        </w:rPr>
      </w:pPr>
      <w:r w:rsidRPr="00940B06">
        <w:rPr>
          <w:rFonts w:ascii="Times New Roman" w:hAnsi="Times New Roman"/>
          <w:color w:val="000000"/>
        </w:rPr>
        <w:t xml:space="preserve">Attachment </w:t>
      </w:r>
      <w:r w:rsidRPr="00940B06" w:rsidR="00613556">
        <w:rPr>
          <w:rFonts w:ascii="Times New Roman" w:hAnsi="Times New Roman"/>
          <w:color w:val="000000"/>
        </w:rPr>
        <w:t>F</w:t>
      </w:r>
      <w:r w:rsidRPr="00940B06">
        <w:rPr>
          <w:rFonts w:ascii="Times New Roman" w:hAnsi="Times New Roman"/>
          <w:color w:val="000000"/>
        </w:rPr>
        <w:t xml:space="preserve">: </w:t>
      </w:r>
      <w:r w:rsidR="00940B06">
        <w:rPr>
          <w:rFonts w:ascii="Times New Roman" w:hAnsi="Times New Roman"/>
          <w:color w:val="000000"/>
        </w:rPr>
        <w:t xml:space="preserve"> </w:t>
      </w:r>
      <w:r w:rsidR="00940B06">
        <w:rPr>
          <w:rFonts w:ascii="Times New Roman" w:hAnsi="Times New Roman"/>
          <w:color w:val="000000"/>
        </w:rPr>
        <w:tab/>
      </w:r>
      <w:r w:rsidRPr="00940B06" w:rsidR="00613556">
        <w:rPr>
          <w:rFonts w:ascii="Times New Roman" w:hAnsi="Times New Roman"/>
          <w:color w:val="000000"/>
        </w:rPr>
        <w:t>Youth Questionnaire</w:t>
      </w:r>
      <w:r w:rsidRPr="00940B06" w:rsidR="008F6F32">
        <w:rPr>
          <w:rFonts w:ascii="Times New Roman" w:hAnsi="Times New Roman"/>
          <w:color w:val="000000"/>
        </w:rPr>
        <w:t xml:space="preserve"> </w:t>
      </w:r>
    </w:p>
    <w:p w:rsidRPr="00940B06" w:rsidR="008F6F32" w:rsidP="008F6F32" w:rsidRDefault="008F6F32" w14:paraId="71740B32" w14:textId="683F9828">
      <w:pPr>
        <w:pStyle w:val="ListParagraph"/>
        <w:numPr>
          <w:ilvl w:val="0"/>
          <w:numId w:val="28"/>
        </w:numPr>
        <w:spacing w:after="0"/>
        <w:ind w:left="720"/>
        <w:rPr>
          <w:rFonts w:ascii="Times New Roman" w:hAnsi="Times New Roman"/>
          <w:color w:val="000000"/>
        </w:rPr>
      </w:pPr>
      <w:r w:rsidRPr="00940B06">
        <w:rPr>
          <w:rFonts w:ascii="Times New Roman" w:hAnsi="Times New Roman"/>
          <w:color w:val="000000"/>
        </w:rPr>
        <w:t xml:space="preserve">Attachment </w:t>
      </w:r>
      <w:r w:rsidRPr="00940B06" w:rsidR="00613556">
        <w:rPr>
          <w:rFonts w:ascii="Times New Roman" w:hAnsi="Times New Roman"/>
          <w:color w:val="000000"/>
        </w:rPr>
        <w:t>G</w:t>
      </w:r>
      <w:r w:rsidRPr="00940B06">
        <w:rPr>
          <w:rFonts w:ascii="Times New Roman" w:hAnsi="Times New Roman"/>
          <w:color w:val="000000"/>
        </w:rPr>
        <w:t xml:space="preserve">:  </w:t>
      </w:r>
      <w:r w:rsidR="00940B06">
        <w:rPr>
          <w:rFonts w:ascii="Times New Roman" w:hAnsi="Times New Roman"/>
          <w:color w:val="000000"/>
        </w:rPr>
        <w:tab/>
      </w:r>
      <w:r w:rsidRPr="00940B06" w:rsidR="00613556">
        <w:rPr>
          <w:rFonts w:ascii="Times New Roman" w:hAnsi="Times New Roman"/>
          <w:color w:val="000000"/>
        </w:rPr>
        <w:t>Adult Questionnaire</w:t>
      </w:r>
    </w:p>
    <w:p w:rsidRPr="00940B06" w:rsidR="00613556" w:rsidP="00613556" w:rsidRDefault="00613556" w14:paraId="0BDE6B2A" w14:textId="77777777">
      <w:pPr>
        <w:rPr>
          <w:rFonts w:ascii="Times New Roman" w:hAnsi="Times New Roman"/>
          <w:b/>
          <w:color w:val="000000"/>
          <w:sz w:val="22"/>
          <w:szCs w:val="22"/>
          <w:u w:val="single"/>
        </w:rPr>
      </w:pPr>
      <w:r w:rsidRPr="00940B06">
        <w:rPr>
          <w:rFonts w:ascii="Times New Roman" w:hAnsi="Times New Roman"/>
          <w:b/>
          <w:color w:val="000000"/>
          <w:sz w:val="22"/>
          <w:szCs w:val="22"/>
          <w:u w:val="single"/>
        </w:rPr>
        <w:t>Additional Materials:</w:t>
      </w:r>
    </w:p>
    <w:p w:rsidRPr="00940B06" w:rsidR="00613556" w:rsidP="00613556" w:rsidRDefault="00613556" w14:paraId="6EC1D03E" w14:textId="6ABD1324">
      <w:pPr>
        <w:pStyle w:val="ListParagraph"/>
        <w:numPr>
          <w:ilvl w:val="0"/>
          <w:numId w:val="38"/>
        </w:numPr>
        <w:rPr>
          <w:rFonts w:ascii="Times New Roman" w:hAnsi="Times New Roman"/>
          <w:b/>
          <w:color w:val="000000"/>
          <w:u w:val="single"/>
        </w:rPr>
      </w:pPr>
      <w:r w:rsidRPr="00940B06">
        <w:rPr>
          <w:rFonts w:ascii="Times New Roman" w:hAnsi="Times New Roman"/>
          <w:color w:val="000000"/>
        </w:rPr>
        <w:t xml:space="preserve">Attachment H: </w:t>
      </w:r>
      <w:r w:rsidR="00940B06">
        <w:rPr>
          <w:rFonts w:ascii="Times New Roman" w:hAnsi="Times New Roman"/>
          <w:color w:val="000000"/>
        </w:rPr>
        <w:tab/>
      </w:r>
      <w:r w:rsidRPr="00940B06">
        <w:rPr>
          <w:rFonts w:ascii="Times New Roman" w:hAnsi="Times New Roman"/>
          <w:color w:val="000000"/>
        </w:rPr>
        <w:t>Stimuli</w:t>
      </w:r>
    </w:p>
    <w:p w:rsidRPr="00940B06" w:rsidR="00613556" w:rsidP="00613556" w:rsidRDefault="00613556" w14:paraId="1C5EDE40" w14:textId="72943965">
      <w:pPr>
        <w:pStyle w:val="ListParagraph"/>
        <w:numPr>
          <w:ilvl w:val="0"/>
          <w:numId w:val="38"/>
        </w:numPr>
        <w:rPr>
          <w:rFonts w:ascii="Times New Roman" w:hAnsi="Times New Roman"/>
          <w:b/>
          <w:color w:val="000000"/>
          <w:u w:val="single"/>
        </w:rPr>
      </w:pPr>
      <w:r w:rsidRPr="00940B06">
        <w:rPr>
          <w:rFonts w:ascii="Times New Roman" w:hAnsi="Times New Roman"/>
          <w:color w:val="000000"/>
        </w:rPr>
        <w:t xml:space="preserve">Attachment I: </w:t>
      </w:r>
      <w:r w:rsidR="00940B06">
        <w:rPr>
          <w:rFonts w:ascii="Times New Roman" w:hAnsi="Times New Roman"/>
          <w:color w:val="000000"/>
        </w:rPr>
        <w:tab/>
      </w:r>
      <w:r w:rsidRPr="00940B06">
        <w:rPr>
          <w:rFonts w:ascii="Times New Roman" w:hAnsi="Times New Roman"/>
          <w:color w:val="000000"/>
        </w:rPr>
        <w:t>IRB Approval Letter</w:t>
      </w:r>
    </w:p>
    <w:bookmarkEnd w:id="0"/>
    <w:p w:rsidR="006967DB" w:rsidP="009943A6" w:rsidRDefault="006967DB" w14:paraId="7E80FD4F" w14:textId="77777777">
      <w:pPr>
        <w:autoSpaceDE/>
        <w:autoSpaceDN/>
        <w:adjustRightInd/>
        <w:spacing w:before="100" w:beforeAutospacing="1" w:after="100" w:afterAutospacing="1"/>
        <w:jc w:val="center"/>
        <w:outlineLvl w:val="0"/>
        <w:rPr>
          <w:rFonts w:ascii="Times New Roman" w:hAnsi="Times New Roman"/>
          <w:b/>
          <w:sz w:val="24"/>
          <w:szCs w:val="24"/>
        </w:rPr>
      </w:pPr>
    </w:p>
    <w:p w:rsidR="006967DB" w:rsidP="006967DB" w:rsidRDefault="006967DB" w14:paraId="3582CB84" w14:textId="77777777">
      <w:pPr>
        <w:autoSpaceDE/>
        <w:autoSpaceDN/>
        <w:adjustRightInd/>
        <w:spacing w:before="100" w:beforeAutospacing="1" w:after="100" w:afterAutospacing="1"/>
        <w:outlineLvl w:val="0"/>
        <w:rPr>
          <w:rFonts w:ascii="Times New Roman" w:hAnsi="Times New Roman"/>
          <w:b/>
          <w:sz w:val="24"/>
          <w:szCs w:val="24"/>
        </w:rPr>
      </w:pPr>
    </w:p>
    <w:p w:rsidRPr="0061672F" w:rsidR="006967DB" w:rsidP="0061672F" w:rsidRDefault="0082679B" w14:paraId="75C65EB1" w14:textId="77777777">
      <w:pPr>
        <w:pStyle w:val="Default"/>
        <w:jc w:val="center"/>
      </w:pPr>
      <w:r w:rsidRPr="0082679B">
        <w:rPr>
          <w:b/>
        </w:rPr>
        <w:t>FDA Tobacco Prevention Broad Quantitative Research Package</w:t>
      </w:r>
    </w:p>
    <w:p w:rsidRPr="009943A6" w:rsidR="00457B64" w:rsidP="009943A6" w:rsidRDefault="00813FD2" w14:paraId="562BA10A" w14:textId="1DC8F93E">
      <w:pPr>
        <w:autoSpaceDE/>
        <w:autoSpaceDN/>
        <w:adjustRightInd/>
        <w:spacing w:before="100" w:beforeAutospacing="1" w:after="100" w:afterAutospacing="1"/>
        <w:jc w:val="center"/>
        <w:outlineLvl w:val="0"/>
        <w:rPr>
          <w:rFonts w:ascii="Times New Roman" w:hAnsi="Times New Roman"/>
          <w:b/>
          <w:sz w:val="24"/>
          <w:szCs w:val="24"/>
        </w:rPr>
      </w:pPr>
      <w:r>
        <w:rPr>
          <w:rFonts w:ascii="Times New Roman" w:hAnsi="Times New Roman"/>
          <w:b/>
          <w:sz w:val="24"/>
          <w:szCs w:val="24"/>
        </w:rPr>
        <w:t>OMB Control N</w:t>
      </w:r>
      <w:r w:rsidR="00307BAB">
        <w:rPr>
          <w:rFonts w:ascii="Times New Roman" w:hAnsi="Times New Roman"/>
          <w:b/>
          <w:sz w:val="24"/>
          <w:szCs w:val="24"/>
        </w:rPr>
        <w:t>o</w:t>
      </w:r>
      <w:r>
        <w:rPr>
          <w:rFonts w:ascii="Times New Roman" w:hAnsi="Times New Roman"/>
          <w:b/>
          <w:sz w:val="24"/>
          <w:szCs w:val="24"/>
        </w:rPr>
        <w:t xml:space="preserve">. </w:t>
      </w:r>
      <w:r w:rsidR="00457B64">
        <w:rPr>
          <w:rFonts w:ascii="Times New Roman" w:hAnsi="Times New Roman"/>
          <w:b/>
          <w:sz w:val="24"/>
          <w:szCs w:val="24"/>
        </w:rPr>
        <w:t>09</w:t>
      </w:r>
      <w:r w:rsidR="0002650D">
        <w:rPr>
          <w:rFonts w:ascii="Times New Roman" w:hAnsi="Times New Roman"/>
          <w:b/>
          <w:sz w:val="24"/>
          <w:szCs w:val="24"/>
        </w:rPr>
        <w:t>10</w:t>
      </w:r>
      <w:r w:rsidR="001D7784">
        <w:rPr>
          <w:rFonts w:ascii="Times New Roman" w:hAnsi="Times New Roman"/>
          <w:b/>
          <w:sz w:val="24"/>
          <w:szCs w:val="24"/>
        </w:rPr>
        <w:t>-0810</w:t>
      </w:r>
    </w:p>
    <w:p w:rsidR="00596B96" w:rsidP="00293C23" w:rsidRDefault="00813FD2" w14:paraId="62CDD678" w14:textId="77D4CFCB">
      <w:pPr>
        <w:autoSpaceDE/>
        <w:autoSpaceDN/>
        <w:adjustRightInd/>
        <w:spacing w:before="100" w:beforeAutospacing="1" w:after="100" w:afterAutospacing="1"/>
        <w:jc w:val="center"/>
        <w:rPr>
          <w:rFonts w:ascii="Times New Roman" w:hAnsi="Times New Roman"/>
          <w:b/>
          <w:sz w:val="24"/>
          <w:szCs w:val="24"/>
        </w:rPr>
      </w:pPr>
      <w:r w:rsidRPr="009943A6">
        <w:rPr>
          <w:rFonts w:ascii="Times New Roman" w:hAnsi="Times New Roman"/>
          <w:b/>
          <w:sz w:val="24"/>
          <w:szCs w:val="24"/>
        </w:rPr>
        <w:t>SUPPORTING STATEMENT</w:t>
      </w:r>
    </w:p>
    <w:p w:rsidRPr="00293C23" w:rsidR="00293C23" w:rsidP="00EB43D0" w:rsidRDefault="00293C23" w14:paraId="0DA9B1A2" w14:textId="77777777">
      <w:pPr>
        <w:autoSpaceDE/>
        <w:autoSpaceDN/>
        <w:adjustRightInd/>
        <w:spacing w:before="100" w:beforeAutospacing="1" w:after="100" w:afterAutospacing="1"/>
        <w:jc w:val="center"/>
        <w:rPr>
          <w:rFonts w:ascii="Times New Roman" w:hAnsi="Times New Roman"/>
          <w:b/>
          <w:sz w:val="24"/>
          <w:szCs w:val="24"/>
        </w:rPr>
      </w:pPr>
    </w:p>
    <w:p w:rsidRPr="002051D8" w:rsidR="005C0FF9" w:rsidP="00EB43D0" w:rsidRDefault="00813FD2" w14:paraId="421046E1" w14:textId="3A348D91">
      <w:pPr>
        <w:numPr>
          <w:ilvl w:val="12"/>
          <w:numId w:val="0"/>
        </w:numPr>
        <w:outlineLvl w:val="1"/>
        <w:rPr>
          <w:rFonts w:ascii="Times New Roman" w:hAnsi="Times New Roman"/>
          <w:b/>
          <w:bCs/>
          <w:sz w:val="24"/>
          <w:szCs w:val="24"/>
        </w:rPr>
      </w:pPr>
      <w:bookmarkStart w:name="_Toc239649220" w:id="1"/>
      <w:r>
        <w:rPr>
          <w:rFonts w:ascii="Times New Roman" w:hAnsi="Times New Roman"/>
          <w:b/>
          <w:bCs/>
          <w:sz w:val="24"/>
          <w:szCs w:val="24"/>
        </w:rPr>
        <w:t xml:space="preserve">Part </w:t>
      </w:r>
      <w:r w:rsidRPr="002051D8" w:rsidR="005C0FF9">
        <w:rPr>
          <w:rFonts w:ascii="Times New Roman" w:hAnsi="Times New Roman"/>
          <w:b/>
          <w:bCs/>
          <w:sz w:val="24"/>
          <w:szCs w:val="24"/>
        </w:rPr>
        <w:t>A</w:t>
      </w:r>
      <w:r>
        <w:rPr>
          <w:rFonts w:ascii="Times New Roman" w:hAnsi="Times New Roman"/>
          <w:b/>
          <w:bCs/>
          <w:sz w:val="24"/>
          <w:szCs w:val="24"/>
        </w:rPr>
        <w:t>:</w:t>
      </w:r>
      <w:r w:rsidRPr="002051D8" w:rsidR="005C0FF9">
        <w:rPr>
          <w:rFonts w:ascii="Times New Roman" w:hAnsi="Times New Roman"/>
          <w:b/>
          <w:bCs/>
          <w:sz w:val="24"/>
          <w:szCs w:val="24"/>
        </w:rPr>
        <w:t xml:space="preserve">  J</w:t>
      </w:r>
      <w:r w:rsidRPr="002051D8">
        <w:rPr>
          <w:rFonts w:ascii="Times New Roman" w:hAnsi="Times New Roman"/>
          <w:b/>
          <w:bCs/>
          <w:sz w:val="24"/>
          <w:szCs w:val="24"/>
        </w:rPr>
        <w:t>ustification</w:t>
      </w:r>
      <w:bookmarkEnd w:id="1"/>
    </w:p>
    <w:p w:rsidRPr="002051D8" w:rsidR="005C0FF9" w:rsidP="00EB43D0" w:rsidRDefault="005C0FF9" w14:paraId="057BF3F8" w14:textId="77777777">
      <w:pPr>
        <w:numPr>
          <w:ilvl w:val="12"/>
          <w:numId w:val="0"/>
        </w:numPr>
        <w:rPr>
          <w:rFonts w:ascii="Times New Roman" w:hAnsi="Times New Roman"/>
          <w:b/>
          <w:bCs/>
          <w:sz w:val="24"/>
          <w:szCs w:val="24"/>
        </w:rPr>
      </w:pPr>
    </w:p>
    <w:p w:rsidRPr="002051D8" w:rsidR="005C0FF9" w:rsidP="00EB43D0" w:rsidRDefault="005C0FF9" w14:paraId="7F4B167B" w14:textId="77777777">
      <w:pPr>
        <w:numPr>
          <w:ilvl w:val="12"/>
          <w:numId w:val="0"/>
        </w:numPr>
        <w:outlineLvl w:val="2"/>
        <w:rPr>
          <w:rFonts w:ascii="Times New Roman" w:hAnsi="Times New Roman"/>
          <w:b/>
          <w:bCs/>
          <w:sz w:val="24"/>
          <w:szCs w:val="24"/>
          <w:u w:val="single"/>
        </w:rPr>
      </w:pPr>
      <w:bookmarkStart w:name="_Toc239649221" w:id="2"/>
      <w:r w:rsidRPr="002051D8">
        <w:rPr>
          <w:rFonts w:ascii="Times New Roman" w:hAnsi="Times New Roman"/>
          <w:b/>
          <w:bCs/>
          <w:sz w:val="24"/>
          <w:szCs w:val="24"/>
        </w:rPr>
        <w:t xml:space="preserve">1.  </w:t>
      </w:r>
      <w:r w:rsidRPr="002051D8">
        <w:rPr>
          <w:rFonts w:ascii="Times New Roman" w:hAnsi="Times New Roman"/>
          <w:b/>
          <w:bCs/>
          <w:sz w:val="24"/>
          <w:szCs w:val="24"/>
          <w:u w:val="single"/>
        </w:rPr>
        <w:t>Circumstances Making the Collection of Information Necessary</w:t>
      </w:r>
      <w:bookmarkEnd w:id="2"/>
    </w:p>
    <w:p w:rsidRPr="002051D8" w:rsidR="005C0FF9" w:rsidP="00EB43D0" w:rsidRDefault="005C0FF9" w14:paraId="7EAA5F05" w14:textId="77777777">
      <w:pPr>
        <w:numPr>
          <w:ilvl w:val="12"/>
          <w:numId w:val="0"/>
        </w:numPr>
        <w:rPr>
          <w:rFonts w:ascii="Times New Roman" w:hAnsi="Times New Roman"/>
          <w:sz w:val="24"/>
          <w:szCs w:val="24"/>
        </w:rPr>
      </w:pPr>
    </w:p>
    <w:p w:rsidRPr="002E3ECD" w:rsidR="002E3ECD" w:rsidP="002E3ECD" w:rsidRDefault="002E3ECD" w14:paraId="690C4A36" w14:textId="77777777">
      <w:pPr>
        <w:numPr>
          <w:ilvl w:val="12"/>
          <w:numId w:val="0"/>
        </w:numPr>
        <w:ind w:left="270"/>
        <w:rPr>
          <w:rFonts w:ascii="Times New Roman" w:hAnsi="Times New Roman"/>
          <w:sz w:val="24"/>
          <w:szCs w:val="24"/>
        </w:rPr>
      </w:pPr>
      <w:r w:rsidRPr="002E3ECD">
        <w:rPr>
          <w:rFonts w:ascii="Times New Roman" w:hAnsi="Times New Roman"/>
          <w:sz w:val="24"/>
          <w:szCs w:val="24"/>
        </w:rPr>
        <w:t>On June 22, 2009, the Food and Drug Administration (FDA) was granted new authority to regulate the manufacture, marketing, and distribution of tobacco products and educate the public about the dangers of tobacco use. Under the Family Smoking Prevention and Tobacco Control Act (Tobacco Control Act) (P.L. 111-31)</w:t>
      </w:r>
      <w:r w:rsidR="001925F1">
        <w:rPr>
          <w:rFonts w:ascii="Times New Roman" w:hAnsi="Times New Roman"/>
          <w:sz w:val="24"/>
          <w:szCs w:val="24"/>
        </w:rPr>
        <w:t>,</w:t>
      </w:r>
      <w:r w:rsidRPr="002E3ECD">
        <w:rPr>
          <w:rFonts w:ascii="Times New Roman" w:hAnsi="Times New Roman"/>
          <w:sz w:val="24"/>
          <w:szCs w:val="24"/>
        </w:rPr>
        <w:t xml:space="preserve"> FDA is responsible for protecting the public health and reducing tobacco use among minors. Section 1003(d)(2)(D) of the Food, Drug and Cosmetic Act (21 U.S.C. Section 393(d)(2)(D)) and Sections 2, 3, 105, 201, 204, 904, and 908 of the Tobacco Control Act support the development and implementation of FDA public education campaigns related to tobacco use. Accordingly, FDA will implement multi-strategy youth-targeted public education campaigns to reduce the public health burden of tobacco that will consist of general market paid media campaigns, geo-targeted campaigns to reach specific target audiences, community outreach activities, and a comprehensive social media effort.</w:t>
      </w:r>
    </w:p>
    <w:p w:rsidR="002E3ECD" w:rsidP="002E3ECD" w:rsidRDefault="002E3ECD" w14:paraId="1787DC27" w14:textId="77777777">
      <w:pPr>
        <w:numPr>
          <w:ilvl w:val="12"/>
          <w:numId w:val="0"/>
        </w:numPr>
        <w:ind w:left="270"/>
        <w:rPr>
          <w:rFonts w:ascii="Times New Roman" w:hAnsi="Times New Roman"/>
          <w:sz w:val="24"/>
          <w:szCs w:val="24"/>
        </w:rPr>
      </w:pPr>
    </w:p>
    <w:p w:rsidRPr="002E3ECD" w:rsidR="002E3ECD" w:rsidP="002E3ECD" w:rsidRDefault="002E3ECD" w14:paraId="5215722C" w14:textId="77777777">
      <w:pPr>
        <w:numPr>
          <w:ilvl w:val="12"/>
          <w:numId w:val="0"/>
        </w:numPr>
        <w:ind w:left="270"/>
        <w:rPr>
          <w:rFonts w:ascii="Times New Roman" w:hAnsi="Times New Roman"/>
          <w:sz w:val="24"/>
          <w:szCs w:val="24"/>
        </w:rPr>
      </w:pPr>
      <w:r w:rsidRPr="002E3ECD">
        <w:rPr>
          <w:rFonts w:ascii="Times New Roman" w:hAnsi="Times New Roman"/>
          <w:sz w:val="24"/>
          <w:szCs w:val="24"/>
        </w:rPr>
        <w:t>Tobacco use is the leading preventable cause of disease, disability, and death in the United States. More than 480,000 deaths are caused by tobacco use each year in the United States (USDHHS, 2014). Each day, more than 2,600 youth in the United States try their first cigarette, and nearly 600 youth become daily smokers (NSDUH, 2014). The FDA Center for Tobacco Products (CTP) was created to carry out the authorities granted under the 2009 Tobacco Control Act, to educate the public about the dangers of tobacco use and serve as a public health resource for tobacco and health information.</w:t>
      </w:r>
    </w:p>
    <w:p w:rsidR="002E3ECD" w:rsidP="002E3ECD" w:rsidRDefault="002E3ECD" w14:paraId="1BC9F00E" w14:textId="77777777">
      <w:pPr>
        <w:numPr>
          <w:ilvl w:val="12"/>
          <w:numId w:val="0"/>
        </w:numPr>
        <w:ind w:left="270"/>
        <w:rPr>
          <w:rFonts w:ascii="Times New Roman" w:hAnsi="Times New Roman"/>
          <w:sz w:val="24"/>
          <w:szCs w:val="24"/>
        </w:rPr>
      </w:pPr>
    </w:p>
    <w:p w:rsidRPr="002E3ECD" w:rsidR="002E3ECD" w:rsidP="002E3ECD" w:rsidRDefault="002E3ECD" w14:paraId="2D0B1C68" w14:textId="77777777">
      <w:pPr>
        <w:numPr>
          <w:ilvl w:val="12"/>
          <w:numId w:val="0"/>
        </w:numPr>
        <w:ind w:left="270"/>
        <w:rPr>
          <w:rFonts w:ascii="Times New Roman" w:hAnsi="Times New Roman"/>
          <w:sz w:val="24"/>
          <w:szCs w:val="24"/>
        </w:rPr>
      </w:pPr>
      <w:r w:rsidRPr="0046443E">
        <w:rPr>
          <w:rFonts w:ascii="Times New Roman" w:hAnsi="Times New Roman"/>
          <w:sz w:val="24"/>
          <w:szCs w:val="24"/>
        </w:rPr>
        <w:t>Through CTP, FDA researches, develops, and distributes information about tobacco and health to the public, professionals, various branches of government, and other interested groups nationwide using a wide array of formats and media channels. FDA will implement youth tobacco prevention campaigns</w:t>
      </w:r>
      <w:r w:rsidRPr="0046443E" w:rsidR="009C7D78">
        <w:rPr>
          <w:rFonts w:ascii="Times New Roman" w:hAnsi="Times New Roman"/>
          <w:sz w:val="24"/>
          <w:szCs w:val="24"/>
        </w:rPr>
        <w:t xml:space="preserve"> as well as adult tobacco cessation and health information campaigns</w:t>
      </w:r>
      <w:r w:rsidRPr="0046443E">
        <w:rPr>
          <w:rFonts w:ascii="Times New Roman" w:hAnsi="Times New Roman"/>
          <w:sz w:val="24"/>
          <w:szCs w:val="24"/>
        </w:rPr>
        <w:t>, which are currently under development and will include evidence-based paid media advertising that highlights the negative health consequences of tobacco use. The objective of the proposed data collection is to measure the effectiveness of tobacco-related facts among youth aged 13 to 17 who have either experimented with smoking or are at risk of experimenting with smoking</w:t>
      </w:r>
      <w:r w:rsidRPr="0046443E" w:rsidR="009C7D78">
        <w:rPr>
          <w:rFonts w:ascii="Times New Roman" w:hAnsi="Times New Roman"/>
          <w:sz w:val="24"/>
          <w:szCs w:val="24"/>
        </w:rPr>
        <w:t xml:space="preserve"> and adults aged 18-54 who are current or former tobacco users</w:t>
      </w:r>
      <w:r w:rsidRPr="0046443E">
        <w:rPr>
          <w:rFonts w:ascii="Times New Roman" w:hAnsi="Times New Roman"/>
          <w:sz w:val="24"/>
          <w:szCs w:val="24"/>
        </w:rPr>
        <w:t>.</w:t>
      </w:r>
      <w:r w:rsidRPr="002E3ECD">
        <w:rPr>
          <w:rFonts w:ascii="Times New Roman" w:hAnsi="Times New Roman"/>
          <w:sz w:val="24"/>
          <w:szCs w:val="24"/>
        </w:rPr>
        <w:t xml:space="preserve"> </w:t>
      </w:r>
    </w:p>
    <w:p w:rsidR="002E3ECD" w:rsidP="002E3ECD" w:rsidRDefault="002E3ECD" w14:paraId="1E4D9B06" w14:textId="77777777">
      <w:pPr>
        <w:numPr>
          <w:ilvl w:val="12"/>
          <w:numId w:val="0"/>
        </w:numPr>
        <w:ind w:left="270"/>
        <w:rPr>
          <w:rFonts w:ascii="Times New Roman" w:hAnsi="Times New Roman"/>
          <w:sz w:val="24"/>
          <w:szCs w:val="24"/>
        </w:rPr>
      </w:pPr>
    </w:p>
    <w:p w:rsidRPr="002E3ECD" w:rsidR="002E3ECD" w:rsidP="002E3ECD" w:rsidRDefault="002E3ECD" w14:paraId="2240F578" w14:textId="248C97CF">
      <w:pPr>
        <w:numPr>
          <w:ilvl w:val="12"/>
          <w:numId w:val="0"/>
        </w:numPr>
        <w:ind w:left="270"/>
        <w:rPr>
          <w:rFonts w:ascii="Times New Roman" w:hAnsi="Times New Roman"/>
          <w:sz w:val="24"/>
          <w:szCs w:val="24"/>
        </w:rPr>
      </w:pPr>
      <w:r w:rsidRPr="002E3ECD">
        <w:rPr>
          <w:rFonts w:ascii="Times New Roman" w:hAnsi="Times New Roman"/>
          <w:sz w:val="24"/>
          <w:szCs w:val="24"/>
        </w:rPr>
        <w:t>This study is designed to measure youth</w:t>
      </w:r>
      <w:r w:rsidR="00613556">
        <w:rPr>
          <w:rFonts w:ascii="Times New Roman" w:hAnsi="Times New Roman"/>
          <w:sz w:val="24"/>
          <w:szCs w:val="24"/>
        </w:rPr>
        <w:t xml:space="preserve"> and adult </w:t>
      </w:r>
      <w:r w:rsidRPr="002E3ECD">
        <w:rPr>
          <w:rFonts w:ascii="Times New Roman" w:hAnsi="Times New Roman"/>
          <w:sz w:val="24"/>
          <w:szCs w:val="24"/>
        </w:rPr>
        <w:t>perceptions of various tobacco-related facts</w:t>
      </w:r>
      <w:r w:rsidR="00613556">
        <w:rPr>
          <w:rFonts w:ascii="Times New Roman" w:hAnsi="Times New Roman"/>
          <w:sz w:val="24"/>
          <w:szCs w:val="24"/>
        </w:rPr>
        <w:t xml:space="preserve"> and messages</w:t>
      </w:r>
      <w:r w:rsidRPr="002E3ECD">
        <w:rPr>
          <w:rFonts w:ascii="Times New Roman" w:hAnsi="Times New Roman"/>
          <w:sz w:val="24"/>
          <w:szCs w:val="24"/>
        </w:rPr>
        <w:t>. The study will be conducted using web-based surveys that are self-administered on personal computers</w:t>
      </w:r>
      <w:r w:rsidR="00DF6C2B">
        <w:rPr>
          <w:rFonts w:ascii="Times New Roman" w:hAnsi="Times New Roman"/>
          <w:sz w:val="24"/>
          <w:szCs w:val="24"/>
        </w:rPr>
        <w:t xml:space="preserve"> or mobile devices</w:t>
      </w:r>
      <w:r w:rsidRPr="002E3ECD">
        <w:rPr>
          <w:rFonts w:ascii="Times New Roman" w:hAnsi="Times New Roman"/>
          <w:sz w:val="24"/>
          <w:szCs w:val="24"/>
        </w:rPr>
        <w:t xml:space="preserve">. The study will use an online survey to target approximately </w:t>
      </w:r>
      <w:r w:rsidR="009C7D78">
        <w:rPr>
          <w:rFonts w:ascii="Times New Roman" w:hAnsi="Times New Roman"/>
          <w:sz w:val="24"/>
          <w:szCs w:val="24"/>
        </w:rPr>
        <w:t>5</w:t>
      </w:r>
      <w:r w:rsidR="00613556">
        <w:rPr>
          <w:rFonts w:ascii="Times New Roman" w:hAnsi="Times New Roman"/>
          <w:sz w:val="24"/>
          <w:szCs w:val="24"/>
        </w:rPr>
        <w:t>,500</w:t>
      </w:r>
      <w:r w:rsidRPr="002E3ECD">
        <w:rPr>
          <w:rFonts w:ascii="Times New Roman" w:hAnsi="Times New Roman"/>
          <w:sz w:val="24"/>
          <w:szCs w:val="24"/>
        </w:rPr>
        <w:t xml:space="preserve"> youth who are 13-17 years old, and who have experimented with </w:t>
      </w:r>
      <w:r w:rsidR="00DF6C2B">
        <w:rPr>
          <w:rFonts w:ascii="Times New Roman" w:hAnsi="Times New Roman"/>
          <w:sz w:val="24"/>
          <w:szCs w:val="24"/>
        </w:rPr>
        <w:t xml:space="preserve">tobacco products </w:t>
      </w:r>
      <w:r w:rsidRPr="002E3ECD">
        <w:rPr>
          <w:rFonts w:ascii="Times New Roman" w:hAnsi="Times New Roman"/>
          <w:sz w:val="24"/>
          <w:szCs w:val="24"/>
        </w:rPr>
        <w:t xml:space="preserve">or who are at risk of experimenting with </w:t>
      </w:r>
      <w:r w:rsidR="00DF6C2B">
        <w:rPr>
          <w:rFonts w:ascii="Times New Roman" w:hAnsi="Times New Roman"/>
          <w:sz w:val="24"/>
          <w:szCs w:val="24"/>
        </w:rPr>
        <w:t>tobacco products</w:t>
      </w:r>
      <w:r w:rsidRPr="002E3ECD">
        <w:rPr>
          <w:rFonts w:ascii="Times New Roman" w:hAnsi="Times New Roman"/>
          <w:sz w:val="24"/>
          <w:szCs w:val="24"/>
        </w:rPr>
        <w:t xml:space="preserve">. </w:t>
      </w:r>
      <w:r w:rsidR="00613556">
        <w:rPr>
          <w:rFonts w:ascii="Times New Roman" w:hAnsi="Times New Roman"/>
          <w:sz w:val="24"/>
          <w:szCs w:val="24"/>
        </w:rPr>
        <w:t xml:space="preserve">Additional facts and messaging will also be tested with </w:t>
      </w:r>
      <w:r w:rsidR="009C7D78">
        <w:rPr>
          <w:rFonts w:ascii="Times New Roman" w:hAnsi="Times New Roman"/>
          <w:sz w:val="24"/>
          <w:szCs w:val="24"/>
        </w:rPr>
        <w:t>5</w:t>
      </w:r>
      <w:r w:rsidR="00613556">
        <w:rPr>
          <w:rFonts w:ascii="Times New Roman" w:hAnsi="Times New Roman"/>
          <w:sz w:val="24"/>
          <w:szCs w:val="24"/>
        </w:rPr>
        <w:t>,500 adult current and former tobacco users ages 18-54.</w:t>
      </w:r>
      <w:r w:rsidRPr="002E3ECD">
        <w:rPr>
          <w:rFonts w:ascii="Times New Roman" w:hAnsi="Times New Roman"/>
          <w:sz w:val="24"/>
          <w:szCs w:val="24"/>
        </w:rPr>
        <w:t xml:space="preserve"> This study will aim to learn about opinions of </w:t>
      </w:r>
      <w:r w:rsidR="00DF6C2B">
        <w:rPr>
          <w:rFonts w:ascii="Times New Roman" w:hAnsi="Times New Roman"/>
          <w:sz w:val="24"/>
          <w:szCs w:val="24"/>
        </w:rPr>
        <w:t xml:space="preserve">tobacco product education messaging, </w:t>
      </w:r>
      <w:r w:rsidRPr="002E3ECD">
        <w:rPr>
          <w:rFonts w:ascii="Times New Roman" w:hAnsi="Times New Roman"/>
          <w:sz w:val="24"/>
          <w:szCs w:val="24"/>
        </w:rPr>
        <w:t>tobacco-related facts</w:t>
      </w:r>
      <w:r w:rsidR="00DF6C2B">
        <w:rPr>
          <w:rFonts w:ascii="Times New Roman" w:hAnsi="Times New Roman"/>
          <w:sz w:val="24"/>
          <w:szCs w:val="24"/>
        </w:rPr>
        <w:t xml:space="preserve"> and tobacco related knowledge, attitudes and beliefs (KABs)</w:t>
      </w:r>
      <w:r w:rsidRPr="002E3ECD">
        <w:rPr>
          <w:rFonts w:ascii="Times New Roman" w:hAnsi="Times New Roman"/>
          <w:sz w:val="24"/>
          <w:szCs w:val="24"/>
        </w:rPr>
        <w:t xml:space="preserve">.  </w:t>
      </w:r>
    </w:p>
    <w:p w:rsidR="002E3ECD" w:rsidP="002E3ECD" w:rsidRDefault="002E3ECD" w14:paraId="3115D097" w14:textId="77777777">
      <w:pPr>
        <w:numPr>
          <w:ilvl w:val="12"/>
          <w:numId w:val="0"/>
        </w:numPr>
        <w:ind w:left="270"/>
        <w:rPr>
          <w:rFonts w:ascii="Times New Roman" w:hAnsi="Times New Roman"/>
          <w:sz w:val="24"/>
          <w:szCs w:val="24"/>
        </w:rPr>
      </w:pPr>
    </w:p>
    <w:p w:rsidR="00B70035" w:rsidP="00B70035" w:rsidRDefault="00613556" w14:paraId="2CEFFC16" w14:textId="40F264F4">
      <w:pPr>
        <w:numPr>
          <w:ilvl w:val="12"/>
          <w:numId w:val="0"/>
        </w:numPr>
        <w:ind w:left="270"/>
        <w:rPr>
          <w:rFonts w:ascii="Times New Roman" w:hAnsi="Times New Roman"/>
          <w:sz w:val="24"/>
          <w:szCs w:val="24"/>
        </w:rPr>
      </w:pPr>
      <w:r>
        <w:rPr>
          <w:rFonts w:ascii="Times New Roman" w:hAnsi="Times New Roman"/>
          <w:sz w:val="24"/>
          <w:szCs w:val="24"/>
        </w:rPr>
        <w:t xml:space="preserve">Adult participants will be recruited via existing </w:t>
      </w:r>
      <w:r w:rsidR="00B70035">
        <w:rPr>
          <w:rFonts w:ascii="Times New Roman" w:hAnsi="Times New Roman"/>
          <w:sz w:val="24"/>
          <w:szCs w:val="24"/>
        </w:rPr>
        <w:t xml:space="preserve">panels. An introductory email will be sent inviting them to participate </w:t>
      </w:r>
      <w:r w:rsidRPr="002E3ECD" w:rsidR="00B70035">
        <w:rPr>
          <w:rFonts w:ascii="Times New Roman" w:hAnsi="Times New Roman"/>
          <w:sz w:val="24"/>
          <w:szCs w:val="24"/>
        </w:rPr>
        <w:t xml:space="preserve">in the study and requesting their </w:t>
      </w:r>
      <w:r w:rsidR="00B70035">
        <w:rPr>
          <w:rFonts w:ascii="Times New Roman" w:hAnsi="Times New Roman"/>
          <w:sz w:val="24"/>
          <w:szCs w:val="24"/>
        </w:rPr>
        <w:t>consent</w:t>
      </w:r>
      <w:r w:rsidRPr="002E3ECD" w:rsidR="00B70035">
        <w:rPr>
          <w:rFonts w:ascii="Times New Roman" w:hAnsi="Times New Roman"/>
          <w:sz w:val="24"/>
          <w:szCs w:val="24"/>
        </w:rPr>
        <w:t xml:space="preserve"> (Attachment </w:t>
      </w:r>
      <w:r w:rsidR="00B70035">
        <w:rPr>
          <w:rFonts w:ascii="Times New Roman" w:hAnsi="Times New Roman"/>
          <w:sz w:val="24"/>
          <w:szCs w:val="24"/>
        </w:rPr>
        <w:t>C</w:t>
      </w:r>
      <w:r w:rsidR="00FC2AF0">
        <w:rPr>
          <w:rFonts w:ascii="Times New Roman" w:hAnsi="Times New Roman"/>
          <w:sz w:val="24"/>
          <w:szCs w:val="24"/>
        </w:rPr>
        <w:t>/A1</w:t>
      </w:r>
      <w:r w:rsidRPr="002E3ECD" w:rsidR="00B70035">
        <w:rPr>
          <w:rFonts w:ascii="Times New Roman" w:hAnsi="Times New Roman"/>
          <w:sz w:val="24"/>
          <w:szCs w:val="24"/>
        </w:rPr>
        <w:t>).  If the</w:t>
      </w:r>
      <w:r w:rsidR="00B70035">
        <w:rPr>
          <w:rFonts w:ascii="Times New Roman" w:hAnsi="Times New Roman"/>
          <w:sz w:val="24"/>
          <w:szCs w:val="24"/>
        </w:rPr>
        <w:t>y</w:t>
      </w:r>
      <w:r w:rsidRPr="002E3ECD" w:rsidR="00B70035">
        <w:rPr>
          <w:rFonts w:ascii="Times New Roman" w:hAnsi="Times New Roman"/>
          <w:sz w:val="24"/>
          <w:szCs w:val="24"/>
        </w:rPr>
        <w:t xml:space="preserve"> </w:t>
      </w:r>
      <w:r w:rsidR="00B70035">
        <w:rPr>
          <w:rFonts w:ascii="Times New Roman" w:hAnsi="Times New Roman"/>
          <w:sz w:val="24"/>
          <w:szCs w:val="24"/>
        </w:rPr>
        <w:t>con</w:t>
      </w:r>
      <w:r w:rsidRPr="002E3ECD" w:rsidR="00B70035">
        <w:rPr>
          <w:rFonts w:ascii="Times New Roman" w:hAnsi="Times New Roman"/>
          <w:sz w:val="24"/>
          <w:szCs w:val="24"/>
        </w:rPr>
        <w:t xml:space="preserve">sent, they will be redirected to the online screener (Attachment </w:t>
      </w:r>
      <w:r w:rsidR="008F5741">
        <w:rPr>
          <w:rFonts w:ascii="Times New Roman" w:hAnsi="Times New Roman"/>
          <w:sz w:val="24"/>
          <w:szCs w:val="24"/>
        </w:rPr>
        <w:t>E</w:t>
      </w:r>
      <w:r w:rsidRPr="002E3ECD" w:rsidR="00B70035">
        <w:rPr>
          <w:rFonts w:ascii="Times New Roman" w:hAnsi="Times New Roman"/>
          <w:sz w:val="24"/>
          <w:szCs w:val="24"/>
        </w:rPr>
        <w:t xml:space="preserve">). If they qualify to participate in the study, they will begin the survey (Attachment </w:t>
      </w:r>
      <w:r w:rsidR="008F5741">
        <w:rPr>
          <w:rFonts w:ascii="Times New Roman" w:hAnsi="Times New Roman"/>
          <w:sz w:val="24"/>
          <w:szCs w:val="24"/>
        </w:rPr>
        <w:t>G</w:t>
      </w:r>
      <w:r w:rsidRPr="002E3ECD" w:rsidR="00B70035">
        <w:rPr>
          <w:rFonts w:ascii="Times New Roman" w:hAnsi="Times New Roman"/>
          <w:sz w:val="24"/>
          <w:szCs w:val="24"/>
        </w:rPr>
        <w:t xml:space="preserve">).  </w:t>
      </w:r>
    </w:p>
    <w:p w:rsidRPr="002E3ECD" w:rsidR="00B70035" w:rsidP="00B70035" w:rsidRDefault="00B70035" w14:paraId="0DA6998F" w14:textId="77777777">
      <w:pPr>
        <w:numPr>
          <w:ilvl w:val="12"/>
          <w:numId w:val="0"/>
        </w:numPr>
        <w:ind w:left="270"/>
        <w:rPr>
          <w:rFonts w:ascii="Times New Roman" w:hAnsi="Times New Roman"/>
          <w:sz w:val="24"/>
          <w:szCs w:val="24"/>
        </w:rPr>
      </w:pPr>
    </w:p>
    <w:p w:rsidRPr="002E3ECD" w:rsidR="002E3ECD" w:rsidP="002E3ECD" w:rsidRDefault="009C7D78" w14:paraId="4B5DB3F4" w14:textId="10377ABB">
      <w:pPr>
        <w:numPr>
          <w:ilvl w:val="12"/>
          <w:numId w:val="0"/>
        </w:numPr>
        <w:ind w:left="270"/>
        <w:rPr>
          <w:rFonts w:ascii="Times New Roman" w:hAnsi="Times New Roman"/>
          <w:sz w:val="24"/>
          <w:szCs w:val="24"/>
        </w:rPr>
      </w:pPr>
      <w:r>
        <w:rPr>
          <w:rFonts w:ascii="Times New Roman" w:hAnsi="Times New Roman"/>
          <w:sz w:val="24"/>
          <w:szCs w:val="24"/>
        </w:rPr>
        <w:t>Adult and y</w:t>
      </w:r>
      <w:r w:rsidR="00B70035">
        <w:rPr>
          <w:rFonts w:ascii="Times New Roman" w:hAnsi="Times New Roman"/>
          <w:sz w:val="24"/>
          <w:szCs w:val="24"/>
        </w:rPr>
        <w:t>outh p</w:t>
      </w:r>
      <w:r w:rsidRPr="002E3ECD" w:rsidR="002E3ECD">
        <w:rPr>
          <w:rFonts w:ascii="Times New Roman" w:hAnsi="Times New Roman"/>
          <w:sz w:val="24"/>
          <w:szCs w:val="24"/>
        </w:rPr>
        <w:t xml:space="preserve">articipants will be recruited through </w:t>
      </w:r>
      <w:r w:rsidR="00DF6C2B">
        <w:rPr>
          <w:rFonts w:ascii="Times New Roman" w:hAnsi="Times New Roman"/>
          <w:sz w:val="24"/>
          <w:szCs w:val="24"/>
        </w:rPr>
        <w:t xml:space="preserve">an </w:t>
      </w:r>
      <w:r w:rsidRPr="002E3ECD" w:rsidR="002E3ECD">
        <w:rPr>
          <w:rFonts w:ascii="Times New Roman" w:hAnsi="Times New Roman"/>
          <w:sz w:val="24"/>
          <w:szCs w:val="24"/>
        </w:rPr>
        <w:t xml:space="preserve">existing </w:t>
      </w:r>
      <w:r w:rsidR="00DF6C2B">
        <w:rPr>
          <w:rFonts w:ascii="Times New Roman" w:hAnsi="Times New Roman"/>
          <w:sz w:val="24"/>
          <w:szCs w:val="24"/>
        </w:rPr>
        <w:t>p</w:t>
      </w:r>
      <w:r w:rsidRPr="002E3ECD" w:rsidR="002E3ECD">
        <w:rPr>
          <w:rFonts w:ascii="Times New Roman" w:hAnsi="Times New Roman"/>
          <w:sz w:val="24"/>
          <w:szCs w:val="24"/>
        </w:rPr>
        <w:t>anel of</w:t>
      </w:r>
      <w:r w:rsidR="00DF6C2B">
        <w:rPr>
          <w:rFonts w:ascii="Times New Roman" w:hAnsi="Times New Roman"/>
          <w:sz w:val="24"/>
          <w:szCs w:val="24"/>
        </w:rPr>
        <w:t xml:space="preserve"> </w:t>
      </w:r>
      <w:r w:rsidRPr="002E3ECD" w:rsidR="002E3ECD">
        <w:rPr>
          <w:rFonts w:ascii="Times New Roman" w:hAnsi="Times New Roman"/>
          <w:sz w:val="24"/>
          <w:szCs w:val="24"/>
        </w:rPr>
        <w:t>adults</w:t>
      </w:r>
      <w:r>
        <w:rPr>
          <w:rFonts w:ascii="Times New Roman" w:hAnsi="Times New Roman"/>
          <w:sz w:val="24"/>
          <w:szCs w:val="24"/>
        </w:rPr>
        <w:t>, including adults</w:t>
      </w:r>
      <w:r w:rsidRPr="002E3ECD" w:rsidR="002E3ECD">
        <w:rPr>
          <w:rFonts w:ascii="Times New Roman" w:hAnsi="Times New Roman"/>
          <w:sz w:val="24"/>
          <w:szCs w:val="24"/>
        </w:rPr>
        <w:t xml:space="preserve"> with children ages 13-17 who have been prescreened for their willingness for their child to participate in online surveys.</w:t>
      </w:r>
      <w:r w:rsidR="008F5741">
        <w:rPr>
          <w:rFonts w:ascii="Times New Roman" w:hAnsi="Times New Roman"/>
          <w:sz w:val="24"/>
          <w:szCs w:val="24"/>
        </w:rPr>
        <w:t xml:space="preserve"> </w:t>
      </w:r>
      <w:r>
        <w:rPr>
          <w:rFonts w:ascii="Times New Roman" w:hAnsi="Times New Roman"/>
          <w:sz w:val="24"/>
          <w:szCs w:val="24"/>
        </w:rPr>
        <w:t>For adult recruitment, a</w:t>
      </w:r>
      <w:r w:rsidRPr="002E3ECD" w:rsidR="002E3ECD">
        <w:rPr>
          <w:rFonts w:ascii="Times New Roman" w:hAnsi="Times New Roman"/>
          <w:sz w:val="24"/>
          <w:szCs w:val="24"/>
        </w:rPr>
        <w:t>dult panelists will receive an initial email invitation</w:t>
      </w:r>
      <w:r>
        <w:rPr>
          <w:rFonts w:ascii="Times New Roman" w:hAnsi="Times New Roman"/>
          <w:sz w:val="24"/>
          <w:szCs w:val="24"/>
        </w:rPr>
        <w:t xml:space="preserve">. </w:t>
      </w:r>
      <w:r w:rsidR="008F5741">
        <w:rPr>
          <w:rFonts w:ascii="Times New Roman" w:hAnsi="Times New Roman"/>
          <w:sz w:val="24"/>
          <w:szCs w:val="24"/>
        </w:rPr>
        <w:t xml:space="preserve"> </w:t>
      </w:r>
      <w:r>
        <w:rPr>
          <w:rFonts w:ascii="Times New Roman" w:hAnsi="Times New Roman"/>
          <w:sz w:val="24"/>
          <w:szCs w:val="24"/>
        </w:rPr>
        <w:t xml:space="preserve">For youth recruitment, adults will also receive </w:t>
      </w:r>
      <w:r w:rsidR="00EC6B53">
        <w:rPr>
          <w:rFonts w:ascii="Times New Roman" w:hAnsi="Times New Roman"/>
          <w:sz w:val="24"/>
          <w:szCs w:val="24"/>
        </w:rPr>
        <w:t>a</w:t>
      </w:r>
      <w:r w:rsidR="00FC2AF0">
        <w:rPr>
          <w:rFonts w:ascii="Times New Roman" w:hAnsi="Times New Roman"/>
          <w:sz w:val="24"/>
          <w:szCs w:val="24"/>
        </w:rPr>
        <w:t>n email and</w:t>
      </w:r>
      <w:r w:rsidR="008F5741">
        <w:rPr>
          <w:rFonts w:ascii="Times New Roman" w:hAnsi="Times New Roman"/>
          <w:sz w:val="24"/>
          <w:szCs w:val="24"/>
        </w:rPr>
        <w:t xml:space="preserve"> parental notification and opt-out form </w:t>
      </w:r>
      <w:r w:rsidR="00DF6C2B">
        <w:rPr>
          <w:rFonts w:ascii="Times New Roman" w:hAnsi="Times New Roman"/>
          <w:sz w:val="24"/>
          <w:szCs w:val="24"/>
        </w:rPr>
        <w:t xml:space="preserve">that </w:t>
      </w:r>
      <w:r w:rsidRPr="002E3ECD" w:rsidR="002E3ECD">
        <w:rPr>
          <w:rFonts w:ascii="Times New Roman" w:hAnsi="Times New Roman"/>
          <w:sz w:val="24"/>
          <w:szCs w:val="24"/>
        </w:rPr>
        <w:t>indicates their child has been invited to participate in a new survey (Attachment A</w:t>
      </w:r>
      <w:r w:rsidR="00FC2AF0">
        <w:rPr>
          <w:rFonts w:ascii="Times New Roman" w:hAnsi="Times New Roman"/>
          <w:sz w:val="24"/>
          <w:szCs w:val="24"/>
        </w:rPr>
        <w:t>/A1</w:t>
      </w:r>
      <w:r w:rsidR="008F5741">
        <w:rPr>
          <w:rFonts w:ascii="Times New Roman" w:hAnsi="Times New Roman"/>
          <w:sz w:val="24"/>
          <w:szCs w:val="24"/>
        </w:rPr>
        <w:t>)</w:t>
      </w:r>
      <w:r w:rsidRPr="002E3ECD" w:rsidR="002E3ECD">
        <w:rPr>
          <w:rFonts w:ascii="Times New Roman" w:hAnsi="Times New Roman"/>
          <w:sz w:val="24"/>
          <w:szCs w:val="24"/>
        </w:rPr>
        <w:t>.</w:t>
      </w:r>
      <w:r w:rsidR="00EC6B53">
        <w:rPr>
          <w:rFonts w:ascii="Times New Roman" w:hAnsi="Times New Roman"/>
          <w:sz w:val="24"/>
          <w:szCs w:val="24"/>
        </w:rPr>
        <w:t xml:space="preserve"> </w:t>
      </w:r>
      <w:r w:rsidR="0046443E">
        <w:rPr>
          <w:rFonts w:ascii="Times New Roman" w:hAnsi="Times New Roman"/>
          <w:sz w:val="24"/>
          <w:szCs w:val="24"/>
        </w:rPr>
        <w:t>Youth whose parents do not opt-out will then be sent a study</w:t>
      </w:r>
      <w:r w:rsidRPr="002E3ECD" w:rsidR="002E3ECD">
        <w:rPr>
          <w:rFonts w:ascii="Times New Roman" w:hAnsi="Times New Roman"/>
          <w:sz w:val="24"/>
          <w:szCs w:val="24"/>
        </w:rPr>
        <w:t xml:space="preserve"> assent</w:t>
      </w:r>
      <w:r w:rsidR="0046443E">
        <w:rPr>
          <w:rFonts w:ascii="Times New Roman" w:hAnsi="Times New Roman"/>
          <w:sz w:val="24"/>
          <w:szCs w:val="24"/>
        </w:rPr>
        <w:t xml:space="preserve"> form</w:t>
      </w:r>
      <w:r w:rsidRPr="002E3ECD" w:rsidR="002E3ECD">
        <w:rPr>
          <w:rFonts w:ascii="Times New Roman" w:hAnsi="Times New Roman"/>
          <w:sz w:val="24"/>
          <w:szCs w:val="24"/>
        </w:rPr>
        <w:t xml:space="preserve"> (Attachment </w:t>
      </w:r>
      <w:r w:rsidR="008F5741">
        <w:rPr>
          <w:rFonts w:ascii="Times New Roman" w:hAnsi="Times New Roman"/>
          <w:sz w:val="24"/>
          <w:szCs w:val="24"/>
        </w:rPr>
        <w:t>B</w:t>
      </w:r>
      <w:r w:rsidRPr="002E3ECD" w:rsidR="002E3ECD">
        <w:rPr>
          <w:rFonts w:ascii="Times New Roman" w:hAnsi="Times New Roman"/>
          <w:sz w:val="24"/>
          <w:szCs w:val="24"/>
        </w:rPr>
        <w:t>).</w:t>
      </w:r>
      <w:r w:rsidR="008F5741">
        <w:rPr>
          <w:rFonts w:ascii="Times New Roman" w:hAnsi="Times New Roman"/>
          <w:sz w:val="24"/>
          <w:szCs w:val="24"/>
        </w:rPr>
        <w:t xml:space="preserve"> </w:t>
      </w:r>
      <w:r w:rsidRPr="002E3ECD" w:rsidR="002E3ECD">
        <w:rPr>
          <w:rFonts w:ascii="Times New Roman" w:hAnsi="Times New Roman"/>
          <w:sz w:val="24"/>
          <w:szCs w:val="24"/>
        </w:rPr>
        <w:t xml:space="preserve">If the youth gives their assent, they will be redirected to the online screener (Attachment </w:t>
      </w:r>
      <w:r w:rsidR="00435EC7">
        <w:rPr>
          <w:rFonts w:ascii="Times New Roman" w:hAnsi="Times New Roman"/>
          <w:sz w:val="24"/>
          <w:szCs w:val="24"/>
        </w:rPr>
        <w:t>D</w:t>
      </w:r>
      <w:r w:rsidRPr="002E3ECD" w:rsidR="002E3ECD">
        <w:rPr>
          <w:rFonts w:ascii="Times New Roman" w:hAnsi="Times New Roman"/>
          <w:sz w:val="24"/>
          <w:szCs w:val="24"/>
        </w:rPr>
        <w:t xml:space="preserve">). If they qualify to participate in the study, they will begin the survey (Attachment </w:t>
      </w:r>
      <w:r w:rsidR="008F5741">
        <w:rPr>
          <w:rFonts w:ascii="Times New Roman" w:hAnsi="Times New Roman"/>
          <w:sz w:val="24"/>
          <w:szCs w:val="24"/>
        </w:rPr>
        <w:t>F</w:t>
      </w:r>
      <w:r w:rsidRPr="002E3ECD" w:rsidR="002E3ECD">
        <w:rPr>
          <w:rFonts w:ascii="Times New Roman" w:hAnsi="Times New Roman"/>
          <w:sz w:val="24"/>
          <w:szCs w:val="24"/>
        </w:rPr>
        <w:t xml:space="preserve">).  </w:t>
      </w:r>
    </w:p>
    <w:p w:rsidR="002E3ECD" w:rsidP="002E3ECD" w:rsidRDefault="002E3ECD" w14:paraId="64CD6989" w14:textId="77777777">
      <w:pPr>
        <w:numPr>
          <w:ilvl w:val="12"/>
          <w:numId w:val="0"/>
        </w:numPr>
        <w:ind w:left="270"/>
        <w:rPr>
          <w:rFonts w:ascii="Times New Roman" w:hAnsi="Times New Roman"/>
          <w:sz w:val="24"/>
          <w:szCs w:val="24"/>
        </w:rPr>
      </w:pPr>
    </w:p>
    <w:p w:rsidRPr="002051D8" w:rsidR="00654117" w:rsidP="002E3ECD" w:rsidRDefault="002E3ECD" w14:paraId="37569B11" w14:textId="77777777">
      <w:pPr>
        <w:numPr>
          <w:ilvl w:val="12"/>
          <w:numId w:val="0"/>
        </w:numPr>
        <w:ind w:left="270"/>
        <w:rPr>
          <w:rFonts w:ascii="Times New Roman" w:hAnsi="Times New Roman"/>
          <w:sz w:val="24"/>
          <w:szCs w:val="24"/>
        </w:rPr>
      </w:pPr>
      <w:r w:rsidRPr="002E3ECD">
        <w:rPr>
          <w:rFonts w:ascii="Times New Roman" w:hAnsi="Times New Roman"/>
          <w:sz w:val="24"/>
          <w:szCs w:val="24"/>
        </w:rPr>
        <w:t xml:space="preserve">We anticipate data collection to take </w:t>
      </w:r>
      <w:r w:rsidR="00DF6C2B">
        <w:rPr>
          <w:rFonts w:ascii="Times New Roman" w:hAnsi="Times New Roman"/>
          <w:sz w:val="24"/>
          <w:szCs w:val="24"/>
        </w:rPr>
        <w:t xml:space="preserve">place </w:t>
      </w:r>
      <w:r w:rsidRPr="008F5741" w:rsidR="00DF6C2B">
        <w:rPr>
          <w:rFonts w:ascii="Times New Roman" w:hAnsi="Times New Roman"/>
          <w:sz w:val="24"/>
          <w:szCs w:val="24"/>
        </w:rPr>
        <w:t>over 2 years</w:t>
      </w:r>
      <w:r w:rsidRPr="008F5741">
        <w:rPr>
          <w:rFonts w:ascii="Times New Roman" w:hAnsi="Times New Roman"/>
          <w:sz w:val="24"/>
          <w:szCs w:val="24"/>
        </w:rPr>
        <w:t>. The</w:t>
      </w:r>
      <w:r w:rsidRPr="002E3ECD">
        <w:rPr>
          <w:rFonts w:ascii="Times New Roman" w:hAnsi="Times New Roman"/>
          <w:sz w:val="24"/>
          <w:szCs w:val="24"/>
        </w:rPr>
        <w:t xml:space="preserve"> outcome of the survey will be an understanding of </w:t>
      </w:r>
      <w:r w:rsidR="00B70035">
        <w:rPr>
          <w:rFonts w:ascii="Times New Roman" w:hAnsi="Times New Roman"/>
          <w:sz w:val="24"/>
          <w:szCs w:val="24"/>
        </w:rPr>
        <w:t>youth and adult</w:t>
      </w:r>
      <w:r w:rsidRPr="002E3ECD">
        <w:rPr>
          <w:rFonts w:ascii="Times New Roman" w:hAnsi="Times New Roman"/>
          <w:sz w:val="24"/>
          <w:szCs w:val="24"/>
        </w:rPr>
        <w:t xml:space="preserve"> re</w:t>
      </w:r>
      <w:r w:rsidR="00B70035">
        <w:rPr>
          <w:rFonts w:ascii="Times New Roman" w:hAnsi="Times New Roman"/>
          <w:sz w:val="24"/>
          <w:szCs w:val="24"/>
        </w:rPr>
        <w:t>actions</w:t>
      </w:r>
      <w:r w:rsidRPr="002E3ECD">
        <w:rPr>
          <w:rFonts w:ascii="Times New Roman" w:hAnsi="Times New Roman"/>
          <w:sz w:val="24"/>
          <w:szCs w:val="24"/>
        </w:rPr>
        <w:t xml:space="preserve"> to various tobacco-related </w:t>
      </w:r>
      <w:r w:rsidR="00DF6C2B">
        <w:rPr>
          <w:rFonts w:ascii="Times New Roman" w:hAnsi="Times New Roman"/>
          <w:sz w:val="24"/>
          <w:szCs w:val="24"/>
        </w:rPr>
        <w:t xml:space="preserve">messages, </w:t>
      </w:r>
      <w:r w:rsidRPr="002E3ECD">
        <w:rPr>
          <w:rFonts w:ascii="Times New Roman" w:hAnsi="Times New Roman"/>
          <w:sz w:val="24"/>
          <w:szCs w:val="24"/>
        </w:rPr>
        <w:t>facts</w:t>
      </w:r>
      <w:r w:rsidR="00DF6C2B">
        <w:rPr>
          <w:rFonts w:ascii="Times New Roman" w:hAnsi="Times New Roman"/>
          <w:sz w:val="24"/>
          <w:szCs w:val="24"/>
        </w:rPr>
        <w:t xml:space="preserve"> and KABs</w:t>
      </w:r>
      <w:r w:rsidRPr="002E3ECD">
        <w:rPr>
          <w:rFonts w:ascii="Times New Roman" w:hAnsi="Times New Roman"/>
          <w:sz w:val="24"/>
          <w:szCs w:val="24"/>
        </w:rPr>
        <w:t>.  Understanding</w:t>
      </w:r>
      <w:r w:rsidR="00B70035">
        <w:rPr>
          <w:rFonts w:ascii="Times New Roman" w:hAnsi="Times New Roman"/>
          <w:sz w:val="24"/>
          <w:szCs w:val="24"/>
        </w:rPr>
        <w:t xml:space="preserve"> </w:t>
      </w:r>
      <w:r w:rsidRPr="002E3ECD">
        <w:rPr>
          <w:rFonts w:ascii="Times New Roman" w:hAnsi="Times New Roman"/>
          <w:sz w:val="24"/>
          <w:szCs w:val="24"/>
        </w:rPr>
        <w:t>perceptions of tobacco facts can help refine tobacco-related messaging for future tobacco prevention campaigns.</w:t>
      </w:r>
    </w:p>
    <w:p w:rsidR="007D0A85" w:rsidRDefault="007D0A85" w14:paraId="10879D0A" w14:textId="77777777">
      <w:pPr>
        <w:autoSpaceDE/>
        <w:autoSpaceDN/>
        <w:adjustRightInd/>
        <w:rPr>
          <w:rFonts w:ascii="Times New Roman" w:hAnsi="Times New Roman"/>
          <w:b/>
          <w:bCs/>
          <w:sz w:val="24"/>
          <w:szCs w:val="24"/>
        </w:rPr>
      </w:pPr>
      <w:bookmarkStart w:name="_Toc239649222" w:id="3"/>
    </w:p>
    <w:p w:rsidRPr="005E5681" w:rsidR="005C0FF9" w:rsidP="00EB43D0" w:rsidRDefault="005C0FF9" w14:paraId="3DA05582" w14:textId="77777777">
      <w:pPr>
        <w:numPr>
          <w:ilvl w:val="12"/>
          <w:numId w:val="0"/>
        </w:numPr>
        <w:outlineLvl w:val="2"/>
        <w:rPr>
          <w:rFonts w:ascii="Times New Roman" w:hAnsi="Times New Roman"/>
          <w:b/>
          <w:bCs/>
          <w:sz w:val="24"/>
          <w:szCs w:val="24"/>
          <w:u w:val="single"/>
        </w:rPr>
      </w:pPr>
      <w:r w:rsidRPr="005E5681">
        <w:rPr>
          <w:rFonts w:ascii="Times New Roman" w:hAnsi="Times New Roman"/>
          <w:b/>
          <w:bCs/>
          <w:sz w:val="24"/>
          <w:szCs w:val="24"/>
        </w:rPr>
        <w:t xml:space="preserve">2.  </w:t>
      </w:r>
      <w:r w:rsidRPr="005E5681">
        <w:rPr>
          <w:rFonts w:ascii="Times New Roman" w:hAnsi="Times New Roman"/>
          <w:b/>
          <w:bCs/>
          <w:sz w:val="24"/>
          <w:szCs w:val="24"/>
          <w:u w:val="single"/>
        </w:rPr>
        <w:t>Purpose and Use of the Information</w:t>
      </w:r>
      <w:bookmarkEnd w:id="3"/>
    </w:p>
    <w:p w:rsidR="005C0FF9" w:rsidP="00EB43D0" w:rsidRDefault="005C0FF9" w14:paraId="4AFD4400" w14:textId="77777777">
      <w:pPr>
        <w:numPr>
          <w:ilvl w:val="12"/>
          <w:numId w:val="0"/>
        </w:numPr>
        <w:rPr>
          <w:rFonts w:ascii="Times New Roman" w:hAnsi="Times New Roman"/>
          <w:sz w:val="24"/>
          <w:szCs w:val="24"/>
        </w:rPr>
      </w:pPr>
    </w:p>
    <w:p w:rsidRPr="002E3ECD" w:rsidR="002E3ECD" w:rsidP="002E3ECD" w:rsidRDefault="002E3ECD" w14:paraId="7126A3CA" w14:textId="77777777">
      <w:pPr>
        <w:numPr>
          <w:ilvl w:val="12"/>
          <w:numId w:val="0"/>
        </w:numPr>
        <w:ind w:left="360"/>
        <w:rPr>
          <w:rFonts w:ascii="Times New Roman" w:hAnsi="Times New Roman"/>
          <w:sz w:val="24"/>
          <w:szCs w:val="24"/>
        </w:rPr>
      </w:pPr>
      <w:r w:rsidRPr="002E3ECD">
        <w:rPr>
          <w:rFonts w:ascii="Times New Roman" w:hAnsi="Times New Roman"/>
          <w:sz w:val="24"/>
          <w:szCs w:val="24"/>
        </w:rPr>
        <w:t xml:space="preserve">The information obtained from the proposed data collection activities is collected from youth ages 13-17 </w:t>
      </w:r>
      <w:r w:rsidR="00B70035">
        <w:rPr>
          <w:rFonts w:ascii="Times New Roman" w:hAnsi="Times New Roman"/>
          <w:sz w:val="24"/>
          <w:szCs w:val="24"/>
        </w:rPr>
        <w:t xml:space="preserve">and adults ages 18-54 </w:t>
      </w:r>
      <w:r w:rsidRPr="002E3ECD">
        <w:rPr>
          <w:rFonts w:ascii="Times New Roman" w:hAnsi="Times New Roman"/>
          <w:sz w:val="24"/>
          <w:szCs w:val="24"/>
        </w:rPr>
        <w:t>in American households, and will be used to inform FDA, prevention practitioners, and researchers about youth’s receptivity to tobacco-related facts.  While not exhaustive, the list below illustrates a range of purposes and uses for the proposed information collection:</w:t>
      </w:r>
    </w:p>
    <w:p w:rsidRPr="002E3ECD" w:rsidR="002E3ECD" w:rsidP="002E3ECD" w:rsidRDefault="002E3ECD" w14:paraId="72667CE2" w14:textId="77777777">
      <w:pPr>
        <w:numPr>
          <w:ilvl w:val="12"/>
          <w:numId w:val="0"/>
        </w:numPr>
        <w:ind w:left="360"/>
        <w:rPr>
          <w:rFonts w:ascii="Times New Roman" w:hAnsi="Times New Roman"/>
          <w:sz w:val="24"/>
          <w:szCs w:val="24"/>
        </w:rPr>
      </w:pPr>
    </w:p>
    <w:p w:rsidRPr="002E3ECD" w:rsidR="002E3ECD" w:rsidP="002E3ECD" w:rsidRDefault="002E3ECD" w14:paraId="60D1D7B8" w14:textId="77777777">
      <w:pPr>
        <w:numPr>
          <w:ilvl w:val="0"/>
          <w:numId w:val="30"/>
        </w:numPr>
        <w:ind w:left="1080"/>
        <w:rPr>
          <w:rFonts w:ascii="Times New Roman" w:hAnsi="Times New Roman"/>
          <w:sz w:val="24"/>
          <w:szCs w:val="24"/>
        </w:rPr>
      </w:pPr>
      <w:r w:rsidRPr="002E3ECD">
        <w:rPr>
          <w:rFonts w:ascii="Times New Roman" w:hAnsi="Times New Roman"/>
          <w:sz w:val="24"/>
          <w:szCs w:val="24"/>
        </w:rPr>
        <w:t xml:space="preserve">Understand what type of tobacco-related facts youth </w:t>
      </w:r>
      <w:r w:rsidR="00EC6B53">
        <w:rPr>
          <w:rFonts w:ascii="Times New Roman" w:hAnsi="Times New Roman"/>
          <w:sz w:val="24"/>
          <w:szCs w:val="24"/>
        </w:rPr>
        <w:t xml:space="preserve">and adults </w:t>
      </w:r>
      <w:r w:rsidRPr="002E3ECD">
        <w:rPr>
          <w:rFonts w:ascii="Times New Roman" w:hAnsi="Times New Roman"/>
          <w:sz w:val="24"/>
          <w:szCs w:val="24"/>
        </w:rPr>
        <w:t xml:space="preserve">perceive as most effective </w:t>
      </w:r>
      <w:r w:rsidR="00EC6B53">
        <w:rPr>
          <w:rFonts w:ascii="Times New Roman" w:hAnsi="Times New Roman"/>
          <w:sz w:val="24"/>
          <w:szCs w:val="24"/>
        </w:rPr>
        <w:t>for tobacco prevention and cessation campaigns</w:t>
      </w:r>
      <w:r w:rsidRPr="002E3ECD">
        <w:rPr>
          <w:rFonts w:ascii="Times New Roman" w:hAnsi="Times New Roman"/>
          <w:sz w:val="24"/>
          <w:szCs w:val="24"/>
        </w:rPr>
        <w:t>.</w:t>
      </w:r>
    </w:p>
    <w:p w:rsidRPr="002E3ECD" w:rsidR="002E3ECD" w:rsidP="002E3ECD" w:rsidRDefault="002E3ECD" w14:paraId="6D4DA427" w14:textId="77777777">
      <w:pPr>
        <w:numPr>
          <w:ilvl w:val="0"/>
          <w:numId w:val="30"/>
        </w:numPr>
        <w:ind w:left="1080"/>
        <w:rPr>
          <w:rFonts w:ascii="Times New Roman" w:hAnsi="Times New Roman"/>
          <w:sz w:val="24"/>
          <w:szCs w:val="24"/>
        </w:rPr>
      </w:pPr>
      <w:r w:rsidRPr="002E3ECD">
        <w:rPr>
          <w:rFonts w:ascii="Times New Roman" w:hAnsi="Times New Roman"/>
          <w:sz w:val="24"/>
          <w:szCs w:val="24"/>
        </w:rPr>
        <w:t>Inform FDA</w:t>
      </w:r>
      <w:r w:rsidR="00DF6C2B">
        <w:rPr>
          <w:rFonts w:ascii="Times New Roman" w:hAnsi="Times New Roman"/>
          <w:sz w:val="24"/>
          <w:szCs w:val="24"/>
        </w:rPr>
        <w:t xml:space="preserve"> </w:t>
      </w:r>
      <w:r w:rsidRPr="002E3ECD">
        <w:rPr>
          <w:rFonts w:ascii="Times New Roman" w:hAnsi="Times New Roman"/>
          <w:sz w:val="24"/>
          <w:szCs w:val="24"/>
        </w:rPr>
        <w:t>and other stakeholders on the impact of potential campaign messages.</w:t>
      </w:r>
    </w:p>
    <w:p w:rsidRPr="002E3ECD" w:rsidR="002E3ECD" w:rsidP="002E3ECD" w:rsidRDefault="002E3ECD" w14:paraId="569F651A" w14:textId="77777777">
      <w:pPr>
        <w:numPr>
          <w:ilvl w:val="0"/>
          <w:numId w:val="30"/>
        </w:numPr>
        <w:ind w:left="1080"/>
        <w:rPr>
          <w:rFonts w:ascii="Times New Roman" w:hAnsi="Times New Roman"/>
          <w:sz w:val="24"/>
          <w:szCs w:val="24"/>
        </w:rPr>
      </w:pPr>
      <w:r w:rsidRPr="002E3ECD">
        <w:rPr>
          <w:rFonts w:ascii="Times New Roman" w:hAnsi="Times New Roman"/>
          <w:sz w:val="24"/>
          <w:szCs w:val="24"/>
        </w:rPr>
        <w:t>Inform future programs that may be designed for similar purposes.</w:t>
      </w:r>
    </w:p>
    <w:p w:rsidRPr="002E3ECD" w:rsidR="002E3ECD" w:rsidP="002E3ECD" w:rsidRDefault="002E3ECD" w14:paraId="3BF676E1" w14:textId="77777777">
      <w:pPr>
        <w:numPr>
          <w:ilvl w:val="12"/>
          <w:numId w:val="0"/>
        </w:numPr>
        <w:ind w:left="360"/>
        <w:rPr>
          <w:rFonts w:ascii="Times New Roman" w:hAnsi="Times New Roman"/>
          <w:sz w:val="24"/>
          <w:szCs w:val="24"/>
        </w:rPr>
      </w:pPr>
    </w:p>
    <w:p w:rsidRPr="002E3ECD" w:rsidR="002E3ECD" w:rsidP="002E3ECD" w:rsidRDefault="002E3ECD" w14:paraId="793B66CF" w14:textId="77777777">
      <w:pPr>
        <w:numPr>
          <w:ilvl w:val="12"/>
          <w:numId w:val="0"/>
        </w:numPr>
        <w:ind w:left="360"/>
        <w:rPr>
          <w:rFonts w:ascii="Times New Roman" w:hAnsi="Times New Roman"/>
          <w:sz w:val="24"/>
          <w:szCs w:val="24"/>
        </w:rPr>
      </w:pPr>
      <w:r w:rsidRPr="002E3ECD">
        <w:rPr>
          <w:rFonts w:ascii="Times New Roman" w:hAnsi="Times New Roman"/>
          <w:sz w:val="24"/>
          <w:szCs w:val="24"/>
        </w:rPr>
        <w:t xml:space="preserve">To achieve these goals, data collection will consist of a survey dissemination </w:t>
      </w:r>
      <w:r w:rsidRPr="008F6F32">
        <w:rPr>
          <w:rFonts w:ascii="Times New Roman" w:hAnsi="Times New Roman"/>
          <w:sz w:val="24"/>
          <w:szCs w:val="24"/>
        </w:rPr>
        <w:t xml:space="preserve">to </w:t>
      </w:r>
      <w:r w:rsidR="00EC6B53">
        <w:rPr>
          <w:rFonts w:ascii="Times New Roman" w:hAnsi="Times New Roman"/>
          <w:sz w:val="24"/>
          <w:szCs w:val="24"/>
        </w:rPr>
        <w:t>5</w:t>
      </w:r>
      <w:r w:rsidR="00B70035">
        <w:rPr>
          <w:rFonts w:ascii="Times New Roman" w:hAnsi="Times New Roman"/>
          <w:sz w:val="24"/>
          <w:szCs w:val="24"/>
        </w:rPr>
        <w:t>,500</w:t>
      </w:r>
      <w:r w:rsidRPr="002E3ECD">
        <w:rPr>
          <w:rFonts w:ascii="Times New Roman" w:hAnsi="Times New Roman"/>
          <w:sz w:val="24"/>
          <w:szCs w:val="24"/>
        </w:rPr>
        <w:t xml:space="preserve"> </w:t>
      </w:r>
      <w:r w:rsidR="00B70035">
        <w:rPr>
          <w:rFonts w:ascii="Times New Roman" w:hAnsi="Times New Roman"/>
          <w:sz w:val="24"/>
          <w:szCs w:val="24"/>
        </w:rPr>
        <w:t>youth</w:t>
      </w:r>
      <w:r w:rsidRPr="002E3ECD">
        <w:rPr>
          <w:rFonts w:ascii="Times New Roman" w:hAnsi="Times New Roman"/>
          <w:sz w:val="24"/>
          <w:szCs w:val="24"/>
        </w:rPr>
        <w:t xml:space="preserve"> ages 13-17</w:t>
      </w:r>
      <w:r w:rsidR="00B70035">
        <w:rPr>
          <w:rFonts w:ascii="Times New Roman" w:hAnsi="Times New Roman"/>
          <w:sz w:val="24"/>
          <w:szCs w:val="24"/>
        </w:rPr>
        <w:t xml:space="preserve"> and </w:t>
      </w:r>
      <w:r w:rsidR="00EC6B53">
        <w:rPr>
          <w:rFonts w:ascii="Times New Roman" w:hAnsi="Times New Roman"/>
          <w:sz w:val="24"/>
          <w:szCs w:val="24"/>
        </w:rPr>
        <w:t>5</w:t>
      </w:r>
      <w:r w:rsidR="00B70035">
        <w:rPr>
          <w:rFonts w:ascii="Times New Roman" w:hAnsi="Times New Roman"/>
          <w:sz w:val="24"/>
          <w:szCs w:val="24"/>
        </w:rPr>
        <w:t>,500 adults ages 18-54</w:t>
      </w:r>
      <w:r w:rsidR="00DF6C2B">
        <w:rPr>
          <w:rFonts w:ascii="Times New Roman" w:hAnsi="Times New Roman"/>
          <w:sz w:val="24"/>
          <w:szCs w:val="24"/>
        </w:rPr>
        <w:t xml:space="preserve">.  </w:t>
      </w:r>
      <w:r w:rsidRPr="002E3ECD">
        <w:rPr>
          <w:rFonts w:ascii="Times New Roman" w:hAnsi="Times New Roman"/>
          <w:sz w:val="24"/>
          <w:szCs w:val="24"/>
        </w:rPr>
        <w:t xml:space="preserve">The survey dissemination will occur over </w:t>
      </w:r>
      <w:r w:rsidR="00DF6C2B">
        <w:rPr>
          <w:rFonts w:ascii="Times New Roman" w:hAnsi="Times New Roman"/>
          <w:sz w:val="24"/>
          <w:szCs w:val="24"/>
        </w:rPr>
        <w:t xml:space="preserve">a 2-year </w:t>
      </w:r>
      <w:r w:rsidRPr="002E3ECD">
        <w:rPr>
          <w:rFonts w:ascii="Times New Roman" w:hAnsi="Times New Roman"/>
          <w:sz w:val="24"/>
          <w:szCs w:val="24"/>
        </w:rPr>
        <w:t xml:space="preserve">period. </w:t>
      </w:r>
      <w:r w:rsidR="00B70035">
        <w:rPr>
          <w:rFonts w:ascii="Times New Roman" w:hAnsi="Times New Roman"/>
          <w:sz w:val="24"/>
          <w:szCs w:val="24"/>
        </w:rPr>
        <w:t xml:space="preserve">Participants </w:t>
      </w:r>
      <w:r w:rsidRPr="002E3ECD">
        <w:rPr>
          <w:rFonts w:ascii="Times New Roman" w:hAnsi="Times New Roman"/>
          <w:sz w:val="24"/>
          <w:szCs w:val="24"/>
        </w:rPr>
        <w:t>will not be re-contacted in this study.</w:t>
      </w:r>
    </w:p>
    <w:p w:rsidRPr="002E3ECD" w:rsidR="002E3ECD" w:rsidP="002E3ECD" w:rsidRDefault="002E3ECD" w14:paraId="76E40191" w14:textId="77777777">
      <w:pPr>
        <w:numPr>
          <w:ilvl w:val="12"/>
          <w:numId w:val="0"/>
        </w:numPr>
        <w:ind w:left="360"/>
        <w:rPr>
          <w:rFonts w:ascii="Times New Roman" w:hAnsi="Times New Roman"/>
          <w:sz w:val="24"/>
          <w:szCs w:val="24"/>
        </w:rPr>
      </w:pPr>
    </w:p>
    <w:p w:rsidR="00BB3522" w:rsidP="004C667B" w:rsidRDefault="00BB3522" w14:paraId="241D06F2" w14:textId="307822A9">
      <w:pPr>
        <w:numPr>
          <w:ilvl w:val="12"/>
          <w:numId w:val="0"/>
        </w:numPr>
        <w:ind w:left="360"/>
        <w:rPr>
          <w:rFonts w:ascii="Times New Roman" w:hAnsi="Times New Roman"/>
          <w:sz w:val="24"/>
          <w:szCs w:val="24"/>
        </w:rPr>
      </w:pPr>
      <w:bookmarkStart w:name="_Hlk29391350" w:id="4"/>
      <w:r w:rsidRPr="00BB3522">
        <w:rPr>
          <w:rFonts w:ascii="Times New Roman" w:hAnsi="Times New Roman"/>
          <w:sz w:val="24"/>
          <w:szCs w:val="24"/>
        </w:rPr>
        <w:t xml:space="preserve">Participants will be recruited via </w:t>
      </w:r>
      <w:r w:rsidR="00CF227D">
        <w:rPr>
          <w:rFonts w:ascii="Times New Roman" w:hAnsi="Times New Roman"/>
          <w:sz w:val="24"/>
          <w:szCs w:val="24"/>
        </w:rPr>
        <w:t xml:space="preserve">a </w:t>
      </w:r>
      <w:r>
        <w:rPr>
          <w:rFonts w:ascii="Times New Roman" w:hAnsi="Times New Roman"/>
          <w:sz w:val="24"/>
          <w:szCs w:val="24"/>
        </w:rPr>
        <w:t xml:space="preserve">participant </w:t>
      </w:r>
      <w:r w:rsidRPr="00BB3522">
        <w:rPr>
          <w:rFonts w:ascii="Times New Roman" w:hAnsi="Times New Roman"/>
          <w:sz w:val="24"/>
          <w:szCs w:val="24"/>
        </w:rPr>
        <w:t>panel</w:t>
      </w:r>
      <w:r>
        <w:rPr>
          <w:rFonts w:ascii="Times New Roman" w:hAnsi="Times New Roman"/>
          <w:sz w:val="24"/>
          <w:szCs w:val="24"/>
        </w:rPr>
        <w:t xml:space="preserve"> </w:t>
      </w:r>
      <w:r w:rsidRPr="002E3ECD">
        <w:rPr>
          <w:rFonts w:ascii="Times New Roman" w:hAnsi="Times New Roman"/>
          <w:sz w:val="24"/>
          <w:szCs w:val="24"/>
        </w:rPr>
        <w:t>composed of adults in the United States</w:t>
      </w:r>
      <w:r>
        <w:rPr>
          <w:rFonts w:ascii="Times New Roman" w:hAnsi="Times New Roman"/>
          <w:sz w:val="24"/>
          <w:szCs w:val="24"/>
        </w:rPr>
        <w:t xml:space="preserve"> and includes adults</w:t>
      </w:r>
      <w:r w:rsidRPr="002E3ECD">
        <w:rPr>
          <w:rFonts w:ascii="Times New Roman" w:hAnsi="Times New Roman"/>
          <w:sz w:val="24"/>
          <w:szCs w:val="24"/>
        </w:rPr>
        <w:t xml:space="preserve"> with children ages 13-17 who have been prescreened for their willingness for their child to participate in online surveys</w:t>
      </w:r>
      <w:r w:rsidR="004C667B">
        <w:rPr>
          <w:rFonts w:ascii="Times New Roman" w:hAnsi="Times New Roman"/>
          <w:sz w:val="24"/>
          <w:szCs w:val="24"/>
        </w:rPr>
        <w:t>.</w:t>
      </w:r>
      <w:bookmarkEnd w:id="4"/>
      <w:r w:rsidR="00EC6B53">
        <w:rPr>
          <w:rFonts w:ascii="Times New Roman" w:hAnsi="Times New Roman"/>
          <w:sz w:val="24"/>
          <w:szCs w:val="24"/>
        </w:rPr>
        <w:t xml:space="preserve"> For youth recruitment, adults will receive a</w:t>
      </w:r>
      <w:r w:rsidR="00FC2AF0">
        <w:rPr>
          <w:rFonts w:ascii="Times New Roman" w:hAnsi="Times New Roman"/>
          <w:sz w:val="24"/>
          <w:szCs w:val="24"/>
        </w:rPr>
        <w:t>n email and</w:t>
      </w:r>
      <w:r w:rsidR="00EC6B53">
        <w:rPr>
          <w:rFonts w:ascii="Times New Roman" w:hAnsi="Times New Roman"/>
          <w:sz w:val="24"/>
          <w:szCs w:val="24"/>
        </w:rPr>
        <w:t xml:space="preserve"> parental notification and opt-out form that </w:t>
      </w:r>
      <w:r w:rsidRPr="002E3ECD" w:rsidR="00EC6B53">
        <w:rPr>
          <w:rFonts w:ascii="Times New Roman" w:hAnsi="Times New Roman"/>
          <w:sz w:val="24"/>
          <w:szCs w:val="24"/>
        </w:rPr>
        <w:t>indicates their child has been invited to participate in a new survey (Attachment A</w:t>
      </w:r>
      <w:r w:rsidR="00FC2AF0">
        <w:rPr>
          <w:rFonts w:ascii="Times New Roman" w:hAnsi="Times New Roman"/>
          <w:sz w:val="24"/>
          <w:szCs w:val="24"/>
        </w:rPr>
        <w:t>/A1</w:t>
      </w:r>
      <w:r w:rsidR="00822C41">
        <w:rPr>
          <w:rFonts w:ascii="Times New Roman" w:hAnsi="Times New Roman"/>
          <w:sz w:val="24"/>
          <w:szCs w:val="24"/>
        </w:rPr>
        <w:t xml:space="preserve">). </w:t>
      </w:r>
      <w:r w:rsidRPr="002E3ECD">
        <w:rPr>
          <w:rFonts w:ascii="Times New Roman" w:hAnsi="Times New Roman"/>
          <w:sz w:val="24"/>
          <w:szCs w:val="24"/>
        </w:rPr>
        <w:t xml:space="preserve">If the youth gives their assent, they will be redirected to the online screener (Attachment </w:t>
      </w:r>
      <w:r>
        <w:rPr>
          <w:rFonts w:ascii="Times New Roman" w:hAnsi="Times New Roman"/>
          <w:sz w:val="24"/>
          <w:szCs w:val="24"/>
        </w:rPr>
        <w:t>D</w:t>
      </w:r>
      <w:r w:rsidRPr="002E3ECD">
        <w:rPr>
          <w:rFonts w:ascii="Times New Roman" w:hAnsi="Times New Roman"/>
          <w:sz w:val="24"/>
          <w:szCs w:val="24"/>
        </w:rPr>
        <w:t xml:space="preserve">). If they qualify to participate in the study, they will begin the survey (Attachment </w:t>
      </w:r>
      <w:r w:rsidR="008F5741">
        <w:rPr>
          <w:rFonts w:ascii="Times New Roman" w:hAnsi="Times New Roman"/>
          <w:sz w:val="24"/>
          <w:szCs w:val="24"/>
        </w:rPr>
        <w:t>F</w:t>
      </w:r>
      <w:r w:rsidRPr="002E3ECD">
        <w:rPr>
          <w:rFonts w:ascii="Times New Roman" w:hAnsi="Times New Roman"/>
          <w:sz w:val="24"/>
          <w:szCs w:val="24"/>
        </w:rPr>
        <w:t xml:space="preserve">) where they will be asked basic demographic information as well as </w:t>
      </w:r>
      <w:r>
        <w:rPr>
          <w:rFonts w:ascii="Times New Roman" w:hAnsi="Times New Roman"/>
          <w:sz w:val="24"/>
          <w:szCs w:val="24"/>
        </w:rPr>
        <w:t xml:space="preserve">administered the questionnaire.  </w:t>
      </w:r>
      <w:r w:rsidRPr="002E3ECD">
        <w:rPr>
          <w:rFonts w:ascii="Times New Roman" w:hAnsi="Times New Roman"/>
          <w:sz w:val="24"/>
          <w:szCs w:val="24"/>
        </w:rPr>
        <w:t xml:space="preserve">  </w:t>
      </w:r>
    </w:p>
    <w:p w:rsidR="00BB3522" w:rsidP="00BB3522" w:rsidRDefault="00BB3522" w14:paraId="08A041B7" w14:textId="77777777">
      <w:pPr>
        <w:spacing w:after="240"/>
      </w:pPr>
    </w:p>
    <w:p w:rsidRPr="00BB3522" w:rsidR="00BB3522" w:rsidP="00BB3522" w:rsidRDefault="00BB3522" w14:paraId="0705CE1E" w14:textId="4FFD7C95">
      <w:pPr>
        <w:spacing w:after="240"/>
        <w:ind w:left="360"/>
        <w:rPr>
          <w:rFonts w:ascii="Times New Roman" w:hAnsi="Times New Roman"/>
          <w:sz w:val="24"/>
          <w:szCs w:val="24"/>
        </w:rPr>
      </w:pPr>
      <w:r w:rsidRPr="00BB3522">
        <w:rPr>
          <w:rFonts w:ascii="Times New Roman" w:hAnsi="Times New Roman"/>
          <w:sz w:val="24"/>
          <w:szCs w:val="24"/>
        </w:rPr>
        <w:t xml:space="preserve">All qualified adult participants will </w:t>
      </w:r>
      <w:r w:rsidR="00FC2AF0">
        <w:rPr>
          <w:rFonts w:ascii="Times New Roman" w:hAnsi="Times New Roman"/>
          <w:sz w:val="24"/>
          <w:szCs w:val="24"/>
        </w:rPr>
        <w:t xml:space="preserve">receive and email invitation and </w:t>
      </w:r>
      <w:r w:rsidRPr="00BB3522">
        <w:rPr>
          <w:rFonts w:ascii="Times New Roman" w:hAnsi="Times New Roman"/>
          <w:sz w:val="24"/>
          <w:szCs w:val="24"/>
        </w:rPr>
        <w:t xml:space="preserve">review and provide consent via an electronic Participant Consent Form (see Attachment </w:t>
      </w:r>
      <w:r w:rsidR="008F5741">
        <w:rPr>
          <w:rFonts w:ascii="Times New Roman" w:hAnsi="Times New Roman"/>
          <w:sz w:val="24"/>
          <w:szCs w:val="24"/>
        </w:rPr>
        <w:t>C</w:t>
      </w:r>
      <w:r w:rsidR="00FC2AF0">
        <w:rPr>
          <w:rFonts w:ascii="Times New Roman" w:hAnsi="Times New Roman"/>
          <w:sz w:val="24"/>
          <w:szCs w:val="24"/>
        </w:rPr>
        <w:t>/A1</w:t>
      </w:r>
      <w:r w:rsidR="008F5741">
        <w:rPr>
          <w:rFonts w:ascii="Times New Roman" w:hAnsi="Times New Roman"/>
          <w:sz w:val="24"/>
          <w:szCs w:val="24"/>
        </w:rPr>
        <w:t xml:space="preserve">). They will then be redirected to the online screener (Attachment E). If they qualify to participate the study, they will begin the survey (Attachment G). </w:t>
      </w:r>
      <w:r w:rsidRPr="00BB3522">
        <w:rPr>
          <w:rFonts w:ascii="Times New Roman" w:hAnsi="Times New Roman"/>
          <w:sz w:val="24"/>
          <w:szCs w:val="24"/>
        </w:rPr>
        <w:tab/>
      </w:r>
    </w:p>
    <w:p w:rsidR="00BB3522" w:rsidP="00BB3522" w:rsidRDefault="00BB3522" w14:paraId="04C11710" w14:textId="77777777">
      <w:pPr>
        <w:spacing w:after="240"/>
        <w:ind w:left="360"/>
        <w:rPr>
          <w:rFonts w:ascii="Times New Roman" w:hAnsi="Times New Roman"/>
          <w:sz w:val="24"/>
          <w:szCs w:val="24"/>
        </w:rPr>
      </w:pPr>
      <w:r w:rsidRPr="00BB3522">
        <w:rPr>
          <w:rFonts w:ascii="Times New Roman" w:hAnsi="Times New Roman"/>
          <w:sz w:val="24"/>
          <w:szCs w:val="24"/>
        </w:rPr>
        <w:t>Data collection will be completed by participants independently on their own electronic devices, such as a mobile phone, tablet, or home computer</w:t>
      </w:r>
      <w:r>
        <w:rPr>
          <w:rFonts w:ascii="Times New Roman" w:hAnsi="Times New Roman"/>
          <w:sz w:val="24"/>
          <w:szCs w:val="24"/>
        </w:rPr>
        <w:t xml:space="preserve"> </w:t>
      </w:r>
      <w:r w:rsidRPr="00BB3522">
        <w:rPr>
          <w:rFonts w:ascii="Times New Roman" w:hAnsi="Times New Roman"/>
          <w:sz w:val="24"/>
          <w:szCs w:val="24"/>
        </w:rPr>
        <w:t xml:space="preserve">All potential participants will complete a screener </w:t>
      </w:r>
      <w:r w:rsidR="008F5741">
        <w:rPr>
          <w:rFonts w:ascii="Times New Roman" w:hAnsi="Times New Roman"/>
          <w:sz w:val="24"/>
          <w:szCs w:val="24"/>
        </w:rPr>
        <w:t>(Attachments D and E</w:t>
      </w:r>
      <w:r w:rsidRPr="00BB3522">
        <w:rPr>
          <w:rFonts w:ascii="Times New Roman" w:hAnsi="Times New Roman"/>
          <w:sz w:val="24"/>
          <w:szCs w:val="24"/>
        </w:rPr>
        <w:t>) to determine their qualification for inclusion into the study. Upon screener completion, participants will be immediately notified if they qualify. Both the screener and copy testing questionnaire will be compatible for use on smartphones, tablets, and computers.</w:t>
      </w:r>
    </w:p>
    <w:p w:rsidRPr="00BB3522" w:rsidR="00BB3522" w:rsidP="00BB3522" w:rsidRDefault="00BB3522" w14:paraId="7E9E8332" w14:textId="77777777">
      <w:pPr>
        <w:spacing w:after="240"/>
        <w:ind w:left="360"/>
        <w:rPr>
          <w:rFonts w:ascii="Times New Roman" w:hAnsi="Times New Roman"/>
          <w:sz w:val="24"/>
          <w:szCs w:val="24"/>
        </w:rPr>
      </w:pPr>
      <w:r w:rsidRPr="00BB3522">
        <w:rPr>
          <w:rFonts w:ascii="Times New Roman" w:hAnsi="Times New Roman"/>
          <w:sz w:val="24"/>
          <w:szCs w:val="24"/>
        </w:rPr>
        <w:t>Questionnaire items that youth participants see will vary depending on their screener responses (i.e., their use of or susceptibility to experimentation with cigarettes, ENDS, or SLT) (see Attachment</w:t>
      </w:r>
      <w:r w:rsidR="008F5741">
        <w:rPr>
          <w:rFonts w:ascii="Times New Roman" w:hAnsi="Times New Roman"/>
          <w:sz w:val="24"/>
          <w:szCs w:val="24"/>
        </w:rPr>
        <w:t xml:space="preserve"> F</w:t>
      </w:r>
      <w:r w:rsidRPr="00BB3522">
        <w:rPr>
          <w:rFonts w:ascii="Times New Roman" w:hAnsi="Times New Roman"/>
          <w:sz w:val="24"/>
          <w:szCs w:val="24"/>
        </w:rPr>
        <w:t>). Adult participants will a</w:t>
      </w:r>
      <w:r w:rsidR="00EC6B53">
        <w:rPr>
          <w:rFonts w:ascii="Times New Roman" w:hAnsi="Times New Roman"/>
          <w:sz w:val="24"/>
          <w:szCs w:val="24"/>
        </w:rPr>
        <w:t>lso</w:t>
      </w:r>
      <w:r w:rsidRPr="00BB3522">
        <w:rPr>
          <w:rFonts w:ascii="Times New Roman" w:hAnsi="Times New Roman"/>
          <w:sz w:val="24"/>
          <w:szCs w:val="24"/>
        </w:rPr>
        <w:t xml:space="preserve"> see questions specifically tailored for that portion of the data collection (see Attachment </w:t>
      </w:r>
      <w:r w:rsidR="008F5741">
        <w:rPr>
          <w:rFonts w:ascii="Times New Roman" w:hAnsi="Times New Roman"/>
          <w:sz w:val="24"/>
          <w:szCs w:val="24"/>
        </w:rPr>
        <w:t>G</w:t>
      </w:r>
      <w:r w:rsidRPr="00BB3522">
        <w:rPr>
          <w:rFonts w:ascii="Times New Roman" w:hAnsi="Times New Roman"/>
          <w:sz w:val="24"/>
          <w:szCs w:val="24"/>
        </w:rPr>
        <w:t>).</w:t>
      </w:r>
    </w:p>
    <w:p w:rsidRPr="000216D8" w:rsidR="004C667B" w:rsidP="008F5741" w:rsidRDefault="004C667B" w14:paraId="221C12D2" w14:textId="77777777">
      <w:pPr>
        <w:numPr>
          <w:ilvl w:val="12"/>
          <w:numId w:val="0"/>
        </w:numPr>
        <w:rPr>
          <w:rFonts w:ascii="Times New Roman" w:hAnsi="Times New Roman"/>
          <w:sz w:val="24"/>
          <w:szCs w:val="24"/>
        </w:rPr>
      </w:pPr>
    </w:p>
    <w:p w:rsidRPr="005E5681" w:rsidR="005C0FF9" w:rsidP="00EB43D0" w:rsidRDefault="005C0FF9" w14:paraId="2A0ACD4B" w14:textId="4FC9E9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u w:val="single"/>
        </w:rPr>
      </w:pPr>
      <w:bookmarkStart w:name="_Toc239649223" w:id="5"/>
      <w:r w:rsidRPr="005E5681">
        <w:rPr>
          <w:rFonts w:ascii="Times New Roman" w:hAnsi="Times New Roman"/>
          <w:b/>
          <w:bCs/>
          <w:sz w:val="24"/>
          <w:szCs w:val="24"/>
        </w:rPr>
        <w:t xml:space="preserve">3.  </w:t>
      </w:r>
      <w:r w:rsidRPr="005E5681">
        <w:rPr>
          <w:rFonts w:ascii="Times New Roman" w:hAnsi="Times New Roman"/>
          <w:b/>
          <w:bCs/>
          <w:sz w:val="24"/>
          <w:szCs w:val="24"/>
          <w:u w:val="single"/>
        </w:rPr>
        <w:t xml:space="preserve">Use of </w:t>
      </w:r>
      <w:r w:rsidR="00813FD2">
        <w:rPr>
          <w:rFonts w:ascii="Times New Roman" w:hAnsi="Times New Roman"/>
          <w:b/>
          <w:bCs/>
          <w:sz w:val="24"/>
          <w:szCs w:val="24"/>
          <w:u w:val="single"/>
        </w:rPr>
        <w:t xml:space="preserve">Improved </w:t>
      </w:r>
      <w:r w:rsidRPr="005E5681">
        <w:rPr>
          <w:rFonts w:ascii="Times New Roman" w:hAnsi="Times New Roman"/>
          <w:b/>
          <w:bCs/>
          <w:sz w:val="24"/>
          <w:szCs w:val="24"/>
          <w:u w:val="single"/>
        </w:rPr>
        <w:t>Information Technology and Burden Reduction</w:t>
      </w:r>
      <w:bookmarkEnd w:id="5"/>
    </w:p>
    <w:p w:rsidRPr="005E5681" w:rsidR="005C0FF9" w:rsidP="00EB43D0" w:rsidRDefault="005C0FF9" w14:paraId="7B728943"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005C0FF9" w:rsidP="002E3ECD" w:rsidRDefault="002E3ECD" w14:paraId="7408D96E" w14:textId="77777777">
      <w:pPr>
        <w:numPr>
          <w:ilvl w:val="12"/>
          <w:numId w:val="0"/>
        </w:numPr>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imes New Roman" w:hAnsi="Times New Roman"/>
          <w:color w:val="000000"/>
          <w:sz w:val="24"/>
          <w:szCs w:val="24"/>
        </w:rPr>
      </w:pPr>
      <w:r w:rsidRPr="002E3ECD">
        <w:rPr>
          <w:rFonts w:ascii="Times New Roman" w:hAnsi="Times New Roman"/>
          <w:color w:val="000000"/>
          <w:sz w:val="24"/>
          <w:szCs w:val="24"/>
        </w:rPr>
        <w:t xml:space="preserve">This study will rely on web-based survey data collection on receptivity to </w:t>
      </w:r>
      <w:r w:rsidR="00BD515D">
        <w:rPr>
          <w:rFonts w:ascii="Times New Roman" w:hAnsi="Times New Roman"/>
          <w:color w:val="000000"/>
          <w:sz w:val="24"/>
          <w:szCs w:val="24"/>
        </w:rPr>
        <w:t xml:space="preserve">tobacco use education messaging, </w:t>
      </w:r>
      <w:r w:rsidRPr="002E3ECD">
        <w:rPr>
          <w:rFonts w:ascii="Times New Roman" w:hAnsi="Times New Roman"/>
          <w:color w:val="000000"/>
          <w:sz w:val="24"/>
          <w:szCs w:val="24"/>
        </w:rPr>
        <w:t>tobacco-related facts</w:t>
      </w:r>
      <w:r w:rsidR="00BD515D">
        <w:rPr>
          <w:rFonts w:ascii="Times New Roman" w:hAnsi="Times New Roman"/>
          <w:color w:val="000000"/>
          <w:sz w:val="24"/>
          <w:szCs w:val="24"/>
        </w:rPr>
        <w:t>, or tobacco related KABs</w:t>
      </w:r>
      <w:r w:rsidRPr="002E3ECD">
        <w:rPr>
          <w:rFonts w:ascii="Times New Roman" w:hAnsi="Times New Roman"/>
          <w:color w:val="000000"/>
          <w:sz w:val="24"/>
          <w:szCs w:val="24"/>
        </w:rPr>
        <w:t xml:space="preserve"> among youth ages 13-17 who have either experimented with </w:t>
      </w:r>
      <w:r w:rsidR="006D54DB">
        <w:rPr>
          <w:rFonts w:ascii="Times New Roman" w:hAnsi="Times New Roman"/>
          <w:color w:val="000000"/>
          <w:sz w:val="24"/>
          <w:szCs w:val="24"/>
        </w:rPr>
        <w:t>tobacco use</w:t>
      </w:r>
      <w:r w:rsidRPr="002E3ECD">
        <w:rPr>
          <w:rFonts w:ascii="Times New Roman" w:hAnsi="Times New Roman"/>
          <w:color w:val="000000"/>
          <w:sz w:val="24"/>
          <w:szCs w:val="24"/>
        </w:rPr>
        <w:t xml:space="preserve"> or are at risk of initiating </w:t>
      </w:r>
      <w:r w:rsidR="006D54DB">
        <w:rPr>
          <w:rFonts w:ascii="Times New Roman" w:hAnsi="Times New Roman"/>
          <w:color w:val="000000"/>
          <w:sz w:val="24"/>
          <w:szCs w:val="24"/>
        </w:rPr>
        <w:t>tobacco use</w:t>
      </w:r>
      <w:r w:rsidR="00BB3522">
        <w:rPr>
          <w:rFonts w:ascii="Times New Roman" w:hAnsi="Times New Roman"/>
          <w:color w:val="000000"/>
          <w:sz w:val="24"/>
          <w:szCs w:val="24"/>
        </w:rPr>
        <w:t xml:space="preserve"> and adult current or former smokers ages 18-54</w:t>
      </w:r>
      <w:r w:rsidRPr="002E3ECD">
        <w:rPr>
          <w:rFonts w:ascii="Times New Roman" w:hAnsi="Times New Roman"/>
          <w:color w:val="000000"/>
          <w:sz w:val="24"/>
          <w:szCs w:val="24"/>
        </w:rPr>
        <w:t>. Using an anonymous survey allows the respondent to be more candid with their responses.  This allows for more accurate data because respondents provide more honest responses than other types of research methodology, especially since it is clear that the answers will remain confidential.  In addition, using a survey will allow for more participates to respond in a cost-effective and timely manner.  The self-administered, web-based survey permits greater expediency with respect to data processing and analysis (e.g., a number of back-end processing steps, including coding and data entry). Data are transmitted electronically at the end of the day, rather than by mail. These efficiencies save time due to the speed of data transmission, as well as receipt in a format suitable for analysis. Finally, as noted above, this technology permits respondents to complete the interview in privacy. Providing the respondent with a methodology that improves privacy makes reporting of potentially embarrassing or stigmatizing behaviors (e.g., tobacco use) less threatening and enhances response validity and response rates.</w:t>
      </w:r>
    </w:p>
    <w:p w:rsidR="004C667B" w:rsidP="002E3ECD" w:rsidRDefault="004C667B" w14:paraId="128A482D" w14:textId="77777777">
      <w:pPr>
        <w:numPr>
          <w:ilvl w:val="12"/>
          <w:numId w:val="0"/>
        </w:numPr>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imes New Roman" w:hAnsi="Times New Roman"/>
          <w:color w:val="000000"/>
          <w:sz w:val="24"/>
          <w:szCs w:val="24"/>
        </w:rPr>
      </w:pPr>
    </w:p>
    <w:p w:rsidRPr="004C667B" w:rsidR="004C667B" w:rsidP="004C667B" w:rsidRDefault="004C667B" w14:paraId="5DFF9986" w14:textId="77777777">
      <w:pPr>
        <w:spacing w:after="240"/>
        <w:ind w:left="270"/>
      </w:pPr>
      <w:r w:rsidRPr="00BB3522">
        <w:rPr>
          <w:rFonts w:ascii="Times New Roman" w:hAnsi="Times New Roman"/>
          <w:sz w:val="24"/>
          <w:szCs w:val="24"/>
        </w:rPr>
        <w:t xml:space="preserve">Participants will be recruited via </w:t>
      </w:r>
      <w:r>
        <w:rPr>
          <w:rFonts w:ascii="Times New Roman" w:hAnsi="Times New Roman"/>
          <w:sz w:val="24"/>
          <w:szCs w:val="24"/>
        </w:rPr>
        <w:t xml:space="preserve">a participant </w:t>
      </w:r>
      <w:r w:rsidRPr="00BB3522">
        <w:rPr>
          <w:rFonts w:ascii="Times New Roman" w:hAnsi="Times New Roman"/>
          <w:sz w:val="24"/>
          <w:szCs w:val="24"/>
        </w:rPr>
        <w:t>panel</w:t>
      </w:r>
      <w:r>
        <w:rPr>
          <w:rFonts w:ascii="Times New Roman" w:hAnsi="Times New Roman"/>
          <w:sz w:val="24"/>
          <w:szCs w:val="24"/>
        </w:rPr>
        <w:t xml:space="preserve"> </w:t>
      </w:r>
      <w:r w:rsidRPr="002E3ECD">
        <w:rPr>
          <w:rFonts w:ascii="Times New Roman" w:hAnsi="Times New Roman"/>
          <w:sz w:val="24"/>
          <w:szCs w:val="24"/>
        </w:rPr>
        <w:t>composed of adults in the United States</w:t>
      </w:r>
      <w:r>
        <w:rPr>
          <w:rFonts w:ascii="Times New Roman" w:hAnsi="Times New Roman"/>
          <w:sz w:val="24"/>
          <w:szCs w:val="24"/>
        </w:rPr>
        <w:t xml:space="preserve"> and includes adults</w:t>
      </w:r>
      <w:r w:rsidRPr="002E3ECD">
        <w:rPr>
          <w:rFonts w:ascii="Times New Roman" w:hAnsi="Times New Roman"/>
          <w:sz w:val="24"/>
          <w:szCs w:val="24"/>
        </w:rPr>
        <w:t xml:space="preserve"> with children ages 13-17 who have been prescreened for their willingness for their child to participate in online surveys</w:t>
      </w:r>
      <w:r>
        <w:rPr>
          <w:rFonts w:ascii="Times New Roman" w:hAnsi="Times New Roman"/>
          <w:sz w:val="24"/>
          <w:szCs w:val="24"/>
        </w:rPr>
        <w:t xml:space="preserve"> (e.g. Market</w:t>
      </w:r>
      <w:r w:rsidR="00A618A9">
        <w:rPr>
          <w:rFonts w:ascii="Times New Roman" w:hAnsi="Times New Roman"/>
          <w:sz w:val="24"/>
          <w:szCs w:val="24"/>
        </w:rPr>
        <w:t xml:space="preserve"> </w:t>
      </w:r>
      <w:r>
        <w:rPr>
          <w:rFonts w:ascii="Times New Roman" w:hAnsi="Times New Roman"/>
          <w:sz w:val="24"/>
          <w:szCs w:val="24"/>
        </w:rPr>
        <w:t>Cube)</w:t>
      </w:r>
      <w:r w:rsidRPr="00BB3522">
        <w:rPr>
          <w:rFonts w:ascii="Times New Roman" w:hAnsi="Times New Roman"/>
          <w:sz w:val="24"/>
          <w:szCs w:val="24"/>
        </w:rPr>
        <w:t>.</w:t>
      </w:r>
      <w:r>
        <w:rPr>
          <w:rFonts w:ascii="Times New Roman" w:hAnsi="Times New Roman"/>
          <w:sz w:val="24"/>
          <w:szCs w:val="24"/>
        </w:rPr>
        <w:t xml:space="preserve"> Market</w:t>
      </w:r>
      <w:r w:rsidR="00A618A9">
        <w:rPr>
          <w:rFonts w:ascii="Times New Roman" w:hAnsi="Times New Roman"/>
          <w:sz w:val="24"/>
          <w:szCs w:val="24"/>
        </w:rPr>
        <w:t xml:space="preserve"> </w:t>
      </w:r>
      <w:r>
        <w:rPr>
          <w:rFonts w:ascii="Times New Roman" w:hAnsi="Times New Roman"/>
          <w:sz w:val="24"/>
          <w:szCs w:val="24"/>
        </w:rPr>
        <w:t xml:space="preserve">Cube had a proven and </w:t>
      </w:r>
      <w:r w:rsidRPr="004C667B">
        <w:rPr>
          <w:rFonts w:ascii="Times New Roman" w:hAnsi="Times New Roman"/>
          <w:sz w:val="24"/>
          <w:szCs w:val="24"/>
        </w:rPr>
        <w:t>demonstrated ability to orchestrate and support the sampling plan specifications of these studies. The panel includes over 600,000 adults and hundreds of thousands of households that include teens. During recruitment for this study, participants will complete the screener electronically on their own device such as a mobile phone, tablet, or computer. This allows for more accurate data collection because respondents provide more honest responses</w:t>
      </w:r>
      <w:r>
        <w:rPr>
          <w:rFonts w:ascii="Times New Roman" w:hAnsi="Times New Roman"/>
          <w:sz w:val="24"/>
          <w:szCs w:val="24"/>
        </w:rPr>
        <w:t xml:space="preserve"> when they use their own devices.  </w:t>
      </w:r>
    </w:p>
    <w:p w:rsidR="005C0FF9" w:rsidP="00EB43D0" w:rsidRDefault="005C0FF9" w14:paraId="026872F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u w:val="single"/>
        </w:rPr>
      </w:pPr>
      <w:bookmarkStart w:name="_Toc239649224" w:id="6"/>
      <w:r w:rsidRPr="005E5681">
        <w:rPr>
          <w:rFonts w:ascii="Times New Roman" w:hAnsi="Times New Roman"/>
          <w:b/>
          <w:bCs/>
          <w:sz w:val="24"/>
          <w:szCs w:val="24"/>
        </w:rPr>
        <w:t xml:space="preserve">4.  </w:t>
      </w:r>
      <w:r w:rsidRPr="005E5681">
        <w:rPr>
          <w:rFonts w:ascii="Times New Roman" w:hAnsi="Times New Roman"/>
          <w:b/>
          <w:bCs/>
          <w:sz w:val="24"/>
          <w:szCs w:val="24"/>
          <w:u w:val="single"/>
        </w:rPr>
        <w:t>Efforts to Identify Duplication and Use of Similar Information</w:t>
      </w:r>
      <w:bookmarkEnd w:id="6"/>
    </w:p>
    <w:p w:rsidR="00581DB5" w:rsidP="00581DB5" w:rsidRDefault="00581DB5" w14:paraId="7C0FD3E8"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outlineLvl w:val="2"/>
        <w:rPr>
          <w:rFonts w:ascii="Times New Roman" w:hAnsi="Times New Roman"/>
          <w:bCs/>
          <w:sz w:val="24"/>
          <w:szCs w:val="24"/>
        </w:rPr>
      </w:pPr>
    </w:p>
    <w:p w:rsidRPr="00581DB5" w:rsidR="002E3ECD" w:rsidP="00581DB5" w:rsidRDefault="002E3ECD" w14:paraId="06416B7D"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outlineLvl w:val="2"/>
        <w:rPr>
          <w:rFonts w:ascii="Times New Roman" w:hAnsi="Times New Roman"/>
          <w:bCs/>
          <w:sz w:val="24"/>
          <w:szCs w:val="24"/>
        </w:rPr>
      </w:pPr>
      <w:r w:rsidRPr="00581DB5">
        <w:rPr>
          <w:rFonts w:ascii="Times New Roman" w:hAnsi="Times New Roman"/>
          <w:bCs/>
          <w:sz w:val="24"/>
          <w:szCs w:val="24"/>
        </w:rPr>
        <w:t xml:space="preserve">FDA’s tobacco prevention </w:t>
      </w:r>
      <w:r w:rsidR="007D011C">
        <w:rPr>
          <w:rFonts w:ascii="Times New Roman" w:hAnsi="Times New Roman"/>
          <w:bCs/>
          <w:sz w:val="24"/>
          <w:szCs w:val="24"/>
        </w:rPr>
        <w:t xml:space="preserve">and cessation </w:t>
      </w:r>
      <w:r w:rsidRPr="00581DB5">
        <w:rPr>
          <w:rFonts w:ascii="Times New Roman" w:hAnsi="Times New Roman"/>
          <w:bCs/>
          <w:sz w:val="24"/>
          <w:szCs w:val="24"/>
        </w:rPr>
        <w:t xml:space="preserve">campaign efforts are relatively new, and therefore it is important to develop messages which will have the largest impact on reducing </w:t>
      </w:r>
      <w:r w:rsidR="004C667B">
        <w:rPr>
          <w:rFonts w:ascii="Times New Roman" w:hAnsi="Times New Roman"/>
          <w:bCs/>
          <w:sz w:val="24"/>
          <w:szCs w:val="24"/>
        </w:rPr>
        <w:t xml:space="preserve">and preventing </w:t>
      </w:r>
      <w:r w:rsidRPr="00581DB5">
        <w:rPr>
          <w:rFonts w:ascii="Times New Roman" w:hAnsi="Times New Roman"/>
          <w:bCs/>
          <w:sz w:val="24"/>
          <w:szCs w:val="24"/>
        </w:rPr>
        <w:t xml:space="preserve">tobacco use. </w:t>
      </w:r>
    </w:p>
    <w:p w:rsidRPr="00581DB5" w:rsidR="002E3ECD" w:rsidP="00581DB5" w:rsidRDefault="002E3ECD" w14:paraId="16C55CB9"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outlineLvl w:val="2"/>
        <w:rPr>
          <w:rFonts w:ascii="Times New Roman" w:hAnsi="Times New Roman"/>
          <w:bCs/>
          <w:sz w:val="24"/>
          <w:szCs w:val="24"/>
        </w:rPr>
      </w:pPr>
    </w:p>
    <w:p w:rsidRPr="00581DB5" w:rsidR="002E3ECD" w:rsidP="00581DB5" w:rsidRDefault="002E3ECD" w14:paraId="2C82F588"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outlineLvl w:val="2"/>
        <w:rPr>
          <w:rFonts w:ascii="Times New Roman" w:hAnsi="Times New Roman"/>
          <w:bCs/>
          <w:sz w:val="24"/>
          <w:szCs w:val="24"/>
        </w:rPr>
      </w:pPr>
      <w:r w:rsidRPr="00581DB5">
        <w:rPr>
          <w:rFonts w:ascii="Times New Roman" w:hAnsi="Times New Roman"/>
          <w:bCs/>
          <w:sz w:val="24"/>
          <w:szCs w:val="24"/>
        </w:rPr>
        <w:t xml:space="preserve">There </w:t>
      </w:r>
      <w:r w:rsidR="004C667B">
        <w:rPr>
          <w:rFonts w:ascii="Times New Roman" w:hAnsi="Times New Roman"/>
          <w:bCs/>
          <w:sz w:val="24"/>
          <w:szCs w:val="24"/>
        </w:rPr>
        <w:t xml:space="preserve">is a need for </w:t>
      </w:r>
      <w:r w:rsidRPr="00581DB5">
        <w:rPr>
          <w:rFonts w:ascii="Times New Roman" w:hAnsi="Times New Roman"/>
          <w:bCs/>
          <w:sz w:val="24"/>
          <w:szCs w:val="24"/>
        </w:rPr>
        <w:t>in-depth testing of youth</w:t>
      </w:r>
      <w:r w:rsidR="004C667B">
        <w:rPr>
          <w:rFonts w:ascii="Times New Roman" w:hAnsi="Times New Roman"/>
          <w:bCs/>
          <w:sz w:val="24"/>
          <w:szCs w:val="24"/>
        </w:rPr>
        <w:t xml:space="preserve"> and adult</w:t>
      </w:r>
      <w:r w:rsidRPr="00581DB5">
        <w:rPr>
          <w:rFonts w:ascii="Times New Roman" w:hAnsi="Times New Roman"/>
          <w:bCs/>
          <w:sz w:val="24"/>
          <w:szCs w:val="24"/>
        </w:rPr>
        <w:t xml:space="preserve"> reactions to different types of tobacco facts</w:t>
      </w:r>
      <w:r w:rsidR="004C667B">
        <w:rPr>
          <w:rFonts w:ascii="Times New Roman" w:hAnsi="Times New Roman"/>
          <w:bCs/>
          <w:sz w:val="24"/>
          <w:szCs w:val="24"/>
        </w:rPr>
        <w:t>. T</w:t>
      </w:r>
      <w:r w:rsidRPr="00581DB5">
        <w:rPr>
          <w:rFonts w:ascii="Times New Roman" w:hAnsi="Times New Roman"/>
          <w:bCs/>
          <w:sz w:val="24"/>
          <w:szCs w:val="24"/>
        </w:rPr>
        <w:t xml:space="preserve">here are limited data sources that can help identify the most effective tobacco use prevention campaign messages.  In order to ensure no duplication of efforts, we have reviewed existing data sets to determine whether any of them are sufficiently similar or could be modified to address FDA’s need for information on the tobacco use prevention campaign messages with respect to reducing youth tobacco initiation. </w:t>
      </w:r>
    </w:p>
    <w:p w:rsidRPr="00581DB5" w:rsidR="002E3ECD" w:rsidP="00581DB5" w:rsidRDefault="002E3ECD" w14:paraId="37123175"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outlineLvl w:val="2"/>
        <w:rPr>
          <w:rFonts w:ascii="Times New Roman" w:hAnsi="Times New Roman"/>
          <w:bCs/>
          <w:sz w:val="24"/>
          <w:szCs w:val="24"/>
        </w:rPr>
      </w:pPr>
    </w:p>
    <w:p w:rsidR="002E3ECD" w:rsidP="00581DB5" w:rsidRDefault="002E3ECD" w14:paraId="5000212E"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outlineLvl w:val="2"/>
        <w:rPr>
          <w:rFonts w:ascii="Times New Roman" w:hAnsi="Times New Roman"/>
          <w:bCs/>
          <w:sz w:val="24"/>
          <w:szCs w:val="24"/>
        </w:rPr>
      </w:pPr>
      <w:r w:rsidRPr="00581DB5">
        <w:rPr>
          <w:rFonts w:ascii="Times New Roman" w:hAnsi="Times New Roman"/>
          <w:bCs/>
          <w:sz w:val="24"/>
          <w:szCs w:val="24"/>
        </w:rPr>
        <w:t>FDA collaborates with other federal government agencies that sponsor or endorse health communication projects, such as the Centers for Disease Control and Prevention, Office on Smoking and Health (CDC/OSH), the Substance Abuse and Mental Health Services Administration (SAMHSA) and the National Institutes of Health – National Cancer Institute (NIH/NCI).  These affiliations serve as information channels, help prevent redundancy, and promote use of consistent measures of effectiveness.  Coordination activities include:</w:t>
      </w:r>
    </w:p>
    <w:p w:rsidRPr="00581DB5" w:rsidR="00581DB5" w:rsidP="00581DB5" w:rsidRDefault="00581DB5" w14:paraId="699983A1"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outlineLvl w:val="2"/>
        <w:rPr>
          <w:rFonts w:ascii="Times New Roman" w:hAnsi="Times New Roman"/>
          <w:bCs/>
          <w:sz w:val="24"/>
          <w:szCs w:val="24"/>
        </w:rPr>
      </w:pPr>
    </w:p>
    <w:p w:rsidRPr="00581DB5" w:rsidR="002E3ECD" w:rsidP="00581DB5" w:rsidRDefault="002E3ECD" w14:paraId="415BB1FF" w14:textId="77777777">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Cs/>
          <w:sz w:val="24"/>
          <w:szCs w:val="24"/>
        </w:rPr>
      </w:pPr>
      <w:r w:rsidRPr="00581DB5">
        <w:rPr>
          <w:rFonts w:ascii="Times New Roman" w:hAnsi="Times New Roman"/>
          <w:bCs/>
          <w:sz w:val="24"/>
          <w:szCs w:val="24"/>
        </w:rPr>
        <w:t>Review of proposed messages for advertisements;</w:t>
      </w:r>
    </w:p>
    <w:p w:rsidRPr="00581DB5" w:rsidR="002E3ECD" w:rsidP="00581DB5" w:rsidRDefault="002E3ECD" w14:paraId="75C85CCC" w14:textId="77777777">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Cs/>
          <w:sz w:val="24"/>
          <w:szCs w:val="24"/>
        </w:rPr>
      </w:pPr>
      <w:r w:rsidRPr="00581DB5">
        <w:rPr>
          <w:rFonts w:ascii="Times New Roman" w:hAnsi="Times New Roman"/>
          <w:bCs/>
          <w:sz w:val="24"/>
          <w:szCs w:val="24"/>
        </w:rPr>
        <w:t>Review of questionnaires for testing purposes;</w:t>
      </w:r>
    </w:p>
    <w:p w:rsidRPr="00581DB5" w:rsidR="002E3ECD" w:rsidP="00581DB5" w:rsidRDefault="002E3ECD" w14:paraId="229D0429" w14:textId="77777777">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Cs/>
          <w:sz w:val="24"/>
          <w:szCs w:val="24"/>
        </w:rPr>
      </w:pPr>
      <w:r w:rsidRPr="00581DB5">
        <w:rPr>
          <w:rFonts w:ascii="Times New Roman" w:hAnsi="Times New Roman"/>
          <w:bCs/>
          <w:sz w:val="24"/>
          <w:szCs w:val="24"/>
        </w:rPr>
        <w:t>Sharing data; and</w:t>
      </w:r>
    </w:p>
    <w:p w:rsidRPr="00581DB5" w:rsidR="002E3ECD" w:rsidP="00581DB5" w:rsidRDefault="002E3ECD" w14:paraId="7CB54AB8" w14:textId="77777777">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Cs/>
          <w:sz w:val="24"/>
          <w:szCs w:val="24"/>
        </w:rPr>
      </w:pPr>
      <w:r w:rsidRPr="00581DB5">
        <w:rPr>
          <w:rFonts w:ascii="Times New Roman" w:hAnsi="Times New Roman"/>
          <w:bCs/>
          <w:sz w:val="24"/>
          <w:szCs w:val="24"/>
        </w:rPr>
        <w:t xml:space="preserve">Standardizing survey tools where at all possible. </w:t>
      </w:r>
    </w:p>
    <w:p w:rsidRPr="00581DB5" w:rsidR="002E3ECD" w:rsidP="00581DB5" w:rsidRDefault="002E3ECD" w14:paraId="52006D07"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outlineLvl w:val="2"/>
        <w:rPr>
          <w:rFonts w:ascii="Times New Roman" w:hAnsi="Times New Roman"/>
          <w:bCs/>
          <w:sz w:val="24"/>
          <w:szCs w:val="24"/>
        </w:rPr>
      </w:pPr>
    </w:p>
    <w:p w:rsidRPr="00581DB5" w:rsidR="002E3ECD" w:rsidP="00581DB5" w:rsidRDefault="002E3ECD" w14:paraId="75638CDE"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outlineLvl w:val="2"/>
        <w:rPr>
          <w:rFonts w:ascii="Times New Roman" w:hAnsi="Times New Roman"/>
          <w:bCs/>
          <w:sz w:val="24"/>
          <w:szCs w:val="24"/>
        </w:rPr>
      </w:pPr>
      <w:r w:rsidRPr="00581DB5">
        <w:rPr>
          <w:rFonts w:ascii="Times New Roman" w:hAnsi="Times New Roman"/>
          <w:bCs/>
          <w:sz w:val="24"/>
          <w:szCs w:val="24"/>
        </w:rPr>
        <w:t xml:space="preserve">FDA will share the findings from this collection of information with these agencies. </w:t>
      </w:r>
    </w:p>
    <w:p w:rsidRPr="00581DB5" w:rsidR="002E3ECD" w:rsidP="00581DB5" w:rsidRDefault="002E3ECD" w14:paraId="07200D00"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outlineLvl w:val="2"/>
        <w:rPr>
          <w:rFonts w:ascii="Times New Roman" w:hAnsi="Times New Roman"/>
          <w:bCs/>
          <w:sz w:val="24"/>
          <w:szCs w:val="24"/>
        </w:rPr>
      </w:pPr>
      <w:r w:rsidRPr="00581DB5">
        <w:rPr>
          <w:rFonts w:ascii="Times New Roman" w:hAnsi="Times New Roman"/>
          <w:bCs/>
          <w:sz w:val="24"/>
          <w:szCs w:val="24"/>
        </w:rPr>
        <w:t xml:space="preserve">CDC and FDA are developing complementary but distinct communication campaigns to educate the public about the harmful effects of tobacco products.  Staff members in FDA’s Health Communication and Education unit work closely with staff in OSH’s Health Communications Branch.  Regularly scheduled conference calls are held to review plans, discuss campaign coordination and share research findings of mutual interest. Staff members in FDA’s Health Communication and Education unit are thus working closely with staff in OSH’s Health Communications Branch, ASPA, ASPE, and other HHS OPDIVS as appropriate.  It was determined that message testing proposed </w:t>
      </w:r>
      <w:r w:rsidR="008F5741">
        <w:rPr>
          <w:rFonts w:ascii="Times New Roman" w:hAnsi="Times New Roman"/>
          <w:bCs/>
          <w:sz w:val="24"/>
          <w:szCs w:val="24"/>
        </w:rPr>
        <w:t>for this data collection</w:t>
      </w:r>
      <w:r w:rsidRPr="00581DB5">
        <w:rPr>
          <w:rFonts w:ascii="Times New Roman" w:hAnsi="Times New Roman"/>
          <w:bCs/>
          <w:sz w:val="24"/>
          <w:szCs w:val="24"/>
        </w:rPr>
        <w:t xml:space="preserve"> do not duplicate CDC/OSH efforts. </w:t>
      </w:r>
    </w:p>
    <w:p w:rsidRPr="00581DB5" w:rsidR="002E3ECD" w:rsidP="00581DB5" w:rsidRDefault="002E3ECD" w14:paraId="739F5F49"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outlineLvl w:val="2"/>
        <w:rPr>
          <w:rFonts w:ascii="Times New Roman" w:hAnsi="Times New Roman"/>
          <w:bCs/>
          <w:sz w:val="24"/>
          <w:szCs w:val="24"/>
        </w:rPr>
      </w:pPr>
    </w:p>
    <w:p w:rsidRPr="00581DB5" w:rsidR="002E3ECD" w:rsidP="00581DB5" w:rsidRDefault="002E3ECD" w14:paraId="44176CC1"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outlineLvl w:val="2"/>
        <w:rPr>
          <w:rFonts w:ascii="Times New Roman" w:hAnsi="Times New Roman"/>
          <w:bCs/>
          <w:sz w:val="24"/>
          <w:szCs w:val="24"/>
        </w:rPr>
      </w:pPr>
      <w:r w:rsidRPr="00581DB5">
        <w:rPr>
          <w:rFonts w:ascii="Times New Roman" w:hAnsi="Times New Roman"/>
          <w:bCs/>
          <w:sz w:val="24"/>
          <w:szCs w:val="24"/>
        </w:rPr>
        <w:lastRenderedPageBreak/>
        <w:t>Points of contact for this coordination are:</w:t>
      </w:r>
    </w:p>
    <w:p w:rsidRPr="00581DB5" w:rsidR="002E3ECD" w:rsidP="00581DB5" w:rsidRDefault="002E3ECD" w14:paraId="51B3FE0E"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outlineLvl w:val="2"/>
        <w:rPr>
          <w:rFonts w:ascii="Times New Roman" w:hAnsi="Times New Roman"/>
          <w:bCs/>
          <w:sz w:val="24"/>
          <w:szCs w:val="24"/>
        </w:rPr>
      </w:pPr>
    </w:p>
    <w:p w:rsidRPr="00581DB5" w:rsidR="002E3ECD" w:rsidP="00581DB5" w:rsidRDefault="002E3ECD" w14:paraId="0126460B"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outlineLvl w:val="2"/>
        <w:rPr>
          <w:rFonts w:ascii="Times New Roman" w:hAnsi="Times New Roman"/>
          <w:bCs/>
          <w:sz w:val="24"/>
          <w:szCs w:val="24"/>
        </w:rPr>
      </w:pPr>
      <w:r w:rsidRPr="00581DB5">
        <w:rPr>
          <w:rFonts w:ascii="Times New Roman" w:hAnsi="Times New Roman"/>
          <w:bCs/>
          <w:sz w:val="24"/>
          <w:szCs w:val="24"/>
        </w:rPr>
        <w:t xml:space="preserve">CDC: Diane Beistle, Chief, Health Communication Branch, Phone: (770) 488-5066, Email: </w:t>
      </w:r>
      <w:hyperlink w:history="1" r:id="rId8">
        <w:r w:rsidRPr="009F5736" w:rsidR="00581DB5">
          <w:rPr>
            <w:rStyle w:val="Hyperlink"/>
            <w:rFonts w:ascii="Times New Roman" w:hAnsi="Times New Roman"/>
            <w:bCs/>
            <w:sz w:val="24"/>
            <w:szCs w:val="24"/>
          </w:rPr>
          <w:t>zgv1@cdc.gov</w:t>
        </w:r>
      </w:hyperlink>
      <w:r w:rsidR="00581DB5">
        <w:rPr>
          <w:rFonts w:ascii="Times New Roman" w:hAnsi="Times New Roman"/>
          <w:bCs/>
          <w:sz w:val="24"/>
          <w:szCs w:val="24"/>
        </w:rPr>
        <w:t xml:space="preserve"> </w:t>
      </w:r>
    </w:p>
    <w:p w:rsidRPr="00581DB5" w:rsidR="002E3ECD" w:rsidP="00581DB5" w:rsidRDefault="002E3ECD" w14:paraId="3459B723"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outlineLvl w:val="2"/>
        <w:rPr>
          <w:rFonts w:ascii="Times New Roman" w:hAnsi="Times New Roman"/>
          <w:bCs/>
          <w:sz w:val="24"/>
          <w:szCs w:val="24"/>
        </w:rPr>
      </w:pPr>
    </w:p>
    <w:p w:rsidRPr="00581DB5" w:rsidR="002E3ECD" w:rsidP="00581DB5" w:rsidRDefault="002E3ECD" w14:paraId="70D39AD2"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outlineLvl w:val="2"/>
        <w:rPr>
          <w:rFonts w:ascii="Times New Roman" w:hAnsi="Times New Roman"/>
          <w:bCs/>
          <w:sz w:val="24"/>
          <w:szCs w:val="24"/>
        </w:rPr>
      </w:pPr>
      <w:r w:rsidRPr="00581DB5">
        <w:rPr>
          <w:rFonts w:ascii="Times New Roman" w:hAnsi="Times New Roman"/>
          <w:bCs/>
          <w:sz w:val="24"/>
          <w:szCs w:val="24"/>
        </w:rPr>
        <w:t xml:space="preserve">CDC: Deesha Patel, Health Communication Specialist, Health Communication Branch, Phone: (770) 488-8503, Email: </w:t>
      </w:r>
      <w:hyperlink w:history="1" r:id="rId9">
        <w:r w:rsidRPr="009F5736" w:rsidR="00581DB5">
          <w:rPr>
            <w:rStyle w:val="Hyperlink"/>
            <w:rFonts w:ascii="Times New Roman" w:hAnsi="Times New Roman"/>
            <w:bCs/>
            <w:sz w:val="24"/>
            <w:szCs w:val="24"/>
          </w:rPr>
          <w:t>wnm2@cdc.gov</w:t>
        </w:r>
      </w:hyperlink>
      <w:r w:rsidR="00581DB5">
        <w:rPr>
          <w:rFonts w:ascii="Times New Roman" w:hAnsi="Times New Roman"/>
          <w:bCs/>
          <w:sz w:val="24"/>
          <w:szCs w:val="24"/>
        </w:rPr>
        <w:t xml:space="preserve"> </w:t>
      </w:r>
      <w:r w:rsidRPr="00581DB5">
        <w:rPr>
          <w:rFonts w:ascii="Times New Roman" w:hAnsi="Times New Roman"/>
          <w:bCs/>
          <w:sz w:val="24"/>
          <w:szCs w:val="24"/>
        </w:rPr>
        <w:t xml:space="preserve">  </w:t>
      </w:r>
    </w:p>
    <w:p w:rsidRPr="00581DB5" w:rsidR="002E3ECD" w:rsidP="008F5741" w:rsidRDefault="002E3ECD" w14:paraId="00E75F38"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Cs/>
          <w:sz w:val="24"/>
          <w:szCs w:val="24"/>
        </w:rPr>
      </w:pPr>
    </w:p>
    <w:p w:rsidRPr="00581DB5" w:rsidR="002E3ECD" w:rsidP="00581DB5" w:rsidRDefault="002E3ECD" w14:paraId="473C9905"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outlineLvl w:val="2"/>
        <w:rPr>
          <w:rFonts w:ascii="Times New Roman" w:hAnsi="Times New Roman"/>
          <w:bCs/>
          <w:sz w:val="24"/>
          <w:szCs w:val="24"/>
        </w:rPr>
      </w:pPr>
      <w:r w:rsidRPr="00581DB5">
        <w:rPr>
          <w:rFonts w:ascii="Times New Roman" w:hAnsi="Times New Roman"/>
          <w:bCs/>
          <w:sz w:val="24"/>
          <w:szCs w:val="24"/>
        </w:rPr>
        <w:t xml:space="preserve">NCI: Yvonne Hunt, Program Director, Tobacco Control Research Branch, Phone: (240) 276–6975, Email: </w:t>
      </w:r>
      <w:hyperlink w:history="1" r:id="rId10">
        <w:r w:rsidRPr="009F5736" w:rsidR="00581DB5">
          <w:rPr>
            <w:rStyle w:val="Hyperlink"/>
            <w:rFonts w:ascii="Times New Roman" w:hAnsi="Times New Roman"/>
            <w:bCs/>
            <w:sz w:val="24"/>
            <w:szCs w:val="24"/>
          </w:rPr>
          <w:t>huntym@mail.nih.gov</w:t>
        </w:r>
      </w:hyperlink>
      <w:r w:rsidR="00581DB5">
        <w:rPr>
          <w:rFonts w:ascii="Times New Roman" w:hAnsi="Times New Roman"/>
          <w:bCs/>
          <w:sz w:val="24"/>
          <w:szCs w:val="24"/>
        </w:rPr>
        <w:t xml:space="preserve"> </w:t>
      </w:r>
    </w:p>
    <w:p w:rsidRPr="005E5681" w:rsidR="005C0FF9" w:rsidP="00EB43D0" w:rsidRDefault="005C0FF9" w14:paraId="7AC73F10"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8459A9" w:rsidR="005C0FF9" w:rsidP="008459A9" w:rsidRDefault="005C0FF9" w14:paraId="48CB43D8" w14:textId="77777777">
      <w:pPr>
        <w:autoSpaceDE/>
        <w:autoSpaceDN/>
        <w:adjustRightInd/>
        <w:rPr>
          <w:rFonts w:ascii="Times New Roman" w:hAnsi="Times New Roman"/>
          <w:b/>
          <w:bCs/>
          <w:sz w:val="24"/>
          <w:szCs w:val="24"/>
        </w:rPr>
      </w:pPr>
      <w:bookmarkStart w:name="_Toc239649225" w:id="7"/>
      <w:r w:rsidRPr="005E5681">
        <w:rPr>
          <w:rFonts w:ascii="Times New Roman" w:hAnsi="Times New Roman"/>
          <w:b/>
          <w:bCs/>
          <w:sz w:val="24"/>
          <w:szCs w:val="24"/>
        </w:rPr>
        <w:t>5.</w:t>
      </w:r>
      <w:r w:rsidRPr="005E5681">
        <w:rPr>
          <w:rFonts w:ascii="Times New Roman" w:hAnsi="Times New Roman"/>
          <w:sz w:val="24"/>
          <w:szCs w:val="24"/>
        </w:rPr>
        <w:t xml:space="preserve">   </w:t>
      </w:r>
      <w:r w:rsidRPr="005E5681">
        <w:rPr>
          <w:rFonts w:ascii="Times New Roman" w:hAnsi="Times New Roman"/>
          <w:b/>
          <w:bCs/>
          <w:sz w:val="24"/>
          <w:szCs w:val="24"/>
          <w:u w:val="single"/>
        </w:rPr>
        <w:t>Impact on Small Businesses or Other Small Entities</w:t>
      </w:r>
      <w:bookmarkEnd w:id="7"/>
    </w:p>
    <w:p w:rsidR="00581DB5" w:rsidP="00EB43D0" w:rsidRDefault="00581DB5" w14:paraId="38F69933"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sz w:val="24"/>
          <w:szCs w:val="24"/>
        </w:rPr>
      </w:pPr>
      <w:bookmarkStart w:name="_Toc239649226" w:id="8"/>
    </w:p>
    <w:p w:rsidR="00581DB5" w:rsidP="00581DB5" w:rsidRDefault="00581DB5" w14:paraId="67600A4C"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outlineLvl w:val="2"/>
        <w:rPr>
          <w:rFonts w:ascii="Times New Roman" w:hAnsi="Times New Roman"/>
          <w:sz w:val="24"/>
          <w:szCs w:val="24"/>
        </w:rPr>
      </w:pPr>
      <w:r w:rsidRPr="00581DB5">
        <w:rPr>
          <w:rFonts w:ascii="Times New Roman" w:hAnsi="Times New Roman"/>
          <w:sz w:val="24"/>
          <w:szCs w:val="24"/>
        </w:rPr>
        <w:t>Respondents in this study will be members of the general public, specific subpopulations or specific professions, not business entities. No impact on small businesses or other small entities is anticipated.</w:t>
      </w:r>
    </w:p>
    <w:p w:rsidR="00581DB5" w:rsidP="00EB43D0" w:rsidRDefault="00581DB5" w14:paraId="6A77FE77"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sz w:val="24"/>
          <w:szCs w:val="24"/>
        </w:rPr>
      </w:pPr>
    </w:p>
    <w:p w:rsidR="005C0FF9" w:rsidP="00EB43D0" w:rsidRDefault="005C0FF9" w14:paraId="186A1AE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u w:val="single"/>
        </w:rPr>
      </w:pPr>
      <w:r w:rsidRPr="005E5681">
        <w:rPr>
          <w:rFonts w:ascii="Times New Roman" w:hAnsi="Times New Roman"/>
          <w:b/>
          <w:bCs/>
          <w:sz w:val="24"/>
          <w:szCs w:val="24"/>
        </w:rPr>
        <w:t>6.</w:t>
      </w:r>
      <w:r w:rsidRPr="005E5681">
        <w:rPr>
          <w:rFonts w:ascii="Times New Roman" w:hAnsi="Times New Roman"/>
          <w:sz w:val="24"/>
          <w:szCs w:val="24"/>
        </w:rPr>
        <w:t xml:space="preserve">  </w:t>
      </w:r>
      <w:r w:rsidRPr="005E5681">
        <w:rPr>
          <w:rFonts w:ascii="Times New Roman" w:hAnsi="Times New Roman"/>
          <w:b/>
          <w:bCs/>
          <w:sz w:val="24"/>
          <w:szCs w:val="24"/>
          <w:u w:val="single"/>
        </w:rPr>
        <w:t>Consequence of Collecting the Information Less Frequently</w:t>
      </w:r>
      <w:bookmarkEnd w:id="8"/>
    </w:p>
    <w:p w:rsidRPr="00326C6F" w:rsidR="00581DB5" w:rsidP="00EB43D0" w:rsidRDefault="00581DB5" w14:paraId="399723E7"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u w:val="single"/>
        </w:rPr>
      </w:pPr>
    </w:p>
    <w:p w:rsidR="00581DB5" w:rsidP="00581DB5" w:rsidRDefault="00581DB5" w14:paraId="764924CA" w14:textId="77777777">
      <w:pPr>
        <w:numPr>
          <w:ilvl w:val="12"/>
          <w:numId w:val="0"/>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outlineLvl w:val="2"/>
        <w:rPr>
          <w:rFonts w:ascii="Times New Roman" w:hAnsi="Times New Roman"/>
          <w:sz w:val="24"/>
          <w:szCs w:val="24"/>
        </w:rPr>
      </w:pPr>
      <w:bookmarkStart w:name="_Toc239649227" w:id="9"/>
      <w:r w:rsidRPr="00581DB5">
        <w:rPr>
          <w:rFonts w:ascii="Times New Roman" w:hAnsi="Times New Roman"/>
          <w:sz w:val="24"/>
          <w:szCs w:val="24"/>
        </w:rPr>
        <w:t xml:space="preserve">Respondents to this collection of information will answer only once to ensure the participant burden is as low as possible. Without the information collection requested for this evaluation study, it would be difficult to determine the most effective messages to use in upcoming tobacco prevention campaigns. Failure to collect these data could reduce effectiveness of the FDA’s messaging, and therefore reduce the benefit of the messages for youth in the United States. </w:t>
      </w:r>
    </w:p>
    <w:p w:rsidR="00581DB5" w:rsidP="00581DB5" w:rsidRDefault="00581DB5" w14:paraId="6F154B59" w14:textId="77777777">
      <w:pPr>
        <w:numPr>
          <w:ilvl w:val="12"/>
          <w:numId w:val="0"/>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outlineLvl w:val="2"/>
        <w:rPr>
          <w:rFonts w:ascii="Times New Roman" w:hAnsi="Times New Roman"/>
          <w:sz w:val="24"/>
          <w:szCs w:val="24"/>
        </w:rPr>
      </w:pPr>
    </w:p>
    <w:p w:rsidRPr="009943A6" w:rsidR="005C0FF9" w:rsidP="00EB43D0" w:rsidRDefault="005C0FF9" w14:paraId="3D65EA5E"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sz w:val="24"/>
          <w:szCs w:val="24"/>
        </w:rPr>
      </w:pPr>
      <w:r w:rsidRPr="009943A6">
        <w:rPr>
          <w:rFonts w:ascii="Times New Roman" w:hAnsi="Times New Roman"/>
          <w:b/>
          <w:bCs/>
          <w:sz w:val="24"/>
          <w:szCs w:val="24"/>
        </w:rPr>
        <w:t>7.</w:t>
      </w:r>
      <w:r w:rsidRPr="009943A6">
        <w:rPr>
          <w:rFonts w:ascii="Times New Roman" w:hAnsi="Times New Roman"/>
          <w:b/>
          <w:sz w:val="24"/>
          <w:szCs w:val="24"/>
        </w:rPr>
        <w:t xml:space="preserve">  </w:t>
      </w:r>
      <w:r w:rsidRPr="009943A6">
        <w:rPr>
          <w:rFonts w:ascii="Times New Roman" w:hAnsi="Times New Roman"/>
          <w:b/>
          <w:bCs/>
          <w:sz w:val="24"/>
          <w:szCs w:val="24"/>
          <w:u w:val="single"/>
        </w:rPr>
        <w:t>Special Circumstances Relating to the Guidelines of 5 CFR 1320.5</w:t>
      </w:r>
      <w:bookmarkEnd w:id="9"/>
    </w:p>
    <w:p w:rsidRPr="002051D8" w:rsidR="005C0FF9" w:rsidP="00EB43D0" w:rsidRDefault="005C0FF9" w14:paraId="09DCEEC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00355B8B" w:rsidP="00581DB5" w:rsidRDefault="00581DB5" w14:paraId="7BC0AE24" w14:textId="678BDC4F">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pPr>
      <w:r w:rsidRPr="00581DB5">
        <w:rPr>
          <w:rFonts w:ascii="Times New Roman" w:hAnsi="Times New Roman"/>
          <w:sz w:val="24"/>
          <w:szCs w:val="24"/>
        </w:rPr>
        <w:t>There are no special circumstances for this collection of information that require the data collection to be conducted in a manner inconsistent with 5 C</w:t>
      </w:r>
      <w:r w:rsidR="00813FD2">
        <w:rPr>
          <w:rFonts w:ascii="Times New Roman" w:hAnsi="Times New Roman"/>
          <w:sz w:val="24"/>
          <w:szCs w:val="24"/>
        </w:rPr>
        <w:t>F</w:t>
      </w:r>
      <w:r w:rsidRPr="00581DB5">
        <w:rPr>
          <w:rFonts w:ascii="Times New Roman" w:hAnsi="Times New Roman"/>
          <w:sz w:val="24"/>
          <w:szCs w:val="24"/>
        </w:rPr>
        <w:t>R 1320.5(d)(2). The message testing activities fully comply with the guidelines in 5 CFR 1320.5.</w:t>
      </w:r>
    </w:p>
    <w:p w:rsidRPr="00AB77E0" w:rsidR="00355B8B" w:rsidP="00EB43D0" w:rsidRDefault="00355B8B" w14:paraId="29E58C3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00BE6F8F" w:rsidP="00BE6F8F" w:rsidRDefault="005C0FF9" w14:paraId="0BB87583"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u w:val="single"/>
        </w:rPr>
      </w:pPr>
      <w:bookmarkStart w:name="_Toc239649228" w:id="10"/>
      <w:r w:rsidRPr="00AB77E0">
        <w:rPr>
          <w:rFonts w:ascii="Times New Roman" w:hAnsi="Times New Roman"/>
          <w:b/>
          <w:bCs/>
          <w:sz w:val="24"/>
          <w:szCs w:val="24"/>
        </w:rPr>
        <w:t xml:space="preserve">8.  </w:t>
      </w:r>
      <w:r w:rsidRPr="00AB77E0">
        <w:rPr>
          <w:rFonts w:ascii="Times New Roman" w:hAnsi="Times New Roman"/>
          <w:b/>
          <w:bCs/>
          <w:sz w:val="24"/>
          <w:szCs w:val="24"/>
          <w:u w:val="single"/>
        </w:rPr>
        <w:t>Comments in Response to the Federal Register Notice and Efforts to Consult Outside</w:t>
      </w:r>
      <w:bookmarkEnd w:id="10"/>
      <w:r w:rsidRPr="00AB77E0">
        <w:rPr>
          <w:rFonts w:ascii="Times New Roman" w:hAnsi="Times New Roman"/>
          <w:b/>
          <w:bCs/>
          <w:sz w:val="24"/>
          <w:szCs w:val="24"/>
          <w:u w:val="single"/>
        </w:rPr>
        <w:t xml:space="preserve"> </w:t>
      </w:r>
      <w:r w:rsidR="00BE6F8F">
        <w:rPr>
          <w:rFonts w:ascii="Times New Roman" w:hAnsi="Times New Roman"/>
          <w:b/>
          <w:bCs/>
          <w:sz w:val="24"/>
          <w:szCs w:val="24"/>
          <w:u w:val="single"/>
        </w:rPr>
        <w:t xml:space="preserve"> </w:t>
      </w:r>
    </w:p>
    <w:p w:rsidRPr="00AB77E0" w:rsidR="005C0FF9" w:rsidP="00BE6F8F" w:rsidRDefault="00BE6F8F" w14:paraId="6C343C1F" w14:textId="3AB5B63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u w:val="single"/>
        </w:rPr>
      </w:pPr>
      <w:r w:rsidRPr="00BE6F8F">
        <w:rPr>
          <w:rFonts w:ascii="Times New Roman" w:hAnsi="Times New Roman"/>
          <w:b/>
          <w:bCs/>
          <w:sz w:val="24"/>
          <w:szCs w:val="24"/>
        </w:rPr>
        <w:t xml:space="preserve">     </w:t>
      </w:r>
      <w:r w:rsidR="00813FD2">
        <w:rPr>
          <w:rFonts w:ascii="Times New Roman" w:hAnsi="Times New Roman"/>
          <w:b/>
          <w:bCs/>
          <w:sz w:val="24"/>
          <w:szCs w:val="24"/>
          <w:u w:val="single"/>
        </w:rPr>
        <w:t xml:space="preserve">the </w:t>
      </w:r>
      <w:bookmarkStart w:name="_Toc239649229" w:id="11"/>
      <w:r w:rsidRPr="00AB77E0" w:rsidR="005C0FF9">
        <w:rPr>
          <w:rFonts w:ascii="Times New Roman" w:hAnsi="Times New Roman"/>
          <w:b/>
          <w:bCs/>
          <w:sz w:val="24"/>
          <w:szCs w:val="24"/>
          <w:u w:val="single"/>
        </w:rPr>
        <w:t>Agency</w:t>
      </w:r>
      <w:bookmarkEnd w:id="11"/>
    </w:p>
    <w:p w:rsidR="00D66F13" w:rsidP="00EB43D0" w:rsidRDefault="00D66F13" w14:paraId="2AF35F09" w14:textId="77777777">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outlineLvl w:val="2"/>
        <w:rPr>
          <w:rFonts w:ascii="Times New Roman" w:hAnsi="Times New Roman"/>
          <w:b/>
          <w:bCs/>
          <w:sz w:val="24"/>
          <w:szCs w:val="24"/>
          <w:u w:val="single"/>
        </w:rPr>
      </w:pPr>
    </w:p>
    <w:p w:rsidR="005C0FF9" w:rsidP="00581DB5" w:rsidRDefault="00581DB5" w14:paraId="559193CA" w14:textId="17B75804">
      <w:pPr>
        <w:ind w:left="270"/>
        <w:rPr>
          <w:rFonts w:ascii="Times New Roman" w:hAnsi="Times New Roman"/>
          <w:sz w:val="24"/>
          <w:szCs w:val="24"/>
        </w:rPr>
      </w:pPr>
      <w:r>
        <w:rPr>
          <w:rFonts w:ascii="Times New Roman" w:hAnsi="Times New Roman"/>
          <w:sz w:val="24"/>
          <w:szCs w:val="24"/>
        </w:rPr>
        <w:t>Not applicable.</w:t>
      </w:r>
    </w:p>
    <w:p w:rsidR="005C15B3" w:rsidP="00581DB5" w:rsidRDefault="005C15B3" w14:paraId="62D8C2B0" w14:textId="30B1B966">
      <w:pPr>
        <w:ind w:left="270"/>
        <w:rPr>
          <w:rFonts w:ascii="Times New Roman" w:hAnsi="Times New Roman"/>
          <w:sz w:val="24"/>
          <w:szCs w:val="24"/>
        </w:rPr>
      </w:pPr>
    </w:p>
    <w:p w:rsidRPr="002051D8" w:rsidR="005C0FF9" w:rsidP="00EB43D0" w:rsidRDefault="005C0FF9" w14:paraId="3999C2E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u w:val="single"/>
        </w:rPr>
      </w:pPr>
      <w:bookmarkStart w:name="_Toc239649230" w:id="12"/>
      <w:r w:rsidRPr="002051D8">
        <w:rPr>
          <w:rFonts w:ascii="Times New Roman" w:hAnsi="Times New Roman"/>
          <w:b/>
          <w:bCs/>
          <w:sz w:val="24"/>
          <w:szCs w:val="24"/>
        </w:rPr>
        <w:t xml:space="preserve">9.  </w:t>
      </w:r>
      <w:r w:rsidRPr="002051D8">
        <w:rPr>
          <w:rFonts w:ascii="Times New Roman" w:hAnsi="Times New Roman"/>
          <w:b/>
          <w:bCs/>
          <w:sz w:val="24"/>
          <w:szCs w:val="24"/>
          <w:u w:val="single"/>
        </w:rPr>
        <w:t>Explanation of Any Payment or Gift to Respondents</w:t>
      </w:r>
      <w:bookmarkEnd w:id="12"/>
    </w:p>
    <w:p w:rsidRPr="00AE1FC1" w:rsidR="00AE1FC1" w:rsidP="00BE6F8F" w:rsidRDefault="00AE1FC1" w14:paraId="324DF08F" w14:textId="77777777">
      <w:pPr>
        <w:spacing w:after="240"/>
        <w:ind w:left="274"/>
        <w:rPr>
          <w:rFonts w:ascii="Times New Roman" w:hAnsi="Times New Roman"/>
          <w:sz w:val="24"/>
          <w:szCs w:val="24"/>
        </w:rPr>
      </w:pPr>
      <w:bookmarkStart w:name="_Toc239649231" w:id="13"/>
      <w:r w:rsidRPr="00AE1FC1">
        <w:rPr>
          <w:rFonts w:ascii="Times New Roman" w:hAnsi="Times New Roman"/>
          <w:sz w:val="24"/>
          <w:szCs w:val="24"/>
        </w:rPr>
        <w:t>As is customary with online surveys conducted via panel sampling, panelists are invited by the panel management company to respond to the survey opportunity incentivized with award points that are accrued and redeemable with the panel company for cash or other rewards. For example: 100 points is equivalent to $1 which can be redeemed through Amazon E-Gift voucher or E-Visa. The award points offered for participation in these studies will be valued at not more than $10. A participant must be eligible to participate (per the screener) and submit the questionnaire to receive the token of appreciation.</w:t>
      </w:r>
    </w:p>
    <w:p w:rsidRPr="00AE1FC1" w:rsidR="00AE1FC1" w:rsidP="00BE6F8F" w:rsidRDefault="00AE1FC1" w14:paraId="731269C6" w14:textId="77777777">
      <w:pPr>
        <w:spacing w:after="240"/>
        <w:ind w:left="274"/>
        <w:rPr>
          <w:rFonts w:ascii="Times New Roman" w:hAnsi="Times New Roman"/>
          <w:sz w:val="24"/>
          <w:szCs w:val="24"/>
        </w:rPr>
      </w:pPr>
      <w:r w:rsidRPr="00AE1FC1">
        <w:rPr>
          <w:rFonts w:ascii="Times New Roman" w:hAnsi="Times New Roman"/>
          <w:sz w:val="24"/>
          <w:szCs w:val="24"/>
        </w:rPr>
        <w:lastRenderedPageBreak/>
        <w:t>Numerous empirical studies have shown that a token of appreciation can significantly increase response rates in cross-sectional surveys and reduce attrition in longitudinal surveys (e.g., Abreu &amp; Winters, 1999; Castiglioni, Pforr, &amp; Krieger, 2008; Jäckle &amp; Lynn, 2008; Shettle &amp; Mooney, 1999; Singer, 2002). The use of a modest incentive is expected to enhance survey response rates without biasing responses. An incentive must be high enough to address competing demands for participants’ time and to equalize the burden placed on participants with respect to their time and cost of participation. An inadequate incentive may also result in a significantly more difficult and lengthy recruitment process and/or increases in the number of participants who agree to participate and then drop out early. An inadequate incentive may thus result in a more costly and lengthy period of data collection by increasing recruitment and other associated data collection costs.</w:t>
      </w:r>
    </w:p>
    <w:p w:rsidRPr="00AE1FC1" w:rsidR="00AE1FC1" w:rsidP="00BE6F8F" w:rsidRDefault="00AE1FC1" w14:paraId="2470CA3E" w14:textId="77777777">
      <w:pPr>
        <w:spacing w:after="240"/>
        <w:ind w:left="274"/>
        <w:rPr>
          <w:rFonts w:ascii="Times New Roman" w:hAnsi="Times New Roman"/>
          <w:sz w:val="24"/>
          <w:szCs w:val="24"/>
        </w:rPr>
      </w:pPr>
      <w:r w:rsidRPr="00AE1FC1">
        <w:rPr>
          <w:rFonts w:ascii="Times New Roman" w:hAnsi="Times New Roman"/>
          <w:sz w:val="24"/>
          <w:szCs w:val="24"/>
        </w:rPr>
        <w:t>In this research, we are asking participants to respond to close-ended questions and provide thought-intensive, open-ended feedback on video ads, which requires a high level of engagement. The use of an incentive is provided as a thank you for the participants' time and the effort they expend to participate. We believe that utilizing</w:t>
      </w:r>
      <w:r>
        <w:rPr>
          <w:rFonts w:ascii="Times New Roman" w:hAnsi="Times New Roman"/>
          <w:sz w:val="24"/>
          <w:szCs w:val="24"/>
        </w:rPr>
        <w:t xml:space="preserve"> a point award that is valued at not more than</w:t>
      </w:r>
      <w:r w:rsidRPr="00AE1FC1">
        <w:rPr>
          <w:rFonts w:ascii="Times New Roman" w:hAnsi="Times New Roman"/>
          <w:sz w:val="24"/>
          <w:szCs w:val="24"/>
        </w:rPr>
        <w:t xml:space="preserve"> $10 as a token of appreciation in the current study will reduce overall burden by increasing participation rates, thereby reducing the number of participants needed to complete the screener in order to achieve the required sample size.</w:t>
      </w:r>
    </w:p>
    <w:p w:rsidRPr="005E5681" w:rsidR="005C0FF9" w:rsidP="00EB43D0" w:rsidRDefault="005C0FF9" w14:paraId="65A37880" w14:textId="74CB7AC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u w:val="single"/>
        </w:rPr>
      </w:pPr>
      <w:r w:rsidRPr="005E5681">
        <w:rPr>
          <w:rFonts w:ascii="Times New Roman" w:hAnsi="Times New Roman"/>
          <w:b/>
          <w:bCs/>
          <w:sz w:val="24"/>
          <w:szCs w:val="24"/>
        </w:rPr>
        <w:t xml:space="preserve">10. </w:t>
      </w:r>
      <w:r w:rsidRPr="005E5681">
        <w:rPr>
          <w:rFonts w:ascii="Times New Roman" w:hAnsi="Times New Roman"/>
          <w:b/>
          <w:bCs/>
          <w:sz w:val="24"/>
          <w:szCs w:val="24"/>
          <w:u w:val="single"/>
        </w:rPr>
        <w:t>Assurance of Confidentiality Provided to Respondents</w:t>
      </w:r>
      <w:bookmarkEnd w:id="13"/>
    </w:p>
    <w:p w:rsidRPr="005E5681" w:rsidR="005C0FF9" w:rsidP="00EB43D0" w:rsidRDefault="005C0FF9" w14:paraId="4B52A3B6"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005C0FF9" w:rsidP="00BE6F8F" w:rsidRDefault="00A618A9" w14:paraId="3C5F5575" w14:textId="28E6BA59">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4"/>
        <w:rPr>
          <w:rFonts w:ascii="Times New Roman" w:hAnsi="Times New Roman"/>
          <w:sz w:val="24"/>
          <w:szCs w:val="24"/>
        </w:rPr>
      </w:pPr>
      <w:r>
        <w:rPr>
          <w:rFonts w:ascii="Times New Roman" w:hAnsi="Times New Roman"/>
          <w:sz w:val="24"/>
          <w:szCs w:val="24"/>
        </w:rPr>
        <w:t>This study has been reviewed and approved by a</w:t>
      </w:r>
      <w:r w:rsidR="006D54DB">
        <w:rPr>
          <w:rFonts w:ascii="Times New Roman" w:hAnsi="Times New Roman"/>
          <w:sz w:val="24"/>
          <w:szCs w:val="24"/>
        </w:rPr>
        <w:t>n I</w:t>
      </w:r>
      <w:r w:rsidRPr="00581DB5" w:rsidR="00581DB5">
        <w:rPr>
          <w:rFonts w:ascii="Times New Roman" w:hAnsi="Times New Roman"/>
          <w:sz w:val="24"/>
          <w:szCs w:val="24"/>
        </w:rPr>
        <w:t>nstitutional Review Board (IRB)</w:t>
      </w:r>
      <w:r w:rsidR="00DF51C5">
        <w:rPr>
          <w:rFonts w:ascii="Times New Roman" w:hAnsi="Times New Roman"/>
          <w:sz w:val="24"/>
          <w:szCs w:val="24"/>
        </w:rPr>
        <w:t>.</w:t>
      </w:r>
      <w:r w:rsidRPr="00581DB5" w:rsidR="00581DB5">
        <w:rPr>
          <w:rFonts w:ascii="Times New Roman" w:hAnsi="Times New Roman"/>
          <w:sz w:val="24"/>
          <w:szCs w:val="24"/>
        </w:rPr>
        <w:t xml:space="preserve"> The IRB’s primary concern is protecting respondents’ rights, one of which is maintaining the privacy of respondent information to the fullest extent of the law.</w:t>
      </w:r>
    </w:p>
    <w:p w:rsidR="00EB5ADD" w:rsidP="00BE6F8F" w:rsidRDefault="00EB5ADD" w14:paraId="305E4943"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4"/>
        <w:rPr>
          <w:rFonts w:ascii="Times New Roman" w:hAnsi="Times New Roman"/>
          <w:sz w:val="24"/>
          <w:szCs w:val="24"/>
        </w:rPr>
      </w:pPr>
    </w:p>
    <w:p w:rsidRPr="00EB5ADD" w:rsidR="00EB5ADD" w:rsidP="00BE6F8F" w:rsidRDefault="00EB5ADD" w14:paraId="2C2D6E6D"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4"/>
        <w:rPr>
          <w:rFonts w:ascii="Times New Roman" w:hAnsi="Times New Roman"/>
          <w:sz w:val="24"/>
          <w:szCs w:val="24"/>
          <w:u w:val="single"/>
        </w:rPr>
      </w:pPr>
      <w:r w:rsidRPr="00EB5ADD">
        <w:rPr>
          <w:rFonts w:ascii="Times New Roman" w:hAnsi="Times New Roman"/>
          <w:sz w:val="24"/>
          <w:szCs w:val="24"/>
          <w:u w:val="single"/>
        </w:rPr>
        <w:t>Overview of Data Collection System</w:t>
      </w:r>
    </w:p>
    <w:p w:rsidRPr="00EB5ADD" w:rsidR="00EB5ADD" w:rsidP="00BE6F8F" w:rsidRDefault="00EB5ADD" w14:paraId="65F21254"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4"/>
        <w:rPr>
          <w:rFonts w:ascii="Times New Roman" w:hAnsi="Times New Roman"/>
          <w:sz w:val="24"/>
          <w:szCs w:val="24"/>
        </w:rPr>
      </w:pPr>
    </w:p>
    <w:p w:rsidR="00EB5ADD" w:rsidP="00BE6F8F" w:rsidRDefault="00EB5ADD" w14:paraId="12B60C57"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4"/>
        <w:rPr>
          <w:rFonts w:ascii="Times New Roman" w:hAnsi="Times New Roman"/>
          <w:sz w:val="24"/>
          <w:szCs w:val="24"/>
        </w:rPr>
      </w:pPr>
      <w:r w:rsidRPr="00EB5ADD">
        <w:rPr>
          <w:rFonts w:ascii="Times New Roman" w:hAnsi="Times New Roman"/>
          <w:sz w:val="24"/>
          <w:szCs w:val="24"/>
        </w:rPr>
        <w:t xml:space="preserve">All information will be collected electronically through a self-administered survey instrument hosted in a secure, online, web-based data collection system.  Respondents will be recruited through an existing web-based panel system and screened for eligibility and interest prior to administration of the main information collection instrument. </w:t>
      </w:r>
      <w:r w:rsidR="00A618A9">
        <w:rPr>
          <w:rFonts w:ascii="Times New Roman" w:hAnsi="Times New Roman"/>
          <w:sz w:val="24"/>
          <w:szCs w:val="24"/>
        </w:rPr>
        <w:t xml:space="preserve">Youth </w:t>
      </w:r>
      <w:r w:rsidRPr="00EB5ADD">
        <w:rPr>
          <w:rFonts w:ascii="Times New Roman" w:hAnsi="Times New Roman"/>
          <w:sz w:val="24"/>
          <w:szCs w:val="24"/>
        </w:rPr>
        <w:t xml:space="preserve">respondents will be ages 13 to 17 who have either experimented with </w:t>
      </w:r>
      <w:r w:rsidR="00A618A9">
        <w:rPr>
          <w:rFonts w:ascii="Times New Roman" w:hAnsi="Times New Roman"/>
          <w:sz w:val="24"/>
          <w:szCs w:val="24"/>
        </w:rPr>
        <w:t>tobacco</w:t>
      </w:r>
      <w:r w:rsidRPr="00EB5ADD">
        <w:rPr>
          <w:rFonts w:ascii="Times New Roman" w:hAnsi="Times New Roman"/>
          <w:sz w:val="24"/>
          <w:szCs w:val="24"/>
        </w:rPr>
        <w:t xml:space="preserve"> or are at risk of initiating </w:t>
      </w:r>
      <w:r w:rsidR="00A618A9">
        <w:rPr>
          <w:rFonts w:ascii="Times New Roman" w:hAnsi="Times New Roman"/>
          <w:sz w:val="24"/>
          <w:szCs w:val="24"/>
        </w:rPr>
        <w:t>tobacco</w:t>
      </w:r>
      <w:r w:rsidRPr="00EB5ADD">
        <w:rPr>
          <w:rFonts w:ascii="Times New Roman" w:hAnsi="Times New Roman"/>
          <w:sz w:val="24"/>
          <w:szCs w:val="24"/>
        </w:rPr>
        <w:t xml:space="preserve">, </w:t>
      </w:r>
      <w:r w:rsidR="0061672F">
        <w:rPr>
          <w:rFonts w:ascii="Times New Roman" w:hAnsi="Times New Roman"/>
          <w:sz w:val="24"/>
          <w:szCs w:val="24"/>
        </w:rPr>
        <w:t>to engage in the study, parents</w:t>
      </w:r>
      <w:r w:rsidRPr="00EB5ADD">
        <w:rPr>
          <w:rFonts w:ascii="Times New Roman" w:hAnsi="Times New Roman"/>
          <w:sz w:val="24"/>
          <w:szCs w:val="24"/>
        </w:rPr>
        <w:t xml:space="preserve"> will have </w:t>
      </w:r>
      <w:r w:rsidR="0061672F">
        <w:rPr>
          <w:rFonts w:ascii="Times New Roman" w:hAnsi="Times New Roman"/>
          <w:sz w:val="24"/>
          <w:szCs w:val="24"/>
        </w:rPr>
        <w:t>had to not</w:t>
      </w:r>
      <w:r w:rsidR="00B57B89">
        <w:rPr>
          <w:rFonts w:ascii="Times New Roman" w:hAnsi="Times New Roman"/>
          <w:sz w:val="24"/>
          <w:szCs w:val="24"/>
        </w:rPr>
        <w:t xml:space="preserve"> opt</w:t>
      </w:r>
      <w:r w:rsidR="0061672F">
        <w:rPr>
          <w:rFonts w:ascii="Times New Roman" w:hAnsi="Times New Roman"/>
          <w:sz w:val="24"/>
          <w:szCs w:val="24"/>
        </w:rPr>
        <w:t>ed</w:t>
      </w:r>
      <w:r w:rsidR="00B57B89">
        <w:rPr>
          <w:rFonts w:ascii="Times New Roman" w:hAnsi="Times New Roman"/>
          <w:sz w:val="24"/>
          <w:szCs w:val="24"/>
        </w:rPr>
        <w:t xml:space="preserve">-out </w:t>
      </w:r>
      <w:r w:rsidRPr="00EB5ADD">
        <w:rPr>
          <w:rFonts w:ascii="Times New Roman" w:hAnsi="Times New Roman"/>
          <w:sz w:val="24"/>
          <w:szCs w:val="24"/>
        </w:rPr>
        <w:t>to prior to responding to any study questions.</w:t>
      </w:r>
      <w:r w:rsidR="00A618A9">
        <w:rPr>
          <w:rFonts w:ascii="Times New Roman" w:hAnsi="Times New Roman"/>
          <w:sz w:val="24"/>
          <w:szCs w:val="24"/>
        </w:rPr>
        <w:t xml:space="preserve"> Adult participants will be aged 18-54 and identify as current or former tobacco users.</w:t>
      </w:r>
      <w:r w:rsidRPr="00EB5ADD">
        <w:rPr>
          <w:rFonts w:ascii="Times New Roman" w:hAnsi="Times New Roman"/>
          <w:sz w:val="24"/>
          <w:szCs w:val="24"/>
        </w:rPr>
        <w:t xml:space="preserve"> Each respondent will give basic demographic information and then give their opinions of </w:t>
      </w:r>
      <w:r w:rsidR="00B57B89">
        <w:rPr>
          <w:rFonts w:ascii="Times New Roman" w:hAnsi="Times New Roman"/>
          <w:sz w:val="24"/>
          <w:szCs w:val="24"/>
        </w:rPr>
        <w:t xml:space="preserve">tobacco education messaging, </w:t>
      </w:r>
      <w:r w:rsidRPr="00EB5ADD">
        <w:rPr>
          <w:rFonts w:ascii="Times New Roman" w:hAnsi="Times New Roman"/>
          <w:sz w:val="24"/>
          <w:szCs w:val="24"/>
        </w:rPr>
        <w:t>tobacco-related facts</w:t>
      </w:r>
      <w:r w:rsidR="00B57B89">
        <w:rPr>
          <w:rFonts w:ascii="Times New Roman" w:hAnsi="Times New Roman"/>
          <w:sz w:val="24"/>
          <w:szCs w:val="24"/>
        </w:rPr>
        <w:t xml:space="preserve"> or tobacco related KABs</w:t>
      </w:r>
      <w:r w:rsidRPr="00EB5ADD">
        <w:rPr>
          <w:rFonts w:ascii="Times New Roman" w:hAnsi="Times New Roman"/>
          <w:sz w:val="24"/>
          <w:szCs w:val="24"/>
        </w:rPr>
        <w:t xml:space="preserve">.  The respondent will participate at the time of his or her choosing.  There </w:t>
      </w:r>
      <w:r w:rsidR="00B57B89">
        <w:rPr>
          <w:rFonts w:ascii="Times New Roman" w:hAnsi="Times New Roman"/>
          <w:sz w:val="24"/>
          <w:szCs w:val="24"/>
        </w:rPr>
        <w:t xml:space="preserve">will be </w:t>
      </w:r>
      <w:r w:rsidRPr="00EB5ADD">
        <w:rPr>
          <w:rFonts w:ascii="Times New Roman" w:hAnsi="Times New Roman"/>
          <w:sz w:val="24"/>
          <w:szCs w:val="24"/>
        </w:rPr>
        <w:t xml:space="preserve">no </w:t>
      </w:r>
      <w:r w:rsidR="00B57B89">
        <w:rPr>
          <w:rFonts w:ascii="Times New Roman" w:hAnsi="Times New Roman"/>
          <w:sz w:val="24"/>
          <w:szCs w:val="24"/>
        </w:rPr>
        <w:t xml:space="preserve">recruitment of </w:t>
      </w:r>
      <w:r w:rsidRPr="00EB5ADD">
        <w:rPr>
          <w:rFonts w:ascii="Times New Roman" w:hAnsi="Times New Roman"/>
          <w:sz w:val="24"/>
          <w:szCs w:val="24"/>
        </w:rPr>
        <w:t xml:space="preserve">children younger than 13 years of age.  </w:t>
      </w:r>
      <w:r w:rsidR="00B57B89">
        <w:rPr>
          <w:rFonts w:ascii="Times New Roman" w:hAnsi="Times New Roman"/>
          <w:sz w:val="24"/>
          <w:szCs w:val="24"/>
        </w:rPr>
        <w:t xml:space="preserve">FDA </w:t>
      </w:r>
      <w:r w:rsidRPr="00EB5ADD">
        <w:rPr>
          <w:rFonts w:ascii="Times New Roman" w:hAnsi="Times New Roman"/>
          <w:sz w:val="24"/>
          <w:szCs w:val="24"/>
        </w:rPr>
        <w:t xml:space="preserve">will not have direct contact with participants nor will </w:t>
      </w:r>
      <w:r w:rsidR="00B57B89">
        <w:rPr>
          <w:rFonts w:ascii="Times New Roman" w:hAnsi="Times New Roman"/>
          <w:sz w:val="24"/>
          <w:szCs w:val="24"/>
        </w:rPr>
        <w:t xml:space="preserve">FDA </w:t>
      </w:r>
      <w:r w:rsidRPr="00EB5ADD">
        <w:rPr>
          <w:rFonts w:ascii="Times New Roman" w:hAnsi="Times New Roman"/>
          <w:sz w:val="24"/>
          <w:szCs w:val="24"/>
        </w:rPr>
        <w:t>have access to any personal identifying information about the panelists.</w:t>
      </w:r>
    </w:p>
    <w:p w:rsidRPr="00EB5ADD" w:rsidR="00EB5ADD" w:rsidP="00BE6F8F" w:rsidRDefault="00EB5ADD" w14:paraId="6D0427B1"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4"/>
        <w:rPr>
          <w:rFonts w:ascii="Times New Roman" w:hAnsi="Times New Roman"/>
          <w:sz w:val="24"/>
          <w:szCs w:val="24"/>
        </w:rPr>
      </w:pPr>
    </w:p>
    <w:p w:rsidRPr="00EB5ADD" w:rsidR="00EB5ADD" w:rsidP="00BE6F8F" w:rsidRDefault="00EB5ADD" w14:paraId="53739315"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4"/>
        <w:rPr>
          <w:rFonts w:ascii="Times New Roman" w:hAnsi="Times New Roman"/>
          <w:sz w:val="24"/>
          <w:szCs w:val="24"/>
          <w:u w:val="single"/>
        </w:rPr>
      </w:pPr>
      <w:r w:rsidRPr="00EB5ADD">
        <w:rPr>
          <w:rFonts w:ascii="Times New Roman" w:hAnsi="Times New Roman"/>
          <w:sz w:val="24"/>
          <w:szCs w:val="24"/>
          <w:u w:val="single"/>
        </w:rPr>
        <w:t>Overview of How Information will be Shared and for What Purposes</w:t>
      </w:r>
    </w:p>
    <w:p w:rsidRPr="00EB5ADD" w:rsidR="00EB5ADD" w:rsidP="00BE6F8F" w:rsidRDefault="00EB5ADD" w14:paraId="13DE681F"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4"/>
        <w:rPr>
          <w:rFonts w:ascii="Times New Roman" w:hAnsi="Times New Roman"/>
          <w:sz w:val="24"/>
          <w:szCs w:val="24"/>
        </w:rPr>
      </w:pPr>
    </w:p>
    <w:p w:rsidR="00EB5ADD" w:rsidP="00BE6F8F" w:rsidRDefault="00EB5ADD" w14:paraId="564D186B" w14:textId="1E950141">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4"/>
        <w:rPr>
          <w:rFonts w:ascii="Times New Roman" w:hAnsi="Times New Roman"/>
          <w:sz w:val="24"/>
          <w:szCs w:val="24"/>
        </w:rPr>
      </w:pPr>
      <w:r w:rsidRPr="00EB5ADD">
        <w:rPr>
          <w:rFonts w:ascii="Times New Roman" w:hAnsi="Times New Roman"/>
          <w:sz w:val="24"/>
          <w:szCs w:val="24"/>
        </w:rPr>
        <w:t xml:space="preserve">Information will be collected </w:t>
      </w:r>
      <w:r w:rsidR="006D54DB">
        <w:rPr>
          <w:rFonts w:ascii="Times New Roman" w:hAnsi="Times New Roman"/>
          <w:sz w:val="24"/>
          <w:szCs w:val="24"/>
        </w:rPr>
        <w:t>through a web</w:t>
      </w:r>
      <w:r w:rsidR="00940B06">
        <w:rPr>
          <w:rFonts w:ascii="Times New Roman" w:hAnsi="Times New Roman"/>
          <w:sz w:val="24"/>
          <w:szCs w:val="24"/>
        </w:rPr>
        <w:t>-</w:t>
      </w:r>
      <w:r w:rsidR="006D54DB">
        <w:rPr>
          <w:rFonts w:ascii="Times New Roman" w:hAnsi="Times New Roman"/>
          <w:sz w:val="24"/>
          <w:szCs w:val="24"/>
        </w:rPr>
        <w:t>based panel system</w:t>
      </w:r>
      <w:r w:rsidRPr="00EB5ADD">
        <w:rPr>
          <w:rFonts w:ascii="Times New Roman" w:hAnsi="Times New Roman"/>
          <w:sz w:val="24"/>
          <w:szCs w:val="24"/>
        </w:rPr>
        <w:t>; however, the</w:t>
      </w:r>
      <w:r w:rsidR="006D54DB">
        <w:rPr>
          <w:rFonts w:ascii="Times New Roman" w:hAnsi="Times New Roman"/>
          <w:sz w:val="24"/>
          <w:szCs w:val="24"/>
        </w:rPr>
        <w:t xml:space="preserve"> panel </w:t>
      </w:r>
      <w:r w:rsidRPr="00EB5ADD">
        <w:rPr>
          <w:rFonts w:ascii="Times New Roman" w:hAnsi="Times New Roman"/>
          <w:sz w:val="24"/>
          <w:szCs w:val="24"/>
        </w:rPr>
        <w:t>will not participate in the analysis of the data. The</w:t>
      </w:r>
      <w:r w:rsidR="006D54DB">
        <w:rPr>
          <w:rFonts w:ascii="Times New Roman" w:hAnsi="Times New Roman"/>
          <w:sz w:val="24"/>
          <w:szCs w:val="24"/>
        </w:rPr>
        <w:t xml:space="preserve"> panel </w:t>
      </w:r>
      <w:r w:rsidRPr="00EB5ADD">
        <w:rPr>
          <w:rFonts w:ascii="Times New Roman" w:hAnsi="Times New Roman"/>
          <w:sz w:val="24"/>
          <w:szCs w:val="24"/>
        </w:rPr>
        <w:t xml:space="preserve">will provide an aggregated dataset to </w:t>
      </w:r>
      <w:r w:rsidR="006D54DB">
        <w:rPr>
          <w:rFonts w:ascii="Times New Roman" w:hAnsi="Times New Roman"/>
          <w:sz w:val="24"/>
          <w:szCs w:val="24"/>
        </w:rPr>
        <w:t xml:space="preserve">FDA </w:t>
      </w:r>
      <w:r w:rsidRPr="00EB5ADD">
        <w:rPr>
          <w:rFonts w:ascii="Times New Roman" w:hAnsi="Times New Roman"/>
          <w:sz w:val="24"/>
          <w:szCs w:val="24"/>
        </w:rPr>
        <w:t xml:space="preserve">using a password-protected, encrypted file.  The password will not be sent in the same email as the encrypted file.  </w:t>
      </w:r>
      <w:r w:rsidR="006D54DB">
        <w:rPr>
          <w:rFonts w:ascii="Times New Roman" w:hAnsi="Times New Roman"/>
          <w:sz w:val="24"/>
          <w:szCs w:val="24"/>
        </w:rPr>
        <w:t xml:space="preserve">FDA </w:t>
      </w:r>
      <w:r w:rsidRPr="00EB5ADD">
        <w:rPr>
          <w:rFonts w:ascii="Times New Roman" w:hAnsi="Times New Roman"/>
          <w:sz w:val="24"/>
          <w:szCs w:val="24"/>
        </w:rPr>
        <w:t xml:space="preserve">will use this data to analyze respondents understanding and </w:t>
      </w:r>
      <w:r w:rsidRPr="00EB5ADD">
        <w:rPr>
          <w:rFonts w:ascii="Times New Roman" w:hAnsi="Times New Roman"/>
          <w:sz w:val="24"/>
          <w:szCs w:val="24"/>
        </w:rPr>
        <w:lastRenderedPageBreak/>
        <w:t xml:space="preserve">preferences of specific tobacco-related facts.  Confounders such as demographic characteristics, state of residence, and smoking status will be controlled for during the data analysis. </w:t>
      </w:r>
    </w:p>
    <w:p w:rsidRPr="00EB5ADD" w:rsidR="006D54DB" w:rsidP="00EB5ADD" w:rsidRDefault="006D54DB" w14:paraId="66AEB2AF"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sz w:val="24"/>
          <w:szCs w:val="24"/>
        </w:rPr>
      </w:pPr>
    </w:p>
    <w:p w:rsidRPr="00EB5ADD" w:rsidR="00EB5ADD" w:rsidP="00BE6F8F" w:rsidRDefault="00EB5ADD" w14:paraId="5709E067"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4"/>
        <w:rPr>
          <w:rFonts w:ascii="Times New Roman" w:hAnsi="Times New Roman"/>
          <w:sz w:val="24"/>
          <w:szCs w:val="24"/>
        </w:rPr>
      </w:pPr>
      <w:r w:rsidRPr="00EB5ADD">
        <w:rPr>
          <w:rFonts w:ascii="Times New Roman" w:hAnsi="Times New Roman"/>
          <w:sz w:val="24"/>
          <w:szCs w:val="24"/>
        </w:rPr>
        <w:t>Overview of the Impact the Proposed Collection will have on the Respondent’s Privacy</w:t>
      </w:r>
    </w:p>
    <w:p w:rsidRPr="00EB5ADD" w:rsidR="00EB5ADD" w:rsidP="00BE6F8F" w:rsidRDefault="00EB5ADD" w14:paraId="30F2C0C9"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4"/>
        <w:rPr>
          <w:rFonts w:ascii="Times New Roman" w:hAnsi="Times New Roman"/>
          <w:sz w:val="24"/>
          <w:szCs w:val="24"/>
        </w:rPr>
      </w:pPr>
      <w:r w:rsidRPr="00EB5ADD">
        <w:rPr>
          <w:rFonts w:ascii="Times New Roman" w:hAnsi="Times New Roman"/>
          <w:sz w:val="24"/>
          <w:szCs w:val="24"/>
        </w:rPr>
        <w:t xml:space="preserve">No individually identifiable information or personal identifying information (PII) is being collected.  Although demographic information (e.g., gender, age, and race) will be gathered, no direct personal identifiers (e.g., full name, phone number, social security number, etc.) will be collected or maintained as part of the screener (Attachment </w:t>
      </w:r>
      <w:r w:rsidR="0046443E">
        <w:rPr>
          <w:rFonts w:ascii="Times New Roman" w:hAnsi="Times New Roman"/>
          <w:sz w:val="24"/>
          <w:szCs w:val="24"/>
        </w:rPr>
        <w:t>D and E</w:t>
      </w:r>
      <w:r w:rsidRPr="00EB5ADD">
        <w:rPr>
          <w:rFonts w:ascii="Times New Roman" w:hAnsi="Times New Roman"/>
          <w:sz w:val="24"/>
          <w:szCs w:val="24"/>
        </w:rPr>
        <w:t xml:space="preserve">) or survey (Attachment </w:t>
      </w:r>
      <w:r w:rsidR="0046443E">
        <w:rPr>
          <w:rFonts w:ascii="Times New Roman" w:hAnsi="Times New Roman"/>
          <w:sz w:val="24"/>
          <w:szCs w:val="24"/>
        </w:rPr>
        <w:t>F and G</w:t>
      </w:r>
      <w:r w:rsidRPr="00EB5ADD">
        <w:rPr>
          <w:rFonts w:ascii="Times New Roman" w:hAnsi="Times New Roman"/>
          <w:sz w:val="24"/>
          <w:szCs w:val="24"/>
        </w:rPr>
        <w:t xml:space="preserve">).  As such, because it does not exist, no directly identifying information will be transmitted to </w:t>
      </w:r>
      <w:r w:rsidR="006D54DB">
        <w:rPr>
          <w:rFonts w:ascii="Times New Roman" w:hAnsi="Times New Roman"/>
          <w:sz w:val="24"/>
          <w:szCs w:val="24"/>
        </w:rPr>
        <w:t>FDA,</w:t>
      </w:r>
      <w:r w:rsidRPr="00EB5ADD">
        <w:rPr>
          <w:rFonts w:ascii="Times New Roman" w:hAnsi="Times New Roman"/>
          <w:sz w:val="24"/>
          <w:szCs w:val="24"/>
        </w:rPr>
        <w:t xml:space="preserve"> and thus, the Privacy Act does not apply.  In addition, the data at the observation level is identified through use only of sample unit identifiers.  Neither </w:t>
      </w:r>
      <w:r w:rsidR="006D54DB">
        <w:rPr>
          <w:rFonts w:ascii="Times New Roman" w:hAnsi="Times New Roman"/>
          <w:sz w:val="24"/>
          <w:szCs w:val="24"/>
        </w:rPr>
        <w:t xml:space="preserve">the panel provider </w:t>
      </w:r>
      <w:r w:rsidRPr="00EB5ADD">
        <w:rPr>
          <w:rFonts w:ascii="Times New Roman" w:hAnsi="Times New Roman"/>
          <w:sz w:val="24"/>
          <w:szCs w:val="24"/>
        </w:rPr>
        <w:t xml:space="preserve">nor </w:t>
      </w:r>
      <w:r w:rsidR="006D54DB">
        <w:rPr>
          <w:rFonts w:ascii="Times New Roman" w:hAnsi="Times New Roman"/>
          <w:sz w:val="24"/>
          <w:szCs w:val="24"/>
        </w:rPr>
        <w:t xml:space="preserve">FDA </w:t>
      </w:r>
      <w:r w:rsidRPr="00EB5ADD">
        <w:rPr>
          <w:rFonts w:ascii="Times New Roman" w:hAnsi="Times New Roman"/>
          <w:sz w:val="24"/>
          <w:szCs w:val="24"/>
        </w:rPr>
        <w:t xml:space="preserve">employees working on the project will have access to any identifying information.   </w:t>
      </w:r>
    </w:p>
    <w:p w:rsidRPr="00EB5ADD" w:rsidR="00EB5ADD" w:rsidP="00BE6F8F" w:rsidRDefault="00EB5ADD" w14:paraId="6BDAB20A"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4"/>
        <w:rPr>
          <w:rFonts w:ascii="Times New Roman" w:hAnsi="Times New Roman"/>
          <w:sz w:val="24"/>
          <w:szCs w:val="24"/>
        </w:rPr>
      </w:pPr>
    </w:p>
    <w:p w:rsidRPr="00EB5ADD" w:rsidR="00EB5ADD" w:rsidP="00BE6F8F" w:rsidRDefault="00EB5ADD" w14:paraId="3FED0D5D"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4"/>
        <w:rPr>
          <w:rFonts w:ascii="Times New Roman" w:hAnsi="Times New Roman"/>
          <w:sz w:val="24"/>
          <w:szCs w:val="24"/>
          <w:u w:val="single"/>
        </w:rPr>
      </w:pPr>
      <w:r w:rsidRPr="00EB5ADD">
        <w:rPr>
          <w:rFonts w:ascii="Times New Roman" w:hAnsi="Times New Roman"/>
          <w:sz w:val="24"/>
          <w:szCs w:val="24"/>
          <w:u w:val="single"/>
        </w:rPr>
        <w:t xml:space="preserve">Overview of Voluntary Participation </w:t>
      </w:r>
    </w:p>
    <w:p w:rsidR="00684EB1" w:rsidP="00684EB1" w:rsidRDefault="00684EB1" w14:paraId="52E1AC2E"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4"/>
        <w:rPr>
          <w:rFonts w:ascii="Times New Roman" w:hAnsi="Times New Roman"/>
          <w:sz w:val="24"/>
          <w:szCs w:val="24"/>
        </w:rPr>
      </w:pPr>
    </w:p>
    <w:p w:rsidRPr="00EB5ADD" w:rsidR="00EB5ADD" w:rsidP="00BE6F8F" w:rsidRDefault="00EB5ADD" w14:paraId="042679A3" w14:textId="2634CE79">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4"/>
        <w:rPr>
          <w:rFonts w:ascii="Times New Roman" w:hAnsi="Times New Roman"/>
          <w:sz w:val="24"/>
          <w:szCs w:val="24"/>
        </w:rPr>
      </w:pPr>
      <w:r w:rsidRPr="00EB5ADD">
        <w:rPr>
          <w:rFonts w:ascii="Times New Roman" w:hAnsi="Times New Roman"/>
          <w:sz w:val="24"/>
          <w:szCs w:val="24"/>
        </w:rPr>
        <w:t>During email invitation, potential respondents will be advised of the nature of the survey, the length of time it will require, and that participation is voluntary. The</w:t>
      </w:r>
      <w:r w:rsidR="006D54DB">
        <w:rPr>
          <w:rFonts w:ascii="Times New Roman" w:hAnsi="Times New Roman"/>
          <w:sz w:val="24"/>
          <w:szCs w:val="24"/>
        </w:rPr>
        <w:t xml:space="preserve"> parental </w:t>
      </w:r>
      <w:r w:rsidR="00A618A9">
        <w:rPr>
          <w:rFonts w:ascii="Times New Roman" w:hAnsi="Times New Roman"/>
          <w:sz w:val="24"/>
          <w:szCs w:val="24"/>
        </w:rPr>
        <w:t xml:space="preserve">notification and </w:t>
      </w:r>
      <w:r w:rsidR="006D54DB">
        <w:rPr>
          <w:rFonts w:ascii="Times New Roman" w:hAnsi="Times New Roman"/>
          <w:sz w:val="24"/>
          <w:szCs w:val="24"/>
        </w:rPr>
        <w:t>opt-out form</w:t>
      </w:r>
      <w:r w:rsidRPr="00EB5ADD">
        <w:rPr>
          <w:rFonts w:ascii="Times New Roman" w:hAnsi="Times New Roman"/>
          <w:sz w:val="24"/>
          <w:szCs w:val="24"/>
        </w:rPr>
        <w:t xml:space="preserve"> as well as the youth assent form will inform the participant that their participation is voluntary.   Respondents will be assured that they will incur no penalties if they wish not to respond to the information collection as a whole or to any specific questions.  Respondents on the web-based survey will have the option to decline to respond to any item in the survey for any reason and may drop out of the survey at any time.  These procedures conform to ethical practices for collecting data from human participants. </w:t>
      </w:r>
    </w:p>
    <w:p w:rsidRPr="00EB5ADD" w:rsidR="00EB5ADD" w:rsidP="00EB5ADD" w:rsidRDefault="00EB5ADD" w14:paraId="53151551"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sz w:val="24"/>
          <w:szCs w:val="24"/>
          <w:u w:val="single"/>
        </w:rPr>
      </w:pPr>
    </w:p>
    <w:p w:rsidR="00EB5ADD" w:rsidP="00BE6F8F" w:rsidRDefault="00EB5ADD" w14:paraId="6ADF999E"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4"/>
        <w:rPr>
          <w:rFonts w:ascii="Times New Roman" w:hAnsi="Times New Roman"/>
          <w:sz w:val="24"/>
          <w:szCs w:val="24"/>
          <w:u w:val="single"/>
        </w:rPr>
      </w:pPr>
      <w:r w:rsidRPr="00EB5ADD">
        <w:rPr>
          <w:rFonts w:ascii="Times New Roman" w:hAnsi="Times New Roman"/>
          <w:sz w:val="24"/>
          <w:szCs w:val="24"/>
          <w:u w:val="single"/>
        </w:rPr>
        <w:t>Overview of Data Security</w:t>
      </w:r>
    </w:p>
    <w:p w:rsidRPr="00EB5ADD" w:rsidR="00EB5ADD" w:rsidP="00BE6F8F" w:rsidRDefault="00EB5ADD" w14:paraId="1F153065"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4"/>
        <w:rPr>
          <w:rFonts w:ascii="Times New Roman" w:hAnsi="Times New Roman"/>
          <w:sz w:val="24"/>
          <w:szCs w:val="24"/>
          <w:u w:val="single"/>
        </w:rPr>
      </w:pPr>
    </w:p>
    <w:p w:rsidR="00EB5ADD" w:rsidP="00BE6F8F" w:rsidRDefault="00EB5ADD" w14:paraId="0AEE5F0C"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4"/>
        <w:rPr>
          <w:rFonts w:ascii="Times New Roman" w:hAnsi="Times New Roman"/>
          <w:sz w:val="24"/>
          <w:szCs w:val="24"/>
        </w:rPr>
      </w:pPr>
      <w:r w:rsidRPr="00EB5ADD">
        <w:rPr>
          <w:rFonts w:ascii="Times New Roman" w:hAnsi="Times New Roman"/>
          <w:sz w:val="24"/>
          <w:szCs w:val="24"/>
        </w:rPr>
        <w:t>All web-based respondents will use a link to enter the survey and the</w:t>
      </w:r>
      <w:r w:rsidR="00B57B89">
        <w:rPr>
          <w:rFonts w:ascii="Times New Roman" w:hAnsi="Times New Roman"/>
          <w:sz w:val="24"/>
          <w:szCs w:val="24"/>
        </w:rPr>
        <w:t xml:space="preserve"> survey s</w:t>
      </w:r>
      <w:r w:rsidRPr="00EB5ADD">
        <w:rPr>
          <w:rFonts w:ascii="Times New Roman" w:hAnsi="Times New Roman"/>
          <w:sz w:val="24"/>
          <w:szCs w:val="24"/>
        </w:rPr>
        <w:t xml:space="preserve">oftware will assign them a unique ID and the responses will be anonymous.  No Personally Identifiable Information will be linked to the survey data. All data will be reported in the aggregate only.  During data collection, all data will be stored on password-protected databases to which only </w:t>
      </w:r>
      <w:r w:rsidR="00B57B89">
        <w:rPr>
          <w:rFonts w:ascii="Times New Roman" w:hAnsi="Times New Roman"/>
          <w:sz w:val="24"/>
          <w:szCs w:val="24"/>
        </w:rPr>
        <w:t xml:space="preserve">panel </w:t>
      </w:r>
      <w:r w:rsidRPr="00EB5ADD">
        <w:rPr>
          <w:rFonts w:ascii="Times New Roman" w:hAnsi="Times New Roman"/>
          <w:sz w:val="24"/>
          <w:szCs w:val="24"/>
        </w:rPr>
        <w:t xml:space="preserve">employees working on this project have access.  </w:t>
      </w:r>
      <w:r w:rsidR="00B57B89">
        <w:rPr>
          <w:rFonts w:ascii="Times New Roman" w:hAnsi="Times New Roman"/>
          <w:sz w:val="24"/>
          <w:szCs w:val="24"/>
        </w:rPr>
        <w:t>The panel w</w:t>
      </w:r>
      <w:r w:rsidRPr="00EB5ADD">
        <w:rPr>
          <w:rFonts w:ascii="Times New Roman" w:hAnsi="Times New Roman"/>
          <w:sz w:val="24"/>
          <w:szCs w:val="24"/>
        </w:rPr>
        <w:t xml:space="preserve">ill keep the data in non-aggregate form for six months after data collection has been completed, and then the data will be deleted from the password-protected databases. All data will be sent to </w:t>
      </w:r>
      <w:r w:rsidR="00B57B89">
        <w:rPr>
          <w:rFonts w:ascii="Times New Roman" w:hAnsi="Times New Roman"/>
          <w:sz w:val="24"/>
          <w:szCs w:val="24"/>
        </w:rPr>
        <w:t xml:space="preserve">FDA </w:t>
      </w:r>
      <w:r w:rsidRPr="00EB5ADD">
        <w:rPr>
          <w:rFonts w:ascii="Times New Roman" w:hAnsi="Times New Roman"/>
          <w:sz w:val="24"/>
          <w:szCs w:val="24"/>
        </w:rPr>
        <w:t xml:space="preserve">using a password protected, encrypted file. The password will not be sent in the same email as the encrypted file.  </w:t>
      </w:r>
      <w:r w:rsidR="00B57B89">
        <w:rPr>
          <w:rFonts w:ascii="Times New Roman" w:hAnsi="Times New Roman"/>
          <w:sz w:val="24"/>
          <w:szCs w:val="24"/>
        </w:rPr>
        <w:t xml:space="preserve">FDA </w:t>
      </w:r>
      <w:r w:rsidRPr="00EB5ADD">
        <w:rPr>
          <w:rFonts w:ascii="Times New Roman" w:hAnsi="Times New Roman"/>
          <w:sz w:val="24"/>
          <w:szCs w:val="24"/>
        </w:rPr>
        <w:t>will limit access to this portion of the share drive by limiting the personnel with access to this share drive to appropriate project staff.</w:t>
      </w:r>
    </w:p>
    <w:p w:rsidRPr="005E5681" w:rsidR="00581DB5" w:rsidP="00581DB5" w:rsidRDefault="00581DB5" w14:paraId="75C1065B"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sz w:val="24"/>
          <w:szCs w:val="24"/>
        </w:rPr>
      </w:pPr>
    </w:p>
    <w:p w:rsidRPr="005E5681" w:rsidR="005C0FF9" w:rsidP="00EB43D0" w:rsidRDefault="005C0FF9" w14:paraId="091DB757" w14:textId="1B940C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u w:val="single"/>
        </w:rPr>
      </w:pPr>
      <w:bookmarkStart w:name="_Toc239649232" w:id="14"/>
      <w:r w:rsidRPr="005E5681">
        <w:rPr>
          <w:rFonts w:ascii="Times New Roman" w:hAnsi="Times New Roman"/>
          <w:b/>
          <w:bCs/>
          <w:sz w:val="24"/>
          <w:szCs w:val="24"/>
        </w:rPr>
        <w:t xml:space="preserve">11. </w:t>
      </w:r>
      <w:r w:rsidRPr="005E5681">
        <w:rPr>
          <w:rFonts w:ascii="Times New Roman" w:hAnsi="Times New Roman"/>
          <w:b/>
          <w:bCs/>
          <w:sz w:val="24"/>
          <w:szCs w:val="24"/>
          <w:u w:val="single"/>
        </w:rPr>
        <w:t>Justification for Sensitive Questions</w:t>
      </w:r>
      <w:bookmarkEnd w:id="14"/>
    </w:p>
    <w:p w:rsidRPr="005E5681" w:rsidR="005C0FF9" w:rsidP="00EB43D0" w:rsidRDefault="005C0FF9" w14:paraId="540F35D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EB5ADD" w:rsidR="00EB5ADD" w:rsidP="00EB5ADD" w:rsidRDefault="00EB5ADD" w14:paraId="6691132E"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sz w:val="24"/>
          <w:szCs w:val="24"/>
        </w:rPr>
      </w:pPr>
      <w:r w:rsidRPr="00EB5ADD">
        <w:rPr>
          <w:rFonts w:ascii="Times New Roman" w:hAnsi="Times New Roman"/>
          <w:sz w:val="24"/>
          <w:szCs w:val="24"/>
        </w:rPr>
        <w:t xml:space="preserve">The majority of questions asked will not be of a sensitive nature. There will be no requests for a respondent’s Social Security Number (SSN). However, it will be necessary to ask some questions that may be considered to be of a sensitive nature in order to assess specific health behaviors, such as cigarette smoking. These questions are essential to the objectives of this information collection. Questions about messages concerning lifestyle (e.g., current </w:t>
      </w:r>
      <w:r w:rsidRPr="00EB5ADD">
        <w:rPr>
          <w:rFonts w:ascii="Times New Roman" w:hAnsi="Times New Roman"/>
          <w:sz w:val="24"/>
          <w:szCs w:val="24"/>
        </w:rPr>
        <w:lastRenderedPageBreak/>
        <w:t>smoking behavior) and some demographic information, such as race, ethnicity, and income, could be considered sensitive, but not highly sensitive. To address any concerns about inadvertent disclosure of sensitive information, respondents will be fully informed of the applicable privacy safeguards. The informed consent protocol will apprise respondents that these topics will be covered during the survey. This study includes a number of procedures and methodological characteristics that will minimize potential negative reactions to these types of questions, including the following:</w:t>
      </w:r>
    </w:p>
    <w:p w:rsidRPr="00EB5ADD" w:rsidR="00EB5ADD" w:rsidP="00EB5ADD" w:rsidRDefault="00EB5ADD" w14:paraId="6699ADA4"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sz w:val="24"/>
          <w:szCs w:val="24"/>
        </w:rPr>
      </w:pPr>
    </w:p>
    <w:p w:rsidR="00BE6F8F" w:rsidP="00684EB1" w:rsidRDefault="00EB5ADD" w14:paraId="51A8A07B" w14:textId="77777777">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EB5ADD">
        <w:rPr>
          <w:rFonts w:ascii="Times New Roman" w:hAnsi="Times New Roman"/>
          <w:sz w:val="24"/>
          <w:szCs w:val="24"/>
        </w:rPr>
        <w:t xml:space="preserve">Respondents will be informed that they need not answer any question that makes them </w:t>
      </w:r>
    </w:p>
    <w:p w:rsidR="00EB5ADD" w:rsidP="00BE6F8F" w:rsidRDefault="00BE6F8F" w14:paraId="30A755EE" w14:textId="6F5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ascii="Times New Roman" w:hAnsi="Times New Roman"/>
          <w:sz w:val="24"/>
          <w:szCs w:val="24"/>
        </w:rPr>
      </w:pPr>
      <w:r>
        <w:rPr>
          <w:rFonts w:ascii="Times New Roman" w:hAnsi="Times New Roman"/>
          <w:sz w:val="24"/>
          <w:szCs w:val="24"/>
        </w:rPr>
        <w:t xml:space="preserve">   </w:t>
      </w:r>
      <w:r w:rsidRPr="00EB5ADD" w:rsidR="00EB5ADD">
        <w:rPr>
          <w:rFonts w:ascii="Times New Roman" w:hAnsi="Times New Roman"/>
          <w:sz w:val="24"/>
          <w:szCs w:val="24"/>
        </w:rPr>
        <w:t>feel uncomfortable or that they simply do not wish to answer.</w:t>
      </w:r>
    </w:p>
    <w:p w:rsidR="00BE6F8F" w:rsidP="00BE6F8F" w:rsidRDefault="00BE6F8F" w14:paraId="1B91872C" w14:textId="38FB74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ascii="Times New Roman" w:hAnsi="Times New Roman"/>
          <w:sz w:val="24"/>
          <w:szCs w:val="24"/>
        </w:rPr>
      </w:pPr>
    </w:p>
    <w:p w:rsidRPr="00AC6B28" w:rsidR="00BE6F8F" w:rsidP="00F3611C" w:rsidRDefault="00EB5ADD" w14:paraId="5ED3CF5B" w14:textId="41452A5E">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92"/>
        <w:rPr>
          <w:rFonts w:ascii="Times New Roman" w:hAnsi="Times New Roman"/>
          <w:sz w:val="24"/>
          <w:szCs w:val="24"/>
        </w:rPr>
      </w:pPr>
      <w:r w:rsidRPr="00AC6B28">
        <w:rPr>
          <w:rFonts w:ascii="Times New Roman" w:hAnsi="Times New Roman"/>
          <w:sz w:val="24"/>
          <w:szCs w:val="24"/>
        </w:rPr>
        <w:t xml:space="preserve">Web surveys are entirely self-administered and maximize respondent privacy without the </w:t>
      </w:r>
      <w:r w:rsidRPr="00AC6B28" w:rsidR="00BE6F8F">
        <w:rPr>
          <w:rFonts w:ascii="Times New Roman" w:hAnsi="Times New Roman"/>
          <w:sz w:val="24"/>
          <w:szCs w:val="24"/>
        </w:rPr>
        <w:t xml:space="preserve"> </w:t>
      </w:r>
      <w:r w:rsidRPr="00AC6B28" w:rsidR="00AC6B28">
        <w:rPr>
          <w:rFonts w:ascii="Times New Roman" w:hAnsi="Times New Roman"/>
          <w:sz w:val="24"/>
          <w:szCs w:val="24"/>
        </w:rPr>
        <w:t>need to verbalize responses.</w:t>
      </w:r>
    </w:p>
    <w:p w:rsidR="0023407D" w:rsidP="0023407D" w:rsidRDefault="00EB5ADD" w14:paraId="0F7CEA48" w14:textId="77777777">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EB5ADD">
        <w:rPr>
          <w:rFonts w:ascii="Times New Roman" w:hAnsi="Times New Roman"/>
          <w:sz w:val="24"/>
          <w:szCs w:val="24"/>
        </w:rPr>
        <w:t>Participants will be provided with a toll-free phone number for the</w:t>
      </w:r>
      <w:r w:rsidR="00B57B89">
        <w:rPr>
          <w:rFonts w:ascii="Times New Roman" w:hAnsi="Times New Roman"/>
          <w:sz w:val="24"/>
          <w:szCs w:val="24"/>
        </w:rPr>
        <w:t xml:space="preserve"> </w:t>
      </w:r>
      <w:r w:rsidRPr="00EB5ADD">
        <w:rPr>
          <w:rFonts w:ascii="Times New Roman" w:hAnsi="Times New Roman"/>
          <w:sz w:val="24"/>
          <w:szCs w:val="24"/>
        </w:rPr>
        <w:t xml:space="preserve">project director and a </w:t>
      </w:r>
    </w:p>
    <w:p w:rsidRPr="00EB5ADD" w:rsidR="00EB5ADD" w:rsidP="00353DAE" w:rsidRDefault="00EB5ADD" w14:paraId="315B0DAA" w14:textId="3CB1D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sidRPr="00EB5ADD">
        <w:rPr>
          <w:rFonts w:ascii="Times New Roman" w:hAnsi="Times New Roman"/>
          <w:sz w:val="24"/>
          <w:szCs w:val="24"/>
        </w:rPr>
        <w:t xml:space="preserve">toll-free phone number for the IRB hotline should they have any questions or concerns </w:t>
      </w:r>
      <w:r w:rsidR="0023407D">
        <w:rPr>
          <w:rFonts w:ascii="Times New Roman" w:hAnsi="Times New Roman"/>
          <w:sz w:val="24"/>
          <w:szCs w:val="24"/>
        </w:rPr>
        <w:t>a</w:t>
      </w:r>
      <w:r w:rsidRPr="00EB5ADD">
        <w:rPr>
          <w:rFonts w:ascii="Times New Roman" w:hAnsi="Times New Roman"/>
          <w:sz w:val="24"/>
          <w:szCs w:val="24"/>
        </w:rPr>
        <w:t xml:space="preserve">bout the study or their rights as a study participant. </w:t>
      </w:r>
    </w:p>
    <w:p w:rsidRPr="00EB5ADD" w:rsidR="00EB5ADD" w:rsidP="00EB5ADD" w:rsidRDefault="00EB5ADD" w14:paraId="0D27FE70"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sz w:val="24"/>
          <w:szCs w:val="24"/>
        </w:rPr>
      </w:pPr>
    </w:p>
    <w:p w:rsidR="005C0FF9" w:rsidP="00EB5ADD" w:rsidRDefault="00EB5ADD" w14:paraId="5258D3B2"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sz w:val="24"/>
          <w:szCs w:val="24"/>
        </w:rPr>
      </w:pPr>
      <w:r w:rsidRPr="00EB5ADD">
        <w:rPr>
          <w:rFonts w:ascii="Times New Roman" w:hAnsi="Times New Roman"/>
          <w:sz w:val="24"/>
          <w:szCs w:val="24"/>
        </w:rPr>
        <w:t>Finally, as with all information collected, these data will be presented with all identifiers removed.</w:t>
      </w:r>
    </w:p>
    <w:p w:rsidRPr="005E5681" w:rsidR="00EB5ADD" w:rsidP="00EB5ADD" w:rsidRDefault="00EB5ADD" w14:paraId="34BE38AB"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sz w:val="24"/>
          <w:szCs w:val="24"/>
        </w:rPr>
      </w:pPr>
    </w:p>
    <w:p w:rsidRPr="004732BA" w:rsidR="005C0FF9" w:rsidP="00EB43D0" w:rsidRDefault="005C0FF9" w14:paraId="0090CC4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u w:val="single"/>
        </w:rPr>
      </w:pPr>
      <w:bookmarkStart w:name="_Toc239649233" w:id="15"/>
      <w:r w:rsidRPr="004732BA">
        <w:rPr>
          <w:rFonts w:ascii="Times New Roman" w:hAnsi="Times New Roman"/>
          <w:b/>
          <w:bCs/>
          <w:sz w:val="24"/>
          <w:szCs w:val="24"/>
        </w:rPr>
        <w:t xml:space="preserve">12.  </w:t>
      </w:r>
      <w:r w:rsidRPr="004732BA">
        <w:rPr>
          <w:rFonts w:ascii="Times New Roman" w:hAnsi="Times New Roman"/>
          <w:b/>
          <w:bCs/>
          <w:sz w:val="24"/>
          <w:szCs w:val="24"/>
          <w:u w:val="single"/>
        </w:rPr>
        <w:t>Estimates of Annualized Burden Hours and Costs</w:t>
      </w:r>
      <w:bookmarkEnd w:id="15"/>
    </w:p>
    <w:p w:rsidR="005C0FF9" w:rsidP="00EB5ADD" w:rsidRDefault="005C0FF9" w14:paraId="4DF925DE"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sz w:val="24"/>
          <w:szCs w:val="24"/>
        </w:rPr>
      </w:pPr>
    </w:p>
    <w:p w:rsidRPr="00EB5ADD" w:rsidR="00EB5ADD" w:rsidP="00EB5ADD" w:rsidRDefault="00EB5ADD" w14:paraId="6A2E9555" w14:textId="77777777">
      <w:pPr>
        <w:ind w:left="450"/>
        <w:rPr>
          <w:rFonts w:ascii="Times New Roman" w:hAnsi="Times New Roman"/>
          <w:sz w:val="24"/>
          <w:szCs w:val="24"/>
        </w:rPr>
      </w:pPr>
      <w:r w:rsidRPr="00BE6F8F">
        <w:rPr>
          <w:rFonts w:ascii="Times New Roman" w:hAnsi="Times New Roman"/>
          <w:sz w:val="24"/>
          <w:szCs w:val="24"/>
        </w:rPr>
        <w:t xml:space="preserve">12 a. </w:t>
      </w:r>
      <w:r w:rsidRPr="00EB5ADD">
        <w:rPr>
          <w:rFonts w:ascii="Times New Roman" w:hAnsi="Times New Roman"/>
          <w:sz w:val="24"/>
          <w:szCs w:val="24"/>
          <w:u w:val="single"/>
        </w:rPr>
        <w:t>Annualized Hour Burden Estimate</w:t>
      </w:r>
    </w:p>
    <w:p w:rsidRPr="00EB5ADD" w:rsidR="00EB5ADD" w:rsidP="00EB5ADD" w:rsidRDefault="00EB5ADD" w14:paraId="1823C176" w14:textId="0C1ABE3F">
      <w:pPr>
        <w:spacing w:before="100" w:beforeAutospacing="1" w:after="100" w:afterAutospacing="1"/>
        <w:ind w:left="450"/>
        <w:rPr>
          <w:rFonts w:ascii="Times New Roman" w:hAnsi="Times New Roman"/>
          <w:sz w:val="24"/>
          <w:szCs w:val="24"/>
        </w:rPr>
      </w:pPr>
      <w:r w:rsidRPr="00EB5ADD">
        <w:rPr>
          <w:rFonts w:ascii="Times New Roman" w:hAnsi="Times New Roman"/>
          <w:sz w:val="24"/>
          <w:szCs w:val="24"/>
        </w:rPr>
        <w:t xml:space="preserve">An estimated one-time reporting burden for this collection will be approximately </w:t>
      </w:r>
      <w:r w:rsidR="007E316C">
        <w:rPr>
          <w:rFonts w:ascii="Times New Roman" w:hAnsi="Times New Roman"/>
          <w:sz w:val="24"/>
          <w:szCs w:val="24"/>
        </w:rPr>
        <w:t>5,596</w:t>
      </w:r>
      <w:r w:rsidRPr="00EB5ADD">
        <w:rPr>
          <w:rFonts w:ascii="Times New Roman" w:hAnsi="Times New Roman"/>
          <w:sz w:val="24"/>
          <w:szCs w:val="24"/>
        </w:rPr>
        <w:t xml:space="preserve"> hours (Table </w:t>
      </w:r>
      <w:r w:rsidR="007E316C">
        <w:rPr>
          <w:rFonts w:ascii="Times New Roman" w:hAnsi="Times New Roman"/>
          <w:sz w:val="24"/>
          <w:szCs w:val="24"/>
        </w:rPr>
        <w:t>1</w:t>
      </w:r>
      <w:r w:rsidRPr="00EB5ADD">
        <w:rPr>
          <w:rFonts w:ascii="Times New Roman" w:hAnsi="Times New Roman"/>
          <w:sz w:val="24"/>
          <w:szCs w:val="24"/>
        </w:rPr>
        <w:t xml:space="preserve">).  </w:t>
      </w:r>
      <w:bookmarkStart w:name="_Toc361824170" w:id="16"/>
      <w:r w:rsidRPr="00EB5ADD">
        <w:rPr>
          <w:rFonts w:ascii="Times New Roman" w:hAnsi="Times New Roman"/>
          <w:sz w:val="24"/>
          <w:szCs w:val="24"/>
        </w:rPr>
        <w:t xml:space="preserve">This includes the time burden associated with the </w:t>
      </w:r>
      <w:r w:rsidR="00AE1FC1">
        <w:rPr>
          <w:rFonts w:ascii="Times New Roman" w:hAnsi="Times New Roman"/>
          <w:sz w:val="24"/>
          <w:szCs w:val="24"/>
        </w:rPr>
        <w:t>S</w:t>
      </w:r>
      <w:r w:rsidRPr="00EB5ADD">
        <w:rPr>
          <w:rFonts w:ascii="Times New Roman" w:hAnsi="Times New Roman"/>
          <w:sz w:val="24"/>
          <w:szCs w:val="24"/>
        </w:rPr>
        <w:t xml:space="preserve">creener.  </w:t>
      </w:r>
    </w:p>
    <w:p w:rsidR="00EB5ADD" w:rsidP="00EB5ADD" w:rsidRDefault="00EB5ADD" w14:paraId="2EC18EB4" w14:textId="77777777">
      <w:pPr>
        <w:ind w:left="450"/>
        <w:rPr>
          <w:rFonts w:ascii="Times New Roman" w:hAnsi="Times New Roman"/>
          <w:sz w:val="24"/>
          <w:szCs w:val="24"/>
        </w:rPr>
      </w:pPr>
      <w:r w:rsidRPr="00EB5ADD">
        <w:rPr>
          <w:rFonts w:ascii="Times New Roman" w:hAnsi="Times New Roman"/>
          <w:sz w:val="24"/>
          <w:szCs w:val="24"/>
        </w:rPr>
        <w:t xml:space="preserve">To obtain a final </w:t>
      </w:r>
      <w:r w:rsidRPr="000F315B">
        <w:rPr>
          <w:rFonts w:ascii="Times New Roman" w:hAnsi="Times New Roman"/>
          <w:sz w:val="24"/>
          <w:szCs w:val="24"/>
        </w:rPr>
        <w:t xml:space="preserve">sample of </w:t>
      </w:r>
      <w:r w:rsidR="00A618A9">
        <w:rPr>
          <w:rFonts w:ascii="Times New Roman" w:hAnsi="Times New Roman"/>
          <w:sz w:val="24"/>
          <w:szCs w:val="24"/>
        </w:rPr>
        <w:t>5</w:t>
      </w:r>
      <w:r w:rsidRPr="000F315B" w:rsidR="00326755">
        <w:rPr>
          <w:rFonts w:ascii="Times New Roman" w:hAnsi="Times New Roman"/>
          <w:sz w:val="24"/>
          <w:szCs w:val="24"/>
        </w:rPr>
        <w:t>,500 youth</w:t>
      </w:r>
      <w:r w:rsidRPr="000F315B" w:rsidR="00557E8E">
        <w:rPr>
          <w:rFonts w:ascii="Times New Roman" w:hAnsi="Times New Roman"/>
          <w:sz w:val="24"/>
          <w:szCs w:val="24"/>
        </w:rPr>
        <w:t xml:space="preserve"> </w:t>
      </w:r>
      <w:r w:rsidRPr="000F315B">
        <w:rPr>
          <w:rFonts w:ascii="Times New Roman" w:hAnsi="Times New Roman"/>
          <w:sz w:val="24"/>
          <w:szCs w:val="24"/>
        </w:rPr>
        <w:t>ages 13-17 who are susceptible to smoking in the future, we will need to screen approximately</w:t>
      </w:r>
      <w:r w:rsidRPr="00EB5ADD">
        <w:rPr>
          <w:rFonts w:ascii="Times New Roman" w:hAnsi="Times New Roman"/>
          <w:sz w:val="24"/>
          <w:szCs w:val="24"/>
        </w:rPr>
        <w:t xml:space="preserve"> </w:t>
      </w:r>
      <w:r w:rsidR="00F71D7B">
        <w:rPr>
          <w:rFonts w:ascii="Times New Roman" w:hAnsi="Times New Roman"/>
          <w:sz w:val="24"/>
          <w:szCs w:val="24"/>
        </w:rPr>
        <w:t>8,250</w:t>
      </w:r>
      <w:r w:rsidRPr="00EB5ADD">
        <w:rPr>
          <w:rFonts w:ascii="Times New Roman" w:hAnsi="Times New Roman"/>
          <w:sz w:val="24"/>
          <w:szCs w:val="24"/>
        </w:rPr>
        <w:t xml:space="preserve"> potential respondents.</w:t>
      </w:r>
      <w:r w:rsidR="004A5531">
        <w:rPr>
          <w:rFonts w:ascii="Times New Roman" w:hAnsi="Times New Roman"/>
          <w:sz w:val="24"/>
          <w:szCs w:val="24"/>
        </w:rPr>
        <w:t xml:space="preserve"> Additionally, to obtain the final sample of </w:t>
      </w:r>
      <w:r w:rsidR="00F71D7B">
        <w:rPr>
          <w:rFonts w:ascii="Times New Roman" w:hAnsi="Times New Roman"/>
          <w:sz w:val="24"/>
          <w:szCs w:val="24"/>
        </w:rPr>
        <w:t>5,500</w:t>
      </w:r>
      <w:r w:rsidR="004A5531">
        <w:rPr>
          <w:rFonts w:ascii="Times New Roman" w:hAnsi="Times New Roman"/>
          <w:sz w:val="24"/>
          <w:szCs w:val="24"/>
        </w:rPr>
        <w:t xml:space="preserve"> adults enrolled, we estimate we will need to screen up to </w:t>
      </w:r>
      <w:r w:rsidR="00F71D7B">
        <w:rPr>
          <w:rFonts w:ascii="Times New Roman" w:hAnsi="Times New Roman"/>
          <w:sz w:val="24"/>
          <w:szCs w:val="24"/>
        </w:rPr>
        <w:t>8,250</w:t>
      </w:r>
      <w:r w:rsidR="004A5531">
        <w:rPr>
          <w:rFonts w:ascii="Times New Roman" w:hAnsi="Times New Roman"/>
          <w:sz w:val="24"/>
          <w:szCs w:val="24"/>
        </w:rPr>
        <w:t xml:space="preserve"> adults. </w:t>
      </w:r>
      <w:bookmarkStart w:name="_Hlk29392539" w:id="17"/>
      <w:r w:rsidR="004A5531">
        <w:rPr>
          <w:rFonts w:ascii="Times New Roman" w:hAnsi="Times New Roman"/>
          <w:sz w:val="24"/>
          <w:szCs w:val="24"/>
        </w:rPr>
        <w:t xml:space="preserve">Because we are using a panel provider with a proven track record of being able to recruit participants that fit specifications for inclusion, we anticipate we will need to recruit 1.5 times our desired sample for this study. </w:t>
      </w:r>
    </w:p>
    <w:bookmarkEnd w:id="17"/>
    <w:p w:rsidR="004A5531" w:rsidP="00EB5ADD" w:rsidRDefault="004A5531" w14:paraId="528C6A21" w14:textId="77777777">
      <w:pPr>
        <w:ind w:left="450"/>
        <w:rPr>
          <w:rFonts w:ascii="Times New Roman" w:hAnsi="Times New Roman"/>
          <w:sz w:val="24"/>
          <w:szCs w:val="24"/>
        </w:rPr>
      </w:pPr>
    </w:p>
    <w:p w:rsidRPr="00EB5ADD" w:rsidR="004A5531" w:rsidP="00EB5ADD" w:rsidRDefault="004A5531" w14:paraId="6FD04C8D" w14:textId="77777777">
      <w:pPr>
        <w:ind w:left="450"/>
        <w:rPr>
          <w:rFonts w:ascii="Times New Roman" w:hAnsi="Times New Roman"/>
          <w:sz w:val="24"/>
          <w:szCs w:val="24"/>
        </w:rPr>
      </w:pPr>
      <w:r>
        <w:rPr>
          <w:rFonts w:ascii="Times New Roman" w:hAnsi="Times New Roman"/>
          <w:sz w:val="24"/>
          <w:szCs w:val="24"/>
        </w:rPr>
        <w:t xml:space="preserve">Based on </w:t>
      </w:r>
      <w:r w:rsidRPr="004A5531">
        <w:rPr>
          <w:rFonts w:ascii="Times New Roman" w:hAnsi="Times New Roman"/>
          <w:sz w:val="24"/>
          <w:szCs w:val="24"/>
        </w:rPr>
        <w:t xml:space="preserve">previous experience, we estimate that the screener completion will take no more than five minutes per participant. The parental </w:t>
      </w:r>
      <w:r w:rsidR="0061672F">
        <w:rPr>
          <w:rFonts w:ascii="Times New Roman" w:hAnsi="Times New Roman"/>
          <w:sz w:val="24"/>
          <w:szCs w:val="24"/>
        </w:rPr>
        <w:t xml:space="preserve">notification and </w:t>
      </w:r>
      <w:r w:rsidRPr="004A5531">
        <w:rPr>
          <w:rFonts w:ascii="Times New Roman" w:hAnsi="Times New Roman"/>
          <w:sz w:val="24"/>
          <w:szCs w:val="24"/>
        </w:rPr>
        <w:t>opt-out process will take an estimated two minutes to complete. The youth assent and adult consent are estimated to take two minutes to complete. Questionnaire completion will take an estimated 20 minutes</w:t>
      </w:r>
      <w:r>
        <w:rPr>
          <w:rFonts w:ascii="Times New Roman" w:hAnsi="Times New Roman"/>
          <w:sz w:val="24"/>
          <w:szCs w:val="24"/>
        </w:rPr>
        <w:t>.</w:t>
      </w:r>
    </w:p>
    <w:p w:rsidRPr="00EB5ADD" w:rsidR="00EB5ADD" w:rsidP="00BE6F8F" w:rsidRDefault="00326755" w14:paraId="2515B1E3" w14:textId="5533259B">
      <w:pPr>
        <w:spacing w:before="100" w:beforeAutospacing="1" w:after="100" w:afterAutospacing="1"/>
        <w:ind w:left="720"/>
        <w:jc w:val="center"/>
        <w:rPr>
          <w:rFonts w:ascii="Times New Roman" w:hAnsi="Times New Roman"/>
          <w:b/>
          <w:sz w:val="24"/>
          <w:szCs w:val="24"/>
          <w:vertAlign w:val="superscript"/>
        </w:rPr>
      </w:pPr>
      <w:r>
        <w:rPr>
          <w:rFonts w:ascii="Times New Roman" w:hAnsi="Times New Roman"/>
          <w:b/>
          <w:sz w:val="24"/>
          <w:szCs w:val="24"/>
        </w:rPr>
        <w:t xml:space="preserve">Table </w:t>
      </w:r>
      <w:r w:rsidRPr="00D74E76" w:rsidR="00D74E76">
        <w:rPr>
          <w:rFonts w:ascii="Times New Roman" w:hAnsi="Times New Roman"/>
          <w:b/>
          <w:sz w:val="24"/>
          <w:szCs w:val="24"/>
        </w:rPr>
        <w:t>1</w:t>
      </w:r>
      <w:r w:rsidRPr="00D74E76" w:rsidR="00EB5ADD">
        <w:rPr>
          <w:rFonts w:ascii="Times New Roman" w:hAnsi="Times New Roman"/>
          <w:b/>
          <w:sz w:val="24"/>
          <w:szCs w:val="24"/>
        </w:rPr>
        <w:t>.</w:t>
      </w:r>
      <w:r w:rsidRPr="00D74E76" w:rsidR="00D74E76">
        <w:rPr>
          <w:rFonts w:ascii="Times New Roman" w:hAnsi="Times New Roman"/>
          <w:b/>
          <w:sz w:val="24"/>
          <w:szCs w:val="24"/>
        </w:rPr>
        <w:t xml:space="preserve"> </w:t>
      </w:r>
      <w:r w:rsidRPr="00D74E76" w:rsidR="00EB5ADD">
        <w:rPr>
          <w:rFonts w:ascii="Times New Roman" w:hAnsi="Times New Roman"/>
          <w:b/>
          <w:sz w:val="24"/>
          <w:szCs w:val="24"/>
        </w:rPr>
        <w:t>Estimated</w:t>
      </w:r>
      <w:r w:rsidRPr="00D74E76" w:rsidR="0081268C">
        <w:rPr>
          <w:rFonts w:ascii="Times New Roman" w:hAnsi="Times New Roman"/>
          <w:b/>
          <w:sz w:val="24"/>
          <w:szCs w:val="24"/>
        </w:rPr>
        <w:t xml:space="preserve"> </w:t>
      </w:r>
      <w:r w:rsidRPr="00D74E76" w:rsidR="00EB5ADD">
        <w:rPr>
          <w:rFonts w:ascii="Times New Roman" w:hAnsi="Times New Roman"/>
          <w:b/>
          <w:sz w:val="24"/>
          <w:szCs w:val="24"/>
        </w:rPr>
        <w:t>Annual Reporting Burden</w:t>
      </w:r>
      <w:bookmarkEnd w:id="16"/>
    </w:p>
    <w:tbl>
      <w:tblPr>
        <w:tblW w:w="5179" w:type="pct"/>
        <w:tblLook w:val="04A0" w:firstRow="1" w:lastRow="0" w:firstColumn="1" w:lastColumn="0" w:noHBand="0" w:noVBand="1"/>
      </w:tblPr>
      <w:tblGrid>
        <w:gridCol w:w="1431"/>
        <w:gridCol w:w="1563"/>
        <w:gridCol w:w="1523"/>
        <w:gridCol w:w="1430"/>
        <w:gridCol w:w="1270"/>
        <w:gridCol w:w="1441"/>
        <w:gridCol w:w="1016"/>
      </w:tblGrid>
      <w:tr w:rsidRPr="004A5531" w:rsidR="00AE1FC1" w:rsidTr="004A5531" w14:paraId="499D4E1B" w14:textId="77777777">
        <w:trPr>
          <w:trHeight w:val="495"/>
        </w:trPr>
        <w:tc>
          <w:tcPr>
            <w:tcW w:w="740" w:type="pct"/>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Pr="004A5531" w:rsidR="00AE1FC1" w:rsidP="00943E56" w:rsidRDefault="00AE1FC1" w14:paraId="4C562443" w14:textId="77777777">
            <w:pPr>
              <w:rPr>
                <w:rFonts w:ascii="Times New Roman" w:hAnsi="Times New Roman"/>
                <w:b/>
                <w:sz w:val="24"/>
                <w:szCs w:val="24"/>
              </w:rPr>
            </w:pPr>
            <w:r w:rsidRPr="004A5531">
              <w:rPr>
                <w:rFonts w:ascii="Times New Roman" w:hAnsi="Times New Roman"/>
                <w:b/>
                <w:sz w:val="24"/>
                <w:szCs w:val="24"/>
              </w:rPr>
              <w:t>Type of Respondent</w:t>
            </w:r>
          </w:p>
        </w:tc>
        <w:tc>
          <w:tcPr>
            <w:tcW w:w="808" w:type="pct"/>
            <w:tcBorders>
              <w:top w:val="single" w:color="auto" w:sz="8" w:space="0"/>
              <w:left w:val="nil"/>
              <w:bottom w:val="single" w:color="auto" w:sz="8" w:space="0"/>
              <w:right w:val="single" w:color="auto" w:sz="8" w:space="0"/>
            </w:tcBorders>
            <w:shd w:val="clear" w:color="auto" w:fill="A6A6A6" w:themeFill="background1" w:themeFillShade="A6"/>
          </w:tcPr>
          <w:p w:rsidRPr="004A5531" w:rsidR="00AE1FC1" w:rsidP="00943E56" w:rsidRDefault="00AE1FC1" w14:paraId="1FB9ED2B" w14:textId="77777777">
            <w:pPr>
              <w:rPr>
                <w:rFonts w:ascii="Times New Roman" w:hAnsi="Times New Roman"/>
                <w:b/>
                <w:sz w:val="24"/>
                <w:szCs w:val="24"/>
              </w:rPr>
            </w:pPr>
            <w:r w:rsidRPr="004A5531">
              <w:rPr>
                <w:rFonts w:ascii="Times New Roman" w:hAnsi="Times New Roman"/>
                <w:b/>
                <w:sz w:val="24"/>
                <w:szCs w:val="24"/>
              </w:rPr>
              <w:t>Activity</w:t>
            </w:r>
          </w:p>
        </w:tc>
        <w:tc>
          <w:tcPr>
            <w:tcW w:w="787" w:type="pct"/>
            <w:tcBorders>
              <w:top w:val="single" w:color="auto" w:sz="8" w:space="0"/>
              <w:left w:val="nil"/>
              <w:bottom w:val="single" w:color="auto" w:sz="8" w:space="0"/>
              <w:right w:val="single" w:color="auto" w:sz="8" w:space="0"/>
            </w:tcBorders>
            <w:shd w:val="clear" w:color="auto" w:fill="A6A6A6" w:themeFill="background1" w:themeFillShade="A6"/>
          </w:tcPr>
          <w:p w:rsidRPr="004A5531" w:rsidR="00AE1FC1" w:rsidP="00943E56" w:rsidRDefault="00AE1FC1" w14:paraId="3ACC4165" w14:textId="77777777">
            <w:pPr>
              <w:rPr>
                <w:rFonts w:ascii="Times New Roman" w:hAnsi="Times New Roman"/>
                <w:b/>
                <w:sz w:val="24"/>
                <w:szCs w:val="24"/>
              </w:rPr>
            </w:pPr>
            <w:r w:rsidRPr="004A5531">
              <w:rPr>
                <w:rFonts w:ascii="Times New Roman" w:hAnsi="Times New Roman"/>
                <w:b/>
                <w:sz w:val="24"/>
                <w:szCs w:val="24"/>
              </w:rPr>
              <w:t>Number of Respondents</w:t>
            </w:r>
          </w:p>
        </w:tc>
        <w:tc>
          <w:tcPr>
            <w:tcW w:w="739" w:type="pct"/>
            <w:tcBorders>
              <w:top w:val="single" w:color="auto" w:sz="8" w:space="0"/>
              <w:left w:val="nil"/>
              <w:bottom w:val="single" w:color="auto" w:sz="8" w:space="0"/>
              <w:right w:val="single" w:color="auto" w:sz="8" w:space="0"/>
            </w:tcBorders>
            <w:shd w:val="clear" w:color="auto" w:fill="A6A6A6" w:themeFill="background1" w:themeFillShade="A6"/>
          </w:tcPr>
          <w:p w:rsidRPr="004A5531" w:rsidR="00AE1FC1" w:rsidP="00943E56" w:rsidRDefault="00AE1FC1" w14:paraId="48F59110" w14:textId="77777777">
            <w:pPr>
              <w:rPr>
                <w:rFonts w:ascii="Times New Roman" w:hAnsi="Times New Roman"/>
                <w:b/>
                <w:sz w:val="24"/>
                <w:szCs w:val="24"/>
              </w:rPr>
            </w:pPr>
            <w:r w:rsidRPr="004A5531">
              <w:rPr>
                <w:rFonts w:ascii="Times New Roman" w:hAnsi="Times New Roman"/>
                <w:b/>
                <w:sz w:val="24"/>
                <w:szCs w:val="24"/>
              </w:rPr>
              <w:t>Number of Responses per Respondent</w:t>
            </w:r>
          </w:p>
        </w:tc>
        <w:tc>
          <w:tcPr>
            <w:tcW w:w="656" w:type="pct"/>
            <w:tcBorders>
              <w:top w:val="single" w:color="auto" w:sz="8" w:space="0"/>
              <w:left w:val="nil"/>
              <w:bottom w:val="single" w:color="auto" w:sz="8" w:space="0"/>
              <w:right w:val="single" w:color="auto" w:sz="8" w:space="0"/>
            </w:tcBorders>
            <w:shd w:val="clear" w:color="auto" w:fill="A6A6A6" w:themeFill="background1" w:themeFillShade="A6"/>
          </w:tcPr>
          <w:p w:rsidRPr="004A5531" w:rsidR="00AE1FC1" w:rsidP="00943E56" w:rsidRDefault="00AE1FC1" w14:paraId="0FCAF6B2" w14:textId="77777777">
            <w:pPr>
              <w:rPr>
                <w:rFonts w:ascii="Times New Roman" w:hAnsi="Times New Roman"/>
                <w:b/>
                <w:sz w:val="24"/>
                <w:szCs w:val="24"/>
              </w:rPr>
            </w:pPr>
            <w:r w:rsidRPr="004A5531">
              <w:rPr>
                <w:rFonts w:ascii="Times New Roman" w:hAnsi="Times New Roman"/>
                <w:b/>
                <w:sz w:val="24"/>
                <w:szCs w:val="24"/>
              </w:rPr>
              <w:t>Total Responses</w:t>
            </w:r>
          </w:p>
        </w:tc>
        <w:tc>
          <w:tcPr>
            <w:tcW w:w="745" w:type="pct"/>
            <w:tcBorders>
              <w:top w:val="single" w:color="auto" w:sz="8" w:space="0"/>
              <w:left w:val="nil"/>
              <w:bottom w:val="single" w:color="auto" w:sz="8" w:space="0"/>
              <w:right w:val="single" w:color="auto" w:sz="8" w:space="0"/>
            </w:tcBorders>
            <w:shd w:val="clear" w:color="auto" w:fill="A6A6A6" w:themeFill="background1" w:themeFillShade="A6"/>
          </w:tcPr>
          <w:p w:rsidRPr="004A5531" w:rsidR="00AE1FC1" w:rsidP="00943E56" w:rsidRDefault="00AE1FC1" w14:paraId="7866C302" w14:textId="77777777">
            <w:pPr>
              <w:rPr>
                <w:rFonts w:ascii="Times New Roman" w:hAnsi="Times New Roman"/>
                <w:b/>
                <w:sz w:val="24"/>
                <w:szCs w:val="24"/>
              </w:rPr>
            </w:pPr>
            <w:r w:rsidRPr="004A5531">
              <w:rPr>
                <w:rFonts w:ascii="Times New Roman" w:hAnsi="Times New Roman"/>
                <w:b/>
                <w:sz w:val="24"/>
                <w:szCs w:val="24"/>
              </w:rPr>
              <w:t>Average Burden per Response (in hours)</w:t>
            </w:r>
          </w:p>
        </w:tc>
        <w:tc>
          <w:tcPr>
            <w:tcW w:w="525" w:type="pct"/>
            <w:tcBorders>
              <w:top w:val="single" w:color="auto" w:sz="8" w:space="0"/>
              <w:left w:val="nil"/>
              <w:bottom w:val="single" w:color="auto" w:sz="8" w:space="0"/>
              <w:right w:val="single" w:color="auto" w:sz="8" w:space="0"/>
            </w:tcBorders>
            <w:shd w:val="clear" w:color="auto" w:fill="A6A6A6" w:themeFill="background1" w:themeFillShade="A6"/>
          </w:tcPr>
          <w:p w:rsidRPr="004A5531" w:rsidR="00AE1FC1" w:rsidP="00943E56" w:rsidRDefault="00AE1FC1" w14:paraId="19541459" w14:textId="77777777">
            <w:pPr>
              <w:rPr>
                <w:rFonts w:ascii="Times New Roman" w:hAnsi="Times New Roman"/>
                <w:b/>
                <w:sz w:val="24"/>
                <w:szCs w:val="24"/>
              </w:rPr>
            </w:pPr>
            <w:r w:rsidRPr="004A5531">
              <w:rPr>
                <w:rFonts w:ascii="Times New Roman" w:hAnsi="Times New Roman"/>
                <w:b/>
                <w:sz w:val="24"/>
                <w:szCs w:val="24"/>
              </w:rPr>
              <w:t>Total Hours</w:t>
            </w:r>
          </w:p>
        </w:tc>
      </w:tr>
      <w:tr w:rsidRPr="004A5531" w:rsidR="00AC2807" w:rsidTr="00940B06" w14:paraId="5FB46CA6" w14:textId="77777777">
        <w:trPr>
          <w:trHeight w:val="495"/>
        </w:trPr>
        <w:tc>
          <w:tcPr>
            <w:tcW w:w="740" w:type="pct"/>
            <w:tcBorders>
              <w:top w:val="single" w:color="auto" w:sz="8" w:space="0"/>
              <w:left w:val="single" w:color="auto" w:sz="8" w:space="0"/>
              <w:bottom w:val="single" w:color="auto" w:sz="8" w:space="0"/>
              <w:right w:val="single" w:color="auto" w:sz="8" w:space="0"/>
            </w:tcBorders>
            <w:shd w:val="clear" w:color="auto" w:fill="auto"/>
            <w:vAlign w:val="center"/>
            <w:hideMark/>
          </w:tcPr>
          <w:p w:rsidRPr="004A5531" w:rsidR="00AC2807" w:rsidP="005C15B3" w:rsidRDefault="00AC2807" w14:paraId="32CA4F5B" w14:textId="77777777">
            <w:pPr>
              <w:jc w:val="center"/>
              <w:rPr>
                <w:rFonts w:ascii="Times New Roman" w:hAnsi="Times New Roman"/>
                <w:color w:val="000000"/>
                <w:sz w:val="24"/>
                <w:szCs w:val="24"/>
              </w:rPr>
            </w:pPr>
            <w:r w:rsidRPr="004A5531">
              <w:rPr>
                <w:rFonts w:ascii="Times New Roman" w:hAnsi="Times New Roman"/>
                <w:color w:val="000000"/>
                <w:sz w:val="24"/>
                <w:szCs w:val="24"/>
              </w:rPr>
              <w:lastRenderedPageBreak/>
              <w:t>Screened Youth</w:t>
            </w:r>
          </w:p>
        </w:tc>
        <w:tc>
          <w:tcPr>
            <w:tcW w:w="808" w:type="pct"/>
            <w:tcBorders>
              <w:top w:val="single" w:color="auto" w:sz="8" w:space="0"/>
              <w:left w:val="nil"/>
              <w:bottom w:val="single" w:color="auto" w:sz="8" w:space="0"/>
              <w:right w:val="single" w:color="auto" w:sz="8" w:space="0"/>
            </w:tcBorders>
            <w:shd w:val="clear" w:color="auto" w:fill="auto"/>
            <w:vAlign w:val="center"/>
            <w:hideMark/>
          </w:tcPr>
          <w:p w:rsidRPr="004A5531" w:rsidR="00AC2807" w:rsidP="00940B06" w:rsidRDefault="00AC2807" w14:paraId="16531EF7" w14:textId="77777777">
            <w:pPr>
              <w:jc w:val="center"/>
              <w:rPr>
                <w:rFonts w:ascii="Times New Roman" w:hAnsi="Times New Roman"/>
                <w:color w:val="000000"/>
                <w:sz w:val="24"/>
                <w:szCs w:val="24"/>
              </w:rPr>
            </w:pPr>
            <w:r w:rsidRPr="004A5531">
              <w:rPr>
                <w:rFonts w:ascii="Times New Roman" w:hAnsi="Times New Roman"/>
                <w:color w:val="000000"/>
                <w:sz w:val="24"/>
                <w:szCs w:val="24"/>
              </w:rPr>
              <w:t>Screener completion</w:t>
            </w:r>
          </w:p>
        </w:tc>
        <w:tc>
          <w:tcPr>
            <w:tcW w:w="787" w:type="pct"/>
            <w:tcBorders>
              <w:top w:val="single" w:color="auto" w:sz="8" w:space="0"/>
              <w:left w:val="nil"/>
              <w:bottom w:val="single" w:color="auto" w:sz="8" w:space="0"/>
              <w:right w:val="single" w:color="auto" w:sz="8" w:space="0"/>
            </w:tcBorders>
            <w:shd w:val="clear" w:color="auto" w:fill="auto"/>
            <w:vAlign w:val="center"/>
            <w:hideMark/>
          </w:tcPr>
          <w:p w:rsidRPr="004A5531" w:rsidR="00AC2807" w:rsidP="005C15B3" w:rsidRDefault="00F71D7B" w14:paraId="0DD7B975" w14:textId="77777777">
            <w:pPr>
              <w:jc w:val="center"/>
              <w:rPr>
                <w:rFonts w:ascii="Times New Roman" w:hAnsi="Times New Roman"/>
                <w:color w:val="000000"/>
                <w:sz w:val="24"/>
                <w:szCs w:val="24"/>
              </w:rPr>
            </w:pPr>
            <w:r>
              <w:rPr>
                <w:rFonts w:ascii="Times New Roman" w:hAnsi="Times New Roman"/>
                <w:color w:val="000000"/>
                <w:sz w:val="24"/>
                <w:szCs w:val="24"/>
              </w:rPr>
              <w:t>8,250</w:t>
            </w:r>
          </w:p>
        </w:tc>
        <w:tc>
          <w:tcPr>
            <w:tcW w:w="739" w:type="pct"/>
            <w:tcBorders>
              <w:top w:val="single" w:color="auto" w:sz="8" w:space="0"/>
              <w:left w:val="nil"/>
              <w:bottom w:val="single" w:color="auto" w:sz="8" w:space="0"/>
              <w:right w:val="single" w:color="auto" w:sz="8" w:space="0"/>
            </w:tcBorders>
            <w:shd w:val="clear" w:color="auto" w:fill="auto"/>
            <w:vAlign w:val="center"/>
            <w:hideMark/>
          </w:tcPr>
          <w:p w:rsidRPr="004A5531" w:rsidR="00AC2807" w:rsidP="005C15B3" w:rsidRDefault="00AC2807" w14:paraId="27F27B2C" w14:textId="77777777">
            <w:pPr>
              <w:jc w:val="center"/>
              <w:rPr>
                <w:rFonts w:ascii="Times New Roman" w:hAnsi="Times New Roman"/>
                <w:color w:val="000000"/>
                <w:sz w:val="24"/>
                <w:szCs w:val="24"/>
              </w:rPr>
            </w:pPr>
            <w:r w:rsidRPr="004A5531">
              <w:rPr>
                <w:rFonts w:ascii="Times New Roman" w:hAnsi="Times New Roman"/>
                <w:color w:val="000000"/>
                <w:sz w:val="24"/>
                <w:szCs w:val="24"/>
              </w:rPr>
              <w:t>1</w:t>
            </w:r>
          </w:p>
        </w:tc>
        <w:tc>
          <w:tcPr>
            <w:tcW w:w="656" w:type="pct"/>
            <w:tcBorders>
              <w:top w:val="single" w:color="auto" w:sz="8" w:space="0"/>
              <w:left w:val="nil"/>
              <w:bottom w:val="single" w:color="auto" w:sz="8" w:space="0"/>
              <w:right w:val="single" w:color="auto" w:sz="8" w:space="0"/>
            </w:tcBorders>
            <w:shd w:val="clear" w:color="auto" w:fill="auto"/>
            <w:vAlign w:val="center"/>
          </w:tcPr>
          <w:p w:rsidRPr="004A5531" w:rsidR="00AC2807" w:rsidP="005C15B3" w:rsidRDefault="00F71D7B" w14:paraId="1C6C0D45" w14:textId="77777777">
            <w:pPr>
              <w:jc w:val="center"/>
              <w:rPr>
                <w:rFonts w:ascii="Times New Roman" w:hAnsi="Times New Roman"/>
                <w:color w:val="000000"/>
                <w:sz w:val="24"/>
                <w:szCs w:val="24"/>
              </w:rPr>
            </w:pPr>
            <w:r>
              <w:rPr>
                <w:rFonts w:ascii="Times New Roman" w:hAnsi="Times New Roman"/>
                <w:color w:val="000000"/>
                <w:sz w:val="24"/>
                <w:szCs w:val="24"/>
              </w:rPr>
              <w:t>8,250</w:t>
            </w:r>
          </w:p>
        </w:tc>
        <w:tc>
          <w:tcPr>
            <w:tcW w:w="745" w:type="pct"/>
            <w:tcBorders>
              <w:top w:val="single" w:color="auto" w:sz="8" w:space="0"/>
              <w:left w:val="nil"/>
              <w:bottom w:val="single" w:color="auto" w:sz="8" w:space="0"/>
              <w:right w:val="single" w:color="auto" w:sz="8" w:space="0"/>
            </w:tcBorders>
            <w:shd w:val="clear" w:color="auto" w:fill="auto"/>
            <w:vAlign w:val="center"/>
            <w:hideMark/>
          </w:tcPr>
          <w:p w:rsidRPr="004A5531" w:rsidR="00AC2807" w:rsidP="005C15B3" w:rsidRDefault="00AC2807" w14:paraId="7845D213" w14:textId="77777777">
            <w:pPr>
              <w:jc w:val="center"/>
              <w:rPr>
                <w:rFonts w:ascii="Times New Roman" w:hAnsi="Times New Roman"/>
                <w:color w:val="000000"/>
                <w:sz w:val="24"/>
                <w:szCs w:val="24"/>
              </w:rPr>
            </w:pPr>
            <w:r w:rsidRPr="004A5531">
              <w:rPr>
                <w:rFonts w:ascii="Times New Roman" w:hAnsi="Times New Roman"/>
                <w:color w:val="000000"/>
                <w:sz w:val="24"/>
                <w:szCs w:val="24"/>
              </w:rPr>
              <w:t>0.083</w:t>
            </w:r>
          </w:p>
          <w:p w:rsidRPr="004A5531" w:rsidR="00AC2807" w:rsidP="005C15B3" w:rsidRDefault="00AC2807" w14:paraId="29992415" w14:textId="77777777">
            <w:pPr>
              <w:jc w:val="center"/>
              <w:rPr>
                <w:rFonts w:ascii="Times New Roman" w:hAnsi="Times New Roman"/>
                <w:color w:val="000000"/>
                <w:sz w:val="24"/>
                <w:szCs w:val="24"/>
              </w:rPr>
            </w:pPr>
            <w:r w:rsidRPr="004A5531">
              <w:rPr>
                <w:rFonts w:ascii="Times New Roman" w:hAnsi="Times New Roman"/>
                <w:color w:val="000000"/>
                <w:sz w:val="24"/>
                <w:szCs w:val="24"/>
              </w:rPr>
              <w:t>(5 min)</w:t>
            </w:r>
          </w:p>
        </w:tc>
        <w:tc>
          <w:tcPr>
            <w:tcW w:w="525" w:type="pct"/>
            <w:tcBorders>
              <w:top w:val="single" w:color="auto" w:sz="8" w:space="0"/>
              <w:left w:val="nil"/>
              <w:bottom w:val="single" w:color="auto" w:sz="8" w:space="0"/>
              <w:right w:val="single" w:color="auto" w:sz="8" w:space="0"/>
            </w:tcBorders>
            <w:shd w:val="clear" w:color="auto" w:fill="auto"/>
            <w:vAlign w:val="center"/>
            <w:hideMark/>
          </w:tcPr>
          <w:p w:rsidRPr="004A5531" w:rsidR="00AC2807" w:rsidP="00B56F15" w:rsidRDefault="0000357D" w14:paraId="7309F2CC" w14:textId="79011CF2">
            <w:pPr>
              <w:jc w:val="center"/>
              <w:rPr>
                <w:rFonts w:ascii="Times New Roman" w:hAnsi="Times New Roman"/>
                <w:color w:val="000000"/>
                <w:sz w:val="24"/>
                <w:szCs w:val="24"/>
              </w:rPr>
            </w:pPr>
            <w:r>
              <w:rPr>
                <w:rFonts w:ascii="Times New Roman" w:hAnsi="Times New Roman"/>
                <w:color w:val="000000"/>
                <w:sz w:val="24"/>
                <w:szCs w:val="24"/>
              </w:rPr>
              <w:t>688</w:t>
            </w:r>
          </w:p>
        </w:tc>
      </w:tr>
      <w:tr w:rsidRPr="004A5531" w:rsidR="00AC2807" w:rsidTr="00940B06" w14:paraId="53A8AA41" w14:textId="77777777">
        <w:trPr>
          <w:trHeight w:val="555"/>
        </w:trPr>
        <w:tc>
          <w:tcPr>
            <w:tcW w:w="740" w:type="pct"/>
            <w:tcBorders>
              <w:top w:val="nil"/>
              <w:left w:val="single" w:color="auto" w:sz="8" w:space="0"/>
              <w:bottom w:val="single" w:color="auto" w:sz="8" w:space="0"/>
              <w:right w:val="single" w:color="auto" w:sz="8" w:space="0"/>
            </w:tcBorders>
            <w:shd w:val="clear" w:color="auto" w:fill="auto"/>
            <w:vAlign w:val="center"/>
            <w:hideMark/>
          </w:tcPr>
          <w:p w:rsidRPr="004A5531" w:rsidR="00AC2807" w:rsidP="005C15B3" w:rsidRDefault="00AC2807" w14:paraId="27B915EA" w14:textId="77777777">
            <w:pPr>
              <w:jc w:val="center"/>
              <w:rPr>
                <w:rFonts w:ascii="Times New Roman" w:hAnsi="Times New Roman"/>
                <w:color w:val="000000"/>
                <w:sz w:val="24"/>
                <w:szCs w:val="24"/>
              </w:rPr>
            </w:pPr>
            <w:r w:rsidRPr="004A5531">
              <w:rPr>
                <w:rFonts w:ascii="Times New Roman" w:hAnsi="Times New Roman"/>
                <w:color w:val="000000"/>
                <w:sz w:val="24"/>
                <w:szCs w:val="24"/>
              </w:rPr>
              <w:t>Screened Adults</w:t>
            </w:r>
          </w:p>
        </w:tc>
        <w:tc>
          <w:tcPr>
            <w:tcW w:w="808" w:type="pct"/>
            <w:tcBorders>
              <w:top w:val="nil"/>
              <w:left w:val="nil"/>
              <w:bottom w:val="single" w:color="auto" w:sz="8" w:space="0"/>
              <w:right w:val="single" w:color="auto" w:sz="8" w:space="0"/>
            </w:tcBorders>
            <w:shd w:val="clear" w:color="auto" w:fill="auto"/>
            <w:vAlign w:val="center"/>
            <w:hideMark/>
          </w:tcPr>
          <w:p w:rsidRPr="004A5531" w:rsidR="00AC2807" w:rsidP="00940B06" w:rsidRDefault="00AC2807" w14:paraId="028A8448" w14:textId="77777777">
            <w:pPr>
              <w:jc w:val="center"/>
              <w:rPr>
                <w:rFonts w:ascii="Times New Roman" w:hAnsi="Times New Roman"/>
                <w:color w:val="000000"/>
                <w:sz w:val="24"/>
                <w:szCs w:val="24"/>
              </w:rPr>
            </w:pPr>
            <w:r w:rsidRPr="004A5531">
              <w:rPr>
                <w:rFonts w:ascii="Times New Roman" w:hAnsi="Times New Roman"/>
                <w:color w:val="000000"/>
                <w:sz w:val="24"/>
                <w:szCs w:val="24"/>
              </w:rPr>
              <w:t>Screener completions</w:t>
            </w:r>
          </w:p>
        </w:tc>
        <w:tc>
          <w:tcPr>
            <w:tcW w:w="787" w:type="pct"/>
            <w:tcBorders>
              <w:top w:val="nil"/>
              <w:left w:val="nil"/>
              <w:bottom w:val="single" w:color="auto" w:sz="8" w:space="0"/>
              <w:right w:val="single" w:color="auto" w:sz="8" w:space="0"/>
            </w:tcBorders>
            <w:shd w:val="clear" w:color="auto" w:fill="auto"/>
            <w:vAlign w:val="center"/>
            <w:hideMark/>
          </w:tcPr>
          <w:p w:rsidRPr="004A5531" w:rsidR="00AC2807" w:rsidP="005C15B3" w:rsidRDefault="00F71D7B" w14:paraId="17018292" w14:textId="77777777">
            <w:pPr>
              <w:jc w:val="center"/>
              <w:rPr>
                <w:rFonts w:ascii="Times New Roman" w:hAnsi="Times New Roman"/>
                <w:color w:val="000000"/>
                <w:sz w:val="24"/>
                <w:szCs w:val="24"/>
              </w:rPr>
            </w:pPr>
            <w:r>
              <w:rPr>
                <w:rFonts w:ascii="Times New Roman" w:hAnsi="Times New Roman"/>
                <w:color w:val="000000"/>
                <w:sz w:val="24"/>
                <w:szCs w:val="24"/>
              </w:rPr>
              <w:t>8,250</w:t>
            </w:r>
          </w:p>
        </w:tc>
        <w:tc>
          <w:tcPr>
            <w:tcW w:w="739" w:type="pct"/>
            <w:tcBorders>
              <w:top w:val="nil"/>
              <w:left w:val="nil"/>
              <w:bottom w:val="single" w:color="auto" w:sz="8" w:space="0"/>
              <w:right w:val="single" w:color="auto" w:sz="8" w:space="0"/>
            </w:tcBorders>
            <w:shd w:val="clear" w:color="auto" w:fill="auto"/>
            <w:vAlign w:val="center"/>
            <w:hideMark/>
          </w:tcPr>
          <w:p w:rsidRPr="004A5531" w:rsidR="00AC2807" w:rsidP="005C15B3" w:rsidRDefault="00AC2807" w14:paraId="2FFAC84D" w14:textId="77777777">
            <w:pPr>
              <w:jc w:val="center"/>
              <w:rPr>
                <w:rFonts w:ascii="Times New Roman" w:hAnsi="Times New Roman"/>
                <w:color w:val="000000"/>
                <w:sz w:val="24"/>
                <w:szCs w:val="24"/>
              </w:rPr>
            </w:pPr>
            <w:r w:rsidRPr="004A5531">
              <w:rPr>
                <w:rFonts w:ascii="Times New Roman" w:hAnsi="Times New Roman"/>
                <w:color w:val="000000"/>
                <w:sz w:val="24"/>
                <w:szCs w:val="24"/>
              </w:rPr>
              <w:t>1</w:t>
            </w:r>
          </w:p>
        </w:tc>
        <w:tc>
          <w:tcPr>
            <w:tcW w:w="656" w:type="pct"/>
            <w:tcBorders>
              <w:top w:val="nil"/>
              <w:left w:val="nil"/>
              <w:bottom w:val="single" w:color="auto" w:sz="8" w:space="0"/>
              <w:right w:val="single" w:color="auto" w:sz="8" w:space="0"/>
            </w:tcBorders>
            <w:shd w:val="clear" w:color="auto" w:fill="auto"/>
            <w:vAlign w:val="center"/>
          </w:tcPr>
          <w:p w:rsidRPr="004A5531" w:rsidR="00AC2807" w:rsidP="005C15B3" w:rsidRDefault="00F71D7B" w14:paraId="42E2F15D" w14:textId="77777777">
            <w:pPr>
              <w:jc w:val="center"/>
              <w:rPr>
                <w:rFonts w:ascii="Times New Roman" w:hAnsi="Times New Roman"/>
                <w:color w:val="000000"/>
                <w:sz w:val="24"/>
                <w:szCs w:val="24"/>
              </w:rPr>
            </w:pPr>
            <w:r>
              <w:rPr>
                <w:rFonts w:ascii="Times New Roman" w:hAnsi="Times New Roman"/>
                <w:color w:val="000000"/>
                <w:sz w:val="24"/>
                <w:szCs w:val="24"/>
              </w:rPr>
              <w:t>8,250</w:t>
            </w:r>
          </w:p>
        </w:tc>
        <w:tc>
          <w:tcPr>
            <w:tcW w:w="745" w:type="pct"/>
            <w:tcBorders>
              <w:top w:val="nil"/>
              <w:left w:val="nil"/>
              <w:bottom w:val="single" w:color="auto" w:sz="8" w:space="0"/>
              <w:right w:val="single" w:color="auto" w:sz="8" w:space="0"/>
            </w:tcBorders>
            <w:shd w:val="clear" w:color="auto" w:fill="auto"/>
            <w:vAlign w:val="center"/>
            <w:hideMark/>
          </w:tcPr>
          <w:p w:rsidRPr="004A5531" w:rsidR="00AC2807" w:rsidP="005C15B3" w:rsidRDefault="00AC2807" w14:paraId="175249E4" w14:textId="77777777">
            <w:pPr>
              <w:jc w:val="center"/>
              <w:rPr>
                <w:rFonts w:ascii="Times New Roman" w:hAnsi="Times New Roman"/>
                <w:color w:val="000000"/>
                <w:sz w:val="24"/>
                <w:szCs w:val="24"/>
              </w:rPr>
            </w:pPr>
            <w:r w:rsidRPr="004A5531">
              <w:rPr>
                <w:rFonts w:ascii="Times New Roman" w:hAnsi="Times New Roman"/>
                <w:color w:val="000000"/>
                <w:sz w:val="24"/>
                <w:szCs w:val="24"/>
              </w:rPr>
              <w:t>0.083</w:t>
            </w:r>
          </w:p>
          <w:p w:rsidRPr="004A5531" w:rsidR="00AC2807" w:rsidP="005C15B3" w:rsidRDefault="00AC2807" w14:paraId="4AE95FC8" w14:textId="77777777">
            <w:pPr>
              <w:jc w:val="center"/>
              <w:rPr>
                <w:rFonts w:ascii="Times New Roman" w:hAnsi="Times New Roman"/>
                <w:color w:val="000000"/>
                <w:sz w:val="24"/>
                <w:szCs w:val="24"/>
              </w:rPr>
            </w:pPr>
            <w:r w:rsidRPr="004A5531">
              <w:rPr>
                <w:rFonts w:ascii="Times New Roman" w:hAnsi="Times New Roman"/>
                <w:color w:val="000000"/>
                <w:sz w:val="24"/>
                <w:szCs w:val="24"/>
              </w:rPr>
              <w:t>(5 min)</w:t>
            </w:r>
          </w:p>
        </w:tc>
        <w:tc>
          <w:tcPr>
            <w:tcW w:w="525" w:type="pct"/>
            <w:tcBorders>
              <w:top w:val="nil"/>
              <w:left w:val="nil"/>
              <w:bottom w:val="single" w:color="auto" w:sz="8" w:space="0"/>
              <w:right w:val="single" w:color="auto" w:sz="8" w:space="0"/>
            </w:tcBorders>
            <w:shd w:val="clear" w:color="auto" w:fill="auto"/>
            <w:vAlign w:val="center"/>
            <w:hideMark/>
          </w:tcPr>
          <w:p w:rsidRPr="004A5531" w:rsidR="00AC2807" w:rsidP="00B56F15" w:rsidRDefault="0000357D" w14:paraId="760C5F15" w14:textId="3AC07A9B">
            <w:pPr>
              <w:jc w:val="center"/>
              <w:rPr>
                <w:rFonts w:ascii="Times New Roman" w:hAnsi="Times New Roman"/>
                <w:color w:val="000000"/>
                <w:sz w:val="24"/>
                <w:szCs w:val="24"/>
              </w:rPr>
            </w:pPr>
            <w:r>
              <w:rPr>
                <w:rFonts w:ascii="Times New Roman" w:hAnsi="Times New Roman"/>
                <w:color w:val="000000"/>
                <w:sz w:val="24"/>
                <w:szCs w:val="24"/>
              </w:rPr>
              <w:t>688</w:t>
            </w:r>
          </w:p>
        </w:tc>
      </w:tr>
      <w:tr w:rsidRPr="004A5531" w:rsidR="00AC2807" w:rsidTr="00940B06" w14:paraId="30350917" w14:textId="77777777">
        <w:trPr>
          <w:trHeight w:val="825"/>
        </w:trPr>
        <w:tc>
          <w:tcPr>
            <w:tcW w:w="740" w:type="pct"/>
            <w:tcBorders>
              <w:top w:val="nil"/>
              <w:left w:val="single" w:color="auto" w:sz="8" w:space="0"/>
              <w:bottom w:val="single" w:color="auto" w:sz="8" w:space="0"/>
              <w:right w:val="single" w:color="auto" w:sz="8" w:space="0"/>
            </w:tcBorders>
            <w:shd w:val="clear" w:color="auto" w:fill="auto"/>
            <w:vAlign w:val="center"/>
            <w:hideMark/>
          </w:tcPr>
          <w:p w:rsidRPr="004A5531" w:rsidR="00AC2807" w:rsidP="005C15B3" w:rsidRDefault="00AC2807" w14:paraId="089862BF" w14:textId="77777777">
            <w:pPr>
              <w:jc w:val="center"/>
              <w:rPr>
                <w:rFonts w:ascii="Times New Roman" w:hAnsi="Times New Roman"/>
                <w:color w:val="000000"/>
                <w:sz w:val="24"/>
                <w:szCs w:val="24"/>
              </w:rPr>
            </w:pPr>
            <w:r w:rsidRPr="004A5531">
              <w:rPr>
                <w:rFonts w:ascii="Times New Roman" w:hAnsi="Times New Roman"/>
                <w:color w:val="000000"/>
                <w:sz w:val="24"/>
                <w:szCs w:val="24"/>
              </w:rPr>
              <w:t>Parents of Invited Youth</w:t>
            </w:r>
          </w:p>
        </w:tc>
        <w:tc>
          <w:tcPr>
            <w:tcW w:w="808" w:type="pct"/>
            <w:tcBorders>
              <w:top w:val="nil"/>
              <w:left w:val="nil"/>
              <w:bottom w:val="single" w:color="auto" w:sz="8" w:space="0"/>
              <w:right w:val="single" w:color="auto" w:sz="8" w:space="0"/>
            </w:tcBorders>
            <w:shd w:val="clear" w:color="auto" w:fill="auto"/>
            <w:vAlign w:val="center"/>
            <w:hideMark/>
          </w:tcPr>
          <w:p w:rsidRPr="004A5531" w:rsidR="00AC2807" w:rsidP="00940B06" w:rsidRDefault="0063722B" w14:paraId="5910F8C6" w14:textId="6DF71A32">
            <w:pPr>
              <w:jc w:val="center"/>
              <w:rPr>
                <w:rFonts w:ascii="Times New Roman" w:hAnsi="Times New Roman"/>
                <w:color w:val="000000"/>
                <w:sz w:val="24"/>
                <w:szCs w:val="24"/>
              </w:rPr>
            </w:pPr>
            <w:r>
              <w:rPr>
                <w:rFonts w:ascii="Times New Roman" w:hAnsi="Times New Roman"/>
                <w:color w:val="000000"/>
                <w:sz w:val="24"/>
                <w:szCs w:val="24"/>
              </w:rPr>
              <w:t xml:space="preserve">Email </w:t>
            </w:r>
            <w:r w:rsidR="00637A18">
              <w:rPr>
                <w:rFonts w:ascii="Times New Roman" w:hAnsi="Times New Roman"/>
                <w:color w:val="000000"/>
                <w:sz w:val="24"/>
                <w:szCs w:val="24"/>
              </w:rPr>
              <w:t>i</w:t>
            </w:r>
            <w:r>
              <w:rPr>
                <w:rFonts w:ascii="Times New Roman" w:hAnsi="Times New Roman"/>
                <w:color w:val="000000"/>
                <w:sz w:val="24"/>
                <w:szCs w:val="24"/>
              </w:rPr>
              <w:t xml:space="preserve">nvite and </w:t>
            </w:r>
            <w:r w:rsidRPr="004A5531" w:rsidR="00AC2807">
              <w:rPr>
                <w:rFonts w:ascii="Times New Roman" w:hAnsi="Times New Roman"/>
                <w:color w:val="000000"/>
                <w:sz w:val="24"/>
                <w:szCs w:val="24"/>
              </w:rPr>
              <w:t xml:space="preserve">Parental </w:t>
            </w:r>
            <w:r w:rsidR="0061672F">
              <w:rPr>
                <w:rFonts w:ascii="Times New Roman" w:hAnsi="Times New Roman"/>
                <w:color w:val="000000"/>
                <w:sz w:val="24"/>
                <w:szCs w:val="24"/>
              </w:rPr>
              <w:t xml:space="preserve">notification and </w:t>
            </w:r>
            <w:r w:rsidRPr="004A5531" w:rsidR="00AC2807">
              <w:rPr>
                <w:rFonts w:ascii="Times New Roman" w:hAnsi="Times New Roman"/>
                <w:color w:val="000000"/>
                <w:sz w:val="24"/>
                <w:szCs w:val="24"/>
              </w:rPr>
              <w:t>opt-out process</w:t>
            </w:r>
          </w:p>
        </w:tc>
        <w:tc>
          <w:tcPr>
            <w:tcW w:w="787" w:type="pct"/>
            <w:tcBorders>
              <w:top w:val="nil"/>
              <w:left w:val="nil"/>
              <w:bottom w:val="single" w:color="auto" w:sz="8" w:space="0"/>
              <w:right w:val="single" w:color="auto" w:sz="8" w:space="0"/>
            </w:tcBorders>
            <w:shd w:val="clear" w:color="auto" w:fill="auto"/>
            <w:vAlign w:val="center"/>
            <w:hideMark/>
          </w:tcPr>
          <w:p w:rsidRPr="004A5531" w:rsidR="00AC2807" w:rsidP="005C15B3" w:rsidRDefault="00F71D7B" w14:paraId="7B24B764" w14:textId="77777777">
            <w:pPr>
              <w:jc w:val="center"/>
              <w:rPr>
                <w:rFonts w:ascii="Times New Roman" w:hAnsi="Times New Roman"/>
                <w:color w:val="000000"/>
                <w:sz w:val="24"/>
                <w:szCs w:val="24"/>
              </w:rPr>
            </w:pPr>
            <w:r>
              <w:rPr>
                <w:rFonts w:ascii="Times New Roman" w:hAnsi="Times New Roman"/>
                <w:color w:val="000000"/>
                <w:sz w:val="24"/>
                <w:szCs w:val="24"/>
              </w:rPr>
              <w:t>5</w:t>
            </w:r>
            <w:r w:rsidR="00AC2807">
              <w:rPr>
                <w:rFonts w:ascii="Times New Roman" w:hAnsi="Times New Roman"/>
                <w:color w:val="000000"/>
                <w:sz w:val="24"/>
                <w:szCs w:val="24"/>
              </w:rPr>
              <w:t>,500</w:t>
            </w:r>
          </w:p>
        </w:tc>
        <w:tc>
          <w:tcPr>
            <w:tcW w:w="739" w:type="pct"/>
            <w:tcBorders>
              <w:top w:val="nil"/>
              <w:left w:val="nil"/>
              <w:bottom w:val="single" w:color="auto" w:sz="8" w:space="0"/>
              <w:right w:val="single" w:color="auto" w:sz="8" w:space="0"/>
            </w:tcBorders>
            <w:shd w:val="clear" w:color="auto" w:fill="auto"/>
            <w:vAlign w:val="center"/>
            <w:hideMark/>
          </w:tcPr>
          <w:p w:rsidRPr="004A5531" w:rsidR="00AC2807" w:rsidP="005C15B3" w:rsidRDefault="00AC2807" w14:paraId="4A9C7402" w14:textId="77777777">
            <w:pPr>
              <w:jc w:val="center"/>
              <w:rPr>
                <w:rFonts w:ascii="Times New Roman" w:hAnsi="Times New Roman"/>
                <w:color w:val="000000"/>
                <w:sz w:val="24"/>
                <w:szCs w:val="24"/>
              </w:rPr>
            </w:pPr>
            <w:r w:rsidRPr="004A5531">
              <w:rPr>
                <w:rFonts w:ascii="Times New Roman" w:hAnsi="Times New Roman"/>
                <w:color w:val="000000"/>
                <w:sz w:val="24"/>
                <w:szCs w:val="24"/>
              </w:rPr>
              <w:t>1</w:t>
            </w:r>
          </w:p>
        </w:tc>
        <w:tc>
          <w:tcPr>
            <w:tcW w:w="656" w:type="pct"/>
            <w:tcBorders>
              <w:top w:val="nil"/>
              <w:left w:val="nil"/>
              <w:bottom w:val="single" w:color="auto" w:sz="8" w:space="0"/>
              <w:right w:val="single" w:color="auto" w:sz="8" w:space="0"/>
            </w:tcBorders>
            <w:shd w:val="clear" w:color="auto" w:fill="auto"/>
            <w:vAlign w:val="center"/>
          </w:tcPr>
          <w:p w:rsidRPr="004A5531" w:rsidR="00AC2807" w:rsidP="005C15B3" w:rsidRDefault="00F71D7B" w14:paraId="6F1B5427" w14:textId="77777777">
            <w:pPr>
              <w:jc w:val="center"/>
              <w:rPr>
                <w:rFonts w:ascii="Times New Roman" w:hAnsi="Times New Roman"/>
                <w:color w:val="000000"/>
                <w:sz w:val="24"/>
                <w:szCs w:val="24"/>
              </w:rPr>
            </w:pPr>
            <w:r>
              <w:rPr>
                <w:rFonts w:ascii="Times New Roman" w:hAnsi="Times New Roman"/>
                <w:color w:val="000000"/>
                <w:sz w:val="24"/>
                <w:szCs w:val="24"/>
              </w:rPr>
              <w:t>5</w:t>
            </w:r>
            <w:r w:rsidR="00AC2807">
              <w:rPr>
                <w:rFonts w:ascii="Times New Roman" w:hAnsi="Times New Roman"/>
                <w:color w:val="000000"/>
                <w:sz w:val="24"/>
                <w:szCs w:val="24"/>
              </w:rPr>
              <w:t>,500</w:t>
            </w:r>
          </w:p>
        </w:tc>
        <w:tc>
          <w:tcPr>
            <w:tcW w:w="745" w:type="pct"/>
            <w:tcBorders>
              <w:top w:val="nil"/>
              <w:left w:val="nil"/>
              <w:bottom w:val="single" w:color="auto" w:sz="8" w:space="0"/>
              <w:right w:val="single" w:color="auto" w:sz="8" w:space="0"/>
            </w:tcBorders>
            <w:shd w:val="clear" w:color="auto" w:fill="auto"/>
            <w:vAlign w:val="center"/>
            <w:hideMark/>
          </w:tcPr>
          <w:p w:rsidRPr="004A5531" w:rsidR="00AC2807" w:rsidP="005C15B3" w:rsidRDefault="00AC2807" w14:paraId="06785DCC" w14:textId="77777777">
            <w:pPr>
              <w:jc w:val="center"/>
              <w:rPr>
                <w:rFonts w:ascii="Times New Roman" w:hAnsi="Times New Roman"/>
                <w:color w:val="000000"/>
                <w:sz w:val="24"/>
                <w:szCs w:val="24"/>
              </w:rPr>
            </w:pPr>
            <w:r w:rsidRPr="004A5531">
              <w:rPr>
                <w:rFonts w:ascii="Times New Roman" w:hAnsi="Times New Roman"/>
                <w:color w:val="000000"/>
                <w:sz w:val="24"/>
                <w:szCs w:val="24"/>
              </w:rPr>
              <w:t>0.033</w:t>
            </w:r>
          </w:p>
          <w:p w:rsidRPr="004A5531" w:rsidR="00AC2807" w:rsidP="005C15B3" w:rsidRDefault="00AC2807" w14:paraId="52B317E0" w14:textId="77777777">
            <w:pPr>
              <w:jc w:val="center"/>
              <w:rPr>
                <w:rFonts w:ascii="Times New Roman" w:hAnsi="Times New Roman"/>
                <w:color w:val="000000"/>
                <w:sz w:val="24"/>
                <w:szCs w:val="24"/>
              </w:rPr>
            </w:pPr>
            <w:r w:rsidRPr="004A5531">
              <w:rPr>
                <w:rFonts w:ascii="Times New Roman" w:hAnsi="Times New Roman"/>
                <w:color w:val="000000"/>
                <w:sz w:val="24"/>
                <w:szCs w:val="24"/>
              </w:rPr>
              <w:t>(2 min)</w:t>
            </w:r>
          </w:p>
        </w:tc>
        <w:tc>
          <w:tcPr>
            <w:tcW w:w="525" w:type="pct"/>
            <w:tcBorders>
              <w:top w:val="nil"/>
              <w:left w:val="nil"/>
              <w:bottom w:val="single" w:color="auto" w:sz="8" w:space="0"/>
              <w:right w:val="single" w:color="auto" w:sz="8" w:space="0"/>
            </w:tcBorders>
            <w:shd w:val="clear" w:color="auto" w:fill="auto"/>
            <w:vAlign w:val="center"/>
            <w:hideMark/>
          </w:tcPr>
          <w:p w:rsidRPr="004A5531" w:rsidR="00AC2807" w:rsidP="00B56F15" w:rsidRDefault="0000357D" w14:paraId="3BA7D221" w14:textId="052C6E8B">
            <w:pPr>
              <w:jc w:val="center"/>
              <w:rPr>
                <w:rFonts w:ascii="Times New Roman" w:hAnsi="Times New Roman"/>
                <w:color w:val="000000"/>
                <w:sz w:val="24"/>
                <w:szCs w:val="24"/>
              </w:rPr>
            </w:pPr>
            <w:r>
              <w:rPr>
                <w:rFonts w:ascii="Times New Roman" w:hAnsi="Times New Roman"/>
                <w:color w:val="000000"/>
                <w:sz w:val="24"/>
                <w:szCs w:val="24"/>
              </w:rPr>
              <w:t>184</w:t>
            </w:r>
          </w:p>
        </w:tc>
      </w:tr>
      <w:tr w:rsidRPr="004A5531" w:rsidR="00AC2807" w:rsidTr="00940B06" w14:paraId="6A0F3D5B" w14:textId="77777777">
        <w:trPr>
          <w:trHeight w:val="538"/>
        </w:trPr>
        <w:tc>
          <w:tcPr>
            <w:tcW w:w="740" w:type="pct"/>
            <w:vMerge w:val="restart"/>
            <w:tcBorders>
              <w:top w:val="nil"/>
              <w:left w:val="single" w:color="auto" w:sz="8" w:space="0"/>
              <w:bottom w:val="single" w:color="000000" w:sz="8" w:space="0"/>
              <w:right w:val="single" w:color="auto" w:sz="8" w:space="0"/>
            </w:tcBorders>
            <w:shd w:val="clear" w:color="auto" w:fill="auto"/>
            <w:vAlign w:val="center"/>
            <w:hideMark/>
          </w:tcPr>
          <w:p w:rsidRPr="004A5531" w:rsidR="00AC2807" w:rsidP="005C15B3" w:rsidRDefault="00AC2807" w14:paraId="7DAA8DAB" w14:textId="77777777">
            <w:pPr>
              <w:jc w:val="center"/>
              <w:rPr>
                <w:rFonts w:ascii="Times New Roman" w:hAnsi="Times New Roman"/>
                <w:color w:val="000000"/>
                <w:sz w:val="24"/>
                <w:szCs w:val="24"/>
              </w:rPr>
            </w:pPr>
            <w:r w:rsidRPr="004A5531">
              <w:rPr>
                <w:rFonts w:ascii="Times New Roman" w:hAnsi="Times New Roman"/>
                <w:color w:val="000000"/>
                <w:sz w:val="24"/>
                <w:szCs w:val="24"/>
              </w:rPr>
              <w:t>Youth Participants</w:t>
            </w:r>
          </w:p>
        </w:tc>
        <w:tc>
          <w:tcPr>
            <w:tcW w:w="808" w:type="pct"/>
            <w:tcBorders>
              <w:top w:val="nil"/>
              <w:left w:val="nil"/>
              <w:bottom w:val="single" w:color="auto" w:sz="8" w:space="0"/>
              <w:right w:val="single" w:color="auto" w:sz="8" w:space="0"/>
            </w:tcBorders>
            <w:shd w:val="clear" w:color="auto" w:fill="auto"/>
            <w:vAlign w:val="center"/>
            <w:hideMark/>
          </w:tcPr>
          <w:p w:rsidRPr="004A5531" w:rsidR="00AC2807" w:rsidP="00940B06" w:rsidRDefault="00AC2807" w14:paraId="1309E2EB" w14:textId="77777777">
            <w:pPr>
              <w:jc w:val="center"/>
              <w:rPr>
                <w:rFonts w:ascii="Times New Roman" w:hAnsi="Times New Roman"/>
                <w:color w:val="000000"/>
                <w:sz w:val="24"/>
                <w:szCs w:val="24"/>
              </w:rPr>
            </w:pPr>
            <w:r w:rsidRPr="004A5531">
              <w:rPr>
                <w:rFonts w:ascii="Times New Roman" w:hAnsi="Times New Roman"/>
                <w:color w:val="000000"/>
                <w:sz w:val="24"/>
                <w:szCs w:val="24"/>
              </w:rPr>
              <w:t>Youth assent</w:t>
            </w:r>
          </w:p>
        </w:tc>
        <w:tc>
          <w:tcPr>
            <w:tcW w:w="787" w:type="pct"/>
            <w:tcBorders>
              <w:top w:val="nil"/>
              <w:left w:val="nil"/>
              <w:bottom w:val="single" w:color="auto" w:sz="8" w:space="0"/>
              <w:right w:val="single" w:color="auto" w:sz="8" w:space="0"/>
            </w:tcBorders>
            <w:shd w:val="clear" w:color="auto" w:fill="auto"/>
            <w:vAlign w:val="center"/>
            <w:hideMark/>
          </w:tcPr>
          <w:p w:rsidRPr="004A5531" w:rsidR="00AC2807" w:rsidP="005C15B3" w:rsidRDefault="00F71D7B" w14:paraId="7D530658" w14:textId="77777777">
            <w:pPr>
              <w:jc w:val="center"/>
              <w:rPr>
                <w:rFonts w:ascii="Times New Roman" w:hAnsi="Times New Roman"/>
                <w:color w:val="000000"/>
                <w:sz w:val="24"/>
                <w:szCs w:val="24"/>
              </w:rPr>
            </w:pPr>
            <w:r>
              <w:rPr>
                <w:rFonts w:ascii="Times New Roman" w:hAnsi="Times New Roman"/>
                <w:color w:val="000000"/>
                <w:sz w:val="24"/>
                <w:szCs w:val="24"/>
              </w:rPr>
              <w:t>5</w:t>
            </w:r>
            <w:r w:rsidR="00AC2807">
              <w:rPr>
                <w:rFonts w:ascii="Times New Roman" w:hAnsi="Times New Roman"/>
                <w:color w:val="000000"/>
                <w:sz w:val="24"/>
                <w:szCs w:val="24"/>
              </w:rPr>
              <w:t>,500</w:t>
            </w:r>
          </w:p>
        </w:tc>
        <w:tc>
          <w:tcPr>
            <w:tcW w:w="739" w:type="pct"/>
            <w:tcBorders>
              <w:top w:val="nil"/>
              <w:left w:val="nil"/>
              <w:bottom w:val="single" w:color="auto" w:sz="8" w:space="0"/>
              <w:right w:val="single" w:color="auto" w:sz="8" w:space="0"/>
            </w:tcBorders>
            <w:shd w:val="clear" w:color="auto" w:fill="auto"/>
            <w:vAlign w:val="center"/>
            <w:hideMark/>
          </w:tcPr>
          <w:p w:rsidRPr="004A5531" w:rsidR="00AC2807" w:rsidP="005C15B3" w:rsidRDefault="00AC2807" w14:paraId="752747EA" w14:textId="77777777">
            <w:pPr>
              <w:jc w:val="center"/>
              <w:rPr>
                <w:rFonts w:ascii="Times New Roman" w:hAnsi="Times New Roman"/>
                <w:color w:val="000000"/>
                <w:sz w:val="24"/>
                <w:szCs w:val="24"/>
              </w:rPr>
            </w:pPr>
            <w:r w:rsidRPr="004A5531">
              <w:rPr>
                <w:rFonts w:ascii="Times New Roman" w:hAnsi="Times New Roman"/>
                <w:color w:val="000000"/>
                <w:sz w:val="24"/>
                <w:szCs w:val="24"/>
              </w:rPr>
              <w:t>1</w:t>
            </w:r>
          </w:p>
        </w:tc>
        <w:tc>
          <w:tcPr>
            <w:tcW w:w="656" w:type="pct"/>
            <w:tcBorders>
              <w:top w:val="nil"/>
              <w:left w:val="nil"/>
              <w:bottom w:val="single" w:color="auto" w:sz="8" w:space="0"/>
              <w:right w:val="single" w:color="auto" w:sz="8" w:space="0"/>
            </w:tcBorders>
            <w:shd w:val="clear" w:color="auto" w:fill="auto"/>
            <w:vAlign w:val="center"/>
          </w:tcPr>
          <w:p w:rsidRPr="004A5531" w:rsidR="00AC2807" w:rsidP="005C15B3" w:rsidRDefault="00F71D7B" w14:paraId="7EFED636" w14:textId="77777777">
            <w:pPr>
              <w:jc w:val="center"/>
              <w:rPr>
                <w:rFonts w:ascii="Times New Roman" w:hAnsi="Times New Roman"/>
                <w:color w:val="000000"/>
                <w:sz w:val="24"/>
                <w:szCs w:val="24"/>
              </w:rPr>
            </w:pPr>
            <w:r>
              <w:rPr>
                <w:rFonts w:ascii="Times New Roman" w:hAnsi="Times New Roman"/>
                <w:color w:val="000000"/>
                <w:sz w:val="24"/>
                <w:szCs w:val="24"/>
              </w:rPr>
              <w:t>5</w:t>
            </w:r>
            <w:r w:rsidR="00AC2807">
              <w:rPr>
                <w:rFonts w:ascii="Times New Roman" w:hAnsi="Times New Roman"/>
                <w:color w:val="000000"/>
                <w:sz w:val="24"/>
                <w:szCs w:val="24"/>
              </w:rPr>
              <w:t>,500</w:t>
            </w:r>
          </w:p>
        </w:tc>
        <w:tc>
          <w:tcPr>
            <w:tcW w:w="745" w:type="pct"/>
            <w:tcBorders>
              <w:top w:val="nil"/>
              <w:left w:val="nil"/>
              <w:bottom w:val="single" w:color="auto" w:sz="8" w:space="0"/>
              <w:right w:val="single" w:color="auto" w:sz="8" w:space="0"/>
            </w:tcBorders>
            <w:shd w:val="clear" w:color="auto" w:fill="auto"/>
            <w:vAlign w:val="center"/>
            <w:hideMark/>
          </w:tcPr>
          <w:p w:rsidRPr="004A5531" w:rsidR="00AC2807" w:rsidP="005C15B3" w:rsidRDefault="00AC2807" w14:paraId="116CDFB7" w14:textId="77777777">
            <w:pPr>
              <w:jc w:val="center"/>
              <w:rPr>
                <w:rFonts w:ascii="Times New Roman" w:hAnsi="Times New Roman"/>
                <w:color w:val="000000"/>
                <w:sz w:val="24"/>
                <w:szCs w:val="24"/>
              </w:rPr>
            </w:pPr>
            <w:r w:rsidRPr="004A5531">
              <w:rPr>
                <w:rFonts w:ascii="Times New Roman" w:hAnsi="Times New Roman"/>
                <w:color w:val="000000"/>
                <w:sz w:val="24"/>
                <w:szCs w:val="24"/>
              </w:rPr>
              <w:t>0.033</w:t>
            </w:r>
          </w:p>
          <w:p w:rsidRPr="004A5531" w:rsidR="00AC2807" w:rsidP="005C15B3" w:rsidRDefault="00AC2807" w14:paraId="18CF19F8" w14:textId="77777777">
            <w:pPr>
              <w:jc w:val="center"/>
              <w:rPr>
                <w:rFonts w:ascii="Times New Roman" w:hAnsi="Times New Roman"/>
                <w:color w:val="000000"/>
                <w:sz w:val="24"/>
                <w:szCs w:val="24"/>
              </w:rPr>
            </w:pPr>
            <w:r w:rsidRPr="004A5531">
              <w:rPr>
                <w:rFonts w:ascii="Times New Roman" w:hAnsi="Times New Roman"/>
                <w:color w:val="000000"/>
                <w:sz w:val="24"/>
                <w:szCs w:val="24"/>
              </w:rPr>
              <w:t>(2 min)</w:t>
            </w:r>
          </w:p>
        </w:tc>
        <w:tc>
          <w:tcPr>
            <w:tcW w:w="525" w:type="pct"/>
            <w:tcBorders>
              <w:top w:val="nil"/>
              <w:left w:val="nil"/>
              <w:bottom w:val="single" w:color="auto" w:sz="8" w:space="0"/>
              <w:right w:val="single" w:color="auto" w:sz="8" w:space="0"/>
            </w:tcBorders>
            <w:shd w:val="clear" w:color="auto" w:fill="auto"/>
            <w:vAlign w:val="center"/>
            <w:hideMark/>
          </w:tcPr>
          <w:p w:rsidRPr="004A5531" w:rsidR="00AC2807" w:rsidP="00B56F15" w:rsidRDefault="0000357D" w14:paraId="5C23F232" w14:textId="149982FF">
            <w:pPr>
              <w:jc w:val="center"/>
              <w:rPr>
                <w:rFonts w:ascii="Times New Roman" w:hAnsi="Times New Roman"/>
                <w:color w:val="000000"/>
                <w:sz w:val="24"/>
                <w:szCs w:val="24"/>
              </w:rPr>
            </w:pPr>
            <w:r>
              <w:rPr>
                <w:rFonts w:ascii="Times New Roman" w:hAnsi="Times New Roman"/>
                <w:color w:val="000000"/>
                <w:sz w:val="24"/>
                <w:szCs w:val="24"/>
              </w:rPr>
              <w:t>184</w:t>
            </w:r>
          </w:p>
        </w:tc>
      </w:tr>
      <w:tr w:rsidRPr="004A5531" w:rsidR="00AC2807" w:rsidTr="00940B06" w14:paraId="7EBEFEDE" w14:textId="77777777">
        <w:trPr>
          <w:trHeight w:val="232"/>
        </w:trPr>
        <w:tc>
          <w:tcPr>
            <w:tcW w:w="740" w:type="pct"/>
            <w:vMerge/>
            <w:tcBorders>
              <w:top w:val="nil"/>
              <w:left w:val="single" w:color="auto" w:sz="8" w:space="0"/>
              <w:bottom w:val="single" w:color="auto" w:sz="4" w:space="0"/>
              <w:right w:val="single" w:color="auto" w:sz="8" w:space="0"/>
            </w:tcBorders>
            <w:vAlign w:val="center"/>
            <w:hideMark/>
          </w:tcPr>
          <w:p w:rsidRPr="004A5531" w:rsidR="00AC2807" w:rsidP="005C15B3" w:rsidRDefault="00AC2807" w14:paraId="65B1BA0D" w14:textId="77777777">
            <w:pPr>
              <w:jc w:val="center"/>
              <w:rPr>
                <w:rFonts w:ascii="Times New Roman" w:hAnsi="Times New Roman"/>
                <w:color w:val="000000"/>
                <w:sz w:val="24"/>
                <w:szCs w:val="24"/>
              </w:rPr>
            </w:pPr>
          </w:p>
        </w:tc>
        <w:tc>
          <w:tcPr>
            <w:tcW w:w="808" w:type="pct"/>
            <w:tcBorders>
              <w:top w:val="nil"/>
              <w:left w:val="nil"/>
              <w:bottom w:val="single" w:color="auto" w:sz="4" w:space="0"/>
              <w:right w:val="single" w:color="auto" w:sz="8" w:space="0"/>
            </w:tcBorders>
            <w:shd w:val="clear" w:color="auto" w:fill="auto"/>
            <w:vAlign w:val="center"/>
            <w:hideMark/>
          </w:tcPr>
          <w:p w:rsidRPr="004A5531" w:rsidR="00AC2807" w:rsidP="00940B06" w:rsidRDefault="00AC2807" w14:paraId="6E3B776F" w14:textId="17BB10A8">
            <w:pPr>
              <w:jc w:val="center"/>
              <w:rPr>
                <w:rFonts w:ascii="Times New Roman" w:hAnsi="Times New Roman"/>
                <w:color w:val="000000"/>
                <w:sz w:val="24"/>
                <w:szCs w:val="24"/>
              </w:rPr>
            </w:pPr>
            <w:r w:rsidRPr="004A5531">
              <w:rPr>
                <w:rFonts w:ascii="Times New Roman" w:hAnsi="Times New Roman"/>
                <w:color w:val="000000"/>
                <w:sz w:val="24"/>
                <w:szCs w:val="24"/>
              </w:rPr>
              <w:t>Questionnaire completion</w:t>
            </w:r>
          </w:p>
        </w:tc>
        <w:tc>
          <w:tcPr>
            <w:tcW w:w="787" w:type="pct"/>
            <w:tcBorders>
              <w:top w:val="nil"/>
              <w:left w:val="nil"/>
              <w:bottom w:val="single" w:color="auto" w:sz="4" w:space="0"/>
              <w:right w:val="single" w:color="auto" w:sz="8" w:space="0"/>
            </w:tcBorders>
            <w:shd w:val="clear" w:color="auto" w:fill="auto"/>
            <w:vAlign w:val="center"/>
            <w:hideMark/>
          </w:tcPr>
          <w:p w:rsidRPr="004A5531" w:rsidR="00AC2807" w:rsidP="005C15B3" w:rsidRDefault="00F71D7B" w14:paraId="7A61E10C" w14:textId="77777777">
            <w:pPr>
              <w:jc w:val="center"/>
              <w:rPr>
                <w:rFonts w:ascii="Times New Roman" w:hAnsi="Times New Roman"/>
                <w:color w:val="000000"/>
                <w:sz w:val="24"/>
                <w:szCs w:val="24"/>
              </w:rPr>
            </w:pPr>
            <w:r>
              <w:rPr>
                <w:rFonts w:ascii="Times New Roman" w:hAnsi="Times New Roman"/>
                <w:color w:val="000000"/>
                <w:sz w:val="24"/>
                <w:szCs w:val="24"/>
              </w:rPr>
              <w:t>5</w:t>
            </w:r>
            <w:r w:rsidR="00AC2807">
              <w:rPr>
                <w:rFonts w:ascii="Times New Roman" w:hAnsi="Times New Roman"/>
                <w:color w:val="000000"/>
                <w:sz w:val="24"/>
                <w:szCs w:val="24"/>
              </w:rPr>
              <w:t>,500</w:t>
            </w:r>
          </w:p>
        </w:tc>
        <w:tc>
          <w:tcPr>
            <w:tcW w:w="739" w:type="pct"/>
            <w:tcBorders>
              <w:top w:val="nil"/>
              <w:left w:val="nil"/>
              <w:bottom w:val="single" w:color="auto" w:sz="4" w:space="0"/>
              <w:right w:val="single" w:color="auto" w:sz="8" w:space="0"/>
            </w:tcBorders>
            <w:shd w:val="clear" w:color="auto" w:fill="auto"/>
            <w:vAlign w:val="center"/>
            <w:hideMark/>
          </w:tcPr>
          <w:p w:rsidRPr="004A5531" w:rsidR="00AC2807" w:rsidP="005C15B3" w:rsidRDefault="00AC2807" w14:paraId="18036FCA" w14:textId="77777777">
            <w:pPr>
              <w:jc w:val="center"/>
              <w:rPr>
                <w:rFonts w:ascii="Times New Roman" w:hAnsi="Times New Roman"/>
                <w:color w:val="000000"/>
                <w:sz w:val="24"/>
                <w:szCs w:val="24"/>
              </w:rPr>
            </w:pPr>
            <w:r w:rsidRPr="004A5531">
              <w:rPr>
                <w:rFonts w:ascii="Times New Roman" w:hAnsi="Times New Roman"/>
                <w:color w:val="000000"/>
                <w:sz w:val="24"/>
                <w:szCs w:val="24"/>
              </w:rPr>
              <w:t>1</w:t>
            </w:r>
          </w:p>
        </w:tc>
        <w:tc>
          <w:tcPr>
            <w:tcW w:w="656" w:type="pct"/>
            <w:tcBorders>
              <w:top w:val="nil"/>
              <w:left w:val="nil"/>
              <w:bottom w:val="single" w:color="auto" w:sz="4" w:space="0"/>
              <w:right w:val="single" w:color="auto" w:sz="8" w:space="0"/>
            </w:tcBorders>
            <w:shd w:val="clear" w:color="auto" w:fill="auto"/>
            <w:vAlign w:val="center"/>
          </w:tcPr>
          <w:p w:rsidRPr="004A5531" w:rsidR="00AC2807" w:rsidP="005C15B3" w:rsidRDefault="00F71D7B" w14:paraId="56E4578C" w14:textId="77777777">
            <w:pPr>
              <w:jc w:val="center"/>
              <w:rPr>
                <w:rFonts w:ascii="Times New Roman" w:hAnsi="Times New Roman"/>
                <w:color w:val="000000"/>
                <w:sz w:val="24"/>
                <w:szCs w:val="24"/>
              </w:rPr>
            </w:pPr>
            <w:r>
              <w:rPr>
                <w:rFonts w:ascii="Times New Roman" w:hAnsi="Times New Roman"/>
                <w:color w:val="000000"/>
                <w:sz w:val="24"/>
                <w:szCs w:val="24"/>
              </w:rPr>
              <w:t>5</w:t>
            </w:r>
            <w:r w:rsidR="00AC2807">
              <w:rPr>
                <w:rFonts w:ascii="Times New Roman" w:hAnsi="Times New Roman"/>
                <w:color w:val="000000"/>
                <w:sz w:val="24"/>
                <w:szCs w:val="24"/>
              </w:rPr>
              <w:t>,500</w:t>
            </w:r>
          </w:p>
        </w:tc>
        <w:tc>
          <w:tcPr>
            <w:tcW w:w="745" w:type="pct"/>
            <w:tcBorders>
              <w:top w:val="nil"/>
              <w:left w:val="nil"/>
              <w:bottom w:val="single" w:color="auto" w:sz="4" w:space="0"/>
              <w:right w:val="single" w:color="auto" w:sz="8" w:space="0"/>
            </w:tcBorders>
            <w:shd w:val="clear" w:color="auto" w:fill="auto"/>
            <w:vAlign w:val="center"/>
            <w:hideMark/>
          </w:tcPr>
          <w:p w:rsidRPr="004A5531" w:rsidR="00AC2807" w:rsidP="005C15B3" w:rsidRDefault="00AC2807" w14:paraId="10FF746C" w14:textId="77777777">
            <w:pPr>
              <w:jc w:val="center"/>
              <w:rPr>
                <w:rFonts w:ascii="Times New Roman" w:hAnsi="Times New Roman"/>
                <w:color w:val="000000"/>
                <w:sz w:val="24"/>
                <w:szCs w:val="24"/>
              </w:rPr>
            </w:pPr>
            <w:r w:rsidRPr="004A5531">
              <w:rPr>
                <w:rFonts w:ascii="Times New Roman" w:hAnsi="Times New Roman"/>
                <w:color w:val="000000"/>
                <w:sz w:val="24"/>
                <w:szCs w:val="24"/>
              </w:rPr>
              <w:t>0.333</w:t>
            </w:r>
          </w:p>
          <w:p w:rsidRPr="004A5531" w:rsidR="00AC2807" w:rsidP="005C15B3" w:rsidRDefault="00AC2807" w14:paraId="33220F8E" w14:textId="77777777">
            <w:pPr>
              <w:jc w:val="center"/>
              <w:rPr>
                <w:rFonts w:ascii="Times New Roman" w:hAnsi="Times New Roman"/>
                <w:color w:val="000000"/>
                <w:sz w:val="24"/>
                <w:szCs w:val="24"/>
              </w:rPr>
            </w:pPr>
            <w:r w:rsidRPr="004A5531">
              <w:rPr>
                <w:rFonts w:ascii="Times New Roman" w:hAnsi="Times New Roman"/>
                <w:color w:val="000000"/>
                <w:sz w:val="24"/>
                <w:szCs w:val="24"/>
              </w:rPr>
              <w:t>(20 min)</w:t>
            </w:r>
          </w:p>
        </w:tc>
        <w:tc>
          <w:tcPr>
            <w:tcW w:w="525" w:type="pct"/>
            <w:tcBorders>
              <w:top w:val="nil"/>
              <w:left w:val="nil"/>
              <w:bottom w:val="single" w:color="auto" w:sz="4" w:space="0"/>
              <w:right w:val="single" w:color="auto" w:sz="8" w:space="0"/>
            </w:tcBorders>
            <w:shd w:val="clear" w:color="auto" w:fill="auto"/>
            <w:vAlign w:val="center"/>
            <w:hideMark/>
          </w:tcPr>
          <w:p w:rsidRPr="004A5531" w:rsidR="00AC2807" w:rsidP="00B56F15" w:rsidRDefault="0000357D" w14:paraId="3CBB7687" w14:textId="60432276">
            <w:pPr>
              <w:jc w:val="center"/>
              <w:rPr>
                <w:rFonts w:ascii="Times New Roman" w:hAnsi="Times New Roman"/>
                <w:color w:val="000000"/>
                <w:sz w:val="24"/>
                <w:szCs w:val="24"/>
              </w:rPr>
            </w:pPr>
            <w:r>
              <w:rPr>
                <w:rFonts w:ascii="Times New Roman" w:hAnsi="Times New Roman"/>
                <w:color w:val="000000"/>
                <w:sz w:val="24"/>
                <w:szCs w:val="24"/>
              </w:rPr>
              <w:t>1,834</w:t>
            </w:r>
          </w:p>
        </w:tc>
      </w:tr>
      <w:tr w:rsidRPr="004A5531" w:rsidR="00AC2807" w:rsidTr="00940B06" w14:paraId="28F870FA" w14:textId="77777777">
        <w:trPr>
          <w:trHeight w:val="315"/>
        </w:trPr>
        <w:tc>
          <w:tcPr>
            <w:tcW w:w="740" w:type="pct"/>
            <w:vMerge w:val="restart"/>
            <w:tcBorders>
              <w:top w:val="single" w:color="auto" w:sz="4" w:space="0"/>
              <w:left w:val="single" w:color="auto" w:sz="8" w:space="0"/>
              <w:bottom w:val="single" w:color="000000" w:sz="8" w:space="0"/>
              <w:right w:val="single" w:color="auto" w:sz="8" w:space="0"/>
            </w:tcBorders>
            <w:shd w:val="clear" w:color="auto" w:fill="auto"/>
            <w:vAlign w:val="center"/>
            <w:hideMark/>
          </w:tcPr>
          <w:p w:rsidRPr="004A5531" w:rsidR="00AC2807" w:rsidP="005C15B3" w:rsidRDefault="00AC2807" w14:paraId="00448516" w14:textId="77777777">
            <w:pPr>
              <w:jc w:val="center"/>
              <w:rPr>
                <w:rFonts w:ascii="Times New Roman" w:hAnsi="Times New Roman"/>
                <w:color w:val="000000"/>
                <w:sz w:val="24"/>
                <w:szCs w:val="24"/>
              </w:rPr>
            </w:pPr>
            <w:r w:rsidRPr="004A5531">
              <w:rPr>
                <w:rFonts w:ascii="Times New Roman" w:hAnsi="Times New Roman"/>
                <w:color w:val="000000"/>
                <w:sz w:val="24"/>
                <w:szCs w:val="24"/>
              </w:rPr>
              <w:t>Adult Participants</w:t>
            </w:r>
          </w:p>
        </w:tc>
        <w:tc>
          <w:tcPr>
            <w:tcW w:w="808" w:type="pct"/>
            <w:tcBorders>
              <w:top w:val="single" w:color="auto" w:sz="4" w:space="0"/>
              <w:left w:val="nil"/>
              <w:bottom w:val="single" w:color="auto" w:sz="8" w:space="0"/>
              <w:right w:val="single" w:color="auto" w:sz="8" w:space="0"/>
            </w:tcBorders>
            <w:shd w:val="clear" w:color="auto" w:fill="auto"/>
            <w:vAlign w:val="center"/>
            <w:hideMark/>
          </w:tcPr>
          <w:p w:rsidRPr="004A5531" w:rsidR="00AC2807" w:rsidP="00940B06" w:rsidRDefault="0063722B" w14:paraId="5FB248F9" w14:textId="24095F6B">
            <w:pPr>
              <w:jc w:val="center"/>
              <w:rPr>
                <w:rFonts w:ascii="Times New Roman" w:hAnsi="Times New Roman"/>
                <w:color w:val="000000"/>
                <w:sz w:val="24"/>
                <w:szCs w:val="24"/>
              </w:rPr>
            </w:pPr>
            <w:r>
              <w:rPr>
                <w:rFonts w:ascii="Times New Roman" w:hAnsi="Times New Roman"/>
                <w:color w:val="000000"/>
                <w:sz w:val="24"/>
                <w:szCs w:val="24"/>
              </w:rPr>
              <w:t xml:space="preserve">Email </w:t>
            </w:r>
            <w:r w:rsidR="00637A18">
              <w:rPr>
                <w:rFonts w:ascii="Times New Roman" w:hAnsi="Times New Roman"/>
                <w:color w:val="000000"/>
                <w:sz w:val="24"/>
                <w:szCs w:val="24"/>
              </w:rPr>
              <w:t>i</w:t>
            </w:r>
            <w:r>
              <w:rPr>
                <w:rFonts w:ascii="Times New Roman" w:hAnsi="Times New Roman"/>
                <w:color w:val="000000"/>
                <w:sz w:val="24"/>
                <w:szCs w:val="24"/>
              </w:rPr>
              <w:t xml:space="preserve">nvite and </w:t>
            </w:r>
            <w:r w:rsidRPr="004A5531" w:rsidR="00AC2807">
              <w:rPr>
                <w:rFonts w:ascii="Times New Roman" w:hAnsi="Times New Roman"/>
                <w:color w:val="000000"/>
                <w:sz w:val="24"/>
                <w:szCs w:val="24"/>
              </w:rPr>
              <w:t>Adult consent</w:t>
            </w:r>
          </w:p>
        </w:tc>
        <w:tc>
          <w:tcPr>
            <w:tcW w:w="787" w:type="pct"/>
            <w:tcBorders>
              <w:top w:val="single" w:color="auto" w:sz="4" w:space="0"/>
              <w:left w:val="nil"/>
              <w:bottom w:val="single" w:color="auto" w:sz="8" w:space="0"/>
              <w:right w:val="single" w:color="auto" w:sz="8" w:space="0"/>
            </w:tcBorders>
            <w:shd w:val="clear" w:color="auto" w:fill="auto"/>
            <w:vAlign w:val="center"/>
            <w:hideMark/>
          </w:tcPr>
          <w:p w:rsidRPr="004A5531" w:rsidR="00AC2807" w:rsidP="005C15B3" w:rsidRDefault="00F71D7B" w14:paraId="55A66A33" w14:textId="77777777">
            <w:pPr>
              <w:jc w:val="center"/>
              <w:rPr>
                <w:rFonts w:ascii="Times New Roman" w:hAnsi="Times New Roman"/>
                <w:color w:val="000000"/>
                <w:sz w:val="24"/>
                <w:szCs w:val="24"/>
              </w:rPr>
            </w:pPr>
            <w:r>
              <w:rPr>
                <w:rFonts w:ascii="Times New Roman" w:hAnsi="Times New Roman"/>
                <w:color w:val="000000"/>
                <w:sz w:val="24"/>
                <w:szCs w:val="24"/>
              </w:rPr>
              <w:t>5</w:t>
            </w:r>
            <w:r w:rsidR="00AC2807">
              <w:rPr>
                <w:rFonts w:ascii="Times New Roman" w:hAnsi="Times New Roman"/>
                <w:color w:val="000000"/>
                <w:sz w:val="24"/>
                <w:szCs w:val="24"/>
              </w:rPr>
              <w:t>,500</w:t>
            </w:r>
          </w:p>
        </w:tc>
        <w:tc>
          <w:tcPr>
            <w:tcW w:w="739" w:type="pct"/>
            <w:tcBorders>
              <w:top w:val="single" w:color="auto" w:sz="4" w:space="0"/>
              <w:left w:val="nil"/>
              <w:bottom w:val="single" w:color="auto" w:sz="8" w:space="0"/>
              <w:right w:val="single" w:color="auto" w:sz="8" w:space="0"/>
            </w:tcBorders>
            <w:shd w:val="clear" w:color="auto" w:fill="auto"/>
            <w:vAlign w:val="center"/>
            <w:hideMark/>
          </w:tcPr>
          <w:p w:rsidRPr="004A5531" w:rsidR="00AC2807" w:rsidP="005C15B3" w:rsidRDefault="00AC2807" w14:paraId="6C450469" w14:textId="77777777">
            <w:pPr>
              <w:jc w:val="center"/>
              <w:rPr>
                <w:rFonts w:ascii="Times New Roman" w:hAnsi="Times New Roman"/>
                <w:color w:val="000000"/>
                <w:sz w:val="24"/>
                <w:szCs w:val="24"/>
              </w:rPr>
            </w:pPr>
            <w:r w:rsidRPr="004A5531">
              <w:rPr>
                <w:rFonts w:ascii="Times New Roman" w:hAnsi="Times New Roman"/>
                <w:color w:val="000000"/>
                <w:sz w:val="24"/>
                <w:szCs w:val="24"/>
              </w:rPr>
              <w:t>1</w:t>
            </w:r>
          </w:p>
        </w:tc>
        <w:tc>
          <w:tcPr>
            <w:tcW w:w="656" w:type="pct"/>
            <w:tcBorders>
              <w:top w:val="single" w:color="auto" w:sz="4" w:space="0"/>
              <w:left w:val="nil"/>
              <w:bottom w:val="single" w:color="auto" w:sz="8" w:space="0"/>
              <w:right w:val="single" w:color="auto" w:sz="8" w:space="0"/>
            </w:tcBorders>
            <w:shd w:val="clear" w:color="auto" w:fill="auto"/>
            <w:vAlign w:val="center"/>
          </w:tcPr>
          <w:p w:rsidRPr="004A5531" w:rsidR="00AC2807" w:rsidP="005C15B3" w:rsidRDefault="00F71D7B" w14:paraId="2EC720D7" w14:textId="77777777">
            <w:pPr>
              <w:jc w:val="center"/>
              <w:rPr>
                <w:rFonts w:ascii="Times New Roman" w:hAnsi="Times New Roman"/>
                <w:color w:val="000000"/>
                <w:sz w:val="24"/>
                <w:szCs w:val="24"/>
              </w:rPr>
            </w:pPr>
            <w:r>
              <w:rPr>
                <w:rFonts w:ascii="Times New Roman" w:hAnsi="Times New Roman"/>
                <w:color w:val="000000"/>
                <w:sz w:val="24"/>
                <w:szCs w:val="24"/>
              </w:rPr>
              <w:t>5</w:t>
            </w:r>
            <w:r w:rsidR="00AC2807">
              <w:rPr>
                <w:rFonts w:ascii="Times New Roman" w:hAnsi="Times New Roman"/>
                <w:color w:val="000000"/>
                <w:sz w:val="24"/>
                <w:szCs w:val="24"/>
              </w:rPr>
              <w:t>,500</w:t>
            </w:r>
          </w:p>
        </w:tc>
        <w:tc>
          <w:tcPr>
            <w:tcW w:w="745" w:type="pct"/>
            <w:tcBorders>
              <w:top w:val="single" w:color="auto" w:sz="4" w:space="0"/>
              <w:left w:val="nil"/>
              <w:bottom w:val="single" w:color="auto" w:sz="8" w:space="0"/>
              <w:right w:val="single" w:color="auto" w:sz="8" w:space="0"/>
            </w:tcBorders>
            <w:shd w:val="clear" w:color="auto" w:fill="auto"/>
            <w:vAlign w:val="center"/>
            <w:hideMark/>
          </w:tcPr>
          <w:p w:rsidRPr="004A5531" w:rsidR="00AC2807" w:rsidP="005C15B3" w:rsidRDefault="00AC2807" w14:paraId="284392C7" w14:textId="77777777">
            <w:pPr>
              <w:jc w:val="center"/>
              <w:rPr>
                <w:rFonts w:ascii="Times New Roman" w:hAnsi="Times New Roman"/>
                <w:color w:val="000000"/>
                <w:sz w:val="24"/>
                <w:szCs w:val="24"/>
              </w:rPr>
            </w:pPr>
            <w:r w:rsidRPr="004A5531">
              <w:rPr>
                <w:rFonts w:ascii="Times New Roman" w:hAnsi="Times New Roman"/>
                <w:color w:val="000000"/>
                <w:sz w:val="24"/>
                <w:szCs w:val="24"/>
              </w:rPr>
              <w:t>0.033</w:t>
            </w:r>
          </w:p>
          <w:p w:rsidRPr="004A5531" w:rsidR="00AC2807" w:rsidP="005C15B3" w:rsidRDefault="00AC2807" w14:paraId="43629863" w14:textId="77777777">
            <w:pPr>
              <w:jc w:val="center"/>
              <w:rPr>
                <w:rFonts w:ascii="Times New Roman" w:hAnsi="Times New Roman"/>
                <w:color w:val="000000"/>
                <w:sz w:val="24"/>
                <w:szCs w:val="24"/>
              </w:rPr>
            </w:pPr>
            <w:r w:rsidRPr="004A5531">
              <w:rPr>
                <w:rFonts w:ascii="Times New Roman" w:hAnsi="Times New Roman"/>
                <w:color w:val="000000"/>
                <w:sz w:val="24"/>
                <w:szCs w:val="24"/>
              </w:rPr>
              <w:t>(2 min)</w:t>
            </w:r>
          </w:p>
        </w:tc>
        <w:tc>
          <w:tcPr>
            <w:tcW w:w="525" w:type="pct"/>
            <w:tcBorders>
              <w:top w:val="single" w:color="auto" w:sz="4" w:space="0"/>
              <w:left w:val="nil"/>
              <w:bottom w:val="single" w:color="auto" w:sz="8" w:space="0"/>
              <w:right w:val="single" w:color="auto" w:sz="8" w:space="0"/>
            </w:tcBorders>
            <w:shd w:val="clear" w:color="auto" w:fill="auto"/>
            <w:vAlign w:val="center"/>
            <w:hideMark/>
          </w:tcPr>
          <w:p w:rsidRPr="004A5531" w:rsidR="00AC2807" w:rsidP="00B56F15" w:rsidRDefault="0000357D" w14:paraId="387CDB5E" w14:textId="0A8E010E">
            <w:pPr>
              <w:jc w:val="center"/>
              <w:rPr>
                <w:rFonts w:ascii="Times New Roman" w:hAnsi="Times New Roman"/>
                <w:color w:val="000000"/>
                <w:sz w:val="24"/>
                <w:szCs w:val="24"/>
              </w:rPr>
            </w:pPr>
            <w:r>
              <w:rPr>
                <w:rFonts w:ascii="Times New Roman" w:hAnsi="Times New Roman"/>
                <w:color w:val="000000"/>
                <w:sz w:val="24"/>
                <w:szCs w:val="24"/>
              </w:rPr>
              <w:t>184</w:t>
            </w:r>
          </w:p>
        </w:tc>
      </w:tr>
      <w:tr w:rsidRPr="004A5531" w:rsidR="00AC2807" w:rsidTr="00940B06" w14:paraId="6D780517" w14:textId="77777777">
        <w:trPr>
          <w:trHeight w:val="870"/>
        </w:trPr>
        <w:tc>
          <w:tcPr>
            <w:tcW w:w="740" w:type="pct"/>
            <w:vMerge/>
            <w:tcBorders>
              <w:top w:val="nil"/>
              <w:left w:val="single" w:color="auto" w:sz="8" w:space="0"/>
              <w:bottom w:val="single" w:color="000000" w:sz="8" w:space="0"/>
              <w:right w:val="single" w:color="auto" w:sz="8" w:space="0"/>
            </w:tcBorders>
            <w:hideMark/>
          </w:tcPr>
          <w:p w:rsidRPr="004A5531" w:rsidR="00AC2807" w:rsidP="00AC2807" w:rsidRDefault="00AC2807" w14:paraId="5E12F9C4" w14:textId="77777777">
            <w:pPr>
              <w:jc w:val="center"/>
              <w:rPr>
                <w:rFonts w:ascii="Times New Roman" w:hAnsi="Times New Roman"/>
                <w:color w:val="000000"/>
                <w:sz w:val="24"/>
                <w:szCs w:val="24"/>
              </w:rPr>
            </w:pPr>
          </w:p>
        </w:tc>
        <w:tc>
          <w:tcPr>
            <w:tcW w:w="808" w:type="pct"/>
            <w:tcBorders>
              <w:top w:val="single" w:color="auto" w:sz="8" w:space="0"/>
              <w:left w:val="nil"/>
              <w:bottom w:val="single" w:color="auto" w:sz="4" w:space="0"/>
              <w:right w:val="single" w:color="auto" w:sz="8" w:space="0"/>
            </w:tcBorders>
            <w:shd w:val="clear" w:color="auto" w:fill="auto"/>
            <w:vAlign w:val="center"/>
            <w:hideMark/>
          </w:tcPr>
          <w:p w:rsidRPr="004A5531" w:rsidR="00AC2807" w:rsidP="00940B06" w:rsidRDefault="00AC2807" w14:paraId="1904B0F8" w14:textId="77777777">
            <w:pPr>
              <w:jc w:val="center"/>
              <w:rPr>
                <w:rFonts w:ascii="Times New Roman" w:hAnsi="Times New Roman"/>
                <w:color w:val="000000"/>
                <w:sz w:val="24"/>
                <w:szCs w:val="24"/>
              </w:rPr>
            </w:pPr>
            <w:r w:rsidRPr="004A5531">
              <w:rPr>
                <w:rFonts w:ascii="Times New Roman" w:hAnsi="Times New Roman"/>
                <w:color w:val="000000"/>
                <w:sz w:val="24"/>
                <w:szCs w:val="24"/>
              </w:rPr>
              <w:t>Questionnaire completion</w:t>
            </w:r>
          </w:p>
        </w:tc>
        <w:tc>
          <w:tcPr>
            <w:tcW w:w="787" w:type="pct"/>
            <w:tcBorders>
              <w:top w:val="single" w:color="auto" w:sz="8" w:space="0"/>
              <w:left w:val="nil"/>
              <w:bottom w:val="single" w:color="auto" w:sz="4" w:space="0"/>
              <w:right w:val="single" w:color="auto" w:sz="8" w:space="0"/>
            </w:tcBorders>
            <w:shd w:val="clear" w:color="auto" w:fill="auto"/>
            <w:vAlign w:val="center"/>
            <w:hideMark/>
          </w:tcPr>
          <w:p w:rsidRPr="004A5531" w:rsidR="00AC2807" w:rsidP="005C15B3" w:rsidRDefault="00F71D7B" w14:paraId="6405C89F" w14:textId="162EA4EC">
            <w:pPr>
              <w:jc w:val="center"/>
              <w:rPr>
                <w:rFonts w:ascii="Times New Roman" w:hAnsi="Times New Roman"/>
                <w:color w:val="000000"/>
                <w:sz w:val="24"/>
                <w:szCs w:val="24"/>
              </w:rPr>
            </w:pPr>
            <w:r>
              <w:rPr>
                <w:rFonts w:ascii="Times New Roman" w:hAnsi="Times New Roman"/>
                <w:color w:val="000000"/>
                <w:sz w:val="24"/>
                <w:szCs w:val="24"/>
              </w:rPr>
              <w:t>5</w:t>
            </w:r>
            <w:r w:rsidR="00AC2807">
              <w:rPr>
                <w:rFonts w:ascii="Times New Roman" w:hAnsi="Times New Roman"/>
                <w:color w:val="000000"/>
                <w:sz w:val="24"/>
                <w:szCs w:val="24"/>
              </w:rPr>
              <w:t>,500</w:t>
            </w:r>
          </w:p>
        </w:tc>
        <w:tc>
          <w:tcPr>
            <w:tcW w:w="739" w:type="pct"/>
            <w:tcBorders>
              <w:top w:val="single" w:color="auto" w:sz="8" w:space="0"/>
              <w:left w:val="nil"/>
              <w:bottom w:val="single" w:color="auto" w:sz="4" w:space="0"/>
              <w:right w:val="single" w:color="auto" w:sz="8" w:space="0"/>
            </w:tcBorders>
            <w:shd w:val="clear" w:color="auto" w:fill="auto"/>
            <w:vAlign w:val="center"/>
            <w:hideMark/>
          </w:tcPr>
          <w:p w:rsidRPr="004A5531" w:rsidR="00AC2807" w:rsidP="005C15B3" w:rsidRDefault="00AC2807" w14:paraId="4CEE743F" w14:textId="77777777">
            <w:pPr>
              <w:jc w:val="center"/>
              <w:rPr>
                <w:rFonts w:ascii="Times New Roman" w:hAnsi="Times New Roman"/>
                <w:color w:val="000000"/>
                <w:sz w:val="24"/>
                <w:szCs w:val="24"/>
              </w:rPr>
            </w:pPr>
            <w:r w:rsidRPr="004A5531">
              <w:rPr>
                <w:rFonts w:ascii="Times New Roman" w:hAnsi="Times New Roman"/>
                <w:color w:val="000000"/>
                <w:sz w:val="24"/>
                <w:szCs w:val="24"/>
              </w:rPr>
              <w:t>1</w:t>
            </w:r>
          </w:p>
        </w:tc>
        <w:tc>
          <w:tcPr>
            <w:tcW w:w="656" w:type="pct"/>
            <w:tcBorders>
              <w:top w:val="single" w:color="auto" w:sz="8" w:space="0"/>
              <w:left w:val="nil"/>
              <w:bottom w:val="single" w:color="auto" w:sz="4" w:space="0"/>
              <w:right w:val="single" w:color="auto" w:sz="8" w:space="0"/>
            </w:tcBorders>
            <w:shd w:val="clear" w:color="auto" w:fill="auto"/>
            <w:vAlign w:val="center"/>
          </w:tcPr>
          <w:p w:rsidRPr="004A5531" w:rsidR="00AC2807" w:rsidP="005C15B3" w:rsidRDefault="00F71D7B" w14:paraId="72EE71B8" w14:textId="1679B5B2">
            <w:pPr>
              <w:jc w:val="center"/>
              <w:rPr>
                <w:rFonts w:ascii="Times New Roman" w:hAnsi="Times New Roman"/>
                <w:color w:val="000000"/>
                <w:sz w:val="24"/>
                <w:szCs w:val="24"/>
              </w:rPr>
            </w:pPr>
            <w:r>
              <w:rPr>
                <w:rFonts w:ascii="Times New Roman" w:hAnsi="Times New Roman"/>
                <w:color w:val="000000"/>
                <w:sz w:val="24"/>
                <w:szCs w:val="24"/>
              </w:rPr>
              <w:t>5</w:t>
            </w:r>
            <w:r w:rsidR="00AC2807">
              <w:rPr>
                <w:rFonts w:ascii="Times New Roman" w:hAnsi="Times New Roman"/>
                <w:color w:val="000000"/>
                <w:sz w:val="24"/>
                <w:szCs w:val="24"/>
              </w:rPr>
              <w:t>,500</w:t>
            </w:r>
          </w:p>
        </w:tc>
        <w:tc>
          <w:tcPr>
            <w:tcW w:w="745" w:type="pct"/>
            <w:tcBorders>
              <w:top w:val="single" w:color="auto" w:sz="8" w:space="0"/>
              <w:left w:val="nil"/>
              <w:bottom w:val="single" w:color="auto" w:sz="4" w:space="0"/>
              <w:right w:val="single" w:color="auto" w:sz="8" w:space="0"/>
            </w:tcBorders>
            <w:shd w:val="clear" w:color="auto" w:fill="auto"/>
            <w:vAlign w:val="center"/>
            <w:hideMark/>
          </w:tcPr>
          <w:p w:rsidRPr="004A5531" w:rsidR="00AC2807" w:rsidP="005C15B3" w:rsidRDefault="00AC2807" w14:paraId="408DA212" w14:textId="77777777">
            <w:pPr>
              <w:jc w:val="center"/>
              <w:rPr>
                <w:rFonts w:ascii="Times New Roman" w:hAnsi="Times New Roman"/>
                <w:color w:val="000000"/>
                <w:sz w:val="24"/>
                <w:szCs w:val="24"/>
              </w:rPr>
            </w:pPr>
            <w:r w:rsidRPr="004A5531">
              <w:rPr>
                <w:rFonts w:ascii="Times New Roman" w:hAnsi="Times New Roman"/>
                <w:color w:val="000000"/>
                <w:sz w:val="24"/>
                <w:szCs w:val="24"/>
              </w:rPr>
              <w:t>0.333</w:t>
            </w:r>
          </w:p>
          <w:p w:rsidRPr="004A5531" w:rsidR="00AC2807" w:rsidP="005C15B3" w:rsidRDefault="00AC2807" w14:paraId="148F5AB1" w14:textId="77777777">
            <w:pPr>
              <w:jc w:val="center"/>
              <w:rPr>
                <w:rFonts w:ascii="Times New Roman" w:hAnsi="Times New Roman"/>
                <w:color w:val="000000"/>
                <w:sz w:val="24"/>
                <w:szCs w:val="24"/>
              </w:rPr>
            </w:pPr>
            <w:r w:rsidRPr="004A5531">
              <w:rPr>
                <w:rFonts w:ascii="Times New Roman" w:hAnsi="Times New Roman"/>
                <w:color w:val="000000"/>
                <w:sz w:val="24"/>
                <w:szCs w:val="24"/>
              </w:rPr>
              <w:t>(20 min)</w:t>
            </w:r>
          </w:p>
        </w:tc>
        <w:tc>
          <w:tcPr>
            <w:tcW w:w="525" w:type="pct"/>
            <w:tcBorders>
              <w:top w:val="single" w:color="auto" w:sz="8" w:space="0"/>
              <w:left w:val="nil"/>
              <w:bottom w:val="single" w:color="auto" w:sz="4" w:space="0"/>
              <w:right w:val="single" w:color="auto" w:sz="8" w:space="0"/>
            </w:tcBorders>
            <w:shd w:val="clear" w:color="auto" w:fill="auto"/>
            <w:vAlign w:val="center"/>
            <w:hideMark/>
          </w:tcPr>
          <w:p w:rsidRPr="004A5531" w:rsidR="00AC2807" w:rsidP="00B56F15" w:rsidRDefault="0000357D" w14:paraId="5A96FD15" w14:textId="04CB370D">
            <w:pPr>
              <w:jc w:val="center"/>
              <w:rPr>
                <w:rFonts w:ascii="Times New Roman" w:hAnsi="Times New Roman"/>
                <w:color w:val="000000"/>
                <w:sz w:val="24"/>
                <w:szCs w:val="24"/>
              </w:rPr>
            </w:pPr>
            <w:r>
              <w:rPr>
                <w:rFonts w:ascii="Times New Roman" w:hAnsi="Times New Roman"/>
                <w:color w:val="000000"/>
                <w:sz w:val="24"/>
                <w:szCs w:val="24"/>
              </w:rPr>
              <w:t>1,834</w:t>
            </w:r>
          </w:p>
        </w:tc>
      </w:tr>
      <w:tr w:rsidRPr="004A5531" w:rsidR="00AC2807" w:rsidTr="005C15B3" w14:paraId="26F01EAA" w14:textId="77777777">
        <w:trPr>
          <w:trHeight w:val="315"/>
        </w:trPr>
        <w:tc>
          <w:tcPr>
            <w:tcW w:w="740" w:type="pct"/>
            <w:tcBorders>
              <w:top w:val="nil"/>
              <w:left w:val="single" w:color="auto" w:sz="8" w:space="0"/>
              <w:bottom w:val="single" w:color="auto" w:sz="8" w:space="0"/>
              <w:right w:val="single" w:color="auto" w:sz="8" w:space="0"/>
            </w:tcBorders>
            <w:shd w:val="clear" w:color="auto" w:fill="auto"/>
            <w:hideMark/>
          </w:tcPr>
          <w:p w:rsidRPr="004A5531" w:rsidR="00AC2807" w:rsidP="00AC2807" w:rsidRDefault="00AC2807" w14:paraId="306823DD" w14:textId="77777777">
            <w:pPr>
              <w:jc w:val="center"/>
              <w:rPr>
                <w:rFonts w:ascii="Times New Roman" w:hAnsi="Times New Roman"/>
                <w:b/>
                <w:bCs/>
                <w:color w:val="000000"/>
                <w:sz w:val="24"/>
                <w:szCs w:val="24"/>
              </w:rPr>
            </w:pPr>
            <w:r w:rsidRPr="004A5531">
              <w:rPr>
                <w:rFonts w:ascii="Times New Roman" w:hAnsi="Times New Roman"/>
                <w:b/>
                <w:bCs/>
                <w:color w:val="000000"/>
                <w:sz w:val="24"/>
                <w:szCs w:val="24"/>
              </w:rPr>
              <w:t>Total Annualized Hours</w:t>
            </w:r>
          </w:p>
        </w:tc>
        <w:tc>
          <w:tcPr>
            <w:tcW w:w="808" w:type="pct"/>
            <w:tcBorders>
              <w:top w:val="single" w:color="auto" w:sz="4" w:space="0"/>
              <w:left w:val="nil"/>
              <w:bottom w:val="single" w:color="auto" w:sz="8" w:space="0"/>
              <w:right w:val="single" w:color="auto" w:sz="8" w:space="0"/>
            </w:tcBorders>
            <w:shd w:val="clear" w:color="auto" w:fill="auto"/>
            <w:hideMark/>
          </w:tcPr>
          <w:p w:rsidRPr="004A5531" w:rsidR="00AC2807" w:rsidP="00AC2807" w:rsidRDefault="00AC2807" w14:paraId="2634AD54" w14:textId="77777777">
            <w:pPr>
              <w:ind w:firstLine="480" w:firstLineChars="200"/>
              <w:jc w:val="center"/>
              <w:rPr>
                <w:rFonts w:ascii="Times New Roman" w:hAnsi="Times New Roman"/>
                <w:color w:val="000000"/>
                <w:sz w:val="24"/>
                <w:szCs w:val="24"/>
              </w:rPr>
            </w:pPr>
          </w:p>
        </w:tc>
        <w:tc>
          <w:tcPr>
            <w:tcW w:w="787" w:type="pct"/>
            <w:tcBorders>
              <w:top w:val="single" w:color="auto" w:sz="4" w:space="0"/>
              <w:left w:val="nil"/>
              <w:bottom w:val="single" w:color="auto" w:sz="8" w:space="0"/>
              <w:right w:val="single" w:color="auto" w:sz="8" w:space="0"/>
            </w:tcBorders>
            <w:shd w:val="clear" w:color="auto" w:fill="auto"/>
            <w:hideMark/>
          </w:tcPr>
          <w:p w:rsidRPr="004A5531" w:rsidR="00AC2807" w:rsidP="00AC2807" w:rsidRDefault="00AC2807" w14:paraId="4DEA3366" w14:textId="77777777">
            <w:pPr>
              <w:jc w:val="center"/>
              <w:rPr>
                <w:rFonts w:ascii="Times New Roman" w:hAnsi="Times New Roman"/>
                <w:b/>
                <w:bCs/>
                <w:color w:val="000000"/>
                <w:sz w:val="24"/>
                <w:szCs w:val="24"/>
              </w:rPr>
            </w:pPr>
          </w:p>
        </w:tc>
        <w:tc>
          <w:tcPr>
            <w:tcW w:w="739" w:type="pct"/>
            <w:tcBorders>
              <w:top w:val="single" w:color="auto" w:sz="4" w:space="0"/>
              <w:left w:val="nil"/>
              <w:bottom w:val="single" w:color="auto" w:sz="8" w:space="0"/>
              <w:right w:val="single" w:color="auto" w:sz="8" w:space="0"/>
            </w:tcBorders>
            <w:shd w:val="clear" w:color="auto" w:fill="auto"/>
            <w:hideMark/>
          </w:tcPr>
          <w:p w:rsidRPr="004A5531" w:rsidR="00AC2807" w:rsidP="00AC2807" w:rsidRDefault="00AC2807" w14:paraId="2CC2BFA0" w14:textId="77777777">
            <w:pPr>
              <w:jc w:val="center"/>
              <w:rPr>
                <w:rFonts w:ascii="Times New Roman" w:hAnsi="Times New Roman"/>
                <w:b/>
                <w:bCs/>
                <w:color w:val="000000"/>
                <w:sz w:val="24"/>
                <w:szCs w:val="24"/>
              </w:rPr>
            </w:pPr>
          </w:p>
        </w:tc>
        <w:tc>
          <w:tcPr>
            <w:tcW w:w="656" w:type="pct"/>
            <w:tcBorders>
              <w:top w:val="single" w:color="auto" w:sz="4" w:space="0"/>
              <w:left w:val="nil"/>
              <w:bottom w:val="single" w:color="auto" w:sz="8" w:space="0"/>
              <w:right w:val="single" w:color="auto" w:sz="8" w:space="0"/>
            </w:tcBorders>
            <w:shd w:val="clear" w:color="auto" w:fill="auto"/>
            <w:hideMark/>
          </w:tcPr>
          <w:p w:rsidRPr="004A5531" w:rsidR="00AC2807" w:rsidP="00AC2807" w:rsidRDefault="00AC2807" w14:paraId="463E225C" w14:textId="77777777">
            <w:pPr>
              <w:jc w:val="center"/>
              <w:rPr>
                <w:rFonts w:ascii="Times New Roman" w:hAnsi="Times New Roman"/>
                <w:b/>
                <w:bCs/>
                <w:color w:val="000000"/>
                <w:sz w:val="24"/>
                <w:szCs w:val="24"/>
              </w:rPr>
            </w:pPr>
          </w:p>
        </w:tc>
        <w:tc>
          <w:tcPr>
            <w:tcW w:w="745" w:type="pct"/>
            <w:tcBorders>
              <w:top w:val="single" w:color="auto" w:sz="4" w:space="0"/>
              <w:left w:val="nil"/>
              <w:bottom w:val="single" w:color="auto" w:sz="8" w:space="0"/>
              <w:right w:val="single" w:color="auto" w:sz="8" w:space="0"/>
            </w:tcBorders>
            <w:shd w:val="clear" w:color="auto" w:fill="auto"/>
            <w:hideMark/>
          </w:tcPr>
          <w:p w:rsidRPr="004A5531" w:rsidR="00AC2807" w:rsidP="00AC2807" w:rsidRDefault="00AC2807" w14:paraId="58B8F6F7" w14:textId="77777777">
            <w:pPr>
              <w:jc w:val="center"/>
              <w:rPr>
                <w:rFonts w:ascii="Times New Roman" w:hAnsi="Times New Roman"/>
                <w:b/>
                <w:bCs/>
                <w:color w:val="000000"/>
                <w:sz w:val="24"/>
                <w:szCs w:val="24"/>
              </w:rPr>
            </w:pPr>
          </w:p>
        </w:tc>
        <w:tc>
          <w:tcPr>
            <w:tcW w:w="525" w:type="pct"/>
            <w:tcBorders>
              <w:top w:val="single" w:color="auto" w:sz="4" w:space="0"/>
              <w:left w:val="nil"/>
              <w:bottom w:val="single" w:color="auto" w:sz="8" w:space="0"/>
              <w:right w:val="single" w:color="auto" w:sz="8" w:space="0"/>
            </w:tcBorders>
            <w:shd w:val="clear" w:color="auto" w:fill="auto"/>
            <w:vAlign w:val="center"/>
            <w:hideMark/>
          </w:tcPr>
          <w:p w:rsidRPr="004A5531" w:rsidR="00AC2807" w:rsidP="005C15B3" w:rsidRDefault="00F71D7B" w14:paraId="4AE74FE0" w14:textId="030BB3B6">
            <w:pPr>
              <w:jc w:val="center"/>
              <w:rPr>
                <w:rFonts w:ascii="Times New Roman" w:hAnsi="Times New Roman"/>
                <w:b/>
                <w:bCs/>
                <w:color w:val="000000"/>
                <w:sz w:val="24"/>
                <w:szCs w:val="24"/>
              </w:rPr>
            </w:pPr>
            <w:r>
              <w:rPr>
                <w:rFonts w:ascii="Times New Roman" w:hAnsi="Times New Roman"/>
                <w:b/>
                <w:bCs/>
                <w:color w:val="000000"/>
                <w:sz w:val="24"/>
                <w:szCs w:val="24"/>
              </w:rPr>
              <w:t>5,</w:t>
            </w:r>
            <w:r w:rsidR="0000357D">
              <w:rPr>
                <w:rFonts w:ascii="Times New Roman" w:hAnsi="Times New Roman"/>
                <w:b/>
                <w:bCs/>
                <w:color w:val="000000"/>
                <w:sz w:val="24"/>
                <w:szCs w:val="24"/>
              </w:rPr>
              <w:t>596</w:t>
            </w:r>
          </w:p>
        </w:tc>
      </w:tr>
    </w:tbl>
    <w:p w:rsidR="00BC70EA" w:rsidP="00AC2807" w:rsidRDefault="00BC70EA" w14:paraId="64D534E0" w14:textId="77777777">
      <w:pPr>
        <w:pStyle w:val="BodyText2"/>
        <w:ind w:firstLine="450"/>
        <w:rPr>
          <w:rFonts w:ascii="Times New Roman" w:hAnsi="Times New Roman"/>
          <w:u w:val="single"/>
        </w:rPr>
      </w:pPr>
    </w:p>
    <w:p w:rsidR="00EB5ADD" w:rsidP="00AC2807" w:rsidRDefault="00EB5ADD" w14:paraId="625A5C66" w14:textId="77777777">
      <w:pPr>
        <w:pStyle w:val="BodyText2"/>
        <w:ind w:firstLine="450"/>
        <w:rPr>
          <w:rFonts w:ascii="Times New Roman" w:hAnsi="Times New Roman"/>
          <w:u w:val="single"/>
        </w:rPr>
      </w:pPr>
      <w:r w:rsidRPr="00BE6F8F">
        <w:rPr>
          <w:rFonts w:ascii="Times New Roman" w:hAnsi="Times New Roman"/>
        </w:rPr>
        <w:t xml:space="preserve">12b. </w:t>
      </w:r>
      <w:r w:rsidRPr="00EB5ADD">
        <w:rPr>
          <w:rFonts w:ascii="Times New Roman" w:hAnsi="Times New Roman"/>
          <w:u w:val="single"/>
        </w:rPr>
        <w:t>Annualized Cost Burden Estimate</w:t>
      </w:r>
    </w:p>
    <w:p w:rsidRPr="00EB5ADD" w:rsidR="00EB5ADD" w:rsidP="00EB5ADD" w:rsidRDefault="00EB5ADD" w14:paraId="3F97ABE4" w14:textId="77777777">
      <w:pPr>
        <w:pStyle w:val="BodyText2"/>
        <w:ind w:left="450" w:firstLine="0"/>
        <w:rPr>
          <w:rFonts w:ascii="Times New Roman" w:hAnsi="Times New Roman"/>
        </w:rPr>
      </w:pPr>
    </w:p>
    <w:p w:rsidRPr="00EB5ADD" w:rsidR="00EB5ADD" w:rsidP="00EB5ADD" w:rsidRDefault="00EB5ADD" w14:paraId="38AA26D1" w14:textId="77777777">
      <w:pPr>
        <w:pStyle w:val="BodyText2"/>
        <w:ind w:left="450" w:firstLine="0"/>
        <w:rPr>
          <w:rFonts w:ascii="Times New Roman" w:hAnsi="Times New Roman"/>
        </w:rPr>
      </w:pPr>
      <w:r w:rsidRPr="00EB5ADD">
        <w:rPr>
          <w:rFonts w:ascii="Times New Roman" w:hAnsi="Times New Roman"/>
        </w:rPr>
        <w:t xml:space="preserve">Respondents participate on a purely voluntary basis and, therefore, are subject to no direct costs other than time to participate. There are also no start-up or maintenance costs. </w:t>
      </w:r>
      <w:r w:rsidR="00B57B89">
        <w:rPr>
          <w:rFonts w:ascii="Times New Roman" w:hAnsi="Times New Roman"/>
        </w:rPr>
        <w:t xml:space="preserve">FDA </w:t>
      </w:r>
      <w:r w:rsidRPr="00EB5ADD">
        <w:rPr>
          <w:rFonts w:ascii="Times New Roman" w:hAnsi="Times New Roman"/>
        </w:rPr>
        <w:t>has conducted many smoking-related surveys of similar length among youth. We have examined diagnostic data from prior surveys and estimate that data collection for this study will take approximately 20 minutes per respondent.  We have also allocated a few minutes time for parents to give their permission for their child to participate and for youth to give their assent to participate.</w:t>
      </w:r>
    </w:p>
    <w:p w:rsidRPr="00EB5ADD" w:rsidR="00EB5ADD" w:rsidP="00EB5ADD" w:rsidRDefault="00EB5ADD" w14:paraId="729FE35C" w14:textId="77777777">
      <w:pPr>
        <w:pStyle w:val="BodyText2"/>
        <w:ind w:left="450" w:firstLine="0"/>
        <w:rPr>
          <w:rFonts w:ascii="Times New Roman" w:hAnsi="Times New Roman"/>
        </w:rPr>
      </w:pPr>
    </w:p>
    <w:p w:rsidRPr="00EB5ADD" w:rsidR="00EB5ADD" w:rsidP="00EB5ADD" w:rsidRDefault="00EB5ADD" w14:paraId="7AE22C8A" w14:textId="3B3392B8">
      <w:pPr>
        <w:pStyle w:val="BodyText2"/>
        <w:ind w:left="450" w:firstLine="0"/>
        <w:rPr>
          <w:rFonts w:ascii="Times New Roman" w:hAnsi="Times New Roman"/>
        </w:rPr>
      </w:pPr>
      <w:r w:rsidRPr="00EB5ADD">
        <w:rPr>
          <w:rFonts w:ascii="Times New Roman" w:hAnsi="Times New Roman"/>
        </w:rPr>
        <w:t>To calculate this cost, the mean hourly wage of $7.25 was used for youth and $</w:t>
      </w:r>
      <w:r w:rsidR="007E316C">
        <w:rPr>
          <w:rFonts w:ascii="Times New Roman" w:hAnsi="Times New Roman"/>
        </w:rPr>
        <w:t>23.86</w:t>
      </w:r>
      <w:r w:rsidRPr="00EB5ADD">
        <w:rPr>
          <w:rFonts w:ascii="Times New Roman" w:hAnsi="Times New Roman"/>
        </w:rPr>
        <w:t xml:space="preserve"> was used for parents.  The youth price represents the minimum wage, and the parental costs represent the Department of Labor estimated mean for state, local, and private industry earnings.  There are no direct costs to respondents associated with participation in this information collection.  Thus, assuming an average hourly wage of $7.25 and $</w:t>
      </w:r>
      <w:r w:rsidR="007E316C">
        <w:rPr>
          <w:rFonts w:ascii="Times New Roman" w:hAnsi="Times New Roman"/>
        </w:rPr>
        <w:t>23.86</w:t>
      </w:r>
      <w:r w:rsidRPr="00EB5ADD">
        <w:rPr>
          <w:rFonts w:ascii="Times New Roman" w:hAnsi="Times New Roman"/>
        </w:rPr>
        <w:t xml:space="preserve"> (youth and parent), the estimated one-year annualized cost to participants will be $</w:t>
      </w:r>
      <w:r w:rsidR="007E316C">
        <w:rPr>
          <w:rFonts w:ascii="Times New Roman" w:hAnsi="Times New Roman"/>
        </w:rPr>
        <w:t>88,574</w:t>
      </w:r>
      <w:r w:rsidRPr="00EB5ADD">
        <w:rPr>
          <w:rFonts w:ascii="Times New Roman" w:hAnsi="Times New Roman"/>
        </w:rPr>
        <w:t xml:space="preserve">. The estimated value of respondents’ time for participating in the information collection is summarized in </w:t>
      </w:r>
      <w:r w:rsidR="007E316C">
        <w:rPr>
          <w:rFonts w:ascii="Times New Roman" w:hAnsi="Times New Roman"/>
        </w:rPr>
        <w:t>Table 2</w:t>
      </w:r>
      <w:r w:rsidRPr="00EB5ADD">
        <w:rPr>
          <w:rFonts w:ascii="Times New Roman" w:hAnsi="Times New Roman"/>
        </w:rPr>
        <w:t>.</w:t>
      </w:r>
    </w:p>
    <w:p w:rsidRPr="00EB5ADD" w:rsidR="00EB5ADD" w:rsidP="00BE6F8F" w:rsidRDefault="00326755" w14:paraId="51D3AE88" w14:textId="77777777">
      <w:pPr>
        <w:keepNext/>
        <w:keepLines/>
        <w:spacing w:before="240" w:after="240"/>
        <w:ind w:left="720"/>
        <w:jc w:val="center"/>
        <w:rPr>
          <w:rFonts w:ascii="Times New Roman" w:hAnsi="Times New Roman"/>
          <w:b/>
          <w:sz w:val="24"/>
          <w:szCs w:val="24"/>
        </w:rPr>
      </w:pPr>
      <w:r>
        <w:rPr>
          <w:rFonts w:ascii="Times New Roman" w:hAnsi="Times New Roman"/>
          <w:b/>
          <w:sz w:val="24"/>
          <w:szCs w:val="24"/>
        </w:rPr>
        <w:t>Table</w:t>
      </w:r>
      <w:r w:rsidRPr="00EB5ADD" w:rsidR="00EB5ADD">
        <w:rPr>
          <w:rFonts w:ascii="Times New Roman" w:hAnsi="Times New Roman"/>
          <w:b/>
          <w:sz w:val="24"/>
          <w:szCs w:val="24"/>
        </w:rPr>
        <w:t xml:space="preserve"> </w:t>
      </w:r>
      <w:r w:rsidR="00D74E76">
        <w:rPr>
          <w:rFonts w:ascii="Times New Roman" w:hAnsi="Times New Roman"/>
          <w:b/>
          <w:sz w:val="24"/>
          <w:szCs w:val="24"/>
        </w:rPr>
        <w:t>2</w:t>
      </w:r>
      <w:r w:rsidRPr="00EB5ADD" w:rsidR="00EB5ADD">
        <w:rPr>
          <w:rFonts w:ascii="Times New Roman" w:hAnsi="Times New Roman"/>
          <w:b/>
          <w:sz w:val="24"/>
          <w:szCs w:val="24"/>
        </w:rPr>
        <w:t>. Estimated Annual Cost</w:t>
      </w:r>
    </w:p>
    <w:tbl>
      <w:tblPr>
        <w:tblStyle w:val="TableGrid"/>
        <w:tblW w:w="5000" w:type="pct"/>
        <w:tblInd w:w="85" w:type="dxa"/>
        <w:tblLook w:val="00A0" w:firstRow="1" w:lastRow="0" w:firstColumn="1" w:lastColumn="0" w:noHBand="0" w:noVBand="0"/>
      </w:tblPr>
      <w:tblGrid>
        <w:gridCol w:w="2416"/>
        <w:gridCol w:w="2302"/>
        <w:gridCol w:w="1623"/>
        <w:gridCol w:w="1189"/>
        <w:gridCol w:w="1820"/>
      </w:tblGrid>
      <w:tr w:rsidRPr="00DC50FC" w:rsidR="00AC2807" w:rsidTr="00AC2807" w14:paraId="5F82D633" w14:textId="77777777">
        <w:tc>
          <w:tcPr>
            <w:tcW w:w="1292" w:type="pct"/>
            <w:shd w:val="clear" w:color="auto" w:fill="BFBFBF" w:themeFill="background1" w:themeFillShade="BF"/>
          </w:tcPr>
          <w:p w:rsidRPr="00AC2807" w:rsidR="00AC2807" w:rsidP="00943E56" w:rsidRDefault="00AC2807" w14:paraId="40DB6FBF" w14:textId="77777777">
            <w:pPr>
              <w:rPr>
                <w:rFonts w:ascii="Times New Roman" w:hAnsi="Times New Roman"/>
                <w:sz w:val="22"/>
                <w:szCs w:val="22"/>
              </w:rPr>
            </w:pPr>
            <w:r w:rsidRPr="00AC2807">
              <w:rPr>
                <w:rFonts w:ascii="Times New Roman" w:hAnsi="Times New Roman"/>
                <w:b/>
                <w:sz w:val="22"/>
                <w:szCs w:val="22"/>
              </w:rPr>
              <w:t>Type of Respondent</w:t>
            </w:r>
          </w:p>
        </w:tc>
        <w:tc>
          <w:tcPr>
            <w:tcW w:w="1231" w:type="pct"/>
            <w:shd w:val="clear" w:color="auto" w:fill="BFBFBF" w:themeFill="background1" w:themeFillShade="BF"/>
          </w:tcPr>
          <w:p w:rsidRPr="00AC2807" w:rsidR="00AC2807" w:rsidP="00943E56" w:rsidRDefault="00AC2807" w14:paraId="3D5AD225" w14:textId="77777777">
            <w:pPr>
              <w:keepNext/>
              <w:spacing w:before="60" w:after="60"/>
              <w:rPr>
                <w:rFonts w:ascii="Times New Roman" w:hAnsi="Times New Roman"/>
                <w:b/>
                <w:sz w:val="22"/>
                <w:szCs w:val="22"/>
              </w:rPr>
            </w:pPr>
            <w:r w:rsidRPr="00AC2807">
              <w:rPr>
                <w:rFonts w:ascii="Times New Roman" w:hAnsi="Times New Roman"/>
                <w:b/>
                <w:sz w:val="22"/>
                <w:szCs w:val="22"/>
              </w:rPr>
              <w:t>Activity</w:t>
            </w:r>
          </w:p>
        </w:tc>
        <w:tc>
          <w:tcPr>
            <w:tcW w:w="868" w:type="pct"/>
            <w:shd w:val="clear" w:color="auto" w:fill="BFBFBF" w:themeFill="background1" w:themeFillShade="BF"/>
          </w:tcPr>
          <w:p w:rsidRPr="00AC2807" w:rsidR="00AC2807" w:rsidP="00943E56" w:rsidRDefault="00AC2807" w14:paraId="603CB486" w14:textId="77777777">
            <w:pPr>
              <w:keepNext/>
              <w:spacing w:before="60" w:after="60"/>
              <w:rPr>
                <w:rFonts w:ascii="Times New Roman" w:hAnsi="Times New Roman"/>
                <w:b/>
                <w:sz w:val="22"/>
                <w:szCs w:val="22"/>
              </w:rPr>
            </w:pPr>
            <w:r w:rsidRPr="00AC2807">
              <w:rPr>
                <w:rFonts w:ascii="Times New Roman" w:hAnsi="Times New Roman"/>
                <w:b/>
                <w:sz w:val="22"/>
                <w:szCs w:val="22"/>
              </w:rPr>
              <w:t>Annual Burden Hours</w:t>
            </w:r>
          </w:p>
        </w:tc>
        <w:tc>
          <w:tcPr>
            <w:tcW w:w="636" w:type="pct"/>
            <w:shd w:val="clear" w:color="auto" w:fill="BFBFBF" w:themeFill="background1" w:themeFillShade="BF"/>
          </w:tcPr>
          <w:p w:rsidRPr="00AC2807" w:rsidR="00AC2807" w:rsidP="00943E56" w:rsidRDefault="00AC2807" w14:paraId="13E665C7" w14:textId="77777777">
            <w:pPr>
              <w:keepNext/>
              <w:spacing w:before="60" w:after="60"/>
              <w:rPr>
                <w:rFonts w:ascii="Times New Roman" w:hAnsi="Times New Roman"/>
                <w:b/>
                <w:sz w:val="22"/>
                <w:szCs w:val="22"/>
              </w:rPr>
            </w:pPr>
            <w:r w:rsidRPr="00AC2807">
              <w:rPr>
                <w:rFonts w:ascii="Times New Roman" w:hAnsi="Times New Roman"/>
                <w:b/>
                <w:sz w:val="22"/>
                <w:szCs w:val="22"/>
              </w:rPr>
              <w:t>Hourly Wage Rate</w:t>
            </w:r>
          </w:p>
        </w:tc>
        <w:tc>
          <w:tcPr>
            <w:tcW w:w="973" w:type="pct"/>
            <w:shd w:val="clear" w:color="auto" w:fill="BFBFBF" w:themeFill="background1" w:themeFillShade="BF"/>
          </w:tcPr>
          <w:p w:rsidRPr="00AC2807" w:rsidR="00AC2807" w:rsidP="00943E56" w:rsidRDefault="00AC2807" w14:paraId="08DB48C1" w14:textId="77777777">
            <w:pPr>
              <w:keepNext/>
              <w:spacing w:before="60" w:after="60"/>
              <w:rPr>
                <w:rFonts w:ascii="Times New Roman" w:hAnsi="Times New Roman"/>
                <w:b/>
                <w:sz w:val="22"/>
                <w:szCs w:val="22"/>
              </w:rPr>
            </w:pPr>
            <w:r w:rsidRPr="00AC2807">
              <w:rPr>
                <w:rFonts w:ascii="Times New Roman" w:hAnsi="Times New Roman"/>
                <w:b/>
                <w:sz w:val="22"/>
                <w:szCs w:val="22"/>
              </w:rPr>
              <w:t>Total Cost</w:t>
            </w:r>
          </w:p>
        </w:tc>
      </w:tr>
      <w:tr w:rsidRPr="00DC50FC" w:rsidR="00F71D7B" w:rsidTr="00940B06" w14:paraId="080A53DB" w14:textId="77777777">
        <w:tc>
          <w:tcPr>
            <w:tcW w:w="1292" w:type="pct"/>
            <w:vAlign w:val="center"/>
          </w:tcPr>
          <w:p w:rsidRPr="00AC2807" w:rsidR="00F71D7B" w:rsidP="00940B06" w:rsidRDefault="00F71D7B" w14:paraId="3960444F" w14:textId="77777777">
            <w:pPr>
              <w:spacing w:before="60" w:after="60"/>
              <w:rPr>
                <w:rFonts w:ascii="Times New Roman" w:hAnsi="Times New Roman"/>
                <w:sz w:val="22"/>
                <w:szCs w:val="22"/>
              </w:rPr>
            </w:pPr>
            <w:r w:rsidRPr="00AC2807">
              <w:rPr>
                <w:rFonts w:ascii="Times New Roman" w:hAnsi="Times New Roman"/>
                <w:sz w:val="22"/>
                <w:szCs w:val="22"/>
              </w:rPr>
              <w:lastRenderedPageBreak/>
              <w:t>Screened Youth</w:t>
            </w:r>
          </w:p>
        </w:tc>
        <w:tc>
          <w:tcPr>
            <w:tcW w:w="1231" w:type="pct"/>
          </w:tcPr>
          <w:p w:rsidRPr="00AC2807" w:rsidR="00F71D7B" w:rsidP="00F71D7B" w:rsidRDefault="00F71D7B" w14:paraId="3D29661D" w14:textId="77777777">
            <w:pPr>
              <w:spacing w:before="60" w:after="60"/>
              <w:rPr>
                <w:rFonts w:ascii="Times New Roman" w:hAnsi="Times New Roman"/>
                <w:sz w:val="22"/>
                <w:szCs w:val="22"/>
              </w:rPr>
            </w:pPr>
            <w:r w:rsidRPr="00AC2807">
              <w:rPr>
                <w:rFonts w:ascii="Times New Roman" w:hAnsi="Times New Roman"/>
                <w:sz w:val="22"/>
                <w:szCs w:val="22"/>
              </w:rPr>
              <w:t>Screener completion</w:t>
            </w:r>
          </w:p>
        </w:tc>
        <w:tc>
          <w:tcPr>
            <w:tcW w:w="868" w:type="pct"/>
            <w:vAlign w:val="center"/>
          </w:tcPr>
          <w:p w:rsidRPr="004A5531" w:rsidR="00F71D7B" w:rsidP="00B56F15" w:rsidRDefault="0000357D" w14:paraId="783F3116" w14:textId="44907961">
            <w:pPr>
              <w:jc w:val="center"/>
              <w:rPr>
                <w:rFonts w:ascii="Times New Roman" w:hAnsi="Times New Roman"/>
                <w:color w:val="000000"/>
                <w:sz w:val="24"/>
                <w:szCs w:val="24"/>
              </w:rPr>
            </w:pPr>
            <w:r>
              <w:rPr>
                <w:rFonts w:ascii="Times New Roman" w:hAnsi="Times New Roman"/>
                <w:color w:val="000000"/>
                <w:sz w:val="24"/>
                <w:szCs w:val="24"/>
              </w:rPr>
              <w:t>688</w:t>
            </w:r>
          </w:p>
        </w:tc>
        <w:tc>
          <w:tcPr>
            <w:tcW w:w="636" w:type="pct"/>
            <w:vAlign w:val="center"/>
          </w:tcPr>
          <w:p w:rsidRPr="00AC2807" w:rsidR="00F71D7B" w:rsidP="00B56F15" w:rsidRDefault="00F71D7B" w14:paraId="2B4B0EEE" w14:textId="77777777">
            <w:pPr>
              <w:jc w:val="center"/>
              <w:rPr>
                <w:rFonts w:ascii="Times New Roman" w:hAnsi="Times New Roman"/>
                <w:sz w:val="22"/>
                <w:szCs w:val="22"/>
              </w:rPr>
            </w:pPr>
            <w:r w:rsidRPr="00AC2807">
              <w:rPr>
                <w:rFonts w:ascii="Times New Roman" w:hAnsi="Times New Roman"/>
                <w:color w:val="000000"/>
                <w:sz w:val="22"/>
                <w:szCs w:val="22"/>
              </w:rPr>
              <w:t>$7.25</w:t>
            </w:r>
          </w:p>
        </w:tc>
        <w:tc>
          <w:tcPr>
            <w:tcW w:w="973" w:type="pct"/>
            <w:vAlign w:val="center"/>
          </w:tcPr>
          <w:p w:rsidRPr="00AC2807" w:rsidR="00F71D7B" w:rsidP="00B56F15" w:rsidRDefault="00F71D7B" w14:paraId="798896B3" w14:textId="758D6496">
            <w:pPr>
              <w:jc w:val="center"/>
              <w:rPr>
                <w:rFonts w:ascii="Times New Roman" w:hAnsi="Times New Roman"/>
                <w:sz w:val="22"/>
                <w:szCs w:val="22"/>
              </w:rPr>
            </w:pPr>
            <w:r>
              <w:rPr>
                <w:rFonts w:ascii="Times New Roman" w:hAnsi="Times New Roman"/>
                <w:sz w:val="22"/>
                <w:szCs w:val="22"/>
              </w:rPr>
              <w:t>$</w:t>
            </w:r>
            <w:r w:rsidR="0000357D">
              <w:rPr>
                <w:rFonts w:ascii="Times New Roman" w:hAnsi="Times New Roman"/>
                <w:sz w:val="22"/>
                <w:szCs w:val="22"/>
              </w:rPr>
              <w:t>4,988</w:t>
            </w:r>
          </w:p>
        </w:tc>
      </w:tr>
      <w:tr w:rsidRPr="00DC50FC" w:rsidR="00F71D7B" w:rsidTr="00940B06" w14:paraId="731EB239" w14:textId="77777777">
        <w:tc>
          <w:tcPr>
            <w:tcW w:w="1292" w:type="pct"/>
            <w:vAlign w:val="center"/>
          </w:tcPr>
          <w:p w:rsidRPr="00AC2807" w:rsidR="00F71D7B" w:rsidP="00940B06" w:rsidRDefault="00F71D7B" w14:paraId="0F3FB1BB" w14:textId="77777777">
            <w:pPr>
              <w:spacing w:before="60" w:after="60"/>
              <w:rPr>
                <w:rFonts w:ascii="Times New Roman" w:hAnsi="Times New Roman"/>
                <w:sz w:val="22"/>
                <w:szCs w:val="22"/>
              </w:rPr>
            </w:pPr>
            <w:r w:rsidRPr="00AC2807">
              <w:rPr>
                <w:rFonts w:ascii="Times New Roman" w:hAnsi="Times New Roman"/>
                <w:sz w:val="22"/>
                <w:szCs w:val="22"/>
              </w:rPr>
              <w:t>Screened Adults</w:t>
            </w:r>
          </w:p>
        </w:tc>
        <w:tc>
          <w:tcPr>
            <w:tcW w:w="1231" w:type="pct"/>
          </w:tcPr>
          <w:p w:rsidRPr="00AC2807" w:rsidR="00F71D7B" w:rsidP="00F71D7B" w:rsidRDefault="00F71D7B" w14:paraId="19921D1E" w14:textId="7BCF5C04">
            <w:pPr>
              <w:spacing w:before="60" w:after="60"/>
              <w:rPr>
                <w:rFonts w:ascii="Times New Roman" w:hAnsi="Times New Roman"/>
                <w:sz w:val="22"/>
                <w:szCs w:val="22"/>
              </w:rPr>
            </w:pPr>
            <w:r w:rsidRPr="00AC2807">
              <w:rPr>
                <w:rFonts w:ascii="Times New Roman" w:hAnsi="Times New Roman"/>
                <w:sz w:val="22"/>
                <w:szCs w:val="22"/>
              </w:rPr>
              <w:t xml:space="preserve">Screener </w:t>
            </w:r>
            <w:r w:rsidR="00637A18">
              <w:rPr>
                <w:rFonts w:ascii="Times New Roman" w:hAnsi="Times New Roman"/>
                <w:sz w:val="22"/>
                <w:szCs w:val="22"/>
              </w:rPr>
              <w:t>c</w:t>
            </w:r>
            <w:r w:rsidRPr="00AC2807">
              <w:rPr>
                <w:rFonts w:ascii="Times New Roman" w:hAnsi="Times New Roman"/>
                <w:sz w:val="22"/>
                <w:szCs w:val="22"/>
              </w:rPr>
              <w:t>ompletions</w:t>
            </w:r>
          </w:p>
        </w:tc>
        <w:tc>
          <w:tcPr>
            <w:tcW w:w="868" w:type="pct"/>
            <w:vAlign w:val="center"/>
          </w:tcPr>
          <w:p w:rsidRPr="004A5531" w:rsidR="00F71D7B" w:rsidP="00B56F15" w:rsidRDefault="0000357D" w14:paraId="1573B4A2" w14:textId="4C58D357">
            <w:pPr>
              <w:jc w:val="center"/>
              <w:rPr>
                <w:rFonts w:ascii="Times New Roman" w:hAnsi="Times New Roman"/>
                <w:color w:val="000000"/>
                <w:sz w:val="24"/>
                <w:szCs w:val="24"/>
              </w:rPr>
            </w:pPr>
            <w:r>
              <w:rPr>
                <w:rFonts w:ascii="Times New Roman" w:hAnsi="Times New Roman"/>
                <w:color w:val="000000"/>
                <w:sz w:val="24"/>
                <w:szCs w:val="24"/>
              </w:rPr>
              <w:t>688</w:t>
            </w:r>
          </w:p>
        </w:tc>
        <w:tc>
          <w:tcPr>
            <w:tcW w:w="636" w:type="pct"/>
            <w:vAlign w:val="center"/>
          </w:tcPr>
          <w:p w:rsidRPr="00AC2807" w:rsidR="00F71D7B" w:rsidP="00B56F15" w:rsidRDefault="00F71D7B" w14:paraId="12E56F30" w14:textId="77777777">
            <w:pPr>
              <w:jc w:val="center"/>
              <w:rPr>
                <w:rFonts w:ascii="Times New Roman" w:hAnsi="Times New Roman"/>
                <w:sz w:val="22"/>
                <w:szCs w:val="22"/>
              </w:rPr>
            </w:pPr>
            <w:r w:rsidRPr="00AC2807">
              <w:rPr>
                <w:rFonts w:ascii="Times New Roman" w:hAnsi="Times New Roman"/>
                <w:color w:val="000000"/>
                <w:sz w:val="22"/>
                <w:szCs w:val="22"/>
              </w:rPr>
              <w:t>$23.86</w:t>
            </w:r>
          </w:p>
        </w:tc>
        <w:tc>
          <w:tcPr>
            <w:tcW w:w="973" w:type="pct"/>
            <w:vAlign w:val="center"/>
          </w:tcPr>
          <w:p w:rsidRPr="00AC2807" w:rsidR="00F71D7B" w:rsidP="00B56F15" w:rsidRDefault="00F71D7B" w14:paraId="06E75118" w14:textId="06B08C65">
            <w:pPr>
              <w:jc w:val="center"/>
              <w:rPr>
                <w:rFonts w:ascii="Times New Roman" w:hAnsi="Times New Roman"/>
                <w:sz w:val="22"/>
                <w:szCs w:val="22"/>
              </w:rPr>
            </w:pPr>
            <w:r>
              <w:rPr>
                <w:rFonts w:ascii="Times New Roman" w:hAnsi="Times New Roman"/>
                <w:sz w:val="22"/>
                <w:szCs w:val="22"/>
              </w:rPr>
              <w:t>$16,</w:t>
            </w:r>
            <w:r w:rsidR="0000357D">
              <w:rPr>
                <w:rFonts w:ascii="Times New Roman" w:hAnsi="Times New Roman"/>
                <w:sz w:val="22"/>
                <w:szCs w:val="22"/>
              </w:rPr>
              <w:t>416</w:t>
            </w:r>
          </w:p>
        </w:tc>
      </w:tr>
      <w:tr w:rsidRPr="00DC50FC" w:rsidR="00F71D7B" w:rsidTr="00940B06" w14:paraId="30EF813A" w14:textId="77777777">
        <w:tc>
          <w:tcPr>
            <w:tcW w:w="1292" w:type="pct"/>
            <w:vAlign w:val="center"/>
          </w:tcPr>
          <w:p w:rsidRPr="00AC2807" w:rsidR="00F71D7B" w:rsidP="00940B06" w:rsidRDefault="00F71D7B" w14:paraId="7BA830DC" w14:textId="77777777">
            <w:pPr>
              <w:spacing w:before="60" w:after="60"/>
              <w:rPr>
                <w:rFonts w:ascii="Times New Roman" w:hAnsi="Times New Roman"/>
                <w:sz w:val="22"/>
                <w:szCs w:val="22"/>
              </w:rPr>
            </w:pPr>
            <w:r w:rsidRPr="00AC2807">
              <w:rPr>
                <w:rFonts w:ascii="Times New Roman" w:hAnsi="Times New Roman"/>
                <w:sz w:val="22"/>
                <w:szCs w:val="22"/>
              </w:rPr>
              <w:t>Parents of Invited Youth</w:t>
            </w:r>
          </w:p>
        </w:tc>
        <w:tc>
          <w:tcPr>
            <w:tcW w:w="1231" w:type="pct"/>
          </w:tcPr>
          <w:p w:rsidRPr="00AC2807" w:rsidR="00F71D7B" w:rsidP="00F71D7B" w:rsidRDefault="0063722B" w14:paraId="7E67675F" w14:textId="64CFAC78">
            <w:pPr>
              <w:spacing w:before="60" w:after="60"/>
              <w:rPr>
                <w:rFonts w:ascii="Times New Roman" w:hAnsi="Times New Roman"/>
                <w:sz w:val="22"/>
                <w:szCs w:val="22"/>
              </w:rPr>
            </w:pPr>
            <w:r>
              <w:rPr>
                <w:rFonts w:ascii="Times New Roman" w:hAnsi="Times New Roman"/>
                <w:sz w:val="22"/>
                <w:szCs w:val="22"/>
              </w:rPr>
              <w:t xml:space="preserve">Email </w:t>
            </w:r>
            <w:r w:rsidR="00637A18">
              <w:rPr>
                <w:rFonts w:ascii="Times New Roman" w:hAnsi="Times New Roman"/>
                <w:sz w:val="22"/>
                <w:szCs w:val="22"/>
              </w:rPr>
              <w:t>i</w:t>
            </w:r>
            <w:r>
              <w:rPr>
                <w:rFonts w:ascii="Times New Roman" w:hAnsi="Times New Roman"/>
                <w:sz w:val="22"/>
                <w:szCs w:val="22"/>
              </w:rPr>
              <w:t xml:space="preserve">nvite and </w:t>
            </w:r>
            <w:r w:rsidRPr="00AC2807" w:rsidR="00F71D7B">
              <w:rPr>
                <w:rFonts w:ascii="Times New Roman" w:hAnsi="Times New Roman"/>
                <w:sz w:val="22"/>
                <w:szCs w:val="22"/>
              </w:rPr>
              <w:t xml:space="preserve">Parental </w:t>
            </w:r>
            <w:r w:rsidR="0061672F">
              <w:rPr>
                <w:rFonts w:ascii="Times New Roman" w:hAnsi="Times New Roman"/>
                <w:sz w:val="22"/>
                <w:szCs w:val="22"/>
              </w:rPr>
              <w:t xml:space="preserve">notification and </w:t>
            </w:r>
            <w:r w:rsidRPr="00AC2807" w:rsidR="00F71D7B">
              <w:rPr>
                <w:rFonts w:ascii="Times New Roman" w:hAnsi="Times New Roman"/>
                <w:sz w:val="22"/>
                <w:szCs w:val="22"/>
              </w:rPr>
              <w:t>opt-out process</w:t>
            </w:r>
          </w:p>
        </w:tc>
        <w:tc>
          <w:tcPr>
            <w:tcW w:w="868" w:type="pct"/>
            <w:vAlign w:val="center"/>
          </w:tcPr>
          <w:p w:rsidRPr="004A5531" w:rsidR="00F71D7B" w:rsidP="00B56F15" w:rsidRDefault="0000357D" w14:paraId="5FF5A6AA" w14:textId="3E06C5B9">
            <w:pPr>
              <w:jc w:val="center"/>
              <w:rPr>
                <w:rFonts w:ascii="Times New Roman" w:hAnsi="Times New Roman"/>
                <w:color w:val="000000"/>
                <w:sz w:val="24"/>
                <w:szCs w:val="24"/>
              </w:rPr>
            </w:pPr>
            <w:r>
              <w:rPr>
                <w:rFonts w:ascii="Times New Roman" w:hAnsi="Times New Roman"/>
                <w:color w:val="000000"/>
                <w:sz w:val="24"/>
                <w:szCs w:val="24"/>
              </w:rPr>
              <w:t>184</w:t>
            </w:r>
          </w:p>
        </w:tc>
        <w:tc>
          <w:tcPr>
            <w:tcW w:w="636" w:type="pct"/>
            <w:vAlign w:val="center"/>
          </w:tcPr>
          <w:p w:rsidRPr="00AC2807" w:rsidR="00F71D7B" w:rsidP="00B56F15" w:rsidRDefault="00F71D7B" w14:paraId="6E07AB09" w14:textId="77777777">
            <w:pPr>
              <w:jc w:val="center"/>
              <w:rPr>
                <w:rFonts w:ascii="Times New Roman" w:hAnsi="Times New Roman"/>
                <w:sz w:val="22"/>
                <w:szCs w:val="22"/>
              </w:rPr>
            </w:pPr>
            <w:r w:rsidRPr="00AC2807">
              <w:rPr>
                <w:rFonts w:ascii="Times New Roman" w:hAnsi="Times New Roman"/>
                <w:color w:val="000000"/>
                <w:sz w:val="22"/>
                <w:szCs w:val="22"/>
              </w:rPr>
              <w:t>$23.86</w:t>
            </w:r>
          </w:p>
        </w:tc>
        <w:tc>
          <w:tcPr>
            <w:tcW w:w="973" w:type="pct"/>
            <w:vAlign w:val="center"/>
          </w:tcPr>
          <w:p w:rsidRPr="00AC2807" w:rsidR="00F71D7B" w:rsidP="00B56F15" w:rsidRDefault="00F71D7B" w14:paraId="37396BF6" w14:textId="24DC2B8A">
            <w:pPr>
              <w:jc w:val="center"/>
              <w:rPr>
                <w:rFonts w:ascii="Times New Roman" w:hAnsi="Times New Roman"/>
                <w:sz w:val="22"/>
                <w:szCs w:val="22"/>
              </w:rPr>
            </w:pPr>
            <w:r>
              <w:rPr>
                <w:rFonts w:ascii="Times New Roman" w:hAnsi="Times New Roman"/>
                <w:sz w:val="22"/>
                <w:szCs w:val="22"/>
              </w:rPr>
              <w:t>$4,</w:t>
            </w:r>
            <w:r w:rsidR="0000357D">
              <w:rPr>
                <w:rFonts w:ascii="Times New Roman" w:hAnsi="Times New Roman"/>
                <w:sz w:val="22"/>
                <w:szCs w:val="22"/>
              </w:rPr>
              <w:t>390</w:t>
            </w:r>
          </w:p>
        </w:tc>
      </w:tr>
      <w:tr w:rsidRPr="00DC50FC" w:rsidR="00F71D7B" w:rsidTr="00940B06" w14:paraId="4766E860" w14:textId="77777777">
        <w:tc>
          <w:tcPr>
            <w:tcW w:w="1292" w:type="pct"/>
            <w:vMerge w:val="restart"/>
            <w:vAlign w:val="center"/>
          </w:tcPr>
          <w:p w:rsidRPr="00AC2807" w:rsidR="00F71D7B" w:rsidP="00940B06" w:rsidRDefault="00F71D7B" w14:paraId="6F3D6522" w14:textId="77777777">
            <w:pPr>
              <w:spacing w:before="60" w:after="60"/>
              <w:rPr>
                <w:rFonts w:ascii="Times New Roman" w:hAnsi="Times New Roman"/>
                <w:sz w:val="22"/>
                <w:szCs w:val="22"/>
              </w:rPr>
            </w:pPr>
            <w:r w:rsidRPr="00AC2807">
              <w:rPr>
                <w:rFonts w:ascii="Times New Roman" w:hAnsi="Times New Roman"/>
                <w:sz w:val="22"/>
                <w:szCs w:val="22"/>
              </w:rPr>
              <w:t>Youth Participants</w:t>
            </w:r>
          </w:p>
        </w:tc>
        <w:tc>
          <w:tcPr>
            <w:tcW w:w="1231" w:type="pct"/>
          </w:tcPr>
          <w:p w:rsidRPr="00AC2807" w:rsidR="00F71D7B" w:rsidP="00F71D7B" w:rsidRDefault="00F71D7B" w14:paraId="215DCC1B" w14:textId="77777777">
            <w:pPr>
              <w:keepNext/>
              <w:spacing w:before="60" w:after="60"/>
              <w:rPr>
                <w:rFonts w:ascii="Times New Roman" w:hAnsi="Times New Roman"/>
                <w:sz w:val="22"/>
                <w:szCs w:val="22"/>
              </w:rPr>
            </w:pPr>
            <w:r w:rsidRPr="00AC2807">
              <w:rPr>
                <w:rFonts w:ascii="Times New Roman" w:hAnsi="Times New Roman"/>
                <w:sz w:val="22"/>
                <w:szCs w:val="22"/>
              </w:rPr>
              <w:t>Youth assent</w:t>
            </w:r>
          </w:p>
        </w:tc>
        <w:tc>
          <w:tcPr>
            <w:tcW w:w="868" w:type="pct"/>
            <w:vAlign w:val="center"/>
          </w:tcPr>
          <w:p w:rsidRPr="004A5531" w:rsidR="00F71D7B" w:rsidP="00B56F15" w:rsidRDefault="0000357D" w14:paraId="266BD9F0" w14:textId="2D7F251A">
            <w:pPr>
              <w:jc w:val="center"/>
              <w:rPr>
                <w:rFonts w:ascii="Times New Roman" w:hAnsi="Times New Roman"/>
                <w:color w:val="000000"/>
                <w:sz w:val="24"/>
                <w:szCs w:val="24"/>
              </w:rPr>
            </w:pPr>
            <w:r>
              <w:rPr>
                <w:rFonts w:ascii="Times New Roman" w:hAnsi="Times New Roman"/>
                <w:color w:val="000000"/>
                <w:sz w:val="24"/>
                <w:szCs w:val="24"/>
              </w:rPr>
              <w:t>184</w:t>
            </w:r>
          </w:p>
        </w:tc>
        <w:tc>
          <w:tcPr>
            <w:tcW w:w="636" w:type="pct"/>
            <w:vAlign w:val="center"/>
          </w:tcPr>
          <w:p w:rsidRPr="00AC2807" w:rsidR="00F71D7B" w:rsidP="00B56F15" w:rsidRDefault="00F71D7B" w14:paraId="12949386" w14:textId="77777777">
            <w:pPr>
              <w:jc w:val="center"/>
              <w:rPr>
                <w:rFonts w:ascii="Times New Roman" w:hAnsi="Times New Roman"/>
                <w:sz w:val="22"/>
                <w:szCs w:val="22"/>
              </w:rPr>
            </w:pPr>
            <w:r w:rsidRPr="00AC2807">
              <w:rPr>
                <w:rFonts w:ascii="Times New Roman" w:hAnsi="Times New Roman"/>
                <w:color w:val="000000"/>
                <w:sz w:val="22"/>
                <w:szCs w:val="22"/>
              </w:rPr>
              <w:t>$7.25</w:t>
            </w:r>
          </w:p>
        </w:tc>
        <w:tc>
          <w:tcPr>
            <w:tcW w:w="973" w:type="pct"/>
            <w:vAlign w:val="center"/>
          </w:tcPr>
          <w:p w:rsidRPr="00AC2807" w:rsidR="00F71D7B" w:rsidP="00B56F15" w:rsidRDefault="00F71D7B" w14:paraId="68EC2C28" w14:textId="01BF135E">
            <w:pPr>
              <w:jc w:val="center"/>
              <w:rPr>
                <w:rFonts w:ascii="Times New Roman" w:hAnsi="Times New Roman"/>
                <w:sz w:val="22"/>
                <w:szCs w:val="22"/>
              </w:rPr>
            </w:pPr>
            <w:r>
              <w:rPr>
                <w:rFonts w:ascii="Times New Roman" w:hAnsi="Times New Roman"/>
                <w:sz w:val="22"/>
                <w:szCs w:val="22"/>
              </w:rPr>
              <w:t>$1,</w:t>
            </w:r>
            <w:r w:rsidR="0000357D">
              <w:rPr>
                <w:rFonts w:ascii="Times New Roman" w:hAnsi="Times New Roman"/>
                <w:sz w:val="22"/>
                <w:szCs w:val="22"/>
              </w:rPr>
              <w:t>334</w:t>
            </w:r>
          </w:p>
        </w:tc>
      </w:tr>
      <w:tr w:rsidRPr="00DC50FC" w:rsidR="00F71D7B" w:rsidTr="00940B06" w14:paraId="19701E82" w14:textId="77777777">
        <w:trPr>
          <w:trHeight w:val="626"/>
        </w:trPr>
        <w:tc>
          <w:tcPr>
            <w:tcW w:w="1292" w:type="pct"/>
            <w:vMerge/>
            <w:vAlign w:val="center"/>
          </w:tcPr>
          <w:p w:rsidRPr="00AC2807" w:rsidR="00F71D7B" w:rsidP="00940B06" w:rsidRDefault="00F71D7B" w14:paraId="51ED8FA7" w14:textId="77777777">
            <w:pPr>
              <w:spacing w:before="60" w:after="60"/>
              <w:rPr>
                <w:rFonts w:ascii="Times New Roman" w:hAnsi="Times New Roman"/>
                <w:sz w:val="22"/>
                <w:szCs w:val="22"/>
              </w:rPr>
            </w:pPr>
          </w:p>
        </w:tc>
        <w:tc>
          <w:tcPr>
            <w:tcW w:w="1231" w:type="pct"/>
          </w:tcPr>
          <w:p w:rsidRPr="00AC2807" w:rsidR="00F71D7B" w:rsidDel="00841491" w:rsidP="00F71D7B" w:rsidRDefault="00F71D7B" w14:paraId="21ACDF46" w14:textId="77777777">
            <w:pPr>
              <w:keepNext/>
              <w:spacing w:before="60" w:after="60"/>
              <w:rPr>
                <w:rFonts w:ascii="Times New Roman" w:hAnsi="Times New Roman"/>
                <w:sz w:val="22"/>
                <w:szCs w:val="22"/>
              </w:rPr>
            </w:pPr>
            <w:r w:rsidRPr="00AC2807">
              <w:rPr>
                <w:rFonts w:ascii="Times New Roman" w:hAnsi="Times New Roman"/>
                <w:sz w:val="22"/>
                <w:szCs w:val="22"/>
              </w:rPr>
              <w:t xml:space="preserve">Questionnaire completion </w:t>
            </w:r>
          </w:p>
        </w:tc>
        <w:tc>
          <w:tcPr>
            <w:tcW w:w="868" w:type="pct"/>
            <w:vAlign w:val="center"/>
          </w:tcPr>
          <w:p w:rsidRPr="004A5531" w:rsidR="00F71D7B" w:rsidP="00B56F15" w:rsidRDefault="0000357D" w14:paraId="7FFE3F97" w14:textId="1A56A41D">
            <w:pPr>
              <w:jc w:val="center"/>
              <w:rPr>
                <w:rFonts w:ascii="Times New Roman" w:hAnsi="Times New Roman"/>
                <w:color w:val="000000"/>
                <w:sz w:val="24"/>
                <w:szCs w:val="24"/>
              </w:rPr>
            </w:pPr>
            <w:r>
              <w:rPr>
                <w:rFonts w:ascii="Times New Roman" w:hAnsi="Times New Roman"/>
                <w:color w:val="000000"/>
                <w:sz w:val="24"/>
                <w:szCs w:val="24"/>
              </w:rPr>
              <w:t>1,834</w:t>
            </w:r>
          </w:p>
        </w:tc>
        <w:tc>
          <w:tcPr>
            <w:tcW w:w="636" w:type="pct"/>
            <w:vAlign w:val="center"/>
          </w:tcPr>
          <w:p w:rsidRPr="00AC2807" w:rsidR="00F71D7B" w:rsidP="00B56F15" w:rsidRDefault="00F71D7B" w14:paraId="57DA88C7" w14:textId="77777777">
            <w:pPr>
              <w:jc w:val="center"/>
              <w:rPr>
                <w:rFonts w:ascii="Times New Roman" w:hAnsi="Times New Roman"/>
                <w:sz w:val="22"/>
                <w:szCs w:val="22"/>
              </w:rPr>
            </w:pPr>
            <w:r w:rsidRPr="00AC2807">
              <w:rPr>
                <w:rFonts w:ascii="Times New Roman" w:hAnsi="Times New Roman"/>
                <w:color w:val="000000"/>
                <w:sz w:val="22"/>
                <w:szCs w:val="22"/>
              </w:rPr>
              <w:t>$7.25</w:t>
            </w:r>
          </w:p>
        </w:tc>
        <w:tc>
          <w:tcPr>
            <w:tcW w:w="973" w:type="pct"/>
            <w:vAlign w:val="center"/>
          </w:tcPr>
          <w:p w:rsidRPr="00AC2807" w:rsidR="00F71D7B" w:rsidP="00B56F15" w:rsidRDefault="00F71D7B" w14:paraId="75BE1D1F" w14:textId="08E2B166">
            <w:pPr>
              <w:jc w:val="center"/>
              <w:rPr>
                <w:rFonts w:ascii="Times New Roman" w:hAnsi="Times New Roman"/>
                <w:sz w:val="22"/>
                <w:szCs w:val="22"/>
              </w:rPr>
            </w:pPr>
            <w:r>
              <w:rPr>
                <w:rFonts w:ascii="Times New Roman" w:hAnsi="Times New Roman"/>
                <w:sz w:val="22"/>
                <w:szCs w:val="22"/>
              </w:rPr>
              <w:t>$13,2</w:t>
            </w:r>
            <w:r w:rsidR="0000357D">
              <w:rPr>
                <w:rFonts w:ascii="Times New Roman" w:hAnsi="Times New Roman"/>
                <w:sz w:val="22"/>
                <w:szCs w:val="22"/>
              </w:rPr>
              <w:t>97</w:t>
            </w:r>
          </w:p>
        </w:tc>
      </w:tr>
      <w:tr w:rsidRPr="00DC50FC" w:rsidR="00F71D7B" w:rsidTr="00940B06" w14:paraId="748246ED" w14:textId="77777777">
        <w:tc>
          <w:tcPr>
            <w:tcW w:w="1292" w:type="pct"/>
            <w:vMerge w:val="restart"/>
            <w:vAlign w:val="center"/>
          </w:tcPr>
          <w:p w:rsidRPr="00AC2807" w:rsidR="00F71D7B" w:rsidP="00940B06" w:rsidRDefault="00F71D7B" w14:paraId="7D4F1898" w14:textId="77777777">
            <w:pPr>
              <w:spacing w:before="60" w:after="60"/>
              <w:rPr>
                <w:rFonts w:ascii="Times New Roman" w:hAnsi="Times New Roman"/>
                <w:sz w:val="22"/>
                <w:szCs w:val="22"/>
              </w:rPr>
            </w:pPr>
            <w:r w:rsidRPr="00AC2807">
              <w:rPr>
                <w:rFonts w:ascii="Times New Roman" w:hAnsi="Times New Roman"/>
                <w:sz w:val="22"/>
                <w:szCs w:val="22"/>
              </w:rPr>
              <w:t>Adult Participants</w:t>
            </w:r>
          </w:p>
        </w:tc>
        <w:tc>
          <w:tcPr>
            <w:tcW w:w="1231" w:type="pct"/>
          </w:tcPr>
          <w:p w:rsidRPr="00AC2807" w:rsidR="00F71D7B" w:rsidP="00F71D7B" w:rsidRDefault="0063722B" w14:paraId="5E6F8856" w14:textId="57B66CF3">
            <w:pPr>
              <w:keepNext/>
              <w:spacing w:before="60" w:after="60"/>
              <w:rPr>
                <w:rFonts w:ascii="Times New Roman" w:hAnsi="Times New Roman"/>
                <w:sz w:val="22"/>
                <w:szCs w:val="22"/>
              </w:rPr>
            </w:pPr>
            <w:r>
              <w:rPr>
                <w:rFonts w:ascii="Times New Roman" w:hAnsi="Times New Roman"/>
                <w:color w:val="000000"/>
                <w:sz w:val="22"/>
                <w:szCs w:val="22"/>
              </w:rPr>
              <w:t xml:space="preserve">Email </w:t>
            </w:r>
            <w:r w:rsidR="00637A18">
              <w:rPr>
                <w:rFonts w:ascii="Times New Roman" w:hAnsi="Times New Roman"/>
                <w:color w:val="000000"/>
                <w:sz w:val="22"/>
                <w:szCs w:val="22"/>
              </w:rPr>
              <w:t>i</w:t>
            </w:r>
            <w:r>
              <w:rPr>
                <w:rFonts w:ascii="Times New Roman" w:hAnsi="Times New Roman"/>
                <w:color w:val="000000"/>
                <w:sz w:val="22"/>
                <w:szCs w:val="22"/>
              </w:rPr>
              <w:t xml:space="preserve">nvite and </w:t>
            </w:r>
            <w:r w:rsidRPr="00AC2807" w:rsidR="00F71D7B">
              <w:rPr>
                <w:rFonts w:ascii="Times New Roman" w:hAnsi="Times New Roman"/>
                <w:color w:val="000000"/>
                <w:sz w:val="22"/>
                <w:szCs w:val="22"/>
              </w:rPr>
              <w:t>Adult consent</w:t>
            </w:r>
          </w:p>
        </w:tc>
        <w:tc>
          <w:tcPr>
            <w:tcW w:w="868" w:type="pct"/>
            <w:vAlign w:val="center"/>
          </w:tcPr>
          <w:p w:rsidRPr="004A5531" w:rsidR="00F71D7B" w:rsidP="00B56F15" w:rsidRDefault="0000357D" w14:paraId="77CE34AA" w14:textId="7BBC5DC2">
            <w:pPr>
              <w:jc w:val="center"/>
              <w:rPr>
                <w:rFonts w:ascii="Times New Roman" w:hAnsi="Times New Roman"/>
                <w:color w:val="000000"/>
                <w:sz w:val="24"/>
                <w:szCs w:val="24"/>
              </w:rPr>
            </w:pPr>
            <w:r>
              <w:rPr>
                <w:rFonts w:ascii="Times New Roman" w:hAnsi="Times New Roman"/>
                <w:color w:val="000000"/>
                <w:sz w:val="24"/>
                <w:szCs w:val="24"/>
              </w:rPr>
              <w:t>184</w:t>
            </w:r>
          </w:p>
        </w:tc>
        <w:tc>
          <w:tcPr>
            <w:tcW w:w="636" w:type="pct"/>
            <w:vAlign w:val="center"/>
          </w:tcPr>
          <w:p w:rsidRPr="00AC2807" w:rsidR="00F71D7B" w:rsidP="00B56F15" w:rsidRDefault="00F71D7B" w14:paraId="3CC74D67" w14:textId="77777777">
            <w:pPr>
              <w:jc w:val="center"/>
              <w:rPr>
                <w:rFonts w:ascii="Times New Roman" w:hAnsi="Times New Roman"/>
                <w:sz w:val="22"/>
                <w:szCs w:val="22"/>
              </w:rPr>
            </w:pPr>
            <w:r w:rsidRPr="00AC2807">
              <w:rPr>
                <w:rFonts w:ascii="Times New Roman" w:hAnsi="Times New Roman"/>
                <w:color w:val="000000"/>
                <w:sz w:val="22"/>
                <w:szCs w:val="22"/>
              </w:rPr>
              <w:t>$23.86</w:t>
            </w:r>
          </w:p>
        </w:tc>
        <w:tc>
          <w:tcPr>
            <w:tcW w:w="973" w:type="pct"/>
            <w:vAlign w:val="center"/>
          </w:tcPr>
          <w:p w:rsidRPr="00AC2807" w:rsidR="00F71D7B" w:rsidP="00B56F15" w:rsidRDefault="00F71D7B" w14:paraId="44F134C5" w14:textId="0465D52A">
            <w:pPr>
              <w:jc w:val="center"/>
              <w:rPr>
                <w:rFonts w:ascii="Times New Roman" w:hAnsi="Times New Roman"/>
                <w:sz w:val="22"/>
                <w:szCs w:val="22"/>
              </w:rPr>
            </w:pPr>
            <w:r>
              <w:rPr>
                <w:rFonts w:ascii="Times New Roman" w:hAnsi="Times New Roman"/>
                <w:sz w:val="22"/>
                <w:szCs w:val="22"/>
              </w:rPr>
              <w:t>$4,</w:t>
            </w:r>
            <w:r w:rsidR="0000357D">
              <w:rPr>
                <w:rFonts w:ascii="Times New Roman" w:hAnsi="Times New Roman"/>
                <w:sz w:val="22"/>
                <w:szCs w:val="22"/>
              </w:rPr>
              <w:t>390</w:t>
            </w:r>
          </w:p>
        </w:tc>
      </w:tr>
      <w:tr w:rsidRPr="00DC50FC" w:rsidR="00F71D7B" w:rsidTr="00B56F15" w14:paraId="67CB1BE6" w14:textId="77777777">
        <w:tc>
          <w:tcPr>
            <w:tcW w:w="1292" w:type="pct"/>
            <w:vMerge/>
          </w:tcPr>
          <w:p w:rsidRPr="00AC2807" w:rsidR="00F71D7B" w:rsidP="00F71D7B" w:rsidRDefault="00F71D7B" w14:paraId="44E7D860" w14:textId="77777777">
            <w:pPr>
              <w:spacing w:before="60" w:after="60"/>
              <w:rPr>
                <w:rFonts w:ascii="Times New Roman" w:hAnsi="Times New Roman"/>
                <w:sz w:val="22"/>
                <w:szCs w:val="22"/>
              </w:rPr>
            </w:pPr>
          </w:p>
        </w:tc>
        <w:tc>
          <w:tcPr>
            <w:tcW w:w="1231" w:type="pct"/>
          </w:tcPr>
          <w:p w:rsidRPr="00AC2807" w:rsidR="00F71D7B" w:rsidP="00F71D7B" w:rsidRDefault="00F71D7B" w14:paraId="0D64B278" w14:textId="77777777">
            <w:pPr>
              <w:keepNext/>
              <w:spacing w:before="60" w:after="60"/>
              <w:rPr>
                <w:rFonts w:ascii="Times New Roman" w:hAnsi="Times New Roman"/>
                <w:sz w:val="22"/>
                <w:szCs w:val="22"/>
              </w:rPr>
            </w:pPr>
            <w:r w:rsidRPr="00AC2807">
              <w:rPr>
                <w:rFonts w:ascii="Times New Roman" w:hAnsi="Times New Roman"/>
                <w:color w:val="000000"/>
                <w:sz w:val="22"/>
                <w:szCs w:val="22"/>
              </w:rPr>
              <w:t xml:space="preserve">Questionnaire completion </w:t>
            </w:r>
            <w:r w:rsidRPr="00AC2807">
              <w:rPr>
                <w:rFonts w:ascii="Times New Roman" w:hAnsi="Times New Roman"/>
                <w:color w:val="000000"/>
                <w:sz w:val="22"/>
                <w:szCs w:val="22"/>
              </w:rPr>
              <w:br/>
              <w:t>(ad-viewing)</w:t>
            </w:r>
          </w:p>
        </w:tc>
        <w:tc>
          <w:tcPr>
            <w:tcW w:w="868" w:type="pct"/>
            <w:vAlign w:val="center"/>
          </w:tcPr>
          <w:p w:rsidRPr="004A5531" w:rsidR="00F71D7B" w:rsidP="00B56F15" w:rsidRDefault="0000357D" w14:paraId="6B1F6608" w14:textId="51AF5F22">
            <w:pPr>
              <w:jc w:val="center"/>
              <w:rPr>
                <w:rFonts w:ascii="Times New Roman" w:hAnsi="Times New Roman"/>
                <w:color w:val="000000"/>
                <w:sz w:val="24"/>
                <w:szCs w:val="24"/>
              </w:rPr>
            </w:pPr>
            <w:r>
              <w:rPr>
                <w:rFonts w:ascii="Times New Roman" w:hAnsi="Times New Roman"/>
                <w:color w:val="000000"/>
                <w:sz w:val="24"/>
                <w:szCs w:val="24"/>
              </w:rPr>
              <w:t>1,834</w:t>
            </w:r>
          </w:p>
        </w:tc>
        <w:tc>
          <w:tcPr>
            <w:tcW w:w="636" w:type="pct"/>
            <w:vAlign w:val="center"/>
          </w:tcPr>
          <w:p w:rsidRPr="00AC2807" w:rsidR="00F71D7B" w:rsidP="00B56F15" w:rsidRDefault="00F71D7B" w14:paraId="2E9A22D7" w14:textId="77777777">
            <w:pPr>
              <w:jc w:val="center"/>
              <w:rPr>
                <w:rFonts w:ascii="Times New Roman" w:hAnsi="Times New Roman"/>
                <w:sz w:val="22"/>
                <w:szCs w:val="22"/>
              </w:rPr>
            </w:pPr>
            <w:r w:rsidRPr="00AC2807">
              <w:rPr>
                <w:rFonts w:ascii="Times New Roman" w:hAnsi="Times New Roman"/>
                <w:color w:val="000000"/>
                <w:sz w:val="22"/>
                <w:szCs w:val="22"/>
              </w:rPr>
              <w:t>$23.86</w:t>
            </w:r>
          </w:p>
        </w:tc>
        <w:tc>
          <w:tcPr>
            <w:tcW w:w="973" w:type="pct"/>
            <w:vAlign w:val="center"/>
          </w:tcPr>
          <w:p w:rsidRPr="00AC2807" w:rsidR="00F71D7B" w:rsidP="00B56F15" w:rsidRDefault="00F71D7B" w14:paraId="6A37552A" w14:textId="4FE18201">
            <w:pPr>
              <w:jc w:val="center"/>
              <w:rPr>
                <w:rFonts w:ascii="Times New Roman" w:hAnsi="Times New Roman"/>
                <w:sz w:val="22"/>
                <w:szCs w:val="22"/>
              </w:rPr>
            </w:pPr>
            <w:r>
              <w:rPr>
                <w:rFonts w:ascii="Times New Roman" w:hAnsi="Times New Roman"/>
                <w:sz w:val="22"/>
                <w:szCs w:val="22"/>
              </w:rPr>
              <w:t>$43,</w:t>
            </w:r>
            <w:r w:rsidR="0000357D">
              <w:rPr>
                <w:rFonts w:ascii="Times New Roman" w:hAnsi="Times New Roman"/>
                <w:sz w:val="22"/>
                <w:szCs w:val="22"/>
              </w:rPr>
              <w:t>759</w:t>
            </w:r>
          </w:p>
        </w:tc>
      </w:tr>
      <w:tr w:rsidRPr="00DC50FC" w:rsidR="00F71D7B" w:rsidTr="00B56F15" w14:paraId="43341D60" w14:textId="77777777">
        <w:tc>
          <w:tcPr>
            <w:tcW w:w="1292" w:type="pct"/>
          </w:tcPr>
          <w:p w:rsidRPr="00AC2807" w:rsidR="00F71D7B" w:rsidP="00F71D7B" w:rsidRDefault="00F71D7B" w14:paraId="75FA391E" w14:textId="77777777">
            <w:pPr>
              <w:spacing w:before="60" w:after="60"/>
              <w:rPr>
                <w:rFonts w:ascii="Times New Roman" w:hAnsi="Times New Roman"/>
                <w:b/>
                <w:sz w:val="22"/>
                <w:szCs w:val="22"/>
              </w:rPr>
            </w:pPr>
            <w:r w:rsidRPr="00AC2807">
              <w:rPr>
                <w:rFonts w:ascii="Times New Roman" w:hAnsi="Times New Roman"/>
                <w:b/>
                <w:sz w:val="22"/>
                <w:szCs w:val="22"/>
              </w:rPr>
              <w:t>Total</w:t>
            </w:r>
          </w:p>
        </w:tc>
        <w:tc>
          <w:tcPr>
            <w:tcW w:w="1231" w:type="pct"/>
          </w:tcPr>
          <w:p w:rsidRPr="00AC2807" w:rsidR="00F71D7B" w:rsidP="00F71D7B" w:rsidRDefault="00F71D7B" w14:paraId="1B6E29B0" w14:textId="77777777">
            <w:pPr>
              <w:keepNext/>
              <w:spacing w:before="60" w:after="60" w:line="480" w:lineRule="auto"/>
              <w:ind w:left="360"/>
              <w:rPr>
                <w:rFonts w:ascii="Times New Roman" w:hAnsi="Times New Roman"/>
                <w:b/>
                <w:sz w:val="22"/>
                <w:szCs w:val="22"/>
              </w:rPr>
            </w:pPr>
          </w:p>
        </w:tc>
        <w:tc>
          <w:tcPr>
            <w:tcW w:w="868" w:type="pct"/>
          </w:tcPr>
          <w:p w:rsidRPr="00AC2807" w:rsidR="00F71D7B" w:rsidP="00F71D7B" w:rsidRDefault="00F71D7B" w14:paraId="6C420D17" w14:textId="77777777">
            <w:pPr>
              <w:jc w:val="center"/>
              <w:rPr>
                <w:rFonts w:ascii="Times New Roman" w:hAnsi="Times New Roman"/>
                <w:b/>
                <w:sz w:val="22"/>
                <w:szCs w:val="22"/>
              </w:rPr>
            </w:pPr>
          </w:p>
        </w:tc>
        <w:tc>
          <w:tcPr>
            <w:tcW w:w="636" w:type="pct"/>
          </w:tcPr>
          <w:p w:rsidRPr="00AC2807" w:rsidR="00F71D7B" w:rsidP="00265DB0" w:rsidRDefault="00F71D7B" w14:paraId="3CFD287C" w14:textId="77777777">
            <w:pPr>
              <w:spacing w:after="120" w:line="480" w:lineRule="auto"/>
              <w:ind w:left="360"/>
              <w:jc w:val="center"/>
              <w:rPr>
                <w:rFonts w:ascii="Times New Roman" w:hAnsi="Times New Roman"/>
                <w:b/>
                <w:sz w:val="22"/>
                <w:szCs w:val="22"/>
              </w:rPr>
            </w:pPr>
          </w:p>
        </w:tc>
        <w:tc>
          <w:tcPr>
            <w:tcW w:w="973" w:type="pct"/>
            <w:vAlign w:val="center"/>
          </w:tcPr>
          <w:p w:rsidRPr="00AC2807" w:rsidR="00F71D7B" w:rsidP="00B56F15" w:rsidRDefault="00F71D7B" w14:paraId="57070412" w14:textId="1945345C">
            <w:pPr>
              <w:jc w:val="center"/>
              <w:rPr>
                <w:rFonts w:ascii="Times New Roman" w:hAnsi="Times New Roman"/>
                <w:b/>
                <w:sz w:val="22"/>
                <w:szCs w:val="22"/>
              </w:rPr>
            </w:pPr>
            <w:r>
              <w:rPr>
                <w:rFonts w:ascii="Times New Roman" w:hAnsi="Times New Roman"/>
                <w:b/>
                <w:sz w:val="22"/>
                <w:szCs w:val="22"/>
              </w:rPr>
              <w:t>$88,</w:t>
            </w:r>
            <w:r w:rsidR="0000357D">
              <w:rPr>
                <w:rFonts w:ascii="Times New Roman" w:hAnsi="Times New Roman"/>
                <w:b/>
                <w:sz w:val="22"/>
                <w:szCs w:val="22"/>
              </w:rPr>
              <w:t>574</w:t>
            </w:r>
          </w:p>
        </w:tc>
      </w:tr>
    </w:tbl>
    <w:p w:rsidRPr="00EB5ADD" w:rsidR="00EB5ADD" w:rsidP="00EB5ADD" w:rsidRDefault="00EB5ADD" w14:paraId="4157C8DC"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sz w:val="24"/>
          <w:szCs w:val="24"/>
        </w:rPr>
      </w:pPr>
    </w:p>
    <w:p w:rsidR="000B76FE" w:rsidP="00EB43D0" w:rsidRDefault="005C0FF9" w14:paraId="69AC2147"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u w:val="single"/>
        </w:rPr>
      </w:pPr>
      <w:bookmarkStart w:name="_Toc239649234" w:id="18"/>
      <w:r w:rsidRPr="002051D8">
        <w:rPr>
          <w:rFonts w:ascii="Times New Roman" w:hAnsi="Times New Roman"/>
          <w:b/>
          <w:bCs/>
          <w:sz w:val="24"/>
          <w:szCs w:val="24"/>
        </w:rPr>
        <w:t xml:space="preserve">13.  </w:t>
      </w:r>
      <w:r w:rsidRPr="002051D8">
        <w:rPr>
          <w:rFonts w:ascii="Times New Roman" w:hAnsi="Times New Roman"/>
          <w:b/>
          <w:bCs/>
          <w:sz w:val="24"/>
          <w:szCs w:val="24"/>
          <w:u w:val="single"/>
        </w:rPr>
        <w:t>Estimates of Other Total Annual Cost</w:t>
      </w:r>
      <w:r w:rsidR="00DF67D6">
        <w:rPr>
          <w:rFonts w:ascii="Times New Roman" w:hAnsi="Times New Roman"/>
          <w:b/>
          <w:bCs/>
          <w:sz w:val="24"/>
          <w:szCs w:val="24"/>
          <w:u w:val="single"/>
        </w:rPr>
        <w:t>s</w:t>
      </w:r>
      <w:r w:rsidRPr="002051D8">
        <w:rPr>
          <w:rFonts w:ascii="Times New Roman" w:hAnsi="Times New Roman"/>
          <w:b/>
          <w:bCs/>
          <w:sz w:val="24"/>
          <w:szCs w:val="24"/>
          <w:u w:val="single"/>
        </w:rPr>
        <w:t xml:space="preserve"> to Respondents </w:t>
      </w:r>
      <w:r w:rsidR="00DF67D6">
        <w:rPr>
          <w:rFonts w:ascii="Times New Roman" w:hAnsi="Times New Roman"/>
          <w:b/>
          <w:bCs/>
          <w:sz w:val="24"/>
          <w:szCs w:val="24"/>
          <w:u w:val="single"/>
        </w:rPr>
        <w:t>and/</w:t>
      </w:r>
      <w:r w:rsidRPr="002051D8">
        <w:rPr>
          <w:rFonts w:ascii="Times New Roman" w:hAnsi="Times New Roman"/>
          <w:b/>
          <w:bCs/>
          <w:sz w:val="24"/>
          <w:szCs w:val="24"/>
          <w:u w:val="single"/>
        </w:rPr>
        <w:t>or Record</w:t>
      </w:r>
      <w:r w:rsidR="00DF67D6">
        <w:rPr>
          <w:rFonts w:ascii="Times New Roman" w:hAnsi="Times New Roman"/>
          <w:b/>
          <w:bCs/>
          <w:sz w:val="24"/>
          <w:szCs w:val="24"/>
          <w:u w:val="single"/>
        </w:rPr>
        <w:t>k</w:t>
      </w:r>
      <w:r w:rsidRPr="002051D8">
        <w:rPr>
          <w:rFonts w:ascii="Times New Roman" w:hAnsi="Times New Roman"/>
          <w:b/>
          <w:bCs/>
          <w:sz w:val="24"/>
          <w:szCs w:val="24"/>
          <w:u w:val="single"/>
        </w:rPr>
        <w:t>eepers</w:t>
      </w:r>
      <w:bookmarkEnd w:id="18"/>
      <w:r w:rsidR="00DF67D6">
        <w:rPr>
          <w:rFonts w:ascii="Times New Roman" w:hAnsi="Times New Roman"/>
          <w:b/>
          <w:bCs/>
          <w:sz w:val="24"/>
          <w:szCs w:val="24"/>
          <w:u w:val="single"/>
        </w:rPr>
        <w:t xml:space="preserve">/Capital </w:t>
      </w:r>
      <w:r w:rsidR="000B76FE">
        <w:rPr>
          <w:rFonts w:ascii="Times New Roman" w:hAnsi="Times New Roman"/>
          <w:b/>
          <w:bCs/>
          <w:sz w:val="24"/>
          <w:szCs w:val="24"/>
          <w:u w:val="single"/>
        </w:rPr>
        <w:t xml:space="preserve"> </w:t>
      </w:r>
    </w:p>
    <w:p w:rsidRPr="00F303FE" w:rsidR="005C0FF9" w:rsidP="00EB43D0" w:rsidRDefault="000B76FE" w14:paraId="1ECD43F8" w14:textId="2C09414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u w:val="single"/>
        </w:rPr>
      </w:pPr>
      <w:bookmarkStart w:name="_GoBack" w:id="19"/>
      <w:r w:rsidRPr="000B76FE">
        <w:rPr>
          <w:rFonts w:ascii="Times New Roman" w:hAnsi="Times New Roman"/>
          <w:b/>
          <w:bCs/>
          <w:sz w:val="24"/>
          <w:szCs w:val="24"/>
        </w:rPr>
        <w:t xml:space="preserve">       </w:t>
      </w:r>
      <w:bookmarkEnd w:id="19"/>
      <w:r w:rsidR="00DF67D6">
        <w:rPr>
          <w:rFonts w:ascii="Times New Roman" w:hAnsi="Times New Roman"/>
          <w:b/>
          <w:bCs/>
          <w:sz w:val="24"/>
          <w:szCs w:val="24"/>
          <w:u w:val="single"/>
        </w:rPr>
        <w:t>Costs</w:t>
      </w:r>
    </w:p>
    <w:p w:rsidRPr="00D74E76" w:rsidR="00057464" w:rsidP="00D74E76" w:rsidRDefault="004675D7" w14:paraId="43B538B1" w14:textId="1B2E1569">
      <w:pPr>
        <w:pStyle w:val="ListParagraph"/>
        <w:spacing w:before="100" w:beforeAutospacing="1" w:after="100" w:afterAutospacing="1" w:line="240" w:lineRule="auto"/>
        <w:ind w:left="450"/>
        <w:rPr>
          <w:rFonts w:ascii="Times New Roman" w:hAnsi="Times New Roman"/>
          <w:sz w:val="24"/>
          <w:szCs w:val="24"/>
        </w:rPr>
      </w:pPr>
      <w:r w:rsidRPr="004675D7">
        <w:rPr>
          <w:rFonts w:ascii="Times New Roman" w:hAnsi="Times New Roman"/>
          <w:sz w:val="24"/>
          <w:szCs w:val="24"/>
        </w:rPr>
        <w:t>There are no capital, start-up, operating</w:t>
      </w:r>
      <w:r w:rsidR="00573151">
        <w:rPr>
          <w:rFonts w:ascii="Times New Roman" w:hAnsi="Times New Roman"/>
          <w:sz w:val="24"/>
          <w:szCs w:val="24"/>
        </w:rPr>
        <w:t>,</w:t>
      </w:r>
      <w:r w:rsidRPr="004675D7">
        <w:rPr>
          <w:rFonts w:ascii="Times New Roman" w:hAnsi="Times New Roman"/>
          <w:sz w:val="24"/>
          <w:szCs w:val="24"/>
        </w:rPr>
        <w:t xml:space="preserve"> or maintenance costs associated with this information collection</w:t>
      </w:r>
      <w:bookmarkStart w:name="_Toc239649235" w:id="20"/>
      <w:r w:rsidR="00684EB1">
        <w:rPr>
          <w:rFonts w:ascii="Times New Roman" w:hAnsi="Times New Roman"/>
          <w:sz w:val="24"/>
          <w:szCs w:val="24"/>
        </w:rPr>
        <w:t>.</w:t>
      </w:r>
    </w:p>
    <w:p w:rsidR="005C0FF9" w:rsidP="00EB43D0" w:rsidRDefault="005C0FF9" w14:paraId="0AF95D7F" w14:textId="072B3BD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u w:val="single"/>
        </w:rPr>
      </w:pPr>
      <w:r w:rsidRPr="002051D8">
        <w:rPr>
          <w:rFonts w:ascii="Times New Roman" w:hAnsi="Times New Roman"/>
          <w:b/>
          <w:bCs/>
          <w:sz w:val="24"/>
          <w:szCs w:val="24"/>
        </w:rPr>
        <w:t xml:space="preserve">14. </w:t>
      </w:r>
      <w:r w:rsidRPr="00D74E76">
        <w:rPr>
          <w:rFonts w:ascii="Times New Roman" w:hAnsi="Times New Roman"/>
          <w:b/>
          <w:bCs/>
          <w:sz w:val="24"/>
          <w:szCs w:val="24"/>
          <w:u w:val="single"/>
        </w:rPr>
        <w:t>Annualized Cost to the</w:t>
      </w:r>
      <w:r w:rsidRPr="002051D8">
        <w:rPr>
          <w:rFonts w:ascii="Times New Roman" w:hAnsi="Times New Roman"/>
          <w:b/>
          <w:bCs/>
          <w:sz w:val="24"/>
          <w:szCs w:val="24"/>
          <w:u w:val="single"/>
        </w:rPr>
        <w:t xml:space="preserve"> Federal Government</w:t>
      </w:r>
      <w:bookmarkEnd w:id="20"/>
    </w:p>
    <w:p w:rsidRPr="0046443E" w:rsidR="0046443E" w:rsidP="00EB43D0" w:rsidRDefault="0046443E" w14:paraId="1B848D9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u w:val="single"/>
        </w:rPr>
      </w:pPr>
    </w:p>
    <w:p w:rsidRPr="0046443E" w:rsidR="0046443E" w:rsidP="00BE6F8F" w:rsidRDefault="0046443E" w14:paraId="47393D30" w14:textId="77777777">
      <w:pPr>
        <w:spacing w:after="240"/>
        <w:ind w:left="446"/>
        <w:rPr>
          <w:rFonts w:ascii="Times New Roman" w:hAnsi="Times New Roman"/>
          <w:sz w:val="24"/>
          <w:szCs w:val="24"/>
        </w:rPr>
      </w:pPr>
      <w:r w:rsidRPr="0046443E">
        <w:rPr>
          <w:rFonts w:ascii="Times New Roman" w:hAnsi="Times New Roman"/>
          <w:sz w:val="24"/>
          <w:szCs w:val="24"/>
        </w:rPr>
        <w:t xml:space="preserve">This information collection is funded through a contract with </w:t>
      </w:r>
      <w:r>
        <w:rPr>
          <w:rFonts w:ascii="Times New Roman" w:hAnsi="Times New Roman"/>
          <w:sz w:val="24"/>
          <w:szCs w:val="24"/>
        </w:rPr>
        <w:t>FCB New York</w:t>
      </w:r>
      <w:r w:rsidRPr="0046443E">
        <w:rPr>
          <w:rFonts w:ascii="Times New Roman" w:hAnsi="Times New Roman"/>
          <w:sz w:val="24"/>
          <w:szCs w:val="24"/>
        </w:rPr>
        <w:t xml:space="preserve">. The total estimated costs attributable to this data </w:t>
      </w:r>
      <w:r w:rsidRPr="00265DB0">
        <w:rPr>
          <w:rFonts w:ascii="Times New Roman" w:hAnsi="Times New Roman"/>
          <w:sz w:val="24"/>
          <w:szCs w:val="24"/>
        </w:rPr>
        <w:t>collection are $</w:t>
      </w:r>
      <w:r w:rsidRPr="00265DB0" w:rsidR="00265DB0">
        <w:rPr>
          <w:rFonts w:ascii="Times New Roman" w:hAnsi="Times New Roman"/>
          <w:sz w:val="24"/>
          <w:szCs w:val="24"/>
        </w:rPr>
        <w:t>1,213,089</w:t>
      </w:r>
      <w:r w:rsidRPr="00265DB0">
        <w:rPr>
          <w:rFonts w:ascii="Times New Roman" w:hAnsi="Times New Roman"/>
          <w:sz w:val="24"/>
          <w:szCs w:val="24"/>
        </w:rPr>
        <w:t xml:space="preserve"> (</w:t>
      </w:r>
      <w:r w:rsidRPr="00265DB0" w:rsidR="00265DB0">
        <w:rPr>
          <w:rFonts w:ascii="Times New Roman" w:hAnsi="Times New Roman"/>
          <w:sz w:val="24"/>
          <w:szCs w:val="24"/>
        </w:rPr>
        <w:t>Table</w:t>
      </w:r>
      <w:r w:rsidRPr="00265DB0">
        <w:rPr>
          <w:rFonts w:ascii="Times New Roman" w:hAnsi="Times New Roman"/>
          <w:sz w:val="24"/>
          <w:szCs w:val="24"/>
        </w:rPr>
        <w:t xml:space="preserve"> 3). There</w:t>
      </w:r>
      <w:r w:rsidRPr="0046443E">
        <w:rPr>
          <w:rFonts w:ascii="Times New Roman" w:hAnsi="Times New Roman"/>
          <w:sz w:val="24"/>
          <w:szCs w:val="24"/>
        </w:rPr>
        <w:t xml:space="preserve"> are additional contract-funded activities occurring before and after this data collection that include project planning and data analysis. Other activities outside this data collection include coordination with FDA, data collection plan development, instrument development, reporting, IRB, and progress reporting and project management. This information collection will </w:t>
      </w:r>
      <w:r w:rsidR="00A457E2">
        <w:rPr>
          <w:rFonts w:ascii="Times New Roman" w:hAnsi="Times New Roman"/>
          <w:sz w:val="24"/>
          <w:szCs w:val="24"/>
        </w:rPr>
        <w:t xml:space="preserve">take place over two years and </w:t>
      </w:r>
      <w:r w:rsidR="003D489E">
        <w:rPr>
          <w:rFonts w:ascii="Times New Roman" w:hAnsi="Times New Roman"/>
          <w:sz w:val="24"/>
          <w:szCs w:val="24"/>
        </w:rPr>
        <w:t>begin</w:t>
      </w:r>
      <w:r w:rsidRPr="0046443E">
        <w:rPr>
          <w:rFonts w:ascii="Times New Roman" w:hAnsi="Times New Roman"/>
          <w:sz w:val="24"/>
          <w:szCs w:val="24"/>
        </w:rPr>
        <w:t xml:space="preserve"> in 20</w:t>
      </w:r>
      <w:r>
        <w:rPr>
          <w:rFonts w:ascii="Times New Roman" w:hAnsi="Times New Roman"/>
          <w:sz w:val="24"/>
          <w:szCs w:val="24"/>
        </w:rPr>
        <w:t>20</w:t>
      </w:r>
      <w:r w:rsidRPr="0046443E">
        <w:rPr>
          <w:rFonts w:ascii="Times New Roman" w:hAnsi="Times New Roman"/>
          <w:sz w:val="24"/>
          <w:szCs w:val="24"/>
        </w:rPr>
        <w:t>.</w:t>
      </w:r>
    </w:p>
    <w:p w:rsidRPr="00F332CB" w:rsidR="00CE4712" w:rsidP="00BE6F8F" w:rsidRDefault="00326755" w14:paraId="1C8B1300" w14:textId="77777777">
      <w:pPr>
        <w:pStyle w:val="FigureTitle"/>
        <w:ind w:left="720"/>
        <w:jc w:val="center"/>
      </w:pPr>
      <w:r>
        <w:t>Table</w:t>
      </w:r>
      <w:r w:rsidRPr="00F332CB" w:rsidR="00CE4712">
        <w:t xml:space="preserve"> </w:t>
      </w:r>
      <w:r w:rsidR="00265DB0">
        <w:t>3</w:t>
      </w:r>
      <w:r w:rsidRPr="00F332CB" w:rsidR="00CE4712">
        <w:t>. Itemized Cost to the Federal Government</w:t>
      </w:r>
    </w:p>
    <w:tbl>
      <w:tblPr>
        <w:tblW w:w="0" w:type="auto"/>
        <w:tblInd w:w="720" w:type="dxa"/>
        <w:tblCellMar>
          <w:left w:w="0" w:type="dxa"/>
          <w:right w:w="0" w:type="dxa"/>
        </w:tblCellMar>
        <w:tblLook w:val="04A0" w:firstRow="1" w:lastRow="0" w:firstColumn="1" w:lastColumn="0" w:noHBand="0" w:noVBand="1"/>
      </w:tblPr>
      <w:tblGrid>
        <w:gridCol w:w="2355"/>
        <w:gridCol w:w="1988"/>
        <w:gridCol w:w="2684"/>
        <w:gridCol w:w="1613"/>
      </w:tblGrid>
      <w:tr w:rsidRPr="00D74E76" w:rsidR="00CE4712" w:rsidTr="00940B06" w14:paraId="15675AE8" w14:textId="77777777">
        <w:trPr>
          <w:trHeight w:val="107"/>
        </w:trPr>
        <w:tc>
          <w:tcPr>
            <w:tcW w:w="238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hideMark/>
          </w:tcPr>
          <w:p w:rsidRPr="00D74E76" w:rsidR="00CE4712" w:rsidP="00940B06" w:rsidRDefault="00CE4712" w14:paraId="1E64B228" w14:textId="77777777">
            <w:pPr>
              <w:pStyle w:val="FigureTitle"/>
              <w:spacing w:before="0" w:after="120"/>
              <w:jc w:val="center"/>
              <w:rPr>
                <w:sz w:val="20"/>
                <w:szCs w:val="24"/>
              </w:rPr>
            </w:pPr>
            <w:r w:rsidRPr="00D74E76">
              <w:rPr>
                <w:sz w:val="20"/>
                <w:szCs w:val="24"/>
              </w:rPr>
              <w:t>Government Personnel</w:t>
            </w:r>
          </w:p>
        </w:tc>
        <w:tc>
          <w:tcPr>
            <w:tcW w:w="200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hideMark/>
          </w:tcPr>
          <w:p w:rsidRPr="00D74E76" w:rsidR="00CE4712" w:rsidP="00940B06" w:rsidRDefault="00CE4712" w14:paraId="18136321" w14:textId="77777777">
            <w:pPr>
              <w:pStyle w:val="FigureTitle"/>
              <w:spacing w:before="0" w:after="120"/>
              <w:jc w:val="center"/>
              <w:rPr>
                <w:sz w:val="20"/>
                <w:szCs w:val="24"/>
              </w:rPr>
            </w:pPr>
            <w:r w:rsidRPr="00D74E76">
              <w:rPr>
                <w:sz w:val="20"/>
                <w:szCs w:val="24"/>
              </w:rPr>
              <w:t>Time Commitment</w:t>
            </w:r>
          </w:p>
        </w:tc>
        <w:tc>
          <w:tcPr>
            <w:tcW w:w="2735"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hideMark/>
          </w:tcPr>
          <w:p w:rsidRPr="00D74E76" w:rsidR="00CE4712" w:rsidP="00940B06" w:rsidRDefault="00CE4712" w14:paraId="3ACE9E1D" w14:textId="77777777">
            <w:pPr>
              <w:pStyle w:val="FigureTitle"/>
              <w:spacing w:before="0" w:after="120"/>
              <w:jc w:val="center"/>
              <w:rPr>
                <w:sz w:val="20"/>
                <w:szCs w:val="24"/>
              </w:rPr>
            </w:pPr>
            <w:r w:rsidRPr="00D74E76">
              <w:rPr>
                <w:sz w:val="20"/>
                <w:szCs w:val="24"/>
              </w:rPr>
              <w:t>Average Annual Salary</w:t>
            </w:r>
          </w:p>
        </w:tc>
        <w:tc>
          <w:tcPr>
            <w:tcW w:w="1620" w:type="dxa"/>
            <w:tcBorders>
              <w:top w:val="single" w:color="auto" w:sz="12" w:space="0"/>
              <w:left w:val="nil"/>
              <w:bottom w:val="single" w:color="auto" w:sz="8" w:space="0"/>
              <w:right w:val="nil"/>
            </w:tcBorders>
            <w:tcMar>
              <w:top w:w="0" w:type="dxa"/>
              <w:left w:w="108" w:type="dxa"/>
              <w:bottom w:w="0" w:type="dxa"/>
              <w:right w:w="108" w:type="dxa"/>
            </w:tcMar>
            <w:vAlign w:val="center"/>
            <w:hideMark/>
          </w:tcPr>
          <w:p w:rsidRPr="00D74E76" w:rsidR="00CE4712" w:rsidP="00940B06" w:rsidRDefault="00CE4712" w14:paraId="2394900F" w14:textId="77777777">
            <w:pPr>
              <w:pStyle w:val="FigureTitle"/>
              <w:spacing w:before="0" w:after="120"/>
              <w:jc w:val="center"/>
              <w:rPr>
                <w:sz w:val="20"/>
                <w:szCs w:val="24"/>
              </w:rPr>
            </w:pPr>
            <w:r w:rsidRPr="00D74E76">
              <w:rPr>
                <w:sz w:val="20"/>
                <w:szCs w:val="24"/>
              </w:rPr>
              <w:t>Total</w:t>
            </w:r>
          </w:p>
        </w:tc>
      </w:tr>
      <w:tr w:rsidRPr="00D74E76" w:rsidR="00CE4712" w:rsidTr="00940B06" w14:paraId="2D04987A" w14:textId="77777777">
        <w:trPr>
          <w:trHeight w:val="368"/>
        </w:trPr>
        <w:tc>
          <w:tcPr>
            <w:tcW w:w="238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74E76" w:rsidR="00CE4712" w:rsidP="00940B06" w:rsidRDefault="00CE4712" w14:paraId="39172663" w14:textId="77777777">
            <w:pPr>
              <w:pStyle w:val="FigureTitle"/>
              <w:spacing w:before="0" w:after="60"/>
              <w:jc w:val="center"/>
              <w:rPr>
                <w:b w:val="0"/>
                <w:sz w:val="20"/>
                <w:szCs w:val="24"/>
              </w:rPr>
            </w:pPr>
            <w:r w:rsidRPr="00D74E76">
              <w:rPr>
                <w:b w:val="0"/>
                <w:bCs/>
                <w:sz w:val="20"/>
                <w:szCs w:val="24"/>
              </w:rPr>
              <w:t>GS-12</w:t>
            </w:r>
          </w:p>
        </w:tc>
        <w:tc>
          <w:tcPr>
            <w:tcW w:w="200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74E76" w:rsidR="00CE4712" w:rsidP="00940B06" w:rsidRDefault="00CE4712" w14:paraId="48286EF8" w14:textId="77777777">
            <w:pPr>
              <w:pStyle w:val="FigureTitle"/>
              <w:spacing w:before="0" w:after="60"/>
              <w:jc w:val="center"/>
              <w:rPr>
                <w:b w:val="0"/>
                <w:sz w:val="20"/>
                <w:szCs w:val="24"/>
              </w:rPr>
            </w:pPr>
            <w:r w:rsidRPr="00D74E76">
              <w:rPr>
                <w:b w:val="0"/>
                <w:bCs/>
                <w:sz w:val="20"/>
                <w:szCs w:val="24"/>
              </w:rPr>
              <w:t>5%</w:t>
            </w:r>
          </w:p>
        </w:tc>
        <w:tc>
          <w:tcPr>
            <w:tcW w:w="2735"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74E76" w:rsidR="00CE4712" w:rsidP="00940B06" w:rsidRDefault="00CE4712" w14:paraId="5235F31D" w14:textId="77777777">
            <w:pPr>
              <w:pStyle w:val="FigureTitle"/>
              <w:spacing w:before="0" w:after="60"/>
              <w:jc w:val="right"/>
              <w:rPr>
                <w:b w:val="0"/>
                <w:sz w:val="20"/>
                <w:szCs w:val="24"/>
              </w:rPr>
            </w:pPr>
            <w:r w:rsidRPr="00D74E76">
              <w:rPr>
                <w:b w:val="0"/>
                <w:bCs/>
                <w:sz w:val="20"/>
                <w:szCs w:val="24"/>
              </w:rPr>
              <w:t>$77,490</w:t>
            </w:r>
          </w:p>
        </w:tc>
        <w:tc>
          <w:tcPr>
            <w:tcW w:w="1620" w:type="dxa"/>
            <w:tcBorders>
              <w:top w:val="nil"/>
              <w:left w:val="nil"/>
              <w:bottom w:val="single" w:color="auto" w:sz="8" w:space="0"/>
              <w:right w:val="nil"/>
            </w:tcBorders>
            <w:tcMar>
              <w:top w:w="0" w:type="dxa"/>
              <w:left w:w="108" w:type="dxa"/>
              <w:bottom w:w="0" w:type="dxa"/>
              <w:right w:w="108" w:type="dxa"/>
            </w:tcMar>
            <w:vAlign w:val="center"/>
            <w:hideMark/>
          </w:tcPr>
          <w:p w:rsidRPr="00D74E76" w:rsidR="00CE4712" w:rsidP="00940B06" w:rsidRDefault="00CE4712" w14:paraId="7ABC8343" w14:textId="77777777">
            <w:pPr>
              <w:pStyle w:val="FigureTitle"/>
              <w:spacing w:before="0" w:after="60"/>
              <w:jc w:val="right"/>
              <w:rPr>
                <w:b w:val="0"/>
                <w:sz w:val="20"/>
                <w:szCs w:val="24"/>
              </w:rPr>
            </w:pPr>
            <w:r w:rsidRPr="00D74E76">
              <w:rPr>
                <w:b w:val="0"/>
                <w:bCs/>
                <w:sz w:val="20"/>
                <w:szCs w:val="24"/>
              </w:rPr>
              <w:t>$3,874</w:t>
            </w:r>
          </w:p>
        </w:tc>
      </w:tr>
      <w:tr w:rsidRPr="00D74E76" w:rsidR="00CE4712" w:rsidTr="00940B06" w14:paraId="5DADA5BF" w14:textId="77777777">
        <w:tc>
          <w:tcPr>
            <w:tcW w:w="238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74E76" w:rsidR="00CE4712" w:rsidP="00940B06" w:rsidRDefault="00CE4712" w14:paraId="245A52F8" w14:textId="77777777">
            <w:pPr>
              <w:pStyle w:val="FigureTitle"/>
              <w:spacing w:before="0" w:after="60"/>
              <w:jc w:val="center"/>
              <w:rPr>
                <w:b w:val="0"/>
                <w:sz w:val="20"/>
                <w:szCs w:val="24"/>
              </w:rPr>
            </w:pPr>
            <w:r w:rsidRPr="00D74E76">
              <w:rPr>
                <w:b w:val="0"/>
                <w:bCs/>
                <w:sz w:val="20"/>
                <w:szCs w:val="24"/>
              </w:rPr>
              <w:t>GS-13</w:t>
            </w:r>
          </w:p>
        </w:tc>
        <w:tc>
          <w:tcPr>
            <w:tcW w:w="200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74E76" w:rsidR="00CE4712" w:rsidP="00940B06" w:rsidRDefault="00CE4712" w14:paraId="382DB4FC" w14:textId="77777777">
            <w:pPr>
              <w:pStyle w:val="FigureTitle"/>
              <w:spacing w:before="0" w:after="60"/>
              <w:jc w:val="center"/>
              <w:rPr>
                <w:b w:val="0"/>
                <w:sz w:val="20"/>
                <w:szCs w:val="24"/>
              </w:rPr>
            </w:pPr>
            <w:r w:rsidRPr="00D74E76">
              <w:rPr>
                <w:b w:val="0"/>
                <w:bCs/>
                <w:sz w:val="20"/>
                <w:szCs w:val="24"/>
              </w:rPr>
              <w:t>10%</w:t>
            </w:r>
          </w:p>
        </w:tc>
        <w:tc>
          <w:tcPr>
            <w:tcW w:w="2735"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74E76" w:rsidR="00CE4712" w:rsidP="00940B06" w:rsidRDefault="00CE4712" w14:paraId="4C84E690" w14:textId="77777777">
            <w:pPr>
              <w:pStyle w:val="FigureTitle"/>
              <w:spacing w:before="0" w:after="60"/>
              <w:jc w:val="right"/>
              <w:rPr>
                <w:b w:val="0"/>
                <w:sz w:val="20"/>
                <w:szCs w:val="24"/>
              </w:rPr>
            </w:pPr>
            <w:r w:rsidRPr="00D74E76">
              <w:rPr>
                <w:b w:val="0"/>
                <w:bCs/>
                <w:sz w:val="20"/>
                <w:szCs w:val="24"/>
              </w:rPr>
              <w:t>$92,145</w:t>
            </w:r>
          </w:p>
        </w:tc>
        <w:tc>
          <w:tcPr>
            <w:tcW w:w="1620" w:type="dxa"/>
            <w:tcBorders>
              <w:top w:val="nil"/>
              <w:left w:val="nil"/>
              <w:bottom w:val="single" w:color="auto" w:sz="8" w:space="0"/>
              <w:right w:val="nil"/>
            </w:tcBorders>
            <w:tcMar>
              <w:top w:w="0" w:type="dxa"/>
              <w:left w:w="108" w:type="dxa"/>
              <w:bottom w:w="0" w:type="dxa"/>
              <w:right w:w="108" w:type="dxa"/>
            </w:tcMar>
            <w:vAlign w:val="center"/>
            <w:hideMark/>
          </w:tcPr>
          <w:p w:rsidRPr="00D74E76" w:rsidR="00CE4712" w:rsidP="00940B06" w:rsidRDefault="00CE4712" w14:paraId="218DF2F0" w14:textId="77777777">
            <w:pPr>
              <w:pStyle w:val="FigureTitle"/>
              <w:spacing w:before="0" w:after="60"/>
              <w:jc w:val="right"/>
              <w:rPr>
                <w:b w:val="0"/>
                <w:sz w:val="20"/>
                <w:szCs w:val="24"/>
              </w:rPr>
            </w:pPr>
            <w:r w:rsidRPr="00D74E76">
              <w:rPr>
                <w:b w:val="0"/>
                <w:bCs/>
                <w:sz w:val="20"/>
                <w:szCs w:val="24"/>
              </w:rPr>
              <w:t>$9,215</w:t>
            </w:r>
          </w:p>
        </w:tc>
      </w:tr>
      <w:tr w:rsidRPr="00D74E76" w:rsidR="00CE4712" w:rsidTr="00FF7A17" w14:paraId="40DB050E" w14:textId="77777777">
        <w:trPr>
          <w:trHeight w:val="260"/>
        </w:trPr>
        <w:tc>
          <w:tcPr>
            <w:tcW w:w="2386" w:type="dxa"/>
            <w:tcBorders>
              <w:top w:val="nil"/>
              <w:left w:val="nil"/>
              <w:bottom w:val="single" w:color="auto" w:sz="8" w:space="0"/>
              <w:right w:val="single" w:color="auto" w:sz="8" w:space="0"/>
            </w:tcBorders>
            <w:tcMar>
              <w:top w:w="0" w:type="dxa"/>
              <w:left w:w="108" w:type="dxa"/>
              <w:bottom w:w="0" w:type="dxa"/>
              <w:right w:w="108" w:type="dxa"/>
            </w:tcMar>
          </w:tcPr>
          <w:p w:rsidRPr="00D74E76" w:rsidR="00CE4712" w:rsidP="00FF7A17" w:rsidRDefault="00CE4712" w14:paraId="69BC71F1" w14:textId="77777777">
            <w:pPr>
              <w:pStyle w:val="FigureTitle"/>
              <w:spacing w:before="0" w:after="60"/>
              <w:jc w:val="center"/>
              <w:rPr>
                <w:b w:val="0"/>
                <w:sz w:val="20"/>
                <w:szCs w:val="24"/>
              </w:rPr>
            </w:pPr>
          </w:p>
        </w:tc>
        <w:tc>
          <w:tcPr>
            <w:tcW w:w="2007" w:type="dxa"/>
            <w:tcBorders>
              <w:top w:val="nil"/>
              <w:left w:val="nil"/>
              <w:bottom w:val="single" w:color="auto" w:sz="8" w:space="0"/>
              <w:right w:val="single" w:color="auto" w:sz="8" w:space="0"/>
            </w:tcBorders>
            <w:tcMar>
              <w:top w:w="0" w:type="dxa"/>
              <w:left w:w="108" w:type="dxa"/>
              <w:bottom w:w="0" w:type="dxa"/>
              <w:right w:w="108" w:type="dxa"/>
            </w:tcMar>
          </w:tcPr>
          <w:p w:rsidRPr="00D74E76" w:rsidR="00CE4712" w:rsidP="00FF7A17" w:rsidRDefault="00CE4712" w14:paraId="7D6C176B" w14:textId="77777777">
            <w:pPr>
              <w:pStyle w:val="FigureTitle"/>
              <w:spacing w:before="0" w:after="60"/>
              <w:jc w:val="center"/>
              <w:rPr>
                <w:b w:val="0"/>
                <w:sz w:val="20"/>
                <w:szCs w:val="24"/>
              </w:rPr>
            </w:pPr>
          </w:p>
        </w:tc>
        <w:tc>
          <w:tcPr>
            <w:tcW w:w="2735" w:type="dxa"/>
            <w:tcBorders>
              <w:top w:val="nil"/>
              <w:left w:val="nil"/>
              <w:bottom w:val="single" w:color="auto" w:sz="8" w:space="0"/>
              <w:right w:val="single" w:color="auto" w:sz="8" w:space="0"/>
            </w:tcBorders>
            <w:tcMar>
              <w:top w:w="0" w:type="dxa"/>
              <w:left w:w="108" w:type="dxa"/>
              <w:bottom w:w="0" w:type="dxa"/>
              <w:right w:w="108" w:type="dxa"/>
            </w:tcMar>
          </w:tcPr>
          <w:p w:rsidRPr="00D74E76" w:rsidR="00CE4712" w:rsidP="00FF7A17" w:rsidRDefault="00CE4712" w14:paraId="36CB6127" w14:textId="77777777">
            <w:pPr>
              <w:pStyle w:val="FigureTitle"/>
              <w:spacing w:before="0" w:after="60"/>
              <w:jc w:val="right"/>
              <w:rPr>
                <w:b w:val="0"/>
                <w:sz w:val="20"/>
                <w:szCs w:val="24"/>
              </w:rPr>
            </w:pPr>
          </w:p>
        </w:tc>
        <w:tc>
          <w:tcPr>
            <w:tcW w:w="1620" w:type="dxa"/>
            <w:tcBorders>
              <w:top w:val="nil"/>
              <w:left w:val="nil"/>
              <w:bottom w:val="single" w:color="auto" w:sz="8" w:space="0"/>
              <w:right w:val="nil"/>
            </w:tcBorders>
            <w:tcMar>
              <w:top w:w="0" w:type="dxa"/>
              <w:left w:w="108" w:type="dxa"/>
              <w:bottom w:w="0" w:type="dxa"/>
              <w:right w:w="108" w:type="dxa"/>
            </w:tcMar>
          </w:tcPr>
          <w:p w:rsidRPr="00D74E76" w:rsidR="00CE4712" w:rsidP="00FF7A17" w:rsidRDefault="00CE4712" w14:paraId="335AE39E" w14:textId="77777777">
            <w:pPr>
              <w:pStyle w:val="FigureTitle"/>
              <w:spacing w:before="0" w:after="60"/>
              <w:jc w:val="right"/>
              <w:rPr>
                <w:b w:val="0"/>
                <w:sz w:val="20"/>
                <w:szCs w:val="24"/>
              </w:rPr>
            </w:pPr>
          </w:p>
        </w:tc>
      </w:tr>
      <w:tr w:rsidRPr="00D74E76" w:rsidR="00CE4712" w:rsidTr="00940B06" w14:paraId="419DFEF7" w14:textId="77777777">
        <w:trPr>
          <w:trHeight w:val="260"/>
        </w:trPr>
        <w:tc>
          <w:tcPr>
            <w:tcW w:w="2386" w:type="dxa"/>
            <w:tcBorders>
              <w:top w:val="nil"/>
              <w:left w:val="nil"/>
              <w:bottom w:val="single" w:color="auto" w:sz="8" w:space="0"/>
              <w:right w:val="single" w:color="auto" w:sz="8" w:space="0"/>
            </w:tcBorders>
            <w:tcMar>
              <w:top w:w="0" w:type="dxa"/>
              <w:left w:w="108" w:type="dxa"/>
              <w:bottom w:w="0" w:type="dxa"/>
              <w:right w:w="108" w:type="dxa"/>
            </w:tcMar>
          </w:tcPr>
          <w:p w:rsidRPr="00D74E76" w:rsidR="00CE4712" w:rsidP="00FF7A17" w:rsidRDefault="00CE4712" w14:paraId="2D5DD011" w14:textId="77777777">
            <w:pPr>
              <w:pStyle w:val="FigureTitle"/>
              <w:spacing w:before="0" w:after="60"/>
              <w:jc w:val="center"/>
              <w:rPr>
                <w:b w:val="0"/>
                <w:sz w:val="20"/>
                <w:szCs w:val="24"/>
              </w:rPr>
            </w:pPr>
          </w:p>
        </w:tc>
        <w:tc>
          <w:tcPr>
            <w:tcW w:w="2007" w:type="dxa"/>
            <w:tcBorders>
              <w:top w:val="nil"/>
              <w:left w:val="nil"/>
              <w:bottom w:val="single" w:color="auto" w:sz="8" w:space="0"/>
              <w:right w:val="single" w:color="auto" w:sz="8" w:space="0"/>
            </w:tcBorders>
            <w:tcMar>
              <w:top w:w="0" w:type="dxa"/>
              <w:left w:w="108" w:type="dxa"/>
              <w:bottom w:w="0" w:type="dxa"/>
              <w:right w:w="108" w:type="dxa"/>
            </w:tcMar>
          </w:tcPr>
          <w:p w:rsidRPr="00D74E76" w:rsidR="00CE4712" w:rsidP="00FF7A17" w:rsidRDefault="00CE4712" w14:paraId="0303D7D3" w14:textId="77777777">
            <w:pPr>
              <w:pStyle w:val="FigureTitle"/>
              <w:spacing w:before="0" w:after="60"/>
              <w:jc w:val="center"/>
              <w:rPr>
                <w:b w:val="0"/>
                <w:sz w:val="20"/>
                <w:szCs w:val="24"/>
              </w:rPr>
            </w:pPr>
          </w:p>
        </w:tc>
        <w:tc>
          <w:tcPr>
            <w:tcW w:w="2735"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74E76" w:rsidR="00CE4712" w:rsidP="00940B06" w:rsidRDefault="00CE4712" w14:paraId="457B5D3E" w14:textId="77777777">
            <w:pPr>
              <w:pStyle w:val="FigureTitle"/>
              <w:spacing w:before="0" w:after="60"/>
              <w:jc w:val="right"/>
              <w:rPr>
                <w:sz w:val="20"/>
                <w:szCs w:val="24"/>
              </w:rPr>
            </w:pPr>
            <w:r w:rsidRPr="00D74E76">
              <w:rPr>
                <w:sz w:val="20"/>
                <w:szCs w:val="24"/>
              </w:rPr>
              <w:t>Total Salary Costs</w:t>
            </w:r>
          </w:p>
        </w:tc>
        <w:tc>
          <w:tcPr>
            <w:tcW w:w="1620" w:type="dxa"/>
            <w:tcBorders>
              <w:top w:val="nil"/>
              <w:left w:val="nil"/>
              <w:bottom w:val="single" w:color="auto" w:sz="8" w:space="0"/>
              <w:right w:val="nil"/>
            </w:tcBorders>
            <w:tcMar>
              <w:top w:w="0" w:type="dxa"/>
              <w:left w:w="108" w:type="dxa"/>
              <w:bottom w:w="0" w:type="dxa"/>
              <w:right w:w="108" w:type="dxa"/>
            </w:tcMar>
            <w:vAlign w:val="center"/>
            <w:hideMark/>
          </w:tcPr>
          <w:p w:rsidRPr="00D74E76" w:rsidR="00CE4712" w:rsidP="00940B06" w:rsidRDefault="00CE4712" w14:paraId="28B4F815" w14:textId="77777777">
            <w:pPr>
              <w:pStyle w:val="FigureTitle"/>
              <w:spacing w:before="0" w:after="60"/>
              <w:jc w:val="right"/>
              <w:rPr>
                <w:b w:val="0"/>
                <w:sz w:val="20"/>
                <w:szCs w:val="24"/>
              </w:rPr>
            </w:pPr>
            <w:r w:rsidRPr="00D74E76">
              <w:rPr>
                <w:b w:val="0"/>
                <w:bCs/>
                <w:sz w:val="20"/>
                <w:szCs w:val="24"/>
              </w:rPr>
              <w:t>$13,089</w:t>
            </w:r>
          </w:p>
        </w:tc>
      </w:tr>
      <w:tr w:rsidRPr="00D74E76" w:rsidR="00CE4712" w:rsidTr="00940B06" w14:paraId="6206FEA3" w14:textId="77777777">
        <w:trPr>
          <w:trHeight w:val="458"/>
        </w:trPr>
        <w:tc>
          <w:tcPr>
            <w:tcW w:w="7128" w:type="dxa"/>
            <w:gridSpan w:val="3"/>
            <w:tcBorders>
              <w:top w:val="nil"/>
              <w:left w:val="nil"/>
              <w:bottom w:val="single" w:color="auto" w:sz="12" w:space="0"/>
              <w:right w:val="single" w:color="auto" w:sz="8" w:space="0"/>
            </w:tcBorders>
            <w:tcMar>
              <w:top w:w="0" w:type="dxa"/>
              <w:left w:w="108" w:type="dxa"/>
              <w:bottom w:w="0" w:type="dxa"/>
              <w:right w:w="108" w:type="dxa"/>
            </w:tcMar>
            <w:vAlign w:val="center"/>
            <w:hideMark/>
          </w:tcPr>
          <w:p w:rsidRPr="00D74E76" w:rsidR="00CE4712" w:rsidP="00940B06" w:rsidRDefault="00CE4712" w14:paraId="654B328E" w14:textId="77777777">
            <w:pPr>
              <w:pStyle w:val="FigureTitle"/>
              <w:spacing w:before="0" w:after="60"/>
              <w:jc w:val="right"/>
              <w:rPr>
                <w:sz w:val="20"/>
                <w:szCs w:val="24"/>
              </w:rPr>
            </w:pPr>
            <w:r w:rsidRPr="00D74E76">
              <w:rPr>
                <w:sz w:val="20"/>
                <w:szCs w:val="24"/>
              </w:rPr>
              <w:t>Contract Cost</w:t>
            </w:r>
          </w:p>
        </w:tc>
        <w:tc>
          <w:tcPr>
            <w:tcW w:w="1620" w:type="dxa"/>
            <w:tcBorders>
              <w:top w:val="nil"/>
              <w:left w:val="nil"/>
              <w:bottom w:val="single" w:color="auto" w:sz="12" w:space="0"/>
              <w:right w:val="nil"/>
            </w:tcBorders>
            <w:tcMar>
              <w:top w:w="0" w:type="dxa"/>
              <w:left w:w="108" w:type="dxa"/>
              <w:bottom w:w="0" w:type="dxa"/>
              <w:right w:w="108" w:type="dxa"/>
            </w:tcMar>
            <w:vAlign w:val="center"/>
          </w:tcPr>
          <w:p w:rsidRPr="00D74E76" w:rsidR="00CE4712" w:rsidP="00940B06" w:rsidRDefault="00CE4712" w14:paraId="10DF4FD9" w14:textId="77777777">
            <w:pPr>
              <w:pStyle w:val="FigureTitle"/>
              <w:spacing w:before="0" w:after="60"/>
              <w:jc w:val="right"/>
              <w:rPr>
                <w:b w:val="0"/>
                <w:sz w:val="20"/>
                <w:szCs w:val="24"/>
              </w:rPr>
            </w:pPr>
            <w:r w:rsidRPr="00D74E76">
              <w:rPr>
                <w:b w:val="0"/>
                <w:sz w:val="20"/>
                <w:szCs w:val="24"/>
              </w:rPr>
              <w:t>$</w:t>
            </w:r>
            <w:r w:rsidR="00265DB0">
              <w:rPr>
                <w:b w:val="0"/>
                <w:sz w:val="20"/>
                <w:szCs w:val="24"/>
              </w:rPr>
              <w:t>1,200,000.00</w:t>
            </w:r>
          </w:p>
        </w:tc>
      </w:tr>
      <w:tr w:rsidRPr="00D74E76" w:rsidR="00CE4712" w:rsidTr="00940B06" w14:paraId="212B6076" w14:textId="77777777">
        <w:trPr>
          <w:trHeight w:val="458"/>
        </w:trPr>
        <w:tc>
          <w:tcPr>
            <w:tcW w:w="7128" w:type="dxa"/>
            <w:gridSpan w:val="3"/>
            <w:tcBorders>
              <w:top w:val="nil"/>
              <w:left w:val="nil"/>
              <w:bottom w:val="single" w:color="auto" w:sz="12" w:space="0"/>
              <w:right w:val="single" w:color="auto" w:sz="8" w:space="0"/>
            </w:tcBorders>
            <w:tcMar>
              <w:top w:w="0" w:type="dxa"/>
              <w:left w:w="108" w:type="dxa"/>
              <w:bottom w:w="0" w:type="dxa"/>
              <w:right w:w="108" w:type="dxa"/>
            </w:tcMar>
            <w:vAlign w:val="center"/>
            <w:hideMark/>
          </w:tcPr>
          <w:p w:rsidRPr="00D74E76" w:rsidR="00CE4712" w:rsidP="00940B06" w:rsidRDefault="00CE4712" w14:paraId="4163A601" w14:textId="77777777">
            <w:pPr>
              <w:pStyle w:val="FigureTitle"/>
              <w:spacing w:before="0" w:after="60"/>
              <w:jc w:val="right"/>
              <w:rPr>
                <w:sz w:val="20"/>
                <w:szCs w:val="24"/>
              </w:rPr>
            </w:pPr>
            <w:r w:rsidRPr="00D74E76">
              <w:rPr>
                <w:sz w:val="20"/>
                <w:szCs w:val="24"/>
              </w:rPr>
              <w:t>Total</w:t>
            </w:r>
          </w:p>
        </w:tc>
        <w:tc>
          <w:tcPr>
            <w:tcW w:w="1620" w:type="dxa"/>
            <w:tcBorders>
              <w:top w:val="nil"/>
              <w:left w:val="nil"/>
              <w:bottom w:val="single" w:color="auto" w:sz="12" w:space="0"/>
              <w:right w:val="nil"/>
            </w:tcBorders>
            <w:tcMar>
              <w:top w:w="0" w:type="dxa"/>
              <w:left w:w="108" w:type="dxa"/>
              <w:bottom w:w="0" w:type="dxa"/>
              <w:right w:w="108" w:type="dxa"/>
            </w:tcMar>
            <w:vAlign w:val="center"/>
            <w:hideMark/>
          </w:tcPr>
          <w:p w:rsidRPr="00D74E76" w:rsidR="00CE4712" w:rsidP="00940B06" w:rsidRDefault="00CE4712" w14:paraId="26E458B2" w14:textId="77777777">
            <w:pPr>
              <w:pStyle w:val="FigureTitle"/>
              <w:spacing w:before="0" w:after="60"/>
              <w:jc w:val="right"/>
              <w:rPr>
                <w:sz w:val="20"/>
                <w:szCs w:val="24"/>
              </w:rPr>
            </w:pPr>
            <w:r w:rsidRPr="00D74E76">
              <w:rPr>
                <w:sz w:val="20"/>
                <w:szCs w:val="24"/>
              </w:rPr>
              <w:t>$</w:t>
            </w:r>
            <w:r w:rsidR="00265DB0">
              <w:rPr>
                <w:sz w:val="20"/>
                <w:szCs w:val="24"/>
              </w:rPr>
              <w:t>1,213,089.00</w:t>
            </w:r>
          </w:p>
        </w:tc>
      </w:tr>
    </w:tbl>
    <w:p w:rsidRPr="00CE4712" w:rsidR="00A703F9" w:rsidP="00EB43D0" w:rsidRDefault="00A703F9" w14:paraId="18204066"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after="200" w:line="276" w:lineRule="auto"/>
        <w:rPr>
          <w:rFonts w:ascii="Times New Roman" w:hAnsi="Times New Roman"/>
          <w:sz w:val="18"/>
          <w:szCs w:val="24"/>
        </w:rPr>
      </w:pPr>
    </w:p>
    <w:p w:rsidRPr="00D74E76" w:rsidR="005C0FF9" w:rsidP="00D74E76" w:rsidRDefault="005C0FF9" w14:paraId="28533F01"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u w:val="single"/>
        </w:rPr>
      </w:pPr>
      <w:bookmarkStart w:name="_Toc239649236" w:id="21"/>
      <w:r w:rsidRPr="005E5681">
        <w:rPr>
          <w:rFonts w:ascii="Times New Roman" w:hAnsi="Times New Roman"/>
          <w:b/>
          <w:bCs/>
          <w:sz w:val="24"/>
          <w:szCs w:val="24"/>
        </w:rPr>
        <w:lastRenderedPageBreak/>
        <w:t>15.</w:t>
      </w:r>
      <w:r w:rsidRPr="005E5681">
        <w:rPr>
          <w:rFonts w:ascii="Times New Roman" w:hAnsi="Times New Roman"/>
          <w:sz w:val="24"/>
          <w:szCs w:val="24"/>
        </w:rPr>
        <w:t xml:space="preserve">  </w:t>
      </w:r>
      <w:r w:rsidRPr="005E5681">
        <w:rPr>
          <w:rFonts w:ascii="Times New Roman" w:hAnsi="Times New Roman"/>
          <w:b/>
          <w:bCs/>
          <w:sz w:val="24"/>
          <w:szCs w:val="24"/>
          <w:u w:val="single"/>
        </w:rPr>
        <w:t>Explanation for Program Changes or Adjustments</w:t>
      </w:r>
      <w:bookmarkEnd w:id="21"/>
    </w:p>
    <w:p w:rsidR="00DF67D6" w:rsidP="00CE4712" w:rsidRDefault="00DF67D6" w14:paraId="0A31BEE6"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sz w:val="24"/>
          <w:szCs w:val="24"/>
        </w:rPr>
      </w:pPr>
    </w:p>
    <w:p w:rsidRPr="002051D8" w:rsidR="005C0FF9" w:rsidP="00CE4712" w:rsidRDefault="005C0FF9" w14:paraId="1CA4DAD0" w14:textId="3BF03BC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sz w:val="24"/>
          <w:szCs w:val="24"/>
        </w:rPr>
      </w:pPr>
      <w:r w:rsidRPr="005E5681">
        <w:rPr>
          <w:rFonts w:ascii="Times New Roman" w:hAnsi="Times New Roman"/>
          <w:sz w:val="24"/>
          <w:szCs w:val="24"/>
        </w:rPr>
        <w:t>This is a new collection of information.</w:t>
      </w:r>
    </w:p>
    <w:p w:rsidRPr="002051D8" w:rsidR="005C0FF9" w:rsidP="00EB43D0" w:rsidRDefault="005C0FF9" w14:paraId="7B6B220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D74E76" w:rsidR="005C0FF9" w:rsidP="00D74E76" w:rsidRDefault="005C0FF9" w14:paraId="580600F2"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u w:val="single"/>
        </w:rPr>
      </w:pPr>
      <w:bookmarkStart w:name="_Toc239649237" w:id="22"/>
      <w:r w:rsidRPr="002051D8">
        <w:rPr>
          <w:rFonts w:ascii="Times New Roman" w:hAnsi="Times New Roman"/>
          <w:b/>
          <w:bCs/>
          <w:sz w:val="24"/>
          <w:szCs w:val="24"/>
        </w:rPr>
        <w:t>16.</w:t>
      </w:r>
      <w:r w:rsidRPr="002051D8">
        <w:rPr>
          <w:rFonts w:ascii="Times New Roman" w:hAnsi="Times New Roman"/>
          <w:sz w:val="24"/>
          <w:szCs w:val="24"/>
        </w:rPr>
        <w:t xml:space="preserve">  </w:t>
      </w:r>
      <w:r w:rsidRPr="002051D8">
        <w:rPr>
          <w:rFonts w:ascii="Times New Roman" w:hAnsi="Times New Roman"/>
          <w:b/>
          <w:bCs/>
          <w:sz w:val="24"/>
          <w:szCs w:val="24"/>
          <w:u w:val="single"/>
        </w:rPr>
        <w:t>Plans for Tabulation and Publication and Project Time Schedule</w:t>
      </w:r>
      <w:bookmarkEnd w:id="22"/>
    </w:p>
    <w:p w:rsidR="00DF67D6" w:rsidP="00CE4712" w:rsidRDefault="00DF67D6" w14:paraId="78FAC529" w14:textId="77777777">
      <w:pPr>
        <w:pStyle w:val="BodyText1"/>
        <w:spacing w:after="0" w:line="240" w:lineRule="auto"/>
        <w:ind w:left="450" w:firstLine="0"/>
      </w:pPr>
    </w:p>
    <w:p w:rsidRPr="00F332CB" w:rsidR="00CE4712" w:rsidP="00CE4712" w:rsidRDefault="00CE4712" w14:paraId="795F34FA" w14:textId="3175383A">
      <w:pPr>
        <w:pStyle w:val="BodyText1"/>
        <w:spacing w:after="0" w:line="240" w:lineRule="auto"/>
        <w:ind w:left="450" w:firstLine="0"/>
      </w:pPr>
      <w:r w:rsidRPr="00F332CB">
        <w:t>The analysis will examine overall levels of perceived effectiveness and rating of tobacco</w:t>
      </w:r>
      <w:r>
        <w:t>-related</w:t>
      </w:r>
      <w:r w:rsidRPr="00F332CB">
        <w:t xml:space="preserve"> facts that were tested.  Summary statistics will be analyzed for each tobacco</w:t>
      </w:r>
      <w:r>
        <w:t>-</w:t>
      </w:r>
      <w:r w:rsidRPr="00F332CB">
        <w:t>related message for groups such as all youth, at-risk youth, youth who have experimented with smoking as well as for various demographic categories (e.g. age, gender, race/ethnicity).  All analyses will be estimated with sampling weights that adjust for non-response and sample design.  Findings from these analyses will be used to inform FDA CTP health communication strategies.</w:t>
      </w:r>
    </w:p>
    <w:p w:rsidRPr="00F332CB" w:rsidR="00CE4712" w:rsidP="00CE4712" w:rsidRDefault="00CE4712" w14:paraId="54805EB1" w14:textId="77777777">
      <w:pPr>
        <w:pStyle w:val="BodyText1"/>
        <w:spacing w:after="0" w:line="240" w:lineRule="auto"/>
        <w:ind w:left="450" w:firstLine="0"/>
        <w:rPr>
          <w:b/>
          <w:u w:val="single"/>
        </w:rPr>
      </w:pPr>
    </w:p>
    <w:p w:rsidRPr="00DE7166" w:rsidR="00CE4712" w:rsidP="00CE4712" w:rsidRDefault="00CE4712" w14:paraId="5BBDA083" w14:textId="77777777">
      <w:pPr>
        <w:pStyle w:val="BodyText1"/>
        <w:spacing w:after="0" w:line="240" w:lineRule="auto"/>
        <w:ind w:left="450" w:firstLine="0"/>
        <w:rPr>
          <w:szCs w:val="24"/>
          <w:u w:val="single"/>
        </w:rPr>
      </w:pPr>
      <w:r w:rsidRPr="00DE7166">
        <w:rPr>
          <w:szCs w:val="24"/>
          <w:u w:val="single"/>
        </w:rPr>
        <w:t>Reporting</w:t>
      </w:r>
    </w:p>
    <w:p w:rsidRPr="00DE7166" w:rsidR="00CE4712" w:rsidP="00CE4712" w:rsidRDefault="00CE4712" w14:paraId="14C3B73B" w14:textId="77777777">
      <w:pPr>
        <w:pStyle w:val="BodyText1"/>
        <w:spacing w:after="0" w:line="240" w:lineRule="auto"/>
        <w:ind w:left="450"/>
        <w:rPr>
          <w:szCs w:val="24"/>
          <w:u w:val="single"/>
        </w:rPr>
      </w:pPr>
    </w:p>
    <w:p w:rsidR="00DE7166" w:rsidP="00DE7166" w:rsidRDefault="00CE4712" w14:paraId="7F3E7710" w14:textId="61091A64">
      <w:pPr>
        <w:pStyle w:val="CommentText"/>
        <w:ind w:left="450"/>
        <w:rPr>
          <w:rFonts w:ascii="Times New Roman" w:hAnsi="Times New Roman"/>
          <w:sz w:val="24"/>
          <w:szCs w:val="24"/>
        </w:rPr>
      </w:pPr>
      <w:r w:rsidRPr="00DE7166">
        <w:rPr>
          <w:rFonts w:ascii="Times New Roman" w:hAnsi="Times New Roman"/>
          <w:sz w:val="24"/>
          <w:szCs w:val="24"/>
        </w:rPr>
        <w:t>The reporting and dissemination mechanism will consist of three primary components: (1) summary statistics (in the form of PowerPoint presentations and other briefings) on youth perceptions and preference of tobacco related facts, and (2) a comprehensive evaluation report summarizing findings from this information collection.</w:t>
      </w:r>
      <w:r w:rsidR="004B20F7">
        <w:rPr>
          <w:rFonts w:ascii="Times New Roman" w:hAnsi="Times New Roman"/>
          <w:sz w:val="24"/>
          <w:szCs w:val="24"/>
        </w:rPr>
        <w:t xml:space="preserve"> S</w:t>
      </w:r>
      <w:r w:rsidR="005D6597">
        <w:rPr>
          <w:rFonts w:ascii="Times New Roman" w:hAnsi="Times New Roman"/>
          <w:sz w:val="24"/>
          <w:szCs w:val="24"/>
        </w:rPr>
        <w:t xml:space="preserve">ummary statistics will include </w:t>
      </w:r>
      <w:r w:rsidRPr="00DE7166" w:rsidR="00DE7166">
        <w:rPr>
          <w:rFonts w:ascii="Times New Roman" w:hAnsi="Times New Roman"/>
          <w:sz w:val="24"/>
          <w:szCs w:val="24"/>
        </w:rPr>
        <w:t>the number of respondents in each racial category</w:t>
      </w:r>
      <w:r w:rsidR="005D6597">
        <w:rPr>
          <w:rFonts w:ascii="Times New Roman" w:hAnsi="Times New Roman"/>
          <w:sz w:val="24"/>
          <w:szCs w:val="24"/>
        </w:rPr>
        <w:t xml:space="preserve"> as well as</w:t>
      </w:r>
      <w:r w:rsidRPr="00DE7166" w:rsidR="00DE7166">
        <w:rPr>
          <w:rFonts w:ascii="Times New Roman" w:hAnsi="Times New Roman"/>
          <w:sz w:val="24"/>
          <w:szCs w:val="24"/>
        </w:rPr>
        <w:t xml:space="preserve"> </w:t>
      </w:r>
      <w:r w:rsidR="004B1A61">
        <w:rPr>
          <w:rFonts w:ascii="Times New Roman" w:hAnsi="Times New Roman"/>
          <w:sz w:val="24"/>
          <w:szCs w:val="24"/>
        </w:rPr>
        <w:t xml:space="preserve">respondents </w:t>
      </w:r>
      <w:r w:rsidRPr="00DE7166" w:rsidR="00DE7166">
        <w:rPr>
          <w:rFonts w:ascii="Times New Roman" w:hAnsi="Times New Roman"/>
          <w:sz w:val="24"/>
          <w:szCs w:val="24"/>
        </w:rPr>
        <w:t xml:space="preserve">who </w:t>
      </w:r>
      <w:r w:rsidR="005D6597">
        <w:rPr>
          <w:rFonts w:ascii="Times New Roman" w:hAnsi="Times New Roman"/>
          <w:sz w:val="24"/>
          <w:szCs w:val="24"/>
        </w:rPr>
        <w:t xml:space="preserve">identify as each subcategory of </w:t>
      </w:r>
      <w:r w:rsidRPr="00DE7166" w:rsidR="00DE7166">
        <w:rPr>
          <w:rFonts w:ascii="Times New Roman" w:hAnsi="Times New Roman"/>
          <w:sz w:val="24"/>
          <w:szCs w:val="24"/>
        </w:rPr>
        <w:t>Hispanic</w:t>
      </w:r>
      <w:r w:rsidR="004B1A61">
        <w:rPr>
          <w:rFonts w:ascii="Times New Roman" w:hAnsi="Times New Roman"/>
          <w:sz w:val="24"/>
          <w:szCs w:val="24"/>
        </w:rPr>
        <w:t>/</w:t>
      </w:r>
      <w:r w:rsidRPr="00DE7166" w:rsidR="00DE7166">
        <w:rPr>
          <w:rFonts w:ascii="Times New Roman" w:hAnsi="Times New Roman"/>
          <w:sz w:val="24"/>
          <w:szCs w:val="24"/>
        </w:rPr>
        <w:t>Latino</w:t>
      </w:r>
      <w:r w:rsidR="00822C60">
        <w:rPr>
          <w:rFonts w:ascii="Times New Roman" w:hAnsi="Times New Roman"/>
          <w:sz w:val="24"/>
          <w:szCs w:val="24"/>
        </w:rPr>
        <w:t xml:space="preserve">. This Hispanic/Latino data will also be </w:t>
      </w:r>
      <w:r w:rsidR="004B1A61">
        <w:rPr>
          <w:rFonts w:ascii="Times New Roman" w:hAnsi="Times New Roman"/>
          <w:sz w:val="24"/>
          <w:szCs w:val="24"/>
        </w:rPr>
        <w:t xml:space="preserve">collapsed </w:t>
      </w:r>
      <w:r w:rsidR="00822C60">
        <w:rPr>
          <w:rFonts w:ascii="Times New Roman" w:hAnsi="Times New Roman"/>
          <w:sz w:val="24"/>
          <w:szCs w:val="24"/>
        </w:rPr>
        <w:t xml:space="preserve">so </w:t>
      </w:r>
      <w:r w:rsidR="00724501">
        <w:rPr>
          <w:rFonts w:ascii="Times New Roman" w:hAnsi="Times New Roman"/>
          <w:sz w:val="24"/>
          <w:szCs w:val="24"/>
        </w:rPr>
        <w:t>that</w:t>
      </w:r>
      <w:r w:rsidR="00822C60">
        <w:rPr>
          <w:rFonts w:ascii="Times New Roman" w:hAnsi="Times New Roman"/>
          <w:sz w:val="24"/>
          <w:szCs w:val="24"/>
        </w:rPr>
        <w:t xml:space="preserve"> the</w:t>
      </w:r>
      <w:r w:rsidR="004B1A61">
        <w:rPr>
          <w:rFonts w:ascii="Times New Roman" w:hAnsi="Times New Roman"/>
          <w:sz w:val="24"/>
          <w:szCs w:val="24"/>
        </w:rPr>
        <w:t xml:space="preserve"> minimum standard for reporting Hispanic/Latino ethnicity</w:t>
      </w:r>
      <w:r w:rsidR="00724501">
        <w:rPr>
          <w:rFonts w:ascii="Times New Roman" w:hAnsi="Times New Roman"/>
          <w:sz w:val="24"/>
          <w:szCs w:val="24"/>
        </w:rPr>
        <w:t xml:space="preserve"> (Y/N)</w:t>
      </w:r>
      <w:r w:rsidR="00822C60">
        <w:rPr>
          <w:rFonts w:ascii="Times New Roman" w:hAnsi="Times New Roman"/>
          <w:sz w:val="24"/>
          <w:szCs w:val="24"/>
        </w:rPr>
        <w:t xml:space="preserve"> is also reported out</w:t>
      </w:r>
      <w:r w:rsidR="00DE7166">
        <w:rPr>
          <w:rFonts w:ascii="Times New Roman" w:hAnsi="Times New Roman"/>
          <w:sz w:val="24"/>
          <w:szCs w:val="24"/>
        </w:rPr>
        <w:t>.</w:t>
      </w:r>
    </w:p>
    <w:p w:rsidRPr="00DE7166" w:rsidR="004B1A61" w:rsidP="00DE7166" w:rsidRDefault="004B1A61" w14:paraId="7AE8FAEB" w14:textId="77777777">
      <w:pPr>
        <w:pStyle w:val="CommentText"/>
        <w:ind w:left="450"/>
        <w:rPr>
          <w:rFonts w:ascii="Times New Roman" w:hAnsi="Times New Roman"/>
          <w:sz w:val="24"/>
          <w:szCs w:val="24"/>
        </w:rPr>
      </w:pPr>
    </w:p>
    <w:p w:rsidRPr="00DE7166" w:rsidR="00CE4712" w:rsidP="00CE4712" w:rsidRDefault="00CE4712" w14:paraId="33590CA7" w14:textId="4170D30E">
      <w:pPr>
        <w:pStyle w:val="BodyText1"/>
        <w:spacing w:after="0" w:line="240" w:lineRule="auto"/>
        <w:ind w:left="450" w:firstLine="0"/>
        <w:rPr>
          <w:szCs w:val="24"/>
        </w:rPr>
      </w:pPr>
      <w:r w:rsidRPr="00DE7166">
        <w:rPr>
          <w:szCs w:val="24"/>
        </w:rPr>
        <w:t xml:space="preserve"> The key events and reports to be prepared are listed in </w:t>
      </w:r>
      <w:r w:rsidR="00940B06">
        <w:rPr>
          <w:szCs w:val="24"/>
        </w:rPr>
        <w:t>Table</w:t>
      </w:r>
      <w:r w:rsidRPr="00DE7166">
        <w:rPr>
          <w:szCs w:val="24"/>
        </w:rPr>
        <w:t> </w:t>
      </w:r>
      <w:r w:rsidR="00DF67D6">
        <w:rPr>
          <w:szCs w:val="24"/>
        </w:rPr>
        <w:t>4</w:t>
      </w:r>
      <w:r w:rsidRPr="00DE7166">
        <w:rPr>
          <w:szCs w:val="24"/>
        </w:rPr>
        <w:t>.</w:t>
      </w:r>
      <w:r w:rsidRPr="00DE7166" w:rsidR="00B7418B">
        <w:rPr>
          <w:szCs w:val="24"/>
        </w:rPr>
        <w:t xml:space="preserve"> </w:t>
      </w:r>
    </w:p>
    <w:p w:rsidRPr="00F332CB" w:rsidR="00CE4712" w:rsidP="00CE4712" w:rsidRDefault="00CE4712" w14:paraId="7A4741AC" w14:textId="77777777">
      <w:pPr>
        <w:pStyle w:val="BodyText1"/>
        <w:spacing w:after="0" w:line="240" w:lineRule="auto"/>
        <w:ind w:left="720" w:firstLine="0"/>
      </w:pPr>
    </w:p>
    <w:p w:rsidR="00CE4712" w:rsidP="00DF67D6" w:rsidRDefault="00326755" w14:paraId="1AAF6FFA" w14:textId="205D9522">
      <w:pPr>
        <w:pStyle w:val="FigureTitle"/>
        <w:spacing w:before="0" w:after="0"/>
        <w:ind w:firstLine="450"/>
        <w:jc w:val="center"/>
      </w:pPr>
      <w:bookmarkStart w:name="_Ref216592722" w:id="23"/>
      <w:bookmarkStart w:name="_Toc66689102" w:id="24"/>
      <w:bookmarkStart w:name="_Toc140476560" w:id="25"/>
      <w:bookmarkStart w:name="_Toc216595340" w:id="26"/>
      <w:bookmarkStart w:name="_Toc361824172" w:id="27"/>
      <w:r>
        <w:t>Table</w:t>
      </w:r>
      <w:r w:rsidRPr="00F332CB" w:rsidR="00CE4712">
        <w:t xml:space="preserve"> </w:t>
      </w:r>
      <w:bookmarkEnd w:id="23"/>
      <w:r w:rsidR="00DF67D6">
        <w:t>4</w:t>
      </w:r>
      <w:r w:rsidRPr="00F332CB" w:rsidR="00CE4712">
        <w:t>.</w:t>
      </w:r>
      <w:bookmarkEnd w:id="24"/>
      <w:bookmarkEnd w:id="25"/>
      <w:bookmarkEnd w:id="26"/>
      <w:r w:rsidRPr="00F332CB" w:rsidR="00CE4712">
        <w:t xml:space="preserve"> Project Schedule</w:t>
      </w:r>
      <w:bookmarkEnd w:id="27"/>
    </w:p>
    <w:p w:rsidRPr="00F332CB" w:rsidR="00DF67D6" w:rsidP="00BE6F8F" w:rsidRDefault="00DF67D6" w14:paraId="5921C9F4" w14:textId="77777777">
      <w:pPr>
        <w:pStyle w:val="FigureTitle"/>
        <w:spacing w:before="0" w:after="0"/>
        <w:ind w:firstLine="450"/>
        <w:jc w:val="center"/>
      </w:pPr>
    </w:p>
    <w:tbl>
      <w:tblPr>
        <w:tblW w:w="8733" w:type="dxa"/>
        <w:tblInd w:w="864" w:type="dxa"/>
        <w:tblBorders>
          <w:top w:val="single" w:color="auto" w:sz="12" w:space="0"/>
        </w:tblBorders>
        <w:tblLayout w:type="fixed"/>
        <w:tblCellMar>
          <w:top w:w="29" w:type="dxa"/>
          <w:left w:w="115" w:type="dxa"/>
          <w:right w:w="115" w:type="dxa"/>
        </w:tblCellMar>
        <w:tblLook w:val="01E0" w:firstRow="1" w:lastRow="1" w:firstColumn="1" w:lastColumn="1" w:noHBand="0" w:noVBand="0"/>
      </w:tblPr>
      <w:tblGrid>
        <w:gridCol w:w="3211"/>
        <w:gridCol w:w="5522"/>
      </w:tblGrid>
      <w:tr w:rsidRPr="00F332CB" w:rsidR="00CE4712" w:rsidTr="000028A9" w14:paraId="56B5792E" w14:textId="77777777">
        <w:trPr>
          <w:cantSplit/>
        </w:trPr>
        <w:tc>
          <w:tcPr>
            <w:tcW w:w="3211" w:type="dxa"/>
            <w:tcBorders>
              <w:top w:val="single" w:color="auto" w:sz="12" w:space="0"/>
              <w:bottom w:val="single" w:color="auto" w:sz="6" w:space="0"/>
              <w:right w:val="single" w:color="auto" w:sz="4" w:space="0"/>
            </w:tcBorders>
            <w:vAlign w:val="bottom"/>
          </w:tcPr>
          <w:p w:rsidRPr="00D74E76" w:rsidR="00CE4712" w:rsidP="00CE4712" w:rsidRDefault="00CE4712" w14:paraId="57679379" w14:textId="77777777">
            <w:pPr>
              <w:pStyle w:val="TableHeaders"/>
              <w:keepNext/>
              <w:jc w:val="left"/>
              <w:rPr>
                <w:sz w:val="24"/>
                <w:szCs w:val="24"/>
              </w:rPr>
            </w:pPr>
            <w:r w:rsidRPr="00D74E76">
              <w:rPr>
                <w:sz w:val="24"/>
                <w:szCs w:val="24"/>
              </w:rPr>
              <w:t>Project Activity</w:t>
            </w:r>
          </w:p>
        </w:tc>
        <w:tc>
          <w:tcPr>
            <w:tcW w:w="5522" w:type="dxa"/>
            <w:tcBorders>
              <w:top w:val="single" w:color="auto" w:sz="12" w:space="0"/>
              <w:left w:val="single" w:color="auto" w:sz="4" w:space="0"/>
              <w:bottom w:val="single" w:color="auto" w:sz="6" w:space="0"/>
            </w:tcBorders>
            <w:vAlign w:val="bottom"/>
          </w:tcPr>
          <w:p w:rsidRPr="00D74E76" w:rsidR="00CE4712" w:rsidP="00CE4712" w:rsidRDefault="00CE4712" w14:paraId="3B917800" w14:textId="77777777">
            <w:pPr>
              <w:pStyle w:val="TableHeaders"/>
              <w:keepNext/>
              <w:jc w:val="left"/>
              <w:rPr>
                <w:sz w:val="24"/>
                <w:szCs w:val="24"/>
              </w:rPr>
            </w:pPr>
            <w:r w:rsidRPr="00D74E76">
              <w:rPr>
                <w:sz w:val="24"/>
                <w:szCs w:val="24"/>
              </w:rPr>
              <w:t>Date</w:t>
            </w:r>
          </w:p>
        </w:tc>
      </w:tr>
      <w:tr w:rsidRPr="00F332CB" w:rsidR="00CE4712" w:rsidTr="000028A9" w14:paraId="741420AB" w14:textId="77777777">
        <w:tblPrEx>
          <w:tblCellMar>
            <w:top w:w="0" w:type="dxa"/>
          </w:tblCellMar>
        </w:tblPrEx>
        <w:trPr>
          <w:cantSplit/>
        </w:trPr>
        <w:tc>
          <w:tcPr>
            <w:tcW w:w="3211" w:type="dxa"/>
            <w:tcBorders>
              <w:bottom w:val="single" w:color="auto" w:sz="4" w:space="0"/>
              <w:right w:val="single" w:color="auto" w:sz="4" w:space="0"/>
            </w:tcBorders>
          </w:tcPr>
          <w:p w:rsidRPr="00D74E76" w:rsidR="00CE4712" w:rsidP="00FF7A17" w:rsidRDefault="00CE4712" w14:paraId="0AF6CA1B" w14:textId="3AFD3B96">
            <w:pPr>
              <w:keepNext/>
              <w:spacing w:before="40" w:after="40"/>
              <w:rPr>
                <w:rFonts w:ascii="Times New Roman" w:hAnsi="Times New Roman"/>
                <w:sz w:val="24"/>
                <w:szCs w:val="24"/>
              </w:rPr>
            </w:pPr>
            <w:r w:rsidRPr="00D74E76">
              <w:rPr>
                <w:rFonts w:ascii="Times New Roman" w:hAnsi="Times New Roman"/>
                <w:sz w:val="24"/>
                <w:szCs w:val="24"/>
              </w:rPr>
              <w:t>Survey</w:t>
            </w:r>
          </w:p>
        </w:tc>
        <w:tc>
          <w:tcPr>
            <w:tcW w:w="5522" w:type="dxa"/>
            <w:tcBorders>
              <w:left w:val="single" w:color="auto" w:sz="4" w:space="0"/>
              <w:bottom w:val="single" w:color="auto" w:sz="4" w:space="0"/>
            </w:tcBorders>
          </w:tcPr>
          <w:p w:rsidR="00CE4712" w:rsidP="00FF7A17" w:rsidRDefault="00CE4712" w14:paraId="7B124207" w14:textId="77777777">
            <w:pPr>
              <w:keepNext/>
              <w:spacing w:before="40" w:after="40"/>
              <w:rPr>
                <w:rFonts w:ascii="Times New Roman" w:hAnsi="Times New Roman"/>
                <w:sz w:val="24"/>
                <w:szCs w:val="24"/>
              </w:rPr>
            </w:pPr>
            <w:r w:rsidRPr="00D74E76">
              <w:rPr>
                <w:rFonts w:ascii="Times New Roman" w:hAnsi="Times New Roman"/>
                <w:sz w:val="24"/>
                <w:szCs w:val="24"/>
              </w:rPr>
              <w:t>March 20</w:t>
            </w:r>
            <w:r w:rsidRPr="00D74E76" w:rsidR="00D74E76">
              <w:rPr>
                <w:rFonts w:ascii="Times New Roman" w:hAnsi="Times New Roman"/>
                <w:sz w:val="24"/>
                <w:szCs w:val="24"/>
              </w:rPr>
              <w:t>20</w:t>
            </w:r>
            <w:r w:rsidRPr="00D74E76">
              <w:rPr>
                <w:rFonts w:ascii="Times New Roman" w:hAnsi="Times New Roman"/>
                <w:sz w:val="24"/>
                <w:szCs w:val="24"/>
              </w:rPr>
              <w:t xml:space="preserve"> to </w:t>
            </w:r>
            <w:r w:rsidRPr="00D74E76" w:rsidR="00D74E76">
              <w:rPr>
                <w:rFonts w:ascii="Times New Roman" w:hAnsi="Times New Roman"/>
                <w:sz w:val="24"/>
                <w:szCs w:val="24"/>
              </w:rPr>
              <w:t xml:space="preserve">March </w:t>
            </w:r>
            <w:r w:rsidRPr="00D74E76">
              <w:rPr>
                <w:rFonts w:ascii="Times New Roman" w:hAnsi="Times New Roman"/>
                <w:sz w:val="24"/>
                <w:szCs w:val="24"/>
              </w:rPr>
              <w:t>20</w:t>
            </w:r>
            <w:r w:rsidRPr="00D74E76" w:rsidR="00D74E76">
              <w:rPr>
                <w:rFonts w:ascii="Times New Roman" w:hAnsi="Times New Roman"/>
                <w:sz w:val="24"/>
                <w:szCs w:val="24"/>
              </w:rPr>
              <w:t>21</w:t>
            </w:r>
            <w:r w:rsidRPr="00D74E76">
              <w:rPr>
                <w:rFonts w:ascii="Times New Roman" w:hAnsi="Times New Roman"/>
                <w:sz w:val="24"/>
                <w:szCs w:val="24"/>
              </w:rPr>
              <w:t xml:space="preserve"> (Approximate)</w:t>
            </w:r>
          </w:p>
          <w:p w:rsidRPr="00D74E76" w:rsidR="000028A9" w:rsidP="00FF7A17" w:rsidRDefault="000028A9" w14:paraId="38B432F8" w14:textId="0B9C0256">
            <w:pPr>
              <w:keepNext/>
              <w:spacing w:before="40" w:after="40"/>
              <w:rPr>
                <w:rFonts w:ascii="Times New Roman" w:hAnsi="Times New Roman"/>
                <w:sz w:val="24"/>
                <w:szCs w:val="24"/>
              </w:rPr>
            </w:pPr>
          </w:p>
        </w:tc>
      </w:tr>
      <w:tr w:rsidRPr="00F332CB" w:rsidR="00CE4712" w:rsidTr="000028A9" w14:paraId="26B14540" w14:textId="77777777">
        <w:tblPrEx>
          <w:tblCellMar>
            <w:top w:w="0" w:type="dxa"/>
          </w:tblCellMar>
        </w:tblPrEx>
        <w:trPr>
          <w:cantSplit/>
        </w:trPr>
        <w:tc>
          <w:tcPr>
            <w:tcW w:w="3211" w:type="dxa"/>
            <w:tcBorders>
              <w:top w:val="single" w:color="auto" w:sz="4" w:space="0"/>
              <w:bottom w:val="single" w:color="auto" w:sz="4" w:space="0"/>
              <w:right w:val="single" w:color="auto" w:sz="4" w:space="0"/>
            </w:tcBorders>
          </w:tcPr>
          <w:p w:rsidRPr="00D74E76" w:rsidR="00CE4712" w:rsidP="00FF7A17" w:rsidRDefault="00CE4712" w14:paraId="43363263" w14:textId="1FE3C714">
            <w:pPr>
              <w:keepNext/>
              <w:spacing w:before="40" w:after="40"/>
              <w:rPr>
                <w:rFonts w:ascii="Times New Roman" w:hAnsi="Times New Roman"/>
                <w:sz w:val="24"/>
                <w:szCs w:val="24"/>
              </w:rPr>
            </w:pPr>
            <w:r w:rsidRPr="00D74E76">
              <w:rPr>
                <w:rFonts w:ascii="Times New Roman" w:hAnsi="Times New Roman"/>
                <w:sz w:val="24"/>
                <w:szCs w:val="24"/>
              </w:rPr>
              <w:t>Data Analysis</w:t>
            </w:r>
          </w:p>
        </w:tc>
        <w:tc>
          <w:tcPr>
            <w:tcW w:w="5522" w:type="dxa"/>
            <w:tcBorders>
              <w:top w:val="single" w:color="auto" w:sz="4" w:space="0"/>
              <w:left w:val="single" w:color="auto" w:sz="4" w:space="0"/>
              <w:bottom w:val="single" w:color="auto" w:sz="4" w:space="0"/>
            </w:tcBorders>
          </w:tcPr>
          <w:p w:rsidR="00CE4712" w:rsidP="00FF7A17" w:rsidRDefault="00D74E76" w14:paraId="752A2C5F" w14:textId="77777777">
            <w:pPr>
              <w:keepNext/>
              <w:spacing w:before="40" w:after="40"/>
              <w:rPr>
                <w:rFonts w:ascii="Times New Roman" w:hAnsi="Times New Roman"/>
                <w:sz w:val="24"/>
                <w:szCs w:val="24"/>
              </w:rPr>
            </w:pPr>
            <w:r w:rsidRPr="00D74E76">
              <w:rPr>
                <w:rFonts w:ascii="Times New Roman" w:hAnsi="Times New Roman"/>
                <w:sz w:val="24"/>
                <w:szCs w:val="24"/>
              </w:rPr>
              <w:t xml:space="preserve">April </w:t>
            </w:r>
            <w:r w:rsidRPr="00D74E76" w:rsidR="00CE4712">
              <w:rPr>
                <w:rFonts w:ascii="Times New Roman" w:hAnsi="Times New Roman"/>
                <w:sz w:val="24"/>
                <w:szCs w:val="24"/>
              </w:rPr>
              <w:t>20</w:t>
            </w:r>
            <w:r w:rsidRPr="00D74E76">
              <w:rPr>
                <w:rFonts w:ascii="Times New Roman" w:hAnsi="Times New Roman"/>
                <w:sz w:val="24"/>
                <w:szCs w:val="24"/>
              </w:rPr>
              <w:t>21</w:t>
            </w:r>
            <w:r w:rsidRPr="00D74E76" w:rsidR="00CE4712">
              <w:rPr>
                <w:rFonts w:ascii="Times New Roman" w:hAnsi="Times New Roman"/>
                <w:sz w:val="24"/>
                <w:szCs w:val="24"/>
              </w:rPr>
              <w:t xml:space="preserve"> to </w:t>
            </w:r>
            <w:r w:rsidRPr="00D74E76">
              <w:rPr>
                <w:rFonts w:ascii="Times New Roman" w:hAnsi="Times New Roman"/>
                <w:sz w:val="24"/>
                <w:szCs w:val="24"/>
              </w:rPr>
              <w:t>August 2021</w:t>
            </w:r>
            <w:r w:rsidRPr="00D74E76" w:rsidR="00CE4712">
              <w:rPr>
                <w:rFonts w:ascii="Times New Roman" w:hAnsi="Times New Roman"/>
                <w:sz w:val="24"/>
                <w:szCs w:val="24"/>
              </w:rPr>
              <w:t xml:space="preserve"> (Approximate)</w:t>
            </w:r>
          </w:p>
          <w:p w:rsidRPr="00D74E76" w:rsidR="000028A9" w:rsidP="00FF7A17" w:rsidRDefault="000028A9" w14:paraId="1137D9F5" w14:textId="2DD8E732">
            <w:pPr>
              <w:keepNext/>
              <w:spacing w:before="40" w:after="40"/>
              <w:rPr>
                <w:rFonts w:ascii="Times New Roman" w:hAnsi="Times New Roman"/>
                <w:sz w:val="24"/>
                <w:szCs w:val="24"/>
              </w:rPr>
            </w:pPr>
          </w:p>
        </w:tc>
      </w:tr>
      <w:tr w:rsidRPr="00F332CB" w:rsidR="00CE4712" w:rsidTr="000028A9" w14:paraId="2590B0C4" w14:textId="77777777">
        <w:tblPrEx>
          <w:tblCellMar>
            <w:top w:w="0" w:type="dxa"/>
          </w:tblCellMar>
        </w:tblPrEx>
        <w:trPr>
          <w:cantSplit/>
        </w:trPr>
        <w:tc>
          <w:tcPr>
            <w:tcW w:w="3211" w:type="dxa"/>
            <w:tcBorders>
              <w:top w:val="single" w:color="auto" w:sz="4" w:space="0"/>
              <w:bottom w:val="single" w:color="auto" w:sz="12" w:space="0"/>
              <w:right w:val="single" w:color="auto" w:sz="4" w:space="0"/>
            </w:tcBorders>
          </w:tcPr>
          <w:p w:rsidRPr="00D74E76" w:rsidR="00CE4712" w:rsidP="00FF7A17" w:rsidRDefault="00CE4712" w14:paraId="79BA7965" w14:textId="77777777">
            <w:pPr>
              <w:keepNext/>
              <w:spacing w:before="40" w:after="40"/>
              <w:rPr>
                <w:rFonts w:ascii="Times New Roman" w:hAnsi="Times New Roman"/>
                <w:sz w:val="24"/>
                <w:szCs w:val="24"/>
              </w:rPr>
            </w:pPr>
            <w:r w:rsidRPr="00D74E76">
              <w:rPr>
                <w:rFonts w:ascii="Times New Roman" w:hAnsi="Times New Roman"/>
                <w:sz w:val="24"/>
                <w:szCs w:val="24"/>
              </w:rPr>
              <w:t>Report Writing and Dissemination</w:t>
            </w:r>
          </w:p>
        </w:tc>
        <w:tc>
          <w:tcPr>
            <w:tcW w:w="5522" w:type="dxa"/>
            <w:tcBorders>
              <w:top w:val="single" w:color="auto" w:sz="4" w:space="0"/>
              <w:left w:val="single" w:color="auto" w:sz="4" w:space="0"/>
              <w:bottom w:val="single" w:color="auto" w:sz="12" w:space="0"/>
            </w:tcBorders>
          </w:tcPr>
          <w:p w:rsidRPr="00D74E76" w:rsidR="00CE4712" w:rsidP="00FF7A17" w:rsidRDefault="00D74E76" w14:paraId="01D00D09" w14:textId="77777777">
            <w:pPr>
              <w:keepNext/>
              <w:spacing w:before="40" w:after="40"/>
              <w:rPr>
                <w:rFonts w:ascii="Times New Roman" w:hAnsi="Times New Roman"/>
                <w:sz w:val="24"/>
                <w:szCs w:val="24"/>
              </w:rPr>
            </w:pPr>
            <w:r w:rsidRPr="00D74E76">
              <w:rPr>
                <w:rFonts w:ascii="Times New Roman" w:hAnsi="Times New Roman"/>
                <w:sz w:val="24"/>
                <w:szCs w:val="24"/>
              </w:rPr>
              <w:t>September 2021</w:t>
            </w:r>
            <w:r w:rsidRPr="00D74E76" w:rsidR="00CE4712">
              <w:rPr>
                <w:rFonts w:ascii="Times New Roman" w:hAnsi="Times New Roman"/>
                <w:sz w:val="24"/>
                <w:szCs w:val="24"/>
              </w:rPr>
              <w:t xml:space="preserve"> to </w:t>
            </w:r>
            <w:r w:rsidRPr="00D74E76">
              <w:rPr>
                <w:rFonts w:ascii="Times New Roman" w:hAnsi="Times New Roman"/>
                <w:sz w:val="24"/>
                <w:szCs w:val="24"/>
              </w:rPr>
              <w:t>February 2022</w:t>
            </w:r>
            <w:r w:rsidRPr="00D74E76" w:rsidR="00CE4712">
              <w:rPr>
                <w:rFonts w:ascii="Times New Roman" w:hAnsi="Times New Roman"/>
                <w:sz w:val="24"/>
                <w:szCs w:val="24"/>
              </w:rPr>
              <w:t xml:space="preserve"> (Approximate)</w:t>
            </w:r>
          </w:p>
        </w:tc>
      </w:tr>
    </w:tbl>
    <w:p w:rsidRPr="005E5681" w:rsidR="005C0FF9" w:rsidP="00CE4712" w:rsidRDefault="00CE4712" w14:paraId="5DFB1874" w14:textId="64F581A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szCs w:val="24"/>
          <w:u w:val="single"/>
        </w:rPr>
      </w:pPr>
      <w:r>
        <w:rPr>
          <w:rFonts w:ascii="Times New Roman" w:hAnsi="Times New Roman"/>
          <w:sz w:val="24"/>
          <w:szCs w:val="24"/>
        </w:rPr>
        <w:br w:type="page"/>
      </w:r>
      <w:bookmarkStart w:name="_Toc239649238" w:id="28"/>
      <w:r w:rsidRPr="005E5681" w:rsidR="005C0FF9">
        <w:rPr>
          <w:rFonts w:ascii="Times New Roman" w:hAnsi="Times New Roman"/>
          <w:b/>
          <w:bCs/>
          <w:sz w:val="24"/>
          <w:szCs w:val="24"/>
        </w:rPr>
        <w:lastRenderedPageBreak/>
        <w:t xml:space="preserve">17.  </w:t>
      </w:r>
      <w:r w:rsidRPr="005E5681" w:rsidR="005C0FF9">
        <w:rPr>
          <w:rFonts w:ascii="Times New Roman" w:hAnsi="Times New Roman"/>
          <w:b/>
          <w:bCs/>
          <w:sz w:val="24"/>
          <w:szCs w:val="24"/>
          <w:u w:val="single"/>
        </w:rPr>
        <w:t>Reason(s) Display of OMB Expiration Date is Inappropriate</w:t>
      </w:r>
      <w:bookmarkEnd w:id="28"/>
    </w:p>
    <w:p w:rsidRPr="005E5681" w:rsidR="005C0FF9" w:rsidP="00EB43D0" w:rsidRDefault="005C0FF9" w14:paraId="04E60FD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5E5681" w:rsidR="005C0FF9" w:rsidP="00CE4712" w:rsidRDefault="009943A6" w14:paraId="08FB05C0"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sz w:val="24"/>
          <w:szCs w:val="24"/>
        </w:rPr>
      </w:pPr>
      <w:r w:rsidRPr="00874C20">
        <w:rPr>
          <w:rFonts w:ascii="Times New Roman" w:hAnsi="Times New Roman"/>
          <w:sz w:val="24"/>
          <w:szCs w:val="24"/>
        </w:rPr>
        <w:t xml:space="preserve">We are </w:t>
      </w:r>
      <w:r>
        <w:rPr>
          <w:rFonts w:ascii="Times New Roman" w:hAnsi="Times New Roman"/>
          <w:sz w:val="24"/>
          <w:szCs w:val="24"/>
        </w:rPr>
        <w:t xml:space="preserve">not </w:t>
      </w:r>
      <w:r w:rsidRPr="00874C20">
        <w:rPr>
          <w:rFonts w:ascii="Times New Roman" w:hAnsi="Times New Roman"/>
          <w:sz w:val="24"/>
          <w:szCs w:val="24"/>
        </w:rPr>
        <w:t xml:space="preserve">requesting </w:t>
      </w:r>
      <w:r>
        <w:rPr>
          <w:rFonts w:ascii="Times New Roman" w:hAnsi="Times New Roman"/>
          <w:sz w:val="24"/>
          <w:szCs w:val="24"/>
        </w:rPr>
        <w:t>an</w:t>
      </w:r>
      <w:r w:rsidRPr="00874C20">
        <w:rPr>
          <w:rFonts w:ascii="Times New Roman" w:hAnsi="Times New Roman"/>
          <w:sz w:val="24"/>
          <w:szCs w:val="24"/>
        </w:rPr>
        <w:t xml:space="preserve"> exemption</w:t>
      </w:r>
      <w:r w:rsidRPr="00BF4123">
        <w:rPr>
          <w:rFonts w:ascii="Times New Roman" w:hAnsi="Times New Roman"/>
          <w:sz w:val="24"/>
          <w:szCs w:val="24"/>
        </w:rPr>
        <w:t xml:space="preserve"> to this requirement.</w:t>
      </w:r>
      <w:r>
        <w:rPr>
          <w:rFonts w:ascii="Times New Roman" w:hAnsi="Times New Roman"/>
          <w:sz w:val="24"/>
          <w:szCs w:val="24"/>
        </w:rPr>
        <w:t xml:space="preserve"> </w:t>
      </w:r>
      <w:r w:rsidRPr="005E5681" w:rsidR="005C0FF9">
        <w:rPr>
          <w:rFonts w:ascii="Times New Roman" w:hAnsi="Times New Roman"/>
          <w:sz w:val="24"/>
          <w:szCs w:val="24"/>
        </w:rPr>
        <w:t>The OMB expiration date will be displayed.</w:t>
      </w:r>
    </w:p>
    <w:p w:rsidRPr="005E5681" w:rsidR="005C0FF9" w:rsidP="00EB43D0" w:rsidRDefault="005C0FF9" w14:paraId="21184B47"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szCs w:val="24"/>
        </w:rPr>
      </w:pPr>
    </w:p>
    <w:p w:rsidRPr="005E5681" w:rsidR="005C0FF9" w:rsidP="00EB43D0" w:rsidRDefault="005C0FF9" w14:paraId="3C0CA2E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u w:val="single"/>
        </w:rPr>
      </w:pPr>
      <w:bookmarkStart w:name="_Toc239649239" w:id="29"/>
      <w:r w:rsidRPr="005E5681">
        <w:rPr>
          <w:rFonts w:ascii="Times New Roman" w:hAnsi="Times New Roman"/>
          <w:b/>
          <w:bCs/>
          <w:sz w:val="24"/>
          <w:szCs w:val="24"/>
        </w:rPr>
        <w:t xml:space="preserve">18.  </w:t>
      </w:r>
      <w:r w:rsidRPr="005E5681">
        <w:rPr>
          <w:rFonts w:ascii="Times New Roman" w:hAnsi="Times New Roman"/>
          <w:b/>
          <w:bCs/>
          <w:sz w:val="24"/>
          <w:szCs w:val="24"/>
          <w:u w:val="single"/>
        </w:rPr>
        <w:t>Exceptions to Certification for Paperwork Reduction Act Submissions</w:t>
      </w:r>
      <w:bookmarkEnd w:id="29"/>
    </w:p>
    <w:p w:rsidRPr="005E5681" w:rsidR="005C0FF9" w:rsidP="00EB43D0" w:rsidRDefault="005C0FF9" w14:paraId="4BD370E2"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005C0FF9" w:rsidP="00CE4712" w:rsidRDefault="005C0FF9" w14:paraId="099E6193"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b/>
          <w:bCs/>
          <w:sz w:val="24"/>
          <w:szCs w:val="24"/>
        </w:rPr>
      </w:pPr>
      <w:r w:rsidRPr="005E5681">
        <w:rPr>
          <w:rFonts w:ascii="Times New Roman" w:hAnsi="Times New Roman"/>
          <w:sz w:val="24"/>
          <w:szCs w:val="24"/>
        </w:rPr>
        <w:t>These information collection activities involve no exception to the Certification for Paperwork Reduction Act Submissions.</w:t>
      </w:r>
      <w:r w:rsidRPr="002051D8">
        <w:rPr>
          <w:rFonts w:ascii="Times New Roman" w:hAnsi="Times New Roman"/>
          <w:b/>
          <w:bCs/>
          <w:sz w:val="24"/>
          <w:szCs w:val="24"/>
        </w:rPr>
        <w:t xml:space="preserve"> </w:t>
      </w:r>
    </w:p>
    <w:p w:rsidR="00057464" w:rsidP="00D74E76" w:rsidRDefault="00057464" w14:paraId="1C120538"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szCs w:val="24"/>
        </w:rPr>
      </w:pPr>
    </w:p>
    <w:p w:rsidRPr="00CE4712" w:rsidR="00CE4712" w:rsidP="00CE4712" w:rsidRDefault="00CE4712" w14:paraId="7A5EED63"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b/>
          <w:sz w:val="24"/>
          <w:szCs w:val="24"/>
        </w:rPr>
      </w:pPr>
      <w:r w:rsidRPr="00CE4712">
        <w:rPr>
          <w:rFonts w:ascii="Times New Roman" w:hAnsi="Times New Roman"/>
          <w:b/>
          <w:sz w:val="24"/>
          <w:szCs w:val="24"/>
        </w:rPr>
        <w:t>References</w:t>
      </w:r>
    </w:p>
    <w:p w:rsidR="00057464" w:rsidP="00CE4712" w:rsidRDefault="00057464" w14:paraId="26C5EA13"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sz w:val="24"/>
          <w:szCs w:val="24"/>
        </w:rPr>
      </w:pPr>
    </w:p>
    <w:p w:rsidRPr="00CE4712" w:rsidR="00CE4712" w:rsidP="00CE4712" w:rsidRDefault="00CE4712" w14:paraId="11B19F2A"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sz w:val="24"/>
          <w:szCs w:val="24"/>
        </w:rPr>
      </w:pPr>
      <w:r w:rsidRPr="00CE4712">
        <w:rPr>
          <w:rFonts w:ascii="Times New Roman" w:hAnsi="Times New Roman"/>
          <w:sz w:val="24"/>
          <w:szCs w:val="24"/>
        </w:rPr>
        <w:t>Abreu, D. A., &amp; Winters, F. (1999). Using monetary incentives to reduce attrition in the survey of incom</w:t>
      </w:r>
      <w:r>
        <w:rPr>
          <w:rFonts w:ascii="Times New Roman" w:hAnsi="Times New Roman"/>
          <w:sz w:val="24"/>
          <w:szCs w:val="24"/>
        </w:rPr>
        <w:t xml:space="preserve">e and program participation. </w:t>
      </w:r>
      <w:r w:rsidRPr="00CE4712">
        <w:rPr>
          <w:rFonts w:ascii="Times New Roman" w:hAnsi="Times New Roman"/>
          <w:i/>
          <w:sz w:val="24"/>
          <w:szCs w:val="24"/>
        </w:rPr>
        <w:t xml:space="preserve">Proceedings of the Survey Research Methods Section </w:t>
      </w:r>
      <w:r w:rsidRPr="00CE4712">
        <w:rPr>
          <w:rFonts w:ascii="Times New Roman" w:hAnsi="Times New Roman"/>
          <w:sz w:val="24"/>
          <w:szCs w:val="24"/>
        </w:rPr>
        <w:t>(pp. 533-538).</w:t>
      </w:r>
    </w:p>
    <w:p w:rsidR="00CE4712" w:rsidP="00CE4712" w:rsidRDefault="00CE4712" w14:paraId="6633D3F0"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sz w:val="24"/>
          <w:szCs w:val="24"/>
        </w:rPr>
      </w:pPr>
    </w:p>
    <w:p w:rsidRPr="00CE4712" w:rsidR="00CE4712" w:rsidP="00CE4712" w:rsidRDefault="00CE4712" w14:paraId="6D569B8A"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sz w:val="24"/>
          <w:szCs w:val="24"/>
        </w:rPr>
      </w:pPr>
      <w:r w:rsidRPr="00CE4712">
        <w:rPr>
          <w:rFonts w:ascii="Times New Roman" w:hAnsi="Times New Roman"/>
          <w:sz w:val="24"/>
          <w:szCs w:val="24"/>
        </w:rPr>
        <w:t>Castiglioni, L., Pforr, K., &amp; Krieger, U. (2008, December). The effect of incentives on response rates and panel attrition: Results</w:t>
      </w:r>
      <w:r>
        <w:rPr>
          <w:rFonts w:ascii="Times New Roman" w:hAnsi="Times New Roman"/>
          <w:sz w:val="24"/>
          <w:szCs w:val="24"/>
        </w:rPr>
        <w:t xml:space="preserve"> of a controlled experiment. </w:t>
      </w:r>
      <w:r w:rsidRPr="00CE4712">
        <w:rPr>
          <w:rFonts w:ascii="Times New Roman" w:hAnsi="Times New Roman"/>
          <w:i/>
          <w:sz w:val="24"/>
          <w:szCs w:val="24"/>
        </w:rPr>
        <w:t>Survey Research Methods (</w:t>
      </w:r>
      <w:r w:rsidRPr="00CE4712">
        <w:rPr>
          <w:rFonts w:ascii="Times New Roman" w:hAnsi="Times New Roman"/>
          <w:sz w:val="24"/>
          <w:szCs w:val="24"/>
        </w:rPr>
        <w:t>Vol. 2, No. 3, pp. 151-158).</w:t>
      </w:r>
    </w:p>
    <w:p w:rsidR="00CE4712" w:rsidP="00CE4712" w:rsidRDefault="00CE4712" w14:paraId="2E99F8EA"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sz w:val="24"/>
          <w:szCs w:val="24"/>
        </w:rPr>
      </w:pPr>
    </w:p>
    <w:p w:rsidRPr="00CE4712" w:rsidR="00CE4712" w:rsidP="00CE4712" w:rsidRDefault="00CE4712" w14:paraId="63EF058B"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sz w:val="24"/>
          <w:szCs w:val="24"/>
        </w:rPr>
      </w:pPr>
      <w:r w:rsidRPr="00CE4712">
        <w:rPr>
          <w:rFonts w:ascii="Times New Roman" w:hAnsi="Times New Roman"/>
          <w:sz w:val="24"/>
          <w:szCs w:val="24"/>
        </w:rPr>
        <w:t xml:space="preserve">Jäckle, A., &amp; Lynn, P. (2008). Offre de primes d’encouragement aux répondants dans une enquête par panel multimodes: effets cumulatifs sur la non-réponse et le biais. </w:t>
      </w:r>
      <w:r w:rsidRPr="00CE4712">
        <w:rPr>
          <w:rFonts w:ascii="Times New Roman" w:hAnsi="Times New Roman"/>
          <w:i/>
          <w:sz w:val="24"/>
          <w:szCs w:val="24"/>
        </w:rPr>
        <w:t>Techniques d’enquête</w:t>
      </w:r>
      <w:r w:rsidRPr="00CE4712">
        <w:rPr>
          <w:rFonts w:ascii="Times New Roman" w:hAnsi="Times New Roman"/>
          <w:sz w:val="24"/>
          <w:szCs w:val="24"/>
        </w:rPr>
        <w:t>, 34(1), 115-130.</w:t>
      </w:r>
    </w:p>
    <w:p w:rsidR="00CE4712" w:rsidP="00CE4712" w:rsidRDefault="00CE4712" w14:paraId="63B48BD9"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sz w:val="24"/>
          <w:szCs w:val="24"/>
        </w:rPr>
      </w:pPr>
    </w:p>
    <w:p w:rsidRPr="00CE4712" w:rsidR="00CE4712" w:rsidP="00CE4712" w:rsidRDefault="00CE4712" w14:paraId="2065E252"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sz w:val="24"/>
          <w:szCs w:val="24"/>
        </w:rPr>
      </w:pPr>
      <w:r w:rsidRPr="00CE4712">
        <w:rPr>
          <w:rFonts w:ascii="Times New Roman" w:hAnsi="Times New Roman"/>
          <w:sz w:val="24"/>
          <w:szCs w:val="24"/>
        </w:rPr>
        <w:t>Singer, E. (2002). The use of incentives to reduce nonrespons</w:t>
      </w:r>
      <w:r>
        <w:rPr>
          <w:rFonts w:ascii="Times New Roman" w:hAnsi="Times New Roman"/>
          <w:sz w:val="24"/>
          <w:szCs w:val="24"/>
        </w:rPr>
        <w:t xml:space="preserve">e in household surveys. </w:t>
      </w:r>
      <w:r w:rsidRPr="00CE4712">
        <w:rPr>
          <w:rFonts w:ascii="Times New Roman" w:hAnsi="Times New Roman"/>
          <w:i/>
          <w:sz w:val="24"/>
          <w:szCs w:val="24"/>
        </w:rPr>
        <w:t>Survey Nonresponse</w:t>
      </w:r>
      <w:r w:rsidRPr="00CE4712">
        <w:rPr>
          <w:rFonts w:ascii="Times New Roman" w:hAnsi="Times New Roman"/>
          <w:sz w:val="24"/>
          <w:szCs w:val="24"/>
        </w:rPr>
        <w:t>, 51, 163-177.</w:t>
      </w:r>
    </w:p>
    <w:p w:rsidR="00CE4712" w:rsidP="00CE4712" w:rsidRDefault="00CE4712" w14:paraId="7FA81922"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sz w:val="24"/>
          <w:szCs w:val="24"/>
        </w:rPr>
      </w:pPr>
    </w:p>
    <w:p w:rsidRPr="002051D8" w:rsidR="00CE4712" w:rsidP="00CE4712" w:rsidRDefault="00CE4712" w14:paraId="6ED93A24"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sz w:val="24"/>
          <w:szCs w:val="24"/>
        </w:rPr>
      </w:pPr>
      <w:r w:rsidRPr="00CE4712">
        <w:rPr>
          <w:rFonts w:ascii="Times New Roman" w:hAnsi="Times New Roman"/>
          <w:sz w:val="24"/>
          <w:szCs w:val="24"/>
        </w:rPr>
        <w:t xml:space="preserve">Shettle, C., &amp; Mooney, G. (1999). Monetary incentives in US government surveys. </w:t>
      </w:r>
      <w:r w:rsidRPr="00CE4712">
        <w:rPr>
          <w:rFonts w:ascii="Times New Roman" w:hAnsi="Times New Roman"/>
          <w:i/>
          <w:sz w:val="24"/>
          <w:szCs w:val="24"/>
        </w:rPr>
        <w:t>Journal of Official Statistics</w:t>
      </w:r>
      <w:r w:rsidRPr="00CE4712">
        <w:rPr>
          <w:rFonts w:ascii="Times New Roman" w:hAnsi="Times New Roman"/>
          <w:sz w:val="24"/>
          <w:szCs w:val="24"/>
        </w:rPr>
        <w:t>, 15(2), 231.</w:t>
      </w:r>
    </w:p>
    <w:sectPr w:rsidRPr="002051D8" w:rsidR="00CE4712" w:rsidSect="002E3ECD">
      <w:footerReference w:type="default" r:id="rId11"/>
      <w:headerReference w:type="first" r:id="rId12"/>
      <w:footerReference w:type="first" r:id="rId13"/>
      <w:type w:val="continuous"/>
      <w:pgSz w:w="12240" w:h="15840"/>
      <w:pgMar w:top="1440" w:right="1440" w:bottom="1440" w:left="1440" w:header="144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3E3C6" w14:textId="77777777" w:rsidR="00444EA4" w:rsidRDefault="00444EA4">
      <w:r>
        <w:separator/>
      </w:r>
    </w:p>
  </w:endnote>
  <w:endnote w:type="continuationSeparator" w:id="0">
    <w:p w14:paraId="1AD83525" w14:textId="77777777" w:rsidR="00444EA4" w:rsidRDefault="00444EA4">
      <w:r>
        <w:continuationSeparator/>
      </w:r>
    </w:p>
  </w:endnote>
  <w:endnote w:type="continuationNotice" w:id="1">
    <w:p w14:paraId="6582398C" w14:textId="77777777" w:rsidR="00444EA4" w:rsidRDefault="00444E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590D7" w14:textId="77777777" w:rsidR="001605F2" w:rsidRPr="002E3ECD" w:rsidRDefault="002E3ECD" w:rsidP="002E3ECD">
    <w:pPr>
      <w:pStyle w:val="Footer"/>
      <w:jc w:val="center"/>
      <w:rPr>
        <w:sz w:val="16"/>
        <w:szCs w:val="16"/>
      </w:rPr>
    </w:pPr>
    <w:r w:rsidRPr="002E3ECD">
      <w:rPr>
        <w:sz w:val="16"/>
        <w:szCs w:val="16"/>
      </w:rPr>
      <w:t xml:space="preserve">Page </w:t>
    </w:r>
    <w:r w:rsidRPr="002E3ECD">
      <w:rPr>
        <w:b/>
        <w:bCs/>
        <w:sz w:val="16"/>
        <w:szCs w:val="16"/>
      </w:rPr>
      <w:fldChar w:fldCharType="begin"/>
    </w:r>
    <w:r w:rsidRPr="002E3ECD">
      <w:rPr>
        <w:b/>
        <w:bCs/>
        <w:sz w:val="16"/>
        <w:szCs w:val="16"/>
      </w:rPr>
      <w:instrText xml:space="preserve"> PAGE </w:instrText>
    </w:r>
    <w:r w:rsidRPr="002E3ECD">
      <w:rPr>
        <w:b/>
        <w:bCs/>
        <w:sz w:val="16"/>
        <w:szCs w:val="16"/>
      </w:rPr>
      <w:fldChar w:fldCharType="separate"/>
    </w:r>
    <w:r w:rsidR="001D7784">
      <w:rPr>
        <w:b/>
        <w:bCs/>
        <w:noProof/>
        <w:sz w:val="16"/>
        <w:szCs w:val="16"/>
      </w:rPr>
      <w:t>12</w:t>
    </w:r>
    <w:r w:rsidRPr="002E3ECD">
      <w:rPr>
        <w:b/>
        <w:bCs/>
        <w:sz w:val="16"/>
        <w:szCs w:val="16"/>
      </w:rPr>
      <w:fldChar w:fldCharType="end"/>
    </w:r>
    <w:r w:rsidRPr="002E3ECD">
      <w:rPr>
        <w:sz w:val="16"/>
        <w:szCs w:val="16"/>
      </w:rPr>
      <w:t xml:space="preserve"> of </w:t>
    </w:r>
    <w:r w:rsidRPr="002E3ECD">
      <w:rPr>
        <w:b/>
        <w:bCs/>
        <w:sz w:val="16"/>
        <w:szCs w:val="16"/>
      </w:rPr>
      <w:fldChar w:fldCharType="begin"/>
    </w:r>
    <w:r w:rsidRPr="002E3ECD">
      <w:rPr>
        <w:b/>
        <w:bCs/>
        <w:sz w:val="16"/>
        <w:szCs w:val="16"/>
      </w:rPr>
      <w:instrText xml:space="preserve"> NUMPAGES  </w:instrText>
    </w:r>
    <w:r w:rsidRPr="002E3ECD">
      <w:rPr>
        <w:b/>
        <w:bCs/>
        <w:sz w:val="16"/>
        <w:szCs w:val="16"/>
      </w:rPr>
      <w:fldChar w:fldCharType="separate"/>
    </w:r>
    <w:r w:rsidR="001D7784">
      <w:rPr>
        <w:b/>
        <w:bCs/>
        <w:noProof/>
        <w:sz w:val="16"/>
        <w:szCs w:val="16"/>
      </w:rPr>
      <w:t>12</w:t>
    </w:r>
    <w:r w:rsidRPr="002E3ECD">
      <w:rPr>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170B2" w14:textId="77777777" w:rsidR="002E3ECD" w:rsidRPr="002E3ECD" w:rsidRDefault="002E3ECD" w:rsidP="002E3ECD">
    <w:pPr>
      <w:pStyle w:val="Header"/>
      <w:jc w:val="center"/>
      <w:rPr>
        <w:sz w:val="16"/>
      </w:rPr>
    </w:pPr>
    <w:r w:rsidRPr="002E3ECD">
      <w:rPr>
        <w:sz w:val="16"/>
      </w:rPr>
      <w:t xml:space="preserve">Page </w:t>
    </w:r>
    <w:r w:rsidRPr="002E3ECD">
      <w:rPr>
        <w:b/>
        <w:bCs/>
        <w:sz w:val="16"/>
      </w:rPr>
      <w:fldChar w:fldCharType="begin"/>
    </w:r>
    <w:r w:rsidRPr="002E3ECD">
      <w:rPr>
        <w:b/>
        <w:bCs/>
        <w:sz w:val="16"/>
      </w:rPr>
      <w:instrText xml:space="preserve"> PAGE </w:instrText>
    </w:r>
    <w:r w:rsidRPr="002E3ECD">
      <w:rPr>
        <w:b/>
        <w:bCs/>
        <w:sz w:val="16"/>
      </w:rPr>
      <w:fldChar w:fldCharType="separate"/>
    </w:r>
    <w:r w:rsidR="001D7784">
      <w:rPr>
        <w:b/>
        <w:bCs/>
        <w:noProof/>
        <w:sz w:val="16"/>
      </w:rPr>
      <w:t>1</w:t>
    </w:r>
    <w:r w:rsidRPr="002E3ECD">
      <w:rPr>
        <w:b/>
        <w:bCs/>
        <w:sz w:val="16"/>
      </w:rPr>
      <w:fldChar w:fldCharType="end"/>
    </w:r>
    <w:r w:rsidRPr="002E3ECD">
      <w:rPr>
        <w:sz w:val="16"/>
      </w:rPr>
      <w:t xml:space="preserve"> of </w:t>
    </w:r>
    <w:r w:rsidRPr="002E3ECD">
      <w:rPr>
        <w:b/>
        <w:bCs/>
        <w:sz w:val="16"/>
      </w:rPr>
      <w:fldChar w:fldCharType="begin"/>
    </w:r>
    <w:r w:rsidRPr="002E3ECD">
      <w:rPr>
        <w:b/>
        <w:bCs/>
        <w:sz w:val="16"/>
      </w:rPr>
      <w:instrText xml:space="preserve"> NUMPAGES  </w:instrText>
    </w:r>
    <w:r w:rsidRPr="002E3ECD">
      <w:rPr>
        <w:b/>
        <w:bCs/>
        <w:sz w:val="16"/>
      </w:rPr>
      <w:fldChar w:fldCharType="separate"/>
    </w:r>
    <w:r w:rsidR="001D7784">
      <w:rPr>
        <w:b/>
        <w:bCs/>
        <w:noProof/>
        <w:sz w:val="16"/>
      </w:rPr>
      <w:t>12</w:t>
    </w:r>
    <w:r w:rsidRPr="002E3ECD">
      <w:rPr>
        <w:b/>
        <w:bCs/>
        <w:sz w:val="16"/>
      </w:rPr>
      <w:fldChar w:fldCharType="end"/>
    </w:r>
  </w:p>
  <w:p w14:paraId="3C3D1756" w14:textId="77777777" w:rsidR="002E3ECD" w:rsidRDefault="002E3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655E5" w14:textId="77777777" w:rsidR="00444EA4" w:rsidRDefault="00444EA4">
      <w:r>
        <w:separator/>
      </w:r>
    </w:p>
  </w:footnote>
  <w:footnote w:type="continuationSeparator" w:id="0">
    <w:p w14:paraId="1F347343" w14:textId="77777777" w:rsidR="00444EA4" w:rsidRDefault="00444EA4">
      <w:r>
        <w:continuationSeparator/>
      </w:r>
    </w:p>
  </w:footnote>
  <w:footnote w:type="continuationNotice" w:id="1">
    <w:p w14:paraId="5821FCA4" w14:textId="77777777" w:rsidR="00444EA4" w:rsidRDefault="00444E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BF971" w14:textId="2AEA2CCF" w:rsidR="00635B7B" w:rsidRPr="0082679B" w:rsidRDefault="00813FD2" w:rsidP="00BE6F8F">
    <w:pPr>
      <w:pStyle w:val="Default"/>
      <w:jc w:val="center"/>
      <w:rPr>
        <w:b/>
      </w:rPr>
    </w:pPr>
    <w:r>
      <w:rPr>
        <w:b/>
      </w:rPr>
      <w:t>U.S. Food and Drug Administration</w:t>
    </w:r>
  </w:p>
  <w:p w14:paraId="281BECDC" w14:textId="77777777" w:rsidR="00813FD2" w:rsidRDefault="00813FD2" w:rsidP="00635B7B">
    <w:pPr>
      <w:pStyle w:val="Header"/>
      <w:jc w:val="center"/>
      <w:rPr>
        <w:rFonts w:ascii="Times New Roman" w:hAnsi="Times New Roman"/>
        <w:b/>
        <w:sz w:val="24"/>
        <w:szCs w:val="24"/>
      </w:rPr>
    </w:pPr>
  </w:p>
  <w:p w14:paraId="589D31AD" w14:textId="525A6D9E" w:rsidR="002E3ECD" w:rsidRPr="0082679B" w:rsidRDefault="00635B7B" w:rsidP="00635B7B">
    <w:pPr>
      <w:pStyle w:val="Header"/>
      <w:jc w:val="center"/>
      <w:rPr>
        <w:rFonts w:ascii="Times New Roman" w:hAnsi="Times New Roman"/>
        <w:b/>
        <w:sz w:val="24"/>
        <w:szCs w:val="24"/>
      </w:rPr>
    </w:pPr>
    <w:r w:rsidRPr="0082679B">
      <w:rPr>
        <w:rFonts w:ascii="Times New Roman" w:hAnsi="Times New Roman"/>
        <w:b/>
        <w:sz w:val="24"/>
        <w:szCs w:val="24"/>
      </w:rPr>
      <w:t>FDA Tobacco Prevention Broad Quantitative Research</w:t>
    </w:r>
    <w:r w:rsidR="008E1CBF">
      <w:rPr>
        <w:rFonts w:ascii="Times New Roman" w:hAnsi="Times New Roman"/>
        <w:b/>
        <w:sz w:val="24"/>
        <w:szCs w:val="24"/>
      </w:rPr>
      <w:t xml:space="preserve"> Package</w:t>
    </w:r>
    <w:r w:rsidRPr="0082679B">
      <w:rPr>
        <w:rFonts w:ascii="Times New Roman" w:hAnsi="Times New Roman"/>
        <w:b/>
        <w:sz w:val="24"/>
        <w:szCs w:val="24"/>
      </w:rPr>
      <w:t xml:space="preserve"> </w:t>
    </w:r>
  </w:p>
  <w:p w14:paraId="21879A95" w14:textId="77777777" w:rsidR="00635B7B" w:rsidRPr="0082679B" w:rsidRDefault="00635B7B" w:rsidP="00635B7B">
    <w:pPr>
      <w:pStyle w:val="Header"/>
      <w:jc w:val="center"/>
      <w:rPr>
        <w:rFonts w:ascii="Times New Roman" w:hAnsi="Times New Roman"/>
        <w:b/>
        <w:sz w:val="24"/>
        <w:szCs w:val="24"/>
      </w:rPr>
    </w:pPr>
  </w:p>
  <w:p w14:paraId="6A420CB6" w14:textId="2FC242E0" w:rsidR="00635B7B" w:rsidRDefault="00635B7B" w:rsidP="00635B7B">
    <w:pPr>
      <w:pStyle w:val="Header"/>
      <w:jc w:val="center"/>
      <w:rPr>
        <w:rFonts w:ascii="Times New Roman" w:hAnsi="Times New Roman"/>
        <w:b/>
        <w:sz w:val="24"/>
        <w:szCs w:val="24"/>
      </w:rPr>
    </w:pPr>
    <w:r w:rsidRPr="0082679B">
      <w:rPr>
        <w:rFonts w:ascii="Times New Roman" w:hAnsi="Times New Roman"/>
        <w:b/>
        <w:sz w:val="24"/>
        <w:szCs w:val="24"/>
      </w:rPr>
      <w:t>Supporting Statement: Part A</w:t>
    </w:r>
  </w:p>
  <w:p w14:paraId="58B7192A" w14:textId="77777777" w:rsidR="00940B06" w:rsidRPr="0082679B" w:rsidRDefault="00940B06" w:rsidP="00635B7B">
    <w:pPr>
      <w:pStyle w:val="Header"/>
      <w:jc w:val="center"/>
      <w:rPr>
        <w:rFonts w:ascii="Times New Roman" w:hAnsi="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50D5A"/>
    <w:multiLevelType w:val="multilevel"/>
    <w:tmpl w:val="B732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303B4"/>
    <w:multiLevelType w:val="hybridMultilevel"/>
    <w:tmpl w:val="7DE422F8"/>
    <w:lvl w:ilvl="0" w:tplc="2C80719A">
      <w:start w:val="2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106E26"/>
    <w:multiLevelType w:val="hybridMultilevel"/>
    <w:tmpl w:val="119E31F8"/>
    <w:lvl w:ilvl="0" w:tplc="4A60DA54">
      <w:numFmt w:val="bullet"/>
      <w:lvlText w:val="•"/>
      <w:lvlJc w:val="left"/>
      <w:pPr>
        <w:ind w:left="990" w:hanging="45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CA37B7F"/>
    <w:multiLevelType w:val="hybridMultilevel"/>
    <w:tmpl w:val="24E0268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E131405"/>
    <w:multiLevelType w:val="singleLevel"/>
    <w:tmpl w:val="BB9A9BE4"/>
    <w:lvl w:ilvl="0">
      <w:start w:val="17"/>
      <w:numFmt w:val="decimal"/>
      <w:lvlText w:val="%1."/>
      <w:legacy w:legacy="1" w:legacySpace="0" w:legacyIndent="1"/>
      <w:lvlJc w:val="left"/>
      <w:pPr>
        <w:ind w:left="1" w:hanging="1"/>
      </w:pPr>
      <w:rPr>
        <w:rFonts w:ascii="Times New Roman" w:hAnsi="Times New Roman" w:cs="Times New Roman" w:hint="default"/>
      </w:rPr>
    </w:lvl>
  </w:abstractNum>
  <w:abstractNum w:abstractNumId="5" w15:restartNumberingAfterBreak="0">
    <w:nsid w:val="0FA73F38"/>
    <w:multiLevelType w:val="hybridMultilevel"/>
    <w:tmpl w:val="FD983D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050E56"/>
    <w:multiLevelType w:val="hybridMultilevel"/>
    <w:tmpl w:val="513CC2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1B2BAD"/>
    <w:multiLevelType w:val="hybridMultilevel"/>
    <w:tmpl w:val="959615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745233"/>
    <w:multiLevelType w:val="singleLevel"/>
    <w:tmpl w:val="680C1442"/>
    <w:lvl w:ilvl="0">
      <w:start w:val="1"/>
      <w:numFmt w:val="decimal"/>
      <w:lvlText w:val="%1."/>
      <w:legacy w:legacy="1" w:legacySpace="0" w:legacyIndent="1"/>
      <w:lvlJc w:val="left"/>
      <w:pPr>
        <w:ind w:left="721" w:hanging="1"/>
      </w:pPr>
      <w:rPr>
        <w:rFonts w:ascii="Times New Roman" w:hAnsi="Times New Roman" w:cs="Times New Roman" w:hint="default"/>
      </w:rPr>
    </w:lvl>
  </w:abstractNum>
  <w:abstractNum w:abstractNumId="9" w15:restartNumberingAfterBreak="0">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D2956"/>
    <w:multiLevelType w:val="hybridMultilevel"/>
    <w:tmpl w:val="FD126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E4934"/>
    <w:multiLevelType w:val="hybridMultilevel"/>
    <w:tmpl w:val="07605CE8"/>
    <w:lvl w:ilvl="0" w:tplc="04090001">
      <w:start w:val="1"/>
      <w:numFmt w:val="bullet"/>
      <w:lvlText w:val=""/>
      <w:lvlJc w:val="left"/>
      <w:pPr>
        <w:ind w:left="720" w:hanging="360"/>
      </w:pPr>
      <w:rPr>
        <w:rFonts w:ascii="Symbol" w:hAnsi="Symbol" w:hint="default"/>
      </w:rPr>
    </w:lvl>
    <w:lvl w:ilvl="1" w:tplc="CE26FD3E">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11841"/>
    <w:multiLevelType w:val="hybridMultilevel"/>
    <w:tmpl w:val="598A8588"/>
    <w:lvl w:ilvl="0" w:tplc="2C80719A">
      <w:start w:val="2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A6F81"/>
    <w:multiLevelType w:val="hybridMultilevel"/>
    <w:tmpl w:val="D1D204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24D79AF"/>
    <w:multiLevelType w:val="hybridMultilevel"/>
    <w:tmpl w:val="13308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D158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630000E"/>
    <w:multiLevelType w:val="hybridMultilevel"/>
    <w:tmpl w:val="254095CE"/>
    <w:lvl w:ilvl="0" w:tplc="CE26FD3E">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3BF26874"/>
    <w:multiLevelType w:val="hybridMultilevel"/>
    <w:tmpl w:val="9E0E01E0"/>
    <w:lvl w:ilvl="0" w:tplc="2C80719A">
      <w:start w:val="2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E866D21"/>
    <w:multiLevelType w:val="singleLevel"/>
    <w:tmpl w:val="BB9A9BE4"/>
    <w:lvl w:ilvl="0">
      <w:start w:val="17"/>
      <w:numFmt w:val="decimal"/>
      <w:lvlText w:val="%1."/>
      <w:legacy w:legacy="1" w:legacySpace="0" w:legacyIndent="1"/>
      <w:lvlJc w:val="left"/>
      <w:pPr>
        <w:ind w:left="721" w:hanging="1"/>
      </w:pPr>
      <w:rPr>
        <w:rFonts w:ascii="Times New Roman" w:hAnsi="Times New Roman" w:cs="Times New Roman" w:hint="default"/>
      </w:rPr>
    </w:lvl>
  </w:abstractNum>
  <w:abstractNum w:abstractNumId="21" w15:restartNumberingAfterBreak="0">
    <w:nsid w:val="3EDD7500"/>
    <w:multiLevelType w:val="singleLevel"/>
    <w:tmpl w:val="89E80FDA"/>
    <w:lvl w:ilvl="0">
      <w:start w:val="10"/>
      <w:numFmt w:val="decimal"/>
      <w:lvlText w:val="%1."/>
      <w:legacy w:legacy="1" w:legacySpace="0" w:legacyIndent="1"/>
      <w:lvlJc w:val="left"/>
      <w:pPr>
        <w:ind w:left="721" w:hanging="1"/>
      </w:pPr>
      <w:rPr>
        <w:rFonts w:ascii="Times New Roman" w:hAnsi="Times New Roman" w:cs="Times New Roman" w:hint="default"/>
      </w:rPr>
    </w:lvl>
  </w:abstractNum>
  <w:abstractNum w:abstractNumId="22" w15:restartNumberingAfterBreak="0">
    <w:nsid w:val="414533CB"/>
    <w:multiLevelType w:val="hybridMultilevel"/>
    <w:tmpl w:val="571EB218"/>
    <w:lvl w:ilvl="0" w:tplc="4A60DA54">
      <w:numFmt w:val="bullet"/>
      <w:lvlText w:val="•"/>
      <w:lvlJc w:val="left"/>
      <w:pPr>
        <w:ind w:left="1170" w:hanging="45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42270126"/>
    <w:multiLevelType w:val="hybridMultilevel"/>
    <w:tmpl w:val="8EA6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2840A2"/>
    <w:multiLevelType w:val="hybridMultilevel"/>
    <w:tmpl w:val="70EEBB9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7BB124B"/>
    <w:multiLevelType w:val="hybridMultilevel"/>
    <w:tmpl w:val="D8C6B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578CA"/>
    <w:multiLevelType w:val="hybridMultilevel"/>
    <w:tmpl w:val="1C428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6D4087"/>
    <w:multiLevelType w:val="hybridMultilevel"/>
    <w:tmpl w:val="64D4B2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9A2097"/>
    <w:multiLevelType w:val="hybridMultilevel"/>
    <w:tmpl w:val="D2A4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C10E29"/>
    <w:multiLevelType w:val="hybridMultilevel"/>
    <w:tmpl w:val="CA9650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69F2939"/>
    <w:multiLevelType w:val="hybridMultilevel"/>
    <w:tmpl w:val="5D1ED18C"/>
    <w:lvl w:ilvl="0" w:tplc="4A60DA54">
      <w:numFmt w:val="bullet"/>
      <w:lvlText w:val="•"/>
      <w:lvlJc w:val="left"/>
      <w:pPr>
        <w:ind w:left="720" w:hanging="45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2" w15:restartNumberingAfterBreak="0">
    <w:nsid w:val="670919ED"/>
    <w:multiLevelType w:val="hybridMultilevel"/>
    <w:tmpl w:val="A7BEB07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FC3C59"/>
    <w:multiLevelType w:val="hybridMultilevel"/>
    <w:tmpl w:val="C37638E0"/>
    <w:lvl w:ilvl="0" w:tplc="4A60DA54">
      <w:numFmt w:val="bullet"/>
      <w:lvlText w:val="•"/>
      <w:lvlJc w:val="left"/>
      <w:pPr>
        <w:ind w:left="990" w:hanging="45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15:restartNumberingAfterBreak="0">
    <w:nsid w:val="6E046EFC"/>
    <w:multiLevelType w:val="singleLevel"/>
    <w:tmpl w:val="89E80FDA"/>
    <w:lvl w:ilvl="0">
      <w:start w:val="10"/>
      <w:numFmt w:val="decimal"/>
      <w:lvlText w:val="%1."/>
      <w:legacy w:legacy="1" w:legacySpace="0" w:legacyIndent="1"/>
      <w:lvlJc w:val="left"/>
      <w:pPr>
        <w:ind w:left="1" w:hanging="1"/>
      </w:pPr>
      <w:rPr>
        <w:rFonts w:ascii="Times New Roman" w:hAnsi="Times New Roman" w:cs="Times New Roman" w:hint="default"/>
      </w:rPr>
    </w:lvl>
  </w:abstractNum>
  <w:abstractNum w:abstractNumId="35" w15:restartNumberingAfterBreak="0">
    <w:nsid w:val="709F5CFE"/>
    <w:multiLevelType w:val="multilevel"/>
    <w:tmpl w:val="A7BEB07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3A00004"/>
    <w:multiLevelType w:val="hybridMultilevel"/>
    <w:tmpl w:val="7B282C58"/>
    <w:lvl w:ilvl="0" w:tplc="CE26FD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AB1E9C"/>
    <w:multiLevelType w:val="hybridMultilevel"/>
    <w:tmpl w:val="A140AE3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8F364A5"/>
    <w:multiLevelType w:val="hybridMultilevel"/>
    <w:tmpl w:val="D4AE9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C23144"/>
    <w:multiLevelType w:val="hybridMultilevel"/>
    <w:tmpl w:val="BDC831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1"/>
  </w:num>
  <w:num w:numId="3">
    <w:abstractNumId w:val="20"/>
  </w:num>
  <w:num w:numId="4">
    <w:abstractNumId w:val="34"/>
  </w:num>
  <w:num w:numId="5">
    <w:abstractNumId w:val="4"/>
  </w:num>
  <w:num w:numId="6">
    <w:abstractNumId w:val="32"/>
  </w:num>
  <w:num w:numId="7">
    <w:abstractNumId w:val="39"/>
  </w:num>
  <w:num w:numId="8">
    <w:abstractNumId w:val="26"/>
  </w:num>
  <w:num w:numId="9">
    <w:abstractNumId w:val="35"/>
  </w:num>
  <w:num w:numId="10">
    <w:abstractNumId w:val="24"/>
  </w:num>
  <w:num w:numId="11">
    <w:abstractNumId w:val="19"/>
  </w:num>
  <w:num w:numId="12">
    <w:abstractNumId w:val="12"/>
  </w:num>
  <w:num w:numId="13">
    <w:abstractNumId w:val="1"/>
  </w:num>
  <w:num w:numId="14">
    <w:abstractNumId w:val="14"/>
  </w:num>
  <w:num w:numId="15">
    <w:abstractNumId w:val="28"/>
  </w:num>
  <w:num w:numId="16">
    <w:abstractNumId w:val="5"/>
  </w:num>
  <w:num w:numId="17">
    <w:abstractNumId w:val="7"/>
  </w:num>
  <w:num w:numId="18">
    <w:abstractNumId w:val="37"/>
  </w:num>
  <w:num w:numId="19">
    <w:abstractNumId w:val="25"/>
  </w:num>
  <w:num w:numId="20">
    <w:abstractNumId w:val="10"/>
  </w:num>
  <w:num w:numId="21">
    <w:abstractNumId w:val="6"/>
  </w:num>
  <w:num w:numId="22">
    <w:abstractNumId w:val="16"/>
  </w:num>
  <w:num w:numId="23">
    <w:abstractNumId w:val="17"/>
  </w:num>
  <w:num w:numId="24">
    <w:abstractNumId w:val="0"/>
  </w:num>
  <w:num w:numId="25">
    <w:abstractNumId w:val="27"/>
  </w:num>
  <w:num w:numId="26">
    <w:abstractNumId w:val="9"/>
  </w:num>
  <w:num w:numId="27">
    <w:abstractNumId w:val="13"/>
  </w:num>
  <w:num w:numId="28">
    <w:abstractNumId w:val="30"/>
  </w:num>
  <w:num w:numId="29">
    <w:abstractNumId w:val="15"/>
  </w:num>
  <w:num w:numId="30">
    <w:abstractNumId w:val="11"/>
  </w:num>
  <w:num w:numId="31">
    <w:abstractNumId w:val="23"/>
  </w:num>
  <w:num w:numId="32">
    <w:abstractNumId w:val="3"/>
  </w:num>
  <w:num w:numId="33">
    <w:abstractNumId w:val="31"/>
  </w:num>
  <w:num w:numId="34">
    <w:abstractNumId w:val="2"/>
  </w:num>
  <w:num w:numId="35">
    <w:abstractNumId w:val="22"/>
  </w:num>
  <w:num w:numId="36">
    <w:abstractNumId w:val="33"/>
  </w:num>
  <w:num w:numId="37">
    <w:abstractNumId w:val="29"/>
  </w:num>
  <w:num w:numId="38">
    <w:abstractNumId w:val="38"/>
  </w:num>
  <w:num w:numId="39">
    <w:abstractNumId w:val="18"/>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08C"/>
    <w:rsid w:val="0000030B"/>
    <w:rsid w:val="000028A9"/>
    <w:rsid w:val="0000357D"/>
    <w:rsid w:val="00007C02"/>
    <w:rsid w:val="00016DF6"/>
    <w:rsid w:val="000216D8"/>
    <w:rsid w:val="00024664"/>
    <w:rsid w:val="0002650D"/>
    <w:rsid w:val="00040350"/>
    <w:rsid w:val="00057464"/>
    <w:rsid w:val="0006445E"/>
    <w:rsid w:val="0007013B"/>
    <w:rsid w:val="000759F5"/>
    <w:rsid w:val="00075BFF"/>
    <w:rsid w:val="0007649E"/>
    <w:rsid w:val="00077D08"/>
    <w:rsid w:val="00087E7A"/>
    <w:rsid w:val="00092D53"/>
    <w:rsid w:val="000A69E5"/>
    <w:rsid w:val="000B1493"/>
    <w:rsid w:val="000B2AED"/>
    <w:rsid w:val="000B76FE"/>
    <w:rsid w:val="000C5FF3"/>
    <w:rsid w:val="000C6188"/>
    <w:rsid w:val="000D317F"/>
    <w:rsid w:val="000D5B55"/>
    <w:rsid w:val="000E2B4D"/>
    <w:rsid w:val="000E690D"/>
    <w:rsid w:val="000F315B"/>
    <w:rsid w:val="00100781"/>
    <w:rsid w:val="00114ED0"/>
    <w:rsid w:val="00117BD9"/>
    <w:rsid w:val="0013250E"/>
    <w:rsid w:val="001331DD"/>
    <w:rsid w:val="00134977"/>
    <w:rsid w:val="00143DFE"/>
    <w:rsid w:val="00157822"/>
    <w:rsid w:val="001605F2"/>
    <w:rsid w:val="00160B7D"/>
    <w:rsid w:val="00161B0D"/>
    <w:rsid w:val="00164C23"/>
    <w:rsid w:val="001666A0"/>
    <w:rsid w:val="00167209"/>
    <w:rsid w:val="00167A02"/>
    <w:rsid w:val="00170DC8"/>
    <w:rsid w:val="0018222E"/>
    <w:rsid w:val="00182612"/>
    <w:rsid w:val="0018611D"/>
    <w:rsid w:val="001925F1"/>
    <w:rsid w:val="001A241E"/>
    <w:rsid w:val="001A2822"/>
    <w:rsid w:val="001B0183"/>
    <w:rsid w:val="001B0F9B"/>
    <w:rsid w:val="001B33C8"/>
    <w:rsid w:val="001B51A4"/>
    <w:rsid w:val="001C3211"/>
    <w:rsid w:val="001D1D63"/>
    <w:rsid w:val="001D7784"/>
    <w:rsid w:val="001E094C"/>
    <w:rsid w:val="001E22AC"/>
    <w:rsid w:val="001E723C"/>
    <w:rsid w:val="001F24C8"/>
    <w:rsid w:val="001F3059"/>
    <w:rsid w:val="001F41CF"/>
    <w:rsid w:val="002039FC"/>
    <w:rsid w:val="00203CCA"/>
    <w:rsid w:val="002051D8"/>
    <w:rsid w:val="002063C6"/>
    <w:rsid w:val="0020760E"/>
    <w:rsid w:val="00212767"/>
    <w:rsid w:val="00212ECB"/>
    <w:rsid w:val="002173A3"/>
    <w:rsid w:val="00217A3C"/>
    <w:rsid w:val="00221C66"/>
    <w:rsid w:val="0022679B"/>
    <w:rsid w:val="002301EC"/>
    <w:rsid w:val="00230787"/>
    <w:rsid w:val="0023288A"/>
    <w:rsid w:val="0023407D"/>
    <w:rsid w:val="0023594B"/>
    <w:rsid w:val="00237CEC"/>
    <w:rsid w:val="002423EA"/>
    <w:rsid w:val="00242883"/>
    <w:rsid w:val="002542EE"/>
    <w:rsid w:val="00254739"/>
    <w:rsid w:val="00254A10"/>
    <w:rsid w:val="00255D9B"/>
    <w:rsid w:val="00265DB0"/>
    <w:rsid w:val="00266851"/>
    <w:rsid w:val="00267147"/>
    <w:rsid w:val="002760ED"/>
    <w:rsid w:val="00291772"/>
    <w:rsid w:val="00293C23"/>
    <w:rsid w:val="00296E95"/>
    <w:rsid w:val="002A71C2"/>
    <w:rsid w:val="002B0CBE"/>
    <w:rsid w:val="002B21B2"/>
    <w:rsid w:val="002B26DF"/>
    <w:rsid w:val="002B467A"/>
    <w:rsid w:val="002B6095"/>
    <w:rsid w:val="002B6C74"/>
    <w:rsid w:val="002E04D5"/>
    <w:rsid w:val="002E08A7"/>
    <w:rsid w:val="002E1EB3"/>
    <w:rsid w:val="002E3812"/>
    <w:rsid w:val="002E3ECD"/>
    <w:rsid w:val="002E5C08"/>
    <w:rsid w:val="002E6437"/>
    <w:rsid w:val="002F716B"/>
    <w:rsid w:val="00300BB3"/>
    <w:rsid w:val="00301B59"/>
    <w:rsid w:val="00307BAB"/>
    <w:rsid w:val="0031695B"/>
    <w:rsid w:val="0032273F"/>
    <w:rsid w:val="00326755"/>
    <w:rsid w:val="00326C6F"/>
    <w:rsid w:val="00341225"/>
    <w:rsid w:val="00341478"/>
    <w:rsid w:val="0034441D"/>
    <w:rsid w:val="00346B32"/>
    <w:rsid w:val="00351C73"/>
    <w:rsid w:val="0035217F"/>
    <w:rsid w:val="00352FD0"/>
    <w:rsid w:val="00353DAE"/>
    <w:rsid w:val="00354712"/>
    <w:rsid w:val="00355B8B"/>
    <w:rsid w:val="0036363E"/>
    <w:rsid w:val="003762AF"/>
    <w:rsid w:val="00385951"/>
    <w:rsid w:val="00386D6C"/>
    <w:rsid w:val="003874B9"/>
    <w:rsid w:val="003A50A2"/>
    <w:rsid w:val="003B00A6"/>
    <w:rsid w:val="003D489E"/>
    <w:rsid w:val="003E02D6"/>
    <w:rsid w:val="0040556E"/>
    <w:rsid w:val="00426D15"/>
    <w:rsid w:val="004308FB"/>
    <w:rsid w:val="004335FC"/>
    <w:rsid w:val="00435EC7"/>
    <w:rsid w:val="00444EA4"/>
    <w:rsid w:val="00451D32"/>
    <w:rsid w:val="004546B9"/>
    <w:rsid w:val="00457B64"/>
    <w:rsid w:val="00460A53"/>
    <w:rsid w:val="0046443E"/>
    <w:rsid w:val="004675D7"/>
    <w:rsid w:val="00470E70"/>
    <w:rsid w:val="004732BA"/>
    <w:rsid w:val="00482A31"/>
    <w:rsid w:val="00485D99"/>
    <w:rsid w:val="004868D1"/>
    <w:rsid w:val="004953D8"/>
    <w:rsid w:val="004A2CD8"/>
    <w:rsid w:val="004A5531"/>
    <w:rsid w:val="004B1A61"/>
    <w:rsid w:val="004B20F7"/>
    <w:rsid w:val="004C1F78"/>
    <w:rsid w:val="004C5B66"/>
    <w:rsid w:val="004C667B"/>
    <w:rsid w:val="004C6682"/>
    <w:rsid w:val="004C6CE0"/>
    <w:rsid w:val="004D3E3E"/>
    <w:rsid w:val="004E7071"/>
    <w:rsid w:val="00500D1E"/>
    <w:rsid w:val="00506019"/>
    <w:rsid w:val="005072D1"/>
    <w:rsid w:val="00507F32"/>
    <w:rsid w:val="00507FCD"/>
    <w:rsid w:val="0051608C"/>
    <w:rsid w:val="00520F63"/>
    <w:rsid w:val="00535C40"/>
    <w:rsid w:val="00537206"/>
    <w:rsid w:val="00556746"/>
    <w:rsid w:val="00557E8E"/>
    <w:rsid w:val="00560084"/>
    <w:rsid w:val="00560F15"/>
    <w:rsid w:val="00566286"/>
    <w:rsid w:val="00570A96"/>
    <w:rsid w:val="005718F6"/>
    <w:rsid w:val="00573151"/>
    <w:rsid w:val="00573AE4"/>
    <w:rsid w:val="00581DB5"/>
    <w:rsid w:val="00596B96"/>
    <w:rsid w:val="005B124E"/>
    <w:rsid w:val="005C0FF9"/>
    <w:rsid w:val="005C15B3"/>
    <w:rsid w:val="005C23C2"/>
    <w:rsid w:val="005C6607"/>
    <w:rsid w:val="005C7A18"/>
    <w:rsid w:val="005D00E9"/>
    <w:rsid w:val="005D5B2C"/>
    <w:rsid w:val="005D6597"/>
    <w:rsid w:val="005E1541"/>
    <w:rsid w:val="005E206E"/>
    <w:rsid w:val="005E5681"/>
    <w:rsid w:val="005E6B0C"/>
    <w:rsid w:val="005F6485"/>
    <w:rsid w:val="00604124"/>
    <w:rsid w:val="00613556"/>
    <w:rsid w:val="00614F04"/>
    <w:rsid w:val="0061672F"/>
    <w:rsid w:val="006229A4"/>
    <w:rsid w:val="0062374B"/>
    <w:rsid w:val="006271AB"/>
    <w:rsid w:val="006347B4"/>
    <w:rsid w:val="00635B7B"/>
    <w:rsid w:val="0063722B"/>
    <w:rsid w:val="0063754B"/>
    <w:rsid w:val="00637A18"/>
    <w:rsid w:val="00637C23"/>
    <w:rsid w:val="00654117"/>
    <w:rsid w:val="006576CA"/>
    <w:rsid w:val="0065772E"/>
    <w:rsid w:val="006719A8"/>
    <w:rsid w:val="00684EB1"/>
    <w:rsid w:val="006914FA"/>
    <w:rsid w:val="006967DB"/>
    <w:rsid w:val="006A327E"/>
    <w:rsid w:val="006A6421"/>
    <w:rsid w:val="006C0D51"/>
    <w:rsid w:val="006C3950"/>
    <w:rsid w:val="006D010D"/>
    <w:rsid w:val="006D21F9"/>
    <w:rsid w:val="006D54DB"/>
    <w:rsid w:val="006E1019"/>
    <w:rsid w:val="006E225C"/>
    <w:rsid w:val="006E769E"/>
    <w:rsid w:val="006F117E"/>
    <w:rsid w:val="007101BF"/>
    <w:rsid w:val="00715236"/>
    <w:rsid w:val="00717893"/>
    <w:rsid w:val="007234F3"/>
    <w:rsid w:val="00724501"/>
    <w:rsid w:val="00726486"/>
    <w:rsid w:val="007274ED"/>
    <w:rsid w:val="00730BA2"/>
    <w:rsid w:val="00731AD7"/>
    <w:rsid w:val="0073310C"/>
    <w:rsid w:val="00734BED"/>
    <w:rsid w:val="00756B50"/>
    <w:rsid w:val="0076293C"/>
    <w:rsid w:val="00770D2F"/>
    <w:rsid w:val="00773576"/>
    <w:rsid w:val="007830B0"/>
    <w:rsid w:val="007A31C3"/>
    <w:rsid w:val="007A3A41"/>
    <w:rsid w:val="007C3E2D"/>
    <w:rsid w:val="007C76C6"/>
    <w:rsid w:val="007D011C"/>
    <w:rsid w:val="007D097E"/>
    <w:rsid w:val="007D0A85"/>
    <w:rsid w:val="007D57EE"/>
    <w:rsid w:val="007D7E6C"/>
    <w:rsid w:val="007E29EB"/>
    <w:rsid w:val="007E316C"/>
    <w:rsid w:val="007E609B"/>
    <w:rsid w:val="007F3A93"/>
    <w:rsid w:val="00802C2A"/>
    <w:rsid w:val="00807DD4"/>
    <w:rsid w:val="0081268C"/>
    <w:rsid w:val="00813FD2"/>
    <w:rsid w:val="008153F3"/>
    <w:rsid w:val="00815BD1"/>
    <w:rsid w:val="00817163"/>
    <w:rsid w:val="0082223D"/>
    <w:rsid w:val="00822C41"/>
    <w:rsid w:val="00822C60"/>
    <w:rsid w:val="0082679B"/>
    <w:rsid w:val="008267E2"/>
    <w:rsid w:val="008443DC"/>
    <w:rsid w:val="008459A9"/>
    <w:rsid w:val="0085008D"/>
    <w:rsid w:val="0085765D"/>
    <w:rsid w:val="00875F3E"/>
    <w:rsid w:val="00884E45"/>
    <w:rsid w:val="00884ECF"/>
    <w:rsid w:val="00892C71"/>
    <w:rsid w:val="00893951"/>
    <w:rsid w:val="008A1FE8"/>
    <w:rsid w:val="008A673F"/>
    <w:rsid w:val="008B301B"/>
    <w:rsid w:val="008B76F4"/>
    <w:rsid w:val="008C533B"/>
    <w:rsid w:val="008C689B"/>
    <w:rsid w:val="008D288A"/>
    <w:rsid w:val="008D3C57"/>
    <w:rsid w:val="008E075B"/>
    <w:rsid w:val="008E1CBF"/>
    <w:rsid w:val="008E455D"/>
    <w:rsid w:val="008F5741"/>
    <w:rsid w:val="008F6F32"/>
    <w:rsid w:val="00902159"/>
    <w:rsid w:val="009028FD"/>
    <w:rsid w:val="00905441"/>
    <w:rsid w:val="009077BC"/>
    <w:rsid w:val="009157A4"/>
    <w:rsid w:val="009158CC"/>
    <w:rsid w:val="009169AF"/>
    <w:rsid w:val="00920C1E"/>
    <w:rsid w:val="00927939"/>
    <w:rsid w:val="0093178C"/>
    <w:rsid w:val="0094001D"/>
    <w:rsid w:val="00940B06"/>
    <w:rsid w:val="00944C49"/>
    <w:rsid w:val="00946942"/>
    <w:rsid w:val="00965100"/>
    <w:rsid w:val="00970C26"/>
    <w:rsid w:val="00975CEA"/>
    <w:rsid w:val="00986B61"/>
    <w:rsid w:val="009943A6"/>
    <w:rsid w:val="009A3696"/>
    <w:rsid w:val="009B2186"/>
    <w:rsid w:val="009C2550"/>
    <w:rsid w:val="009C7D78"/>
    <w:rsid w:val="009D65E5"/>
    <w:rsid w:val="009D7EDD"/>
    <w:rsid w:val="009E0B1F"/>
    <w:rsid w:val="009E10AF"/>
    <w:rsid w:val="009F1268"/>
    <w:rsid w:val="00A0101E"/>
    <w:rsid w:val="00A028A1"/>
    <w:rsid w:val="00A037C8"/>
    <w:rsid w:val="00A115F0"/>
    <w:rsid w:val="00A2461B"/>
    <w:rsid w:val="00A36C49"/>
    <w:rsid w:val="00A439D0"/>
    <w:rsid w:val="00A457E2"/>
    <w:rsid w:val="00A46E11"/>
    <w:rsid w:val="00A46F41"/>
    <w:rsid w:val="00A618A9"/>
    <w:rsid w:val="00A63338"/>
    <w:rsid w:val="00A65768"/>
    <w:rsid w:val="00A703F9"/>
    <w:rsid w:val="00A82E0F"/>
    <w:rsid w:val="00A862F4"/>
    <w:rsid w:val="00A93423"/>
    <w:rsid w:val="00A93540"/>
    <w:rsid w:val="00A94186"/>
    <w:rsid w:val="00AA0B21"/>
    <w:rsid w:val="00AB58C8"/>
    <w:rsid w:val="00AB604A"/>
    <w:rsid w:val="00AB77E0"/>
    <w:rsid w:val="00AB7F2F"/>
    <w:rsid w:val="00AC1CA0"/>
    <w:rsid w:val="00AC1D6D"/>
    <w:rsid w:val="00AC2807"/>
    <w:rsid w:val="00AC6B28"/>
    <w:rsid w:val="00AD1713"/>
    <w:rsid w:val="00AE0B67"/>
    <w:rsid w:val="00AE1FC1"/>
    <w:rsid w:val="00AF1E23"/>
    <w:rsid w:val="00AF7854"/>
    <w:rsid w:val="00B07535"/>
    <w:rsid w:val="00B109F9"/>
    <w:rsid w:val="00B22A14"/>
    <w:rsid w:val="00B26B2F"/>
    <w:rsid w:val="00B32381"/>
    <w:rsid w:val="00B427EC"/>
    <w:rsid w:val="00B46EE5"/>
    <w:rsid w:val="00B56F15"/>
    <w:rsid w:val="00B571F4"/>
    <w:rsid w:val="00B57B89"/>
    <w:rsid w:val="00B61CCA"/>
    <w:rsid w:val="00B66FDB"/>
    <w:rsid w:val="00B670BE"/>
    <w:rsid w:val="00B70035"/>
    <w:rsid w:val="00B70413"/>
    <w:rsid w:val="00B72260"/>
    <w:rsid w:val="00B7418B"/>
    <w:rsid w:val="00B75848"/>
    <w:rsid w:val="00B75B2C"/>
    <w:rsid w:val="00B76929"/>
    <w:rsid w:val="00B85276"/>
    <w:rsid w:val="00B966EB"/>
    <w:rsid w:val="00B9786B"/>
    <w:rsid w:val="00BB3522"/>
    <w:rsid w:val="00BB4C99"/>
    <w:rsid w:val="00BC70EA"/>
    <w:rsid w:val="00BD515D"/>
    <w:rsid w:val="00BD6916"/>
    <w:rsid w:val="00BE6F8F"/>
    <w:rsid w:val="00BF1587"/>
    <w:rsid w:val="00C03D17"/>
    <w:rsid w:val="00C21E57"/>
    <w:rsid w:val="00C460D1"/>
    <w:rsid w:val="00C5011F"/>
    <w:rsid w:val="00C53269"/>
    <w:rsid w:val="00C63371"/>
    <w:rsid w:val="00C63BCA"/>
    <w:rsid w:val="00C746B6"/>
    <w:rsid w:val="00C77F04"/>
    <w:rsid w:val="00C80EA7"/>
    <w:rsid w:val="00C81369"/>
    <w:rsid w:val="00C82283"/>
    <w:rsid w:val="00CA5C63"/>
    <w:rsid w:val="00CA6C16"/>
    <w:rsid w:val="00CA7318"/>
    <w:rsid w:val="00CC20A8"/>
    <w:rsid w:val="00CC42B1"/>
    <w:rsid w:val="00CD1B4D"/>
    <w:rsid w:val="00CD6993"/>
    <w:rsid w:val="00CE0B38"/>
    <w:rsid w:val="00CE4712"/>
    <w:rsid w:val="00CE5058"/>
    <w:rsid w:val="00CF227D"/>
    <w:rsid w:val="00CF672D"/>
    <w:rsid w:val="00D17BAA"/>
    <w:rsid w:val="00D41618"/>
    <w:rsid w:val="00D50B3C"/>
    <w:rsid w:val="00D5356E"/>
    <w:rsid w:val="00D6223C"/>
    <w:rsid w:val="00D66F13"/>
    <w:rsid w:val="00D71C85"/>
    <w:rsid w:val="00D74E76"/>
    <w:rsid w:val="00D772A6"/>
    <w:rsid w:val="00DA1197"/>
    <w:rsid w:val="00DA5001"/>
    <w:rsid w:val="00DB125A"/>
    <w:rsid w:val="00DD255D"/>
    <w:rsid w:val="00DD5987"/>
    <w:rsid w:val="00DD68A8"/>
    <w:rsid w:val="00DE0599"/>
    <w:rsid w:val="00DE30C2"/>
    <w:rsid w:val="00DE44F9"/>
    <w:rsid w:val="00DE7166"/>
    <w:rsid w:val="00DE7DFA"/>
    <w:rsid w:val="00DF188B"/>
    <w:rsid w:val="00DF1EE6"/>
    <w:rsid w:val="00DF2D6B"/>
    <w:rsid w:val="00DF2FAD"/>
    <w:rsid w:val="00DF51C5"/>
    <w:rsid w:val="00DF67D6"/>
    <w:rsid w:val="00DF6C2B"/>
    <w:rsid w:val="00E00750"/>
    <w:rsid w:val="00E0144F"/>
    <w:rsid w:val="00E01C04"/>
    <w:rsid w:val="00E02D2D"/>
    <w:rsid w:val="00E04CC3"/>
    <w:rsid w:val="00E1207E"/>
    <w:rsid w:val="00E12C7E"/>
    <w:rsid w:val="00E134B1"/>
    <w:rsid w:val="00E147DF"/>
    <w:rsid w:val="00E14D38"/>
    <w:rsid w:val="00E16D6F"/>
    <w:rsid w:val="00E35A37"/>
    <w:rsid w:val="00E37AEF"/>
    <w:rsid w:val="00E51BED"/>
    <w:rsid w:val="00E57535"/>
    <w:rsid w:val="00E575EE"/>
    <w:rsid w:val="00E60052"/>
    <w:rsid w:val="00E65132"/>
    <w:rsid w:val="00E657BD"/>
    <w:rsid w:val="00E7313D"/>
    <w:rsid w:val="00E82325"/>
    <w:rsid w:val="00E91B2D"/>
    <w:rsid w:val="00E9490F"/>
    <w:rsid w:val="00E94A9A"/>
    <w:rsid w:val="00EB3501"/>
    <w:rsid w:val="00EB43D0"/>
    <w:rsid w:val="00EB579B"/>
    <w:rsid w:val="00EB5ADD"/>
    <w:rsid w:val="00EB78D8"/>
    <w:rsid w:val="00EC0F03"/>
    <w:rsid w:val="00EC577D"/>
    <w:rsid w:val="00EC6B53"/>
    <w:rsid w:val="00ED372F"/>
    <w:rsid w:val="00ED481C"/>
    <w:rsid w:val="00EE1E64"/>
    <w:rsid w:val="00EE31E0"/>
    <w:rsid w:val="00EF118C"/>
    <w:rsid w:val="00EF497A"/>
    <w:rsid w:val="00F177D2"/>
    <w:rsid w:val="00F22923"/>
    <w:rsid w:val="00F22E2B"/>
    <w:rsid w:val="00F23886"/>
    <w:rsid w:val="00F303FE"/>
    <w:rsid w:val="00F32295"/>
    <w:rsid w:val="00F32EF4"/>
    <w:rsid w:val="00F3611C"/>
    <w:rsid w:val="00F37575"/>
    <w:rsid w:val="00F37923"/>
    <w:rsid w:val="00F37F38"/>
    <w:rsid w:val="00F42249"/>
    <w:rsid w:val="00F46ED3"/>
    <w:rsid w:val="00F5021A"/>
    <w:rsid w:val="00F5357E"/>
    <w:rsid w:val="00F5375C"/>
    <w:rsid w:val="00F6532D"/>
    <w:rsid w:val="00F709E9"/>
    <w:rsid w:val="00F70DC5"/>
    <w:rsid w:val="00F71D7B"/>
    <w:rsid w:val="00F75419"/>
    <w:rsid w:val="00F7603D"/>
    <w:rsid w:val="00F9158A"/>
    <w:rsid w:val="00FA2794"/>
    <w:rsid w:val="00FA42BB"/>
    <w:rsid w:val="00FA4C7F"/>
    <w:rsid w:val="00FA5726"/>
    <w:rsid w:val="00FB59EB"/>
    <w:rsid w:val="00FC0892"/>
    <w:rsid w:val="00FC2246"/>
    <w:rsid w:val="00FC2AF0"/>
    <w:rsid w:val="00FC344A"/>
    <w:rsid w:val="00FC7A81"/>
    <w:rsid w:val="00FE0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701E9C3"/>
  <w15:docId w15:val="{75461348-1322-4477-A61F-03961864C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pPr>
    <w:rPr>
      <w:rFonts w:ascii="Courier 10cpi" w:hAnsi="Courier 10cpi"/>
    </w:rPr>
  </w:style>
  <w:style w:type="paragraph" w:styleId="Heading1">
    <w:name w:val="heading 1"/>
    <w:basedOn w:val="Normal"/>
    <w:next w:val="Normal"/>
    <w:qFormat/>
    <w:pPr>
      <w:keepNext/>
      <w:tabs>
        <w:tab w:val="left" w:pos="960"/>
        <w:tab w:val="right" w:pos="9240"/>
      </w:tabs>
      <w:autoSpaceDE/>
      <w:autoSpaceDN/>
      <w:adjustRightInd/>
      <w:outlineLvl w:val="0"/>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autoSpaceDE w:val="0"/>
      <w:autoSpaceDN w:val="0"/>
      <w:adjustRightInd w:val="0"/>
      <w:ind w:left="720"/>
    </w:pPr>
    <w:rPr>
      <w:rFonts w:ascii="Courier 10cpi" w:hAnsi="Courier 10cpi"/>
      <w:sz w:val="24"/>
      <w:szCs w:val="24"/>
    </w:rPr>
  </w:style>
  <w:style w:type="paragraph" w:styleId="BodyText2">
    <w:name w:val="Body Text 2"/>
    <w:basedOn w:val="Normal"/>
    <w:pPr>
      <w:ind w:firstLine="720"/>
      <w:jc w:val="both"/>
    </w:pPr>
    <w:rPr>
      <w:sz w:val="24"/>
      <w:szCs w:val="24"/>
    </w:rPr>
  </w:style>
  <w:style w:type="character" w:customStyle="1" w:styleId="SYSHYPERTEXT">
    <w:name w:val="SYS_HYPERTEXT"/>
    <w:rPr>
      <w:color w:val="0000FF"/>
      <w:u w:val="single"/>
    </w:rPr>
  </w:style>
  <w:style w:type="character" w:styleId="Hyperlink">
    <w:name w:val="Hyperlink"/>
    <w:rPr>
      <w:color w:val="0000FF"/>
      <w:u w:val="single"/>
    </w:rPr>
  </w:style>
  <w:style w:type="paragraph" w:styleId="NormalWeb">
    <w:name w:val="Normal (Web)"/>
    <w:basedOn w:val="Normal"/>
    <w:pPr>
      <w:autoSpaceDE/>
      <w:autoSpaceDN/>
      <w:adjustRightInd/>
      <w:spacing w:before="100" w:beforeAutospacing="1" w:after="100" w:afterAutospacing="1"/>
    </w:pPr>
    <w:rPr>
      <w:rFonts w:ascii="Times New Roman" w:hAnsi="Times New Roman"/>
      <w:sz w:val="24"/>
      <w:szCs w:val="24"/>
    </w:rPr>
  </w:style>
  <w:style w:type="character" w:styleId="Strong">
    <w:name w:val="Strong"/>
    <w:qFormat/>
    <w:rPr>
      <w:b/>
      <w:bCs/>
    </w:rPr>
  </w:style>
  <w:style w:type="paragraph" w:customStyle="1" w:styleId="SL-FlLftSgl">
    <w:name w:val="SL-Fl Lft Sgl"/>
    <w:pPr>
      <w:spacing w:line="240" w:lineRule="atLeast"/>
      <w:jc w:val="both"/>
    </w:pPr>
    <w:rPr>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59"/>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spacing w:after="120" w:line="480" w:lineRule="auto"/>
      <w:ind w:left="360"/>
    </w:pPr>
  </w:style>
  <w:style w:type="paragraph" w:styleId="TOC1">
    <w:name w:val="toc 1"/>
    <w:basedOn w:val="Normal"/>
    <w:next w:val="Normal"/>
    <w:autoRedefine/>
    <w:semiHidden/>
  </w:style>
  <w:style w:type="paragraph" w:styleId="TOC2">
    <w:name w:val="toc 2"/>
    <w:basedOn w:val="Normal"/>
    <w:next w:val="Normal"/>
    <w:autoRedefine/>
    <w:semiHidden/>
    <w:pPr>
      <w:tabs>
        <w:tab w:val="right" w:pos="9350"/>
      </w:tabs>
      <w:ind w:left="200"/>
    </w:pPr>
    <w:rPr>
      <w:rFonts w:ascii="Times New Roman" w:hAnsi="Times New Roman"/>
      <w:noProof/>
      <w:sz w:val="22"/>
      <w:szCs w:val="22"/>
    </w:rPr>
  </w:style>
  <w:style w:type="paragraph" w:styleId="TOC3">
    <w:name w:val="toc 3"/>
    <w:basedOn w:val="Normal"/>
    <w:next w:val="Normal"/>
    <w:autoRedefine/>
    <w:semiHidden/>
    <w:pPr>
      <w:ind w:left="400"/>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FootnoteText">
    <w:name w:val="footnote text"/>
    <w:basedOn w:val="Normal"/>
    <w:link w:val="FootnoteTextChar"/>
    <w:uiPriority w:val="99"/>
    <w:semiHidden/>
  </w:style>
  <w:style w:type="character" w:styleId="FootnoteReference">
    <w:name w:val="footnote reference"/>
    <w:uiPriority w:val="99"/>
    <w:semiHidden/>
    <w:rPr>
      <w:vertAlign w:val="superscript"/>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rsid w:val="00986B61"/>
    <w:pPr>
      <w:spacing w:after="120"/>
      <w:ind w:left="360"/>
    </w:pPr>
  </w:style>
  <w:style w:type="character" w:customStyle="1" w:styleId="BodyTextIndentChar">
    <w:name w:val="Body Text Indent Char"/>
    <w:link w:val="BodyTextIndent"/>
    <w:rsid w:val="00986B61"/>
    <w:rPr>
      <w:rFonts w:ascii="Courier 10cpi" w:hAnsi="Courier 10cpi"/>
    </w:rPr>
  </w:style>
  <w:style w:type="paragraph" w:styleId="ListParagraph">
    <w:name w:val="List Paragraph"/>
    <w:basedOn w:val="Normal"/>
    <w:uiPriority w:val="34"/>
    <w:qFormat/>
    <w:rsid w:val="00773576"/>
    <w:pPr>
      <w:autoSpaceDE/>
      <w:autoSpaceDN/>
      <w:adjustRightInd/>
      <w:spacing w:after="200" w:line="276" w:lineRule="auto"/>
      <w:ind w:left="720"/>
      <w:contextualSpacing/>
    </w:pPr>
    <w:rPr>
      <w:rFonts w:ascii="Calibri" w:hAnsi="Calibri"/>
      <w:sz w:val="22"/>
      <w:szCs w:val="22"/>
    </w:rPr>
  </w:style>
  <w:style w:type="character" w:customStyle="1" w:styleId="FooterChar">
    <w:name w:val="Footer Char"/>
    <w:link w:val="Footer"/>
    <w:uiPriority w:val="99"/>
    <w:rsid w:val="009943A6"/>
    <w:rPr>
      <w:rFonts w:ascii="Courier 10cpi" w:hAnsi="Courier 10cpi"/>
    </w:rPr>
  </w:style>
  <w:style w:type="character" w:customStyle="1" w:styleId="FootnoteTextChar">
    <w:name w:val="Footnote Text Char"/>
    <w:link w:val="FootnoteText"/>
    <w:uiPriority w:val="99"/>
    <w:semiHidden/>
    <w:rsid w:val="00AF1E23"/>
    <w:rPr>
      <w:rFonts w:ascii="Courier 10cpi" w:hAnsi="Courier 10cpi"/>
    </w:rPr>
  </w:style>
  <w:style w:type="character" w:styleId="FollowedHyperlink">
    <w:name w:val="FollowedHyperlink"/>
    <w:rsid w:val="0076293C"/>
    <w:rPr>
      <w:color w:val="800080"/>
      <w:u w:val="single"/>
    </w:rPr>
  </w:style>
  <w:style w:type="character" w:customStyle="1" w:styleId="HeaderChar">
    <w:name w:val="Header Char"/>
    <w:link w:val="Header"/>
    <w:uiPriority w:val="99"/>
    <w:rsid w:val="002E3ECD"/>
    <w:rPr>
      <w:rFonts w:ascii="Courier 10cpi" w:hAnsi="Courier 10cpi"/>
    </w:rPr>
  </w:style>
  <w:style w:type="paragraph" w:customStyle="1" w:styleId="FigureTitle">
    <w:name w:val="Figure Title"/>
    <w:basedOn w:val="Normal"/>
    <w:uiPriority w:val="99"/>
    <w:rsid w:val="00581DB5"/>
    <w:pPr>
      <w:keepNext/>
      <w:keepLines/>
      <w:autoSpaceDE/>
      <w:autoSpaceDN/>
      <w:adjustRightInd/>
      <w:spacing w:before="240" w:after="240"/>
    </w:pPr>
    <w:rPr>
      <w:rFonts w:ascii="Times New Roman" w:hAnsi="Times New Roman"/>
      <w:b/>
      <w:sz w:val="24"/>
    </w:rPr>
  </w:style>
  <w:style w:type="character" w:customStyle="1" w:styleId="bodytextChar">
    <w:name w:val="body text Char"/>
    <w:aliases w:val="bt Char,body tx Char,indent Char1,flush Char Char,indent Char,flush Char"/>
    <w:link w:val="BodyText1"/>
    <w:locked/>
    <w:rsid w:val="00CE4712"/>
    <w:rPr>
      <w:sz w:val="24"/>
    </w:rPr>
  </w:style>
  <w:style w:type="paragraph" w:customStyle="1" w:styleId="BodyText1">
    <w:name w:val="Body Text1"/>
    <w:aliases w:val="bt,body tx,indent,flush,body text"/>
    <w:basedOn w:val="Normal"/>
    <w:link w:val="bodytextChar"/>
    <w:rsid w:val="00CE4712"/>
    <w:pPr>
      <w:autoSpaceDE/>
      <w:autoSpaceDN/>
      <w:adjustRightInd/>
      <w:spacing w:after="120" w:line="360" w:lineRule="auto"/>
      <w:ind w:firstLine="720"/>
    </w:pPr>
    <w:rPr>
      <w:rFonts w:ascii="Times New Roman" w:hAnsi="Times New Roman"/>
      <w:sz w:val="24"/>
    </w:rPr>
  </w:style>
  <w:style w:type="paragraph" w:customStyle="1" w:styleId="TableHeaders">
    <w:name w:val="Table Headers"/>
    <w:basedOn w:val="Normal"/>
    <w:uiPriority w:val="99"/>
    <w:rsid w:val="00CE4712"/>
    <w:pPr>
      <w:autoSpaceDE/>
      <w:autoSpaceDN/>
      <w:adjustRightInd/>
      <w:spacing w:before="40" w:after="40"/>
      <w:jc w:val="center"/>
    </w:pPr>
    <w:rPr>
      <w:rFonts w:ascii="Times New Roman" w:hAnsi="Times New Roman"/>
      <w:b/>
      <w:bCs/>
      <w:sz w:val="22"/>
      <w:szCs w:val="22"/>
    </w:rPr>
  </w:style>
  <w:style w:type="paragraph" w:customStyle="1" w:styleId="Default">
    <w:name w:val="Default"/>
    <w:rsid w:val="00635B7B"/>
    <w:pPr>
      <w:autoSpaceDE w:val="0"/>
      <w:autoSpaceDN w:val="0"/>
      <w:adjustRightInd w:val="0"/>
    </w:pPr>
    <w:rPr>
      <w:color w:val="000000"/>
      <w:sz w:val="24"/>
      <w:szCs w:val="24"/>
    </w:rPr>
  </w:style>
  <w:style w:type="character" w:customStyle="1" w:styleId="CommentTextChar">
    <w:name w:val="Comment Text Char"/>
    <w:basedOn w:val="DefaultParagraphFont"/>
    <w:link w:val="CommentText"/>
    <w:uiPriority w:val="99"/>
    <w:semiHidden/>
    <w:rsid w:val="00DE7166"/>
    <w:rPr>
      <w:rFonts w:ascii="Courier 10cpi" w:hAnsi="Courier 10cp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413979">
      <w:bodyDiv w:val="1"/>
      <w:marLeft w:val="0"/>
      <w:marRight w:val="0"/>
      <w:marTop w:val="0"/>
      <w:marBottom w:val="0"/>
      <w:divBdr>
        <w:top w:val="none" w:sz="0" w:space="0" w:color="auto"/>
        <w:left w:val="none" w:sz="0" w:space="0" w:color="auto"/>
        <w:bottom w:val="none" w:sz="0" w:space="0" w:color="auto"/>
        <w:right w:val="none" w:sz="0" w:space="0" w:color="auto"/>
      </w:divBdr>
    </w:div>
    <w:div w:id="663823284">
      <w:bodyDiv w:val="1"/>
      <w:marLeft w:val="0"/>
      <w:marRight w:val="0"/>
      <w:marTop w:val="0"/>
      <w:marBottom w:val="0"/>
      <w:divBdr>
        <w:top w:val="none" w:sz="0" w:space="0" w:color="auto"/>
        <w:left w:val="none" w:sz="0" w:space="0" w:color="auto"/>
        <w:bottom w:val="none" w:sz="0" w:space="0" w:color="auto"/>
        <w:right w:val="none" w:sz="0" w:space="0" w:color="auto"/>
      </w:divBdr>
    </w:div>
    <w:div w:id="888498228">
      <w:bodyDiv w:val="1"/>
      <w:marLeft w:val="0"/>
      <w:marRight w:val="0"/>
      <w:marTop w:val="0"/>
      <w:marBottom w:val="0"/>
      <w:divBdr>
        <w:top w:val="none" w:sz="0" w:space="0" w:color="auto"/>
        <w:left w:val="none" w:sz="0" w:space="0" w:color="auto"/>
        <w:bottom w:val="none" w:sz="0" w:space="0" w:color="auto"/>
        <w:right w:val="none" w:sz="0" w:space="0" w:color="auto"/>
      </w:divBdr>
    </w:div>
    <w:div w:id="994339807">
      <w:bodyDiv w:val="1"/>
      <w:marLeft w:val="0"/>
      <w:marRight w:val="0"/>
      <w:marTop w:val="0"/>
      <w:marBottom w:val="0"/>
      <w:divBdr>
        <w:top w:val="none" w:sz="0" w:space="0" w:color="auto"/>
        <w:left w:val="none" w:sz="0" w:space="0" w:color="auto"/>
        <w:bottom w:val="none" w:sz="0" w:space="0" w:color="auto"/>
        <w:right w:val="none" w:sz="0" w:space="0" w:color="auto"/>
      </w:divBdr>
    </w:div>
    <w:div w:id="1095127882">
      <w:bodyDiv w:val="1"/>
      <w:marLeft w:val="0"/>
      <w:marRight w:val="0"/>
      <w:marTop w:val="0"/>
      <w:marBottom w:val="0"/>
      <w:divBdr>
        <w:top w:val="none" w:sz="0" w:space="0" w:color="auto"/>
        <w:left w:val="none" w:sz="0" w:space="0" w:color="auto"/>
        <w:bottom w:val="none" w:sz="0" w:space="0" w:color="auto"/>
        <w:right w:val="none" w:sz="0" w:space="0" w:color="auto"/>
      </w:divBdr>
    </w:div>
    <w:div w:id="1335449972">
      <w:bodyDiv w:val="1"/>
      <w:marLeft w:val="0"/>
      <w:marRight w:val="0"/>
      <w:marTop w:val="0"/>
      <w:marBottom w:val="0"/>
      <w:divBdr>
        <w:top w:val="none" w:sz="0" w:space="0" w:color="auto"/>
        <w:left w:val="none" w:sz="0" w:space="0" w:color="auto"/>
        <w:bottom w:val="none" w:sz="0" w:space="0" w:color="auto"/>
        <w:right w:val="none" w:sz="0" w:space="0" w:color="auto"/>
      </w:divBdr>
    </w:div>
    <w:div w:id="1510291832">
      <w:bodyDiv w:val="1"/>
      <w:marLeft w:val="0"/>
      <w:marRight w:val="0"/>
      <w:marTop w:val="0"/>
      <w:marBottom w:val="0"/>
      <w:divBdr>
        <w:top w:val="none" w:sz="0" w:space="0" w:color="auto"/>
        <w:left w:val="none" w:sz="0" w:space="0" w:color="auto"/>
        <w:bottom w:val="none" w:sz="0" w:space="0" w:color="auto"/>
        <w:right w:val="none" w:sz="0" w:space="0" w:color="auto"/>
      </w:divBdr>
    </w:div>
    <w:div w:id="1623806899">
      <w:bodyDiv w:val="1"/>
      <w:marLeft w:val="0"/>
      <w:marRight w:val="0"/>
      <w:marTop w:val="0"/>
      <w:marBottom w:val="0"/>
      <w:divBdr>
        <w:top w:val="none" w:sz="0" w:space="0" w:color="auto"/>
        <w:left w:val="none" w:sz="0" w:space="0" w:color="auto"/>
        <w:bottom w:val="none" w:sz="0" w:space="0" w:color="auto"/>
        <w:right w:val="none" w:sz="0" w:space="0" w:color="auto"/>
      </w:divBdr>
    </w:div>
    <w:div w:id="163501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gv1@cdc.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untym@mail.nih.gov" TargetMode="External"/><Relationship Id="rId4" Type="http://schemas.openxmlformats.org/officeDocument/2006/relationships/settings" Target="settings.xml"/><Relationship Id="rId9" Type="http://schemas.openxmlformats.org/officeDocument/2006/relationships/hyperlink" Target="mailto:wnm2@cdc.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D0AA0-A82C-443A-A3DD-D9EC143EE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4737</Words>
  <Characters>27231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NCI</Company>
  <LinksUpToDate>false</LinksUpToDate>
  <CharactersWithSpaces>31905</CharactersWithSpaces>
  <SharedDoc>false</SharedDoc>
  <HLinks>
    <vt:vector size="18" baseType="variant">
      <vt:variant>
        <vt:i4>6946859</vt:i4>
      </vt:variant>
      <vt:variant>
        <vt:i4>0</vt:i4>
      </vt:variant>
      <vt:variant>
        <vt:i4>0</vt:i4>
      </vt:variant>
      <vt:variant>
        <vt:i4>5</vt:i4>
      </vt:variant>
      <vt:variant>
        <vt:lpwstr>http://www.whitehouse.gov/omb/fedreg/1997standards.html</vt:lpwstr>
      </vt:variant>
      <vt:variant>
        <vt:lpwstr/>
      </vt:variant>
      <vt:variant>
        <vt:i4>3407967</vt:i4>
      </vt:variant>
      <vt:variant>
        <vt:i4>3</vt:i4>
      </vt:variant>
      <vt:variant>
        <vt:i4>0</vt:i4>
      </vt:variant>
      <vt:variant>
        <vt:i4>5</vt:i4>
      </vt:variant>
      <vt:variant>
        <vt:lpwstr>http://www.bls.gov/oes/current/oes_nat.htm</vt:lpwstr>
      </vt:variant>
      <vt:variant>
        <vt:lpwstr/>
      </vt:variant>
      <vt:variant>
        <vt:i4>6946875</vt:i4>
      </vt:variant>
      <vt:variant>
        <vt:i4>0</vt:i4>
      </vt:variant>
      <vt:variant>
        <vt:i4>0</vt:i4>
      </vt:variant>
      <vt:variant>
        <vt:i4>5</vt:i4>
      </vt:variant>
      <vt:variant>
        <vt:lpwstr>http://www.fda.gov/ScienceResearch/AboutScienceResearchatFDA/ucm342936.htm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Pritzlaff, Olivia *</dc:creator>
  <cp:lastModifiedBy>Mizrachi, Ila</cp:lastModifiedBy>
  <cp:revision>11</cp:revision>
  <cp:lastPrinted>2015-09-18T14:08:00Z</cp:lastPrinted>
  <dcterms:created xsi:type="dcterms:W3CDTF">2020-02-13T20:48:00Z</dcterms:created>
  <dcterms:modified xsi:type="dcterms:W3CDTF">2020-02-13T20:54:00Z</dcterms:modified>
</cp:coreProperties>
</file>