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AE1B7" w14:textId="0115C5A5" w:rsidR="005A12CD" w:rsidRDefault="005A12CD" w:rsidP="000C5CD3">
      <w:pPr>
        <w:rPr>
          <w:rFonts w:ascii="Times New Roman" w:hAnsi="Times New Roman" w:cs="Times New Roman"/>
          <w:b/>
          <w:bCs/>
          <w:szCs w:val="22"/>
        </w:rPr>
      </w:pPr>
      <w:bookmarkStart w:id="0" w:name="_Hlk2150741"/>
      <w:bookmarkStart w:id="1" w:name="_GoBack"/>
      <w:bookmarkEnd w:id="1"/>
      <w:r w:rsidRPr="005A12CD">
        <w:rPr>
          <w:rFonts w:ascii="Times New Roman" w:hAnsi="Times New Roman" w:cs="Times New Roman"/>
          <w:b/>
          <w:bCs/>
          <w:szCs w:val="22"/>
        </w:rPr>
        <w:t>2019 Electronic Nicotine Delivery Systems Formative Data Collection to Inform Experimenter and Established User Definitions</w:t>
      </w:r>
      <w:r w:rsidRPr="005A12CD" w:rsidDel="005A12CD">
        <w:rPr>
          <w:rFonts w:ascii="Times New Roman" w:hAnsi="Times New Roman" w:cs="Times New Roman"/>
          <w:b/>
          <w:bCs/>
          <w:szCs w:val="22"/>
        </w:rPr>
        <w:t xml:space="preserve"> </w:t>
      </w:r>
      <w:bookmarkEnd w:id="0"/>
    </w:p>
    <w:p w14:paraId="3B4BFC2B" w14:textId="77777777" w:rsidR="00506709" w:rsidRPr="00506709" w:rsidRDefault="00506709" w:rsidP="000C5CD3">
      <w:pPr>
        <w:rPr>
          <w:rFonts w:ascii="Times New Roman" w:hAnsi="Times New Roman" w:cs="Times New Roman"/>
          <w:b/>
          <w:sz w:val="16"/>
        </w:rPr>
      </w:pPr>
    </w:p>
    <w:p w14:paraId="44B7C3CD" w14:textId="43687DBD" w:rsidR="000928AE" w:rsidRDefault="000928AE" w:rsidP="000C5CD3">
      <w:pPr>
        <w:rPr>
          <w:rFonts w:ascii="Times New Roman" w:hAnsi="Times New Roman" w:cs="Times New Roman"/>
          <w:b/>
        </w:rPr>
      </w:pPr>
      <w:r w:rsidRPr="004432BE">
        <w:rPr>
          <w:rFonts w:ascii="Times New Roman" w:hAnsi="Times New Roman" w:cs="Times New Roman"/>
          <w:b/>
        </w:rPr>
        <w:t xml:space="preserve">Supporting Statement: </w:t>
      </w:r>
      <w:r w:rsidR="00476B0B" w:rsidRPr="004432BE">
        <w:rPr>
          <w:rFonts w:ascii="Times New Roman" w:hAnsi="Times New Roman" w:cs="Times New Roman"/>
          <w:b/>
        </w:rPr>
        <w:t>Summary</w:t>
      </w:r>
    </w:p>
    <w:p w14:paraId="1AAC9760" w14:textId="77777777" w:rsidR="00506709" w:rsidRPr="00506709" w:rsidRDefault="00506709" w:rsidP="000C5CD3">
      <w:pPr>
        <w:rPr>
          <w:rFonts w:ascii="Times New Roman" w:hAnsi="Times New Roman" w:cs="Times New Roman"/>
          <w:b/>
          <w:sz w:val="10"/>
        </w:rPr>
      </w:pPr>
    </w:p>
    <w:tbl>
      <w:tblPr>
        <w:tblStyle w:val="TableGrid"/>
        <w:tblW w:w="0" w:type="auto"/>
        <w:tblLook w:val="04A0" w:firstRow="1" w:lastRow="0" w:firstColumn="1" w:lastColumn="0" w:noHBand="0" w:noVBand="1"/>
      </w:tblPr>
      <w:tblGrid>
        <w:gridCol w:w="9350"/>
      </w:tblGrid>
      <w:tr w:rsidR="000928AE" w:rsidRPr="004432BE" w14:paraId="03328FC9" w14:textId="77777777" w:rsidTr="00506709">
        <w:tc>
          <w:tcPr>
            <w:tcW w:w="9350" w:type="dxa"/>
          </w:tcPr>
          <w:p w14:paraId="0CF1FE15" w14:textId="77777777" w:rsidR="000928AE" w:rsidRPr="004432BE" w:rsidRDefault="000928AE" w:rsidP="000C5CD3">
            <w:pPr>
              <w:pStyle w:val="ListParagraph"/>
              <w:spacing w:after="200" w:line="276" w:lineRule="auto"/>
              <w:ind w:left="360"/>
              <w:rPr>
                <w:rFonts w:cs="Times New Roman"/>
                <w:sz w:val="24"/>
                <w:szCs w:val="24"/>
              </w:rPr>
            </w:pPr>
          </w:p>
          <w:p w14:paraId="61764F8D" w14:textId="77777777" w:rsidR="00D85B7D" w:rsidRPr="00D85B7D" w:rsidRDefault="00D85B7D" w:rsidP="00D85B7D">
            <w:pPr>
              <w:pStyle w:val="ListParagraph"/>
              <w:numPr>
                <w:ilvl w:val="0"/>
                <w:numId w:val="1"/>
              </w:numPr>
              <w:spacing w:line="276" w:lineRule="auto"/>
              <w:rPr>
                <w:rFonts w:cs="Times New Roman"/>
                <w:sz w:val="24"/>
                <w:szCs w:val="24"/>
              </w:rPr>
            </w:pPr>
            <w:bookmarkStart w:id="2" w:name="_Hlk1463653"/>
            <w:r w:rsidRPr="00D85B7D">
              <w:rPr>
                <w:rFonts w:cs="Times New Roman"/>
                <w:sz w:val="24"/>
                <w:szCs w:val="24"/>
              </w:rPr>
              <w:t>The goals of this project are 1) to assess youth use and correlates of Electronic Nicotine Delivery Systems (ENDS); and 2) using measures of ENDS use, construct and then test which experimental use definitions are most optimal in discriminating between experimental and more established ENDS user groups on key attitudinal and behavioral constructs. Findings from these analyses will be used to inform FDA CTP health communication strategies.</w:t>
            </w:r>
          </w:p>
          <w:p w14:paraId="12D6BE19" w14:textId="77777777" w:rsidR="00D85B7D" w:rsidRPr="00D85B7D" w:rsidRDefault="00D85B7D" w:rsidP="00D85B7D">
            <w:pPr>
              <w:spacing w:line="276" w:lineRule="auto"/>
              <w:rPr>
                <w:sz w:val="24"/>
                <w:szCs w:val="24"/>
              </w:rPr>
            </w:pPr>
          </w:p>
          <w:p w14:paraId="534791CF" w14:textId="77777777" w:rsidR="00D85B7D" w:rsidRPr="00D85B7D" w:rsidRDefault="00D85B7D" w:rsidP="00D85B7D">
            <w:pPr>
              <w:pStyle w:val="ListParagraph"/>
              <w:numPr>
                <w:ilvl w:val="0"/>
                <w:numId w:val="1"/>
              </w:numPr>
              <w:spacing w:line="276" w:lineRule="auto"/>
              <w:rPr>
                <w:rFonts w:eastAsia="Times New Roman" w:cs="Times New Roman"/>
                <w:sz w:val="24"/>
                <w:szCs w:val="24"/>
              </w:rPr>
            </w:pPr>
            <w:r w:rsidRPr="00D85B7D">
              <w:rPr>
                <w:rFonts w:eastAsia="Times New Roman" w:cs="Times New Roman"/>
                <w:sz w:val="24"/>
                <w:szCs w:val="24"/>
              </w:rPr>
              <w:t>Participants will be recruited via an online panel and enrolled via a screener survey. Participants who qualify for study inclusion will complete the questionnaire online using their own device. The assent and screener will take no more than two minutes to complete, and the questionnaire will take no more than 18 minutes for participants to complete.</w:t>
            </w:r>
          </w:p>
          <w:p w14:paraId="7BB18C09" w14:textId="77777777" w:rsidR="00D85B7D" w:rsidRPr="00D85B7D" w:rsidRDefault="00D85B7D" w:rsidP="00D85B7D">
            <w:pPr>
              <w:pStyle w:val="ListParagraph"/>
              <w:rPr>
                <w:rFonts w:eastAsia="Times New Roman" w:cs="Times New Roman"/>
                <w:sz w:val="24"/>
                <w:szCs w:val="24"/>
              </w:rPr>
            </w:pPr>
          </w:p>
          <w:p w14:paraId="65562D4D" w14:textId="77777777" w:rsidR="00D85B7D" w:rsidRPr="00D85B7D" w:rsidRDefault="00D85B7D" w:rsidP="00D85B7D">
            <w:pPr>
              <w:pStyle w:val="ListParagraph"/>
              <w:numPr>
                <w:ilvl w:val="0"/>
                <w:numId w:val="1"/>
              </w:numPr>
              <w:spacing w:line="276" w:lineRule="auto"/>
              <w:rPr>
                <w:rFonts w:eastAsia="Times New Roman" w:cs="Times New Roman"/>
                <w:sz w:val="24"/>
                <w:szCs w:val="24"/>
              </w:rPr>
            </w:pPr>
            <w:r w:rsidRPr="00D85B7D">
              <w:rPr>
                <w:rFonts w:eastAsia="Times New Roman" w:cs="Times New Roman"/>
                <w:sz w:val="24"/>
                <w:szCs w:val="24"/>
              </w:rPr>
              <w:t>A total of 1,600 youth who are 13-17 years old and who have ever used an ENDS product will be enrolled. Youth must be ages 13-17 to participate in order to comply with Children’s Online Privacy Protection Act (COPPA) regulations.</w:t>
            </w:r>
            <w:r w:rsidRPr="00D85B7D">
              <w:rPr>
                <w:rFonts w:cs="Times New Roman"/>
                <w:sz w:val="24"/>
                <w:szCs w:val="24"/>
              </w:rPr>
              <w:br/>
            </w:r>
          </w:p>
          <w:p w14:paraId="55A0BCBA" w14:textId="3614E2E0" w:rsidR="000928AE" w:rsidRPr="00D85B7D" w:rsidRDefault="00D85B7D" w:rsidP="00D85B7D">
            <w:pPr>
              <w:pStyle w:val="ListParagraph"/>
              <w:numPr>
                <w:ilvl w:val="0"/>
                <w:numId w:val="1"/>
              </w:numPr>
              <w:spacing w:line="276" w:lineRule="auto"/>
              <w:rPr>
                <w:rFonts w:cs="Times New Roman"/>
                <w:sz w:val="22"/>
              </w:rPr>
            </w:pPr>
            <w:r w:rsidRPr="00D85B7D">
              <w:rPr>
                <w:rFonts w:eastAsia="Times New Roman" w:cs="Times New Roman"/>
                <w:sz w:val="24"/>
                <w:szCs w:val="24"/>
              </w:rPr>
              <w:t xml:space="preserve">The resulting data will be analyzed using conventional tabulation techniques for quantitative data. The study questions collect information about respondents’ </w:t>
            </w:r>
            <w:r w:rsidRPr="00D85B7D">
              <w:rPr>
                <w:rFonts w:cs="Times New Roman"/>
                <w:sz w:val="24"/>
                <w:szCs w:val="24"/>
              </w:rPr>
              <w:t>ENDS use and its social context, measures of tobacco dependence, KABs, advertising and counter-marketing exposure, a sensation-seeking scale, measures of other tobacco product use, and demographics.</w:t>
            </w:r>
            <w:r w:rsidR="00DA11D0" w:rsidRPr="00D85B7D">
              <w:rPr>
                <w:rFonts w:eastAsia="Times New Roman" w:cs="Times New Roman"/>
                <w:sz w:val="22"/>
              </w:rPr>
              <w:br/>
            </w:r>
          </w:p>
          <w:p w14:paraId="48D81D54" w14:textId="77777777" w:rsidR="00DA11D0" w:rsidRPr="00506709" w:rsidRDefault="00DA11D0" w:rsidP="00D85B7D">
            <w:pPr>
              <w:pStyle w:val="ListParagraph"/>
              <w:numPr>
                <w:ilvl w:val="0"/>
                <w:numId w:val="1"/>
              </w:numPr>
              <w:spacing w:line="276" w:lineRule="auto"/>
              <w:rPr>
                <w:rFonts w:cs="Times New Roman"/>
                <w:sz w:val="24"/>
                <w:szCs w:val="24"/>
              </w:rPr>
            </w:pPr>
            <w:r w:rsidRPr="00D85B7D">
              <w:rPr>
                <w:rFonts w:eastAsia="Times New Roman" w:cs="Times New Roman"/>
                <w:b/>
                <w:sz w:val="24"/>
                <w:szCs w:val="24"/>
              </w:rPr>
              <w:t xml:space="preserve">REQUESTED APPROVAL DATE: </w:t>
            </w:r>
            <w:r w:rsidR="00AE43A1">
              <w:rPr>
                <w:rFonts w:eastAsia="Times New Roman" w:cs="Times New Roman"/>
                <w:b/>
                <w:sz w:val="24"/>
                <w:szCs w:val="24"/>
              </w:rPr>
              <w:t>March 29</w:t>
            </w:r>
            <w:r w:rsidR="009E1943" w:rsidRPr="00D85B7D">
              <w:rPr>
                <w:rFonts w:eastAsia="Times New Roman" w:cs="Times New Roman"/>
                <w:b/>
                <w:sz w:val="24"/>
                <w:szCs w:val="24"/>
              </w:rPr>
              <w:t>, 201</w:t>
            </w:r>
            <w:bookmarkEnd w:id="2"/>
            <w:r w:rsidR="00D85B7D">
              <w:rPr>
                <w:rFonts w:eastAsia="Times New Roman" w:cs="Times New Roman"/>
                <w:b/>
                <w:sz w:val="24"/>
                <w:szCs w:val="24"/>
              </w:rPr>
              <w:t>9</w:t>
            </w:r>
          </w:p>
          <w:p w14:paraId="18DD7733" w14:textId="326431D2" w:rsidR="00506709" w:rsidRPr="004432BE" w:rsidRDefault="00506709" w:rsidP="00506709">
            <w:pPr>
              <w:pStyle w:val="ListParagraph"/>
              <w:spacing w:line="276" w:lineRule="auto"/>
              <w:ind w:left="360"/>
              <w:rPr>
                <w:rFonts w:cs="Times New Roman"/>
                <w:sz w:val="24"/>
                <w:szCs w:val="24"/>
              </w:rPr>
            </w:pPr>
          </w:p>
        </w:tc>
      </w:tr>
    </w:tbl>
    <w:p w14:paraId="7BC2B7A3" w14:textId="77777777" w:rsidR="00DA11D0" w:rsidRPr="004432BE" w:rsidRDefault="00DA11D0" w:rsidP="000C5CD3">
      <w:pPr>
        <w:rPr>
          <w:rFonts w:ascii="Times New Roman" w:hAnsi="Times New Roman" w:cs="Times New Roman"/>
          <w:b/>
          <w:u w:val="single"/>
        </w:rPr>
      </w:pPr>
    </w:p>
    <w:p w14:paraId="11062C39" w14:textId="78B2104E" w:rsidR="008A7737" w:rsidRDefault="008A7737" w:rsidP="000C5CD3">
      <w:pPr>
        <w:rPr>
          <w:rFonts w:ascii="Times New Roman" w:hAnsi="Times New Roman" w:cs="Times New Roman"/>
          <w:b/>
          <w:u w:val="single"/>
        </w:rPr>
      </w:pPr>
      <w:r w:rsidRPr="0043510A">
        <w:rPr>
          <w:rFonts w:ascii="Times New Roman" w:hAnsi="Times New Roman" w:cs="Times New Roman"/>
          <w:b/>
          <w:u w:val="single"/>
        </w:rPr>
        <w:t>Data Collection Instruments</w:t>
      </w:r>
    </w:p>
    <w:p w14:paraId="622866B0" w14:textId="77777777" w:rsidR="0043510A" w:rsidRPr="00506709" w:rsidRDefault="0043510A" w:rsidP="000C5CD3">
      <w:pPr>
        <w:rPr>
          <w:rFonts w:ascii="Times New Roman" w:hAnsi="Times New Roman" w:cs="Times New Roman"/>
          <w:b/>
          <w:sz w:val="10"/>
          <w:u w:val="single"/>
        </w:rPr>
      </w:pPr>
    </w:p>
    <w:p w14:paraId="6068A573" w14:textId="3EF0D814" w:rsidR="008A7737" w:rsidRPr="0043510A" w:rsidRDefault="008A7737" w:rsidP="000C5CD3">
      <w:pPr>
        <w:pStyle w:val="ListParagraph"/>
        <w:numPr>
          <w:ilvl w:val="0"/>
          <w:numId w:val="2"/>
        </w:numPr>
        <w:rPr>
          <w:rFonts w:cs="Times New Roman"/>
          <w:szCs w:val="24"/>
        </w:rPr>
      </w:pPr>
      <w:r w:rsidRPr="0043510A">
        <w:rPr>
          <w:rFonts w:cs="Times New Roman"/>
          <w:szCs w:val="24"/>
        </w:rPr>
        <w:t xml:space="preserve">Attachment A: </w:t>
      </w:r>
      <w:r w:rsidR="0043510A">
        <w:rPr>
          <w:rFonts w:cs="Times New Roman"/>
          <w:szCs w:val="24"/>
        </w:rPr>
        <w:t>Study Screener</w:t>
      </w:r>
    </w:p>
    <w:p w14:paraId="2419E58E" w14:textId="50E4A7F5" w:rsidR="008A7737" w:rsidRPr="0043510A" w:rsidRDefault="00DC50FC" w:rsidP="000C5CD3">
      <w:pPr>
        <w:pStyle w:val="ListParagraph"/>
        <w:numPr>
          <w:ilvl w:val="0"/>
          <w:numId w:val="2"/>
        </w:numPr>
        <w:rPr>
          <w:rFonts w:cs="Times New Roman"/>
          <w:szCs w:val="24"/>
        </w:rPr>
      </w:pPr>
      <w:r w:rsidRPr="0043510A">
        <w:rPr>
          <w:rFonts w:cs="Times New Roman"/>
          <w:szCs w:val="24"/>
        </w:rPr>
        <w:t xml:space="preserve">Attachment </w:t>
      </w:r>
      <w:r w:rsidR="0043510A">
        <w:rPr>
          <w:rFonts w:cs="Times New Roman"/>
          <w:szCs w:val="24"/>
        </w:rPr>
        <w:t>B</w:t>
      </w:r>
      <w:r w:rsidRPr="0043510A">
        <w:rPr>
          <w:rFonts w:cs="Times New Roman"/>
          <w:szCs w:val="24"/>
        </w:rPr>
        <w:t xml:space="preserve">: </w:t>
      </w:r>
      <w:r w:rsidR="0043510A">
        <w:rPr>
          <w:rFonts w:cs="Times New Roman"/>
          <w:szCs w:val="24"/>
        </w:rPr>
        <w:t xml:space="preserve">Study </w:t>
      </w:r>
      <w:r w:rsidR="008A7737" w:rsidRPr="0043510A">
        <w:rPr>
          <w:rFonts w:cs="Times New Roman"/>
          <w:szCs w:val="24"/>
        </w:rPr>
        <w:t>Questionnaire</w:t>
      </w:r>
    </w:p>
    <w:p w14:paraId="55B594F6" w14:textId="77777777" w:rsidR="008A7737" w:rsidRPr="0043510A" w:rsidRDefault="008A7737" w:rsidP="000C5CD3">
      <w:pPr>
        <w:rPr>
          <w:rFonts w:ascii="Times New Roman" w:hAnsi="Times New Roman" w:cs="Times New Roman"/>
        </w:rPr>
      </w:pPr>
    </w:p>
    <w:p w14:paraId="7012B2A4" w14:textId="6F0C49A1" w:rsidR="008A7737" w:rsidRDefault="008A7737" w:rsidP="000C5CD3">
      <w:pPr>
        <w:rPr>
          <w:rFonts w:ascii="Times New Roman" w:hAnsi="Times New Roman" w:cs="Times New Roman"/>
          <w:b/>
          <w:u w:val="single"/>
        </w:rPr>
      </w:pPr>
      <w:r w:rsidRPr="0043510A">
        <w:rPr>
          <w:rFonts w:ascii="Times New Roman" w:hAnsi="Times New Roman" w:cs="Times New Roman"/>
          <w:b/>
          <w:u w:val="single"/>
        </w:rPr>
        <w:t xml:space="preserve">Participant </w:t>
      </w:r>
      <w:r w:rsidR="00BD4D87" w:rsidRPr="0043510A">
        <w:rPr>
          <w:rFonts w:ascii="Times New Roman" w:hAnsi="Times New Roman" w:cs="Times New Roman"/>
          <w:b/>
          <w:u w:val="single"/>
        </w:rPr>
        <w:t>Assent/Consent</w:t>
      </w:r>
      <w:r w:rsidRPr="0043510A">
        <w:rPr>
          <w:rFonts w:ascii="Times New Roman" w:hAnsi="Times New Roman" w:cs="Times New Roman"/>
          <w:b/>
          <w:u w:val="single"/>
        </w:rPr>
        <w:t xml:space="preserve"> Forms</w:t>
      </w:r>
    </w:p>
    <w:p w14:paraId="4A9E66B0" w14:textId="77777777" w:rsidR="0043510A" w:rsidRPr="00506709" w:rsidRDefault="0043510A" w:rsidP="000C5CD3">
      <w:pPr>
        <w:rPr>
          <w:rFonts w:ascii="Times New Roman" w:hAnsi="Times New Roman" w:cs="Times New Roman"/>
          <w:b/>
          <w:sz w:val="10"/>
          <w:u w:val="single"/>
        </w:rPr>
      </w:pPr>
    </w:p>
    <w:p w14:paraId="59662615" w14:textId="099DD2CA" w:rsidR="001618FD" w:rsidRPr="001618FD" w:rsidRDefault="001618FD" w:rsidP="000C5CD3">
      <w:pPr>
        <w:pStyle w:val="ListParagraph"/>
        <w:numPr>
          <w:ilvl w:val="0"/>
          <w:numId w:val="4"/>
        </w:numPr>
        <w:rPr>
          <w:rFonts w:cs="Times New Roman"/>
          <w:b/>
          <w:szCs w:val="24"/>
          <w:u w:val="single"/>
        </w:rPr>
      </w:pPr>
      <w:r>
        <w:rPr>
          <w:rFonts w:cs="Times New Roman"/>
          <w:szCs w:val="24"/>
        </w:rPr>
        <w:t>Attachment C: Recruitment Email</w:t>
      </w:r>
    </w:p>
    <w:p w14:paraId="185C4294" w14:textId="007DB962" w:rsidR="008A7737" w:rsidRPr="0043510A" w:rsidRDefault="00DC50FC" w:rsidP="000C5CD3">
      <w:pPr>
        <w:pStyle w:val="ListParagraph"/>
        <w:numPr>
          <w:ilvl w:val="0"/>
          <w:numId w:val="4"/>
        </w:numPr>
        <w:rPr>
          <w:rFonts w:cs="Times New Roman"/>
          <w:b/>
          <w:szCs w:val="24"/>
          <w:u w:val="single"/>
        </w:rPr>
      </w:pPr>
      <w:r w:rsidRPr="0043510A">
        <w:rPr>
          <w:rFonts w:cs="Times New Roman"/>
          <w:szCs w:val="24"/>
        </w:rPr>
        <w:t xml:space="preserve">Attachment </w:t>
      </w:r>
      <w:r w:rsidR="001618FD">
        <w:rPr>
          <w:rFonts w:cs="Times New Roman"/>
          <w:szCs w:val="24"/>
        </w:rPr>
        <w:t>D</w:t>
      </w:r>
      <w:r w:rsidR="0043510A">
        <w:rPr>
          <w:rFonts w:cs="Times New Roman"/>
          <w:szCs w:val="24"/>
        </w:rPr>
        <w:t>: Parental Permission Form</w:t>
      </w:r>
    </w:p>
    <w:p w14:paraId="7D42F429" w14:textId="366402E5" w:rsidR="008A7737" w:rsidRPr="0043510A" w:rsidRDefault="00DC50FC" w:rsidP="000C5CD3">
      <w:pPr>
        <w:pStyle w:val="ListParagraph"/>
        <w:numPr>
          <w:ilvl w:val="0"/>
          <w:numId w:val="4"/>
        </w:numPr>
        <w:rPr>
          <w:rFonts w:cs="Times New Roman"/>
          <w:b/>
          <w:szCs w:val="24"/>
          <w:u w:val="single"/>
        </w:rPr>
      </w:pPr>
      <w:r w:rsidRPr="0043510A">
        <w:rPr>
          <w:rFonts w:cs="Times New Roman"/>
          <w:szCs w:val="24"/>
        </w:rPr>
        <w:t xml:space="preserve">Attachment </w:t>
      </w:r>
      <w:r w:rsidR="001618FD">
        <w:rPr>
          <w:rFonts w:cs="Times New Roman"/>
          <w:szCs w:val="24"/>
        </w:rPr>
        <w:t>E</w:t>
      </w:r>
      <w:r w:rsidR="008A7737" w:rsidRPr="0043510A">
        <w:rPr>
          <w:rFonts w:cs="Times New Roman"/>
          <w:szCs w:val="24"/>
        </w:rPr>
        <w:t xml:space="preserve">: </w:t>
      </w:r>
      <w:r w:rsidR="00141386" w:rsidRPr="0043510A">
        <w:rPr>
          <w:rFonts w:cs="Times New Roman"/>
          <w:szCs w:val="24"/>
        </w:rPr>
        <w:t xml:space="preserve">Youth </w:t>
      </w:r>
      <w:r w:rsidRPr="0043510A">
        <w:rPr>
          <w:rFonts w:cs="Times New Roman"/>
          <w:szCs w:val="24"/>
        </w:rPr>
        <w:t xml:space="preserve">Assent </w:t>
      </w:r>
      <w:r w:rsidR="008A7737" w:rsidRPr="0043510A">
        <w:rPr>
          <w:rFonts w:cs="Times New Roman"/>
          <w:szCs w:val="24"/>
        </w:rPr>
        <w:t>Form</w:t>
      </w:r>
    </w:p>
    <w:p w14:paraId="1D7A8759" w14:textId="77777777" w:rsidR="008A7737" w:rsidRPr="0043510A" w:rsidRDefault="008A7737" w:rsidP="000C5CD3">
      <w:pPr>
        <w:rPr>
          <w:rFonts w:ascii="Times New Roman" w:hAnsi="Times New Roman" w:cs="Times New Roman"/>
          <w:b/>
          <w:u w:val="single"/>
        </w:rPr>
      </w:pPr>
    </w:p>
    <w:p w14:paraId="6C0A6F9A" w14:textId="39D64C20" w:rsidR="00DC50FC" w:rsidRDefault="00A117A5" w:rsidP="000C5CD3">
      <w:pPr>
        <w:rPr>
          <w:rFonts w:ascii="Times New Roman" w:hAnsi="Times New Roman" w:cs="Times New Roman"/>
          <w:b/>
          <w:u w:val="single"/>
        </w:rPr>
      </w:pPr>
      <w:r w:rsidRPr="0043510A">
        <w:rPr>
          <w:rFonts w:ascii="Times New Roman" w:hAnsi="Times New Roman" w:cs="Times New Roman"/>
          <w:b/>
          <w:u w:val="single"/>
        </w:rPr>
        <w:t>Additional Materials</w:t>
      </w:r>
    </w:p>
    <w:p w14:paraId="6D332776" w14:textId="77777777" w:rsidR="0043510A" w:rsidRPr="00506709" w:rsidRDefault="0043510A" w:rsidP="000C5CD3">
      <w:pPr>
        <w:rPr>
          <w:rFonts w:ascii="Times New Roman" w:hAnsi="Times New Roman" w:cs="Times New Roman"/>
          <w:b/>
          <w:sz w:val="10"/>
          <w:u w:val="single"/>
        </w:rPr>
      </w:pPr>
    </w:p>
    <w:p w14:paraId="1201C891" w14:textId="61C46C5B" w:rsidR="00DA11D0" w:rsidRPr="0043510A" w:rsidRDefault="00DC50FC" w:rsidP="00BB44C4">
      <w:pPr>
        <w:pStyle w:val="ListParagraph"/>
        <w:numPr>
          <w:ilvl w:val="0"/>
          <w:numId w:val="5"/>
        </w:numPr>
        <w:rPr>
          <w:rFonts w:cs="Times New Roman"/>
          <w:b/>
          <w:szCs w:val="24"/>
          <w:u w:val="single"/>
        </w:rPr>
      </w:pPr>
      <w:r w:rsidRPr="0043510A">
        <w:rPr>
          <w:rFonts w:cs="Times New Roman"/>
          <w:szCs w:val="24"/>
        </w:rPr>
        <w:lastRenderedPageBreak/>
        <w:t xml:space="preserve">Attachment </w:t>
      </w:r>
      <w:r w:rsidR="007C7F5C">
        <w:rPr>
          <w:rFonts w:cs="Times New Roman"/>
          <w:szCs w:val="24"/>
        </w:rPr>
        <w:t>F</w:t>
      </w:r>
      <w:r w:rsidRPr="0043510A">
        <w:rPr>
          <w:rFonts w:cs="Times New Roman"/>
          <w:szCs w:val="24"/>
        </w:rPr>
        <w:t xml:space="preserve">: </w:t>
      </w:r>
      <w:r w:rsidR="0043510A">
        <w:rPr>
          <w:rFonts w:cs="Times New Roman"/>
          <w:szCs w:val="24"/>
        </w:rPr>
        <w:t xml:space="preserve">RTI </w:t>
      </w:r>
      <w:r w:rsidR="00DA11D0" w:rsidRPr="0043510A">
        <w:rPr>
          <w:rFonts w:cs="Times New Roman"/>
          <w:szCs w:val="24"/>
        </w:rPr>
        <w:t>IRB Approval Letter</w:t>
      </w:r>
    </w:p>
    <w:p w14:paraId="4163F09A" w14:textId="77777777" w:rsidR="007C7F5C" w:rsidRDefault="007C7F5C">
      <w:pPr>
        <w:rPr>
          <w:rFonts w:ascii="Times New Roman" w:eastAsia="Calibri" w:hAnsi="Times New Roman" w:cs="Times New Roman"/>
          <w:b/>
          <w:bCs/>
          <w:szCs w:val="22"/>
        </w:rPr>
      </w:pPr>
      <w:r>
        <w:rPr>
          <w:rFonts w:cs="Times New Roman"/>
          <w:b/>
          <w:bCs/>
        </w:rPr>
        <w:br w:type="page"/>
      </w:r>
    </w:p>
    <w:p w14:paraId="480A2DC1" w14:textId="477DD512" w:rsidR="00D21D29" w:rsidRPr="00D21D29" w:rsidRDefault="00D21D29" w:rsidP="00D21D29">
      <w:pPr>
        <w:pStyle w:val="ListParagraph"/>
        <w:jc w:val="center"/>
        <w:rPr>
          <w:rFonts w:cs="Times New Roman"/>
          <w:b/>
          <w:bCs/>
        </w:rPr>
      </w:pPr>
      <w:r w:rsidRPr="00D21D29">
        <w:rPr>
          <w:rFonts w:cs="Times New Roman"/>
          <w:b/>
          <w:bCs/>
        </w:rPr>
        <w:lastRenderedPageBreak/>
        <w:t>2019 Electronic Nicotine Delivery Systems Formative Data Collection to Inform Experimenter and Established User Definitions</w:t>
      </w:r>
    </w:p>
    <w:p w14:paraId="602CC137" w14:textId="77777777" w:rsidR="008A7737" w:rsidRPr="004432BE" w:rsidRDefault="008A7737" w:rsidP="000C5CD3">
      <w:pPr>
        <w:rPr>
          <w:rFonts w:ascii="Times New Roman" w:eastAsia="Times New Roman" w:hAnsi="Times New Roman" w:cs="Times New Roman"/>
        </w:rPr>
      </w:pPr>
    </w:p>
    <w:p w14:paraId="2FFD31D3" w14:textId="1268B0E8" w:rsidR="008A7737" w:rsidRPr="004432BE" w:rsidRDefault="008A7737" w:rsidP="009C6AAC">
      <w:pPr>
        <w:jc w:val="center"/>
        <w:rPr>
          <w:rFonts w:ascii="Times New Roman" w:eastAsia="Times New Roman" w:hAnsi="Times New Roman" w:cs="Times New Roman"/>
        </w:rPr>
      </w:pPr>
      <w:r w:rsidRPr="004432BE">
        <w:rPr>
          <w:rFonts w:ascii="Times New Roman" w:eastAsia="Times New Roman" w:hAnsi="Times New Roman" w:cs="Times New Roman"/>
        </w:rPr>
        <w:t>0910-0</w:t>
      </w:r>
      <w:r w:rsidR="005E4E8F" w:rsidRPr="004432BE">
        <w:rPr>
          <w:rFonts w:ascii="Times New Roman" w:eastAsia="Times New Roman" w:hAnsi="Times New Roman" w:cs="Times New Roman"/>
        </w:rPr>
        <w:t>810</w:t>
      </w:r>
    </w:p>
    <w:p w14:paraId="01CDD471" w14:textId="77777777" w:rsidR="008A7737" w:rsidRPr="004432BE" w:rsidRDefault="008A7737" w:rsidP="009C6AAC">
      <w:pPr>
        <w:jc w:val="center"/>
        <w:rPr>
          <w:rFonts w:ascii="Times New Roman" w:hAnsi="Times New Roman" w:cs="Times New Roman"/>
          <w:b/>
          <w:u w:val="single"/>
        </w:rPr>
      </w:pPr>
    </w:p>
    <w:p w14:paraId="40A494C9" w14:textId="675DB1B4" w:rsidR="008A7737" w:rsidRPr="004432BE" w:rsidRDefault="008A7737" w:rsidP="009C6AAC">
      <w:pPr>
        <w:keepNext/>
        <w:spacing w:before="120" w:after="120"/>
        <w:jc w:val="center"/>
        <w:outlineLvl w:val="0"/>
        <w:rPr>
          <w:rFonts w:ascii="Times New Roman" w:eastAsia="Times New Roman" w:hAnsi="Times New Roman" w:cs="Times New Roman"/>
          <w:b/>
          <w:bCs/>
          <w:caps/>
        </w:rPr>
      </w:pPr>
      <w:bookmarkStart w:id="3" w:name="_Toc365038358"/>
      <w:bookmarkStart w:id="4" w:name="_Toc365473622"/>
      <w:r w:rsidRPr="004432BE">
        <w:rPr>
          <w:rFonts w:ascii="Times New Roman" w:eastAsia="Times New Roman" w:hAnsi="Times New Roman" w:cs="Times New Roman"/>
          <w:b/>
          <w:bCs/>
          <w:caps/>
        </w:rPr>
        <w:t>SUPPORTING STATEMENT</w:t>
      </w:r>
      <w:bookmarkEnd w:id="3"/>
      <w:bookmarkEnd w:id="4"/>
      <w:r w:rsidRPr="004432BE">
        <w:rPr>
          <w:rFonts w:ascii="Times New Roman" w:eastAsia="Times New Roman" w:hAnsi="Times New Roman" w:cs="Times New Roman"/>
          <w:b/>
          <w:bCs/>
          <w:caps/>
        </w:rPr>
        <w:t>: PART A</w:t>
      </w:r>
    </w:p>
    <w:p w14:paraId="1E0BCD11" w14:textId="77777777" w:rsidR="008A7737" w:rsidRPr="004432BE" w:rsidRDefault="008A7737" w:rsidP="000C5CD3">
      <w:pPr>
        <w:spacing w:before="100" w:beforeAutospacing="1" w:after="100" w:afterAutospacing="1"/>
        <w:rPr>
          <w:rFonts w:ascii="Times New Roman" w:eastAsia="Times New Roman" w:hAnsi="Times New Roman" w:cs="Times New Roman"/>
        </w:rPr>
      </w:pPr>
      <w:r w:rsidRPr="004432BE">
        <w:rPr>
          <w:rFonts w:ascii="Times New Roman" w:eastAsia="Times New Roman" w:hAnsi="Times New Roman" w:cs="Times New Roman"/>
          <w:b/>
          <w:bCs/>
        </w:rPr>
        <w:t>A. Justification</w:t>
      </w:r>
    </w:p>
    <w:p w14:paraId="3463B821" w14:textId="77777777" w:rsidR="002F2C04" w:rsidRPr="004432BE" w:rsidRDefault="002F2C04" w:rsidP="000C5CD3">
      <w:pPr>
        <w:numPr>
          <w:ilvl w:val="0"/>
          <w:numId w:val="6"/>
        </w:numPr>
        <w:spacing w:before="100" w:beforeAutospacing="1" w:after="100" w:afterAutospacing="1"/>
        <w:rPr>
          <w:rFonts w:ascii="Times New Roman" w:eastAsia="Times New Roman" w:hAnsi="Times New Roman" w:cs="Times New Roman"/>
          <w:u w:val="single"/>
        </w:rPr>
      </w:pPr>
      <w:r w:rsidRPr="004432BE">
        <w:rPr>
          <w:rFonts w:ascii="Times New Roman" w:eastAsia="Times New Roman" w:hAnsi="Times New Roman" w:cs="Times New Roman"/>
          <w:u w:val="single"/>
        </w:rPr>
        <w:t>Circumstances Making the Collection of Information Necessary</w:t>
      </w:r>
    </w:p>
    <w:p w14:paraId="0A9D869D" w14:textId="707A188A" w:rsidR="00A117A5" w:rsidRPr="004432BE" w:rsidRDefault="00A117A5" w:rsidP="00A117A5">
      <w:pPr>
        <w:pStyle w:val="Heading1"/>
        <w:rPr>
          <w:rFonts w:ascii="Times New Roman" w:hAnsi="Times New Roman" w:cs="Times New Roman"/>
        </w:rPr>
      </w:pPr>
      <w:r w:rsidRPr="004432BE">
        <w:rPr>
          <w:rFonts w:ascii="Times New Roman" w:hAnsi="Times New Roman" w:cs="Times New Roman"/>
        </w:rPr>
        <w:tab/>
        <w:t>Introduction</w:t>
      </w:r>
    </w:p>
    <w:p w14:paraId="2D80F168" w14:textId="6C1965C4" w:rsidR="00470454" w:rsidRPr="004432BE" w:rsidRDefault="00675E73" w:rsidP="00675E73">
      <w:pPr>
        <w:spacing w:after="240"/>
        <w:ind w:left="720"/>
        <w:rPr>
          <w:rFonts w:ascii="Times New Roman" w:hAnsi="Times New Roman" w:cs="Times New Roman"/>
        </w:rPr>
      </w:pPr>
      <w:r w:rsidRPr="004432BE">
        <w:rPr>
          <w:rFonts w:ascii="Times New Roman" w:hAnsi="Times New Roman" w:cs="Times New Roman"/>
        </w:rPr>
        <w:t xml:space="preserve">On June 22, 2009, the Family Smoking Prevention and Tobacco Control Act (FSPTCA) (Public Law 111-31) </w:t>
      </w:r>
      <w:r w:rsidR="004C64B6">
        <w:rPr>
          <w:rFonts w:ascii="Times New Roman" w:hAnsi="Times New Roman" w:cs="Times New Roman"/>
        </w:rPr>
        <w:t xml:space="preserve">was signed </w:t>
      </w:r>
      <w:r w:rsidRPr="004432BE">
        <w:rPr>
          <w:rFonts w:ascii="Times New Roman" w:hAnsi="Times New Roman" w:cs="Times New Roman"/>
        </w:rPr>
        <w:t xml:space="preserve">into law. The FSPTCA granted </w:t>
      </w:r>
      <w:r w:rsidR="00AB6EF5">
        <w:rPr>
          <w:rFonts w:ascii="Times New Roman" w:hAnsi="Times New Roman" w:cs="Times New Roman"/>
        </w:rPr>
        <w:t xml:space="preserve">the </w:t>
      </w:r>
      <w:r w:rsidR="00AB6EF5" w:rsidRPr="004432BE">
        <w:rPr>
          <w:rFonts w:ascii="Times New Roman" w:hAnsi="Times New Roman" w:cs="Times New Roman"/>
        </w:rPr>
        <w:t xml:space="preserve">U.S. Food and Drug Administration </w:t>
      </w:r>
      <w:r w:rsidR="00AB6EF5">
        <w:rPr>
          <w:rFonts w:ascii="Times New Roman" w:hAnsi="Times New Roman" w:cs="Times New Roman"/>
        </w:rPr>
        <w:t>(</w:t>
      </w:r>
      <w:r w:rsidRPr="004432BE">
        <w:rPr>
          <w:rFonts w:ascii="Times New Roman" w:hAnsi="Times New Roman" w:cs="Times New Roman"/>
        </w:rPr>
        <w:t>FDA</w:t>
      </w:r>
      <w:r w:rsidR="00AB6EF5">
        <w:rPr>
          <w:rFonts w:ascii="Times New Roman" w:hAnsi="Times New Roman" w:cs="Times New Roman"/>
        </w:rPr>
        <w:t>)</w:t>
      </w:r>
      <w:r w:rsidRPr="004432BE">
        <w:rPr>
          <w:rFonts w:ascii="Times New Roman" w:hAnsi="Times New Roman" w:cs="Times New Roman"/>
        </w:rPr>
        <w:t xml:space="preserve"> important new authority to regulate the manufacture, marketing, and distribution of tobacco products to protect the public health generally and to reduce tobacco use by minors. Part of the FDA’s responsibility is to inform the public on health-related issues. </w:t>
      </w:r>
    </w:p>
    <w:p w14:paraId="4E9CEA29" w14:textId="4E463B0D" w:rsidR="00470454" w:rsidRPr="004432BE" w:rsidRDefault="00AB6EF5" w:rsidP="00D6574D">
      <w:pPr>
        <w:spacing w:after="240"/>
        <w:ind w:left="720"/>
        <w:rPr>
          <w:rFonts w:ascii="Times New Roman" w:hAnsi="Times New Roman" w:cs="Times New Roman"/>
        </w:rPr>
      </w:pPr>
      <w:r>
        <w:rPr>
          <w:rFonts w:ascii="Times New Roman" w:hAnsi="Times New Roman" w:cs="Times New Roman"/>
        </w:rPr>
        <w:t>FDA CTP</w:t>
      </w:r>
      <w:r w:rsidR="00470454" w:rsidRPr="004432BE">
        <w:rPr>
          <w:rFonts w:ascii="Times New Roman" w:hAnsi="Times New Roman" w:cs="Times New Roman"/>
        </w:rPr>
        <w:t xml:space="preserve"> develops and executes health communication campaigns to educate youth about the dangers of tobacco use. Most of CTP’s tobacco-related health communication campaigns are framed as prevention campaigns targeted toward individuals who are either susceptible to or have experimented with tobacco products, including </w:t>
      </w:r>
      <w:r w:rsidR="005B66AB">
        <w:rPr>
          <w:rFonts w:ascii="Times New Roman" w:hAnsi="Times New Roman" w:cs="Times New Roman"/>
        </w:rPr>
        <w:t>Electronic Nicotine Delivery Systems (ENDS)</w:t>
      </w:r>
      <w:r w:rsidR="00D6574D">
        <w:rPr>
          <w:rFonts w:ascii="Times New Roman" w:hAnsi="Times New Roman" w:cs="Times New Roman"/>
        </w:rPr>
        <w:t xml:space="preserve"> such as</w:t>
      </w:r>
      <w:r w:rsidR="005B66AB">
        <w:rPr>
          <w:rFonts w:ascii="Times New Roman" w:hAnsi="Times New Roman" w:cs="Times New Roman"/>
        </w:rPr>
        <w:t xml:space="preserve"> e-cigarettes</w:t>
      </w:r>
      <w:r w:rsidR="00470454" w:rsidRPr="004432BE">
        <w:rPr>
          <w:rFonts w:ascii="Times New Roman" w:hAnsi="Times New Roman" w:cs="Times New Roman"/>
        </w:rPr>
        <w:t xml:space="preserve">. </w:t>
      </w:r>
      <w:r w:rsidR="00D6574D">
        <w:rPr>
          <w:rFonts w:ascii="Times New Roman" w:hAnsi="Times New Roman" w:cs="Times New Roman"/>
        </w:rPr>
        <w:t xml:space="preserve">To inform message development and ad campaign targeting, </w:t>
      </w:r>
      <w:r w:rsidR="00470454" w:rsidRPr="004432BE">
        <w:rPr>
          <w:rFonts w:ascii="Times New Roman" w:hAnsi="Times New Roman" w:cs="Times New Roman"/>
        </w:rPr>
        <w:t xml:space="preserve">CTP is interested in examining definitions that distinguish </w:t>
      </w:r>
      <w:r w:rsidR="005B66AB">
        <w:rPr>
          <w:rFonts w:ascii="Times New Roman" w:hAnsi="Times New Roman" w:cs="Times New Roman"/>
        </w:rPr>
        <w:t>ENDS</w:t>
      </w:r>
      <w:r w:rsidR="00470454" w:rsidRPr="004432BE">
        <w:rPr>
          <w:rFonts w:ascii="Times New Roman" w:hAnsi="Times New Roman" w:cs="Times New Roman"/>
        </w:rPr>
        <w:t xml:space="preserve"> experimenters from more established users. Currently, CTP does not have an established definition of youth </w:t>
      </w:r>
      <w:r w:rsidR="005B66AB">
        <w:rPr>
          <w:rFonts w:ascii="Times New Roman" w:hAnsi="Times New Roman" w:cs="Times New Roman"/>
        </w:rPr>
        <w:t>ENDS</w:t>
      </w:r>
      <w:r w:rsidR="00470454" w:rsidRPr="004432BE">
        <w:rPr>
          <w:rFonts w:ascii="Times New Roman" w:hAnsi="Times New Roman" w:cs="Times New Roman"/>
        </w:rPr>
        <w:t xml:space="preserve"> experimentation, and previous literature has not yet validated or developed a gold standard definition. Thus, there is a need to examine different approaches for characterizing </w:t>
      </w:r>
      <w:r w:rsidR="005B66AB">
        <w:rPr>
          <w:rFonts w:ascii="Times New Roman" w:hAnsi="Times New Roman" w:cs="Times New Roman"/>
        </w:rPr>
        <w:t>ENDS</w:t>
      </w:r>
      <w:r w:rsidR="00470454" w:rsidRPr="004432BE">
        <w:rPr>
          <w:rFonts w:ascii="Times New Roman" w:hAnsi="Times New Roman" w:cs="Times New Roman"/>
        </w:rPr>
        <w:t xml:space="preserve"> experimentation and differentiating experimental from more established </w:t>
      </w:r>
      <w:r w:rsidR="005B66AB">
        <w:rPr>
          <w:rFonts w:ascii="Times New Roman" w:hAnsi="Times New Roman" w:cs="Times New Roman"/>
        </w:rPr>
        <w:t>ENDS</w:t>
      </w:r>
      <w:r w:rsidR="00470454" w:rsidRPr="004432BE">
        <w:rPr>
          <w:rFonts w:ascii="Times New Roman" w:hAnsi="Times New Roman" w:cs="Times New Roman"/>
        </w:rPr>
        <w:t xml:space="preserve"> use. </w:t>
      </w:r>
    </w:p>
    <w:p w14:paraId="4651CF34" w14:textId="26B1CF0E" w:rsidR="0022324E" w:rsidRDefault="00470454" w:rsidP="00470454">
      <w:pPr>
        <w:spacing w:after="240"/>
        <w:ind w:left="720"/>
        <w:rPr>
          <w:rFonts w:ascii="Times New Roman" w:hAnsi="Times New Roman" w:cs="Times New Roman"/>
        </w:rPr>
      </w:pPr>
      <w:r w:rsidRPr="004432BE">
        <w:rPr>
          <w:rFonts w:ascii="Times New Roman" w:hAnsi="Times New Roman" w:cs="Times New Roman"/>
        </w:rPr>
        <w:t xml:space="preserve">A previous secondary analysis conducted for FDA (RTI International 2018) used available items from the </w:t>
      </w:r>
      <w:r w:rsidR="00AB6EF5">
        <w:rPr>
          <w:rFonts w:ascii="Times New Roman" w:hAnsi="Times New Roman" w:cs="Times New Roman"/>
        </w:rPr>
        <w:t>Population Assessment of Tobacco and Health (</w:t>
      </w:r>
      <w:r w:rsidRPr="004432BE">
        <w:rPr>
          <w:rFonts w:ascii="Times New Roman" w:hAnsi="Times New Roman" w:cs="Times New Roman"/>
        </w:rPr>
        <w:t>PATH</w:t>
      </w:r>
      <w:r w:rsidR="00AB6EF5">
        <w:rPr>
          <w:rFonts w:ascii="Times New Roman" w:hAnsi="Times New Roman" w:cs="Times New Roman"/>
        </w:rPr>
        <w:t>)</w:t>
      </w:r>
      <w:r w:rsidRPr="004432BE">
        <w:rPr>
          <w:rFonts w:ascii="Times New Roman" w:hAnsi="Times New Roman" w:cs="Times New Roman"/>
        </w:rPr>
        <w:t xml:space="preserve"> survey to construct various categorizations of </w:t>
      </w:r>
      <w:r w:rsidR="00822FB9">
        <w:rPr>
          <w:rFonts w:ascii="Times New Roman" w:hAnsi="Times New Roman" w:cs="Times New Roman"/>
        </w:rPr>
        <w:t>ENDS</w:t>
      </w:r>
      <w:r w:rsidRPr="004432BE">
        <w:rPr>
          <w:rFonts w:ascii="Times New Roman" w:hAnsi="Times New Roman" w:cs="Times New Roman"/>
        </w:rPr>
        <w:t xml:space="preserve"> experimentation. These experimenters were compared to more established users in terms of </w:t>
      </w:r>
      <w:r w:rsidR="00AB6EF5">
        <w:rPr>
          <w:rFonts w:ascii="Times New Roman" w:hAnsi="Times New Roman" w:cs="Times New Roman"/>
        </w:rPr>
        <w:t>Knowledge, Attitudes, and Beliefs (</w:t>
      </w:r>
      <w:r w:rsidRPr="004432BE">
        <w:rPr>
          <w:rFonts w:ascii="Times New Roman" w:hAnsi="Times New Roman" w:cs="Times New Roman"/>
        </w:rPr>
        <w:t>KABs</w:t>
      </w:r>
      <w:r w:rsidR="00AB6EF5">
        <w:rPr>
          <w:rFonts w:ascii="Times New Roman" w:hAnsi="Times New Roman" w:cs="Times New Roman"/>
        </w:rPr>
        <w:t>)</w:t>
      </w:r>
      <w:r w:rsidRPr="004432BE">
        <w:rPr>
          <w:rFonts w:ascii="Times New Roman" w:hAnsi="Times New Roman" w:cs="Times New Roman"/>
        </w:rPr>
        <w:t xml:space="preserve"> related to </w:t>
      </w:r>
      <w:r w:rsidR="00822FB9">
        <w:rPr>
          <w:rFonts w:ascii="Times New Roman" w:hAnsi="Times New Roman" w:cs="Times New Roman"/>
        </w:rPr>
        <w:t>ENDS</w:t>
      </w:r>
      <w:r w:rsidRPr="004432BE">
        <w:rPr>
          <w:rFonts w:ascii="Times New Roman" w:hAnsi="Times New Roman" w:cs="Times New Roman"/>
        </w:rPr>
        <w:t xml:space="preserve"> and general tobacco. </w:t>
      </w:r>
      <w:r w:rsidR="0022324E">
        <w:rPr>
          <w:rFonts w:ascii="Times New Roman" w:hAnsi="Times New Roman" w:cs="Times New Roman"/>
        </w:rPr>
        <w:t xml:space="preserve">However, these analyses were limited by </w:t>
      </w:r>
      <w:r w:rsidR="0022324E" w:rsidRPr="004432BE">
        <w:rPr>
          <w:rFonts w:ascii="Times New Roman" w:hAnsi="Times New Roman" w:cs="Times New Roman"/>
        </w:rPr>
        <w:t>small sample sizes for the established user groups in some definitions, questions not incorporating recent ENDS brand</w:t>
      </w:r>
      <w:r w:rsidR="00BB037E">
        <w:rPr>
          <w:rFonts w:ascii="Times New Roman" w:hAnsi="Times New Roman" w:cs="Times New Roman"/>
        </w:rPr>
        <w:t>s and forms of products</w:t>
      </w:r>
      <w:r w:rsidR="0022324E" w:rsidRPr="004432BE">
        <w:rPr>
          <w:rFonts w:ascii="Times New Roman" w:hAnsi="Times New Roman" w:cs="Times New Roman"/>
        </w:rPr>
        <w:t xml:space="preserve"> </w:t>
      </w:r>
      <w:r w:rsidR="00534372">
        <w:rPr>
          <w:rFonts w:ascii="Times New Roman" w:hAnsi="Times New Roman" w:cs="Times New Roman"/>
        </w:rPr>
        <w:t xml:space="preserve">that are popular among youth, </w:t>
      </w:r>
      <w:r w:rsidR="0022324E" w:rsidRPr="004432BE">
        <w:rPr>
          <w:rFonts w:ascii="Times New Roman" w:hAnsi="Times New Roman" w:cs="Times New Roman"/>
        </w:rPr>
        <w:t xml:space="preserve">and limited KABs </w:t>
      </w:r>
      <w:r w:rsidR="0022324E">
        <w:rPr>
          <w:rFonts w:ascii="Times New Roman" w:hAnsi="Times New Roman" w:cs="Times New Roman"/>
        </w:rPr>
        <w:t xml:space="preserve">included on the PATH survey. </w:t>
      </w:r>
      <w:r w:rsidR="0022324E" w:rsidRPr="004432BE">
        <w:rPr>
          <w:rFonts w:ascii="Times New Roman" w:hAnsi="Times New Roman" w:cs="Times New Roman"/>
        </w:rPr>
        <w:t xml:space="preserve">Different items beyond those on existing surveys may be needed to better understand what distinguishes experimenters from more established </w:t>
      </w:r>
      <w:r w:rsidR="00822FB9">
        <w:rPr>
          <w:rFonts w:ascii="Times New Roman" w:hAnsi="Times New Roman" w:cs="Times New Roman"/>
        </w:rPr>
        <w:t>ENDS</w:t>
      </w:r>
      <w:r w:rsidR="0022324E" w:rsidRPr="004432BE">
        <w:rPr>
          <w:rFonts w:ascii="Times New Roman" w:hAnsi="Times New Roman" w:cs="Times New Roman"/>
        </w:rPr>
        <w:t xml:space="preserve"> users.</w:t>
      </w:r>
    </w:p>
    <w:p w14:paraId="1E24F375" w14:textId="161D8447" w:rsidR="0022324E" w:rsidRDefault="0022324E" w:rsidP="005B66AB">
      <w:pPr>
        <w:spacing w:after="240"/>
        <w:ind w:left="720"/>
        <w:rPr>
          <w:rFonts w:ascii="Times New Roman" w:hAnsi="Times New Roman" w:cs="Times New Roman"/>
        </w:rPr>
      </w:pPr>
      <w:r>
        <w:rPr>
          <w:rFonts w:ascii="Times New Roman" w:hAnsi="Times New Roman" w:cs="Times New Roman"/>
        </w:rPr>
        <w:t xml:space="preserve">The current study will leverage a data collection among U.S. youth who have ever used ENDS products, </w:t>
      </w:r>
      <w:r w:rsidR="005B66AB">
        <w:rPr>
          <w:rFonts w:ascii="Times New Roman" w:hAnsi="Times New Roman" w:cs="Times New Roman"/>
        </w:rPr>
        <w:t xml:space="preserve">to assess tobacco-related KABs, social context of ENDS use, tobacco dependence, tobacco-related advertising and countermarketing exposure, and use and correlates of various tobacco products. </w:t>
      </w:r>
      <w:r w:rsidRPr="004432BE">
        <w:rPr>
          <w:rFonts w:ascii="Times New Roman" w:hAnsi="Times New Roman" w:cs="Times New Roman"/>
        </w:rPr>
        <w:t xml:space="preserve">Questions to be asked were developed </w:t>
      </w:r>
      <w:r>
        <w:rPr>
          <w:rFonts w:ascii="Times New Roman" w:hAnsi="Times New Roman" w:cs="Times New Roman"/>
        </w:rPr>
        <w:t xml:space="preserve">collaboratively by CTP and RTI </w:t>
      </w:r>
      <w:r w:rsidRPr="004432BE">
        <w:rPr>
          <w:rFonts w:ascii="Times New Roman" w:hAnsi="Times New Roman" w:cs="Times New Roman"/>
        </w:rPr>
        <w:t>and include measures examined in the earlier PATH analysis</w:t>
      </w:r>
      <w:r w:rsidR="00534372">
        <w:rPr>
          <w:rFonts w:ascii="Times New Roman" w:hAnsi="Times New Roman" w:cs="Times New Roman"/>
        </w:rPr>
        <w:t xml:space="preserve"> as well as more recent measures from the literature</w:t>
      </w:r>
      <w:r w:rsidRPr="004432BE">
        <w:rPr>
          <w:rFonts w:ascii="Times New Roman" w:hAnsi="Times New Roman" w:cs="Times New Roman"/>
        </w:rPr>
        <w:t xml:space="preserve">. Analyses will build on the analysis conducted for the earlier report, using measures of use to construct and then test which experimental use definitions are most optimal in discriminating between experimental and more established </w:t>
      </w:r>
      <w:r w:rsidR="00822FB9">
        <w:rPr>
          <w:rFonts w:ascii="Times New Roman" w:hAnsi="Times New Roman" w:cs="Times New Roman"/>
        </w:rPr>
        <w:t>ENDS</w:t>
      </w:r>
      <w:r w:rsidRPr="004432BE">
        <w:rPr>
          <w:rFonts w:ascii="Times New Roman" w:hAnsi="Times New Roman" w:cs="Times New Roman"/>
        </w:rPr>
        <w:t xml:space="preserve"> user groups on key attitudinal and behavioral constructs.</w:t>
      </w:r>
      <w:r w:rsidR="005B66AB">
        <w:rPr>
          <w:rFonts w:ascii="Times New Roman" w:hAnsi="Times New Roman" w:cs="Times New Roman"/>
        </w:rPr>
        <w:t xml:space="preserve"> </w:t>
      </w:r>
      <w:r w:rsidRPr="004432BE">
        <w:rPr>
          <w:rFonts w:ascii="Times New Roman" w:hAnsi="Times New Roman" w:cs="Times New Roman"/>
        </w:rPr>
        <w:t>Results from these analyses will help CTP identify and characterize their target audiences to inform communication strategies.</w:t>
      </w:r>
    </w:p>
    <w:p w14:paraId="56576A99" w14:textId="77777777" w:rsidR="00F37604" w:rsidRPr="004432BE" w:rsidRDefault="002324AB" w:rsidP="009C6AAC">
      <w:pPr>
        <w:numPr>
          <w:ilvl w:val="0"/>
          <w:numId w:val="6"/>
        </w:numPr>
        <w:tabs>
          <w:tab w:val="num" w:pos="720"/>
        </w:tabs>
        <w:spacing w:before="100" w:beforeAutospacing="1" w:after="240"/>
        <w:rPr>
          <w:rFonts w:ascii="Times New Roman" w:eastAsia="Times New Roman" w:hAnsi="Times New Roman" w:cs="Times New Roman"/>
          <w:u w:val="single"/>
        </w:rPr>
      </w:pPr>
      <w:r w:rsidRPr="004432BE">
        <w:rPr>
          <w:rFonts w:ascii="Times New Roman" w:eastAsia="Times New Roman" w:hAnsi="Times New Roman" w:cs="Times New Roman"/>
          <w:u w:val="single"/>
        </w:rPr>
        <w:t>Purpose and Use of the Information Collection</w:t>
      </w:r>
    </w:p>
    <w:p w14:paraId="580ADB0D" w14:textId="4F2FA149" w:rsidR="00470454" w:rsidRPr="004432BE" w:rsidRDefault="00470454" w:rsidP="00B30EE0">
      <w:pPr>
        <w:spacing w:after="240"/>
        <w:ind w:left="720"/>
        <w:rPr>
          <w:rFonts w:ascii="Times New Roman" w:hAnsi="Times New Roman" w:cs="Times New Roman"/>
        </w:rPr>
      </w:pPr>
      <w:r w:rsidRPr="004432BE">
        <w:rPr>
          <w:rFonts w:ascii="Times New Roman" w:hAnsi="Times New Roman" w:cs="Times New Roman"/>
        </w:rPr>
        <w:t xml:space="preserve">In support of FDA’s efforts to inform the public on tobacco-related health issues, </w:t>
      </w:r>
      <w:r w:rsidR="0022324E">
        <w:rPr>
          <w:rFonts w:ascii="Times New Roman" w:hAnsi="Times New Roman" w:cs="Times New Roman"/>
        </w:rPr>
        <w:t xml:space="preserve">CTP </w:t>
      </w:r>
      <w:r w:rsidRPr="004432BE">
        <w:rPr>
          <w:rFonts w:ascii="Times New Roman" w:hAnsi="Times New Roman" w:cs="Times New Roman"/>
        </w:rPr>
        <w:t xml:space="preserve">will conduct a study to explore youth use </w:t>
      </w:r>
      <w:r w:rsidR="00B30EE0">
        <w:rPr>
          <w:rFonts w:ascii="Times New Roman" w:hAnsi="Times New Roman" w:cs="Times New Roman"/>
        </w:rPr>
        <w:t>and correlates of</w:t>
      </w:r>
      <w:r w:rsidRPr="004432BE">
        <w:rPr>
          <w:rFonts w:ascii="Times New Roman" w:hAnsi="Times New Roman" w:cs="Times New Roman"/>
        </w:rPr>
        <w:t xml:space="preserve"> </w:t>
      </w:r>
      <w:r w:rsidR="0095138D">
        <w:rPr>
          <w:rFonts w:ascii="Times New Roman" w:hAnsi="Times New Roman" w:cs="Times New Roman"/>
        </w:rPr>
        <w:t>ENDS</w:t>
      </w:r>
      <w:r w:rsidRPr="004432BE">
        <w:rPr>
          <w:rFonts w:ascii="Times New Roman" w:hAnsi="Times New Roman" w:cs="Times New Roman"/>
        </w:rPr>
        <w:t xml:space="preserve"> </w:t>
      </w:r>
      <w:r w:rsidR="00B30EE0">
        <w:rPr>
          <w:rFonts w:ascii="Times New Roman" w:hAnsi="Times New Roman" w:cs="Times New Roman"/>
        </w:rPr>
        <w:t xml:space="preserve">use </w:t>
      </w:r>
      <w:r w:rsidRPr="004432BE">
        <w:rPr>
          <w:rFonts w:ascii="Times New Roman" w:hAnsi="Times New Roman" w:cs="Times New Roman"/>
        </w:rPr>
        <w:t xml:space="preserve">to develop a working definition for youth ENDS experimentation as contrasted with established users. Parents of youth aged 13-17 will be recruited using a national online panel of adults and youth managed by </w:t>
      </w:r>
      <w:r w:rsidR="00534372">
        <w:rPr>
          <w:rFonts w:ascii="Times New Roman" w:hAnsi="Times New Roman" w:cs="Times New Roman"/>
        </w:rPr>
        <w:t xml:space="preserve">market research firm </w:t>
      </w:r>
      <w:r w:rsidRPr="004432BE">
        <w:rPr>
          <w:rFonts w:ascii="Times New Roman" w:hAnsi="Times New Roman" w:cs="Times New Roman"/>
        </w:rPr>
        <w:t>Lightspeed. The respondent universe for this study is up to 1,600 youth aged 13-17 who have ever used an ENDS device such as an e-cigarette. Participants will be recruited online and will complete an online screener survey to determine eligibility</w:t>
      </w:r>
      <w:r w:rsidR="00BB037E">
        <w:rPr>
          <w:rFonts w:ascii="Times New Roman" w:hAnsi="Times New Roman" w:cs="Times New Roman"/>
        </w:rPr>
        <w:t xml:space="preserve"> to participate in the study</w:t>
      </w:r>
      <w:r w:rsidRPr="004432BE">
        <w:rPr>
          <w:rFonts w:ascii="Times New Roman" w:hAnsi="Times New Roman" w:cs="Times New Roman"/>
        </w:rPr>
        <w:t xml:space="preserve">. </w:t>
      </w:r>
    </w:p>
    <w:p w14:paraId="63016B25" w14:textId="778AEB99" w:rsidR="00D70357" w:rsidRDefault="00675E73" w:rsidP="00D70357">
      <w:pPr>
        <w:spacing w:after="240"/>
        <w:ind w:left="720"/>
        <w:rPr>
          <w:rFonts w:ascii="Times New Roman" w:eastAsia="Times New Roman" w:hAnsi="Times New Roman" w:cs="Times New Roman"/>
        </w:rPr>
      </w:pPr>
      <w:bookmarkStart w:id="5" w:name="_Hlk1460201"/>
      <w:r w:rsidRPr="004432BE">
        <w:rPr>
          <w:rFonts w:ascii="Times New Roman" w:eastAsia="Times New Roman" w:hAnsi="Times New Roman" w:cs="Times New Roman"/>
        </w:rPr>
        <w:t xml:space="preserve">For the information collection, </w:t>
      </w:r>
      <w:r w:rsidR="00B30EE0">
        <w:rPr>
          <w:rFonts w:ascii="Times New Roman" w:eastAsia="Times New Roman" w:hAnsi="Times New Roman" w:cs="Times New Roman"/>
        </w:rPr>
        <w:t xml:space="preserve">the panel vendor </w:t>
      </w:r>
      <w:r w:rsidRPr="004432BE">
        <w:rPr>
          <w:rFonts w:ascii="Times New Roman" w:eastAsia="Times New Roman" w:hAnsi="Times New Roman" w:cs="Times New Roman"/>
        </w:rPr>
        <w:t xml:space="preserve">Lightspeed will send email invitations to the target audiences using their market research database panel. Adolescents (aged 13-17) will be invited to participate through an email invitation to an adult panel member who has indicated in their panel profile that they have a child in the eligible age range.  Parents or guardians will be asked to provide permission before allowing their child to participate. Once a child of a panel member enters the secure web site, they will </w:t>
      </w:r>
      <w:r w:rsidR="00D70357" w:rsidRPr="004432BE">
        <w:rPr>
          <w:rFonts w:ascii="Times New Roman" w:eastAsia="Times New Roman" w:hAnsi="Times New Roman" w:cs="Times New Roman"/>
        </w:rPr>
        <w:t>be presented with a brief introduction informing the participant of the confidential and voluntary nature of the study</w:t>
      </w:r>
      <w:r w:rsidR="00D70357">
        <w:rPr>
          <w:rFonts w:ascii="Times New Roman" w:eastAsia="Times New Roman" w:hAnsi="Times New Roman" w:cs="Times New Roman"/>
        </w:rPr>
        <w:t xml:space="preserve"> and will be asked to provide assent to participate</w:t>
      </w:r>
      <w:r w:rsidR="00D70357" w:rsidRPr="004432BE">
        <w:rPr>
          <w:rFonts w:ascii="Times New Roman" w:eastAsia="Times New Roman" w:hAnsi="Times New Roman" w:cs="Times New Roman"/>
        </w:rPr>
        <w:t>.</w:t>
      </w:r>
      <w:r w:rsidR="00D70357">
        <w:rPr>
          <w:rFonts w:ascii="Times New Roman" w:eastAsia="Times New Roman" w:hAnsi="Times New Roman" w:cs="Times New Roman"/>
        </w:rPr>
        <w:t xml:space="preserve"> </w:t>
      </w:r>
      <w:bookmarkStart w:id="6" w:name="_Hlk1463569"/>
      <w:r w:rsidR="00D70357">
        <w:rPr>
          <w:rFonts w:ascii="Times New Roman" w:eastAsia="Times New Roman" w:hAnsi="Times New Roman" w:cs="Times New Roman"/>
        </w:rPr>
        <w:t xml:space="preserve">Next, participants will complete a brief screener to </w:t>
      </w:r>
      <w:r w:rsidRPr="004432BE">
        <w:rPr>
          <w:rFonts w:ascii="Times New Roman" w:eastAsia="Times New Roman" w:hAnsi="Times New Roman" w:cs="Times New Roman"/>
        </w:rPr>
        <w:t xml:space="preserve">determine eligibility based on the study inclusion criteria </w:t>
      </w:r>
      <w:r w:rsidR="00F51307">
        <w:rPr>
          <w:rFonts w:ascii="Times New Roman" w:eastAsia="Times New Roman" w:hAnsi="Times New Roman" w:cs="Times New Roman"/>
        </w:rPr>
        <w:t xml:space="preserve">(i.e. is aged 13-17 and has </w:t>
      </w:r>
      <w:r w:rsidR="00F51307" w:rsidRPr="004432BE">
        <w:rPr>
          <w:rFonts w:ascii="Times New Roman" w:hAnsi="Times New Roman" w:cs="Times New Roman"/>
        </w:rPr>
        <w:t>ever used an ENDS device such as an e-cigarette</w:t>
      </w:r>
      <w:r w:rsidR="00F51307">
        <w:rPr>
          <w:rFonts w:ascii="Times New Roman" w:hAnsi="Times New Roman" w:cs="Times New Roman"/>
        </w:rPr>
        <w:t>).</w:t>
      </w:r>
      <w:r w:rsidRPr="004432BE">
        <w:rPr>
          <w:rFonts w:ascii="Times New Roman" w:eastAsia="Times New Roman" w:hAnsi="Times New Roman" w:cs="Times New Roman"/>
        </w:rPr>
        <w:t xml:space="preserve"> </w:t>
      </w:r>
      <w:bookmarkEnd w:id="6"/>
    </w:p>
    <w:p w14:paraId="774D8C08" w14:textId="7849788D" w:rsidR="00470454" w:rsidRPr="00D70357" w:rsidRDefault="00675E73" w:rsidP="00D70357">
      <w:pPr>
        <w:spacing w:after="240"/>
        <w:ind w:left="720"/>
        <w:rPr>
          <w:rFonts w:ascii="Times New Roman" w:eastAsia="Times New Roman" w:hAnsi="Times New Roman" w:cs="Times New Roman"/>
        </w:rPr>
      </w:pPr>
      <w:r w:rsidRPr="004432BE">
        <w:rPr>
          <w:rFonts w:ascii="Times New Roman" w:eastAsia="Times New Roman" w:hAnsi="Times New Roman" w:cs="Times New Roman"/>
        </w:rPr>
        <w:t xml:space="preserve">Those respondents who are determined to be eligible to participate </w:t>
      </w:r>
      <w:r w:rsidRPr="004432BE">
        <w:rPr>
          <w:rFonts w:ascii="Times New Roman" w:hAnsi="Times New Roman" w:cs="Times New Roman"/>
        </w:rPr>
        <w:t>will complete a one-time online survey with questions assessing ENDS use and its social context, measures of tobacco dependence, KABs, advertising and counter-marketing exposure, a sensation-seeking scale, measures of other tobacco product use, and demographics. The study does not include any experimental components.</w:t>
      </w:r>
      <w:r w:rsidR="008C724B" w:rsidRPr="004432BE">
        <w:rPr>
          <w:rFonts w:ascii="Times New Roman" w:hAnsi="Times New Roman" w:cs="Times New Roman"/>
        </w:rPr>
        <w:t xml:space="preserve"> </w:t>
      </w:r>
      <w:bookmarkEnd w:id="5"/>
      <w:r w:rsidRPr="004432BE">
        <w:rPr>
          <w:rFonts w:ascii="Times New Roman" w:hAnsi="Times New Roman" w:cs="Times New Roman"/>
        </w:rPr>
        <w:t xml:space="preserve">Analyses will build on the analysis conducted for the earlier report, using </w:t>
      </w:r>
      <w:r w:rsidR="00534372">
        <w:rPr>
          <w:rFonts w:ascii="Times New Roman" w:hAnsi="Times New Roman" w:cs="Times New Roman"/>
        </w:rPr>
        <w:t xml:space="preserve">more comprehensive </w:t>
      </w:r>
      <w:r w:rsidRPr="004432BE">
        <w:rPr>
          <w:rFonts w:ascii="Times New Roman" w:hAnsi="Times New Roman" w:cs="Times New Roman"/>
        </w:rPr>
        <w:t>measures of</w:t>
      </w:r>
      <w:r w:rsidR="00534372">
        <w:rPr>
          <w:rFonts w:ascii="Times New Roman" w:hAnsi="Times New Roman" w:cs="Times New Roman"/>
        </w:rPr>
        <w:t xml:space="preserve"> ENDS</w:t>
      </w:r>
      <w:r w:rsidRPr="004432BE">
        <w:rPr>
          <w:rFonts w:ascii="Times New Roman" w:hAnsi="Times New Roman" w:cs="Times New Roman"/>
        </w:rPr>
        <w:t xml:space="preserve"> use to construct and then test which definitions are most optimal in discriminating between experimental and more established </w:t>
      </w:r>
      <w:r w:rsidR="000830F3">
        <w:rPr>
          <w:rFonts w:ascii="Times New Roman" w:hAnsi="Times New Roman" w:cs="Times New Roman"/>
        </w:rPr>
        <w:t>ENDS</w:t>
      </w:r>
      <w:r w:rsidRPr="004432BE">
        <w:rPr>
          <w:rFonts w:ascii="Times New Roman" w:hAnsi="Times New Roman" w:cs="Times New Roman"/>
        </w:rPr>
        <w:t xml:space="preserve"> user groups on key attitudinal and behavioral constructs.</w:t>
      </w:r>
    </w:p>
    <w:p w14:paraId="0882AF6E" w14:textId="77777777" w:rsidR="00F37604" w:rsidRPr="004432BE" w:rsidRDefault="00636E15" w:rsidP="009C6AAC">
      <w:pPr>
        <w:numPr>
          <w:ilvl w:val="0"/>
          <w:numId w:val="6"/>
        </w:numPr>
        <w:tabs>
          <w:tab w:val="num" w:pos="720"/>
        </w:tabs>
        <w:spacing w:before="100" w:beforeAutospacing="1" w:after="240"/>
        <w:ind w:right="-1440"/>
        <w:rPr>
          <w:rFonts w:ascii="Times New Roman" w:eastAsia="Times New Roman" w:hAnsi="Times New Roman" w:cs="Times New Roman"/>
          <w:u w:val="single"/>
        </w:rPr>
      </w:pPr>
      <w:r w:rsidRPr="004432BE">
        <w:rPr>
          <w:rFonts w:ascii="Times New Roman" w:eastAsia="Times New Roman" w:hAnsi="Times New Roman" w:cs="Times New Roman"/>
          <w:u w:val="single"/>
        </w:rPr>
        <w:t>Use of Improved Information Technology and Burden Reduction</w:t>
      </w:r>
    </w:p>
    <w:p w14:paraId="1A337903" w14:textId="1F1F22B1" w:rsidR="00636E15" w:rsidRPr="004432BE" w:rsidRDefault="007363C9" w:rsidP="00C04567">
      <w:pPr>
        <w:spacing w:after="240"/>
        <w:ind w:left="720"/>
        <w:rPr>
          <w:rFonts w:ascii="Times New Roman" w:hAnsi="Times New Roman" w:cs="Times New Roman"/>
        </w:rPr>
      </w:pPr>
      <w:r w:rsidRPr="004432BE">
        <w:rPr>
          <w:rFonts w:ascii="Times New Roman" w:hAnsi="Times New Roman" w:cs="Times New Roman"/>
        </w:rPr>
        <w:t>The use of electronic screener and q</w:t>
      </w:r>
      <w:r w:rsidR="00636E15" w:rsidRPr="004432BE">
        <w:rPr>
          <w:rFonts w:ascii="Times New Roman" w:hAnsi="Times New Roman" w:cs="Times New Roman"/>
        </w:rPr>
        <w:t xml:space="preserve">uestionnaire surveys offers a number of benefits. First, computerized administration permits the instrument designer to incorporate into the instruments routings that </w:t>
      </w:r>
      <w:r w:rsidR="00636E15" w:rsidRPr="004432BE">
        <w:rPr>
          <w:rFonts w:ascii="Times New Roman" w:eastAsia="Times New Roman" w:hAnsi="Times New Roman" w:cs="Times New Roman"/>
        </w:rPr>
        <w:t>might</w:t>
      </w:r>
      <w:r w:rsidR="00636E15" w:rsidRPr="004432BE">
        <w:rPr>
          <w:rFonts w:ascii="Times New Roman" w:hAnsi="Times New Roman" w:cs="Times New Roman"/>
        </w:rPr>
        <w:t xml:space="preserve"> be overly complex or not possible using a pa</w:t>
      </w:r>
      <w:r w:rsidRPr="004432BE">
        <w:rPr>
          <w:rFonts w:ascii="Times New Roman" w:hAnsi="Times New Roman" w:cs="Times New Roman"/>
        </w:rPr>
        <w:t>per-based survey. For example, s</w:t>
      </w:r>
      <w:r w:rsidR="00636E15" w:rsidRPr="004432BE">
        <w:rPr>
          <w:rFonts w:ascii="Times New Roman" w:hAnsi="Times New Roman" w:cs="Times New Roman"/>
        </w:rPr>
        <w:t>creener surveys can be programmed to implement skip patterns based on a respondent’s previous answers. Interviewer and respondent errors caused by faulty implementation of skip instructions are virtually eliminated. Second, electronic administration increases the consisten</w:t>
      </w:r>
      <w:r w:rsidRPr="004432BE">
        <w:rPr>
          <w:rFonts w:ascii="Times New Roman" w:hAnsi="Times New Roman" w:cs="Times New Roman"/>
        </w:rPr>
        <w:t>cy of the data. The electronic screener and q</w:t>
      </w:r>
      <w:r w:rsidR="00636E15" w:rsidRPr="004432BE">
        <w:rPr>
          <w:rFonts w:ascii="Times New Roman" w:hAnsi="Times New Roman" w:cs="Times New Roman"/>
        </w:rPr>
        <w:t>uestionnaire can be programmed to identify inconsistent responses and attempt to resolve them through respondent prompts. This approach reduces the need for most manual and machine editing, thus saving time and money. In addition, it is likely that respondent-resolved inconsistencies will result in data that are more accurate than when inconsistencies are resolved using editing rules. Third, electronic data collection permits greater expediency with respect to data processing and analysis (e.g., a number of back-end processing steps, including coding and data entry, will be minimized). These efficiencies save time due to the speed of data transmission, as well as receipt in a format suitable for analysis. Finally, this technology permits respondents to complete the instruments in privacy. Providing the respondent with a methodology that improves privacy makes reporting of potentially embarrassing or stigmatizing behaviors (e.g., tobacco use) less threatening and enhances response validity and response rates.</w:t>
      </w:r>
    </w:p>
    <w:p w14:paraId="3F18CD30" w14:textId="6EE31EC2" w:rsidR="00306495" w:rsidRPr="004432BE" w:rsidRDefault="00093634" w:rsidP="00691DA6">
      <w:pPr>
        <w:spacing w:after="240"/>
        <w:ind w:left="720"/>
        <w:rPr>
          <w:rFonts w:ascii="Times New Roman" w:hAnsi="Times New Roman" w:cs="Times New Roman"/>
          <w:szCs w:val="22"/>
        </w:rPr>
      </w:pPr>
      <w:r w:rsidRPr="004432BE">
        <w:rPr>
          <w:rFonts w:ascii="Times New Roman" w:hAnsi="Times New Roman" w:cs="Times New Roman"/>
          <w:szCs w:val="22"/>
        </w:rPr>
        <w:t xml:space="preserve">This study will recruit youth </w:t>
      </w:r>
      <w:r w:rsidR="00691DA6" w:rsidRPr="004432BE">
        <w:rPr>
          <w:rFonts w:ascii="Times New Roman" w:hAnsi="Times New Roman" w:cs="Times New Roman"/>
          <w:szCs w:val="22"/>
        </w:rPr>
        <w:t xml:space="preserve">through a national online panel of adults managed by Lightspeed, </w:t>
      </w:r>
      <w:r w:rsidRPr="004432BE">
        <w:rPr>
          <w:rFonts w:ascii="Times New Roman" w:hAnsi="Times New Roman" w:cs="Times New Roman"/>
          <w:szCs w:val="22"/>
        </w:rPr>
        <w:t>which has</w:t>
      </w:r>
      <w:r w:rsidRPr="004432BE">
        <w:rPr>
          <w:rFonts w:ascii="Times New Roman" w:hAnsi="Times New Roman" w:cs="Times New Roman"/>
          <w:bCs/>
        </w:rPr>
        <w:t xml:space="preserve"> a proven and demonstrated ability to orchestrate and support the sampling plan specifications of these studies. </w:t>
      </w:r>
      <w:r w:rsidR="00306495" w:rsidRPr="004432BE">
        <w:rPr>
          <w:rFonts w:ascii="Times New Roman" w:eastAsia="Times New Roman" w:hAnsi="Times New Roman" w:cs="Times New Roman"/>
        </w:rPr>
        <w:t xml:space="preserve">During recruitment for this study, participants </w:t>
      </w:r>
      <w:r w:rsidR="007363C9" w:rsidRPr="004432BE">
        <w:rPr>
          <w:rFonts w:ascii="Times New Roman" w:eastAsia="Times New Roman" w:hAnsi="Times New Roman" w:cs="Times New Roman"/>
        </w:rPr>
        <w:t>will complete the s</w:t>
      </w:r>
      <w:r w:rsidR="00306495" w:rsidRPr="004432BE">
        <w:rPr>
          <w:rFonts w:ascii="Times New Roman" w:eastAsia="Times New Roman" w:hAnsi="Times New Roman" w:cs="Times New Roman"/>
        </w:rPr>
        <w:t xml:space="preserve">creener electronically on their own device such as a mobile phone, tablet, or computer. This allows for more accurate data collection because respondents provide more honest responses, since it is clear that the answers will remain </w:t>
      </w:r>
      <w:r w:rsidR="00B91ADB" w:rsidRPr="004432BE">
        <w:rPr>
          <w:rFonts w:ascii="Times New Roman" w:eastAsia="Times New Roman" w:hAnsi="Times New Roman" w:cs="Times New Roman"/>
        </w:rPr>
        <w:t>private</w:t>
      </w:r>
      <w:r w:rsidR="00306495" w:rsidRPr="004432BE">
        <w:rPr>
          <w:rFonts w:ascii="Times New Roman" w:eastAsia="Times New Roman" w:hAnsi="Times New Roman" w:cs="Times New Roman"/>
        </w:rPr>
        <w:t>.</w:t>
      </w:r>
    </w:p>
    <w:p w14:paraId="036C20C7" w14:textId="0C9E70B4" w:rsidR="00F37604" w:rsidRPr="004432BE" w:rsidRDefault="00306495" w:rsidP="009C6AAC">
      <w:pPr>
        <w:spacing w:after="240"/>
        <w:ind w:left="720"/>
        <w:rPr>
          <w:rFonts w:ascii="Times New Roman" w:eastAsia="Times New Roman" w:hAnsi="Times New Roman" w:cs="Times New Roman"/>
        </w:rPr>
      </w:pPr>
      <w:r w:rsidRPr="004432BE">
        <w:rPr>
          <w:rFonts w:ascii="Times New Roman" w:eastAsia="Times New Roman" w:hAnsi="Times New Roman" w:cs="Times New Roman"/>
        </w:rPr>
        <w:t xml:space="preserve">This study, which relies on electronic data collection </w:t>
      </w:r>
      <w:r w:rsidR="003B510E" w:rsidRPr="004432BE">
        <w:rPr>
          <w:rFonts w:ascii="Times New Roman" w:eastAsia="Times New Roman" w:hAnsi="Times New Roman" w:cs="Times New Roman"/>
        </w:rPr>
        <w:t>to provide accurate records of q</w:t>
      </w:r>
      <w:r w:rsidRPr="004432BE">
        <w:rPr>
          <w:rFonts w:ascii="Times New Roman" w:eastAsia="Times New Roman" w:hAnsi="Times New Roman" w:cs="Times New Roman"/>
        </w:rPr>
        <w:t>uestionnaire completion</w:t>
      </w:r>
      <w:r w:rsidR="006E3D95" w:rsidRPr="004432BE">
        <w:rPr>
          <w:rFonts w:ascii="Times New Roman" w:eastAsia="Times New Roman" w:hAnsi="Times New Roman" w:cs="Times New Roman"/>
        </w:rPr>
        <w:t>,</w:t>
      </w:r>
      <w:r w:rsidRPr="004432BE">
        <w:rPr>
          <w:rFonts w:ascii="Times New Roman" w:eastAsia="Times New Roman" w:hAnsi="Times New Roman" w:cs="Times New Roman"/>
        </w:rPr>
        <w:t xml:space="preserve"> will reduce burden by increasing participation rates, thereby reducing the number of participants needed to complete the </w:t>
      </w:r>
      <w:r w:rsidR="00B30EE0">
        <w:rPr>
          <w:rFonts w:ascii="Times New Roman" w:eastAsia="Times New Roman" w:hAnsi="Times New Roman" w:cs="Times New Roman"/>
        </w:rPr>
        <w:t>s</w:t>
      </w:r>
      <w:r w:rsidRPr="004432BE">
        <w:rPr>
          <w:rFonts w:ascii="Times New Roman" w:eastAsia="Times New Roman" w:hAnsi="Times New Roman" w:cs="Times New Roman"/>
        </w:rPr>
        <w:t>creener in order to achieve the desired sample size.</w:t>
      </w:r>
      <w:r w:rsidR="00707369" w:rsidRPr="004432BE">
        <w:rPr>
          <w:rFonts w:ascii="Times New Roman" w:eastAsia="Times New Roman" w:hAnsi="Times New Roman" w:cs="Times New Roman"/>
        </w:rPr>
        <w:t xml:space="preserve"> </w:t>
      </w:r>
    </w:p>
    <w:p w14:paraId="2E9A7453" w14:textId="77777777" w:rsidR="00F37604" w:rsidRPr="004432BE" w:rsidRDefault="00327637" w:rsidP="009C6AAC">
      <w:pPr>
        <w:numPr>
          <w:ilvl w:val="0"/>
          <w:numId w:val="6"/>
        </w:numPr>
        <w:tabs>
          <w:tab w:val="num" w:pos="720"/>
        </w:tabs>
        <w:spacing w:before="100" w:beforeAutospacing="1" w:after="240"/>
        <w:rPr>
          <w:rFonts w:ascii="Times New Roman" w:eastAsia="Times New Roman" w:hAnsi="Times New Roman" w:cs="Times New Roman"/>
          <w:u w:val="single"/>
        </w:rPr>
      </w:pPr>
      <w:r w:rsidRPr="004432BE">
        <w:rPr>
          <w:rFonts w:ascii="Times New Roman" w:eastAsia="Times New Roman" w:hAnsi="Times New Roman" w:cs="Times New Roman"/>
          <w:u w:val="single"/>
        </w:rPr>
        <w:t>Efforts to Identify Duplication and Use of Similar Information</w:t>
      </w:r>
    </w:p>
    <w:p w14:paraId="328431F2" w14:textId="03439AE1" w:rsidR="009554EE" w:rsidRPr="004432BE" w:rsidRDefault="00625BAF" w:rsidP="00F51307">
      <w:pPr>
        <w:spacing w:after="240"/>
        <w:ind w:left="720"/>
        <w:rPr>
          <w:rFonts w:ascii="Times New Roman" w:hAnsi="Times New Roman" w:cs="Times New Roman"/>
        </w:rPr>
      </w:pPr>
      <w:r w:rsidRPr="004432BE">
        <w:rPr>
          <w:rFonts w:ascii="Times New Roman" w:hAnsi="Times New Roman" w:cs="Times New Roman"/>
          <w:color w:val="000000"/>
        </w:rPr>
        <w:t>T</w:t>
      </w:r>
      <w:r w:rsidRPr="004432BE">
        <w:rPr>
          <w:rFonts w:ascii="Times New Roman" w:hAnsi="Times New Roman" w:cs="Times New Roman"/>
        </w:rPr>
        <w:t xml:space="preserve">here is no duplicative collection of this information. No comparable data have been collected by any other entities. A previous secondary analysis conducted for FDA (RTI International 2018) used available items from the PATH survey to construct various categorizations of </w:t>
      </w:r>
      <w:r w:rsidR="000830F3">
        <w:rPr>
          <w:rFonts w:ascii="Times New Roman" w:hAnsi="Times New Roman" w:cs="Times New Roman"/>
        </w:rPr>
        <w:t>ENDS</w:t>
      </w:r>
      <w:r w:rsidRPr="004432BE">
        <w:rPr>
          <w:rFonts w:ascii="Times New Roman" w:hAnsi="Times New Roman" w:cs="Times New Roman"/>
        </w:rPr>
        <w:t xml:space="preserve"> experimentation. </w:t>
      </w:r>
      <w:r w:rsidR="0095138D">
        <w:rPr>
          <w:rFonts w:ascii="Times New Roman" w:hAnsi="Times New Roman" w:cs="Times New Roman"/>
        </w:rPr>
        <w:t xml:space="preserve">However, these analyses were limited by </w:t>
      </w:r>
      <w:r w:rsidR="0095138D" w:rsidRPr="004432BE">
        <w:rPr>
          <w:rFonts w:ascii="Times New Roman" w:hAnsi="Times New Roman" w:cs="Times New Roman"/>
        </w:rPr>
        <w:t xml:space="preserve">small sample sizes for the established user groups in some definitions, questions not incorporating recent ENDS brand and technological development, and limited KABs </w:t>
      </w:r>
      <w:r w:rsidR="0095138D">
        <w:rPr>
          <w:rFonts w:ascii="Times New Roman" w:hAnsi="Times New Roman" w:cs="Times New Roman"/>
        </w:rPr>
        <w:t xml:space="preserve">included on the PATH survey. </w:t>
      </w:r>
      <w:r w:rsidRPr="004432BE">
        <w:rPr>
          <w:rFonts w:ascii="Times New Roman" w:hAnsi="Times New Roman" w:cs="Times New Roman"/>
        </w:rPr>
        <w:t>Therefore, we have determined that the proposed information collection does not duplicate previous efforts.</w:t>
      </w:r>
    </w:p>
    <w:p w14:paraId="091A4F0A" w14:textId="766D58B5" w:rsidR="00327637" w:rsidRPr="004432BE" w:rsidRDefault="00FE1AE4" w:rsidP="009C6AAC">
      <w:pPr>
        <w:pStyle w:val="ListParagraph"/>
        <w:numPr>
          <w:ilvl w:val="0"/>
          <w:numId w:val="6"/>
        </w:numPr>
        <w:spacing w:before="100" w:beforeAutospacing="1" w:after="240"/>
        <w:contextualSpacing w:val="0"/>
        <w:rPr>
          <w:rFonts w:eastAsia="Times New Roman" w:cs="Times New Roman"/>
          <w:szCs w:val="24"/>
          <w:u w:val="single"/>
        </w:rPr>
      </w:pPr>
      <w:r w:rsidRPr="004432BE">
        <w:rPr>
          <w:rFonts w:eastAsia="Times New Roman" w:cs="Times New Roman"/>
          <w:szCs w:val="24"/>
          <w:u w:val="single"/>
        </w:rPr>
        <w:t>Impact on Small Businesses or Other Small Entities</w:t>
      </w:r>
    </w:p>
    <w:p w14:paraId="0C10932D" w14:textId="7DF1BA38" w:rsidR="00264665" w:rsidRDefault="00264665" w:rsidP="00C04567">
      <w:pPr>
        <w:spacing w:after="240"/>
        <w:ind w:left="720"/>
        <w:rPr>
          <w:rFonts w:ascii="Times New Roman" w:hAnsi="Times New Roman" w:cs="Times New Roman"/>
        </w:rPr>
      </w:pPr>
      <w:r w:rsidRPr="004432BE">
        <w:rPr>
          <w:rFonts w:ascii="Times New Roman" w:hAnsi="Times New Roman" w:cs="Times New Roman"/>
        </w:rPr>
        <w:t>Respondents in this study will be members of the general public, specific subpopulations, not business entities. No impact on small businesses or other small entities is anticipated.</w:t>
      </w:r>
    </w:p>
    <w:p w14:paraId="3D8203A9" w14:textId="3FD3340D" w:rsidR="00D21D29" w:rsidRDefault="00D21D29" w:rsidP="00C04567">
      <w:pPr>
        <w:spacing w:after="240"/>
        <w:ind w:left="720"/>
        <w:rPr>
          <w:rFonts w:ascii="Times New Roman" w:hAnsi="Times New Roman" w:cs="Times New Roman"/>
        </w:rPr>
      </w:pPr>
    </w:p>
    <w:p w14:paraId="24809F68" w14:textId="77777777" w:rsidR="00D21D29" w:rsidRPr="004432BE" w:rsidRDefault="00D21D29" w:rsidP="00C04567">
      <w:pPr>
        <w:spacing w:after="240"/>
        <w:ind w:left="720"/>
        <w:rPr>
          <w:rFonts w:ascii="Times New Roman" w:hAnsi="Times New Roman" w:cs="Times New Roman"/>
        </w:rPr>
      </w:pPr>
    </w:p>
    <w:p w14:paraId="06B96596" w14:textId="09011D13" w:rsidR="00327637" w:rsidRPr="004432BE" w:rsidRDefault="00264665" w:rsidP="009C6AAC">
      <w:pPr>
        <w:pStyle w:val="ListParagraph"/>
        <w:numPr>
          <w:ilvl w:val="0"/>
          <w:numId w:val="6"/>
        </w:numPr>
        <w:spacing w:before="100" w:beforeAutospacing="1" w:after="240"/>
        <w:contextualSpacing w:val="0"/>
        <w:rPr>
          <w:rFonts w:cs="Times New Roman"/>
          <w:szCs w:val="24"/>
        </w:rPr>
      </w:pPr>
      <w:r w:rsidRPr="004432BE">
        <w:rPr>
          <w:rFonts w:cs="Times New Roman"/>
          <w:szCs w:val="24"/>
          <w:u w:val="single"/>
        </w:rPr>
        <w:t>Consequences of Collecting the Information Less Frequently</w:t>
      </w:r>
    </w:p>
    <w:p w14:paraId="0BF597B8" w14:textId="3C662584" w:rsidR="00F37604" w:rsidRPr="004432BE" w:rsidRDefault="00264665" w:rsidP="00625BAF">
      <w:pPr>
        <w:spacing w:after="240"/>
        <w:ind w:left="720"/>
        <w:rPr>
          <w:rFonts w:ascii="Times New Roman" w:hAnsi="Times New Roman" w:cs="Times New Roman"/>
        </w:rPr>
      </w:pPr>
      <w:r w:rsidRPr="004432BE">
        <w:rPr>
          <w:rFonts w:ascii="Times New Roman" w:hAnsi="Times New Roman" w:cs="Times New Roman"/>
        </w:rPr>
        <w:t xml:space="preserve">There are no legal obstacles to reduce the participant burden. Respondents to this collection of information will </w:t>
      </w:r>
      <w:r w:rsidR="009A7CF4" w:rsidRPr="004432BE">
        <w:rPr>
          <w:rFonts w:ascii="Times New Roman" w:hAnsi="Times New Roman" w:cs="Times New Roman"/>
        </w:rPr>
        <w:t>answer only once</w:t>
      </w:r>
      <w:r w:rsidRPr="004432BE">
        <w:rPr>
          <w:rFonts w:ascii="Times New Roman" w:hAnsi="Times New Roman" w:cs="Times New Roman"/>
        </w:rPr>
        <w:t xml:space="preserve"> to ensure the participant burden is as low as possible. Without the </w:t>
      </w:r>
      <w:r w:rsidRPr="004432BE">
        <w:rPr>
          <w:rFonts w:ascii="Times New Roman" w:eastAsia="Times New Roman" w:hAnsi="Times New Roman" w:cs="Times New Roman"/>
        </w:rPr>
        <w:t>information</w:t>
      </w:r>
      <w:r w:rsidRPr="004432BE">
        <w:rPr>
          <w:rFonts w:ascii="Times New Roman" w:hAnsi="Times New Roman" w:cs="Times New Roman"/>
        </w:rPr>
        <w:t xml:space="preserve"> collection requested, it would be difficult to</w:t>
      </w:r>
      <w:r w:rsidR="00625BAF" w:rsidRPr="004432BE">
        <w:rPr>
          <w:rFonts w:ascii="Times New Roman" w:hAnsi="Times New Roman" w:cs="Times New Roman"/>
        </w:rPr>
        <w:t xml:space="preserve"> understand how best to differentiate ENDS experimenters from more established users to inform audience targeting</w:t>
      </w:r>
      <w:r w:rsidR="00D6574D">
        <w:rPr>
          <w:rFonts w:ascii="Times New Roman" w:hAnsi="Times New Roman" w:cs="Times New Roman"/>
        </w:rPr>
        <w:t xml:space="preserve"> for FDA’s media campaigns</w:t>
      </w:r>
      <w:r w:rsidR="00625BAF" w:rsidRPr="004432BE">
        <w:rPr>
          <w:rFonts w:ascii="Times New Roman" w:hAnsi="Times New Roman" w:cs="Times New Roman"/>
        </w:rPr>
        <w:t xml:space="preserve">. </w:t>
      </w:r>
      <w:r w:rsidRPr="004432BE">
        <w:rPr>
          <w:rFonts w:ascii="Times New Roman" w:hAnsi="Times New Roman" w:cs="Times New Roman"/>
        </w:rPr>
        <w:t xml:space="preserve">Failure to collect this data could reduce effectiveness of the FDA’s </w:t>
      </w:r>
      <w:r w:rsidR="00625BAF" w:rsidRPr="004432BE">
        <w:rPr>
          <w:rFonts w:ascii="Times New Roman" w:hAnsi="Times New Roman" w:cs="Times New Roman"/>
        </w:rPr>
        <w:t>message targeting</w:t>
      </w:r>
      <w:r w:rsidRPr="004432BE">
        <w:rPr>
          <w:rFonts w:ascii="Times New Roman" w:hAnsi="Times New Roman" w:cs="Times New Roman"/>
        </w:rPr>
        <w:t>, and the</w:t>
      </w:r>
      <w:r w:rsidR="00901173" w:rsidRPr="004432BE">
        <w:rPr>
          <w:rFonts w:ascii="Times New Roman" w:hAnsi="Times New Roman" w:cs="Times New Roman"/>
        </w:rPr>
        <w:t xml:space="preserve">refore reduce the benefit of </w:t>
      </w:r>
      <w:r w:rsidR="00D6574D">
        <w:rPr>
          <w:rFonts w:ascii="Times New Roman" w:hAnsi="Times New Roman" w:cs="Times New Roman"/>
        </w:rPr>
        <w:t>the campaigns</w:t>
      </w:r>
      <w:r w:rsidR="00901173" w:rsidRPr="004432BE">
        <w:rPr>
          <w:rFonts w:ascii="Times New Roman" w:hAnsi="Times New Roman" w:cs="Times New Roman"/>
        </w:rPr>
        <w:t>.</w:t>
      </w:r>
    </w:p>
    <w:p w14:paraId="3EAFBDB5" w14:textId="4C58F681" w:rsidR="00264665" w:rsidRPr="004432BE" w:rsidRDefault="00B53C9A" w:rsidP="009C6AAC">
      <w:pPr>
        <w:pStyle w:val="ListParagraph"/>
        <w:numPr>
          <w:ilvl w:val="0"/>
          <w:numId w:val="6"/>
        </w:numPr>
        <w:spacing w:before="100" w:beforeAutospacing="1" w:after="240"/>
        <w:contextualSpacing w:val="0"/>
        <w:rPr>
          <w:rFonts w:cs="Times New Roman"/>
          <w:szCs w:val="24"/>
        </w:rPr>
      </w:pPr>
      <w:r w:rsidRPr="004432BE">
        <w:rPr>
          <w:rFonts w:eastAsia="Times New Roman" w:cs="Times New Roman"/>
          <w:szCs w:val="24"/>
          <w:u w:val="single"/>
        </w:rPr>
        <w:t>Special Circumstances Relating to the Guidelines of 5 CFR 1320.5</w:t>
      </w:r>
    </w:p>
    <w:p w14:paraId="0D358E4C" w14:textId="77777777" w:rsidR="00625BAF" w:rsidRPr="004432BE" w:rsidRDefault="00625BAF" w:rsidP="00625BAF">
      <w:pPr>
        <w:pStyle w:val="ListParagraph"/>
        <w:spacing w:before="100" w:beforeAutospacing="1" w:after="240"/>
        <w:ind w:left="810"/>
        <w:contextualSpacing w:val="0"/>
        <w:rPr>
          <w:rFonts w:eastAsia="Times New Roman" w:cs="Times New Roman"/>
          <w:szCs w:val="24"/>
        </w:rPr>
      </w:pPr>
      <w:r w:rsidRPr="004432BE">
        <w:rPr>
          <w:rFonts w:eastAsiaTheme="minorHAnsi" w:cs="Times New Roman"/>
          <w:szCs w:val="24"/>
        </w:rPr>
        <w:t xml:space="preserve">This information collection fully complies with 5 CFR 1320.5(d)(2).  There are no special circumstances associated with this information collection that would be inconsistent with the regulation.  </w:t>
      </w:r>
    </w:p>
    <w:p w14:paraId="30B311B8" w14:textId="03E898AB" w:rsidR="00B73D5E" w:rsidRPr="004432BE" w:rsidRDefault="00B73D5E" w:rsidP="009C6AAC">
      <w:pPr>
        <w:pStyle w:val="ListParagraph"/>
        <w:numPr>
          <w:ilvl w:val="0"/>
          <w:numId w:val="6"/>
        </w:numPr>
        <w:spacing w:before="100" w:beforeAutospacing="1" w:after="240"/>
        <w:contextualSpacing w:val="0"/>
        <w:rPr>
          <w:rFonts w:eastAsia="Times New Roman" w:cs="Times New Roman"/>
          <w:szCs w:val="24"/>
        </w:rPr>
      </w:pPr>
      <w:r w:rsidRPr="004432BE">
        <w:rPr>
          <w:rFonts w:eastAsia="Times New Roman" w:cs="Times New Roman"/>
          <w:szCs w:val="24"/>
          <w:u w:val="single"/>
        </w:rPr>
        <w:t>Comments in Response to the Federal Register Notice and Efforts to Consult Outside the Agency</w:t>
      </w:r>
    </w:p>
    <w:p w14:paraId="67F41695" w14:textId="27B55F17" w:rsidR="00B73D5E" w:rsidRPr="004432BE" w:rsidRDefault="00B73D5E" w:rsidP="00C04567">
      <w:pPr>
        <w:spacing w:after="240"/>
        <w:ind w:left="720"/>
        <w:rPr>
          <w:rFonts w:ascii="Times New Roman" w:hAnsi="Times New Roman" w:cs="Times New Roman"/>
        </w:rPr>
      </w:pPr>
      <w:r w:rsidRPr="004432BE">
        <w:rPr>
          <w:rFonts w:ascii="Times New Roman" w:hAnsi="Times New Roman" w:cs="Times New Roman"/>
        </w:rPr>
        <w:t xml:space="preserve">The following </w:t>
      </w:r>
      <w:r w:rsidRPr="004432BE">
        <w:rPr>
          <w:rFonts w:ascii="Times New Roman" w:eastAsia="Times New Roman" w:hAnsi="Times New Roman" w:cs="Times New Roman"/>
        </w:rPr>
        <w:t>individuals</w:t>
      </w:r>
      <w:r w:rsidRPr="004432BE">
        <w:rPr>
          <w:rFonts w:ascii="Times New Roman" w:hAnsi="Times New Roman" w:cs="Times New Roman"/>
        </w:rPr>
        <w:t xml:space="preserve"> inside the agency have been consulted </w:t>
      </w:r>
      <w:r w:rsidR="00616DA7" w:rsidRPr="004432BE">
        <w:rPr>
          <w:rFonts w:ascii="Times New Roman" w:eastAsia="Times New Roman" w:hAnsi="Times New Roman" w:cs="Times New Roman"/>
        </w:rPr>
        <w:t>on survey development</w:t>
      </w:r>
      <w:r w:rsidR="00616DA7">
        <w:rPr>
          <w:rFonts w:ascii="Times New Roman" w:eastAsia="Times New Roman" w:hAnsi="Times New Roman" w:cs="Times New Roman"/>
        </w:rPr>
        <w:t xml:space="preserve"> and data collection implementation</w:t>
      </w:r>
      <w:r w:rsidR="00616DA7" w:rsidRPr="004432BE">
        <w:rPr>
          <w:rFonts w:ascii="Times New Roman" w:eastAsia="Times New Roman" w:hAnsi="Times New Roman" w:cs="Times New Roman"/>
        </w:rPr>
        <w:t>:</w:t>
      </w:r>
    </w:p>
    <w:p w14:paraId="3EFFF461" w14:textId="77777777" w:rsidR="00FB77A6" w:rsidRPr="00D6574D" w:rsidRDefault="00FB77A6" w:rsidP="00D6574D">
      <w:pPr>
        <w:ind w:left="1170" w:hanging="90"/>
        <w:rPr>
          <w:rFonts w:ascii="Times New Roman" w:eastAsia="Times New Roman" w:hAnsi="Times New Roman" w:cs="Times New Roman"/>
        </w:rPr>
      </w:pPr>
      <w:r w:rsidRPr="00D6574D">
        <w:rPr>
          <w:rFonts w:ascii="Times New Roman" w:eastAsia="Times New Roman" w:hAnsi="Times New Roman" w:cs="Times New Roman"/>
        </w:rPr>
        <w:t>Mario Navarro</w:t>
      </w:r>
    </w:p>
    <w:p w14:paraId="7C4F0FEA" w14:textId="77777777" w:rsidR="00FB77A6" w:rsidRPr="00D6574D" w:rsidRDefault="00FB77A6" w:rsidP="00D6574D">
      <w:pPr>
        <w:ind w:left="1170" w:hanging="90"/>
        <w:rPr>
          <w:rFonts w:ascii="Times New Roman" w:eastAsia="Times New Roman" w:hAnsi="Times New Roman" w:cs="Times New Roman"/>
        </w:rPr>
      </w:pPr>
      <w:r w:rsidRPr="00D6574D">
        <w:rPr>
          <w:rFonts w:ascii="Times New Roman" w:eastAsia="Times New Roman" w:hAnsi="Times New Roman" w:cs="Times New Roman"/>
        </w:rPr>
        <w:t>Office of Health Communication &amp; Education</w:t>
      </w:r>
    </w:p>
    <w:p w14:paraId="00228CAE" w14:textId="77777777" w:rsidR="00FB77A6" w:rsidRPr="00D6574D" w:rsidRDefault="00FB77A6" w:rsidP="00D6574D">
      <w:pPr>
        <w:ind w:left="1170" w:hanging="90"/>
        <w:rPr>
          <w:rFonts w:ascii="Times New Roman" w:eastAsia="Times New Roman" w:hAnsi="Times New Roman" w:cs="Times New Roman"/>
        </w:rPr>
      </w:pPr>
      <w:r w:rsidRPr="00D6574D">
        <w:rPr>
          <w:rFonts w:ascii="Times New Roman" w:eastAsia="Times New Roman" w:hAnsi="Times New Roman" w:cs="Times New Roman"/>
        </w:rPr>
        <w:t>Center for Tobacco Products</w:t>
      </w:r>
    </w:p>
    <w:p w14:paraId="487BAEAD" w14:textId="77777777" w:rsidR="00FB77A6" w:rsidRPr="00D6574D" w:rsidRDefault="00FB77A6" w:rsidP="00D6574D">
      <w:pPr>
        <w:ind w:left="1170" w:hanging="90"/>
        <w:rPr>
          <w:rFonts w:ascii="Times New Roman" w:eastAsia="Times New Roman" w:hAnsi="Times New Roman" w:cs="Times New Roman"/>
        </w:rPr>
      </w:pPr>
      <w:r w:rsidRPr="00D6574D">
        <w:rPr>
          <w:rFonts w:ascii="Times New Roman" w:eastAsia="Times New Roman" w:hAnsi="Times New Roman" w:cs="Times New Roman"/>
        </w:rPr>
        <w:t>Food and Drug Administration</w:t>
      </w:r>
    </w:p>
    <w:p w14:paraId="4BE8F6EB" w14:textId="77777777" w:rsidR="00FB77A6" w:rsidRPr="00D6574D" w:rsidRDefault="00FB77A6" w:rsidP="00D6574D">
      <w:pPr>
        <w:ind w:left="1170" w:hanging="90"/>
        <w:rPr>
          <w:rFonts w:ascii="Times New Roman" w:eastAsia="Times New Roman" w:hAnsi="Times New Roman" w:cs="Times New Roman"/>
        </w:rPr>
      </w:pPr>
      <w:r w:rsidRPr="00D6574D">
        <w:rPr>
          <w:rFonts w:ascii="Times New Roman" w:eastAsia="Times New Roman" w:hAnsi="Times New Roman" w:cs="Times New Roman"/>
        </w:rPr>
        <w:t>10903 New Hampshire Avenue</w:t>
      </w:r>
    </w:p>
    <w:p w14:paraId="435575F4" w14:textId="77777777" w:rsidR="00FB77A6" w:rsidRPr="00D6574D" w:rsidRDefault="00FB77A6" w:rsidP="00D6574D">
      <w:pPr>
        <w:ind w:left="1170" w:hanging="90"/>
        <w:rPr>
          <w:rFonts w:ascii="Times New Roman" w:eastAsia="Times New Roman" w:hAnsi="Times New Roman" w:cs="Times New Roman"/>
        </w:rPr>
      </w:pPr>
      <w:r w:rsidRPr="00D6574D">
        <w:rPr>
          <w:rFonts w:ascii="Times New Roman" w:eastAsia="Times New Roman" w:hAnsi="Times New Roman" w:cs="Times New Roman"/>
        </w:rPr>
        <w:t>Silver Spring, MD 20993</w:t>
      </w:r>
    </w:p>
    <w:p w14:paraId="409AF0A6" w14:textId="70C9E416" w:rsidR="00FB77A6" w:rsidRPr="00D6574D" w:rsidRDefault="00FB77A6" w:rsidP="00D6574D">
      <w:pPr>
        <w:ind w:left="1170" w:hanging="90"/>
        <w:rPr>
          <w:rFonts w:ascii="Times New Roman" w:eastAsia="Times New Roman" w:hAnsi="Times New Roman" w:cs="Times New Roman"/>
        </w:rPr>
      </w:pPr>
      <w:r w:rsidRPr="00D6574D">
        <w:rPr>
          <w:rFonts w:ascii="Times New Roman" w:eastAsia="Times New Roman" w:hAnsi="Times New Roman" w:cs="Times New Roman"/>
        </w:rPr>
        <w:t>Phone:</w:t>
      </w:r>
      <w:r w:rsidR="00D6574D">
        <w:rPr>
          <w:rFonts w:ascii="Times New Roman" w:eastAsia="Times New Roman" w:hAnsi="Times New Roman" w:cs="Times New Roman"/>
        </w:rPr>
        <w:t xml:space="preserve"> </w:t>
      </w:r>
      <w:r w:rsidR="000F1B31" w:rsidRPr="00D6574D">
        <w:rPr>
          <w:rFonts w:ascii="Times New Roman" w:eastAsia="Times New Roman" w:hAnsi="Times New Roman" w:cs="Times New Roman"/>
        </w:rPr>
        <w:t>240-402-4963</w:t>
      </w:r>
    </w:p>
    <w:p w14:paraId="5F1E8AFE" w14:textId="0C56BEE5" w:rsidR="00FB77A6" w:rsidRPr="00D6574D" w:rsidRDefault="00FB77A6" w:rsidP="00D6574D">
      <w:pPr>
        <w:ind w:left="1170" w:hanging="90"/>
        <w:rPr>
          <w:rFonts w:ascii="Times New Roman" w:eastAsia="Times New Roman" w:hAnsi="Times New Roman" w:cs="Times New Roman"/>
        </w:rPr>
      </w:pPr>
      <w:r w:rsidRPr="00D6574D">
        <w:rPr>
          <w:rFonts w:ascii="Times New Roman" w:eastAsia="Times New Roman" w:hAnsi="Times New Roman" w:cs="Times New Roman"/>
        </w:rPr>
        <w:t>E-mail:</w:t>
      </w:r>
      <w:r w:rsidR="00D6574D">
        <w:rPr>
          <w:rFonts w:ascii="Times New Roman" w:eastAsia="Times New Roman" w:hAnsi="Times New Roman" w:cs="Times New Roman"/>
        </w:rPr>
        <w:t xml:space="preserve"> </w:t>
      </w:r>
      <w:r w:rsidR="00D6574D" w:rsidRPr="00D6574D">
        <w:rPr>
          <w:rFonts w:ascii="Times New Roman" w:eastAsia="Times New Roman" w:hAnsi="Times New Roman" w:cs="Times New Roman"/>
        </w:rPr>
        <w:t>Mario.Navarro@fda.hhs.gov</w:t>
      </w:r>
    </w:p>
    <w:p w14:paraId="41B9FA6A" w14:textId="77777777" w:rsidR="00D6574D" w:rsidRPr="00D6574D" w:rsidRDefault="00D6574D" w:rsidP="00D6574D">
      <w:pPr>
        <w:ind w:left="1170" w:hanging="90"/>
        <w:rPr>
          <w:rFonts w:ascii="Times New Roman" w:eastAsia="Times New Roman" w:hAnsi="Times New Roman" w:cs="Times New Roman"/>
        </w:rPr>
      </w:pPr>
    </w:p>
    <w:p w14:paraId="00FF6523" w14:textId="77777777" w:rsidR="00B73D5E" w:rsidRPr="00D6574D" w:rsidRDefault="00B73D5E" w:rsidP="00D6574D">
      <w:pPr>
        <w:ind w:left="1170" w:hanging="90"/>
        <w:rPr>
          <w:rFonts w:ascii="Times New Roman" w:eastAsia="Times New Roman" w:hAnsi="Times New Roman" w:cs="Times New Roman"/>
        </w:rPr>
      </w:pPr>
      <w:r w:rsidRPr="00D6574D">
        <w:rPr>
          <w:rFonts w:ascii="Times New Roman" w:eastAsia="Times New Roman" w:hAnsi="Times New Roman" w:cs="Times New Roman"/>
        </w:rPr>
        <w:t>Matthew Walker</w:t>
      </w:r>
    </w:p>
    <w:p w14:paraId="60D79853" w14:textId="77777777" w:rsidR="00B73D5E" w:rsidRPr="00D6574D" w:rsidRDefault="00B73D5E" w:rsidP="00D6574D">
      <w:pPr>
        <w:ind w:left="1170" w:hanging="90"/>
        <w:rPr>
          <w:rFonts w:ascii="Times New Roman" w:eastAsia="Times New Roman" w:hAnsi="Times New Roman" w:cs="Times New Roman"/>
        </w:rPr>
      </w:pPr>
      <w:r w:rsidRPr="00D6574D">
        <w:rPr>
          <w:rFonts w:ascii="Times New Roman" w:eastAsia="Times New Roman" w:hAnsi="Times New Roman" w:cs="Times New Roman"/>
        </w:rPr>
        <w:t>Office of Health Communication &amp; Education</w:t>
      </w:r>
    </w:p>
    <w:p w14:paraId="49FB933A" w14:textId="77777777" w:rsidR="00B73D5E" w:rsidRPr="00D6574D" w:rsidRDefault="00B73D5E" w:rsidP="00D6574D">
      <w:pPr>
        <w:ind w:left="1170" w:hanging="90"/>
        <w:rPr>
          <w:rFonts w:ascii="Times New Roman" w:eastAsia="Times New Roman" w:hAnsi="Times New Roman" w:cs="Times New Roman"/>
        </w:rPr>
      </w:pPr>
      <w:r w:rsidRPr="00D6574D">
        <w:rPr>
          <w:rFonts w:ascii="Times New Roman" w:eastAsia="Times New Roman" w:hAnsi="Times New Roman" w:cs="Times New Roman"/>
        </w:rPr>
        <w:t>Center for Tobacco Products</w:t>
      </w:r>
    </w:p>
    <w:p w14:paraId="534BECAA" w14:textId="77777777" w:rsidR="00B73D5E" w:rsidRPr="00D6574D" w:rsidRDefault="00B73D5E" w:rsidP="00D6574D">
      <w:pPr>
        <w:ind w:left="1170" w:hanging="90"/>
        <w:rPr>
          <w:rFonts w:ascii="Times New Roman" w:eastAsia="Times New Roman" w:hAnsi="Times New Roman" w:cs="Times New Roman"/>
        </w:rPr>
      </w:pPr>
      <w:r w:rsidRPr="00D6574D">
        <w:rPr>
          <w:rFonts w:ascii="Times New Roman" w:eastAsia="Times New Roman" w:hAnsi="Times New Roman" w:cs="Times New Roman"/>
        </w:rPr>
        <w:t>Food and Drug Administration</w:t>
      </w:r>
    </w:p>
    <w:p w14:paraId="22C3125F" w14:textId="77777777" w:rsidR="00B73D5E" w:rsidRPr="00D6574D" w:rsidRDefault="00B73D5E" w:rsidP="00D6574D">
      <w:pPr>
        <w:ind w:left="1170" w:hanging="90"/>
        <w:rPr>
          <w:rFonts w:ascii="Times New Roman" w:eastAsia="Times New Roman" w:hAnsi="Times New Roman" w:cs="Times New Roman"/>
        </w:rPr>
      </w:pPr>
      <w:r w:rsidRPr="00D6574D">
        <w:rPr>
          <w:rFonts w:ascii="Times New Roman" w:eastAsia="Times New Roman" w:hAnsi="Times New Roman" w:cs="Times New Roman"/>
        </w:rPr>
        <w:t>10903 New Hampshire Avenue</w:t>
      </w:r>
    </w:p>
    <w:p w14:paraId="30A48D78" w14:textId="77777777" w:rsidR="00B73D5E" w:rsidRPr="00D6574D" w:rsidRDefault="00B73D5E" w:rsidP="00D6574D">
      <w:pPr>
        <w:ind w:left="1170" w:hanging="90"/>
        <w:rPr>
          <w:rFonts w:ascii="Times New Roman" w:eastAsia="Times New Roman" w:hAnsi="Times New Roman" w:cs="Times New Roman"/>
        </w:rPr>
      </w:pPr>
      <w:r w:rsidRPr="00D6574D">
        <w:rPr>
          <w:rFonts w:ascii="Times New Roman" w:eastAsia="Times New Roman" w:hAnsi="Times New Roman" w:cs="Times New Roman"/>
        </w:rPr>
        <w:t>Silver Spring, MD 20993</w:t>
      </w:r>
    </w:p>
    <w:p w14:paraId="33D40EF5" w14:textId="39594523" w:rsidR="00B73D5E" w:rsidRPr="00D6574D" w:rsidRDefault="00B73D5E" w:rsidP="00D6574D">
      <w:pPr>
        <w:ind w:left="1170" w:hanging="90"/>
        <w:rPr>
          <w:rFonts w:ascii="Times New Roman" w:eastAsia="Times New Roman" w:hAnsi="Times New Roman" w:cs="Times New Roman"/>
        </w:rPr>
      </w:pPr>
      <w:r w:rsidRPr="00D6574D">
        <w:rPr>
          <w:rFonts w:ascii="Times New Roman" w:eastAsia="Times New Roman" w:hAnsi="Times New Roman" w:cs="Times New Roman"/>
        </w:rPr>
        <w:t>Phone:</w:t>
      </w:r>
      <w:r w:rsidR="00D6574D">
        <w:rPr>
          <w:rFonts w:ascii="Times New Roman" w:eastAsia="Times New Roman" w:hAnsi="Times New Roman" w:cs="Times New Roman"/>
        </w:rPr>
        <w:t xml:space="preserve"> </w:t>
      </w:r>
      <w:r w:rsidRPr="00D6574D">
        <w:rPr>
          <w:rFonts w:ascii="Times New Roman" w:eastAsia="Times New Roman" w:hAnsi="Times New Roman" w:cs="Times New Roman"/>
        </w:rPr>
        <w:t>240-402-3824</w:t>
      </w:r>
    </w:p>
    <w:p w14:paraId="277A663E" w14:textId="650472FB" w:rsidR="008179D7" w:rsidRDefault="00B73D5E" w:rsidP="00265754">
      <w:pPr>
        <w:ind w:left="1170" w:hanging="90"/>
        <w:rPr>
          <w:rFonts w:ascii="Times New Roman" w:eastAsia="Times New Roman" w:hAnsi="Times New Roman" w:cs="Times New Roman"/>
        </w:rPr>
      </w:pPr>
      <w:r w:rsidRPr="00D6574D">
        <w:rPr>
          <w:rFonts w:ascii="Times New Roman" w:eastAsia="Times New Roman" w:hAnsi="Times New Roman" w:cs="Times New Roman"/>
        </w:rPr>
        <w:t>E-mail:</w:t>
      </w:r>
      <w:r w:rsidR="00D6574D">
        <w:rPr>
          <w:rFonts w:ascii="Times New Roman" w:eastAsia="Times New Roman" w:hAnsi="Times New Roman" w:cs="Times New Roman"/>
        </w:rPr>
        <w:t xml:space="preserve"> </w:t>
      </w:r>
      <w:r w:rsidR="00265754" w:rsidRPr="00265754">
        <w:rPr>
          <w:rFonts w:ascii="Times New Roman" w:hAnsi="Times New Roman" w:cs="Times New Roman"/>
        </w:rPr>
        <w:t>Matthew.Walker@fda.hhs.gov</w:t>
      </w:r>
    </w:p>
    <w:p w14:paraId="02D7EA6D" w14:textId="77777777" w:rsidR="00265754" w:rsidRPr="004432BE" w:rsidRDefault="00265754" w:rsidP="00265754">
      <w:pPr>
        <w:ind w:left="1170" w:hanging="90"/>
        <w:rPr>
          <w:rFonts w:ascii="Times New Roman" w:eastAsia="Times New Roman" w:hAnsi="Times New Roman" w:cs="Times New Roman"/>
        </w:rPr>
      </w:pPr>
    </w:p>
    <w:p w14:paraId="454A1B65" w14:textId="713E4454" w:rsidR="00B73D5E" w:rsidRPr="004432BE" w:rsidRDefault="00B73D5E" w:rsidP="009C6AAC">
      <w:pPr>
        <w:spacing w:after="240"/>
        <w:ind w:left="720"/>
        <w:rPr>
          <w:rFonts w:ascii="Times New Roman" w:eastAsia="Times New Roman" w:hAnsi="Times New Roman" w:cs="Times New Roman"/>
        </w:rPr>
      </w:pPr>
      <w:r w:rsidRPr="004432BE">
        <w:rPr>
          <w:rFonts w:ascii="Times New Roman" w:eastAsia="Times New Roman" w:hAnsi="Times New Roman" w:cs="Times New Roman"/>
        </w:rPr>
        <w:t>The following individuals outside of the agency have been</w:t>
      </w:r>
      <w:r w:rsidR="00E95C2A" w:rsidRPr="004432BE">
        <w:rPr>
          <w:rFonts w:ascii="Times New Roman" w:eastAsia="Times New Roman" w:hAnsi="Times New Roman" w:cs="Times New Roman"/>
        </w:rPr>
        <w:t xml:space="preserve"> consulted on </w:t>
      </w:r>
      <w:r w:rsidR="001F6D3A" w:rsidRPr="004432BE">
        <w:rPr>
          <w:rFonts w:ascii="Times New Roman" w:eastAsia="Times New Roman" w:hAnsi="Times New Roman" w:cs="Times New Roman"/>
        </w:rPr>
        <w:t>survey</w:t>
      </w:r>
      <w:r w:rsidRPr="004432BE">
        <w:rPr>
          <w:rFonts w:ascii="Times New Roman" w:eastAsia="Times New Roman" w:hAnsi="Times New Roman" w:cs="Times New Roman"/>
        </w:rPr>
        <w:t xml:space="preserve"> development</w:t>
      </w:r>
      <w:r w:rsidR="00616DA7">
        <w:rPr>
          <w:rFonts w:ascii="Times New Roman" w:eastAsia="Times New Roman" w:hAnsi="Times New Roman" w:cs="Times New Roman"/>
        </w:rPr>
        <w:t xml:space="preserve"> and data collection implementation</w:t>
      </w:r>
      <w:r w:rsidRPr="004432BE">
        <w:rPr>
          <w:rFonts w:ascii="Times New Roman" w:eastAsia="Times New Roman" w:hAnsi="Times New Roman" w:cs="Times New Roman"/>
        </w:rPr>
        <w:t>:</w:t>
      </w:r>
    </w:p>
    <w:p w14:paraId="4314A748" w14:textId="77777777" w:rsidR="00F51307" w:rsidRPr="00F7181B" w:rsidRDefault="00F51307" w:rsidP="00F51307">
      <w:pPr>
        <w:ind w:left="1170" w:hanging="90"/>
        <w:rPr>
          <w:rFonts w:ascii="Times New Roman" w:eastAsia="Times New Roman" w:hAnsi="Times New Roman" w:cs="Times New Roman"/>
        </w:rPr>
      </w:pPr>
      <w:r w:rsidRPr="00F7181B">
        <w:rPr>
          <w:rFonts w:ascii="Times New Roman" w:eastAsia="Times New Roman" w:hAnsi="Times New Roman" w:cs="Times New Roman"/>
        </w:rPr>
        <w:t>Annice Kim</w:t>
      </w:r>
    </w:p>
    <w:p w14:paraId="0A625E95" w14:textId="77777777" w:rsidR="00F51307" w:rsidRPr="00F7181B" w:rsidRDefault="00F51307" w:rsidP="00F51307">
      <w:pPr>
        <w:ind w:left="1170" w:hanging="90"/>
        <w:rPr>
          <w:rFonts w:ascii="Times New Roman" w:eastAsia="Times New Roman" w:hAnsi="Times New Roman" w:cs="Times New Roman"/>
        </w:rPr>
      </w:pPr>
      <w:r w:rsidRPr="00F7181B">
        <w:rPr>
          <w:rFonts w:ascii="Times New Roman" w:eastAsia="Times New Roman" w:hAnsi="Times New Roman" w:cs="Times New Roman"/>
        </w:rPr>
        <w:t>RTI International</w:t>
      </w:r>
    </w:p>
    <w:p w14:paraId="7AD34368" w14:textId="77777777" w:rsidR="00F51307" w:rsidRPr="00F7181B" w:rsidRDefault="00F51307" w:rsidP="00F51307">
      <w:pPr>
        <w:ind w:left="1170" w:hanging="90"/>
        <w:rPr>
          <w:rFonts w:ascii="Times New Roman" w:eastAsia="Times New Roman" w:hAnsi="Times New Roman" w:cs="Times New Roman"/>
        </w:rPr>
      </w:pPr>
      <w:r w:rsidRPr="00F7181B">
        <w:rPr>
          <w:rFonts w:ascii="Times New Roman" w:eastAsia="Times New Roman" w:hAnsi="Times New Roman" w:cs="Times New Roman"/>
        </w:rPr>
        <w:t>3040 Cornwallis Road</w:t>
      </w:r>
    </w:p>
    <w:p w14:paraId="15CDDF59" w14:textId="77777777" w:rsidR="00F51307" w:rsidRPr="00F7181B" w:rsidRDefault="00F51307" w:rsidP="00F51307">
      <w:pPr>
        <w:ind w:left="1170" w:hanging="90"/>
        <w:rPr>
          <w:rFonts w:ascii="Times New Roman" w:eastAsia="Times New Roman" w:hAnsi="Times New Roman" w:cs="Times New Roman"/>
        </w:rPr>
      </w:pPr>
      <w:r w:rsidRPr="00F7181B">
        <w:rPr>
          <w:rFonts w:ascii="Times New Roman" w:eastAsia="Times New Roman" w:hAnsi="Times New Roman" w:cs="Times New Roman"/>
        </w:rPr>
        <w:t>Research Triangle Park, NC 27709</w:t>
      </w:r>
    </w:p>
    <w:p w14:paraId="15FE28D5" w14:textId="6591C87C" w:rsidR="00F51307" w:rsidRPr="00F7181B" w:rsidRDefault="00F51307" w:rsidP="00F51307">
      <w:pPr>
        <w:ind w:left="1170" w:hanging="90"/>
        <w:rPr>
          <w:rFonts w:ascii="Times New Roman" w:eastAsia="Times New Roman" w:hAnsi="Times New Roman" w:cs="Times New Roman"/>
        </w:rPr>
      </w:pPr>
      <w:r w:rsidRPr="00F7181B">
        <w:rPr>
          <w:rFonts w:ascii="Times New Roman" w:eastAsia="Times New Roman" w:hAnsi="Times New Roman" w:cs="Times New Roman"/>
        </w:rPr>
        <w:t>Phone:</w:t>
      </w:r>
      <w:r w:rsidR="00D6574D">
        <w:rPr>
          <w:rFonts w:ascii="Times New Roman" w:eastAsia="Times New Roman" w:hAnsi="Times New Roman" w:cs="Times New Roman"/>
        </w:rPr>
        <w:t xml:space="preserve"> </w:t>
      </w:r>
      <w:r w:rsidRPr="00F7181B">
        <w:rPr>
          <w:rFonts w:ascii="Times New Roman" w:eastAsia="Times New Roman" w:hAnsi="Times New Roman" w:cs="Times New Roman"/>
        </w:rPr>
        <w:t>919-316-3972</w:t>
      </w:r>
    </w:p>
    <w:p w14:paraId="52714281" w14:textId="77777777" w:rsidR="00F51307" w:rsidRPr="009A034D" w:rsidRDefault="00F51307" w:rsidP="00F51307">
      <w:pPr>
        <w:ind w:left="1170" w:hanging="90"/>
        <w:rPr>
          <w:rFonts w:ascii="Times New Roman" w:eastAsia="Times New Roman" w:hAnsi="Times New Roman" w:cs="Times New Roman"/>
        </w:rPr>
      </w:pPr>
      <w:r w:rsidRPr="00F7181B">
        <w:rPr>
          <w:rFonts w:ascii="Times New Roman" w:eastAsia="Times New Roman" w:hAnsi="Times New Roman" w:cs="Times New Roman"/>
        </w:rPr>
        <w:t>E-mail: akim@rti.org</w:t>
      </w:r>
    </w:p>
    <w:p w14:paraId="5E112182" w14:textId="77777777" w:rsidR="00F51307" w:rsidRDefault="00F51307" w:rsidP="00F51307">
      <w:pPr>
        <w:ind w:left="1170" w:hanging="90"/>
        <w:rPr>
          <w:rFonts w:ascii="Times New Roman" w:eastAsia="Times New Roman" w:hAnsi="Times New Roman" w:cs="Times New Roman"/>
        </w:rPr>
      </w:pPr>
    </w:p>
    <w:p w14:paraId="780F963C" w14:textId="77777777" w:rsidR="002D2876" w:rsidRDefault="002D2876" w:rsidP="00F51307">
      <w:pPr>
        <w:ind w:left="1170" w:hanging="90"/>
        <w:rPr>
          <w:rFonts w:ascii="Times New Roman" w:eastAsia="Times New Roman" w:hAnsi="Times New Roman" w:cs="Times New Roman"/>
        </w:rPr>
      </w:pPr>
    </w:p>
    <w:p w14:paraId="523F5F7A" w14:textId="00AC9653" w:rsidR="00F51307" w:rsidRPr="00424D7C" w:rsidRDefault="00F51307" w:rsidP="00F51307">
      <w:pPr>
        <w:ind w:left="1170" w:hanging="90"/>
        <w:rPr>
          <w:rFonts w:ascii="Times New Roman" w:eastAsia="Times New Roman" w:hAnsi="Times New Roman" w:cs="Times New Roman"/>
        </w:rPr>
      </w:pPr>
      <w:r w:rsidRPr="00424D7C">
        <w:rPr>
          <w:rFonts w:ascii="Times New Roman" w:eastAsia="Times New Roman" w:hAnsi="Times New Roman" w:cs="Times New Roman"/>
        </w:rPr>
        <w:t>James Nonnemaker</w:t>
      </w:r>
    </w:p>
    <w:p w14:paraId="643EB0B2" w14:textId="77777777" w:rsidR="00F51307" w:rsidRPr="00424D7C" w:rsidRDefault="00F51307" w:rsidP="00F51307">
      <w:pPr>
        <w:ind w:left="1170" w:hanging="90"/>
        <w:rPr>
          <w:rFonts w:ascii="Times New Roman" w:eastAsia="Times New Roman" w:hAnsi="Times New Roman" w:cs="Times New Roman"/>
        </w:rPr>
      </w:pPr>
      <w:r w:rsidRPr="00424D7C">
        <w:rPr>
          <w:rFonts w:ascii="Times New Roman" w:eastAsia="Times New Roman" w:hAnsi="Times New Roman" w:cs="Times New Roman"/>
        </w:rPr>
        <w:t>RTI International</w:t>
      </w:r>
    </w:p>
    <w:p w14:paraId="540D93A6" w14:textId="77777777" w:rsidR="00F51307" w:rsidRPr="00424D7C" w:rsidRDefault="00F51307" w:rsidP="00F51307">
      <w:pPr>
        <w:ind w:left="1170" w:hanging="90"/>
        <w:rPr>
          <w:rFonts w:ascii="Times New Roman" w:eastAsia="Times New Roman" w:hAnsi="Times New Roman" w:cs="Times New Roman"/>
        </w:rPr>
      </w:pPr>
      <w:r w:rsidRPr="00424D7C">
        <w:rPr>
          <w:rFonts w:ascii="Times New Roman" w:eastAsia="Times New Roman" w:hAnsi="Times New Roman" w:cs="Times New Roman"/>
        </w:rPr>
        <w:t>3040 Cornwallis Road</w:t>
      </w:r>
    </w:p>
    <w:p w14:paraId="27E6323B" w14:textId="77777777" w:rsidR="00F51307" w:rsidRPr="00424D7C" w:rsidRDefault="00F51307" w:rsidP="00F51307">
      <w:pPr>
        <w:ind w:left="1170" w:hanging="90"/>
        <w:rPr>
          <w:rFonts w:ascii="Times New Roman" w:eastAsia="Times New Roman" w:hAnsi="Times New Roman" w:cs="Times New Roman"/>
        </w:rPr>
      </w:pPr>
      <w:r w:rsidRPr="00424D7C">
        <w:rPr>
          <w:rFonts w:ascii="Times New Roman" w:eastAsia="Times New Roman" w:hAnsi="Times New Roman" w:cs="Times New Roman"/>
        </w:rPr>
        <w:t>Research Triangle Park, NC 27709</w:t>
      </w:r>
    </w:p>
    <w:p w14:paraId="4521BCA1" w14:textId="77777777" w:rsidR="00F51307" w:rsidRPr="00424D7C" w:rsidRDefault="00F51307" w:rsidP="00F51307">
      <w:pPr>
        <w:ind w:left="1170" w:hanging="90"/>
        <w:rPr>
          <w:rFonts w:ascii="Times New Roman" w:eastAsia="Times New Roman" w:hAnsi="Times New Roman" w:cs="Times New Roman"/>
        </w:rPr>
      </w:pPr>
      <w:r w:rsidRPr="00424D7C">
        <w:rPr>
          <w:rFonts w:ascii="Times New Roman" w:eastAsia="Times New Roman" w:hAnsi="Times New Roman" w:cs="Times New Roman"/>
        </w:rPr>
        <w:t>Phone: 919-541-7064</w:t>
      </w:r>
    </w:p>
    <w:p w14:paraId="3A4E32FF" w14:textId="77777777" w:rsidR="00F51307" w:rsidRDefault="00F51307" w:rsidP="00F51307">
      <w:pPr>
        <w:ind w:left="1170" w:hanging="90"/>
        <w:rPr>
          <w:rFonts w:ascii="Times New Roman" w:eastAsia="Times New Roman" w:hAnsi="Times New Roman" w:cs="Times New Roman"/>
        </w:rPr>
      </w:pPr>
      <w:r w:rsidRPr="00424D7C">
        <w:rPr>
          <w:rFonts w:ascii="Times New Roman" w:eastAsia="Times New Roman" w:hAnsi="Times New Roman" w:cs="Times New Roman"/>
        </w:rPr>
        <w:t xml:space="preserve">E-mail: </w:t>
      </w:r>
      <w:r w:rsidRPr="00F7181B">
        <w:rPr>
          <w:rFonts w:ascii="Times New Roman" w:eastAsia="Times New Roman" w:hAnsi="Times New Roman" w:cs="Times New Roman"/>
        </w:rPr>
        <w:t>jnonnemaker@rti.org</w:t>
      </w:r>
    </w:p>
    <w:p w14:paraId="6507378D" w14:textId="77777777" w:rsidR="00F51307" w:rsidRDefault="00F51307" w:rsidP="00F51307">
      <w:pPr>
        <w:ind w:left="1170" w:hanging="90"/>
        <w:rPr>
          <w:rFonts w:ascii="Times New Roman" w:eastAsia="Times New Roman" w:hAnsi="Times New Roman" w:cs="Times New Roman"/>
        </w:rPr>
      </w:pPr>
    </w:p>
    <w:p w14:paraId="60EB1109" w14:textId="77777777" w:rsidR="00F51307" w:rsidRPr="00424D7C" w:rsidRDefault="00F51307" w:rsidP="00F51307">
      <w:pPr>
        <w:ind w:left="1170" w:hanging="90"/>
        <w:rPr>
          <w:rFonts w:ascii="Times New Roman" w:eastAsia="Times New Roman" w:hAnsi="Times New Roman" w:cs="Times New Roman"/>
        </w:rPr>
      </w:pPr>
      <w:r>
        <w:rPr>
          <w:rFonts w:ascii="Times New Roman" w:eastAsia="Times New Roman" w:hAnsi="Times New Roman" w:cs="Times New Roman"/>
        </w:rPr>
        <w:t>Matthew Eggers</w:t>
      </w:r>
    </w:p>
    <w:p w14:paraId="34F966EE" w14:textId="77777777" w:rsidR="00F51307" w:rsidRPr="00424D7C" w:rsidRDefault="00F51307" w:rsidP="00F51307">
      <w:pPr>
        <w:ind w:left="1170" w:hanging="90"/>
        <w:rPr>
          <w:rFonts w:ascii="Times New Roman" w:eastAsia="Times New Roman" w:hAnsi="Times New Roman" w:cs="Times New Roman"/>
        </w:rPr>
      </w:pPr>
      <w:r w:rsidRPr="00424D7C">
        <w:rPr>
          <w:rFonts w:ascii="Times New Roman" w:eastAsia="Times New Roman" w:hAnsi="Times New Roman" w:cs="Times New Roman"/>
        </w:rPr>
        <w:t>RTI International</w:t>
      </w:r>
    </w:p>
    <w:p w14:paraId="5EEE7813" w14:textId="77777777" w:rsidR="00F51307" w:rsidRPr="00424D7C" w:rsidRDefault="00F51307" w:rsidP="00F51307">
      <w:pPr>
        <w:ind w:left="1170" w:hanging="90"/>
        <w:rPr>
          <w:rFonts w:ascii="Times New Roman" w:eastAsia="Times New Roman" w:hAnsi="Times New Roman" w:cs="Times New Roman"/>
        </w:rPr>
      </w:pPr>
      <w:r w:rsidRPr="00424D7C">
        <w:rPr>
          <w:rFonts w:ascii="Times New Roman" w:eastAsia="Times New Roman" w:hAnsi="Times New Roman" w:cs="Times New Roman"/>
        </w:rPr>
        <w:t>3040 Cornwallis Road</w:t>
      </w:r>
    </w:p>
    <w:p w14:paraId="7D8152E8" w14:textId="77777777" w:rsidR="00F51307" w:rsidRPr="00424D7C" w:rsidRDefault="00F51307" w:rsidP="00F51307">
      <w:pPr>
        <w:ind w:left="1170" w:hanging="90"/>
        <w:rPr>
          <w:rFonts w:ascii="Times New Roman" w:eastAsia="Times New Roman" w:hAnsi="Times New Roman" w:cs="Times New Roman"/>
        </w:rPr>
      </w:pPr>
      <w:r w:rsidRPr="00424D7C">
        <w:rPr>
          <w:rFonts w:ascii="Times New Roman" w:eastAsia="Times New Roman" w:hAnsi="Times New Roman" w:cs="Times New Roman"/>
        </w:rPr>
        <w:t>Research Triangle Park, NC 27709</w:t>
      </w:r>
    </w:p>
    <w:p w14:paraId="65567E99" w14:textId="77777777" w:rsidR="00F51307" w:rsidRPr="00424D7C" w:rsidRDefault="00F51307" w:rsidP="00F51307">
      <w:pPr>
        <w:ind w:left="1170" w:hanging="90"/>
        <w:rPr>
          <w:rFonts w:ascii="Times New Roman" w:eastAsia="Times New Roman" w:hAnsi="Times New Roman" w:cs="Times New Roman"/>
        </w:rPr>
      </w:pPr>
      <w:r w:rsidRPr="00424D7C">
        <w:rPr>
          <w:rFonts w:ascii="Times New Roman" w:eastAsia="Times New Roman" w:hAnsi="Times New Roman" w:cs="Times New Roman"/>
        </w:rPr>
        <w:t>Phone: 919-</w:t>
      </w:r>
      <w:r>
        <w:rPr>
          <w:rFonts w:ascii="Times New Roman" w:eastAsia="Times New Roman" w:hAnsi="Times New Roman" w:cs="Times New Roman"/>
        </w:rPr>
        <w:t>990-8380</w:t>
      </w:r>
    </w:p>
    <w:p w14:paraId="62FD0111" w14:textId="0F6FEBD3" w:rsidR="00625BAF" w:rsidRDefault="00F51307" w:rsidP="00F51307">
      <w:pPr>
        <w:widowControl w:val="0"/>
        <w:autoSpaceDE w:val="0"/>
        <w:autoSpaceDN w:val="0"/>
        <w:adjustRightInd w:val="0"/>
        <w:ind w:left="360" w:firstLine="720"/>
        <w:rPr>
          <w:rFonts w:ascii="Times New Roman" w:eastAsia="Times New Roman" w:hAnsi="Times New Roman" w:cs="Times New Roman"/>
        </w:rPr>
      </w:pPr>
      <w:r w:rsidRPr="00424D7C">
        <w:rPr>
          <w:rFonts w:ascii="Times New Roman" w:eastAsia="Times New Roman" w:hAnsi="Times New Roman" w:cs="Times New Roman"/>
        </w:rPr>
        <w:t xml:space="preserve">E-mail: </w:t>
      </w:r>
      <w:r w:rsidR="005A12CD" w:rsidRPr="005A12CD">
        <w:rPr>
          <w:rFonts w:ascii="Times New Roman" w:eastAsia="Times New Roman" w:hAnsi="Times New Roman" w:cs="Times New Roman"/>
        </w:rPr>
        <w:t>meggers@rti.org</w:t>
      </w:r>
    </w:p>
    <w:p w14:paraId="7571DF44" w14:textId="42B407AA" w:rsidR="005A12CD" w:rsidRDefault="005A12CD" w:rsidP="00F51307">
      <w:pPr>
        <w:widowControl w:val="0"/>
        <w:autoSpaceDE w:val="0"/>
        <w:autoSpaceDN w:val="0"/>
        <w:adjustRightInd w:val="0"/>
        <w:ind w:left="360" w:firstLine="720"/>
        <w:rPr>
          <w:rFonts w:ascii="Times New Roman" w:eastAsia="Times New Roman" w:hAnsi="Times New Roman" w:cs="Times New Roman"/>
        </w:rPr>
      </w:pPr>
    </w:p>
    <w:p w14:paraId="0F96ED23" w14:textId="212EEA04" w:rsidR="005A12CD" w:rsidRDefault="005A12CD" w:rsidP="00F51307">
      <w:pPr>
        <w:widowControl w:val="0"/>
        <w:autoSpaceDE w:val="0"/>
        <w:autoSpaceDN w:val="0"/>
        <w:adjustRightInd w:val="0"/>
        <w:ind w:left="360" w:firstLine="720"/>
        <w:rPr>
          <w:rFonts w:ascii="Times New Roman" w:eastAsia="Times New Roman" w:hAnsi="Times New Roman" w:cs="Times New Roman"/>
        </w:rPr>
      </w:pPr>
      <w:bookmarkStart w:id="7" w:name="_Hlk2150607"/>
      <w:r>
        <w:rPr>
          <w:rFonts w:ascii="Times New Roman" w:eastAsia="Times New Roman" w:hAnsi="Times New Roman" w:cs="Times New Roman"/>
        </w:rPr>
        <w:t>Laura Baum</w:t>
      </w:r>
    </w:p>
    <w:p w14:paraId="3DDF3F8C" w14:textId="77777777" w:rsidR="005A12CD" w:rsidRPr="00424D7C" w:rsidRDefault="005A12CD" w:rsidP="005A12CD">
      <w:pPr>
        <w:ind w:left="1170" w:hanging="90"/>
        <w:rPr>
          <w:rFonts w:ascii="Times New Roman" w:eastAsia="Times New Roman" w:hAnsi="Times New Roman" w:cs="Times New Roman"/>
        </w:rPr>
      </w:pPr>
      <w:r w:rsidRPr="00424D7C">
        <w:rPr>
          <w:rFonts w:ascii="Times New Roman" w:eastAsia="Times New Roman" w:hAnsi="Times New Roman" w:cs="Times New Roman"/>
        </w:rPr>
        <w:t>RTI International</w:t>
      </w:r>
    </w:p>
    <w:p w14:paraId="597665B1" w14:textId="77777777" w:rsidR="005A12CD" w:rsidRPr="005A12CD" w:rsidRDefault="005A12CD" w:rsidP="005A12CD">
      <w:pPr>
        <w:ind w:left="1170" w:hanging="90"/>
        <w:rPr>
          <w:rFonts w:ascii="Times New Roman" w:eastAsia="Times New Roman" w:hAnsi="Times New Roman" w:cs="Times New Roman"/>
        </w:rPr>
      </w:pPr>
      <w:r w:rsidRPr="005A12CD">
        <w:rPr>
          <w:rFonts w:ascii="Times New Roman" w:eastAsia="Times New Roman" w:hAnsi="Times New Roman" w:cs="Times New Roman"/>
        </w:rPr>
        <w:t>2987 Clairmont Road NE</w:t>
      </w:r>
    </w:p>
    <w:p w14:paraId="35812B14" w14:textId="77777777" w:rsidR="005A12CD" w:rsidRDefault="005A12CD" w:rsidP="005A12CD">
      <w:pPr>
        <w:ind w:left="1170" w:hanging="90"/>
        <w:rPr>
          <w:rFonts w:ascii="Times New Roman" w:eastAsia="Times New Roman" w:hAnsi="Times New Roman" w:cs="Times New Roman"/>
        </w:rPr>
      </w:pPr>
      <w:r w:rsidRPr="005A12CD">
        <w:rPr>
          <w:rFonts w:ascii="Times New Roman" w:eastAsia="Times New Roman" w:hAnsi="Times New Roman" w:cs="Times New Roman"/>
        </w:rPr>
        <w:t>Atlanta, GA 30329-4434</w:t>
      </w:r>
    </w:p>
    <w:p w14:paraId="1EAC80E6" w14:textId="5276E021" w:rsidR="005A12CD" w:rsidRPr="00424D7C" w:rsidRDefault="005A12CD" w:rsidP="005A12CD">
      <w:pPr>
        <w:ind w:left="1170" w:hanging="90"/>
        <w:rPr>
          <w:rFonts w:ascii="Times New Roman" w:eastAsia="Times New Roman" w:hAnsi="Times New Roman" w:cs="Times New Roman"/>
        </w:rPr>
      </w:pPr>
      <w:r w:rsidRPr="00424D7C">
        <w:rPr>
          <w:rFonts w:ascii="Times New Roman" w:eastAsia="Times New Roman" w:hAnsi="Times New Roman" w:cs="Times New Roman"/>
        </w:rPr>
        <w:t xml:space="preserve">Phone: </w:t>
      </w:r>
      <w:r w:rsidRPr="005A12CD">
        <w:rPr>
          <w:rFonts w:ascii="Times New Roman" w:eastAsia="Times New Roman" w:hAnsi="Times New Roman" w:cs="Times New Roman"/>
        </w:rPr>
        <w:t>770-234-5017</w:t>
      </w:r>
    </w:p>
    <w:p w14:paraId="5AD9C4CE" w14:textId="0F518A72" w:rsidR="005A12CD" w:rsidRDefault="005A12CD" w:rsidP="005A12CD">
      <w:pPr>
        <w:widowControl w:val="0"/>
        <w:autoSpaceDE w:val="0"/>
        <w:autoSpaceDN w:val="0"/>
        <w:adjustRightInd w:val="0"/>
        <w:ind w:left="360" w:firstLine="720"/>
        <w:rPr>
          <w:rFonts w:ascii="Times New Roman" w:eastAsia="Times New Roman" w:hAnsi="Times New Roman" w:cs="Times New Roman"/>
        </w:rPr>
      </w:pPr>
      <w:r w:rsidRPr="00424D7C">
        <w:rPr>
          <w:rFonts w:ascii="Times New Roman" w:eastAsia="Times New Roman" w:hAnsi="Times New Roman" w:cs="Times New Roman"/>
        </w:rPr>
        <w:t xml:space="preserve">E-mail: </w:t>
      </w:r>
      <w:r>
        <w:rPr>
          <w:rFonts w:ascii="Times New Roman" w:eastAsia="Times New Roman" w:hAnsi="Times New Roman" w:cs="Times New Roman"/>
        </w:rPr>
        <w:t>lbaum</w:t>
      </w:r>
      <w:r w:rsidRPr="005A12CD">
        <w:rPr>
          <w:rFonts w:ascii="Times New Roman" w:eastAsia="Times New Roman" w:hAnsi="Times New Roman" w:cs="Times New Roman"/>
        </w:rPr>
        <w:t>@rti.org</w:t>
      </w:r>
    </w:p>
    <w:bookmarkEnd w:id="7"/>
    <w:p w14:paraId="255A5D02" w14:textId="77777777" w:rsidR="00F51307" w:rsidRPr="004432BE" w:rsidRDefault="00F51307" w:rsidP="00F51307">
      <w:pPr>
        <w:widowControl w:val="0"/>
        <w:autoSpaceDE w:val="0"/>
        <w:autoSpaceDN w:val="0"/>
        <w:adjustRightInd w:val="0"/>
        <w:rPr>
          <w:rFonts w:ascii="Times New Roman" w:hAnsi="Times New Roman" w:cs="Times New Roman"/>
          <w:color w:val="000000" w:themeColor="text1"/>
        </w:rPr>
      </w:pPr>
    </w:p>
    <w:p w14:paraId="0AE7155A" w14:textId="5EB2FC67" w:rsidR="00A14533" w:rsidRPr="004432BE" w:rsidRDefault="00990C6B" w:rsidP="009C6AAC">
      <w:pPr>
        <w:pStyle w:val="ListParagraph"/>
        <w:numPr>
          <w:ilvl w:val="0"/>
          <w:numId w:val="6"/>
        </w:numPr>
        <w:spacing w:after="240"/>
        <w:rPr>
          <w:rFonts w:cs="Times New Roman"/>
          <w:szCs w:val="24"/>
        </w:rPr>
      </w:pPr>
      <w:r w:rsidRPr="004432BE">
        <w:rPr>
          <w:rFonts w:eastAsia="Times New Roman" w:cs="Times New Roman"/>
          <w:szCs w:val="24"/>
          <w:u w:val="single"/>
        </w:rPr>
        <w:t>Explanation of Any Incentive or Gift to Respondent</w:t>
      </w:r>
      <w:r w:rsidR="003418DA" w:rsidRPr="004432BE">
        <w:rPr>
          <w:rFonts w:eastAsia="Times New Roman" w:cs="Times New Roman"/>
          <w:szCs w:val="24"/>
          <w:u w:val="single"/>
        </w:rPr>
        <w:t>s</w:t>
      </w:r>
    </w:p>
    <w:p w14:paraId="0F62659E" w14:textId="326AED59" w:rsidR="008770AF" w:rsidRPr="004432BE" w:rsidRDefault="004D7B71" w:rsidP="00134933">
      <w:pPr>
        <w:spacing w:after="240"/>
        <w:ind w:left="720"/>
        <w:rPr>
          <w:rFonts w:ascii="Times New Roman" w:hAnsi="Times New Roman" w:cs="Times New Roman"/>
        </w:rPr>
      </w:pPr>
      <w:r w:rsidRPr="004432BE">
        <w:rPr>
          <w:rFonts w:ascii="Times New Roman" w:hAnsi="Times New Roman" w:cs="Times New Roman"/>
        </w:rPr>
        <w:t xml:space="preserve">As is customary with online surveys conducted via panel sampling, panelists are invited by the panel management company to respond to the survey opportunity incentivized with award points </w:t>
      </w:r>
      <w:bookmarkStart w:id="8" w:name="_Hlk2150825"/>
      <w:r w:rsidR="005A12CD">
        <w:rPr>
          <w:rFonts w:ascii="Times New Roman" w:hAnsi="Times New Roman" w:cs="Times New Roman"/>
        </w:rPr>
        <w:t xml:space="preserve">(called “Lifepoints”) </w:t>
      </w:r>
      <w:r w:rsidRPr="004432BE">
        <w:rPr>
          <w:rFonts w:ascii="Times New Roman" w:hAnsi="Times New Roman" w:cs="Times New Roman"/>
        </w:rPr>
        <w:t>that are accrued and redeemable with the panel company for cash or other rewards</w:t>
      </w:r>
      <w:bookmarkEnd w:id="8"/>
      <w:r w:rsidRPr="004432BE">
        <w:rPr>
          <w:rFonts w:ascii="Times New Roman" w:hAnsi="Times New Roman" w:cs="Times New Roman"/>
        </w:rPr>
        <w:t xml:space="preserve">. </w:t>
      </w:r>
      <w:bookmarkStart w:id="9" w:name="_Hlk2150882"/>
      <w:r w:rsidR="00134933" w:rsidRPr="00134933">
        <w:rPr>
          <w:rFonts w:ascii="Times New Roman" w:hAnsi="Times New Roman" w:cs="Times New Roman"/>
        </w:rPr>
        <w:t xml:space="preserve">Lightspeed panelists will receive </w:t>
      </w:r>
      <w:r w:rsidR="00134933">
        <w:rPr>
          <w:rFonts w:ascii="Times New Roman" w:hAnsi="Times New Roman" w:cs="Times New Roman"/>
        </w:rPr>
        <w:t>100 Life</w:t>
      </w:r>
      <w:r w:rsidR="00134933" w:rsidRPr="00134933">
        <w:rPr>
          <w:rFonts w:ascii="Times New Roman" w:hAnsi="Times New Roman" w:cs="Times New Roman"/>
        </w:rPr>
        <w:t>points</w:t>
      </w:r>
      <w:r w:rsidR="000849F8">
        <w:rPr>
          <w:rFonts w:ascii="Times New Roman" w:hAnsi="Times New Roman" w:cs="Times New Roman"/>
        </w:rPr>
        <w:t xml:space="preserve"> (approximately </w:t>
      </w:r>
      <w:r w:rsidR="00D516E3">
        <w:rPr>
          <w:rFonts w:ascii="Times New Roman" w:hAnsi="Times New Roman" w:cs="Times New Roman"/>
        </w:rPr>
        <w:t>$2</w:t>
      </w:r>
      <w:r w:rsidR="000849F8">
        <w:rPr>
          <w:rFonts w:ascii="Times New Roman" w:hAnsi="Times New Roman" w:cs="Times New Roman"/>
        </w:rPr>
        <w:t>)</w:t>
      </w:r>
      <w:r w:rsidR="00D516E3">
        <w:rPr>
          <w:rFonts w:ascii="Times New Roman" w:hAnsi="Times New Roman" w:cs="Times New Roman"/>
        </w:rPr>
        <w:t>,</w:t>
      </w:r>
      <w:r w:rsidR="00134933" w:rsidRPr="00134933">
        <w:rPr>
          <w:rFonts w:ascii="Times New Roman" w:hAnsi="Times New Roman" w:cs="Times New Roman"/>
        </w:rPr>
        <w:t xml:space="preserve"> for their child’s completion of a survey</w:t>
      </w:r>
      <w:bookmarkEnd w:id="9"/>
      <w:r w:rsidR="00134933">
        <w:rPr>
          <w:rFonts w:ascii="Times New Roman" w:hAnsi="Times New Roman" w:cs="Times New Roman"/>
        </w:rPr>
        <w:t>.</w:t>
      </w:r>
      <w:r w:rsidRPr="004432BE">
        <w:rPr>
          <w:rFonts w:ascii="Times New Roman" w:hAnsi="Times New Roman" w:cs="Times New Roman"/>
        </w:rPr>
        <w:t xml:space="preserve"> </w:t>
      </w:r>
      <w:r w:rsidRPr="004432BE">
        <w:rPr>
          <w:rFonts w:ascii="Times New Roman" w:eastAsia="Times New Roman" w:hAnsi="Times New Roman" w:cs="Times New Roman"/>
        </w:rPr>
        <w:t xml:space="preserve">A participant </w:t>
      </w:r>
      <w:r w:rsidR="008770AF" w:rsidRPr="004432BE">
        <w:rPr>
          <w:rFonts w:ascii="Times New Roman" w:eastAsia="Times New Roman" w:hAnsi="Times New Roman" w:cs="Times New Roman"/>
        </w:rPr>
        <w:t>must be eligible to participate (per the screener) and submit the questionnaire to receive the token of appreciation.</w:t>
      </w:r>
    </w:p>
    <w:p w14:paraId="533BB821" w14:textId="285A0197" w:rsidR="00F37604" w:rsidRPr="004432BE" w:rsidRDefault="00B6512C" w:rsidP="00C04567">
      <w:pPr>
        <w:spacing w:after="240"/>
        <w:ind w:left="720"/>
        <w:rPr>
          <w:rFonts w:ascii="Times New Roman" w:eastAsia="Times New Roman" w:hAnsi="Times New Roman" w:cs="Times New Roman"/>
        </w:rPr>
      </w:pPr>
      <w:r w:rsidRPr="004432BE">
        <w:rPr>
          <w:rFonts w:ascii="Times New Roman" w:eastAsia="Times New Roman" w:hAnsi="Times New Roman" w:cs="Times New Roman"/>
        </w:rPr>
        <w:t>N</w:t>
      </w:r>
      <w:r w:rsidR="004D2517" w:rsidRPr="004432BE">
        <w:rPr>
          <w:rFonts w:ascii="Times New Roman" w:eastAsia="Times New Roman" w:hAnsi="Times New Roman" w:cs="Times New Roman"/>
        </w:rPr>
        <w:t xml:space="preserve">umerous empirical studies have shown that </w:t>
      </w:r>
      <w:r w:rsidR="00724D56" w:rsidRPr="004432BE">
        <w:rPr>
          <w:rFonts w:ascii="Times New Roman" w:eastAsia="Times New Roman" w:hAnsi="Times New Roman" w:cs="Times New Roman"/>
        </w:rPr>
        <w:t>a token</w:t>
      </w:r>
      <w:r w:rsidR="00F40F48" w:rsidRPr="004432BE">
        <w:rPr>
          <w:rFonts w:ascii="Times New Roman" w:eastAsia="Times New Roman" w:hAnsi="Times New Roman" w:cs="Times New Roman"/>
        </w:rPr>
        <w:t xml:space="preserve"> of appreciation </w:t>
      </w:r>
      <w:r w:rsidR="004D2517" w:rsidRPr="004432BE">
        <w:rPr>
          <w:rFonts w:ascii="Times New Roman" w:eastAsia="Times New Roman" w:hAnsi="Times New Roman" w:cs="Times New Roman"/>
        </w:rPr>
        <w:t>can significantly increase response rates in cross-sectional surveys and reduce attrition in longitudinal surveys (e.g., Abreu &amp; Winters, 1999; Castiglioni, Pforr, &amp; Krieger, 2008;</w:t>
      </w:r>
      <w:r w:rsidR="00C5749A">
        <w:rPr>
          <w:rFonts w:ascii="Times New Roman" w:eastAsia="Times New Roman" w:hAnsi="Times New Roman" w:cs="Times New Roman"/>
        </w:rPr>
        <w:t xml:space="preserve"> </w:t>
      </w:r>
      <w:r w:rsidR="004D2517" w:rsidRPr="004432BE">
        <w:rPr>
          <w:rFonts w:ascii="Times New Roman" w:eastAsia="Times New Roman" w:hAnsi="Times New Roman" w:cs="Times New Roman"/>
        </w:rPr>
        <w:t xml:space="preserve">Shettle &amp; Mooney, 1999; Singer, 2002). The use of </w:t>
      </w:r>
      <w:r w:rsidR="00724D56" w:rsidRPr="004432BE">
        <w:rPr>
          <w:rFonts w:ascii="Times New Roman" w:eastAsia="Times New Roman" w:hAnsi="Times New Roman" w:cs="Times New Roman"/>
        </w:rPr>
        <w:t xml:space="preserve">a </w:t>
      </w:r>
      <w:r w:rsidR="004D2517" w:rsidRPr="004432BE">
        <w:rPr>
          <w:rFonts w:ascii="Times New Roman" w:eastAsia="Times New Roman" w:hAnsi="Times New Roman" w:cs="Times New Roman"/>
        </w:rPr>
        <w:t xml:space="preserve">modest </w:t>
      </w:r>
      <w:r w:rsidR="007363C9" w:rsidRPr="004432BE">
        <w:rPr>
          <w:rFonts w:ascii="Times New Roman" w:eastAsia="Times New Roman" w:hAnsi="Times New Roman" w:cs="Times New Roman"/>
        </w:rPr>
        <w:t>incentive</w:t>
      </w:r>
      <w:r w:rsidR="004D2517" w:rsidRPr="004432BE">
        <w:rPr>
          <w:rFonts w:ascii="Times New Roman" w:eastAsia="Times New Roman" w:hAnsi="Times New Roman" w:cs="Times New Roman"/>
        </w:rPr>
        <w:t xml:space="preserve"> is expected to enhance survey response rates without biasing responses. </w:t>
      </w:r>
      <w:r w:rsidR="00724D56" w:rsidRPr="004432BE">
        <w:rPr>
          <w:rFonts w:ascii="Times New Roman" w:eastAsia="Times New Roman" w:hAnsi="Times New Roman" w:cs="Times New Roman"/>
        </w:rPr>
        <w:t>A</w:t>
      </w:r>
      <w:r w:rsidR="007363C9" w:rsidRPr="004432BE">
        <w:rPr>
          <w:rFonts w:ascii="Times New Roman" w:eastAsia="Times New Roman" w:hAnsi="Times New Roman" w:cs="Times New Roman"/>
        </w:rPr>
        <w:t>n incentive</w:t>
      </w:r>
      <w:r w:rsidR="00F40F48" w:rsidRPr="004432BE">
        <w:rPr>
          <w:rFonts w:ascii="Times New Roman" w:eastAsia="Times New Roman" w:hAnsi="Times New Roman" w:cs="Times New Roman"/>
        </w:rPr>
        <w:t xml:space="preserve"> </w:t>
      </w:r>
      <w:r w:rsidRPr="004432BE">
        <w:rPr>
          <w:rFonts w:ascii="Times New Roman" w:eastAsia="Times New Roman" w:hAnsi="Times New Roman" w:cs="Times New Roman"/>
        </w:rPr>
        <w:t xml:space="preserve">must be high enough to </w:t>
      </w:r>
      <w:r w:rsidR="004C3B6E" w:rsidRPr="004432BE">
        <w:rPr>
          <w:rFonts w:ascii="Times New Roman" w:eastAsia="Times New Roman" w:hAnsi="Times New Roman" w:cs="Times New Roman"/>
        </w:rPr>
        <w:t xml:space="preserve">address competing demands for participants’ time and to </w:t>
      </w:r>
      <w:r w:rsidRPr="004432BE">
        <w:rPr>
          <w:rFonts w:ascii="Times New Roman" w:eastAsia="Times New Roman" w:hAnsi="Times New Roman" w:cs="Times New Roman"/>
        </w:rPr>
        <w:t>equalize the burden placed on participants with respect to their time and cost o</w:t>
      </w:r>
      <w:r w:rsidR="007363C9" w:rsidRPr="004432BE">
        <w:rPr>
          <w:rFonts w:ascii="Times New Roman" w:eastAsia="Times New Roman" w:hAnsi="Times New Roman" w:cs="Times New Roman"/>
        </w:rPr>
        <w:t>f participation</w:t>
      </w:r>
      <w:r w:rsidR="004D2517" w:rsidRPr="004432BE">
        <w:rPr>
          <w:rFonts w:ascii="Times New Roman" w:eastAsia="Times New Roman" w:hAnsi="Times New Roman" w:cs="Times New Roman"/>
        </w:rPr>
        <w:t xml:space="preserve">. </w:t>
      </w:r>
      <w:r w:rsidR="00724D56" w:rsidRPr="004432BE">
        <w:rPr>
          <w:rFonts w:ascii="Times New Roman" w:eastAsia="Times New Roman" w:hAnsi="Times New Roman" w:cs="Times New Roman"/>
        </w:rPr>
        <w:t>An i</w:t>
      </w:r>
      <w:r w:rsidR="004D2517" w:rsidRPr="004432BE">
        <w:rPr>
          <w:rFonts w:ascii="Times New Roman" w:eastAsia="Times New Roman" w:hAnsi="Times New Roman" w:cs="Times New Roman"/>
        </w:rPr>
        <w:t xml:space="preserve">nadequate </w:t>
      </w:r>
      <w:r w:rsidR="007363C9" w:rsidRPr="004432BE">
        <w:rPr>
          <w:rFonts w:ascii="Times New Roman" w:eastAsia="Times New Roman" w:hAnsi="Times New Roman" w:cs="Times New Roman"/>
        </w:rPr>
        <w:t>incentive</w:t>
      </w:r>
      <w:r w:rsidR="004D2517" w:rsidRPr="004432BE">
        <w:rPr>
          <w:rFonts w:ascii="Times New Roman" w:eastAsia="Times New Roman" w:hAnsi="Times New Roman" w:cs="Times New Roman"/>
        </w:rPr>
        <w:t xml:space="preserve"> may </w:t>
      </w:r>
      <w:r w:rsidR="00C1519B" w:rsidRPr="004432BE">
        <w:rPr>
          <w:rFonts w:ascii="Times New Roman" w:eastAsia="Times New Roman" w:hAnsi="Times New Roman" w:cs="Times New Roman"/>
        </w:rPr>
        <w:t xml:space="preserve">also </w:t>
      </w:r>
      <w:r w:rsidR="004D2517" w:rsidRPr="004432BE">
        <w:rPr>
          <w:rFonts w:ascii="Times New Roman" w:eastAsia="Times New Roman" w:hAnsi="Times New Roman" w:cs="Times New Roman"/>
        </w:rPr>
        <w:t xml:space="preserve">result in a </w:t>
      </w:r>
      <w:r w:rsidR="003150BC" w:rsidRPr="004432BE">
        <w:rPr>
          <w:rFonts w:ascii="Times New Roman" w:eastAsia="Times New Roman" w:hAnsi="Times New Roman" w:cs="Times New Roman"/>
        </w:rPr>
        <w:t xml:space="preserve">significantly more </w:t>
      </w:r>
      <w:r w:rsidR="004D2517" w:rsidRPr="004432BE">
        <w:rPr>
          <w:rFonts w:ascii="Times New Roman" w:eastAsia="Times New Roman" w:hAnsi="Times New Roman" w:cs="Times New Roman"/>
        </w:rPr>
        <w:t>difficult and lengthy recruitment process and/or</w:t>
      </w:r>
      <w:r w:rsidR="003150BC" w:rsidRPr="004432BE">
        <w:rPr>
          <w:rFonts w:ascii="Times New Roman" w:eastAsia="Times New Roman" w:hAnsi="Times New Roman" w:cs="Times New Roman"/>
        </w:rPr>
        <w:t xml:space="preserve"> increases in the number of</w:t>
      </w:r>
      <w:r w:rsidR="004D2517" w:rsidRPr="004432BE">
        <w:rPr>
          <w:rFonts w:ascii="Times New Roman" w:eastAsia="Times New Roman" w:hAnsi="Times New Roman" w:cs="Times New Roman"/>
        </w:rPr>
        <w:t xml:space="preserve"> participants who agree to participate and then drop out early. </w:t>
      </w:r>
      <w:r w:rsidR="00724D56" w:rsidRPr="004432BE">
        <w:rPr>
          <w:rFonts w:ascii="Times New Roman" w:eastAsia="Times New Roman" w:hAnsi="Times New Roman" w:cs="Times New Roman"/>
        </w:rPr>
        <w:t>An i</w:t>
      </w:r>
      <w:r w:rsidR="003150BC" w:rsidRPr="004432BE">
        <w:rPr>
          <w:rFonts w:ascii="Times New Roman" w:eastAsia="Times New Roman" w:hAnsi="Times New Roman" w:cs="Times New Roman"/>
        </w:rPr>
        <w:t xml:space="preserve">nadequate </w:t>
      </w:r>
      <w:r w:rsidR="007363C9" w:rsidRPr="004432BE">
        <w:rPr>
          <w:rFonts w:ascii="Times New Roman" w:eastAsia="Times New Roman" w:hAnsi="Times New Roman" w:cs="Times New Roman"/>
        </w:rPr>
        <w:t>incentive</w:t>
      </w:r>
      <w:r w:rsidR="003150BC" w:rsidRPr="004432BE">
        <w:rPr>
          <w:rFonts w:ascii="Times New Roman" w:eastAsia="Times New Roman" w:hAnsi="Times New Roman" w:cs="Times New Roman"/>
        </w:rPr>
        <w:t xml:space="preserve"> may thus result in a more</w:t>
      </w:r>
      <w:r w:rsidR="00AA65FA">
        <w:rPr>
          <w:rFonts w:ascii="Times New Roman" w:eastAsia="Times New Roman" w:hAnsi="Times New Roman" w:cs="Times New Roman"/>
        </w:rPr>
        <w:t xml:space="preserve"> </w:t>
      </w:r>
      <w:r w:rsidR="003150BC" w:rsidRPr="004432BE">
        <w:rPr>
          <w:rFonts w:ascii="Times New Roman" w:eastAsia="Times New Roman" w:hAnsi="Times New Roman" w:cs="Times New Roman"/>
        </w:rPr>
        <w:t xml:space="preserve">costly and lengthy period of data collection </w:t>
      </w:r>
      <w:r w:rsidR="00BE789F" w:rsidRPr="004432BE">
        <w:rPr>
          <w:rFonts w:ascii="Times New Roman" w:eastAsia="Times New Roman" w:hAnsi="Times New Roman" w:cs="Times New Roman"/>
        </w:rPr>
        <w:t>by increasing</w:t>
      </w:r>
      <w:r w:rsidR="003150BC" w:rsidRPr="004432BE">
        <w:rPr>
          <w:rFonts w:ascii="Times New Roman" w:eastAsia="Times New Roman" w:hAnsi="Times New Roman" w:cs="Times New Roman"/>
        </w:rPr>
        <w:t xml:space="preserve"> recruitment</w:t>
      </w:r>
      <w:r w:rsidR="00011DD3" w:rsidRPr="004432BE">
        <w:rPr>
          <w:rFonts w:ascii="Times New Roman" w:eastAsia="Times New Roman" w:hAnsi="Times New Roman" w:cs="Times New Roman"/>
        </w:rPr>
        <w:t xml:space="preserve"> </w:t>
      </w:r>
      <w:r w:rsidR="003150BC" w:rsidRPr="004432BE">
        <w:rPr>
          <w:rFonts w:ascii="Times New Roman" w:eastAsia="Times New Roman" w:hAnsi="Times New Roman" w:cs="Times New Roman"/>
        </w:rPr>
        <w:t>and other associated data collection costs.</w:t>
      </w:r>
    </w:p>
    <w:p w14:paraId="4BB84F67" w14:textId="5A1F40C0" w:rsidR="003418DA" w:rsidRPr="004432BE" w:rsidRDefault="007F1D19" w:rsidP="00C50D14">
      <w:pPr>
        <w:spacing w:after="240"/>
        <w:ind w:left="720"/>
        <w:rPr>
          <w:rFonts w:ascii="Times New Roman" w:hAnsi="Times New Roman" w:cs="Times New Roman"/>
        </w:rPr>
      </w:pPr>
      <w:r w:rsidRPr="004432BE">
        <w:rPr>
          <w:rFonts w:ascii="Times New Roman" w:hAnsi="Times New Roman" w:cs="Times New Roman"/>
        </w:rPr>
        <w:t>FDA recognizes that “[p]aying research subjects in exchange for their participation is a common and, in general, acceptable practice” in a recent guidance document</w:t>
      </w:r>
      <w:r w:rsidR="00FC5B70">
        <w:rPr>
          <w:rFonts w:ascii="Times New Roman" w:hAnsi="Times New Roman" w:cs="Times New Roman"/>
        </w:rPr>
        <w:t xml:space="preserve"> (FDA, 2018).</w:t>
      </w:r>
      <w:r w:rsidRPr="004432BE">
        <w:rPr>
          <w:rFonts w:ascii="Times New Roman" w:hAnsi="Times New Roman" w:cs="Times New Roman"/>
        </w:rPr>
        <w:t xml:space="preserve">  The population of respondents needed to complete the data collection represents a special population for whom incentives are </w:t>
      </w:r>
      <w:r w:rsidRPr="004432BE">
        <w:rPr>
          <w:rFonts w:ascii="Times New Roman" w:eastAsia="Times New Roman" w:hAnsi="Times New Roman" w:cs="Times New Roman"/>
        </w:rPr>
        <w:t>necessary</w:t>
      </w:r>
      <w:r w:rsidRPr="004432BE">
        <w:rPr>
          <w:rFonts w:ascii="Times New Roman" w:hAnsi="Times New Roman" w:cs="Times New Roman"/>
        </w:rPr>
        <w:t xml:space="preserve"> to recruit. Among youth aged 13-17, approximately </w:t>
      </w:r>
      <w:r w:rsidR="00C50D14" w:rsidRPr="004432BE">
        <w:rPr>
          <w:rFonts w:ascii="Times New Roman" w:hAnsi="Times New Roman" w:cs="Times New Roman"/>
        </w:rPr>
        <w:t>24</w:t>
      </w:r>
      <w:r w:rsidRPr="004432BE">
        <w:rPr>
          <w:rFonts w:ascii="Times New Roman" w:hAnsi="Times New Roman" w:cs="Times New Roman"/>
        </w:rPr>
        <w:t>% report having ever used ENDS products</w:t>
      </w:r>
      <w:r w:rsidR="00FC5B70">
        <w:rPr>
          <w:rFonts w:ascii="Times New Roman" w:hAnsi="Times New Roman" w:cs="Times New Roman"/>
        </w:rPr>
        <w:t xml:space="preserve"> (NYTS, 2017).</w:t>
      </w:r>
      <w:r w:rsidRPr="004432BE">
        <w:rPr>
          <w:rFonts w:ascii="Times New Roman" w:hAnsi="Times New Roman" w:cs="Times New Roman"/>
        </w:rPr>
        <w:t xml:space="preserve"> Thus, respondents needed for this study represent a minority of the general population.  In addition, identifying adolescent </w:t>
      </w:r>
      <w:r w:rsidR="00C50D14" w:rsidRPr="004432BE">
        <w:rPr>
          <w:rFonts w:ascii="Times New Roman" w:hAnsi="Times New Roman" w:cs="Times New Roman"/>
        </w:rPr>
        <w:t>ENDS ever users</w:t>
      </w:r>
      <w:r w:rsidRPr="004432BE">
        <w:rPr>
          <w:rFonts w:ascii="Times New Roman" w:hAnsi="Times New Roman" w:cs="Times New Roman"/>
        </w:rPr>
        <w:t xml:space="preserve"> is difficult as use of tobacco</w:t>
      </w:r>
      <w:r w:rsidR="00C50D14" w:rsidRPr="004432BE">
        <w:rPr>
          <w:rFonts w:ascii="Times New Roman" w:hAnsi="Times New Roman" w:cs="Times New Roman"/>
        </w:rPr>
        <w:t xml:space="preserve"> products</w:t>
      </w:r>
      <w:r w:rsidRPr="004432BE">
        <w:rPr>
          <w:rFonts w:ascii="Times New Roman" w:hAnsi="Times New Roman" w:cs="Times New Roman"/>
        </w:rPr>
        <w:t xml:space="preserve"> is illegal in a few states for those under age 18 and sales to adolescents under age 18 is illegal in nearly every state. Additionally, previous research has shown that recruiting and retaining adolescents into studies about tobacco use is challenging</w:t>
      </w:r>
      <w:r w:rsidR="00FC5B70">
        <w:rPr>
          <w:rFonts w:ascii="Times New Roman" w:hAnsi="Times New Roman" w:cs="Times New Roman"/>
        </w:rPr>
        <w:t xml:space="preserve"> (Diviak et al., 2006; </w:t>
      </w:r>
      <w:r w:rsidR="00FC5B70" w:rsidRPr="00FC5B70">
        <w:rPr>
          <w:rFonts w:ascii="Times New Roman" w:hAnsi="Times New Roman"/>
        </w:rPr>
        <w:t>McCormick</w:t>
      </w:r>
      <w:r w:rsidR="00FC5B70">
        <w:rPr>
          <w:rFonts w:ascii="Times New Roman" w:hAnsi="Times New Roman"/>
        </w:rPr>
        <w:t xml:space="preserve"> et al., 1999</w:t>
      </w:r>
      <w:r w:rsidR="00FC5B70">
        <w:rPr>
          <w:rFonts w:ascii="Times New Roman" w:hAnsi="Times New Roman" w:cs="Times New Roman"/>
        </w:rPr>
        <w:t>).</w:t>
      </w:r>
      <w:r w:rsidRPr="004432BE">
        <w:rPr>
          <w:rFonts w:ascii="Times New Roman" w:hAnsi="Times New Roman" w:cs="Times New Roman"/>
        </w:rPr>
        <w:t xml:space="preserve"> </w:t>
      </w:r>
      <w:r w:rsidR="004D7B71" w:rsidRPr="004432BE">
        <w:rPr>
          <w:rFonts w:ascii="Times New Roman" w:eastAsia="Times New Roman" w:hAnsi="Times New Roman" w:cs="Times New Roman"/>
        </w:rPr>
        <w:t>W</w:t>
      </w:r>
      <w:r w:rsidR="00E876B7" w:rsidRPr="004432BE">
        <w:rPr>
          <w:rFonts w:ascii="Times New Roman" w:eastAsia="Times New Roman" w:hAnsi="Times New Roman" w:cs="Times New Roman"/>
        </w:rPr>
        <w:t>e believe that utilizing</w:t>
      </w:r>
      <w:r w:rsidR="00C833F6" w:rsidRPr="004432BE">
        <w:rPr>
          <w:rFonts w:ascii="Times New Roman" w:eastAsia="Times New Roman" w:hAnsi="Times New Roman" w:cs="Times New Roman"/>
        </w:rPr>
        <w:t xml:space="preserve"> </w:t>
      </w:r>
      <w:r w:rsidR="00134933">
        <w:rPr>
          <w:rFonts w:ascii="Times New Roman" w:eastAsia="Times New Roman" w:hAnsi="Times New Roman" w:cs="Times New Roman"/>
        </w:rPr>
        <w:t>100 Lifepoints</w:t>
      </w:r>
      <w:r w:rsidR="000849F8">
        <w:rPr>
          <w:rFonts w:ascii="Times New Roman" w:eastAsia="Times New Roman" w:hAnsi="Times New Roman" w:cs="Times New Roman"/>
        </w:rPr>
        <w:t xml:space="preserve"> (approximately </w:t>
      </w:r>
      <w:r w:rsidR="001618FD">
        <w:rPr>
          <w:rFonts w:ascii="Times New Roman" w:eastAsia="Times New Roman" w:hAnsi="Times New Roman" w:cs="Times New Roman"/>
        </w:rPr>
        <w:t>$2</w:t>
      </w:r>
      <w:r w:rsidR="000849F8">
        <w:rPr>
          <w:rFonts w:ascii="Times New Roman" w:eastAsia="Times New Roman" w:hAnsi="Times New Roman" w:cs="Times New Roman"/>
        </w:rPr>
        <w:t>)</w:t>
      </w:r>
      <w:r w:rsidR="001618FD">
        <w:rPr>
          <w:rFonts w:ascii="Times New Roman" w:eastAsia="Times New Roman" w:hAnsi="Times New Roman" w:cs="Times New Roman"/>
        </w:rPr>
        <w:t>,</w:t>
      </w:r>
      <w:r w:rsidR="00E876B7" w:rsidRPr="004432BE">
        <w:rPr>
          <w:rFonts w:ascii="Times New Roman" w:eastAsia="Times New Roman" w:hAnsi="Times New Roman" w:cs="Times New Roman"/>
        </w:rPr>
        <w:t xml:space="preserve"> </w:t>
      </w:r>
      <w:r w:rsidR="00724D56" w:rsidRPr="004432BE">
        <w:rPr>
          <w:rFonts w:ascii="Times New Roman" w:eastAsia="Times New Roman" w:hAnsi="Times New Roman" w:cs="Times New Roman"/>
        </w:rPr>
        <w:t>as a</w:t>
      </w:r>
      <w:r w:rsidR="00B60BEC" w:rsidRPr="004432BE">
        <w:rPr>
          <w:rFonts w:ascii="Times New Roman" w:eastAsia="Times New Roman" w:hAnsi="Times New Roman" w:cs="Times New Roman"/>
        </w:rPr>
        <w:t xml:space="preserve"> </w:t>
      </w:r>
      <w:r w:rsidR="00724D56" w:rsidRPr="004432BE">
        <w:rPr>
          <w:rFonts w:ascii="Times New Roman" w:eastAsia="Times New Roman" w:hAnsi="Times New Roman" w:cs="Times New Roman"/>
        </w:rPr>
        <w:t>token</w:t>
      </w:r>
      <w:r w:rsidR="005C2B45" w:rsidRPr="004432BE">
        <w:rPr>
          <w:rFonts w:ascii="Times New Roman" w:eastAsia="Times New Roman" w:hAnsi="Times New Roman" w:cs="Times New Roman"/>
        </w:rPr>
        <w:t xml:space="preserve"> of appreciation</w:t>
      </w:r>
      <w:r w:rsidR="00E876B7" w:rsidRPr="004432BE">
        <w:rPr>
          <w:rFonts w:ascii="Times New Roman" w:eastAsia="Times New Roman" w:hAnsi="Times New Roman" w:cs="Times New Roman"/>
        </w:rPr>
        <w:t xml:space="preserve"> in the current study will reduce overall burden by increasing participation rates, thereby reducing the number of parti</w:t>
      </w:r>
      <w:r w:rsidR="00632ADF" w:rsidRPr="004432BE">
        <w:rPr>
          <w:rFonts w:ascii="Times New Roman" w:eastAsia="Times New Roman" w:hAnsi="Times New Roman" w:cs="Times New Roman"/>
        </w:rPr>
        <w:t>cipants needed to complete the s</w:t>
      </w:r>
      <w:r w:rsidR="00E876B7" w:rsidRPr="004432BE">
        <w:rPr>
          <w:rFonts w:ascii="Times New Roman" w:eastAsia="Times New Roman" w:hAnsi="Times New Roman" w:cs="Times New Roman"/>
        </w:rPr>
        <w:t xml:space="preserve">creener in order to achieve the </w:t>
      </w:r>
      <w:r w:rsidR="00101ED4" w:rsidRPr="004432BE">
        <w:rPr>
          <w:rFonts w:ascii="Times New Roman" w:eastAsia="Times New Roman" w:hAnsi="Times New Roman" w:cs="Times New Roman"/>
        </w:rPr>
        <w:t>required</w:t>
      </w:r>
      <w:r w:rsidR="00E876B7" w:rsidRPr="004432BE">
        <w:rPr>
          <w:rFonts w:ascii="Times New Roman" w:eastAsia="Times New Roman" w:hAnsi="Times New Roman" w:cs="Times New Roman"/>
        </w:rPr>
        <w:t xml:space="preserve"> sample size.</w:t>
      </w:r>
    </w:p>
    <w:p w14:paraId="48D2C032" w14:textId="021579E8" w:rsidR="006A5837" w:rsidRPr="004432BE" w:rsidRDefault="006A5837" w:rsidP="00C04567">
      <w:pPr>
        <w:pStyle w:val="ListParagraph"/>
        <w:keepNext/>
        <w:numPr>
          <w:ilvl w:val="0"/>
          <w:numId w:val="6"/>
        </w:numPr>
        <w:spacing w:before="100" w:beforeAutospacing="1" w:after="240"/>
        <w:ind w:left="806"/>
        <w:rPr>
          <w:rFonts w:cs="Times New Roman"/>
          <w:szCs w:val="24"/>
        </w:rPr>
      </w:pPr>
      <w:r w:rsidRPr="004432BE">
        <w:rPr>
          <w:rFonts w:cs="Times New Roman"/>
          <w:szCs w:val="24"/>
          <w:u w:val="single"/>
        </w:rPr>
        <w:t>Privacy Impact Assessment Information</w:t>
      </w:r>
    </w:p>
    <w:p w14:paraId="2133E598" w14:textId="6E1963B0" w:rsidR="00721A20" w:rsidRPr="004432BE" w:rsidRDefault="00721A20" w:rsidP="00721A20">
      <w:pPr>
        <w:spacing w:after="240"/>
        <w:ind w:left="720"/>
        <w:rPr>
          <w:rFonts w:ascii="Times New Roman" w:eastAsia="Times New Roman" w:hAnsi="Times New Roman" w:cs="Times New Roman"/>
        </w:rPr>
      </w:pPr>
      <w:r w:rsidRPr="004432BE">
        <w:rPr>
          <w:rFonts w:ascii="Times New Roman" w:hAnsi="Times New Roman" w:cs="Times New Roman"/>
        </w:rPr>
        <w:t xml:space="preserve">Concern for privacy and protection of respondents’ rights will play a central role in the study implementation; storage and handling of data; and data analysis and reporting.  </w:t>
      </w:r>
      <w:r w:rsidR="00FA0671" w:rsidRPr="004432BE">
        <w:rPr>
          <w:rFonts w:ascii="Times New Roman" w:hAnsi="Times New Roman" w:cs="Times New Roman"/>
        </w:rPr>
        <w:t>This study has been reviewed and approved by</w:t>
      </w:r>
      <w:r w:rsidR="004D7B71" w:rsidRPr="004432BE">
        <w:rPr>
          <w:rFonts w:ascii="Times New Roman" w:hAnsi="Times New Roman" w:cs="Times New Roman"/>
        </w:rPr>
        <w:t xml:space="preserve"> </w:t>
      </w:r>
      <w:r w:rsidRPr="004432BE">
        <w:rPr>
          <w:rFonts w:ascii="Times New Roman" w:hAnsi="Times New Roman" w:cs="Times New Roman"/>
        </w:rPr>
        <w:t>the Institutional Review Board (IRB) of RTI International, the research organization contracted to manage data collection, as well as FDA’s IRB</w:t>
      </w:r>
      <w:r w:rsidR="004D7B71" w:rsidRPr="004432BE">
        <w:rPr>
          <w:rFonts w:ascii="Times New Roman" w:hAnsi="Times New Roman" w:cs="Times New Roman"/>
        </w:rPr>
        <w:t xml:space="preserve">. </w:t>
      </w:r>
      <w:r w:rsidR="006A5837" w:rsidRPr="004432BE">
        <w:rPr>
          <w:rFonts w:ascii="Times New Roman" w:eastAsia="Times New Roman" w:hAnsi="Times New Roman" w:cs="Times New Roman"/>
        </w:rPr>
        <w:t xml:space="preserve">The </w:t>
      </w:r>
      <w:r w:rsidR="005B1FE3" w:rsidRPr="004432BE">
        <w:rPr>
          <w:rFonts w:ascii="Times New Roman" w:eastAsia="Times New Roman" w:hAnsi="Times New Roman" w:cs="Times New Roman"/>
        </w:rPr>
        <w:t>IRB'</w:t>
      </w:r>
      <w:r w:rsidR="006A5837" w:rsidRPr="004432BE">
        <w:rPr>
          <w:rFonts w:ascii="Times New Roman" w:eastAsia="Times New Roman" w:hAnsi="Times New Roman" w:cs="Times New Roman"/>
        </w:rPr>
        <w:t>s primary concern is protecting respondents’ rights, one of which is maintaining the privacy of respondent information to the fullest extent of the law.</w:t>
      </w:r>
    </w:p>
    <w:p w14:paraId="2F6563E2" w14:textId="77777777" w:rsidR="00721A20" w:rsidRPr="004432BE" w:rsidRDefault="00721A20" w:rsidP="00721A20">
      <w:pPr>
        <w:spacing w:before="120" w:after="120"/>
        <w:ind w:firstLine="720"/>
        <w:rPr>
          <w:rFonts w:ascii="Times New Roman" w:hAnsi="Times New Roman" w:cs="Times New Roman"/>
        </w:rPr>
      </w:pPr>
      <w:r w:rsidRPr="004432BE">
        <w:rPr>
          <w:rFonts w:ascii="Times New Roman" w:hAnsi="Times New Roman" w:cs="Times New Roman"/>
        </w:rPr>
        <w:t xml:space="preserve">Security for respondents will be assured in a number of ways: </w:t>
      </w:r>
    </w:p>
    <w:p w14:paraId="0D1D6707" w14:textId="4418D387" w:rsidR="00721A20" w:rsidRPr="004432BE" w:rsidRDefault="00721A20" w:rsidP="000B3AB3">
      <w:pPr>
        <w:numPr>
          <w:ilvl w:val="0"/>
          <w:numId w:val="10"/>
        </w:numPr>
        <w:spacing w:before="120" w:after="120"/>
        <w:rPr>
          <w:rFonts w:ascii="Times New Roman" w:hAnsi="Times New Roman" w:cs="Times New Roman"/>
        </w:rPr>
      </w:pPr>
      <w:r w:rsidRPr="004432BE">
        <w:rPr>
          <w:rFonts w:ascii="Times New Roman" w:hAnsi="Times New Roman" w:cs="Times New Roman"/>
        </w:rPr>
        <w:t xml:space="preserve">Lightspeed will invite adolescent children of adult panel participants to participate in the study through an email invitation (with links to the screener) to their parents asking for their consent to have their child participate, which is fully compliant with the Children’s Online Privacy Protection Act’s (COPPA) revised standards.  Lightspeed will invite adult panel participants directly through an email invitation (with links to the screener).  Each respondent will be known only by a unique alphanumeric variable. </w:t>
      </w:r>
    </w:p>
    <w:p w14:paraId="57306ECB" w14:textId="1242D32E" w:rsidR="00721A20" w:rsidRPr="004432BE" w:rsidRDefault="00721A20" w:rsidP="00721A20">
      <w:pPr>
        <w:numPr>
          <w:ilvl w:val="0"/>
          <w:numId w:val="10"/>
        </w:numPr>
        <w:spacing w:before="120" w:after="120"/>
        <w:rPr>
          <w:rFonts w:ascii="Times New Roman" w:hAnsi="Times New Roman" w:cs="Times New Roman"/>
        </w:rPr>
      </w:pPr>
      <w:r w:rsidRPr="004432BE">
        <w:rPr>
          <w:rFonts w:ascii="Times New Roman" w:hAnsi="Times New Roman" w:cs="Times New Roman"/>
        </w:rPr>
        <w:t>Participants will log onto Lightspeed’s secure server using a link provided by Lightspeed. RTI will receive no personally identifiable information (PII) about participants.</w:t>
      </w:r>
    </w:p>
    <w:p w14:paraId="7817392F" w14:textId="77777777" w:rsidR="00721A20" w:rsidRPr="004432BE" w:rsidRDefault="00721A20" w:rsidP="00721A20">
      <w:pPr>
        <w:numPr>
          <w:ilvl w:val="0"/>
          <w:numId w:val="10"/>
        </w:numPr>
        <w:spacing w:before="120" w:after="120"/>
        <w:rPr>
          <w:rFonts w:ascii="Times New Roman" w:hAnsi="Times New Roman" w:cs="Times New Roman"/>
        </w:rPr>
      </w:pPr>
      <w:r w:rsidRPr="004432BE">
        <w:rPr>
          <w:rFonts w:ascii="Times New Roman" w:hAnsi="Times New Roman" w:cs="Times New Roman"/>
        </w:rPr>
        <w:t xml:space="preserve">Respondents will be informed before they encounter the first questionnaire item that their data will be kept private consistent with laws governing privacy. </w:t>
      </w:r>
    </w:p>
    <w:p w14:paraId="2DF9BF4E" w14:textId="3C063B5B" w:rsidR="00721A20" w:rsidRPr="004432BE" w:rsidRDefault="00721A20" w:rsidP="00721A20">
      <w:pPr>
        <w:numPr>
          <w:ilvl w:val="0"/>
          <w:numId w:val="10"/>
        </w:numPr>
        <w:spacing w:before="120" w:after="120"/>
        <w:rPr>
          <w:rFonts w:ascii="Times New Roman" w:hAnsi="Times New Roman" w:cs="Times New Roman"/>
        </w:rPr>
      </w:pPr>
      <w:r w:rsidRPr="004432BE">
        <w:rPr>
          <w:rFonts w:ascii="Times New Roman" w:hAnsi="Times New Roman" w:cs="Times New Roman"/>
        </w:rPr>
        <w:t xml:space="preserve">Respondents will be required to provide their assent to freely participate before they encounter the questionnaire. </w:t>
      </w:r>
    </w:p>
    <w:p w14:paraId="612CD74B" w14:textId="77777777" w:rsidR="00721A20" w:rsidRPr="004432BE" w:rsidRDefault="00721A20" w:rsidP="00721A20">
      <w:pPr>
        <w:numPr>
          <w:ilvl w:val="0"/>
          <w:numId w:val="10"/>
        </w:numPr>
        <w:spacing w:before="120" w:after="120"/>
        <w:rPr>
          <w:rFonts w:ascii="Times New Roman" w:hAnsi="Times New Roman" w:cs="Times New Roman"/>
        </w:rPr>
      </w:pPr>
      <w:r w:rsidRPr="004432BE">
        <w:rPr>
          <w:rFonts w:ascii="Times New Roman" w:hAnsi="Times New Roman" w:cs="Times New Roman"/>
        </w:rPr>
        <w:t xml:space="preserve">Respondents will have the option to decline to respond to any item in the questionnaire for any reason. </w:t>
      </w:r>
    </w:p>
    <w:p w14:paraId="104C4EC9" w14:textId="163EEC7C" w:rsidR="00721A20" w:rsidRPr="004432BE" w:rsidRDefault="00721A20" w:rsidP="00721A20">
      <w:pPr>
        <w:numPr>
          <w:ilvl w:val="0"/>
          <w:numId w:val="10"/>
        </w:numPr>
        <w:spacing w:before="120" w:after="120"/>
        <w:rPr>
          <w:rFonts w:ascii="Times New Roman" w:hAnsi="Times New Roman" w:cs="Times New Roman"/>
        </w:rPr>
      </w:pPr>
      <w:r w:rsidRPr="004432BE">
        <w:rPr>
          <w:rFonts w:ascii="Times New Roman" w:hAnsi="Times New Roman" w:cs="Times New Roman"/>
        </w:rPr>
        <w:t>Redirect links embedded in the questionnaire will direct adolescents back to Lightspeed to report having completed the questionnaire and receive non-monetary compensation.  All those who handle or analyze data will be required to adhere to the standard data security policies of RTI.</w:t>
      </w:r>
    </w:p>
    <w:p w14:paraId="78249B43" w14:textId="6C20AA89" w:rsidR="00721A20" w:rsidRPr="004432BE" w:rsidRDefault="000B3AB3" w:rsidP="000B3AB3">
      <w:pPr>
        <w:numPr>
          <w:ilvl w:val="0"/>
          <w:numId w:val="10"/>
        </w:numPr>
        <w:spacing w:before="120" w:after="120"/>
        <w:rPr>
          <w:rFonts w:ascii="Times New Roman" w:hAnsi="Times New Roman" w:cs="Times New Roman"/>
        </w:rPr>
      </w:pPr>
      <w:r w:rsidRPr="004432BE">
        <w:rPr>
          <w:rFonts w:ascii="Times New Roman" w:eastAsia="Times New Roman" w:hAnsi="Times New Roman" w:cs="Times New Roman"/>
        </w:rPr>
        <w:t xml:space="preserve">After data collection is complete, screener and questionnaire data will be merged together and aggregated for analysis. </w:t>
      </w:r>
    </w:p>
    <w:p w14:paraId="7DADA4A1" w14:textId="014990AF" w:rsidR="004B2621" w:rsidRPr="004432BE" w:rsidRDefault="004B2621" w:rsidP="009C6AAC">
      <w:pPr>
        <w:spacing w:before="100" w:beforeAutospacing="1" w:after="240"/>
        <w:ind w:left="720"/>
        <w:rPr>
          <w:rFonts w:ascii="Times New Roman" w:hAnsi="Times New Roman" w:cs="Times New Roman"/>
          <w:u w:val="single"/>
        </w:rPr>
      </w:pPr>
      <w:r w:rsidRPr="004432BE">
        <w:rPr>
          <w:rFonts w:ascii="Times New Roman" w:hAnsi="Times New Roman" w:cs="Times New Roman"/>
          <w:u w:val="single"/>
        </w:rPr>
        <w:t>Data Management</w:t>
      </w:r>
    </w:p>
    <w:p w14:paraId="1259B7F0" w14:textId="790B322C" w:rsidR="00A111E1" w:rsidRPr="004432BE" w:rsidRDefault="00273351" w:rsidP="00A111E1">
      <w:pPr>
        <w:spacing w:after="240"/>
        <w:ind w:left="720"/>
        <w:rPr>
          <w:rFonts w:ascii="Times New Roman" w:eastAsia="Times New Roman" w:hAnsi="Times New Roman" w:cs="Times New Roman"/>
        </w:rPr>
      </w:pPr>
      <w:r w:rsidRPr="004432BE">
        <w:rPr>
          <w:rFonts w:ascii="Times New Roman" w:eastAsia="Times New Roman" w:hAnsi="Times New Roman" w:cs="Times New Roman"/>
        </w:rPr>
        <w:t>All data collection activities will be conducted in full compliance with FDA regulations to maintain the privacy of data obtained from respondents and to protect the rights and welfare of human research subjects as contained in their regulations.</w:t>
      </w:r>
    </w:p>
    <w:p w14:paraId="463BD5A8" w14:textId="77777777" w:rsidR="00A111E1" w:rsidRPr="004432BE" w:rsidRDefault="00A111E1" w:rsidP="00A111E1">
      <w:pPr>
        <w:spacing w:after="240"/>
        <w:ind w:left="720"/>
        <w:rPr>
          <w:rFonts w:ascii="Times New Roman" w:eastAsia="Times New Roman" w:hAnsi="Times New Roman" w:cs="Times New Roman"/>
        </w:rPr>
      </w:pPr>
      <w:r w:rsidRPr="004432BE">
        <w:rPr>
          <w:rFonts w:ascii="Times New Roman" w:eastAsia="Times New Roman" w:hAnsi="Times New Roman" w:cs="Times New Roman"/>
        </w:rPr>
        <w:t>To ensure data security, all RTI project staff are required to adhere to strict standards and to sign a nondisclosure agreement as a condition of employment on this project.  RTI maintains restricted access to all data preparation areas (i.e., receipt, coding).  All data files on multi-user systems will be under the control of a database manager, with access limited to project staff on a “need-to-know” basis only.  No respondent identifiers will be contained in reports to FDA, and results will only be presented in aggregate form.</w:t>
      </w:r>
    </w:p>
    <w:p w14:paraId="00806793" w14:textId="77777777" w:rsidR="00A111E1" w:rsidRPr="004432BE" w:rsidRDefault="00A111E1" w:rsidP="00A111E1">
      <w:pPr>
        <w:spacing w:after="240"/>
        <w:ind w:left="720"/>
        <w:rPr>
          <w:rFonts w:ascii="Times New Roman" w:eastAsia="Times New Roman" w:hAnsi="Times New Roman" w:cs="Times New Roman"/>
        </w:rPr>
      </w:pPr>
      <w:r w:rsidRPr="004432BE">
        <w:rPr>
          <w:rFonts w:ascii="Times New Roman" w:eastAsia="Times New Roman" w:hAnsi="Times New Roman" w:cs="Times New Roman"/>
        </w:rPr>
        <w:t>Implementation of data security systems and processes will occur as part of the study data collection.  Data security provisions will involve the following:</w:t>
      </w:r>
    </w:p>
    <w:p w14:paraId="59122833" w14:textId="77777777" w:rsidR="00A111E1" w:rsidRPr="004432BE" w:rsidRDefault="00A111E1" w:rsidP="00A111E1">
      <w:pPr>
        <w:numPr>
          <w:ilvl w:val="0"/>
          <w:numId w:val="10"/>
        </w:numPr>
        <w:spacing w:before="120" w:after="120"/>
        <w:rPr>
          <w:rFonts w:ascii="Times New Roman" w:hAnsi="Times New Roman" w:cs="Times New Roman"/>
        </w:rPr>
      </w:pPr>
      <w:r w:rsidRPr="004432BE">
        <w:rPr>
          <w:rFonts w:ascii="Times New Roman" w:hAnsi="Times New Roman" w:cs="Times New Roman"/>
        </w:rPr>
        <w:t>All data collection activities will be conducted in full compliance with FDA regulations to maintain the privacy of data obtained from respondents and to protect the rights and welfare of human research subjects as provided in its regulations.  Respondents will receive information about privacy protections as part of the informed consent process.</w:t>
      </w:r>
    </w:p>
    <w:p w14:paraId="289D1667" w14:textId="77777777" w:rsidR="00A111E1" w:rsidRPr="004432BE" w:rsidRDefault="00A111E1" w:rsidP="00A111E1">
      <w:pPr>
        <w:numPr>
          <w:ilvl w:val="0"/>
          <w:numId w:val="10"/>
        </w:numPr>
        <w:spacing w:before="120" w:after="120"/>
        <w:rPr>
          <w:rFonts w:ascii="Times New Roman" w:hAnsi="Times New Roman" w:cs="Times New Roman"/>
        </w:rPr>
      </w:pPr>
      <w:r w:rsidRPr="004432BE">
        <w:rPr>
          <w:rFonts w:ascii="Times New Roman" w:hAnsi="Times New Roman" w:cs="Times New Roman"/>
        </w:rPr>
        <w:t>All project employees will sign a non-disclosure agreement.</w:t>
      </w:r>
    </w:p>
    <w:p w14:paraId="2D71459C" w14:textId="77340936" w:rsidR="00A111E1" w:rsidRPr="004432BE" w:rsidRDefault="00A111E1" w:rsidP="00A111E1">
      <w:pPr>
        <w:numPr>
          <w:ilvl w:val="0"/>
          <w:numId w:val="10"/>
        </w:numPr>
        <w:spacing w:before="120" w:after="120"/>
        <w:rPr>
          <w:rFonts w:ascii="Times New Roman" w:hAnsi="Times New Roman" w:cs="Times New Roman"/>
        </w:rPr>
      </w:pPr>
      <w:r w:rsidRPr="004432BE">
        <w:rPr>
          <w:rFonts w:ascii="Times New Roman" w:hAnsi="Times New Roman" w:cs="Times New Roman"/>
        </w:rPr>
        <w:t>All data are secured on Lightspeed’s database servers that only reside on private, backend servers that are behind layered firewall architecture.  Data are never stored on a public network or outside the data tier. Relational database management systems (RDBMS) access is strictly controlled and limited to only a few authorized users whose access is limited to the minimum necessary to accomplish administrative tasks.  Web and application servers communicate with the RDBMS only via a private network segment with a multi-layer firewall architecture in place. Access control is provided to secure data directories.  All client specific data are stored in restricted access data directories controlled by access control lists.</w:t>
      </w:r>
    </w:p>
    <w:p w14:paraId="653F3E09" w14:textId="7C3D72CD" w:rsidR="00A111E1" w:rsidRPr="004432BE" w:rsidRDefault="00A111E1" w:rsidP="00A111E1">
      <w:pPr>
        <w:numPr>
          <w:ilvl w:val="0"/>
          <w:numId w:val="10"/>
        </w:numPr>
        <w:spacing w:before="120" w:after="120"/>
        <w:rPr>
          <w:rFonts w:ascii="Times New Roman" w:hAnsi="Times New Roman" w:cs="Times New Roman"/>
        </w:rPr>
      </w:pPr>
      <w:r w:rsidRPr="004432BE">
        <w:rPr>
          <w:rFonts w:ascii="Times New Roman" w:hAnsi="Times New Roman" w:cs="Times New Roman"/>
        </w:rPr>
        <w:t>All data transmission will be encrypted as the responses will be on a Web site with an SSL certificate applied.  Data will be passed through a firewall at RTI and then collected and stored on a protected network share on the RTI network.  Only authorized RTI project staff members will have access to the data on the secure network.</w:t>
      </w:r>
    </w:p>
    <w:p w14:paraId="22C00071" w14:textId="65F0F68B" w:rsidR="00A111E1" w:rsidRPr="004432BE" w:rsidRDefault="00A111E1" w:rsidP="00A111E1">
      <w:pPr>
        <w:spacing w:after="240"/>
        <w:ind w:left="720"/>
        <w:rPr>
          <w:rFonts w:ascii="Times New Roman" w:eastAsia="Times New Roman" w:hAnsi="Times New Roman" w:cs="Times New Roman"/>
        </w:rPr>
      </w:pPr>
      <w:r w:rsidRPr="004432BE">
        <w:rPr>
          <w:rFonts w:ascii="Times New Roman" w:eastAsia="Times New Roman" w:hAnsi="Times New Roman" w:cs="Times New Roman"/>
        </w:rPr>
        <w:t xml:space="preserve">RTI and Lightspeed will follow the Standard of Good Practice (SoGP, </w:t>
      </w:r>
      <w:r w:rsidR="00642621" w:rsidRPr="00642621">
        <w:rPr>
          <w:rFonts w:ascii="Times New Roman" w:eastAsia="Times New Roman" w:hAnsi="Times New Roman" w:cs="Times New Roman"/>
        </w:rPr>
        <w:t>https://www.securityforum.org/tool/the-isf-standard-good-practice-information-security-2018/</w:t>
      </w:r>
      <w:r w:rsidR="00642621">
        <w:rPr>
          <w:rFonts w:ascii="Times New Roman" w:eastAsia="Times New Roman" w:hAnsi="Times New Roman" w:cs="Times New Roman"/>
        </w:rPr>
        <w:t xml:space="preserve">) </w:t>
      </w:r>
      <w:r w:rsidRPr="004432BE">
        <w:rPr>
          <w:rFonts w:ascii="Times New Roman" w:eastAsia="Times New Roman" w:hAnsi="Times New Roman" w:cs="Times New Roman"/>
        </w:rPr>
        <w:t>security practices which emphasize security management, safe business application protocol, safe computer installations, network fidelity, awareness of systems development requirements, and safety of the end-user environment. Following these guidelines, the monitoring of data and sensitive information will take place following the SoGP security practices such as limiting access to information and data encryption. Members of the CTP research team will receive de-identified data that will be in an encrypted format</w:t>
      </w:r>
      <w:r w:rsidRPr="004432BE">
        <w:rPr>
          <w:rFonts w:ascii="Times New Roman" w:hAnsi="Times New Roman" w:cs="Times New Roman"/>
        </w:rPr>
        <w:t xml:space="preserve"> </w:t>
      </w:r>
      <w:r w:rsidRPr="004432BE">
        <w:rPr>
          <w:rFonts w:ascii="Times New Roman" w:eastAsia="Times New Roman" w:hAnsi="Times New Roman" w:cs="Times New Roman"/>
        </w:rPr>
        <w:t>when it is transmitted. This data transfer will occur via an encrypted and secure broadband connection.</w:t>
      </w:r>
    </w:p>
    <w:p w14:paraId="05BAEFD9" w14:textId="398D7FED" w:rsidR="004213CB" w:rsidRPr="004432BE" w:rsidRDefault="00273351" w:rsidP="009C6AAC">
      <w:pPr>
        <w:pStyle w:val="ListParagraph"/>
        <w:numPr>
          <w:ilvl w:val="0"/>
          <w:numId w:val="6"/>
        </w:numPr>
        <w:spacing w:before="100" w:beforeAutospacing="1" w:after="240"/>
        <w:rPr>
          <w:rFonts w:eastAsia="Times New Roman" w:cs="Times New Roman"/>
          <w:szCs w:val="24"/>
        </w:rPr>
      </w:pPr>
      <w:r w:rsidRPr="004432BE">
        <w:rPr>
          <w:rFonts w:cs="Times New Roman"/>
          <w:szCs w:val="24"/>
          <w:u w:val="single"/>
        </w:rPr>
        <w:t>Justification for Sensitive Questions</w:t>
      </w:r>
      <w:r w:rsidR="00217BED">
        <w:rPr>
          <w:rFonts w:cs="Times New Roman"/>
          <w:szCs w:val="24"/>
          <w:u w:val="single"/>
        </w:rPr>
        <w:t xml:space="preserve"> </w:t>
      </w:r>
    </w:p>
    <w:p w14:paraId="2D1E4343" w14:textId="6BA108CB" w:rsidR="00D8265B" w:rsidRPr="00217BED" w:rsidRDefault="00D8265B" w:rsidP="00217BED">
      <w:pPr>
        <w:ind w:left="810"/>
        <w:rPr>
          <w:rFonts w:cs="Times New Roman"/>
        </w:rPr>
      </w:pPr>
      <w:r w:rsidRPr="00217BED">
        <w:rPr>
          <w:rFonts w:eastAsia="Times New Roman" w:cs="Times New Roman"/>
        </w:rPr>
        <w:t xml:space="preserve">The majority of questions asked will not be of a sensitive nature. There will be no requests for a respondent’s Social Security Number (SSN). However, it will be necessary to ask some questions that may be considered to be of a sensitive nature in order to assess specific health behaviors, such as tobacco use. </w:t>
      </w:r>
      <w:r w:rsidR="001C5FA3" w:rsidRPr="00217BED">
        <w:rPr>
          <w:rFonts w:eastAsia="Times New Roman" w:cs="Times New Roman"/>
        </w:rPr>
        <w:t>Potentially sensitive questions include questions A1-A9, C1</w:t>
      </w:r>
      <w:r w:rsidR="00952F08" w:rsidRPr="00217BED">
        <w:rPr>
          <w:rFonts w:eastAsia="Times New Roman" w:cs="Times New Roman"/>
        </w:rPr>
        <w:t xml:space="preserve">, C4, G1, G2, and G3 (See </w:t>
      </w:r>
      <w:r w:rsidR="00952F08" w:rsidRPr="00217BED">
        <w:rPr>
          <w:rFonts w:cs="Times New Roman"/>
        </w:rPr>
        <w:t xml:space="preserve">Attachment B for a full list of questionnaire items). </w:t>
      </w:r>
      <w:r w:rsidRPr="00217BED">
        <w:rPr>
          <w:rFonts w:eastAsia="Times New Roman" w:cs="Times New Roman"/>
        </w:rPr>
        <w:t>These questions are essential to the objectives of this information collection. Questions assessing demographic characteristics, such as race and ethnicity, could be considered sensitive, but not highly sensitive. To address any concerns about inadvertent disclosure of sensitive information, respondents will be fully informed of the applicable privacy safeguards. The informed consent protocol will apprise respondents that these topics will be covered during the survey. This study includes a number of procedures and methodological characteristics that will minimize potential negative reactions to these types of questions, including the following:</w:t>
      </w:r>
    </w:p>
    <w:p w14:paraId="1B9ECFF3" w14:textId="0A232D4A" w:rsidR="00D8265B" w:rsidRPr="004432BE" w:rsidRDefault="00D8265B" w:rsidP="00D8265B">
      <w:pPr>
        <w:numPr>
          <w:ilvl w:val="0"/>
          <w:numId w:val="10"/>
        </w:numPr>
        <w:spacing w:before="120" w:after="120"/>
        <w:rPr>
          <w:rFonts w:ascii="Times New Roman" w:hAnsi="Times New Roman" w:cs="Times New Roman"/>
        </w:rPr>
      </w:pPr>
      <w:r w:rsidRPr="004432BE">
        <w:rPr>
          <w:rFonts w:ascii="Times New Roman" w:hAnsi="Times New Roman" w:cs="Times New Roman"/>
        </w:rPr>
        <w:t>The screener and questionnaire are entirely self-administered and maximize respondent privacy without the need to verbalize responses.</w:t>
      </w:r>
    </w:p>
    <w:p w14:paraId="369C5EC4" w14:textId="76A1735B" w:rsidR="00D8265B" w:rsidRPr="004432BE" w:rsidRDefault="00D8265B" w:rsidP="00D8265B">
      <w:pPr>
        <w:numPr>
          <w:ilvl w:val="0"/>
          <w:numId w:val="10"/>
        </w:numPr>
        <w:spacing w:before="120" w:after="120"/>
        <w:rPr>
          <w:rFonts w:ascii="Times New Roman" w:hAnsi="Times New Roman" w:cs="Times New Roman"/>
        </w:rPr>
      </w:pPr>
      <w:r w:rsidRPr="004432BE">
        <w:rPr>
          <w:rFonts w:ascii="Times New Roman" w:hAnsi="Times New Roman" w:cs="Times New Roman"/>
        </w:rPr>
        <w:t xml:space="preserve">Participants will be provided with contact information for the Principal Investigator of this study and for </w:t>
      </w:r>
      <w:r w:rsidR="00AA65FA">
        <w:rPr>
          <w:rFonts w:ascii="Times New Roman" w:hAnsi="Times New Roman" w:cs="Times New Roman"/>
        </w:rPr>
        <w:t>RTI’s IRB</w:t>
      </w:r>
      <w:r w:rsidRPr="004432BE">
        <w:rPr>
          <w:rFonts w:ascii="Times New Roman" w:hAnsi="Times New Roman" w:cs="Times New Roman"/>
        </w:rPr>
        <w:t xml:space="preserve"> if they have any questions or concerns about this study or about their rights as study participants.</w:t>
      </w:r>
    </w:p>
    <w:p w14:paraId="7D073315" w14:textId="35A2A499" w:rsidR="00D8265B" w:rsidRPr="004432BE" w:rsidRDefault="00D8265B" w:rsidP="00D8265B">
      <w:pPr>
        <w:spacing w:after="240"/>
        <w:ind w:left="720"/>
        <w:rPr>
          <w:rFonts w:ascii="Times New Roman" w:eastAsia="Times New Roman" w:hAnsi="Times New Roman" w:cs="Times New Roman"/>
        </w:rPr>
      </w:pPr>
      <w:r w:rsidRPr="004432BE">
        <w:rPr>
          <w:rFonts w:ascii="Times New Roman" w:eastAsia="Times New Roman" w:hAnsi="Times New Roman" w:cs="Times New Roman"/>
        </w:rPr>
        <w:t xml:space="preserve">Finally, as with all information collected, these data will be </w:t>
      </w:r>
      <w:r w:rsidR="0032416C">
        <w:rPr>
          <w:rFonts w:ascii="Times New Roman" w:eastAsia="Times New Roman" w:hAnsi="Times New Roman" w:cs="Times New Roman"/>
        </w:rPr>
        <w:t>summarized in aggregate</w:t>
      </w:r>
      <w:r w:rsidR="0032416C" w:rsidRPr="004432BE">
        <w:rPr>
          <w:rFonts w:ascii="Times New Roman" w:eastAsia="Times New Roman" w:hAnsi="Times New Roman" w:cs="Times New Roman"/>
        </w:rPr>
        <w:t xml:space="preserve"> </w:t>
      </w:r>
      <w:r w:rsidRPr="004432BE">
        <w:rPr>
          <w:rFonts w:ascii="Times New Roman" w:eastAsia="Times New Roman" w:hAnsi="Times New Roman" w:cs="Times New Roman"/>
        </w:rPr>
        <w:t>with all identifiers removed.</w:t>
      </w:r>
    </w:p>
    <w:p w14:paraId="43706FA9" w14:textId="004CDDE9" w:rsidR="004A4B3A" w:rsidRPr="004432BE" w:rsidRDefault="004A4B3A" w:rsidP="009C6AAC">
      <w:pPr>
        <w:pStyle w:val="ListParagraph"/>
        <w:numPr>
          <w:ilvl w:val="0"/>
          <w:numId w:val="6"/>
        </w:numPr>
        <w:spacing w:before="100" w:beforeAutospacing="1" w:after="240"/>
        <w:rPr>
          <w:rFonts w:eastAsia="Times New Roman" w:cs="Times New Roman"/>
          <w:szCs w:val="24"/>
        </w:rPr>
      </w:pPr>
      <w:r w:rsidRPr="004432BE">
        <w:rPr>
          <w:rFonts w:cs="Times New Roman"/>
          <w:szCs w:val="24"/>
          <w:u w:val="single"/>
        </w:rPr>
        <w:t>Estimates of Annualized Burden Hours and Costs</w:t>
      </w:r>
    </w:p>
    <w:p w14:paraId="55BFAB1E" w14:textId="77777777" w:rsidR="004A4B3A" w:rsidRPr="004432BE" w:rsidRDefault="004A4B3A" w:rsidP="009C6AAC">
      <w:pPr>
        <w:pStyle w:val="ListParagraph"/>
        <w:spacing w:before="100" w:beforeAutospacing="1" w:after="240"/>
        <w:rPr>
          <w:rFonts w:eastAsia="Times New Roman" w:cs="Times New Roman"/>
          <w:szCs w:val="24"/>
        </w:rPr>
      </w:pPr>
    </w:p>
    <w:p w14:paraId="22C1311E" w14:textId="7DB34FE2" w:rsidR="0056506E" w:rsidRPr="004432BE" w:rsidRDefault="004A4B3A" w:rsidP="009C6AAC">
      <w:pPr>
        <w:pStyle w:val="ListParagraph"/>
        <w:spacing w:before="100" w:beforeAutospacing="1" w:after="240"/>
        <w:rPr>
          <w:rFonts w:cs="Times New Roman"/>
          <w:szCs w:val="24"/>
          <w:u w:val="single"/>
        </w:rPr>
      </w:pPr>
      <w:r w:rsidRPr="004432BE">
        <w:rPr>
          <w:rFonts w:cs="Times New Roman"/>
          <w:szCs w:val="24"/>
          <w:u w:val="single"/>
        </w:rPr>
        <w:t>1</w:t>
      </w:r>
      <w:r w:rsidR="00262CD0" w:rsidRPr="004432BE">
        <w:rPr>
          <w:rFonts w:cs="Times New Roman"/>
          <w:szCs w:val="24"/>
          <w:u w:val="single"/>
        </w:rPr>
        <w:t>2</w:t>
      </w:r>
      <w:r w:rsidRPr="004432BE">
        <w:rPr>
          <w:rFonts w:cs="Times New Roman"/>
          <w:szCs w:val="24"/>
          <w:u w:val="single"/>
        </w:rPr>
        <w:t>a. Annualized Hour Burden Estimate</w:t>
      </w:r>
    </w:p>
    <w:p w14:paraId="371D5819" w14:textId="29AC59D8" w:rsidR="00F37604" w:rsidRPr="004432BE" w:rsidRDefault="0056506E" w:rsidP="00C04567">
      <w:pPr>
        <w:spacing w:after="240"/>
        <w:ind w:left="720"/>
        <w:rPr>
          <w:rFonts w:ascii="Times New Roman" w:eastAsia="Times New Roman" w:hAnsi="Times New Roman" w:cs="Times New Roman"/>
        </w:rPr>
      </w:pPr>
      <w:r w:rsidRPr="004432BE">
        <w:rPr>
          <w:rFonts w:ascii="Times New Roman" w:eastAsia="Times New Roman" w:hAnsi="Times New Roman" w:cs="Times New Roman"/>
        </w:rPr>
        <w:t xml:space="preserve">An estimated one-time reporting burden for this collection </w:t>
      </w:r>
      <w:r w:rsidR="00477DDA" w:rsidRPr="004432BE">
        <w:rPr>
          <w:rFonts w:ascii="Times New Roman" w:eastAsia="Times New Roman" w:hAnsi="Times New Roman" w:cs="Times New Roman"/>
        </w:rPr>
        <w:t>is</w:t>
      </w:r>
      <w:r w:rsidRPr="004432BE">
        <w:rPr>
          <w:rFonts w:ascii="Times New Roman" w:eastAsia="Times New Roman" w:hAnsi="Times New Roman" w:cs="Times New Roman"/>
        </w:rPr>
        <w:t xml:space="preserve"> </w:t>
      </w:r>
      <w:r w:rsidR="001618FD">
        <w:rPr>
          <w:rFonts w:ascii="Times New Roman" w:eastAsia="Times New Roman" w:hAnsi="Times New Roman" w:cs="Times New Roman"/>
        </w:rPr>
        <w:t>1,191</w:t>
      </w:r>
      <w:r w:rsidR="00330260" w:rsidRPr="004432BE">
        <w:rPr>
          <w:rFonts w:ascii="Times New Roman" w:eastAsia="Times New Roman" w:hAnsi="Times New Roman" w:cs="Times New Roman"/>
        </w:rPr>
        <w:t xml:space="preserve"> </w:t>
      </w:r>
      <w:r w:rsidRPr="004432BE">
        <w:rPr>
          <w:rFonts w:ascii="Times New Roman" w:eastAsia="Times New Roman" w:hAnsi="Times New Roman" w:cs="Times New Roman"/>
        </w:rPr>
        <w:t xml:space="preserve">hours (Exhibit </w:t>
      </w:r>
      <w:r w:rsidR="00962D75" w:rsidRPr="004432BE">
        <w:rPr>
          <w:rFonts w:ascii="Times New Roman" w:eastAsia="Times New Roman" w:hAnsi="Times New Roman" w:cs="Times New Roman"/>
        </w:rPr>
        <w:t>1</w:t>
      </w:r>
      <w:r w:rsidRPr="004432BE">
        <w:rPr>
          <w:rFonts w:ascii="Times New Roman" w:eastAsia="Times New Roman" w:hAnsi="Times New Roman" w:cs="Times New Roman"/>
        </w:rPr>
        <w:t xml:space="preserve">). This includes the time burden associated with the </w:t>
      </w:r>
      <w:r w:rsidR="00AF48BA">
        <w:rPr>
          <w:rFonts w:ascii="Times New Roman" w:eastAsia="Times New Roman" w:hAnsi="Times New Roman" w:cs="Times New Roman"/>
        </w:rPr>
        <w:t>parent permission, youth assent and s</w:t>
      </w:r>
      <w:r w:rsidRPr="004432BE">
        <w:rPr>
          <w:rFonts w:ascii="Times New Roman" w:eastAsia="Times New Roman" w:hAnsi="Times New Roman" w:cs="Times New Roman"/>
        </w:rPr>
        <w:t>creener</w:t>
      </w:r>
      <w:r w:rsidR="00AF48BA">
        <w:rPr>
          <w:rFonts w:ascii="Times New Roman" w:eastAsia="Times New Roman" w:hAnsi="Times New Roman" w:cs="Times New Roman"/>
        </w:rPr>
        <w:t>, and youth questionnaire completion</w:t>
      </w:r>
      <w:r w:rsidRPr="004432BE">
        <w:rPr>
          <w:rFonts w:ascii="Times New Roman" w:eastAsia="Times New Roman" w:hAnsi="Times New Roman" w:cs="Times New Roman"/>
        </w:rPr>
        <w:t>.</w:t>
      </w:r>
    </w:p>
    <w:p w14:paraId="3F388E58" w14:textId="73C640CB" w:rsidR="00991B13" w:rsidRPr="004432BE" w:rsidRDefault="0056506E" w:rsidP="00C04567">
      <w:pPr>
        <w:spacing w:after="240"/>
        <w:ind w:left="720"/>
        <w:rPr>
          <w:rFonts w:ascii="Times New Roman" w:eastAsia="Times New Roman" w:hAnsi="Times New Roman" w:cs="Times New Roman"/>
        </w:rPr>
      </w:pPr>
      <w:r w:rsidRPr="004432BE">
        <w:rPr>
          <w:rFonts w:ascii="Times New Roman" w:eastAsia="Times New Roman" w:hAnsi="Times New Roman" w:cs="Times New Roman"/>
        </w:rPr>
        <w:t xml:space="preserve">To obtain a final sample of </w:t>
      </w:r>
      <w:r w:rsidR="00B52751" w:rsidRPr="004432BE">
        <w:rPr>
          <w:rFonts w:ascii="Times New Roman" w:eastAsia="Times New Roman" w:hAnsi="Times New Roman" w:cs="Times New Roman"/>
        </w:rPr>
        <w:t>1,600</w:t>
      </w:r>
      <w:r w:rsidR="00EE3985" w:rsidRPr="004432BE">
        <w:rPr>
          <w:rFonts w:ascii="Times New Roman" w:eastAsia="Times New Roman" w:hAnsi="Times New Roman" w:cs="Times New Roman"/>
        </w:rPr>
        <w:t xml:space="preserve"> </w:t>
      </w:r>
      <w:r w:rsidR="00B52751" w:rsidRPr="004432BE">
        <w:rPr>
          <w:rFonts w:ascii="Times New Roman" w:eastAsia="Times New Roman" w:hAnsi="Times New Roman" w:cs="Times New Roman"/>
        </w:rPr>
        <w:t>y</w:t>
      </w:r>
      <w:r w:rsidR="005B419D" w:rsidRPr="004432BE">
        <w:rPr>
          <w:rFonts w:ascii="Times New Roman" w:eastAsia="Times New Roman" w:hAnsi="Times New Roman" w:cs="Times New Roman"/>
        </w:rPr>
        <w:t>outh</w:t>
      </w:r>
      <w:r w:rsidR="00231647" w:rsidRPr="004432BE">
        <w:rPr>
          <w:rFonts w:ascii="Times New Roman" w:eastAsia="Times New Roman" w:hAnsi="Times New Roman" w:cs="Times New Roman"/>
        </w:rPr>
        <w:t xml:space="preserve"> </w:t>
      </w:r>
      <w:r w:rsidRPr="004432BE">
        <w:rPr>
          <w:rFonts w:ascii="Times New Roman" w:eastAsia="Times New Roman" w:hAnsi="Times New Roman" w:cs="Times New Roman"/>
        </w:rPr>
        <w:t xml:space="preserve">enrolled participants, we estimate that we will need to </w:t>
      </w:r>
      <w:r w:rsidR="00991B13" w:rsidRPr="004432BE">
        <w:rPr>
          <w:rFonts w:ascii="Times New Roman" w:eastAsia="Times New Roman" w:hAnsi="Times New Roman" w:cs="Times New Roman"/>
        </w:rPr>
        <w:t xml:space="preserve">obtain parental permission from up to </w:t>
      </w:r>
      <w:r w:rsidR="00AF48BA">
        <w:rPr>
          <w:rFonts w:ascii="Times New Roman" w:eastAsia="Times New Roman" w:hAnsi="Times New Roman" w:cs="Times New Roman"/>
        </w:rPr>
        <w:t>8,888</w:t>
      </w:r>
      <w:r w:rsidR="00473BA5" w:rsidRPr="004432BE">
        <w:rPr>
          <w:rFonts w:ascii="Times New Roman" w:eastAsia="Times New Roman" w:hAnsi="Times New Roman" w:cs="Times New Roman"/>
        </w:rPr>
        <w:t xml:space="preserve"> parents</w:t>
      </w:r>
      <w:r w:rsidR="000B4460" w:rsidRPr="004432BE">
        <w:rPr>
          <w:rFonts w:ascii="Times New Roman" w:eastAsia="Times New Roman" w:hAnsi="Times New Roman" w:cs="Times New Roman"/>
        </w:rPr>
        <w:t xml:space="preserve"> and screen up to </w:t>
      </w:r>
      <w:r w:rsidR="00AF48BA">
        <w:rPr>
          <w:rFonts w:ascii="Times New Roman" w:eastAsia="Times New Roman" w:hAnsi="Times New Roman" w:cs="Times New Roman"/>
        </w:rPr>
        <w:t>6,222</w:t>
      </w:r>
      <w:r w:rsidR="000B4460" w:rsidRPr="004432BE">
        <w:rPr>
          <w:rFonts w:ascii="Times New Roman" w:eastAsia="Times New Roman" w:hAnsi="Times New Roman" w:cs="Times New Roman"/>
        </w:rPr>
        <w:t xml:space="preserve"> youth. </w:t>
      </w:r>
    </w:p>
    <w:p w14:paraId="66BE7D71" w14:textId="453615ED" w:rsidR="002D2876" w:rsidRDefault="00257D24" w:rsidP="000B4460">
      <w:pPr>
        <w:spacing w:after="240"/>
        <w:ind w:left="720"/>
        <w:rPr>
          <w:rFonts w:ascii="Times New Roman" w:eastAsia="Times New Roman" w:hAnsi="Times New Roman" w:cs="Times New Roman"/>
        </w:rPr>
      </w:pPr>
      <w:r w:rsidRPr="004432BE">
        <w:rPr>
          <w:rFonts w:ascii="Times New Roman" w:eastAsia="Times New Roman" w:hAnsi="Times New Roman" w:cs="Times New Roman"/>
        </w:rPr>
        <w:t xml:space="preserve">Based on previous experience, we estimate </w:t>
      </w:r>
      <w:r w:rsidR="00632ADF" w:rsidRPr="004432BE">
        <w:rPr>
          <w:rFonts w:ascii="Times New Roman" w:eastAsia="Times New Roman" w:hAnsi="Times New Roman" w:cs="Times New Roman"/>
        </w:rPr>
        <w:t xml:space="preserve">that </w:t>
      </w:r>
      <w:r w:rsidR="000B4460" w:rsidRPr="004432BE">
        <w:rPr>
          <w:rFonts w:ascii="Times New Roman" w:eastAsia="Times New Roman" w:hAnsi="Times New Roman" w:cs="Times New Roman"/>
        </w:rPr>
        <w:t xml:space="preserve">parental permission will take no more than 1 minute per participant, </w:t>
      </w:r>
      <w:r w:rsidR="001618FD">
        <w:rPr>
          <w:rFonts w:ascii="Times New Roman" w:eastAsia="Times New Roman" w:hAnsi="Times New Roman" w:cs="Times New Roman"/>
        </w:rPr>
        <w:t xml:space="preserve">parent recruitment email will take no more than 1 minute per participant, </w:t>
      </w:r>
      <w:r w:rsidR="000B4460" w:rsidRPr="004432BE">
        <w:rPr>
          <w:rFonts w:ascii="Times New Roman" w:eastAsia="Times New Roman" w:hAnsi="Times New Roman" w:cs="Times New Roman"/>
        </w:rPr>
        <w:t xml:space="preserve">and the youth assent and screener will take no more than </w:t>
      </w:r>
      <w:r w:rsidR="007B6A07">
        <w:rPr>
          <w:rFonts w:ascii="Times New Roman" w:eastAsia="Times New Roman" w:hAnsi="Times New Roman" w:cs="Times New Roman"/>
        </w:rPr>
        <w:t>4</w:t>
      </w:r>
      <w:r w:rsidR="000B4460" w:rsidRPr="004432BE">
        <w:rPr>
          <w:rFonts w:ascii="Times New Roman" w:eastAsia="Times New Roman" w:hAnsi="Times New Roman" w:cs="Times New Roman"/>
        </w:rPr>
        <w:t xml:space="preserve"> minutes per participant. </w:t>
      </w:r>
      <w:r w:rsidRPr="004432BE">
        <w:rPr>
          <w:rFonts w:ascii="Times New Roman" w:eastAsia="Times New Roman" w:hAnsi="Times New Roman" w:cs="Times New Roman"/>
        </w:rPr>
        <w:t xml:space="preserve">Questionnaire completion will take </w:t>
      </w:r>
      <w:r w:rsidR="00477DDA" w:rsidRPr="004432BE">
        <w:rPr>
          <w:rFonts w:ascii="Times New Roman" w:eastAsia="Times New Roman" w:hAnsi="Times New Roman" w:cs="Times New Roman"/>
        </w:rPr>
        <w:t>an estimated</w:t>
      </w:r>
      <w:r w:rsidRPr="004432BE">
        <w:rPr>
          <w:rFonts w:ascii="Times New Roman" w:eastAsia="Times New Roman" w:hAnsi="Times New Roman" w:cs="Times New Roman"/>
        </w:rPr>
        <w:t xml:space="preserve"> </w:t>
      </w:r>
      <w:r w:rsidR="000B4460" w:rsidRPr="004432BE">
        <w:rPr>
          <w:rFonts w:ascii="Times New Roman" w:eastAsia="Times New Roman" w:hAnsi="Times New Roman" w:cs="Times New Roman"/>
        </w:rPr>
        <w:t>18</w:t>
      </w:r>
      <w:r w:rsidRPr="004432BE">
        <w:rPr>
          <w:rFonts w:ascii="Times New Roman" w:eastAsia="Times New Roman" w:hAnsi="Times New Roman" w:cs="Times New Roman"/>
        </w:rPr>
        <w:t xml:space="preserve"> minutes for participants</w:t>
      </w:r>
    </w:p>
    <w:p w14:paraId="2E94AEB2" w14:textId="090382D3" w:rsidR="00F37604" w:rsidRPr="004432BE" w:rsidRDefault="00257D24" w:rsidP="000B4460">
      <w:pPr>
        <w:spacing w:after="240"/>
        <w:ind w:left="720"/>
        <w:rPr>
          <w:rFonts w:ascii="Times New Roman" w:eastAsia="Times New Roman" w:hAnsi="Times New Roman" w:cs="Times New Roman"/>
        </w:rPr>
      </w:pPr>
      <w:r w:rsidRPr="004432BE">
        <w:rPr>
          <w:rFonts w:ascii="Times New Roman" w:eastAsia="Times New Roman" w:hAnsi="Times New Roman" w:cs="Times New Roman"/>
        </w:rPr>
        <w:t>.</w:t>
      </w:r>
    </w:p>
    <w:p w14:paraId="0415A13A" w14:textId="108DE4F1" w:rsidR="009B5B5A" w:rsidRPr="004432BE" w:rsidRDefault="00B05F79" w:rsidP="00642621">
      <w:pPr>
        <w:keepNext/>
        <w:spacing w:after="120"/>
        <w:ind w:left="720"/>
        <w:rPr>
          <w:rFonts w:ascii="Times New Roman" w:hAnsi="Times New Roman" w:cs="Times New Roman"/>
          <w:b/>
        </w:rPr>
      </w:pPr>
      <w:r w:rsidRPr="004432BE">
        <w:rPr>
          <w:rFonts w:ascii="Times New Roman" w:hAnsi="Times New Roman" w:cs="Times New Roman"/>
          <w:b/>
        </w:rPr>
        <w:t xml:space="preserve">Exhibit </w:t>
      </w:r>
      <w:r w:rsidR="00962D75" w:rsidRPr="004432BE">
        <w:rPr>
          <w:rFonts w:ascii="Times New Roman" w:hAnsi="Times New Roman" w:cs="Times New Roman"/>
          <w:b/>
        </w:rPr>
        <w:t>1.</w:t>
      </w:r>
      <w:r w:rsidR="009B5B5A" w:rsidRPr="004432BE">
        <w:rPr>
          <w:rFonts w:ascii="Times New Roman" w:hAnsi="Times New Roman" w:cs="Times New Roman"/>
          <w:b/>
        </w:rPr>
        <w:t xml:space="preserve"> Estimated Annual Reporting Burden</w:t>
      </w:r>
    </w:p>
    <w:tbl>
      <w:tblPr>
        <w:tblW w:w="4991" w:type="pct"/>
        <w:tblInd w:w="350" w:type="dxa"/>
        <w:tblLook w:val="04A0" w:firstRow="1" w:lastRow="0" w:firstColumn="1" w:lastColumn="0" w:noHBand="0" w:noVBand="1"/>
      </w:tblPr>
      <w:tblGrid>
        <w:gridCol w:w="1360"/>
        <w:gridCol w:w="1574"/>
        <w:gridCol w:w="1450"/>
        <w:gridCol w:w="1424"/>
        <w:gridCol w:w="1260"/>
        <w:gridCol w:w="1447"/>
        <w:gridCol w:w="1044"/>
      </w:tblGrid>
      <w:tr w:rsidR="00DA78CD" w:rsidRPr="004432BE" w14:paraId="55602CBF" w14:textId="77777777" w:rsidTr="00DA78CD">
        <w:trPr>
          <w:trHeight w:val="495"/>
        </w:trPr>
        <w:tc>
          <w:tcPr>
            <w:tcW w:w="711" w:type="pct"/>
            <w:tcBorders>
              <w:top w:val="single" w:sz="12" w:space="0" w:color="auto"/>
              <w:bottom w:val="single" w:sz="4" w:space="0" w:color="auto"/>
            </w:tcBorders>
            <w:shd w:val="clear" w:color="auto" w:fill="auto"/>
            <w:vAlign w:val="center"/>
          </w:tcPr>
          <w:p w14:paraId="7A97EB95" w14:textId="77777777" w:rsidR="002529B7" w:rsidRPr="003D741A" w:rsidRDefault="002529B7" w:rsidP="00DA78CD">
            <w:pPr>
              <w:rPr>
                <w:rFonts w:ascii="Times New Roman" w:hAnsi="Times New Roman" w:cs="Times New Roman"/>
                <w:b/>
                <w:sz w:val="22"/>
                <w:szCs w:val="22"/>
              </w:rPr>
            </w:pPr>
            <w:r w:rsidRPr="003D741A">
              <w:rPr>
                <w:rFonts w:ascii="Times New Roman" w:hAnsi="Times New Roman" w:cs="Times New Roman"/>
                <w:b/>
                <w:sz w:val="22"/>
                <w:szCs w:val="22"/>
              </w:rPr>
              <w:t>Type of Respondent</w:t>
            </w:r>
          </w:p>
        </w:tc>
        <w:tc>
          <w:tcPr>
            <w:tcW w:w="823" w:type="pct"/>
            <w:tcBorders>
              <w:top w:val="single" w:sz="12" w:space="0" w:color="auto"/>
              <w:bottom w:val="single" w:sz="4" w:space="0" w:color="auto"/>
            </w:tcBorders>
            <w:shd w:val="clear" w:color="auto" w:fill="auto"/>
            <w:vAlign w:val="center"/>
          </w:tcPr>
          <w:p w14:paraId="31359CA1" w14:textId="77777777" w:rsidR="002529B7" w:rsidRPr="003D741A" w:rsidRDefault="002529B7" w:rsidP="00DA78CD">
            <w:pPr>
              <w:jc w:val="center"/>
              <w:rPr>
                <w:rFonts w:ascii="Times New Roman" w:hAnsi="Times New Roman" w:cs="Times New Roman"/>
                <w:b/>
                <w:sz w:val="22"/>
                <w:szCs w:val="22"/>
              </w:rPr>
            </w:pPr>
            <w:r w:rsidRPr="003D741A">
              <w:rPr>
                <w:rFonts w:ascii="Times New Roman" w:hAnsi="Times New Roman" w:cs="Times New Roman"/>
                <w:b/>
                <w:sz w:val="22"/>
                <w:szCs w:val="22"/>
              </w:rPr>
              <w:t>Activity</w:t>
            </w:r>
          </w:p>
        </w:tc>
        <w:tc>
          <w:tcPr>
            <w:tcW w:w="758" w:type="pct"/>
            <w:tcBorders>
              <w:top w:val="single" w:sz="12" w:space="0" w:color="auto"/>
              <w:bottom w:val="single" w:sz="4" w:space="0" w:color="auto"/>
            </w:tcBorders>
            <w:shd w:val="clear" w:color="auto" w:fill="auto"/>
            <w:vAlign w:val="center"/>
          </w:tcPr>
          <w:p w14:paraId="70C69CBC" w14:textId="77777777" w:rsidR="002529B7" w:rsidRPr="003D741A" w:rsidRDefault="002529B7" w:rsidP="00DA78CD">
            <w:pPr>
              <w:jc w:val="center"/>
              <w:rPr>
                <w:rFonts w:ascii="Times New Roman" w:hAnsi="Times New Roman" w:cs="Times New Roman"/>
                <w:b/>
                <w:sz w:val="22"/>
                <w:szCs w:val="22"/>
              </w:rPr>
            </w:pPr>
            <w:r w:rsidRPr="003D741A">
              <w:rPr>
                <w:rFonts w:ascii="Times New Roman" w:hAnsi="Times New Roman" w:cs="Times New Roman"/>
                <w:b/>
                <w:sz w:val="22"/>
                <w:szCs w:val="22"/>
              </w:rPr>
              <w:t>Number of Respondents</w:t>
            </w:r>
          </w:p>
        </w:tc>
        <w:tc>
          <w:tcPr>
            <w:tcW w:w="745" w:type="pct"/>
            <w:tcBorders>
              <w:top w:val="single" w:sz="12" w:space="0" w:color="auto"/>
              <w:bottom w:val="single" w:sz="4" w:space="0" w:color="auto"/>
            </w:tcBorders>
            <w:shd w:val="clear" w:color="auto" w:fill="auto"/>
            <w:vAlign w:val="center"/>
          </w:tcPr>
          <w:p w14:paraId="0E77C6BF" w14:textId="77777777" w:rsidR="002529B7" w:rsidRPr="003D741A" w:rsidRDefault="002529B7" w:rsidP="00DA78CD">
            <w:pPr>
              <w:jc w:val="center"/>
              <w:rPr>
                <w:rFonts w:ascii="Times New Roman" w:hAnsi="Times New Roman" w:cs="Times New Roman"/>
                <w:b/>
                <w:sz w:val="22"/>
                <w:szCs w:val="22"/>
              </w:rPr>
            </w:pPr>
            <w:r w:rsidRPr="003D741A">
              <w:rPr>
                <w:rFonts w:ascii="Times New Roman" w:hAnsi="Times New Roman" w:cs="Times New Roman"/>
                <w:b/>
                <w:sz w:val="22"/>
                <w:szCs w:val="22"/>
              </w:rPr>
              <w:t>Number of Responses per Respondent</w:t>
            </w:r>
          </w:p>
        </w:tc>
        <w:tc>
          <w:tcPr>
            <w:tcW w:w="659" w:type="pct"/>
            <w:tcBorders>
              <w:top w:val="single" w:sz="12" w:space="0" w:color="auto"/>
              <w:bottom w:val="single" w:sz="4" w:space="0" w:color="auto"/>
            </w:tcBorders>
            <w:shd w:val="clear" w:color="auto" w:fill="auto"/>
            <w:vAlign w:val="center"/>
          </w:tcPr>
          <w:p w14:paraId="241036D3" w14:textId="77777777" w:rsidR="002529B7" w:rsidRPr="003D741A" w:rsidRDefault="002529B7" w:rsidP="00DA78CD">
            <w:pPr>
              <w:jc w:val="center"/>
              <w:rPr>
                <w:rFonts w:ascii="Times New Roman" w:hAnsi="Times New Roman" w:cs="Times New Roman"/>
                <w:b/>
                <w:sz w:val="22"/>
                <w:szCs w:val="22"/>
              </w:rPr>
            </w:pPr>
            <w:r w:rsidRPr="003D741A">
              <w:rPr>
                <w:rFonts w:ascii="Times New Roman" w:hAnsi="Times New Roman" w:cs="Times New Roman"/>
                <w:b/>
                <w:sz w:val="22"/>
                <w:szCs w:val="22"/>
              </w:rPr>
              <w:t>Total Responses</w:t>
            </w:r>
          </w:p>
        </w:tc>
        <w:tc>
          <w:tcPr>
            <w:tcW w:w="757" w:type="pct"/>
            <w:tcBorders>
              <w:top w:val="single" w:sz="12" w:space="0" w:color="auto"/>
              <w:bottom w:val="single" w:sz="4" w:space="0" w:color="auto"/>
            </w:tcBorders>
            <w:shd w:val="clear" w:color="auto" w:fill="auto"/>
            <w:vAlign w:val="center"/>
          </w:tcPr>
          <w:p w14:paraId="1D14014A" w14:textId="77777777" w:rsidR="002529B7" w:rsidRPr="003D741A" w:rsidRDefault="002529B7" w:rsidP="00DA78CD">
            <w:pPr>
              <w:jc w:val="center"/>
              <w:rPr>
                <w:rFonts w:ascii="Times New Roman" w:hAnsi="Times New Roman" w:cs="Times New Roman"/>
                <w:b/>
                <w:sz w:val="22"/>
                <w:szCs w:val="22"/>
              </w:rPr>
            </w:pPr>
            <w:r w:rsidRPr="003D741A">
              <w:rPr>
                <w:rFonts w:ascii="Times New Roman" w:hAnsi="Times New Roman" w:cs="Times New Roman"/>
                <w:b/>
                <w:sz w:val="22"/>
                <w:szCs w:val="22"/>
              </w:rPr>
              <w:t>Average Burden per Response (in hours)</w:t>
            </w:r>
          </w:p>
        </w:tc>
        <w:tc>
          <w:tcPr>
            <w:tcW w:w="546" w:type="pct"/>
            <w:tcBorders>
              <w:top w:val="single" w:sz="12" w:space="0" w:color="auto"/>
              <w:bottom w:val="single" w:sz="4" w:space="0" w:color="auto"/>
            </w:tcBorders>
            <w:shd w:val="clear" w:color="auto" w:fill="auto"/>
            <w:vAlign w:val="center"/>
          </w:tcPr>
          <w:p w14:paraId="2382360C" w14:textId="77777777" w:rsidR="002529B7" w:rsidRPr="003D741A" w:rsidRDefault="002529B7" w:rsidP="00DA78CD">
            <w:pPr>
              <w:jc w:val="center"/>
              <w:rPr>
                <w:rFonts w:ascii="Times New Roman" w:hAnsi="Times New Roman" w:cs="Times New Roman"/>
                <w:b/>
                <w:sz w:val="22"/>
                <w:szCs w:val="22"/>
              </w:rPr>
            </w:pPr>
            <w:r w:rsidRPr="003D741A">
              <w:rPr>
                <w:rFonts w:ascii="Times New Roman" w:hAnsi="Times New Roman" w:cs="Times New Roman"/>
                <w:b/>
                <w:sz w:val="22"/>
                <w:szCs w:val="22"/>
              </w:rPr>
              <w:t>Total Hours</w:t>
            </w:r>
          </w:p>
        </w:tc>
      </w:tr>
      <w:tr w:rsidR="002529B7" w:rsidRPr="004432BE" w14:paraId="78E79125" w14:textId="77777777" w:rsidTr="00DA78CD">
        <w:trPr>
          <w:trHeight w:val="759"/>
        </w:trPr>
        <w:tc>
          <w:tcPr>
            <w:tcW w:w="711" w:type="pct"/>
            <w:tcBorders>
              <w:top w:val="single" w:sz="4" w:space="0" w:color="auto"/>
            </w:tcBorders>
            <w:shd w:val="clear" w:color="auto" w:fill="auto"/>
            <w:vAlign w:val="center"/>
            <w:hideMark/>
          </w:tcPr>
          <w:p w14:paraId="65A172AD" w14:textId="1AAED7D4" w:rsidR="002529B7" w:rsidRPr="003D741A" w:rsidRDefault="00D64707" w:rsidP="00DA78CD">
            <w:pPr>
              <w:rPr>
                <w:rFonts w:ascii="Times New Roman" w:eastAsia="Times New Roman" w:hAnsi="Times New Roman" w:cs="Times New Roman"/>
                <w:color w:val="000000"/>
                <w:sz w:val="22"/>
                <w:szCs w:val="22"/>
              </w:rPr>
            </w:pPr>
            <w:r w:rsidRPr="003D741A">
              <w:rPr>
                <w:rFonts w:ascii="Times New Roman" w:eastAsia="Times New Roman" w:hAnsi="Times New Roman" w:cs="Times New Roman"/>
                <w:color w:val="000000"/>
                <w:sz w:val="22"/>
                <w:szCs w:val="22"/>
              </w:rPr>
              <w:t>Parent</w:t>
            </w:r>
          </w:p>
        </w:tc>
        <w:tc>
          <w:tcPr>
            <w:tcW w:w="823" w:type="pct"/>
            <w:tcBorders>
              <w:top w:val="single" w:sz="4" w:space="0" w:color="auto"/>
            </w:tcBorders>
            <w:shd w:val="clear" w:color="auto" w:fill="auto"/>
            <w:vAlign w:val="center"/>
            <w:hideMark/>
          </w:tcPr>
          <w:p w14:paraId="7DB94823" w14:textId="67B7CF49" w:rsidR="002529B7" w:rsidRPr="003D741A" w:rsidRDefault="00D64707" w:rsidP="00DA78CD">
            <w:pPr>
              <w:jc w:val="center"/>
              <w:rPr>
                <w:rFonts w:ascii="Times New Roman" w:eastAsia="Times New Roman" w:hAnsi="Times New Roman" w:cs="Times New Roman"/>
                <w:color w:val="000000"/>
                <w:sz w:val="22"/>
                <w:szCs w:val="22"/>
              </w:rPr>
            </w:pPr>
            <w:r w:rsidRPr="003D741A">
              <w:rPr>
                <w:rFonts w:ascii="Times New Roman" w:eastAsia="Times New Roman" w:hAnsi="Times New Roman" w:cs="Times New Roman"/>
                <w:color w:val="000000"/>
                <w:sz w:val="22"/>
                <w:szCs w:val="22"/>
              </w:rPr>
              <w:t>Parent permission</w:t>
            </w:r>
          </w:p>
        </w:tc>
        <w:tc>
          <w:tcPr>
            <w:tcW w:w="758" w:type="pct"/>
            <w:tcBorders>
              <w:top w:val="single" w:sz="4" w:space="0" w:color="auto"/>
            </w:tcBorders>
            <w:shd w:val="clear" w:color="auto" w:fill="auto"/>
            <w:vAlign w:val="center"/>
          </w:tcPr>
          <w:p w14:paraId="48115921" w14:textId="7AA464B4" w:rsidR="002529B7" w:rsidRPr="003D741A" w:rsidRDefault="003D741A" w:rsidP="00DA78CD">
            <w:pPr>
              <w:jc w:val="center"/>
              <w:rPr>
                <w:rFonts w:ascii="Times New Roman" w:eastAsia="Times New Roman" w:hAnsi="Times New Roman" w:cs="Times New Roman"/>
                <w:color w:val="000000"/>
                <w:sz w:val="22"/>
                <w:szCs w:val="22"/>
              </w:rPr>
            </w:pPr>
            <w:r w:rsidRPr="003D741A">
              <w:rPr>
                <w:rFonts w:ascii="Times New Roman" w:eastAsia="Times New Roman" w:hAnsi="Times New Roman" w:cs="Times New Roman"/>
                <w:color w:val="000000"/>
                <w:sz w:val="22"/>
                <w:szCs w:val="22"/>
              </w:rPr>
              <w:t>8,888</w:t>
            </w:r>
          </w:p>
        </w:tc>
        <w:tc>
          <w:tcPr>
            <w:tcW w:w="745" w:type="pct"/>
            <w:tcBorders>
              <w:top w:val="single" w:sz="4" w:space="0" w:color="auto"/>
            </w:tcBorders>
            <w:shd w:val="clear" w:color="auto" w:fill="auto"/>
            <w:vAlign w:val="center"/>
            <w:hideMark/>
          </w:tcPr>
          <w:p w14:paraId="5C952EEA" w14:textId="77777777" w:rsidR="002529B7" w:rsidRPr="003D741A" w:rsidRDefault="002529B7" w:rsidP="00DA78CD">
            <w:pPr>
              <w:jc w:val="center"/>
              <w:rPr>
                <w:rFonts w:ascii="Times New Roman" w:eastAsia="Times New Roman" w:hAnsi="Times New Roman" w:cs="Times New Roman"/>
                <w:color w:val="000000"/>
                <w:sz w:val="22"/>
                <w:szCs w:val="22"/>
              </w:rPr>
            </w:pPr>
            <w:r w:rsidRPr="003D741A">
              <w:rPr>
                <w:rFonts w:ascii="Times New Roman" w:eastAsia="Times New Roman" w:hAnsi="Times New Roman" w:cs="Times New Roman"/>
                <w:color w:val="000000"/>
                <w:sz w:val="22"/>
                <w:szCs w:val="22"/>
              </w:rPr>
              <w:t>1</w:t>
            </w:r>
          </w:p>
        </w:tc>
        <w:tc>
          <w:tcPr>
            <w:tcW w:w="659" w:type="pct"/>
            <w:tcBorders>
              <w:top w:val="single" w:sz="4" w:space="0" w:color="auto"/>
            </w:tcBorders>
            <w:shd w:val="clear" w:color="auto" w:fill="auto"/>
            <w:vAlign w:val="center"/>
            <w:hideMark/>
          </w:tcPr>
          <w:p w14:paraId="62359E5F" w14:textId="7634DABA" w:rsidR="002529B7" w:rsidRPr="003D741A" w:rsidRDefault="003D741A" w:rsidP="00DA78CD">
            <w:pPr>
              <w:jc w:val="center"/>
              <w:rPr>
                <w:rFonts w:ascii="Times New Roman" w:eastAsia="Times New Roman" w:hAnsi="Times New Roman" w:cs="Times New Roman"/>
                <w:color w:val="000000"/>
                <w:sz w:val="22"/>
                <w:szCs w:val="22"/>
              </w:rPr>
            </w:pPr>
            <w:r w:rsidRPr="003D741A">
              <w:rPr>
                <w:rFonts w:ascii="Times New Roman" w:eastAsia="Times New Roman" w:hAnsi="Times New Roman" w:cs="Times New Roman"/>
                <w:color w:val="000000"/>
                <w:sz w:val="22"/>
                <w:szCs w:val="22"/>
              </w:rPr>
              <w:t>8,888</w:t>
            </w:r>
          </w:p>
        </w:tc>
        <w:tc>
          <w:tcPr>
            <w:tcW w:w="757" w:type="pct"/>
            <w:tcBorders>
              <w:top w:val="single" w:sz="4" w:space="0" w:color="auto"/>
            </w:tcBorders>
            <w:shd w:val="clear" w:color="auto" w:fill="auto"/>
            <w:vAlign w:val="center"/>
            <w:hideMark/>
          </w:tcPr>
          <w:p w14:paraId="6FF8826D" w14:textId="25620CE3" w:rsidR="002529B7" w:rsidRPr="003D741A" w:rsidRDefault="002529B7" w:rsidP="00DA78CD">
            <w:pPr>
              <w:jc w:val="center"/>
              <w:rPr>
                <w:rFonts w:ascii="Times New Roman" w:eastAsia="Times New Roman" w:hAnsi="Times New Roman" w:cs="Times New Roman"/>
                <w:color w:val="000000"/>
                <w:sz w:val="22"/>
                <w:szCs w:val="22"/>
              </w:rPr>
            </w:pPr>
            <w:r w:rsidRPr="003D741A">
              <w:rPr>
                <w:rFonts w:ascii="Times New Roman" w:eastAsia="Times New Roman" w:hAnsi="Times New Roman" w:cs="Times New Roman"/>
                <w:color w:val="000000"/>
                <w:sz w:val="22"/>
                <w:szCs w:val="22"/>
              </w:rPr>
              <w:t>0.0</w:t>
            </w:r>
            <w:r w:rsidR="00D64707" w:rsidRPr="003D741A">
              <w:rPr>
                <w:rFonts w:ascii="Times New Roman" w:eastAsia="Times New Roman" w:hAnsi="Times New Roman" w:cs="Times New Roman"/>
                <w:color w:val="000000"/>
                <w:sz w:val="22"/>
                <w:szCs w:val="22"/>
              </w:rPr>
              <w:t>1</w:t>
            </w:r>
            <w:r w:rsidR="00EA1772">
              <w:rPr>
                <w:rFonts w:ascii="Times New Roman" w:eastAsia="Times New Roman" w:hAnsi="Times New Roman" w:cs="Times New Roman"/>
                <w:color w:val="000000"/>
                <w:sz w:val="22"/>
                <w:szCs w:val="22"/>
              </w:rPr>
              <w:t>66</w:t>
            </w:r>
          </w:p>
          <w:p w14:paraId="3E099AC6" w14:textId="59B6DD8E" w:rsidR="009529AB" w:rsidRPr="003D741A" w:rsidRDefault="009529AB" w:rsidP="00DA78CD">
            <w:pPr>
              <w:jc w:val="center"/>
              <w:rPr>
                <w:rFonts w:ascii="Times New Roman" w:eastAsia="Times New Roman" w:hAnsi="Times New Roman" w:cs="Times New Roman"/>
                <w:color w:val="000000"/>
                <w:sz w:val="22"/>
                <w:szCs w:val="22"/>
              </w:rPr>
            </w:pPr>
            <w:r w:rsidRPr="003D741A">
              <w:rPr>
                <w:rFonts w:ascii="Times New Roman" w:eastAsia="Times New Roman" w:hAnsi="Times New Roman" w:cs="Times New Roman"/>
                <w:color w:val="000000"/>
                <w:sz w:val="22"/>
                <w:szCs w:val="22"/>
              </w:rPr>
              <w:t>(</w:t>
            </w:r>
            <w:r w:rsidR="00D64707" w:rsidRPr="003D741A">
              <w:rPr>
                <w:rFonts w:ascii="Times New Roman" w:eastAsia="Times New Roman" w:hAnsi="Times New Roman" w:cs="Times New Roman"/>
                <w:color w:val="000000"/>
                <w:sz w:val="22"/>
                <w:szCs w:val="22"/>
              </w:rPr>
              <w:t>1</w:t>
            </w:r>
            <w:r w:rsidRPr="003D741A">
              <w:rPr>
                <w:rFonts w:ascii="Times New Roman" w:eastAsia="Times New Roman" w:hAnsi="Times New Roman" w:cs="Times New Roman"/>
                <w:color w:val="000000"/>
                <w:sz w:val="22"/>
                <w:szCs w:val="22"/>
              </w:rPr>
              <w:t xml:space="preserve"> min)</w:t>
            </w:r>
          </w:p>
        </w:tc>
        <w:tc>
          <w:tcPr>
            <w:tcW w:w="546" w:type="pct"/>
            <w:tcBorders>
              <w:top w:val="single" w:sz="4" w:space="0" w:color="auto"/>
            </w:tcBorders>
            <w:shd w:val="clear" w:color="auto" w:fill="auto"/>
            <w:vAlign w:val="center"/>
          </w:tcPr>
          <w:p w14:paraId="118365DD" w14:textId="1BCEB1E5" w:rsidR="002529B7" w:rsidRPr="003D741A" w:rsidRDefault="003D741A" w:rsidP="00DA78CD">
            <w:pPr>
              <w:jc w:val="center"/>
              <w:rPr>
                <w:rFonts w:ascii="Times New Roman" w:eastAsia="Times New Roman" w:hAnsi="Times New Roman" w:cs="Times New Roman"/>
                <w:color w:val="000000"/>
                <w:sz w:val="22"/>
                <w:szCs w:val="22"/>
              </w:rPr>
            </w:pPr>
            <w:r w:rsidRPr="003D741A">
              <w:rPr>
                <w:rFonts w:ascii="Times New Roman" w:eastAsia="Times New Roman" w:hAnsi="Times New Roman" w:cs="Times New Roman"/>
                <w:color w:val="000000"/>
                <w:sz w:val="22"/>
                <w:szCs w:val="22"/>
              </w:rPr>
              <w:t>1</w:t>
            </w:r>
            <w:r w:rsidR="002D2876">
              <w:rPr>
                <w:rFonts w:ascii="Times New Roman" w:eastAsia="Times New Roman" w:hAnsi="Times New Roman" w:cs="Times New Roman"/>
                <w:color w:val="000000"/>
                <w:sz w:val="22"/>
                <w:szCs w:val="22"/>
              </w:rPr>
              <w:t>48</w:t>
            </w:r>
          </w:p>
        </w:tc>
      </w:tr>
      <w:tr w:rsidR="001618FD" w:rsidRPr="004432BE" w14:paraId="514CF94E" w14:textId="77777777" w:rsidTr="00DA78CD">
        <w:trPr>
          <w:trHeight w:val="759"/>
        </w:trPr>
        <w:tc>
          <w:tcPr>
            <w:tcW w:w="711" w:type="pct"/>
            <w:shd w:val="clear" w:color="auto" w:fill="auto"/>
            <w:vAlign w:val="center"/>
          </w:tcPr>
          <w:p w14:paraId="58C66E38" w14:textId="224EF1C0" w:rsidR="001618FD" w:rsidRPr="003D741A" w:rsidRDefault="001618FD" w:rsidP="00DA78CD">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Parent</w:t>
            </w:r>
          </w:p>
        </w:tc>
        <w:tc>
          <w:tcPr>
            <w:tcW w:w="823" w:type="pct"/>
            <w:shd w:val="clear" w:color="auto" w:fill="auto"/>
            <w:vAlign w:val="center"/>
          </w:tcPr>
          <w:p w14:paraId="4F7F47D0" w14:textId="3AEAEF53" w:rsidR="001618FD" w:rsidRPr="003D741A" w:rsidRDefault="001618FD" w:rsidP="00DA78CD">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Parent recruitment email</w:t>
            </w:r>
          </w:p>
        </w:tc>
        <w:tc>
          <w:tcPr>
            <w:tcW w:w="758" w:type="pct"/>
            <w:shd w:val="clear" w:color="auto" w:fill="auto"/>
            <w:vAlign w:val="center"/>
          </w:tcPr>
          <w:p w14:paraId="60F2DEDC" w14:textId="6003447B" w:rsidR="001618FD" w:rsidRPr="003D741A" w:rsidRDefault="001618FD" w:rsidP="00DA78CD">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8,888</w:t>
            </w:r>
          </w:p>
        </w:tc>
        <w:tc>
          <w:tcPr>
            <w:tcW w:w="745" w:type="pct"/>
            <w:shd w:val="clear" w:color="auto" w:fill="auto"/>
            <w:vAlign w:val="center"/>
          </w:tcPr>
          <w:p w14:paraId="605C9821" w14:textId="7866FA1F" w:rsidR="001618FD" w:rsidRPr="003D741A" w:rsidRDefault="001618FD" w:rsidP="00DA78CD">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p>
        </w:tc>
        <w:tc>
          <w:tcPr>
            <w:tcW w:w="659" w:type="pct"/>
            <w:shd w:val="clear" w:color="auto" w:fill="auto"/>
            <w:vAlign w:val="center"/>
          </w:tcPr>
          <w:p w14:paraId="5B450DA4" w14:textId="190A6876" w:rsidR="001618FD" w:rsidRPr="003D741A" w:rsidRDefault="001618FD" w:rsidP="00DA78CD">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8,888</w:t>
            </w:r>
          </w:p>
        </w:tc>
        <w:tc>
          <w:tcPr>
            <w:tcW w:w="757" w:type="pct"/>
            <w:shd w:val="clear" w:color="auto" w:fill="auto"/>
            <w:vAlign w:val="center"/>
          </w:tcPr>
          <w:p w14:paraId="2F84CD70" w14:textId="77777777" w:rsidR="001618FD" w:rsidRDefault="001618FD" w:rsidP="00DA78CD">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.0166</w:t>
            </w:r>
          </w:p>
          <w:p w14:paraId="03293CC0" w14:textId="50172C5D" w:rsidR="001618FD" w:rsidRPr="003D741A" w:rsidRDefault="001618FD" w:rsidP="00DA78CD">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min)</w:t>
            </w:r>
          </w:p>
        </w:tc>
        <w:tc>
          <w:tcPr>
            <w:tcW w:w="546" w:type="pct"/>
            <w:shd w:val="clear" w:color="auto" w:fill="auto"/>
            <w:vAlign w:val="center"/>
          </w:tcPr>
          <w:p w14:paraId="600C4201" w14:textId="3BF635AF" w:rsidR="001618FD" w:rsidRDefault="001618FD" w:rsidP="00DA78CD">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148</w:t>
            </w:r>
          </w:p>
        </w:tc>
      </w:tr>
      <w:tr w:rsidR="002529B7" w:rsidRPr="004432BE" w14:paraId="18057C36" w14:textId="77777777" w:rsidTr="00DA78CD">
        <w:trPr>
          <w:trHeight w:val="759"/>
        </w:trPr>
        <w:tc>
          <w:tcPr>
            <w:tcW w:w="711" w:type="pct"/>
            <w:shd w:val="clear" w:color="auto" w:fill="auto"/>
            <w:vAlign w:val="center"/>
            <w:hideMark/>
          </w:tcPr>
          <w:p w14:paraId="66B82BAE" w14:textId="33726939" w:rsidR="002529B7" w:rsidRPr="003D741A" w:rsidRDefault="00D64707" w:rsidP="00DA78CD">
            <w:pPr>
              <w:rPr>
                <w:rFonts w:ascii="Times New Roman" w:eastAsia="Times New Roman" w:hAnsi="Times New Roman" w:cs="Times New Roman"/>
                <w:color w:val="000000"/>
                <w:sz w:val="22"/>
                <w:szCs w:val="22"/>
              </w:rPr>
            </w:pPr>
            <w:r w:rsidRPr="003D741A">
              <w:rPr>
                <w:rFonts w:ascii="Times New Roman" w:eastAsia="Times New Roman" w:hAnsi="Times New Roman" w:cs="Times New Roman"/>
                <w:color w:val="000000"/>
                <w:sz w:val="22"/>
                <w:szCs w:val="22"/>
              </w:rPr>
              <w:t>Youth</w:t>
            </w:r>
          </w:p>
        </w:tc>
        <w:tc>
          <w:tcPr>
            <w:tcW w:w="823" w:type="pct"/>
            <w:shd w:val="clear" w:color="auto" w:fill="auto"/>
            <w:vAlign w:val="center"/>
            <w:hideMark/>
          </w:tcPr>
          <w:p w14:paraId="427099FD" w14:textId="5DB4EAD2" w:rsidR="002529B7" w:rsidRPr="003D741A" w:rsidRDefault="00D64707" w:rsidP="00DA78CD">
            <w:pPr>
              <w:jc w:val="center"/>
              <w:rPr>
                <w:rFonts w:ascii="Times New Roman" w:eastAsia="Times New Roman" w:hAnsi="Times New Roman" w:cs="Times New Roman"/>
                <w:color w:val="000000"/>
                <w:sz w:val="22"/>
                <w:szCs w:val="22"/>
              </w:rPr>
            </w:pPr>
            <w:r w:rsidRPr="003D741A">
              <w:rPr>
                <w:rFonts w:ascii="Times New Roman" w:eastAsia="Times New Roman" w:hAnsi="Times New Roman" w:cs="Times New Roman"/>
                <w:color w:val="000000"/>
                <w:sz w:val="22"/>
                <w:szCs w:val="22"/>
              </w:rPr>
              <w:t>Youth assent and screener</w:t>
            </w:r>
          </w:p>
        </w:tc>
        <w:tc>
          <w:tcPr>
            <w:tcW w:w="758" w:type="pct"/>
            <w:shd w:val="clear" w:color="auto" w:fill="auto"/>
            <w:vAlign w:val="center"/>
          </w:tcPr>
          <w:p w14:paraId="74D04856" w14:textId="758DC8B4" w:rsidR="002529B7" w:rsidRPr="003D741A" w:rsidRDefault="003D741A" w:rsidP="00DA78CD">
            <w:pPr>
              <w:jc w:val="center"/>
              <w:rPr>
                <w:rFonts w:ascii="Times New Roman" w:eastAsia="Times New Roman" w:hAnsi="Times New Roman" w:cs="Times New Roman"/>
                <w:color w:val="000000"/>
                <w:sz w:val="22"/>
                <w:szCs w:val="22"/>
              </w:rPr>
            </w:pPr>
            <w:r w:rsidRPr="003D741A">
              <w:rPr>
                <w:rFonts w:ascii="Times New Roman" w:eastAsia="Times New Roman" w:hAnsi="Times New Roman" w:cs="Times New Roman"/>
                <w:color w:val="000000"/>
                <w:sz w:val="22"/>
                <w:szCs w:val="22"/>
              </w:rPr>
              <w:t>6,222</w:t>
            </w:r>
          </w:p>
        </w:tc>
        <w:tc>
          <w:tcPr>
            <w:tcW w:w="745" w:type="pct"/>
            <w:shd w:val="clear" w:color="auto" w:fill="auto"/>
            <w:vAlign w:val="center"/>
            <w:hideMark/>
          </w:tcPr>
          <w:p w14:paraId="75740BBE" w14:textId="77777777" w:rsidR="002529B7" w:rsidRPr="003D741A" w:rsidRDefault="002529B7" w:rsidP="00DA78CD">
            <w:pPr>
              <w:jc w:val="center"/>
              <w:rPr>
                <w:rFonts w:ascii="Times New Roman" w:eastAsia="Times New Roman" w:hAnsi="Times New Roman" w:cs="Times New Roman"/>
                <w:color w:val="000000"/>
                <w:sz w:val="22"/>
                <w:szCs w:val="22"/>
              </w:rPr>
            </w:pPr>
            <w:r w:rsidRPr="003D741A">
              <w:rPr>
                <w:rFonts w:ascii="Times New Roman" w:eastAsia="Times New Roman" w:hAnsi="Times New Roman" w:cs="Times New Roman"/>
                <w:color w:val="000000"/>
                <w:sz w:val="22"/>
                <w:szCs w:val="22"/>
              </w:rPr>
              <w:t>1</w:t>
            </w:r>
          </w:p>
        </w:tc>
        <w:tc>
          <w:tcPr>
            <w:tcW w:w="659" w:type="pct"/>
            <w:shd w:val="clear" w:color="auto" w:fill="auto"/>
            <w:vAlign w:val="center"/>
            <w:hideMark/>
          </w:tcPr>
          <w:p w14:paraId="7FF365A4" w14:textId="616FFDD6" w:rsidR="002529B7" w:rsidRPr="003D741A" w:rsidRDefault="003D741A" w:rsidP="00DA78CD">
            <w:pPr>
              <w:jc w:val="center"/>
              <w:rPr>
                <w:rFonts w:ascii="Times New Roman" w:eastAsia="Times New Roman" w:hAnsi="Times New Roman" w:cs="Times New Roman"/>
                <w:color w:val="000000"/>
                <w:sz w:val="22"/>
                <w:szCs w:val="22"/>
              </w:rPr>
            </w:pPr>
            <w:r w:rsidRPr="003D741A">
              <w:rPr>
                <w:rFonts w:ascii="Times New Roman" w:eastAsia="Times New Roman" w:hAnsi="Times New Roman" w:cs="Times New Roman"/>
                <w:color w:val="000000"/>
                <w:sz w:val="22"/>
                <w:szCs w:val="22"/>
              </w:rPr>
              <w:t>6,222</w:t>
            </w:r>
          </w:p>
        </w:tc>
        <w:tc>
          <w:tcPr>
            <w:tcW w:w="757" w:type="pct"/>
            <w:shd w:val="clear" w:color="auto" w:fill="auto"/>
            <w:vAlign w:val="center"/>
            <w:hideMark/>
          </w:tcPr>
          <w:p w14:paraId="3007F788" w14:textId="3D951D88" w:rsidR="002529B7" w:rsidRPr="003D741A" w:rsidRDefault="002529B7" w:rsidP="00DA78CD">
            <w:pPr>
              <w:jc w:val="center"/>
              <w:rPr>
                <w:rFonts w:ascii="Times New Roman" w:eastAsia="Times New Roman" w:hAnsi="Times New Roman" w:cs="Times New Roman"/>
                <w:color w:val="000000"/>
                <w:sz w:val="22"/>
                <w:szCs w:val="22"/>
              </w:rPr>
            </w:pPr>
            <w:r w:rsidRPr="003D741A">
              <w:rPr>
                <w:rFonts w:ascii="Times New Roman" w:eastAsia="Times New Roman" w:hAnsi="Times New Roman" w:cs="Times New Roman"/>
                <w:color w:val="000000"/>
                <w:sz w:val="22"/>
                <w:szCs w:val="22"/>
              </w:rPr>
              <w:t>0.0</w:t>
            </w:r>
            <w:r w:rsidR="007B6A07">
              <w:rPr>
                <w:rFonts w:ascii="Times New Roman" w:eastAsia="Times New Roman" w:hAnsi="Times New Roman" w:cs="Times New Roman"/>
                <w:color w:val="000000"/>
                <w:sz w:val="22"/>
                <w:szCs w:val="22"/>
              </w:rPr>
              <w:t>6</w:t>
            </w:r>
            <w:r w:rsidR="00CF60E9">
              <w:rPr>
                <w:rFonts w:ascii="Times New Roman" w:eastAsia="Times New Roman" w:hAnsi="Times New Roman" w:cs="Times New Roman"/>
                <w:color w:val="000000"/>
                <w:sz w:val="22"/>
                <w:szCs w:val="22"/>
              </w:rPr>
              <w:t>666</w:t>
            </w:r>
          </w:p>
          <w:p w14:paraId="378F3AE4" w14:textId="0FDD39E6" w:rsidR="009529AB" w:rsidRPr="003D741A" w:rsidRDefault="009529AB" w:rsidP="00DA78CD">
            <w:pPr>
              <w:jc w:val="center"/>
              <w:rPr>
                <w:rFonts w:ascii="Times New Roman" w:eastAsia="Times New Roman" w:hAnsi="Times New Roman" w:cs="Times New Roman"/>
                <w:color w:val="000000"/>
                <w:sz w:val="22"/>
                <w:szCs w:val="22"/>
              </w:rPr>
            </w:pPr>
            <w:r w:rsidRPr="003D741A">
              <w:rPr>
                <w:rFonts w:ascii="Times New Roman" w:eastAsia="Times New Roman" w:hAnsi="Times New Roman" w:cs="Times New Roman"/>
                <w:color w:val="000000"/>
                <w:sz w:val="22"/>
                <w:szCs w:val="22"/>
              </w:rPr>
              <w:t>(</w:t>
            </w:r>
            <w:r w:rsidR="007B6A07">
              <w:rPr>
                <w:rFonts w:ascii="Times New Roman" w:eastAsia="Times New Roman" w:hAnsi="Times New Roman" w:cs="Times New Roman"/>
                <w:color w:val="000000"/>
                <w:sz w:val="22"/>
                <w:szCs w:val="22"/>
              </w:rPr>
              <w:t>4</w:t>
            </w:r>
            <w:r w:rsidRPr="003D741A">
              <w:rPr>
                <w:rFonts w:ascii="Times New Roman" w:eastAsia="Times New Roman" w:hAnsi="Times New Roman" w:cs="Times New Roman"/>
                <w:color w:val="000000"/>
                <w:sz w:val="22"/>
                <w:szCs w:val="22"/>
              </w:rPr>
              <w:t xml:space="preserve"> min)</w:t>
            </w:r>
          </w:p>
        </w:tc>
        <w:tc>
          <w:tcPr>
            <w:tcW w:w="546" w:type="pct"/>
            <w:shd w:val="clear" w:color="auto" w:fill="auto"/>
            <w:vAlign w:val="center"/>
          </w:tcPr>
          <w:p w14:paraId="0CD30F7A" w14:textId="729ADD36" w:rsidR="002529B7" w:rsidRPr="003D741A" w:rsidRDefault="007B6A07" w:rsidP="00DA78CD">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41</w:t>
            </w:r>
            <w:r w:rsidR="002D2876">
              <w:rPr>
                <w:rFonts w:ascii="Times New Roman" w:eastAsia="Times New Roman" w:hAnsi="Times New Roman" w:cs="Times New Roman"/>
                <w:color w:val="000000"/>
                <w:sz w:val="22"/>
                <w:szCs w:val="22"/>
              </w:rPr>
              <w:t>5</w:t>
            </w:r>
          </w:p>
        </w:tc>
      </w:tr>
      <w:tr w:rsidR="002529B7" w:rsidRPr="004432BE" w14:paraId="677317E6" w14:textId="77777777" w:rsidTr="00DA78CD">
        <w:trPr>
          <w:trHeight w:val="759"/>
        </w:trPr>
        <w:tc>
          <w:tcPr>
            <w:tcW w:w="711" w:type="pct"/>
            <w:shd w:val="clear" w:color="auto" w:fill="auto"/>
            <w:vAlign w:val="center"/>
            <w:hideMark/>
          </w:tcPr>
          <w:p w14:paraId="257AE2A2" w14:textId="7D8D8A1B" w:rsidR="002529B7" w:rsidRPr="003D741A" w:rsidRDefault="00D64707" w:rsidP="00DA78CD">
            <w:pPr>
              <w:rPr>
                <w:rFonts w:ascii="Times New Roman" w:eastAsia="Times New Roman" w:hAnsi="Times New Roman" w:cs="Times New Roman"/>
                <w:color w:val="000000"/>
                <w:sz w:val="22"/>
                <w:szCs w:val="22"/>
              </w:rPr>
            </w:pPr>
            <w:r w:rsidRPr="003D741A">
              <w:rPr>
                <w:rFonts w:ascii="Times New Roman" w:eastAsia="Times New Roman" w:hAnsi="Times New Roman" w:cs="Times New Roman"/>
                <w:color w:val="000000"/>
                <w:sz w:val="22"/>
                <w:szCs w:val="22"/>
              </w:rPr>
              <w:t>Youth</w:t>
            </w:r>
          </w:p>
        </w:tc>
        <w:tc>
          <w:tcPr>
            <w:tcW w:w="823" w:type="pct"/>
            <w:shd w:val="clear" w:color="auto" w:fill="auto"/>
            <w:vAlign w:val="center"/>
            <w:hideMark/>
          </w:tcPr>
          <w:p w14:paraId="76553179" w14:textId="27D39A42" w:rsidR="002529B7" w:rsidRPr="003D741A" w:rsidRDefault="00D64707" w:rsidP="00DA78CD">
            <w:pPr>
              <w:jc w:val="center"/>
              <w:rPr>
                <w:rFonts w:ascii="Times New Roman" w:eastAsia="Times New Roman" w:hAnsi="Times New Roman" w:cs="Times New Roman"/>
                <w:color w:val="000000"/>
                <w:sz w:val="22"/>
                <w:szCs w:val="22"/>
              </w:rPr>
            </w:pPr>
            <w:r w:rsidRPr="003D741A">
              <w:rPr>
                <w:rFonts w:ascii="Times New Roman" w:eastAsia="Times New Roman" w:hAnsi="Times New Roman" w:cs="Times New Roman"/>
                <w:color w:val="000000"/>
                <w:sz w:val="22"/>
                <w:szCs w:val="22"/>
              </w:rPr>
              <w:t>Youth questionnaire completion</w:t>
            </w:r>
          </w:p>
        </w:tc>
        <w:tc>
          <w:tcPr>
            <w:tcW w:w="758" w:type="pct"/>
            <w:shd w:val="clear" w:color="auto" w:fill="auto"/>
            <w:vAlign w:val="center"/>
          </w:tcPr>
          <w:p w14:paraId="3D57D9E1" w14:textId="34A9D281" w:rsidR="002529B7" w:rsidRPr="003D741A" w:rsidRDefault="00D64707" w:rsidP="00DA78CD">
            <w:pPr>
              <w:jc w:val="center"/>
              <w:rPr>
                <w:rFonts w:ascii="Times New Roman" w:eastAsia="Times New Roman" w:hAnsi="Times New Roman" w:cs="Times New Roman"/>
                <w:color w:val="000000"/>
                <w:sz w:val="22"/>
                <w:szCs w:val="22"/>
              </w:rPr>
            </w:pPr>
            <w:r w:rsidRPr="003D741A">
              <w:rPr>
                <w:rFonts w:ascii="Times New Roman" w:eastAsia="Times New Roman" w:hAnsi="Times New Roman" w:cs="Times New Roman"/>
                <w:color w:val="000000"/>
                <w:sz w:val="22"/>
                <w:szCs w:val="22"/>
              </w:rPr>
              <w:t>1,600</w:t>
            </w:r>
          </w:p>
        </w:tc>
        <w:tc>
          <w:tcPr>
            <w:tcW w:w="745" w:type="pct"/>
            <w:shd w:val="clear" w:color="auto" w:fill="auto"/>
            <w:vAlign w:val="center"/>
            <w:hideMark/>
          </w:tcPr>
          <w:p w14:paraId="6E4E6E5E" w14:textId="77777777" w:rsidR="002529B7" w:rsidRPr="003D741A" w:rsidRDefault="002529B7" w:rsidP="00DA78CD">
            <w:pPr>
              <w:jc w:val="center"/>
              <w:rPr>
                <w:rFonts w:ascii="Times New Roman" w:eastAsia="Times New Roman" w:hAnsi="Times New Roman" w:cs="Times New Roman"/>
                <w:color w:val="000000"/>
                <w:sz w:val="22"/>
                <w:szCs w:val="22"/>
              </w:rPr>
            </w:pPr>
            <w:r w:rsidRPr="003D741A">
              <w:rPr>
                <w:rFonts w:ascii="Times New Roman" w:eastAsia="Times New Roman" w:hAnsi="Times New Roman" w:cs="Times New Roman"/>
                <w:color w:val="000000"/>
                <w:sz w:val="22"/>
                <w:szCs w:val="22"/>
              </w:rPr>
              <w:t>1</w:t>
            </w:r>
          </w:p>
        </w:tc>
        <w:tc>
          <w:tcPr>
            <w:tcW w:w="659" w:type="pct"/>
            <w:shd w:val="clear" w:color="auto" w:fill="auto"/>
            <w:vAlign w:val="center"/>
            <w:hideMark/>
          </w:tcPr>
          <w:p w14:paraId="51ECFFFD" w14:textId="71FD79D3" w:rsidR="002529B7" w:rsidRPr="003D741A" w:rsidRDefault="00D64707" w:rsidP="00DA78CD">
            <w:pPr>
              <w:jc w:val="center"/>
              <w:rPr>
                <w:rFonts w:ascii="Times New Roman" w:eastAsia="Times New Roman" w:hAnsi="Times New Roman" w:cs="Times New Roman"/>
                <w:color w:val="000000"/>
                <w:sz w:val="22"/>
                <w:szCs w:val="22"/>
              </w:rPr>
            </w:pPr>
            <w:r w:rsidRPr="003D741A">
              <w:rPr>
                <w:rFonts w:ascii="Times New Roman" w:eastAsia="Times New Roman" w:hAnsi="Times New Roman" w:cs="Times New Roman"/>
                <w:color w:val="000000"/>
                <w:sz w:val="22"/>
                <w:szCs w:val="22"/>
              </w:rPr>
              <w:t>1,600</w:t>
            </w:r>
          </w:p>
        </w:tc>
        <w:tc>
          <w:tcPr>
            <w:tcW w:w="757" w:type="pct"/>
            <w:shd w:val="clear" w:color="auto" w:fill="auto"/>
            <w:vAlign w:val="center"/>
            <w:hideMark/>
          </w:tcPr>
          <w:p w14:paraId="23127B18" w14:textId="77777777" w:rsidR="00D64707" w:rsidRPr="003D741A" w:rsidRDefault="00D64707" w:rsidP="00DA78CD">
            <w:pPr>
              <w:jc w:val="center"/>
              <w:rPr>
                <w:rFonts w:ascii="Times New Roman" w:eastAsia="Times New Roman" w:hAnsi="Times New Roman" w:cs="Times New Roman"/>
                <w:color w:val="000000"/>
                <w:sz w:val="22"/>
                <w:szCs w:val="22"/>
              </w:rPr>
            </w:pPr>
            <w:r w:rsidRPr="003D741A">
              <w:rPr>
                <w:rFonts w:ascii="Times New Roman" w:eastAsia="Times New Roman" w:hAnsi="Times New Roman" w:cs="Times New Roman"/>
                <w:color w:val="000000"/>
                <w:sz w:val="22"/>
                <w:szCs w:val="22"/>
              </w:rPr>
              <w:t>0.30</w:t>
            </w:r>
          </w:p>
          <w:p w14:paraId="0C255FB6" w14:textId="1708FD25" w:rsidR="009529AB" w:rsidRPr="003D741A" w:rsidRDefault="00D64707" w:rsidP="00DA78CD">
            <w:pPr>
              <w:jc w:val="center"/>
              <w:rPr>
                <w:rFonts w:ascii="Times New Roman" w:eastAsia="Times New Roman" w:hAnsi="Times New Roman" w:cs="Times New Roman"/>
                <w:color w:val="000000"/>
                <w:sz w:val="22"/>
                <w:szCs w:val="22"/>
              </w:rPr>
            </w:pPr>
            <w:r w:rsidRPr="003D741A">
              <w:rPr>
                <w:rFonts w:ascii="Times New Roman" w:eastAsia="Times New Roman" w:hAnsi="Times New Roman" w:cs="Times New Roman"/>
                <w:color w:val="000000"/>
                <w:sz w:val="22"/>
                <w:szCs w:val="22"/>
              </w:rPr>
              <w:t>(18 min)</w:t>
            </w:r>
          </w:p>
        </w:tc>
        <w:tc>
          <w:tcPr>
            <w:tcW w:w="546" w:type="pct"/>
            <w:shd w:val="clear" w:color="auto" w:fill="auto"/>
            <w:vAlign w:val="center"/>
          </w:tcPr>
          <w:p w14:paraId="10D57195" w14:textId="6AA11F48" w:rsidR="002529B7" w:rsidRPr="003D741A" w:rsidRDefault="00D64707" w:rsidP="00DA78CD">
            <w:pPr>
              <w:jc w:val="center"/>
              <w:rPr>
                <w:rFonts w:ascii="Times New Roman" w:eastAsia="Times New Roman" w:hAnsi="Times New Roman" w:cs="Times New Roman"/>
                <w:color w:val="000000"/>
                <w:sz w:val="22"/>
                <w:szCs w:val="22"/>
              </w:rPr>
            </w:pPr>
            <w:r w:rsidRPr="003D741A">
              <w:rPr>
                <w:rFonts w:ascii="Times New Roman" w:eastAsia="Times New Roman" w:hAnsi="Times New Roman" w:cs="Times New Roman"/>
                <w:color w:val="000000"/>
                <w:sz w:val="22"/>
                <w:szCs w:val="22"/>
              </w:rPr>
              <w:t>480</w:t>
            </w:r>
          </w:p>
        </w:tc>
      </w:tr>
      <w:tr w:rsidR="002529B7" w:rsidRPr="004432BE" w14:paraId="038CED4F" w14:textId="77777777" w:rsidTr="00DA78CD">
        <w:trPr>
          <w:trHeight w:val="759"/>
        </w:trPr>
        <w:tc>
          <w:tcPr>
            <w:tcW w:w="711" w:type="pct"/>
            <w:tcBorders>
              <w:bottom w:val="single" w:sz="12" w:space="0" w:color="auto"/>
            </w:tcBorders>
            <w:shd w:val="clear" w:color="auto" w:fill="auto"/>
            <w:vAlign w:val="center"/>
            <w:hideMark/>
          </w:tcPr>
          <w:p w14:paraId="55F63B6E" w14:textId="77777777" w:rsidR="002529B7" w:rsidRPr="003D741A" w:rsidRDefault="002529B7" w:rsidP="00DA78CD">
            <w:pPr>
              <w:rPr>
                <w:rFonts w:ascii="Times New Roman" w:eastAsia="Times New Roman" w:hAnsi="Times New Roman" w:cs="Times New Roman"/>
                <w:b/>
                <w:bCs/>
                <w:color w:val="000000"/>
                <w:sz w:val="22"/>
                <w:szCs w:val="22"/>
              </w:rPr>
            </w:pPr>
            <w:r w:rsidRPr="003D741A">
              <w:rPr>
                <w:rFonts w:ascii="Times New Roman" w:eastAsia="Times New Roman" w:hAnsi="Times New Roman" w:cs="Times New Roman"/>
                <w:b/>
                <w:bCs/>
                <w:color w:val="000000"/>
                <w:sz w:val="22"/>
                <w:szCs w:val="22"/>
              </w:rPr>
              <w:t>Total Annualized Hours</w:t>
            </w:r>
          </w:p>
        </w:tc>
        <w:tc>
          <w:tcPr>
            <w:tcW w:w="823" w:type="pct"/>
            <w:tcBorders>
              <w:bottom w:val="single" w:sz="12" w:space="0" w:color="auto"/>
            </w:tcBorders>
            <w:shd w:val="clear" w:color="auto" w:fill="auto"/>
            <w:vAlign w:val="center"/>
            <w:hideMark/>
          </w:tcPr>
          <w:p w14:paraId="6252D2E2" w14:textId="77777777" w:rsidR="002529B7" w:rsidRPr="003D741A" w:rsidRDefault="002529B7" w:rsidP="00DA78CD">
            <w:pPr>
              <w:ind w:firstLineChars="200" w:firstLine="440"/>
              <w:jc w:val="center"/>
              <w:rPr>
                <w:rFonts w:ascii="Times New Roman" w:eastAsia="Times New Roman" w:hAnsi="Times New Roman" w:cs="Times New Roman"/>
                <w:color w:val="000000"/>
                <w:sz w:val="22"/>
                <w:szCs w:val="22"/>
              </w:rPr>
            </w:pPr>
          </w:p>
        </w:tc>
        <w:tc>
          <w:tcPr>
            <w:tcW w:w="758" w:type="pct"/>
            <w:tcBorders>
              <w:bottom w:val="single" w:sz="12" w:space="0" w:color="auto"/>
            </w:tcBorders>
            <w:shd w:val="clear" w:color="auto" w:fill="auto"/>
            <w:vAlign w:val="center"/>
            <w:hideMark/>
          </w:tcPr>
          <w:p w14:paraId="1E7125D5" w14:textId="77777777" w:rsidR="002529B7" w:rsidRPr="003D741A" w:rsidRDefault="002529B7" w:rsidP="00DA78CD">
            <w:pPr>
              <w:jc w:val="center"/>
              <w:rPr>
                <w:rFonts w:ascii="Times New Roman" w:eastAsia="Times New Roman" w:hAnsi="Times New Roman" w:cs="Times New Roman"/>
                <w:b/>
                <w:bCs/>
                <w:color w:val="000000"/>
                <w:sz w:val="22"/>
                <w:szCs w:val="22"/>
              </w:rPr>
            </w:pPr>
          </w:p>
        </w:tc>
        <w:tc>
          <w:tcPr>
            <w:tcW w:w="745" w:type="pct"/>
            <w:tcBorders>
              <w:bottom w:val="single" w:sz="12" w:space="0" w:color="auto"/>
            </w:tcBorders>
            <w:shd w:val="clear" w:color="auto" w:fill="auto"/>
            <w:vAlign w:val="center"/>
            <w:hideMark/>
          </w:tcPr>
          <w:p w14:paraId="75C52E46" w14:textId="77777777" w:rsidR="002529B7" w:rsidRPr="003D741A" w:rsidRDefault="002529B7" w:rsidP="00DA78CD">
            <w:pPr>
              <w:jc w:val="center"/>
              <w:rPr>
                <w:rFonts w:ascii="Times New Roman" w:eastAsia="Times New Roman" w:hAnsi="Times New Roman" w:cs="Times New Roman"/>
                <w:b/>
                <w:bCs/>
                <w:color w:val="000000"/>
                <w:sz w:val="22"/>
                <w:szCs w:val="22"/>
              </w:rPr>
            </w:pPr>
          </w:p>
        </w:tc>
        <w:tc>
          <w:tcPr>
            <w:tcW w:w="659" w:type="pct"/>
            <w:tcBorders>
              <w:bottom w:val="single" w:sz="12" w:space="0" w:color="auto"/>
            </w:tcBorders>
            <w:shd w:val="clear" w:color="auto" w:fill="auto"/>
            <w:vAlign w:val="center"/>
            <w:hideMark/>
          </w:tcPr>
          <w:p w14:paraId="288D21BA" w14:textId="77777777" w:rsidR="002529B7" w:rsidRPr="003D741A" w:rsidRDefault="002529B7" w:rsidP="00DA78CD">
            <w:pPr>
              <w:jc w:val="center"/>
              <w:rPr>
                <w:rFonts w:ascii="Times New Roman" w:eastAsia="Times New Roman" w:hAnsi="Times New Roman" w:cs="Times New Roman"/>
                <w:b/>
                <w:bCs/>
                <w:color w:val="000000"/>
                <w:sz w:val="22"/>
                <w:szCs w:val="22"/>
              </w:rPr>
            </w:pPr>
          </w:p>
        </w:tc>
        <w:tc>
          <w:tcPr>
            <w:tcW w:w="757" w:type="pct"/>
            <w:tcBorders>
              <w:bottom w:val="single" w:sz="12" w:space="0" w:color="auto"/>
            </w:tcBorders>
            <w:shd w:val="clear" w:color="auto" w:fill="auto"/>
            <w:vAlign w:val="center"/>
            <w:hideMark/>
          </w:tcPr>
          <w:p w14:paraId="49539E6F" w14:textId="77777777" w:rsidR="002529B7" w:rsidRPr="003D741A" w:rsidRDefault="002529B7" w:rsidP="00DA78CD">
            <w:pPr>
              <w:jc w:val="center"/>
              <w:rPr>
                <w:rFonts w:ascii="Times New Roman" w:eastAsia="Times New Roman" w:hAnsi="Times New Roman" w:cs="Times New Roman"/>
                <w:b/>
                <w:bCs/>
                <w:color w:val="000000"/>
                <w:sz w:val="22"/>
                <w:szCs w:val="22"/>
              </w:rPr>
            </w:pPr>
          </w:p>
        </w:tc>
        <w:tc>
          <w:tcPr>
            <w:tcW w:w="546" w:type="pct"/>
            <w:tcBorders>
              <w:bottom w:val="single" w:sz="12" w:space="0" w:color="auto"/>
            </w:tcBorders>
            <w:shd w:val="clear" w:color="auto" w:fill="auto"/>
            <w:vAlign w:val="center"/>
            <w:hideMark/>
          </w:tcPr>
          <w:p w14:paraId="27F1D534" w14:textId="7E5155F3" w:rsidR="002529B7" w:rsidRPr="003D741A" w:rsidRDefault="001618FD" w:rsidP="00DA78CD">
            <w:pPr>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1,191</w:t>
            </w:r>
          </w:p>
        </w:tc>
      </w:tr>
    </w:tbl>
    <w:p w14:paraId="10B8C3CA" w14:textId="77777777" w:rsidR="009B5B5A" w:rsidRPr="004432BE" w:rsidRDefault="009B5B5A" w:rsidP="009C6AAC">
      <w:pPr>
        <w:spacing w:after="240"/>
        <w:rPr>
          <w:rFonts w:ascii="Times New Roman" w:hAnsi="Times New Roman" w:cs="Times New Roman"/>
          <w:u w:val="single"/>
        </w:rPr>
      </w:pPr>
    </w:p>
    <w:p w14:paraId="1B3BE3DE" w14:textId="77777777" w:rsidR="009B5B5A" w:rsidRPr="004432BE" w:rsidRDefault="009B5B5A" w:rsidP="009C6AAC">
      <w:pPr>
        <w:spacing w:after="240"/>
        <w:ind w:left="720"/>
        <w:rPr>
          <w:rFonts w:ascii="Times New Roman" w:hAnsi="Times New Roman" w:cs="Times New Roman"/>
          <w:u w:val="single"/>
        </w:rPr>
      </w:pPr>
      <w:r w:rsidRPr="004432BE">
        <w:rPr>
          <w:rFonts w:ascii="Times New Roman" w:hAnsi="Times New Roman" w:cs="Times New Roman"/>
          <w:u w:val="single"/>
        </w:rPr>
        <w:t>12b. Annualized Cost Burden Estimate</w:t>
      </w:r>
    </w:p>
    <w:p w14:paraId="7B14A643" w14:textId="41BFD9E9" w:rsidR="00F37604" w:rsidRPr="004432BE" w:rsidRDefault="009B5B5A" w:rsidP="00C04567">
      <w:pPr>
        <w:spacing w:after="240"/>
        <w:ind w:left="720"/>
        <w:rPr>
          <w:rFonts w:ascii="Times New Roman" w:eastAsia="Times New Roman" w:hAnsi="Times New Roman" w:cs="Times New Roman"/>
        </w:rPr>
      </w:pPr>
      <w:r w:rsidRPr="004432BE">
        <w:rPr>
          <w:rFonts w:ascii="Times New Roman" w:eastAsia="Times New Roman" w:hAnsi="Times New Roman" w:cs="Times New Roman"/>
        </w:rPr>
        <w:t xml:space="preserve">Respondents participate on a voluntary basis and, therefore, are subject to no direct costs other than time to participate. There are also no start-up or maintenance costs. </w:t>
      </w:r>
      <w:r w:rsidR="007B6A07">
        <w:rPr>
          <w:rFonts w:ascii="Times New Roman" w:eastAsia="Times New Roman" w:hAnsi="Times New Roman" w:cs="Times New Roman"/>
        </w:rPr>
        <w:t>RTI</w:t>
      </w:r>
      <w:r w:rsidRPr="004432BE">
        <w:rPr>
          <w:rFonts w:ascii="Times New Roman" w:eastAsia="Times New Roman" w:hAnsi="Times New Roman" w:cs="Times New Roman"/>
        </w:rPr>
        <w:t xml:space="preserve"> has conducted many studies of similar length and content among youth.</w:t>
      </w:r>
    </w:p>
    <w:p w14:paraId="600B24D4" w14:textId="2E674581" w:rsidR="009B5B5A" w:rsidRPr="004432BE" w:rsidRDefault="009B5B5A" w:rsidP="00C04567">
      <w:pPr>
        <w:spacing w:after="240"/>
        <w:ind w:left="720"/>
        <w:rPr>
          <w:rFonts w:ascii="Times New Roman" w:eastAsia="Times New Roman" w:hAnsi="Times New Roman" w:cs="Times New Roman"/>
        </w:rPr>
      </w:pPr>
      <w:r w:rsidRPr="004432BE">
        <w:rPr>
          <w:rFonts w:ascii="Times New Roman" w:eastAsia="Times New Roman" w:hAnsi="Times New Roman" w:cs="Times New Roman"/>
        </w:rPr>
        <w:t>To calculate this cost, an hourly wage of $7.25 was used for youth and $</w:t>
      </w:r>
      <w:r w:rsidR="00642621">
        <w:rPr>
          <w:rFonts w:ascii="Times New Roman" w:eastAsia="Times New Roman" w:hAnsi="Times New Roman" w:cs="Times New Roman"/>
        </w:rPr>
        <w:t>27.56</w:t>
      </w:r>
      <w:r w:rsidRPr="004432BE">
        <w:rPr>
          <w:rFonts w:ascii="Times New Roman" w:eastAsia="Times New Roman" w:hAnsi="Times New Roman" w:cs="Times New Roman"/>
        </w:rPr>
        <w:t xml:space="preserve"> for parents. These prices represent the federal minimum wage and average hourly wages for US</w:t>
      </w:r>
      <w:r w:rsidR="00987753" w:rsidRPr="004432BE">
        <w:rPr>
          <w:rFonts w:ascii="Times New Roman" w:eastAsia="Times New Roman" w:hAnsi="Times New Roman" w:cs="Times New Roman"/>
        </w:rPr>
        <w:t xml:space="preserve"> youth and</w:t>
      </w:r>
      <w:r w:rsidRPr="004432BE">
        <w:rPr>
          <w:rFonts w:ascii="Times New Roman" w:eastAsia="Times New Roman" w:hAnsi="Times New Roman" w:cs="Times New Roman"/>
        </w:rPr>
        <w:t xml:space="preserve"> adults, respectively, according to the U.S. Department of Labor (DOL) Bureau of Labor Statistics. There are no direct costs to respondents associated with participation in this study. Thus, assuming an average hourly wage of $7.25 for youth and $</w:t>
      </w:r>
      <w:r w:rsidR="00642621">
        <w:rPr>
          <w:rFonts w:ascii="Times New Roman" w:eastAsia="Times New Roman" w:hAnsi="Times New Roman" w:cs="Times New Roman"/>
        </w:rPr>
        <w:t>27.56</w:t>
      </w:r>
      <w:r w:rsidRPr="004432BE">
        <w:rPr>
          <w:rFonts w:ascii="Times New Roman" w:eastAsia="Times New Roman" w:hAnsi="Times New Roman" w:cs="Times New Roman"/>
        </w:rPr>
        <w:t xml:space="preserve"> for parents, the estimated cost to participants will be</w:t>
      </w:r>
      <w:r w:rsidR="00AF48BA">
        <w:rPr>
          <w:rFonts w:ascii="Times New Roman" w:eastAsia="Times New Roman" w:hAnsi="Times New Roman" w:cs="Times New Roman"/>
        </w:rPr>
        <w:t xml:space="preserve"> $</w:t>
      </w:r>
      <w:r w:rsidR="001618FD">
        <w:rPr>
          <w:rFonts w:ascii="Times New Roman" w:eastAsia="Times New Roman" w:hAnsi="Times New Roman" w:cs="Times New Roman"/>
        </w:rPr>
        <w:t>14,644.75</w:t>
      </w:r>
      <w:r w:rsidR="00AF48BA">
        <w:rPr>
          <w:rFonts w:ascii="Times New Roman" w:eastAsia="Times New Roman" w:hAnsi="Times New Roman" w:cs="Times New Roman"/>
        </w:rPr>
        <w:t xml:space="preserve"> </w:t>
      </w:r>
      <w:r w:rsidRPr="004432BE">
        <w:rPr>
          <w:rFonts w:ascii="Times New Roman" w:eastAsia="Times New Roman" w:hAnsi="Times New Roman" w:cs="Times New Roman"/>
        </w:rPr>
        <w:t xml:space="preserve">The estimated value of respondents’ time for participating is summarized in Exhibit </w:t>
      </w:r>
      <w:r w:rsidR="00962D75" w:rsidRPr="004432BE">
        <w:rPr>
          <w:rFonts w:ascii="Times New Roman" w:eastAsia="Times New Roman" w:hAnsi="Times New Roman" w:cs="Times New Roman"/>
        </w:rPr>
        <w:t>2</w:t>
      </w:r>
      <w:r w:rsidRPr="004432BE">
        <w:rPr>
          <w:rFonts w:ascii="Times New Roman" w:eastAsia="Times New Roman" w:hAnsi="Times New Roman" w:cs="Times New Roman"/>
        </w:rPr>
        <w:t>.</w:t>
      </w:r>
    </w:p>
    <w:p w14:paraId="2690BBB3" w14:textId="537E7C95" w:rsidR="009B5B5A" w:rsidRPr="004432BE" w:rsidRDefault="009B5B5A" w:rsidP="009E75BD">
      <w:pPr>
        <w:keepNext/>
        <w:keepLines/>
        <w:spacing w:before="240" w:after="240"/>
        <w:ind w:left="720"/>
        <w:rPr>
          <w:rFonts w:ascii="Times New Roman" w:hAnsi="Times New Roman" w:cs="Times New Roman"/>
          <w:b/>
        </w:rPr>
      </w:pPr>
      <w:r w:rsidRPr="004432BE">
        <w:rPr>
          <w:rFonts w:ascii="Times New Roman" w:hAnsi="Times New Roman" w:cs="Times New Roman"/>
          <w:b/>
        </w:rPr>
        <w:t xml:space="preserve">Exhibit </w:t>
      </w:r>
      <w:r w:rsidR="00962D75" w:rsidRPr="004432BE">
        <w:rPr>
          <w:rFonts w:ascii="Times New Roman" w:hAnsi="Times New Roman" w:cs="Times New Roman"/>
          <w:b/>
        </w:rPr>
        <w:t>2</w:t>
      </w:r>
      <w:r w:rsidRPr="004432BE">
        <w:rPr>
          <w:rFonts w:ascii="Times New Roman" w:hAnsi="Times New Roman" w:cs="Times New Roman"/>
          <w:b/>
        </w:rPr>
        <w:t>. Estimated Annual Cost</w:t>
      </w:r>
    </w:p>
    <w:tbl>
      <w:tblPr>
        <w:tblStyle w:val="TableGrid"/>
        <w:tblW w:w="4668" w:type="pct"/>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464"/>
        <w:gridCol w:w="3386"/>
        <w:gridCol w:w="1362"/>
        <w:gridCol w:w="1364"/>
        <w:gridCol w:w="1364"/>
      </w:tblGrid>
      <w:tr w:rsidR="00B175B8" w:rsidRPr="004432BE" w14:paraId="092AD5A5" w14:textId="77777777" w:rsidTr="003D741A">
        <w:tc>
          <w:tcPr>
            <w:tcW w:w="818" w:type="pct"/>
            <w:tcBorders>
              <w:top w:val="single" w:sz="12" w:space="0" w:color="auto"/>
              <w:bottom w:val="single" w:sz="4" w:space="0" w:color="auto"/>
            </w:tcBorders>
            <w:shd w:val="clear" w:color="auto" w:fill="auto"/>
            <w:vAlign w:val="center"/>
          </w:tcPr>
          <w:p w14:paraId="197D7DF9" w14:textId="77777777" w:rsidR="009B5B5A" w:rsidRPr="003D741A" w:rsidRDefault="009B5B5A" w:rsidP="003D741A">
            <w:pPr>
              <w:rPr>
                <w:sz w:val="22"/>
                <w:szCs w:val="22"/>
              </w:rPr>
            </w:pPr>
            <w:r w:rsidRPr="003D741A">
              <w:rPr>
                <w:b/>
                <w:sz w:val="22"/>
                <w:szCs w:val="22"/>
              </w:rPr>
              <w:t>Type of Respondent</w:t>
            </w:r>
          </w:p>
        </w:tc>
        <w:tc>
          <w:tcPr>
            <w:tcW w:w="1894" w:type="pct"/>
            <w:tcBorders>
              <w:top w:val="single" w:sz="12" w:space="0" w:color="auto"/>
              <w:bottom w:val="single" w:sz="4" w:space="0" w:color="auto"/>
            </w:tcBorders>
            <w:shd w:val="clear" w:color="auto" w:fill="auto"/>
            <w:vAlign w:val="center"/>
          </w:tcPr>
          <w:p w14:paraId="7E5678EB" w14:textId="77777777" w:rsidR="009B5B5A" w:rsidRPr="003D741A" w:rsidRDefault="009B5B5A" w:rsidP="003D741A">
            <w:pPr>
              <w:keepNext/>
              <w:spacing w:before="60" w:after="60"/>
              <w:rPr>
                <w:b/>
                <w:sz w:val="22"/>
                <w:szCs w:val="22"/>
              </w:rPr>
            </w:pPr>
            <w:r w:rsidRPr="003D741A">
              <w:rPr>
                <w:b/>
                <w:sz w:val="22"/>
                <w:szCs w:val="22"/>
              </w:rPr>
              <w:t>Activity</w:t>
            </w:r>
          </w:p>
        </w:tc>
        <w:tc>
          <w:tcPr>
            <w:tcW w:w="762" w:type="pct"/>
            <w:tcBorders>
              <w:top w:val="single" w:sz="12" w:space="0" w:color="auto"/>
              <w:bottom w:val="single" w:sz="4" w:space="0" w:color="auto"/>
            </w:tcBorders>
            <w:shd w:val="clear" w:color="auto" w:fill="auto"/>
            <w:vAlign w:val="center"/>
          </w:tcPr>
          <w:p w14:paraId="5669C9CE" w14:textId="77777777" w:rsidR="009B5B5A" w:rsidRPr="003D741A" w:rsidRDefault="009B5B5A" w:rsidP="00D902CD">
            <w:pPr>
              <w:keepNext/>
              <w:spacing w:before="60" w:after="60"/>
              <w:jc w:val="center"/>
              <w:rPr>
                <w:b/>
                <w:sz w:val="22"/>
                <w:szCs w:val="22"/>
              </w:rPr>
            </w:pPr>
            <w:r w:rsidRPr="003D741A">
              <w:rPr>
                <w:b/>
                <w:sz w:val="22"/>
                <w:szCs w:val="22"/>
              </w:rPr>
              <w:t>Annual Burden Hours</w:t>
            </w:r>
          </w:p>
        </w:tc>
        <w:tc>
          <w:tcPr>
            <w:tcW w:w="763" w:type="pct"/>
            <w:tcBorders>
              <w:top w:val="single" w:sz="12" w:space="0" w:color="auto"/>
              <w:bottom w:val="single" w:sz="4" w:space="0" w:color="auto"/>
            </w:tcBorders>
            <w:shd w:val="clear" w:color="auto" w:fill="auto"/>
            <w:vAlign w:val="center"/>
          </w:tcPr>
          <w:p w14:paraId="336FB62F" w14:textId="77777777" w:rsidR="009B5B5A" w:rsidRPr="003D741A" w:rsidRDefault="009B5B5A" w:rsidP="00D902CD">
            <w:pPr>
              <w:keepNext/>
              <w:spacing w:before="60" w:after="60"/>
              <w:jc w:val="center"/>
              <w:rPr>
                <w:b/>
                <w:sz w:val="22"/>
                <w:szCs w:val="22"/>
              </w:rPr>
            </w:pPr>
            <w:r w:rsidRPr="003D741A">
              <w:rPr>
                <w:b/>
                <w:sz w:val="22"/>
                <w:szCs w:val="22"/>
              </w:rPr>
              <w:t>Hourly Wage Rate</w:t>
            </w:r>
          </w:p>
        </w:tc>
        <w:tc>
          <w:tcPr>
            <w:tcW w:w="763" w:type="pct"/>
            <w:tcBorders>
              <w:top w:val="single" w:sz="12" w:space="0" w:color="auto"/>
              <w:bottom w:val="single" w:sz="4" w:space="0" w:color="auto"/>
            </w:tcBorders>
            <w:shd w:val="clear" w:color="auto" w:fill="auto"/>
            <w:vAlign w:val="center"/>
          </w:tcPr>
          <w:p w14:paraId="5FACF473" w14:textId="77777777" w:rsidR="009B5B5A" w:rsidRPr="003D741A" w:rsidRDefault="009B5B5A" w:rsidP="00D902CD">
            <w:pPr>
              <w:keepNext/>
              <w:spacing w:before="60" w:after="60"/>
              <w:jc w:val="center"/>
              <w:rPr>
                <w:b/>
                <w:sz w:val="22"/>
                <w:szCs w:val="22"/>
              </w:rPr>
            </w:pPr>
            <w:r w:rsidRPr="003D741A">
              <w:rPr>
                <w:b/>
                <w:sz w:val="22"/>
                <w:szCs w:val="22"/>
              </w:rPr>
              <w:t>Total Cost</w:t>
            </w:r>
          </w:p>
        </w:tc>
      </w:tr>
      <w:tr w:rsidR="00D902CD" w:rsidRPr="004432BE" w14:paraId="6F364271" w14:textId="77777777" w:rsidTr="00DA78CD">
        <w:trPr>
          <w:trHeight w:val="286"/>
        </w:trPr>
        <w:tc>
          <w:tcPr>
            <w:tcW w:w="818" w:type="pct"/>
            <w:tcBorders>
              <w:top w:val="single" w:sz="4" w:space="0" w:color="auto"/>
            </w:tcBorders>
            <w:vAlign w:val="center"/>
          </w:tcPr>
          <w:p w14:paraId="4B52C3B4" w14:textId="763B4FD7" w:rsidR="00D902CD" w:rsidRPr="003D741A" w:rsidRDefault="00D902CD" w:rsidP="003D741A">
            <w:pPr>
              <w:rPr>
                <w:color w:val="000000"/>
                <w:sz w:val="22"/>
                <w:szCs w:val="22"/>
              </w:rPr>
            </w:pPr>
            <w:r w:rsidRPr="003D741A">
              <w:rPr>
                <w:color w:val="000000"/>
                <w:sz w:val="22"/>
                <w:szCs w:val="22"/>
              </w:rPr>
              <w:t>Parent</w:t>
            </w:r>
          </w:p>
        </w:tc>
        <w:tc>
          <w:tcPr>
            <w:tcW w:w="1894" w:type="pct"/>
            <w:tcBorders>
              <w:top w:val="single" w:sz="4" w:space="0" w:color="auto"/>
            </w:tcBorders>
            <w:vAlign w:val="center"/>
          </w:tcPr>
          <w:p w14:paraId="412AA309" w14:textId="3F106F00" w:rsidR="00D902CD" w:rsidRPr="003D741A" w:rsidRDefault="00D902CD" w:rsidP="003D741A">
            <w:pPr>
              <w:rPr>
                <w:color w:val="000000"/>
                <w:sz w:val="22"/>
                <w:szCs w:val="22"/>
              </w:rPr>
            </w:pPr>
            <w:r w:rsidRPr="003D741A">
              <w:rPr>
                <w:color w:val="000000"/>
                <w:sz w:val="22"/>
                <w:szCs w:val="22"/>
              </w:rPr>
              <w:t>Parent permission</w:t>
            </w:r>
          </w:p>
        </w:tc>
        <w:tc>
          <w:tcPr>
            <w:tcW w:w="762" w:type="pct"/>
            <w:tcBorders>
              <w:top w:val="single" w:sz="4" w:space="0" w:color="auto"/>
            </w:tcBorders>
            <w:vAlign w:val="center"/>
          </w:tcPr>
          <w:p w14:paraId="1BBD7786" w14:textId="44582BD2" w:rsidR="00D902CD" w:rsidRPr="003D741A" w:rsidRDefault="002D2876" w:rsidP="003D741A">
            <w:pPr>
              <w:autoSpaceDE w:val="0"/>
              <w:autoSpaceDN w:val="0"/>
              <w:adjustRightInd w:val="0"/>
              <w:ind w:left="547" w:hanging="547"/>
              <w:jc w:val="center"/>
              <w:outlineLvl w:val="3"/>
              <w:rPr>
                <w:color w:val="000000"/>
                <w:sz w:val="22"/>
                <w:szCs w:val="22"/>
              </w:rPr>
            </w:pPr>
            <w:r>
              <w:rPr>
                <w:color w:val="000000"/>
                <w:sz w:val="22"/>
                <w:szCs w:val="22"/>
              </w:rPr>
              <w:t>148</w:t>
            </w:r>
          </w:p>
        </w:tc>
        <w:tc>
          <w:tcPr>
            <w:tcW w:w="763" w:type="pct"/>
            <w:tcBorders>
              <w:top w:val="single" w:sz="4" w:space="0" w:color="auto"/>
            </w:tcBorders>
            <w:vAlign w:val="center"/>
          </w:tcPr>
          <w:p w14:paraId="4E9F0EB2" w14:textId="57CABF9E" w:rsidR="00D902CD" w:rsidRPr="003D741A" w:rsidRDefault="00D902CD" w:rsidP="003D741A">
            <w:pPr>
              <w:autoSpaceDE w:val="0"/>
              <w:autoSpaceDN w:val="0"/>
              <w:adjustRightInd w:val="0"/>
              <w:jc w:val="center"/>
              <w:rPr>
                <w:color w:val="000000"/>
                <w:sz w:val="22"/>
                <w:szCs w:val="22"/>
              </w:rPr>
            </w:pPr>
            <w:r w:rsidRPr="003D741A">
              <w:rPr>
                <w:color w:val="000000"/>
                <w:sz w:val="22"/>
                <w:szCs w:val="22"/>
              </w:rPr>
              <w:t>$</w:t>
            </w:r>
            <w:r w:rsidR="00642621" w:rsidRPr="003D741A">
              <w:rPr>
                <w:color w:val="000000"/>
                <w:sz w:val="22"/>
                <w:szCs w:val="22"/>
              </w:rPr>
              <w:t>27.56</w:t>
            </w:r>
          </w:p>
        </w:tc>
        <w:tc>
          <w:tcPr>
            <w:tcW w:w="763" w:type="pct"/>
            <w:tcBorders>
              <w:top w:val="single" w:sz="4" w:space="0" w:color="auto"/>
            </w:tcBorders>
            <w:vAlign w:val="center"/>
          </w:tcPr>
          <w:p w14:paraId="47039349" w14:textId="5CC7C135" w:rsidR="00D902CD" w:rsidRPr="003D741A" w:rsidRDefault="003D741A" w:rsidP="003D741A">
            <w:pPr>
              <w:autoSpaceDE w:val="0"/>
              <w:autoSpaceDN w:val="0"/>
              <w:adjustRightInd w:val="0"/>
              <w:jc w:val="center"/>
              <w:rPr>
                <w:color w:val="000000"/>
                <w:sz w:val="22"/>
                <w:szCs w:val="22"/>
              </w:rPr>
            </w:pPr>
            <w:r w:rsidRPr="003D741A">
              <w:rPr>
                <w:color w:val="000000"/>
                <w:sz w:val="22"/>
                <w:szCs w:val="22"/>
              </w:rPr>
              <w:t>$4,</w:t>
            </w:r>
            <w:r w:rsidR="002D2876">
              <w:rPr>
                <w:color w:val="000000"/>
                <w:sz w:val="22"/>
                <w:szCs w:val="22"/>
              </w:rPr>
              <w:t>078.88</w:t>
            </w:r>
          </w:p>
        </w:tc>
      </w:tr>
      <w:tr w:rsidR="001618FD" w:rsidRPr="004432BE" w14:paraId="6D9A4728" w14:textId="77777777" w:rsidTr="00DA78CD">
        <w:trPr>
          <w:trHeight w:val="286"/>
        </w:trPr>
        <w:tc>
          <w:tcPr>
            <w:tcW w:w="818" w:type="pct"/>
            <w:vAlign w:val="center"/>
          </w:tcPr>
          <w:p w14:paraId="4D869593" w14:textId="2761199C" w:rsidR="001618FD" w:rsidRPr="003D741A" w:rsidRDefault="001618FD" w:rsidP="003D741A">
            <w:pPr>
              <w:rPr>
                <w:color w:val="000000"/>
                <w:sz w:val="22"/>
                <w:szCs w:val="22"/>
              </w:rPr>
            </w:pPr>
            <w:r>
              <w:rPr>
                <w:color w:val="000000"/>
                <w:sz w:val="22"/>
                <w:szCs w:val="22"/>
              </w:rPr>
              <w:t>Parent</w:t>
            </w:r>
          </w:p>
        </w:tc>
        <w:tc>
          <w:tcPr>
            <w:tcW w:w="1894" w:type="pct"/>
            <w:vAlign w:val="center"/>
          </w:tcPr>
          <w:p w14:paraId="3F2516EC" w14:textId="0E817C97" w:rsidR="001618FD" w:rsidRPr="003D741A" w:rsidRDefault="001618FD" w:rsidP="003D741A">
            <w:pPr>
              <w:rPr>
                <w:color w:val="000000"/>
                <w:sz w:val="22"/>
                <w:szCs w:val="22"/>
              </w:rPr>
            </w:pPr>
            <w:r>
              <w:rPr>
                <w:color w:val="000000"/>
                <w:sz w:val="22"/>
                <w:szCs w:val="22"/>
              </w:rPr>
              <w:t>Parent recruitment email</w:t>
            </w:r>
          </w:p>
        </w:tc>
        <w:tc>
          <w:tcPr>
            <w:tcW w:w="762" w:type="pct"/>
            <w:vAlign w:val="center"/>
          </w:tcPr>
          <w:p w14:paraId="0CED3281" w14:textId="7A0BBDE5" w:rsidR="001618FD" w:rsidRDefault="001618FD" w:rsidP="003D741A">
            <w:pPr>
              <w:autoSpaceDE w:val="0"/>
              <w:autoSpaceDN w:val="0"/>
              <w:adjustRightInd w:val="0"/>
              <w:ind w:left="547" w:hanging="547"/>
              <w:jc w:val="center"/>
              <w:outlineLvl w:val="3"/>
              <w:rPr>
                <w:color w:val="000000"/>
                <w:sz w:val="22"/>
                <w:szCs w:val="22"/>
              </w:rPr>
            </w:pPr>
            <w:r>
              <w:rPr>
                <w:color w:val="000000"/>
                <w:sz w:val="22"/>
                <w:szCs w:val="22"/>
              </w:rPr>
              <w:t>148</w:t>
            </w:r>
          </w:p>
        </w:tc>
        <w:tc>
          <w:tcPr>
            <w:tcW w:w="763" w:type="pct"/>
            <w:vAlign w:val="center"/>
          </w:tcPr>
          <w:p w14:paraId="02B73F61" w14:textId="5EE353EE" w:rsidR="001618FD" w:rsidRPr="003D741A" w:rsidRDefault="001618FD" w:rsidP="003D741A">
            <w:pPr>
              <w:autoSpaceDE w:val="0"/>
              <w:autoSpaceDN w:val="0"/>
              <w:adjustRightInd w:val="0"/>
              <w:jc w:val="center"/>
              <w:rPr>
                <w:color w:val="000000"/>
                <w:sz w:val="22"/>
                <w:szCs w:val="22"/>
              </w:rPr>
            </w:pPr>
            <w:r>
              <w:rPr>
                <w:color w:val="000000"/>
                <w:sz w:val="22"/>
                <w:szCs w:val="22"/>
              </w:rPr>
              <w:t>$27.56</w:t>
            </w:r>
          </w:p>
        </w:tc>
        <w:tc>
          <w:tcPr>
            <w:tcW w:w="763" w:type="pct"/>
            <w:vAlign w:val="center"/>
          </w:tcPr>
          <w:p w14:paraId="4B072EC6" w14:textId="1E494506" w:rsidR="001618FD" w:rsidRPr="003D741A" w:rsidRDefault="001618FD" w:rsidP="003D741A">
            <w:pPr>
              <w:autoSpaceDE w:val="0"/>
              <w:autoSpaceDN w:val="0"/>
              <w:adjustRightInd w:val="0"/>
              <w:jc w:val="center"/>
              <w:rPr>
                <w:color w:val="000000"/>
                <w:sz w:val="22"/>
                <w:szCs w:val="22"/>
              </w:rPr>
            </w:pPr>
            <w:r>
              <w:rPr>
                <w:color w:val="000000"/>
                <w:sz w:val="22"/>
                <w:szCs w:val="22"/>
              </w:rPr>
              <w:t>$4,078.88</w:t>
            </w:r>
          </w:p>
        </w:tc>
      </w:tr>
      <w:tr w:rsidR="00D902CD" w:rsidRPr="004432BE" w14:paraId="31C597B0" w14:textId="77777777" w:rsidTr="00DA78CD">
        <w:trPr>
          <w:trHeight w:val="286"/>
        </w:trPr>
        <w:tc>
          <w:tcPr>
            <w:tcW w:w="818" w:type="pct"/>
            <w:vAlign w:val="center"/>
          </w:tcPr>
          <w:p w14:paraId="090FD7B0" w14:textId="27B14589" w:rsidR="00D902CD" w:rsidRPr="003D741A" w:rsidRDefault="00D902CD" w:rsidP="003D741A">
            <w:pPr>
              <w:rPr>
                <w:color w:val="000000"/>
                <w:sz w:val="22"/>
                <w:szCs w:val="22"/>
              </w:rPr>
            </w:pPr>
            <w:r w:rsidRPr="003D741A">
              <w:rPr>
                <w:color w:val="000000"/>
                <w:sz w:val="22"/>
                <w:szCs w:val="22"/>
              </w:rPr>
              <w:t>Youth</w:t>
            </w:r>
          </w:p>
        </w:tc>
        <w:tc>
          <w:tcPr>
            <w:tcW w:w="1894" w:type="pct"/>
            <w:vAlign w:val="center"/>
          </w:tcPr>
          <w:p w14:paraId="3FD22426" w14:textId="6B2A51A0" w:rsidR="00D902CD" w:rsidRPr="003D741A" w:rsidRDefault="00D902CD" w:rsidP="003D741A">
            <w:pPr>
              <w:rPr>
                <w:color w:val="000000"/>
                <w:sz w:val="22"/>
                <w:szCs w:val="22"/>
              </w:rPr>
            </w:pPr>
            <w:r w:rsidRPr="003D741A">
              <w:rPr>
                <w:color w:val="000000"/>
                <w:sz w:val="22"/>
                <w:szCs w:val="22"/>
              </w:rPr>
              <w:t>Youth assent and screener</w:t>
            </w:r>
          </w:p>
        </w:tc>
        <w:tc>
          <w:tcPr>
            <w:tcW w:w="762" w:type="pct"/>
            <w:vAlign w:val="center"/>
          </w:tcPr>
          <w:p w14:paraId="7BC19BE5" w14:textId="5FFAE88A" w:rsidR="00D902CD" w:rsidRPr="003D741A" w:rsidRDefault="007B6A07" w:rsidP="003D741A">
            <w:pPr>
              <w:autoSpaceDE w:val="0"/>
              <w:autoSpaceDN w:val="0"/>
              <w:adjustRightInd w:val="0"/>
              <w:ind w:left="547" w:hanging="547"/>
              <w:jc w:val="center"/>
              <w:outlineLvl w:val="3"/>
              <w:rPr>
                <w:color w:val="000000"/>
                <w:sz w:val="22"/>
                <w:szCs w:val="22"/>
              </w:rPr>
            </w:pPr>
            <w:r>
              <w:rPr>
                <w:color w:val="000000"/>
                <w:sz w:val="22"/>
                <w:szCs w:val="22"/>
              </w:rPr>
              <w:t>41</w:t>
            </w:r>
            <w:r w:rsidR="002D2876">
              <w:rPr>
                <w:color w:val="000000"/>
                <w:sz w:val="22"/>
                <w:szCs w:val="22"/>
              </w:rPr>
              <w:t>5</w:t>
            </w:r>
          </w:p>
        </w:tc>
        <w:tc>
          <w:tcPr>
            <w:tcW w:w="763" w:type="pct"/>
            <w:vAlign w:val="center"/>
          </w:tcPr>
          <w:p w14:paraId="4D869514" w14:textId="7816F2BE" w:rsidR="00D902CD" w:rsidRPr="003D741A" w:rsidRDefault="00D902CD" w:rsidP="003D741A">
            <w:pPr>
              <w:autoSpaceDE w:val="0"/>
              <w:autoSpaceDN w:val="0"/>
              <w:adjustRightInd w:val="0"/>
              <w:jc w:val="center"/>
              <w:rPr>
                <w:color w:val="000000"/>
                <w:sz w:val="22"/>
                <w:szCs w:val="22"/>
              </w:rPr>
            </w:pPr>
            <w:r w:rsidRPr="003D741A">
              <w:rPr>
                <w:color w:val="000000"/>
                <w:sz w:val="22"/>
                <w:szCs w:val="22"/>
              </w:rPr>
              <w:t>$7.25</w:t>
            </w:r>
          </w:p>
        </w:tc>
        <w:tc>
          <w:tcPr>
            <w:tcW w:w="763" w:type="pct"/>
            <w:vAlign w:val="center"/>
          </w:tcPr>
          <w:p w14:paraId="3F1207E4" w14:textId="12B0DE81" w:rsidR="00D902CD" w:rsidRPr="003D741A" w:rsidRDefault="003D741A" w:rsidP="003D741A">
            <w:pPr>
              <w:autoSpaceDE w:val="0"/>
              <w:autoSpaceDN w:val="0"/>
              <w:adjustRightInd w:val="0"/>
              <w:jc w:val="center"/>
              <w:rPr>
                <w:color w:val="000000"/>
                <w:sz w:val="22"/>
                <w:szCs w:val="22"/>
              </w:rPr>
            </w:pPr>
            <w:r w:rsidRPr="003D741A">
              <w:rPr>
                <w:color w:val="000000"/>
                <w:sz w:val="22"/>
                <w:szCs w:val="22"/>
              </w:rPr>
              <w:t>$</w:t>
            </w:r>
            <w:r w:rsidR="007B6A07">
              <w:rPr>
                <w:color w:val="000000"/>
                <w:sz w:val="22"/>
                <w:szCs w:val="22"/>
              </w:rPr>
              <w:t>3,</w:t>
            </w:r>
            <w:r w:rsidR="002D2876">
              <w:rPr>
                <w:color w:val="000000"/>
                <w:sz w:val="22"/>
                <w:szCs w:val="22"/>
              </w:rPr>
              <w:t>008.75</w:t>
            </w:r>
          </w:p>
        </w:tc>
      </w:tr>
      <w:tr w:rsidR="00D902CD" w:rsidRPr="004432BE" w14:paraId="32E9535B" w14:textId="77777777" w:rsidTr="00DA78CD">
        <w:trPr>
          <w:trHeight w:val="286"/>
        </w:trPr>
        <w:tc>
          <w:tcPr>
            <w:tcW w:w="818" w:type="pct"/>
            <w:vAlign w:val="center"/>
          </w:tcPr>
          <w:p w14:paraId="0F9FCA9C" w14:textId="1E0C5BDE" w:rsidR="00D902CD" w:rsidRPr="003D741A" w:rsidRDefault="00D902CD" w:rsidP="003D741A">
            <w:pPr>
              <w:rPr>
                <w:color w:val="000000"/>
                <w:sz w:val="22"/>
                <w:szCs w:val="22"/>
              </w:rPr>
            </w:pPr>
            <w:r w:rsidRPr="003D741A">
              <w:rPr>
                <w:color w:val="000000"/>
                <w:sz w:val="22"/>
                <w:szCs w:val="22"/>
              </w:rPr>
              <w:t>Youth</w:t>
            </w:r>
          </w:p>
        </w:tc>
        <w:tc>
          <w:tcPr>
            <w:tcW w:w="1894" w:type="pct"/>
            <w:vAlign w:val="center"/>
          </w:tcPr>
          <w:p w14:paraId="002C8955" w14:textId="69EA231F" w:rsidR="00D902CD" w:rsidRPr="003D741A" w:rsidRDefault="00D902CD" w:rsidP="003D741A">
            <w:pPr>
              <w:rPr>
                <w:color w:val="000000"/>
                <w:sz w:val="22"/>
                <w:szCs w:val="22"/>
              </w:rPr>
            </w:pPr>
            <w:r w:rsidRPr="003D741A">
              <w:rPr>
                <w:color w:val="000000"/>
                <w:sz w:val="22"/>
                <w:szCs w:val="22"/>
              </w:rPr>
              <w:t>Youth questionnaire completion</w:t>
            </w:r>
          </w:p>
        </w:tc>
        <w:tc>
          <w:tcPr>
            <w:tcW w:w="762" w:type="pct"/>
            <w:vAlign w:val="center"/>
          </w:tcPr>
          <w:p w14:paraId="479D405E" w14:textId="6FF8A69D" w:rsidR="00D902CD" w:rsidRPr="003D741A" w:rsidRDefault="003D741A" w:rsidP="003D741A">
            <w:pPr>
              <w:autoSpaceDE w:val="0"/>
              <w:autoSpaceDN w:val="0"/>
              <w:adjustRightInd w:val="0"/>
              <w:ind w:left="547" w:hanging="547"/>
              <w:jc w:val="center"/>
              <w:outlineLvl w:val="3"/>
              <w:rPr>
                <w:color w:val="000000"/>
                <w:sz w:val="22"/>
                <w:szCs w:val="22"/>
              </w:rPr>
            </w:pPr>
            <w:r w:rsidRPr="003D741A">
              <w:rPr>
                <w:color w:val="000000"/>
                <w:sz w:val="22"/>
                <w:szCs w:val="22"/>
              </w:rPr>
              <w:t>480</w:t>
            </w:r>
          </w:p>
        </w:tc>
        <w:tc>
          <w:tcPr>
            <w:tcW w:w="763" w:type="pct"/>
            <w:vAlign w:val="center"/>
          </w:tcPr>
          <w:p w14:paraId="76BB42B8" w14:textId="5733C4EF" w:rsidR="00D902CD" w:rsidRPr="003D741A" w:rsidRDefault="00D902CD" w:rsidP="003D741A">
            <w:pPr>
              <w:autoSpaceDE w:val="0"/>
              <w:autoSpaceDN w:val="0"/>
              <w:adjustRightInd w:val="0"/>
              <w:jc w:val="center"/>
              <w:rPr>
                <w:color w:val="000000"/>
                <w:sz w:val="22"/>
                <w:szCs w:val="22"/>
              </w:rPr>
            </w:pPr>
            <w:r w:rsidRPr="003D741A">
              <w:rPr>
                <w:color w:val="000000"/>
                <w:sz w:val="22"/>
                <w:szCs w:val="22"/>
              </w:rPr>
              <w:t>$7.25</w:t>
            </w:r>
          </w:p>
        </w:tc>
        <w:tc>
          <w:tcPr>
            <w:tcW w:w="763" w:type="pct"/>
            <w:vAlign w:val="center"/>
          </w:tcPr>
          <w:p w14:paraId="08FB7CA4" w14:textId="4960DFBD" w:rsidR="00D902CD" w:rsidRPr="003D741A" w:rsidRDefault="003D741A" w:rsidP="003D741A">
            <w:pPr>
              <w:autoSpaceDE w:val="0"/>
              <w:autoSpaceDN w:val="0"/>
              <w:adjustRightInd w:val="0"/>
              <w:jc w:val="center"/>
              <w:rPr>
                <w:color w:val="000000"/>
                <w:sz w:val="22"/>
                <w:szCs w:val="22"/>
              </w:rPr>
            </w:pPr>
            <w:r w:rsidRPr="003D741A">
              <w:rPr>
                <w:color w:val="000000"/>
                <w:sz w:val="22"/>
                <w:szCs w:val="22"/>
              </w:rPr>
              <w:t>$3,480.00</w:t>
            </w:r>
          </w:p>
        </w:tc>
      </w:tr>
      <w:tr w:rsidR="009529AB" w:rsidRPr="004432BE" w14:paraId="2E9F1164" w14:textId="77777777" w:rsidTr="00DA78CD">
        <w:trPr>
          <w:trHeight w:val="286"/>
        </w:trPr>
        <w:tc>
          <w:tcPr>
            <w:tcW w:w="818" w:type="pct"/>
            <w:tcBorders>
              <w:bottom w:val="single" w:sz="12" w:space="0" w:color="auto"/>
            </w:tcBorders>
            <w:vAlign w:val="center"/>
          </w:tcPr>
          <w:p w14:paraId="3E07BD85" w14:textId="77777777" w:rsidR="009529AB" w:rsidRPr="00DA78CD" w:rsidRDefault="009529AB" w:rsidP="00DA78CD">
            <w:pPr>
              <w:rPr>
                <w:b/>
                <w:color w:val="000000"/>
                <w:sz w:val="22"/>
                <w:szCs w:val="22"/>
              </w:rPr>
            </w:pPr>
            <w:r w:rsidRPr="00DA78CD">
              <w:rPr>
                <w:b/>
                <w:color w:val="000000"/>
                <w:sz w:val="22"/>
                <w:szCs w:val="22"/>
              </w:rPr>
              <w:t>Total</w:t>
            </w:r>
          </w:p>
        </w:tc>
        <w:tc>
          <w:tcPr>
            <w:tcW w:w="1894" w:type="pct"/>
            <w:tcBorders>
              <w:bottom w:val="single" w:sz="12" w:space="0" w:color="auto"/>
            </w:tcBorders>
            <w:vAlign w:val="center"/>
          </w:tcPr>
          <w:p w14:paraId="49FE6F22" w14:textId="77777777" w:rsidR="009529AB" w:rsidRPr="00DA78CD" w:rsidRDefault="009529AB" w:rsidP="00DA78CD">
            <w:pPr>
              <w:keepNext/>
              <w:rPr>
                <w:color w:val="000000"/>
                <w:sz w:val="22"/>
                <w:szCs w:val="22"/>
              </w:rPr>
            </w:pPr>
          </w:p>
        </w:tc>
        <w:tc>
          <w:tcPr>
            <w:tcW w:w="762" w:type="pct"/>
            <w:tcBorders>
              <w:bottom w:val="single" w:sz="12" w:space="0" w:color="auto"/>
            </w:tcBorders>
            <w:vAlign w:val="center"/>
          </w:tcPr>
          <w:p w14:paraId="40FA40B2" w14:textId="78078679" w:rsidR="009529AB" w:rsidRPr="00DA78CD" w:rsidRDefault="009529AB" w:rsidP="00DA78CD">
            <w:pPr>
              <w:autoSpaceDE w:val="0"/>
              <w:autoSpaceDN w:val="0"/>
              <w:adjustRightInd w:val="0"/>
              <w:jc w:val="center"/>
              <w:rPr>
                <w:color w:val="000000"/>
                <w:sz w:val="22"/>
                <w:szCs w:val="22"/>
              </w:rPr>
            </w:pPr>
          </w:p>
        </w:tc>
        <w:tc>
          <w:tcPr>
            <w:tcW w:w="763" w:type="pct"/>
            <w:tcBorders>
              <w:bottom w:val="single" w:sz="12" w:space="0" w:color="auto"/>
            </w:tcBorders>
            <w:vAlign w:val="center"/>
          </w:tcPr>
          <w:p w14:paraId="5B90C23B" w14:textId="77777777" w:rsidR="009529AB" w:rsidRPr="00DA78CD" w:rsidRDefault="009529AB" w:rsidP="00DA78CD">
            <w:pPr>
              <w:autoSpaceDE w:val="0"/>
              <w:autoSpaceDN w:val="0"/>
              <w:adjustRightInd w:val="0"/>
              <w:jc w:val="center"/>
              <w:rPr>
                <w:color w:val="000000"/>
                <w:sz w:val="22"/>
                <w:szCs w:val="22"/>
              </w:rPr>
            </w:pPr>
          </w:p>
        </w:tc>
        <w:tc>
          <w:tcPr>
            <w:tcW w:w="763" w:type="pct"/>
            <w:tcBorders>
              <w:bottom w:val="single" w:sz="12" w:space="0" w:color="auto"/>
            </w:tcBorders>
            <w:vAlign w:val="center"/>
          </w:tcPr>
          <w:p w14:paraId="5B783BE8" w14:textId="5F8A7AE2" w:rsidR="009529AB" w:rsidRPr="00DA78CD" w:rsidRDefault="003D741A" w:rsidP="00DA78CD">
            <w:pPr>
              <w:autoSpaceDE w:val="0"/>
              <w:autoSpaceDN w:val="0"/>
              <w:adjustRightInd w:val="0"/>
              <w:jc w:val="center"/>
              <w:rPr>
                <w:b/>
                <w:color w:val="000000"/>
                <w:sz w:val="22"/>
                <w:szCs w:val="22"/>
              </w:rPr>
            </w:pPr>
            <w:r w:rsidRPr="00DA78CD">
              <w:rPr>
                <w:b/>
                <w:color w:val="000000"/>
                <w:sz w:val="22"/>
                <w:szCs w:val="22"/>
              </w:rPr>
              <w:t>$</w:t>
            </w:r>
            <w:r w:rsidR="001618FD">
              <w:rPr>
                <w:b/>
                <w:color w:val="000000"/>
                <w:sz w:val="22"/>
                <w:szCs w:val="22"/>
              </w:rPr>
              <w:t>14,644.75</w:t>
            </w:r>
          </w:p>
        </w:tc>
      </w:tr>
    </w:tbl>
    <w:p w14:paraId="503450FB" w14:textId="76310BE8" w:rsidR="009B5B5A" w:rsidRPr="004432BE" w:rsidRDefault="009B5B5A" w:rsidP="009C6AAC">
      <w:pPr>
        <w:spacing w:before="100" w:beforeAutospacing="1" w:after="240"/>
        <w:ind w:left="360"/>
        <w:rPr>
          <w:rFonts w:ascii="Times New Roman" w:hAnsi="Times New Roman" w:cs="Times New Roman"/>
          <w:u w:val="single"/>
        </w:rPr>
      </w:pPr>
      <w:r w:rsidRPr="004432BE">
        <w:rPr>
          <w:rFonts w:ascii="Times New Roman" w:hAnsi="Times New Roman" w:cs="Times New Roman"/>
          <w:u w:val="single"/>
        </w:rPr>
        <w:t>13. Estimates of Other Total Annual Costs to Respondents and/or Recordkeepers/Capital Costs</w:t>
      </w:r>
    </w:p>
    <w:p w14:paraId="021390C4" w14:textId="77777777" w:rsidR="009B5B5A" w:rsidRPr="004432BE" w:rsidRDefault="009B5B5A" w:rsidP="009C6AAC">
      <w:pPr>
        <w:spacing w:after="240"/>
        <w:ind w:left="720"/>
        <w:rPr>
          <w:rFonts w:ascii="Times New Roman" w:eastAsia="Times New Roman" w:hAnsi="Times New Roman" w:cs="Times New Roman"/>
        </w:rPr>
      </w:pPr>
      <w:r w:rsidRPr="004432BE">
        <w:rPr>
          <w:rFonts w:ascii="Times New Roman" w:eastAsia="Times New Roman" w:hAnsi="Times New Roman" w:cs="Times New Roman"/>
        </w:rPr>
        <w:t>There are no capital, start-up, operating, or maintenance costs associated with this information collection.</w:t>
      </w:r>
    </w:p>
    <w:p w14:paraId="43A5720A" w14:textId="77777777" w:rsidR="009B5B5A" w:rsidRPr="004432BE" w:rsidRDefault="009B5B5A" w:rsidP="009C6AAC">
      <w:pPr>
        <w:spacing w:before="100" w:beforeAutospacing="1" w:after="240"/>
        <w:ind w:left="360"/>
        <w:rPr>
          <w:rFonts w:ascii="Times New Roman" w:hAnsi="Times New Roman" w:cs="Times New Roman"/>
          <w:u w:val="single"/>
        </w:rPr>
      </w:pPr>
      <w:r w:rsidRPr="004432BE">
        <w:rPr>
          <w:rFonts w:ascii="Times New Roman" w:hAnsi="Times New Roman" w:cs="Times New Roman"/>
          <w:u w:val="single"/>
        </w:rPr>
        <w:t>14. Annualized Cost to the Federal Government</w:t>
      </w:r>
    </w:p>
    <w:p w14:paraId="3D14C460" w14:textId="228C370D" w:rsidR="009B5B5A" w:rsidRPr="004432BE" w:rsidRDefault="009B5B5A" w:rsidP="009C6AAC">
      <w:pPr>
        <w:spacing w:after="240"/>
        <w:ind w:left="720"/>
        <w:rPr>
          <w:rFonts w:ascii="Times New Roman" w:eastAsia="Times New Roman" w:hAnsi="Times New Roman" w:cs="Times New Roman"/>
        </w:rPr>
      </w:pPr>
      <w:r w:rsidRPr="004432BE">
        <w:rPr>
          <w:rFonts w:ascii="Times New Roman" w:eastAsia="Times New Roman" w:hAnsi="Times New Roman" w:cs="Times New Roman"/>
        </w:rPr>
        <w:t xml:space="preserve">This information collection is funded through a contract with </w:t>
      </w:r>
      <w:r w:rsidR="004432BE">
        <w:rPr>
          <w:rFonts w:ascii="Times New Roman" w:eastAsia="Times New Roman" w:hAnsi="Times New Roman" w:cs="Times New Roman"/>
        </w:rPr>
        <w:t>RTI</w:t>
      </w:r>
      <w:r w:rsidRPr="004432BE">
        <w:rPr>
          <w:rFonts w:ascii="Times New Roman" w:eastAsia="Times New Roman" w:hAnsi="Times New Roman" w:cs="Times New Roman"/>
        </w:rPr>
        <w:t>. The total estimated costs attributable to this data collecti</w:t>
      </w:r>
      <w:r w:rsidR="00E63AE6" w:rsidRPr="004432BE">
        <w:rPr>
          <w:rFonts w:ascii="Times New Roman" w:eastAsia="Times New Roman" w:hAnsi="Times New Roman" w:cs="Times New Roman"/>
        </w:rPr>
        <w:t xml:space="preserve">on are </w:t>
      </w:r>
      <w:r w:rsidR="00E774C8">
        <w:rPr>
          <w:rFonts w:ascii="Times New Roman" w:eastAsia="Times New Roman" w:hAnsi="Times New Roman" w:cs="Times New Roman"/>
        </w:rPr>
        <w:t>$391,570.50</w:t>
      </w:r>
      <w:r w:rsidR="00BB6E28" w:rsidRPr="004432BE">
        <w:rPr>
          <w:rFonts w:ascii="Times New Roman" w:eastAsia="Times New Roman" w:hAnsi="Times New Roman" w:cs="Times New Roman"/>
        </w:rPr>
        <w:t xml:space="preserve"> </w:t>
      </w:r>
      <w:r w:rsidRPr="004432BE">
        <w:rPr>
          <w:rFonts w:ascii="Times New Roman" w:eastAsia="Times New Roman" w:hAnsi="Times New Roman" w:cs="Times New Roman"/>
        </w:rPr>
        <w:t>(Exhibit</w:t>
      </w:r>
      <w:r w:rsidR="00D11F21" w:rsidRPr="004432BE">
        <w:rPr>
          <w:rFonts w:ascii="Times New Roman" w:eastAsia="Times New Roman" w:hAnsi="Times New Roman" w:cs="Times New Roman"/>
        </w:rPr>
        <w:t xml:space="preserve"> </w:t>
      </w:r>
      <w:r w:rsidR="00962D75" w:rsidRPr="004432BE">
        <w:rPr>
          <w:rFonts w:ascii="Times New Roman" w:eastAsia="Times New Roman" w:hAnsi="Times New Roman" w:cs="Times New Roman"/>
        </w:rPr>
        <w:t>3</w:t>
      </w:r>
      <w:r w:rsidRPr="004432BE">
        <w:rPr>
          <w:rFonts w:ascii="Times New Roman" w:eastAsia="Times New Roman" w:hAnsi="Times New Roman" w:cs="Times New Roman"/>
        </w:rPr>
        <w:t xml:space="preserve">). There are additional contract-funded activities occurring before and after this data collection that include project planning and data analysis. Other activities outside this data collection include coordination with FDA, data collection plan development, instrument development, reporting, IRB, and progress reporting and project management. This information collection will occur in </w:t>
      </w:r>
      <w:r w:rsidR="0077390B" w:rsidRPr="004432BE">
        <w:rPr>
          <w:rFonts w:ascii="Times New Roman" w:eastAsia="Times New Roman" w:hAnsi="Times New Roman" w:cs="Times New Roman"/>
        </w:rPr>
        <w:t>2019</w:t>
      </w:r>
      <w:r w:rsidRPr="004432BE">
        <w:rPr>
          <w:rFonts w:ascii="Times New Roman" w:eastAsia="Times New Roman" w:hAnsi="Times New Roman" w:cs="Times New Roman"/>
        </w:rPr>
        <w:t>.</w:t>
      </w:r>
    </w:p>
    <w:p w14:paraId="60BE6014" w14:textId="11EED34F" w:rsidR="009B5B5A" w:rsidRPr="004432BE" w:rsidRDefault="009B5B5A" w:rsidP="00F029F7">
      <w:pPr>
        <w:ind w:left="720"/>
        <w:rPr>
          <w:rFonts w:ascii="Times New Roman" w:hAnsi="Times New Roman" w:cs="Times New Roman"/>
          <w:b/>
        </w:rPr>
      </w:pPr>
      <w:bookmarkStart w:id="10" w:name="_Hlk2087667"/>
      <w:r w:rsidRPr="004432BE">
        <w:rPr>
          <w:rFonts w:ascii="Times New Roman" w:hAnsi="Times New Roman" w:cs="Times New Roman"/>
          <w:b/>
        </w:rPr>
        <w:t>E</w:t>
      </w:r>
      <w:r w:rsidR="00D11F21" w:rsidRPr="004432BE">
        <w:rPr>
          <w:rFonts w:ascii="Times New Roman" w:hAnsi="Times New Roman" w:cs="Times New Roman"/>
          <w:b/>
        </w:rPr>
        <w:t xml:space="preserve">xhibit </w:t>
      </w:r>
      <w:r w:rsidR="00962D75" w:rsidRPr="004432BE">
        <w:rPr>
          <w:rFonts w:ascii="Times New Roman" w:hAnsi="Times New Roman" w:cs="Times New Roman"/>
          <w:b/>
        </w:rPr>
        <w:t>3</w:t>
      </w:r>
      <w:r w:rsidRPr="004432BE">
        <w:rPr>
          <w:rFonts w:ascii="Times New Roman" w:hAnsi="Times New Roman" w:cs="Times New Roman"/>
          <w:b/>
        </w:rPr>
        <w:t>. Itemized Cost to the Federal Government</w:t>
      </w:r>
    </w:p>
    <w:tbl>
      <w:tblPr>
        <w:tblStyle w:val="TableGrid"/>
        <w:tblW w:w="4619" w:type="pct"/>
        <w:tblInd w:w="715" w:type="dxa"/>
        <w:tblCellMar>
          <w:left w:w="115" w:type="dxa"/>
          <w:right w:w="115" w:type="dxa"/>
        </w:tblCellMar>
        <w:tblLook w:val="04A0" w:firstRow="1" w:lastRow="0" w:firstColumn="1" w:lastColumn="0" w:noHBand="0" w:noVBand="1"/>
      </w:tblPr>
      <w:tblGrid>
        <w:gridCol w:w="2031"/>
        <w:gridCol w:w="2108"/>
        <w:gridCol w:w="2691"/>
        <w:gridCol w:w="2029"/>
      </w:tblGrid>
      <w:tr w:rsidR="008D743F" w:rsidRPr="004432BE" w14:paraId="169A055D" w14:textId="77777777" w:rsidTr="00F029F7">
        <w:trPr>
          <w:trHeight w:val="107"/>
        </w:trPr>
        <w:tc>
          <w:tcPr>
            <w:tcW w:w="1146" w:type="pct"/>
            <w:shd w:val="clear" w:color="auto" w:fill="BFBFBF" w:themeFill="background1" w:themeFillShade="BF"/>
            <w:hideMark/>
          </w:tcPr>
          <w:p w14:paraId="0278CADE" w14:textId="77777777" w:rsidR="009B5B5A" w:rsidRPr="004432BE" w:rsidRDefault="009B5B5A" w:rsidP="000C5CD3">
            <w:pPr>
              <w:pStyle w:val="FigureTitle"/>
              <w:spacing w:before="0" w:after="120"/>
              <w:ind w:hanging="24"/>
              <w:outlineLvl w:val="3"/>
              <w:rPr>
                <w:sz w:val="24"/>
                <w:szCs w:val="24"/>
              </w:rPr>
            </w:pPr>
            <w:r w:rsidRPr="004432BE">
              <w:rPr>
                <w:sz w:val="24"/>
                <w:szCs w:val="24"/>
              </w:rPr>
              <w:t>Government Personnel</w:t>
            </w:r>
          </w:p>
        </w:tc>
        <w:tc>
          <w:tcPr>
            <w:tcW w:w="1190" w:type="pct"/>
            <w:shd w:val="clear" w:color="auto" w:fill="BFBFBF" w:themeFill="background1" w:themeFillShade="BF"/>
            <w:hideMark/>
          </w:tcPr>
          <w:p w14:paraId="6F0B53D4" w14:textId="77777777" w:rsidR="009B5B5A" w:rsidRPr="004432BE" w:rsidRDefault="009B5B5A" w:rsidP="000C5CD3">
            <w:pPr>
              <w:pStyle w:val="FigureTitle"/>
              <w:spacing w:before="0" w:after="120"/>
              <w:ind w:left="45" w:hanging="52"/>
              <w:outlineLvl w:val="3"/>
              <w:rPr>
                <w:sz w:val="24"/>
                <w:szCs w:val="24"/>
              </w:rPr>
            </w:pPr>
            <w:r w:rsidRPr="004432BE">
              <w:rPr>
                <w:sz w:val="24"/>
                <w:szCs w:val="24"/>
              </w:rPr>
              <w:t>Time Commitment</w:t>
            </w:r>
          </w:p>
        </w:tc>
        <w:tc>
          <w:tcPr>
            <w:tcW w:w="1519" w:type="pct"/>
            <w:shd w:val="clear" w:color="auto" w:fill="BFBFBF" w:themeFill="background1" w:themeFillShade="BF"/>
            <w:hideMark/>
          </w:tcPr>
          <w:p w14:paraId="209BDA2A" w14:textId="77777777" w:rsidR="009B5B5A" w:rsidRPr="004432BE" w:rsidRDefault="009B5B5A" w:rsidP="000C5CD3">
            <w:pPr>
              <w:pStyle w:val="FigureTitle"/>
              <w:spacing w:before="0" w:after="120"/>
              <w:ind w:hanging="13"/>
              <w:outlineLvl w:val="3"/>
              <w:rPr>
                <w:sz w:val="24"/>
                <w:szCs w:val="24"/>
              </w:rPr>
            </w:pPr>
            <w:r w:rsidRPr="004432BE">
              <w:rPr>
                <w:sz w:val="24"/>
                <w:szCs w:val="24"/>
              </w:rPr>
              <w:t>Average Annual Salary</w:t>
            </w:r>
          </w:p>
        </w:tc>
        <w:tc>
          <w:tcPr>
            <w:tcW w:w="1145" w:type="pct"/>
            <w:shd w:val="clear" w:color="auto" w:fill="BFBFBF" w:themeFill="background1" w:themeFillShade="BF"/>
            <w:hideMark/>
          </w:tcPr>
          <w:p w14:paraId="160D4844" w14:textId="77777777" w:rsidR="009B5B5A" w:rsidRPr="004432BE" w:rsidRDefault="009B5B5A" w:rsidP="000C5CD3">
            <w:pPr>
              <w:pStyle w:val="FigureTitle"/>
              <w:spacing w:before="0" w:after="120"/>
              <w:ind w:hanging="9"/>
              <w:outlineLvl w:val="3"/>
              <w:rPr>
                <w:sz w:val="24"/>
                <w:szCs w:val="24"/>
              </w:rPr>
            </w:pPr>
            <w:r w:rsidRPr="004432BE">
              <w:rPr>
                <w:sz w:val="24"/>
                <w:szCs w:val="24"/>
              </w:rPr>
              <w:t>Total</w:t>
            </w:r>
          </w:p>
        </w:tc>
      </w:tr>
      <w:tr w:rsidR="008D743F" w:rsidRPr="004432BE" w14:paraId="23D53B1B" w14:textId="77777777" w:rsidTr="00F029F7">
        <w:trPr>
          <w:trHeight w:val="288"/>
        </w:trPr>
        <w:tc>
          <w:tcPr>
            <w:tcW w:w="1146" w:type="pct"/>
            <w:hideMark/>
          </w:tcPr>
          <w:p w14:paraId="2DCC7E27" w14:textId="77777777" w:rsidR="009B5B5A" w:rsidRPr="00833BEA" w:rsidRDefault="009B5B5A" w:rsidP="009C6AAC">
            <w:pPr>
              <w:pStyle w:val="FigureTitle"/>
              <w:spacing w:before="0" w:after="60"/>
              <w:jc w:val="center"/>
              <w:rPr>
                <w:b w:val="0"/>
                <w:sz w:val="24"/>
                <w:szCs w:val="24"/>
              </w:rPr>
            </w:pPr>
            <w:r w:rsidRPr="00833BEA">
              <w:rPr>
                <w:b w:val="0"/>
                <w:bCs/>
                <w:sz w:val="24"/>
                <w:szCs w:val="24"/>
              </w:rPr>
              <w:t>GS-13</w:t>
            </w:r>
          </w:p>
        </w:tc>
        <w:tc>
          <w:tcPr>
            <w:tcW w:w="1190" w:type="pct"/>
            <w:hideMark/>
          </w:tcPr>
          <w:p w14:paraId="19106EF2" w14:textId="77777777" w:rsidR="009B5B5A" w:rsidRPr="00833BEA" w:rsidRDefault="009B5B5A" w:rsidP="009C6AAC">
            <w:pPr>
              <w:pStyle w:val="FigureTitle"/>
              <w:spacing w:before="0" w:after="60"/>
              <w:jc w:val="center"/>
              <w:rPr>
                <w:b w:val="0"/>
                <w:sz w:val="24"/>
                <w:szCs w:val="24"/>
              </w:rPr>
            </w:pPr>
            <w:r w:rsidRPr="00833BEA">
              <w:rPr>
                <w:b w:val="0"/>
                <w:bCs/>
                <w:sz w:val="24"/>
                <w:szCs w:val="24"/>
              </w:rPr>
              <w:t>5%</w:t>
            </w:r>
          </w:p>
        </w:tc>
        <w:tc>
          <w:tcPr>
            <w:tcW w:w="1519" w:type="pct"/>
            <w:hideMark/>
          </w:tcPr>
          <w:p w14:paraId="267CE60C" w14:textId="6CDB8E79" w:rsidR="009B5B5A" w:rsidRPr="00833BEA" w:rsidRDefault="009B5B5A" w:rsidP="00BB6E28">
            <w:pPr>
              <w:pStyle w:val="FigureTitle"/>
              <w:spacing w:before="0" w:after="60"/>
              <w:jc w:val="right"/>
              <w:rPr>
                <w:b w:val="0"/>
                <w:sz w:val="24"/>
                <w:szCs w:val="24"/>
              </w:rPr>
            </w:pPr>
            <w:r w:rsidRPr="00833BEA">
              <w:rPr>
                <w:b w:val="0"/>
                <w:bCs/>
                <w:sz w:val="24"/>
                <w:szCs w:val="24"/>
              </w:rPr>
              <w:t xml:space="preserve">$ </w:t>
            </w:r>
            <w:r w:rsidR="00BB6E28" w:rsidRPr="00833BEA">
              <w:rPr>
                <w:b w:val="0"/>
                <w:bCs/>
                <w:sz w:val="24"/>
                <w:szCs w:val="24"/>
              </w:rPr>
              <w:t>9</w:t>
            </w:r>
            <w:r w:rsidR="002D0360" w:rsidRPr="00833BEA">
              <w:rPr>
                <w:b w:val="0"/>
                <w:bCs/>
                <w:sz w:val="24"/>
                <w:szCs w:val="24"/>
              </w:rPr>
              <w:t>6,970</w:t>
            </w:r>
          </w:p>
        </w:tc>
        <w:tc>
          <w:tcPr>
            <w:tcW w:w="1145" w:type="pct"/>
            <w:hideMark/>
          </w:tcPr>
          <w:p w14:paraId="209233AD" w14:textId="3DF5A042" w:rsidR="009B5B5A" w:rsidRPr="00833BEA" w:rsidRDefault="002D0360" w:rsidP="009C6AAC">
            <w:pPr>
              <w:pStyle w:val="FigureTitle"/>
              <w:spacing w:before="0" w:after="60"/>
              <w:jc w:val="right"/>
              <w:rPr>
                <w:b w:val="0"/>
                <w:sz w:val="24"/>
                <w:szCs w:val="24"/>
              </w:rPr>
            </w:pPr>
            <w:r w:rsidRPr="00833BEA">
              <w:rPr>
                <w:b w:val="0"/>
                <w:bCs/>
                <w:sz w:val="24"/>
                <w:szCs w:val="24"/>
              </w:rPr>
              <w:t>$4,848.50</w:t>
            </w:r>
          </w:p>
        </w:tc>
      </w:tr>
      <w:tr w:rsidR="00BB6E28" w:rsidRPr="004432BE" w14:paraId="09715026" w14:textId="77777777" w:rsidTr="00F029F7">
        <w:trPr>
          <w:trHeight w:val="288"/>
        </w:trPr>
        <w:tc>
          <w:tcPr>
            <w:tcW w:w="1146" w:type="pct"/>
            <w:hideMark/>
          </w:tcPr>
          <w:p w14:paraId="46494AAF" w14:textId="77777777" w:rsidR="00BB6E28" w:rsidRPr="00833BEA" w:rsidRDefault="00BB6E28" w:rsidP="009C6AAC">
            <w:pPr>
              <w:pStyle w:val="FigureTitle"/>
              <w:spacing w:before="0" w:after="60"/>
              <w:jc w:val="center"/>
              <w:rPr>
                <w:b w:val="0"/>
                <w:sz w:val="24"/>
                <w:szCs w:val="24"/>
              </w:rPr>
            </w:pPr>
            <w:r w:rsidRPr="00833BEA">
              <w:rPr>
                <w:b w:val="0"/>
                <w:bCs/>
                <w:sz w:val="24"/>
                <w:szCs w:val="24"/>
              </w:rPr>
              <w:t>GS-13</w:t>
            </w:r>
          </w:p>
        </w:tc>
        <w:tc>
          <w:tcPr>
            <w:tcW w:w="1190" w:type="pct"/>
            <w:hideMark/>
          </w:tcPr>
          <w:p w14:paraId="04C2E72E" w14:textId="77777777" w:rsidR="00BB6E28" w:rsidRPr="00833BEA" w:rsidRDefault="00BB6E28" w:rsidP="009C6AAC">
            <w:pPr>
              <w:pStyle w:val="FigureTitle"/>
              <w:spacing w:before="0" w:after="60"/>
              <w:jc w:val="center"/>
              <w:rPr>
                <w:b w:val="0"/>
                <w:sz w:val="24"/>
                <w:szCs w:val="24"/>
              </w:rPr>
            </w:pPr>
            <w:r w:rsidRPr="00833BEA">
              <w:rPr>
                <w:b w:val="0"/>
                <w:bCs/>
                <w:sz w:val="24"/>
                <w:szCs w:val="24"/>
              </w:rPr>
              <w:t>10%</w:t>
            </w:r>
          </w:p>
        </w:tc>
        <w:tc>
          <w:tcPr>
            <w:tcW w:w="1519" w:type="pct"/>
            <w:hideMark/>
          </w:tcPr>
          <w:p w14:paraId="442B8DC0" w14:textId="1311E35D" w:rsidR="00BB6E28" w:rsidRPr="00833BEA" w:rsidRDefault="00BB6E28" w:rsidP="009C6AAC">
            <w:pPr>
              <w:pStyle w:val="FigureTitle"/>
              <w:spacing w:before="0" w:after="60"/>
              <w:jc w:val="right"/>
              <w:rPr>
                <w:b w:val="0"/>
                <w:sz w:val="24"/>
                <w:szCs w:val="24"/>
              </w:rPr>
            </w:pPr>
            <w:r w:rsidRPr="00833BEA">
              <w:rPr>
                <w:b w:val="0"/>
                <w:bCs/>
                <w:sz w:val="24"/>
                <w:szCs w:val="24"/>
              </w:rPr>
              <w:t>$ 9</w:t>
            </w:r>
            <w:r w:rsidR="002D0360" w:rsidRPr="00833BEA">
              <w:rPr>
                <w:b w:val="0"/>
                <w:bCs/>
                <w:sz w:val="24"/>
                <w:szCs w:val="24"/>
              </w:rPr>
              <w:t>6,970</w:t>
            </w:r>
          </w:p>
        </w:tc>
        <w:tc>
          <w:tcPr>
            <w:tcW w:w="1145" w:type="pct"/>
            <w:hideMark/>
          </w:tcPr>
          <w:p w14:paraId="55E9E7E0" w14:textId="304C2307" w:rsidR="00BB6E28" w:rsidRPr="00833BEA" w:rsidRDefault="002D0360" w:rsidP="009C6AAC">
            <w:pPr>
              <w:pStyle w:val="FigureTitle"/>
              <w:spacing w:before="0" w:after="60"/>
              <w:jc w:val="right"/>
              <w:rPr>
                <w:b w:val="0"/>
                <w:sz w:val="24"/>
                <w:szCs w:val="24"/>
              </w:rPr>
            </w:pPr>
            <w:r w:rsidRPr="00833BEA">
              <w:rPr>
                <w:b w:val="0"/>
                <w:bCs/>
                <w:sz w:val="24"/>
                <w:szCs w:val="24"/>
              </w:rPr>
              <w:t>$9,697</w:t>
            </w:r>
          </w:p>
        </w:tc>
      </w:tr>
      <w:tr w:rsidR="008D743F" w:rsidRPr="004432BE" w14:paraId="69BFC354" w14:textId="77777777" w:rsidTr="00F029F7">
        <w:trPr>
          <w:trHeight w:val="288"/>
        </w:trPr>
        <w:tc>
          <w:tcPr>
            <w:tcW w:w="1146" w:type="pct"/>
          </w:tcPr>
          <w:p w14:paraId="4939C0FF" w14:textId="77777777" w:rsidR="009B5B5A" w:rsidRPr="00833BEA" w:rsidRDefault="009B5B5A" w:rsidP="009C6AAC">
            <w:pPr>
              <w:pStyle w:val="FigureTitle"/>
              <w:spacing w:before="0" w:after="60"/>
              <w:ind w:left="360"/>
              <w:rPr>
                <w:b w:val="0"/>
                <w:sz w:val="24"/>
                <w:szCs w:val="24"/>
              </w:rPr>
            </w:pPr>
          </w:p>
        </w:tc>
        <w:tc>
          <w:tcPr>
            <w:tcW w:w="1190" w:type="pct"/>
          </w:tcPr>
          <w:p w14:paraId="47ADD26C" w14:textId="77777777" w:rsidR="009B5B5A" w:rsidRPr="00833BEA" w:rsidRDefault="009B5B5A" w:rsidP="009C6AAC">
            <w:pPr>
              <w:pStyle w:val="FigureTitle"/>
              <w:spacing w:before="0" w:after="60"/>
              <w:ind w:left="360"/>
              <w:rPr>
                <w:b w:val="0"/>
                <w:sz w:val="24"/>
                <w:szCs w:val="24"/>
              </w:rPr>
            </w:pPr>
          </w:p>
        </w:tc>
        <w:tc>
          <w:tcPr>
            <w:tcW w:w="1519" w:type="pct"/>
            <w:hideMark/>
          </w:tcPr>
          <w:p w14:paraId="726E66A0" w14:textId="77777777" w:rsidR="009B5B5A" w:rsidRPr="00833BEA" w:rsidRDefault="009B5B5A" w:rsidP="009C6AAC">
            <w:pPr>
              <w:pStyle w:val="FigureTitle"/>
              <w:spacing w:before="0" w:after="60"/>
              <w:jc w:val="right"/>
              <w:rPr>
                <w:sz w:val="24"/>
                <w:szCs w:val="24"/>
              </w:rPr>
            </w:pPr>
            <w:r w:rsidRPr="00833BEA">
              <w:rPr>
                <w:sz w:val="24"/>
                <w:szCs w:val="24"/>
              </w:rPr>
              <w:t>Total Salary Costs</w:t>
            </w:r>
          </w:p>
        </w:tc>
        <w:tc>
          <w:tcPr>
            <w:tcW w:w="1145" w:type="pct"/>
            <w:hideMark/>
          </w:tcPr>
          <w:p w14:paraId="10640FD3" w14:textId="73E89EE1" w:rsidR="009B5B5A" w:rsidRPr="00833BEA" w:rsidRDefault="009B5B5A" w:rsidP="00BB6E28">
            <w:pPr>
              <w:pStyle w:val="FigureTitle"/>
              <w:spacing w:before="0" w:after="60"/>
              <w:jc w:val="right"/>
              <w:rPr>
                <w:b w:val="0"/>
                <w:sz w:val="24"/>
                <w:szCs w:val="24"/>
              </w:rPr>
            </w:pPr>
            <w:r w:rsidRPr="00833BEA">
              <w:rPr>
                <w:b w:val="0"/>
                <w:bCs/>
                <w:sz w:val="24"/>
                <w:szCs w:val="24"/>
              </w:rPr>
              <w:t>$1</w:t>
            </w:r>
            <w:r w:rsidR="00BB6E28" w:rsidRPr="00833BEA">
              <w:rPr>
                <w:b w:val="0"/>
                <w:bCs/>
                <w:sz w:val="24"/>
                <w:szCs w:val="24"/>
              </w:rPr>
              <w:t>4,</w:t>
            </w:r>
            <w:r w:rsidR="002D0360" w:rsidRPr="00833BEA">
              <w:rPr>
                <w:b w:val="0"/>
                <w:bCs/>
                <w:sz w:val="24"/>
                <w:szCs w:val="24"/>
              </w:rPr>
              <w:t>545.50</w:t>
            </w:r>
          </w:p>
        </w:tc>
      </w:tr>
      <w:tr w:rsidR="008D743F" w:rsidRPr="004432BE" w14:paraId="6FF95873" w14:textId="77777777" w:rsidTr="00F029F7">
        <w:trPr>
          <w:trHeight w:val="288"/>
        </w:trPr>
        <w:tc>
          <w:tcPr>
            <w:tcW w:w="3855" w:type="pct"/>
            <w:gridSpan w:val="3"/>
            <w:hideMark/>
          </w:tcPr>
          <w:p w14:paraId="7CB557C3" w14:textId="77777777" w:rsidR="009B5B5A" w:rsidRPr="00833BEA" w:rsidRDefault="009B5B5A" w:rsidP="009C6AAC">
            <w:pPr>
              <w:pStyle w:val="FigureTitle"/>
              <w:spacing w:before="0" w:after="60"/>
              <w:jc w:val="right"/>
              <w:rPr>
                <w:sz w:val="24"/>
                <w:szCs w:val="24"/>
              </w:rPr>
            </w:pPr>
            <w:r w:rsidRPr="00833BEA">
              <w:rPr>
                <w:sz w:val="24"/>
                <w:szCs w:val="24"/>
              </w:rPr>
              <w:t>Contract Cost</w:t>
            </w:r>
          </w:p>
        </w:tc>
        <w:tc>
          <w:tcPr>
            <w:tcW w:w="1145" w:type="pct"/>
          </w:tcPr>
          <w:p w14:paraId="53F4C368" w14:textId="2293F038" w:rsidR="009B5B5A" w:rsidRPr="00833BEA" w:rsidRDefault="009B5B5A" w:rsidP="009C6AAC">
            <w:pPr>
              <w:pStyle w:val="FigureTitle"/>
              <w:spacing w:before="0" w:after="60"/>
              <w:jc w:val="right"/>
              <w:rPr>
                <w:b w:val="0"/>
                <w:sz w:val="24"/>
                <w:szCs w:val="24"/>
              </w:rPr>
            </w:pPr>
            <w:r w:rsidRPr="00833BEA">
              <w:rPr>
                <w:b w:val="0"/>
                <w:sz w:val="24"/>
                <w:szCs w:val="24"/>
              </w:rPr>
              <w:t>$</w:t>
            </w:r>
            <w:r w:rsidR="00E774C8" w:rsidRPr="00833BEA">
              <w:rPr>
                <w:b w:val="0"/>
                <w:sz w:val="24"/>
                <w:szCs w:val="24"/>
              </w:rPr>
              <w:t>377</w:t>
            </w:r>
            <w:r w:rsidR="00E22715" w:rsidRPr="00833BEA">
              <w:rPr>
                <w:b w:val="0"/>
                <w:sz w:val="24"/>
                <w:szCs w:val="24"/>
              </w:rPr>
              <w:t>,0</w:t>
            </w:r>
            <w:r w:rsidR="00E774C8" w:rsidRPr="00833BEA">
              <w:rPr>
                <w:b w:val="0"/>
                <w:sz w:val="24"/>
                <w:szCs w:val="24"/>
              </w:rPr>
              <w:t>25</w:t>
            </w:r>
            <w:r w:rsidR="00E22715" w:rsidRPr="00833BEA">
              <w:rPr>
                <w:b w:val="0"/>
                <w:sz w:val="24"/>
                <w:szCs w:val="24"/>
              </w:rPr>
              <w:t>.00</w:t>
            </w:r>
          </w:p>
        </w:tc>
      </w:tr>
      <w:tr w:rsidR="008D743F" w:rsidRPr="004432BE" w14:paraId="7F3764F6" w14:textId="77777777" w:rsidTr="00F029F7">
        <w:trPr>
          <w:trHeight w:val="288"/>
        </w:trPr>
        <w:tc>
          <w:tcPr>
            <w:tcW w:w="3855" w:type="pct"/>
            <w:gridSpan w:val="3"/>
            <w:hideMark/>
          </w:tcPr>
          <w:p w14:paraId="4BC334A7" w14:textId="77777777" w:rsidR="009B5B5A" w:rsidRPr="00833BEA" w:rsidRDefault="009B5B5A" w:rsidP="009C6AAC">
            <w:pPr>
              <w:pStyle w:val="FigureTitle"/>
              <w:spacing w:before="0" w:after="60"/>
              <w:jc w:val="right"/>
              <w:rPr>
                <w:sz w:val="24"/>
                <w:szCs w:val="24"/>
              </w:rPr>
            </w:pPr>
            <w:r w:rsidRPr="00833BEA">
              <w:rPr>
                <w:sz w:val="24"/>
                <w:szCs w:val="24"/>
              </w:rPr>
              <w:t>Total</w:t>
            </w:r>
          </w:p>
        </w:tc>
        <w:tc>
          <w:tcPr>
            <w:tcW w:w="1145" w:type="pct"/>
            <w:hideMark/>
          </w:tcPr>
          <w:p w14:paraId="1AC7D4B2" w14:textId="37D7B50B" w:rsidR="009B5B5A" w:rsidRPr="00833BEA" w:rsidRDefault="009B5B5A" w:rsidP="00E22715">
            <w:pPr>
              <w:pStyle w:val="FigureTitle"/>
              <w:spacing w:before="0" w:after="60"/>
              <w:jc w:val="right"/>
              <w:rPr>
                <w:sz w:val="24"/>
                <w:szCs w:val="24"/>
              </w:rPr>
            </w:pPr>
            <w:r w:rsidRPr="00833BEA">
              <w:rPr>
                <w:sz w:val="24"/>
                <w:szCs w:val="24"/>
              </w:rPr>
              <w:t>$</w:t>
            </w:r>
            <w:r w:rsidR="00E774C8" w:rsidRPr="00833BEA">
              <w:rPr>
                <w:sz w:val="24"/>
                <w:szCs w:val="24"/>
              </w:rPr>
              <w:t>391</w:t>
            </w:r>
            <w:r w:rsidR="00BB6E28" w:rsidRPr="00833BEA">
              <w:rPr>
                <w:sz w:val="24"/>
                <w:szCs w:val="24"/>
              </w:rPr>
              <w:t>,</w:t>
            </w:r>
            <w:r w:rsidR="00E774C8" w:rsidRPr="00833BEA">
              <w:rPr>
                <w:sz w:val="24"/>
                <w:szCs w:val="24"/>
              </w:rPr>
              <w:t>570</w:t>
            </w:r>
            <w:r w:rsidR="00BB6E28" w:rsidRPr="00833BEA">
              <w:rPr>
                <w:sz w:val="24"/>
                <w:szCs w:val="24"/>
              </w:rPr>
              <w:t>.</w:t>
            </w:r>
            <w:r w:rsidR="00E774C8" w:rsidRPr="00833BEA">
              <w:rPr>
                <w:sz w:val="24"/>
                <w:szCs w:val="24"/>
              </w:rPr>
              <w:t>5</w:t>
            </w:r>
            <w:r w:rsidR="00BB6E28" w:rsidRPr="00833BEA">
              <w:rPr>
                <w:sz w:val="24"/>
                <w:szCs w:val="24"/>
              </w:rPr>
              <w:t>0</w:t>
            </w:r>
          </w:p>
        </w:tc>
      </w:tr>
    </w:tbl>
    <w:p w14:paraId="2264C24B" w14:textId="77777777" w:rsidR="00C82D5C" w:rsidRPr="004432BE" w:rsidRDefault="00C82D5C" w:rsidP="009C6AAC">
      <w:pPr>
        <w:spacing w:before="100" w:beforeAutospacing="1" w:after="240"/>
        <w:ind w:left="360"/>
        <w:rPr>
          <w:rFonts w:ascii="Times New Roman" w:hAnsi="Times New Roman" w:cs="Times New Roman"/>
          <w:u w:val="single"/>
        </w:rPr>
      </w:pPr>
      <w:r w:rsidRPr="004432BE">
        <w:rPr>
          <w:rFonts w:ascii="Times New Roman" w:eastAsia="Times New Roman" w:hAnsi="Times New Roman" w:cs="Times New Roman"/>
        </w:rPr>
        <w:t xml:space="preserve">15. </w:t>
      </w:r>
      <w:r w:rsidRPr="004432BE">
        <w:rPr>
          <w:rFonts w:ascii="Times New Roman" w:hAnsi="Times New Roman" w:cs="Times New Roman"/>
          <w:u w:val="single"/>
        </w:rPr>
        <w:t xml:space="preserve">Explanation for Program Changes </w:t>
      </w:r>
      <w:bookmarkEnd w:id="10"/>
      <w:r w:rsidRPr="004432BE">
        <w:rPr>
          <w:rFonts w:ascii="Times New Roman" w:hAnsi="Times New Roman" w:cs="Times New Roman"/>
          <w:u w:val="single"/>
        </w:rPr>
        <w:t>or Adjustments</w:t>
      </w:r>
    </w:p>
    <w:p w14:paraId="0E7E8C4C" w14:textId="4C8D6376" w:rsidR="00C82D5C" w:rsidRPr="004432BE" w:rsidRDefault="00C82D5C" w:rsidP="009E75BD">
      <w:pPr>
        <w:pStyle w:val="BodyTextIndent"/>
        <w:spacing w:after="240"/>
        <w:ind w:left="720"/>
      </w:pPr>
      <w:r w:rsidRPr="004432BE">
        <w:t>This is a new data collection.</w:t>
      </w:r>
    </w:p>
    <w:p w14:paraId="4793B471" w14:textId="4759FAA4" w:rsidR="00C82D5C" w:rsidRPr="004432BE" w:rsidRDefault="00C82D5C" w:rsidP="009C6AAC">
      <w:pPr>
        <w:pStyle w:val="BodyTextIndent"/>
        <w:spacing w:after="240"/>
      </w:pPr>
      <w:r w:rsidRPr="004432BE">
        <w:t xml:space="preserve">16. </w:t>
      </w:r>
      <w:r w:rsidRPr="004432BE">
        <w:rPr>
          <w:u w:val="single"/>
        </w:rPr>
        <w:t>Plans for Tabulation and Publication and Project Time Schedule</w:t>
      </w:r>
    </w:p>
    <w:p w14:paraId="7F0FBA75" w14:textId="42054C96" w:rsidR="0064131E" w:rsidRPr="004432BE" w:rsidRDefault="0064131E" w:rsidP="002F6BD3">
      <w:pPr>
        <w:spacing w:after="240"/>
        <w:ind w:left="720"/>
        <w:rPr>
          <w:rFonts w:ascii="Times New Roman" w:eastAsia="Times New Roman" w:hAnsi="Times New Roman" w:cs="Times New Roman"/>
        </w:rPr>
      </w:pPr>
      <w:bookmarkStart w:id="11" w:name="_Hlk1463631"/>
      <w:r>
        <w:rPr>
          <w:rFonts w:ascii="Times New Roman" w:eastAsia="Times New Roman" w:hAnsi="Times New Roman" w:cs="Times New Roman"/>
        </w:rPr>
        <w:t>Analyses</w:t>
      </w:r>
      <w:r w:rsidR="00873D51" w:rsidRPr="004432BE">
        <w:rPr>
          <w:rFonts w:ascii="Times New Roman" w:eastAsia="Times New Roman" w:hAnsi="Times New Roman" w:cs="Times New Roman"/>
        </w:rPr>
        <w:t xml:space="preserve"> will </w:t>
      </w:r>
      <w:r>
        <w:rPr>
          <w:rFonts w:ascii="Times New Roman" w:eastAsia="Times New Roman" w:hAnsi="Times New Roman" w:cs="Times New Roman"/>
        </w:rPr>
        <w:t xml:space="preserve">descriptively </w:t>
      </w:r>
      <w:r w:rsidR="00873D51" w:rsidRPr="004432BE">
        <w:rPr>
          <w:rFonts w:ascii="Times New Roman" w:eastAsia="Times New Roman" w:hAnsi="Times New Roman" w:cs="Times New Roman"/>
        </w:rPr>
        <w:t xml:space="preserve">examine </w:t>
      </w:r>
      <w:bookmarkStart w:id="12" w:name="_Hlk1464009"/>
      <w:r>
        <w:rPr>
          <w:rFonts w:ascii="Times New Roman" w:eastAsia="Times New Roman" w:hAnsi="Times New Roman" w:cs="Times New Roman"/>
        </w:rPr>
        <w:t xml:space="preserve">youth </w:t>
      </w:r>
      <w:r w:rsidRPr="004432BE">
        <w:rPr>
          <w:rFonts w:ascii="Times New Roman" w:hAnsi="Times New Roman" w:cs="Times New Roman"/>
        </w:rPr>
        <w:t>ENDS use and its social context, measures of tobacco dependence, KABs, advertising and counter-marketing exposure, a sensation-seeking scale, measures of other tobacco product use, and demographics</w:t>
      </w:r>
      <w:r>
        <w:rPr>
          <w:rFonts w:ascii="Times New Roman" w:hAnsi="Times New Roman" w:cs="Times New Roman"/>
        </w:rPr>
        <w:t>.</w:t>
      </w:r>
      <w:r w:rsidR="002F6BD3">
        <w:rPr>
          <w:rFonts w:ascii="Times New Roman" w:hAnsi="Times New Roman" w:cs="Times New Roman"/>
        </w:rPr>
        <w:t xml:space="preserve"> </w:t>
      </w:r>
      <w:bookmarkEnd w:id="12"/>
      <w:r w:rsidR="002F6BD3">
        <w:rPr>
          <w:rFonts w:ascii="Times New Roman" w:hAnsi="Times New Roman" w:cs="Times New Roman"/>
        </w:rPr>
        <w:t xml:space="preserve">Measures of ENDS use will also be used to </w:t>
      </w:r>
      <w:r w:rsidR="002F6BD3" w:rsidRPr="004432BE">
        <w:rPr>
          <w:rFonts w:ascii="Times New Roman" w:hAnsi="Times New Roman" w:cs="Times New Roman"/>
        </w:rPr>
        <w:t xml:space="preserve">construct and then test which experimental use definitions are most optimal in discriminating between experimental and more established </w:t>
      </w:r>
      <w:r w:rsidR="00822FB9">
        <w:rPr>
          <w:rFonts w:ascii="Times New Roman" w:hAnsi="Times New Roman" w:cs="Times New Roman"/>
        </w:rPr>
        <w:t>ENDS</w:t>
      </w:r>
      <w:r w:rsidR="002F6BD3" w:rsidRPr="004432BE">
        <w:rPr>
          <w:rFonts w:ascii="Times New Roman" w:hAnsi="Times New Roman" w:cs="Times New Roman"/>
        </w:rPr>
        <w:t xml:space="preserve"> user groups on key attitudinal and behavioral constructs.</w:t>
      </w:r>
      <w:r w:rsidR="002F6BD3">
        <w:rPr>
          <w:rFonts w:ascii="Times New Roman" w:hAnsi="Times New Roman" w:cs="Times New Roman"/>
        </w:rPr>
        <w:t xml:space="preserve"> </w:t>
      </w:r>
      <w:bookmarkStart w:id="13" w:name="_Hlk1464086"/>
      <w:r w:rsidR="002F6BD3" w:rsidRPr="002F6BD3">
        <w:rPr>
          <w:rFonts w:ascii="Times New Roman" w:hAnsi="Times New Roman" w:cs="Times New Roman"/>
        </w:rPr>
        <w:t>Findings from these analyses will be used to inform FDA CTP health communication strategies.</w:t>
      </w:r>
      <w:bookmarkEnd w:id="13"/>
    </w:p>
    <w:bookmarkEnd w:id="11"/>
    <w:p w14:paraId="1044362F" w14:textId="77777777" w:rsidR="00217BED" w:rsidRDefault="00217BED" w:rsidP="009C6AAC">
      <w:pPr>
        <w:spacing w:before="100" w:beforeAutospacing="1" w:after="240"/>
        <w:ind w:left="720"/>
        <w:rPr>
          <w:rFonts w:ascii="Times New Roman" w:hAnsi="Times New Roman" w:cs="Times New Roman"/>
          <w:u w:val="single"/>
        </w:rPr>
      </w:pPr>
    </w:p>
    <w:p w14:paraId="7AAB823B" w14:textId="04717939" w:rsidR="00F47E76" w:rsidRPr="004432BE" w:rsidRDefault="00F47E76" w:rsidP="009C6AAC">
      <w:pPr>
        <w:spacing w:before="100" w:beforeAutospacing="1" w:after="240"/>
        <w:ind w:left="720"/>
        <w:rPr>
          <w:rFonts w:ascii="Times New Roman" w:hAnsi="Times New Roman" w:cs="Times New Roman"/>
          <w:u w:val="single"/>
        </w:rPr>
      </w:pPr>
      <w:r w:rsidRPr="004432BE">
        <w:rPr>
          <w:rFonts w:ascii="Times New Roman" w:hAnsi="Times New Roman" w:cs="Times New Roman"/>
          <w:u w:val="single"/>
        </w:rPr>
        <w:t>Reporting</w:t>
      </w:r>
    </w:p>
    <w:p w14:paraId="2D4CCE9F" w14:textId="645A654A" w:rsidR="00F47E76" w:rsidRPr="004432BE" w:rsidRDefault="00F47E76" w:rsidP="002F6BD3">
      <w:pPr>
        <w:spacing w:after="240"/>
        <w:ind w:left="720"/>
        <w:rPr>
          <w:rFonts w:ascii="Times New Roman" w:hAnsi="Times New Roman" w:cs="Times New Roman"/>
        </w:rPr>
      </w:pPr>
      <w:r w:rsidRPr="004432BE">
        <w:rPr>
          <w:rFonts w:ascii="Times New Roman" w:hAnsi="Times New Roman" w:cs="Times New Roman"/>
        </w:rPr>
        <w:t xml:space="preserve">The reporting and dissemination mechanism will consist of </w:t>
      </w:r>
      <w:r w:rsidR="002F6BD3">
        <w:rPr>
          <w:rFonts w:ascii="Times New Roman" w:hAnsi="Times New Roman" w:cs="Times New Roman"/>
        </w:rPr>
        <w:t>two</w:t>
      </w:r>
      <w:r w:rsidRPr="004432BE">
        <w:rPr>
          <w:rFonts w:ascii="Times New Roman" w:hAnsi="Times New Roman" w:cs="Times New Roman"/>
        </w:rPr>
        <w:t xml:space="preserve"> primary component</w:t>
      </w:r>
      <w:r w:rsidR="002F6BD3">
        <w:rPr>
          <w:rFonts w:ascii="Times New Roman" w:hAnsi="Times New Roman" w:cs="Times New Roman"/>
        </w:rPr>
        <w:t>s</w:t>
      </w:r>
      <w:r w:rsidRPr="004432BE">
        <w:rPr>
          <w:rFonts w:ascii="Times New Roman" w:hAnsi="Times New Roman" w:cs="Times New Roman"/>
        </w:rPr>
        <w:t xml:space="preserve">: </w:t>
      </w:r>
      <w:r w:rsidR="002F6BD3">
        <w:rPr>
          <w:rFonts w:ascii="Times New Roman" w:hAnsi="Times New Roman" w:cs="Times New Roman"/>
        </w:rPr>
        <w:t xml:space="preserve">1) </w:t>
      </w:r>
      <w:r w:rsidR="002F6BD3" w:rsidRPr="002F6BD3">
        <w:rPr>
          <w:rFonts w:ascii="Times New Roman" w:hAnsi="Times New Roman" w:cs="Times New Roman"/>
        </w:rPr>
        <w:t>a comprehensive report summarizing findings from this information collection</w:t>
      </w:r>
      <w:r w:rsidR="002F6BD3">
        <w:rPr>
          <w:rFonts w:ascii="Times New Roman" w:hAnsi="Times New Roman" w:cs="Times New Roman"/>
        </w:rPr>
        <w:t xml:space="preserve">, and 2) a manuscript or conference presentation summarizing findings. </w:t>
      </w:r>
      <w:r w:rsidRPr="004432BE">
        <w:rPr>
          <w:rFonts w:ascii="Times New Roman" w:hAnsi="Times New Roman" w:cs="Times New Roman"/>
        </w:rPr>
        <w:t>The key events and reports to be prepared are listed in Exhibit </w:t>
      </w:r>
      <w:r w:rsidR="00962D75" w:rsidRPr="004432BE">
        <w:rPr>
          <w:rFonts w:ascii="Times New Roman" w:hAnsi="Times New Roman" w:cs="Times New Roman"/>
        </w:rPr>
        <w:t>4</w:t>
      </w:r>
      <w:r w:rsidRPr="004432BE">
        <w:rPr>
          <w:rFonts w:ascii="Times New Roman" w:hAnsi="Times New Roman" w:cs="Times New Roman"/>
        </w:rPr>
        <w:t>.</w:t>
      </w:r>
    </w:p>
    <w:p w14:paraId="79C92B3A" w14:textId="555729A2" w:rsidR="00F47E76" w:rsidRPr="004432BE" w:rsidRDefault="00F47E76" w:rsidP="002F6BD3">
      <w:pPr>
        <w:spacing w:before="100" w:beforeAutospacing="1" w:after="120"/>
        <w:ind w:left="720"/>
        <w:rPr>
          <w:rFonts w:ascii="Times New Roman" w:hAnsi="Times New Roman" w:cs="Times New Roman"/>
        </w:rPr>
      </w:pPr>
      <w:bookmarkStart w:id="14" w:name="_Ref216592722"/>
      <w:bookmarkStart w:id="15" w:name="_Toc66689102"/>
      <w:bookmarkStart w:id="16" w:name="_Toc140476560"/>
      <w:bookmarkStart w:id="17" w:name="_Toc216595340"/>
      <w:bookmarkStart w:id="18" w:name="_Toc361824172"/>
      <w:r w:rsidRPr="004432BE">
        <w:rPr>
          <w:rFonts w:ascii="Times New Roman" w:hAnsi="Times New Roman" w:cs="Times New Roman"/>
          <w:b/>
        </w:rPr>
        <w:t xml:space="preserve">Exhibit </w:t>
      </w:r>
      <w:bookmarkEnd w:id="14"/>
      <w:r w:rsidR="00962D75" w:rsidRPr="004432BE">
        <w:rPr>
          <w:rFonts w:ascii="Times New Roman" w:hAnsi="Times New Roman" w:cs="Times New Roman"/>
          <w:b/>
        </w:rPr>
        <w:t>4</w:t>
      </w:r>
      <w:r w:rsidRPr="004432BE">
        <w:rPr>
          <w:rFonts w:ascii="Times New Roman" w:hAnsi="Times New Roman" w:cs="Times New Roman"/>
          <w:b/>
        </w:rPr>
        <w:t>.</w:t>
      </w:r>
      <w:bookmarkEnd w:id="15"/>
      <w:bookmarkEnd w:id="16"/>
      <w:bookmarkEnd w:id="17"/>
      <w:r w:rsidRPr="004432BE">
        <w:rPr>
          <w:rFonts w:ascii="Times New Roman" w:hAnsi="Times New Roman" w:cs="Times New Roman"/>
          <w:b/>
        </w:rPr>
        <w:t xml:space="preserve"> Project Schedule</w:t>
      </w:r>
      <w:bookmarkEnd w:id="18"/>
    </w:p>
    <w:tbl>
      <w:tblPr>
        <w:tblStyle w:val="TableGrid"/>
        <w:tblW w:w="7905" w:type="dxa"/>
        <w:tblInd w:w="715" w:type="dxa"/>
        <w:tblLayout w:type="fixed"/>
        <w:tblLook w:val="01E0" w:firstRow="1" w:lastRow="1" w:firstColumn="1" w:lastColumn="1" w:noHBand="0" w:noVBand="0"/>
      </w:tblPr>
      <w:tblGrid>
        <w:gridCol w:w="2970"/>
        <w:gridCol w:w="4935"/>
      </w:tblGrid>
      <w:tr w:rsidR="008D743F" w:rsidRPr="004432BE" w14:paraId="0BE1D752" w14:textId="77777777" w:rsidTr="008D743F">
        <w:tc>
          <w:tcPr>
            <w:tcW w:w="2970" w:type="dxa"/>
            <w:shd w:val="clear" w:color="auto" w:fill="BFBFBF" w:themeFill="background1" w:themeFillShade="BF"/>
          </w:tcPr>
          <w:p w14:paraId="358C3680" w14:textId="77777777" w:rsidR="00F47E76" w:rsidRPr="004432BE" w:rsidRDefault="00F47E76" w:rsidP="000C5CD3">
            <w:pPr>
              <w:rPr>
                <w:b/>
                <w:sz w:val="24"/>
                <w:szCs w:val="24"/>
              </w:rPr>
            </w:pPr>
            <w:r w:rsidRPr="004432BE">
              <w:rPr>
                <w:b/>
                <w:sz w:val="24"/>
                <w:szCs w:val="24"/>
              </w:rPr>
              <w:t>Project Activity</w:t>
            </w:r>
          </w:p>
        </w:tc>
        <w:tc>
          <w:tcPr>
            <w:tcW w:w="4935" w:type="dxa"/>
            <w:shd w:val="clear" w:color="auto" w:fill="BFBFBF" w:themeFill="background1" w:themeFillShade="BF"/>
          </w:tcPr>
          <w:p w14:paraId="5F138BAA" w14:textId="77777777" w:rsidR="00F47E76" w:rsidRPr="004432BE" w:rsidRDefault="00F47E76" w:rsidP="000C5CD3">
            <w:pPr>
              <w:rPr>
                <w:b/>
                <w:sz w:val="24"/>
                <w:szCs w:val="24"/>
              </w:rPr>
            </w:pPr>
            <w:r w:rsidRPr="004432BE">
              <w:rPr>
                <w:b/>
                <w:sz w:val="24"/>
                <w:szCs w:val="24"/>
              </w:rPr>
              <w:t>Date</w:t>
            </w:r>
          </w:p>
        </w:tc>
      </w:tr>
      <w:tr w:rsidR="00F47E76" w:rsidRPr="004432BE" w14:paraId="0E009D5E" w14:textId="77777777" w:rsidTr="002F1E96">
        <w:tc>
          <w:tcPr>
            <w:tcW w:w="2970" w:type="dxa"/>
          </w:tcPr>
          <w:p w14:paraId="720E211B" w14:textId="77777777" w:rsidR="00F47E76" w:rsidRPr="004432BE" w:rsidRDefault="00F47E76" w:rsidP="000C5CD3">
            <w:pPr>
              <w:rPr>
                <w:sz w:val="24"/>
                <w:szCs w:val="24"/>
              </w:rPr>
            </w:pPr>
            <w:r w:rsidRPr="004432BE">
              <w:rPr>
                <w:sz w:val="24"/>
                <w:szCs w:val="24"/>
              </w:rPr>
              <w:t>Survey</w:t>
            </w:r>
          </w:p>
        </w:tc>
        <w:tc>
          <w:tcPr>
            <w:tcW w:w="4935" w:type="dxa"/>
          </w:tcPr>
          <w:p w14:paraId="2318EB1E" w14:textId="4E35D3E1" w:rsidR="00F47E76" w:rsidRPr="004432BE" w:rsidRDefault="002F6BD3" w:rsidP="009E7C1C">
            <w:pPr>
              <w:rPr>
                <w:sz w:val="24"/>
                <w:szCs w:val="24"/>
              </w:rPr>
            </w:pPr>
            <w:r>
              <w:rPr>
                <w:sz w:val="24"/>
                <w:szCs w:val="24"/>
              </w:rPr>
              <w:t>April 2019</w:t>
            </w:r>
            <w:r w:rsidR="00EE3985" w:rsidRPr="004432BE">
              <w:rPr>
                <w:sz w:val="24"/>
                <w:szCs w:val="24"/>
              </w:rPr>
              <w:t xml:space="preserve"> </w:t>
            </w:r>
          </w:p>
        </w:tc>
      </w:tr>
      <w:tr w:rsidR="00F47E76" w:rsidRPr="004432BE" w14:paraId="6F9532EA" w14:textId="77777777" w:rsidTr="002F1E96">
        <w:tc>
          <w:tcPr>
            <w:tcW w:w="2970" w:type="dxa"/>
          </w:tcPr>
          <w:p w14:paraId="48A1CCDB" w14:textId="77777777" w:rsidR="00F47E76" w:rsidRPr="004432BE" w:rsidRDefault="00F47E76" w:rsidP="000C5CD3">
            <w:pPr>
              <w:rPr>
                <w:sz w:val="24"/>
                <w:szCs w:val="24"/>
              </w:rPr>
            </w:pPr>
            <w:r w:rsidRPr="004432BE">
              <w:rPr>
                <w:sz w:val="24"/>
                <w:szCs w:val="24"/>
              </w:rPr>
              <w:t>Data analysis</w:t>
            </w:r>
          </w:p>
        </w:tc>
        <w:tc>
          <w:tcPr>
            <w:tcW w:w="4935" w:type="dxa"/>
          </w:tcPr>
          <w:p w14:paraId="023CBFC2" w14:textId="7D37162B" w:rsidR="00EE3985" w:rsidRPr="004432BE" w:rsidRDefault="002F6BD3" w:rsidP="006E0330">
            <w:pPr>
              <w:rPr>
                <w:sz w:val="24"/>
                <w:szCs w:val="24"/>
              </w:rPr>
            </w:pPr>
            <w:r>
              <w:rPr>
                <w:sz w:val="24"/>
                <w:szCs w:val="24"/>
              </w:rPr>
              <w:t>April – June 2019</w:t>
            </w:r>
          </w:p>
        </w:tc>
      </w:tr>
      <w:tr w:rsidR="00F47E76" w:rsidRPr="004432BE" w14:paraId="7749CBA1" w14:textId="77777777" w:rsidTr="002F1E96">
        <w:tc>
          <w:tcPr>
            <w:tcW w:w="2970" w:type="dxa"/>
          </w:tcPr>
          <w:p w14:paraId="49CF391D" w14:textId="77777777" w:rsidR="00F47E76" w:rsidRPr="004432BE" w:rsidRDefault="00F47E76" w:rsidP="000C5CD3">
            <w:pPr>
              <w:rPr>
                <w:sz w:val="24"/>
                <w:szCs w:val="24"/>
              </w:rPr>
            </w:pPr>
            <w:r w:rsidRPr="004432BE">
              <w:rPr>
                <w:sz w:val="24"/>
                <w:szCs w:val="24"/>
              </w:rPr>
              <w:t>Presentation of findings</w:t>
            </w:r>
          </w:p>
        </w:tc>
        <w:tc>
          <w:tcPr>
            <w:tcW w:w="4935" w:type="dxa"/>
          </w:tcPr>
          <w:p w14:paraId="2DCEF2EA" w14:textId="1931F838" w:rsidR="00F47E76" w:rsidRPr="004432BE" w:rsidRDefault="002F6BD3" w:rsidP="000C5CD3">
            <w:pPr>
              <w:rPr>
                <w:sz w:val="24"/>
                <w:szCs w:val="24"/>
              </w:rPr>
            </w:pPr>
            <w:r>
              <w:rPr>
                <w:sz w:val="24"/>
                <w:szCs w:val="24"/>
              </w:rPr>
              <w:t>July</w:t>
            </w:r>
            <w:r w:rsidR="00EE3985" w:rsidRPr="004432BE">
              <w:rPr>
                <w:sz w:val="24"/>
                <w:szCs w:val="24"/>
              </w:rPr>
              <w:t xml:space="preserve"> 2019</w:t>
            </w:r>
            <w:r w:rsidR="00F47E76" w:rsidRPr="004432BE">
              <w:rPr>
                <w:sz w:val="24"/>
                <w:szCs w:val="24"/>
              </w:rPr>
              <w:t xml:space="preserve"> (Approximate)</w:t>
            </w:r>
          </w:p>
        </w:tc>
      </w:tr>
    </w:tbl>
    <w:p w14:paraId="71B7E7B5" w14:textId="77777777" w:rsidR="00BE5651" w:rsidRPr="004432BE" w:rsidRDefault="00BE5651" w:rsidP="000C5CD3">
      <w:pPr>
        <w:spacing w:before="100" w:beforeAutospacing="1" w:after="100" w:afterAutospacing="1"/>
        <w:ind w:firstLine="360"/>
        <w:rPr>
          <w:rFonts w:ascii="Times New Roman" w:hAnsi="Times New Roman" w:cs="Times New Roman"/>
          <w:u w:val="single"/>
        </w:rPr>
      </w:pPr>
      <w:r w:rsidRPr="004432BE">
        <w:rPr>
          <w:rFonts w:ascii="Times New Roman" w:eastAsia="Times New Roman" w:hAnsi="Times New Roman" w:cs="Times New Roman"/>
        </w:rPr>
        <w:t xml:space="preserve">17. </w:t>
      </w:r>
      <w:r w:rsidRPr="004432BE">
        <w:rPr>
          <w:rFonts w:ascii="Times New Roman" w:hAnsi="Times New Roman" w:cs="Times New Roman"/>
          <w:u w:val="single"/>
        </w:rPr>
        <w:t>Reason(s) Display of OMB Expiration Date is Inappropriate</w:t>
      </w:r>
    </w:p>
    <w:p w14:paraId="5B19BDD7" w14:textId="77777777" w:rsidR="00BE5651" w:rsidRPr="004432BE" w:rsidRDefault="00BE5651" w:rsidP="00C04567">
      <w:pPr>
        <w:spacing w:after="240"/>
        <w:ind w:left="720"/>
        <w:rPr>
          <w:rFonts w:ascii="Times New Roman" w:hAnsi="Times New Roman" w:cs="Times New Roman"/>
        </w:rPr>
      </w:pPr>
      <w:r w:rsidRPr="004432BE">
        <w:rPr>
          <w:rFonts w:ascii="Times New Roman" w:hAnsi="Times New Roman" w:cs="Times New Roman"/>
        </w:rPr>
        <w:t xml:space="preserve">Not </w:t>
      </w:r>
      <w:r w:rsidRPr="004432BE">
        <w:rPr>
          <w:rFonts w:ascii="Times New Roman" w:eastAsia="Times New Roman" w:hAnsi="Times New Roman" w:cs="Times New Roman"/>
        </w:rPr>
        <w:t>applicable</w:t>
      </w:r>
      <w:r w:rsidRPr="004432BE">
        <w:rPr>
          <w:rFonts w:ascii="Times New Roman" w:hAnsi="Times New Roman" w:cs="Times New Roman"/>
        </w:rPr>
        <w:t>. All data collection instruments will display the expiration date for OMB approval of the information collection.</w:t>
      </w:r>
    </w:p>
    <w:p w14:paraId="513EE9DC" w14:textId="5EF65DB4" w:rsidR="00BE5651" w:rsidRPr="004432BE" w:rsidRDefault="00BE5651" w:rsidP="000C5CD3">
      <w:pPr>
        <w:spacing w:before="100" w:beforeAutospacing="1" w:after="100" w:afterAutospacing="1"/>
        <w:ind w:left="360"/>
        <w:rPr>
          <w:rFonts w:ascii="Times New Roman" w:hAnsi="Times New Roman" w:cs="Times New Roman"/>
        </w:rPr>
      </w:pPr>
      <w:r w:rsidRPr="004432BE">
        <w:rPr>
          <w:rFonts w:ascii="Times New Roman" w:hAnsi="Times New Roman" w:cs="Times New Roman"/>
        </w:rPr>
        <w:t xml:space="preserve">18. </w:t>
      </w:r>
      <w:r w:rsidRPr="004432BE">
        <w:rPr>
          <w:rFonts w:ascii="Times New Roman" w:hAnsi="Times New Roman" w:cs="Times New Roman"/>
          <w:u w:val="single"/>
        </w:rPr>
        <w:t>Exceptions to Certification for Paperwork Reduction Act Submissions</w:t>
      </w:r>
    </w:p>
    <w:p w14:paraId="1C8CAC37" w14:textId="23DF5E93" w:rsidR="00FC5B70" w:rsidRDefault="00BE5651" w:rsidP="00AA65FA">
      <w:pPr>
        <w:spacing w:after="240"/>
        <w:ind w:left="720"/>
        <w:rPr>
          <w:rFonts w:ascii="Times New Roman" w:eastAsia="Times New Roman" w:hAnsi="Times New Roman" w:cs="Times New Roman"/>
        </w:rPr>
      </w:pPr>
      <w:r w:rsidRPr="004432BE">
        <w:rPr>
          <w:rFonts w:ascii="Times New Roman" w:eastAsia="Times New Roman" w:hAnsi="Times New Roman" w:cs="Times New Roman"/>
        </w:rPr>
        <w:t>Not applicable. There are no exceptions to the certification statement.</w:t>
      </w:r>
    </w:p>
    <w:p w14:paraId="4B3BFB67" w14:textId="57287BA1" w:rsidR="00217BED" w:rsidRDefault="00217BED" w:rsidP="00AA65FA">
      <w:pPr>
        <w:spacing w:after="240"/>
        <w:ind w:left="720"/>
        <w:rPr>
          <w:rFonts w:ascii="Times New Roman" w:eastAsia="Times New Roman" w:hAnsi="Times New Roman" w:cs="Times New Roman"/>
        </w:rPr>
      </w:pPr>
    </w:p>
    <w:p w14:paraId="471BA7D4" w14:textId="0B024FC7" w:rsidR="00217BED" w:rsidRDefault="00217BED" w:rsidP="00AA65FA">
      <w:pPr>
        <w:spacing w:after="240"/>
        <w:ind w:left="720"/>
        <w:rPr>
          <w:rFonts w:ascii="Times New Roman" w:eastAsia="Times New Roman" w:hAnsi="Times New Roman" w:cs="Times New Roman"/>
        </w:rPr>
      </w:pPr>
    </w:p>
    <w:p w14:paraId="72BB3E03" w14:textId="1446E630" w:rsidR="00217BED" w:rsidRDefault="00217BED" w:rsidP="00AA65FA">
      <w:pPr>
        <w:spacing w:after="240"/>
        <w:ind w:left="720"/>
        <w:rPr>
          <w:rFonts w:ascii="Times New Roman" w:eastAsia="Times New Roman" w:hAnsi="Times New Roman" w:cs="Times New Roman"/>
        </w:rPr>
      </w:pPr>
    </w:p>
    <w:p w14:paraId="7EF984E4" w14:textId="456C2DA4" w:rsidR="00217BED" w:rsidRDefault="00217BED" w:rsidP="00AA65FA">
      <w:pPr>
        <w:spacing w:after="240"/>
        <w:ind w:left="720"/>
        <w:rPr>
          <w:rFonts w:ascii="Times New Roman" w:eastAsia="Times New Roman" w:hAnsi="Times New Roman" w:cs="Times New Roman"/>
        </w:rPr>
      </w:pPr>
    </w:p>
    <w:p w14:paraId="621FCE82" w14:textId="79423A93" w:rsidR="00217BED" w:rsidRDefault="00217BED" w:rsidP="00AA65FA">
      <w:pPr>
        <w:spacing w:after="240"/>
        <w:ind w:left="720"/>
        <w:rPr>
          <w:rFonts w:ascii="Times New Roman" w:eastAsia="Times New Roman" w:hAnsi="Times New Roman" w:cs="Times New Roman"/>
        </w:rPr>
      </w:pPr>
    </w:p>
    <w:p w14:paraId="7CCE0213" w14:textId="063289AB" w:rsidR="00217BED" w:rsidRDefault="00217BED" w:rsidP="00AA65FA">
      <w:pPr>
        <w:spacing w:after="240"/>
        <w:ind w:left="720"/>
        <w:rPr>
          <w:rFonts w:ascii="Times New Roman" w:eastAsia="Times New Roman" w:hAnsi="Times New Roman" w:cs="Times New Roman"/>
        </w:rPr>
      </w:pPr>
    </w:p>
    <w:p w14:paraId="5BD814D9" w14:textId="0BA4BDB9" w:rsidR="00217BED" w:rsidRDefault="00217BED" w:rsidP="00AA65FA">
      <w:pPr>
        <w:spacing w:after="240"/>
        <w:ind w:left="720"/>
        <w:rPr>
          <w:rFonts w:ascii="Times New Roman" w:eastAsia="Times New Roman" w:hAnsi="Times New Roman" w:cs="Times New Roman"/>
        </w:rPr>
      </w:pPr>
    </w:p>
    <w:p w14:paraId="4A0F2378" w14:textId="41D09473" w:rsidR="00217BED" w:rsidRDefault="00217BED" w:rsidP="00AA65FA">
      <w:pPr>
        <w:spacing w:after="240"/>
        <w:ind w:left="720"/>
        <w:rPr>
          <w:rFonts w:ascii="Times New Roman" w:eastAsia="Times New Roman" w:hAnsi="Times New Roman" w:cs="Times New Roman"/>
        </w:rPr>
      </w:pPr>
    </w:p>
    <w:p w14:paraId="79DBE228" w14:textId="03800555" w:rsidR="00217BED" w:rsidRDefault="00217BED" w:rsidP="00AA65FA">
      <w:pPr>
        <w:spacing w:after="240"/>
        <w:ind w:left="720"/>
        <w:rPr>
          <w:rFonts w:ascii="Times New Roman" w:eastAsia="Times New Roman" w:hAnsi="Times New Roman" w:cs="Times New Roman"/>
        </w:rPr>
      </w:pPr>
    </w:p>
    <w:p w14:paraId="61593776" w14:textId="36B1A2CD" w:rsidR="00217BED" w:rsidRDefault="00217BED" w:rsidP="00AA65FA">
      <w:pPr>
        <w:spacing w:after="240"/>
        <w:ind w:left="720"/>
        <w:rPr>
          <w:rFonts w:ascii="Times New Roman" w:eastAsia="Times New Roman" w:hAnsi="Times New Roman" w:cs="Times New Roman"/>
        </w:rPr>
      </w:pPr>
    </w:p>
    <w:p w14:paraId="57BF72C1" w14:textId="66A23F9C" w:rsidR="00217BED" w:rsidRDefault="00217BED" w:rsidP="00AA65FA">
      <w:pPr>
        <w:spacing w:after="240"/>
        <w:ind w:left="720"/>
        <w:rPr>
          <w:rFonts w:ascii="Times New Roman" w:eastAsia="Times New Roman" w:hAnsi="Times New Roman" w:cs="Times New Roman"/>
        </w:rPr>
      </w:pPr>
    </w:p>
    <w:p w14:paraId="796F3A48" w14:textId="3B1BCA9A" w:rsidR="00217BED" w:rsidRDefault="00217BED" w:rsidP="00AA65FA">
      <w:pPr>
        <w:spacing w:after="240"/>
        <w:ind w:left="720"/>
        <w:rPr>
          <w:rFonts w:ascii="Times New Roman" w:eastAsia="Times New Roman" w:hAnsi="Times New Roman" w:cs="Times New Roman"/>
        </w:rPr>
      </w:pPr>
    </w:p>
    <w:p w14:paraId="343845E5" w14:textId="6DDE34C3" w:rsidR="00217BED" w:rsidRDefault="00217BED" w:rsidP="00AA65FA">
      <w:pPr>
        <w:spacing w:after="240"/>
        <w:ind w:left="720"/>
        <w:rPr>
          <w:rFonts w:ascii="Times New Roman" w:eastAsia="Times New Roman" w:hAnsi="Times New Roman" w:cs="Times New Roman"/>
        </w:rPr>
      </w:pPr>
    </w:p>
    <w:p w14:paraId="009AFD20" w14:textId="54ED77D6" w:rsidR="00217BED" w:rsidRDefault="00217BED" w:rsidP="00AA65FA">
      <w:pPr>
        <w:spacing w:after="240"/>
        <w:ind w:left="720"/>
        <w:rPr>
          <w:rFonts w:ascii="Times New Roman" w:eastAsia="Times New Roman" w:hAnsi="Times New Roman" w:cs="Times New Roman"/>
        </w:rPr>
      </w:pPr>
    </w:p>
    <w:p w14:paraId="7A70DD82" w14:textId="77777777" w:rsidR="00FC5B70" w:rsidRPr="00AA65FA" w:rsidRDefault="00FC5B70" w:rsidP="00FC5B70">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b/>
          <w:u w:val="single"/>
        </w:rPr>
      </w:pPr>
      <w:r w:rsidRPr="00AA65FA">
        <w:rPr>
          <w:rFonts w:ascii="Times New Roman" w:hAnsi="Times New Roman"/>
          <w:b/>
          <w:u w:val="single"/>
        </w:rPr>
        <w:t>References</w:t>
      </w:r>
    </w:p>
    <w:p w14:paraId="56EEC960" w14:textId="77777777" w:rsidR="00FC5B70" w:rsidRDefault="00FC5B70" w:rsidP="00FC5B70">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rPr>
      </w:pPr>
    </w:p>
    <w:p w14:paraId="21B0392D" w14:textId="77777777" w:rsidR="00FC5B70" w:rsidRPr="00CE4712" w:rsidRDefault="00FC5B70" w:rsidP="00FC5B70">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rPr>
      </w:pPr>
      <w:r w:rsidRPr="00CE4712">
        <w:rPr>
          <w:rFonts w:ascii="Times New Roman" w:hAnsi="Times New Roman"/>
        </w:rPr>
        <w:t>Abreu, D. A., &amp; Winters, F. (1999). Using monetary incentives to reduce attrition in the survey of incom</w:t>
      </w:r>
      <w:r>
        <w:rPr>
          <w:rFonts w:ascii="Times New Roman" w:hAnsi="Times New Roman"/>
        </w:rPr>
        <w:t xml:space="preserve">e and program participation. </w:t>
      </w:r>
      <w:r w:rsidRPr="00CE4712">
        <w:rPr>
          <w:rFonts w:ascii="Times New Roman" w:hAnsi="Times New Roman"/>
          <w:i/>
        </w:rPr>
        <w:t xml:space="preserve">Proceedings of the Survey Research Methods Section </w:t>
      </w:r>
      <w:r w:rsidRPr="00CE4712">
        <w:rPr>
          <w:rFonts w:ascii="Times New Roman" w:hAnsi="Times New Roman"/>
        </w:rPr>
        <w:t>(pp. 533-538).</w:t>
      </w:r>
    </w:p>
    <w:p w14:paraId="008E29E6" w14:textId="77777777" w:rsidR="00FC5B70" w:rsidRDefault="00FC5B70" w:rsidP="00FC5B70">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rPr>
      </w:pPr>
    </w:p>
    <w:p w14:paraId="68EA1905" w14:textId="77777777" w:rsidR="00FC5B70" w:rsidRPr="00CE4712" w:rsidRDefault="00FC5B70" w:rsidP="00FC5B70">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rPr>
      </w:pPr>
      <w:r w:rsidRPr="00CE4712">
        <w:rPr>
          <w:rFonts w:ascii="Times New Roman" w:hAnsi="Times New Roman"/>
        </w:rPr>
        <w:t>Castiglioni, L., Pforr, K., &amp; Krieger, U. (2008, December). The effect of incentives on response rates and panel attrition: Results</w:t>
      </w:r>
      <w:r>
        <w:rPr>
          <w:rFonts w:ascii="Times New Roman" w:hAnsi="Times New Roman"/>
        </w:rPr>
        <w:t xml:space="preserve"> of a controlled experiment. </w:t>
      </w:r>
      <w:r w:rsidRPr="00CE4712">
        <w:rPr>
          <w:rFonts w:ascii="Times New Roman" w:hAnsi="Times New Roman"/>
          <w:i/>
        </w:rPr>
        <w:t>Survey Research Methods (</w:t>
      </w:r>
      <w:r w:rsidRPr="00CE4712">
        <w:rPr>
          <w:rFonts w:ascii="Times New Roman" w:hAnsi="Times New Roman"/>
        </w:rPr>
        <w:t>Vol. 2, No. 3, pp. 151-158).</w:t>
      </w:r>
    </w:p>
    <w:p w14:paraId="77CEC50F" w14:textId="2A63810D" w:rsidR="00FC5B70" w:rsidRDefault="00FC5B70" w:rsidP="00FC5B70">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rPr>
      </w:pPr>
    </w:p>
    <w:p w14:paraId="0C717CBE" w14:textId="77777777" w:rsidR="00FC5B70" w:rsidRDefault="00FC5B70" w:rsidP="00FC5B70">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rPr>
      </w:pPr>
      <w:r w:rsidRPr="00FC5B70">
        <w:rPr>
          <w:rFonts w:ascii="Times New Roman" w:hAnsi="Times New Roman"/>
        </w:rPr>
        <w:t xml:space="preserve">Diviak KR et al. (2006). Recruitment and retention of adolescents in a smoking trajectory study: Who participates and lessons learned. Subst Use Misuse. 41: 175–182; </w:t>
      </w:r>
    </w:p>
    <w:p w14:paraId="28B3479F" w14:textId="77777777" w:rsidR="00FC5B70" w:rsidRDefault="00FC5B70" w:rsidP="00FC5B70">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rPr>
      </w:pPr>
    </w:p>
    <w:p w14:paraId="1ACC7D2A" w14:textId="78CB4216" w:rsidR="00FC5B70" w:rsidRPr="00FC5B70" w:rsidRDefault="00FC5B70" w:rsidP="00FC5B70">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rPr>
      </w:pPr>
      <w:r w:rsidRPr="00FC5B70">
        <w:rPr>
          <w:rFonts w:ascii="Times New Roman" w:hAnsi="Times New Roman"/>
        </w:rPr>
        <w:t>McCormick LK et al. (1999). Recruiting adolescents into qualitative tobacco research studies: experiences and lessons learned. J Sch Health. 69: 95–99.</w:t>
      </w:r>
    </w:p>
    <w:p w14:paraId="635B3073" w14:textId="220A433F" w:rsidR="00FC5B70" w:rsidRDefault="00FC5B70" w:rsidP="00C5749A">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EC29D00" w14:textId="367DCAE0" w:rsidR="00FC5B70" w:rsidRDefault="00FC5B70" w:rsidP="00FC5B70">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rPr>
      </w:pPr>
      <w:r w:rsidRPr="00FC5B70">
        <w:rPr>
          <w:rFonts w:ascii="Times New Roman" w:hAnsi="Times New Roman"/>
        </w:rPr>
        <w:t>National Youth Tobacco Survey (NYTS), 2017</w:t>
      </w:r>
    </w:p>
    <w:p w14:paraId="12DCD755" w14:textId="77777777" w:rsidR="00FC5B70" w:rsidRDefault="00FC5B70" w:rsidP="00FC5B70">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rPr>
      </w:pPr>
    </w:p>
    <w:p w14:paraId="3C5E9A86" w14:textId="77777777" w:rsidR="00FC5B70" w:rsidRPr="00CE4712" w:rsidRDefault="00FC5B70" w:rsidP="00FC5B70">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rPr>
      </w:pPr>
      <w:r w:rsidRPr="00CE4712">
        <w:rPr>
          <w:rFonts w:ascii="Times New Roman" w:hAnsi="Times New Roman"/>
        </w:rPr>
        <w:t>Singer, E. (2002). The use of incentives to reduce nonrespons</w:t>
      </w:r>
      <w:r>
        <w:rPr>
          <w:rFonts w:ascii="Times New Roman" w:hAnsi="Times New Roman"/>
        </w:rPr>
        <w:t xml:space="preserve">e in household surveys. </w:t>
      </w:r>
      <w:r w:rsidRPr="00CE4712">
        <w:rPr>
          <w:rFonts w:ascii="Times New Roman" w:hAnsi="Times New Roman"/>
          <w:i/>
        </w:rPr>
        <w:t>Survey Nonresponse</w:t>
      </w:r>
      <w:r w:rsidRPr="00CE4712">
        <w:rPr>
          <w:rFonts w:ascii="Times New Roman" w:hAnsi="Times New Roman"/>
        </w:rPr>
        <w:t>, 51, 163-177.</w:t>
      </w:r>
    </w:p>
    <w:p w14:paraId="145ACBFE" w14:textId="77777777" w:rsidR="00FC5B70" w:rsidRDefault="00FC5B70" w:rsidP="00FC5B70">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rPr>
      </w:pPr>
    </w:p>
    <w:p w14:paraId="29BAB2FA" w14:textId="0515E525" w:rsidR="00FC5B70" w:rsidRDefault="00FC5B70" w:rsidP="00FC5B70">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rPr>
      </w:pPr>
      <w:r w:rsidRPr="00CE4712">
        <w:rPr>
          <w:rFonts w:ascii="Times New Roman" w:hAnsi="Times New Roman"/>
        </w:rPr>
        <w:t xml:space="preserve">Shettle, C., &amp; Mooney, G. (1999). Monetary incentives in US government surveys. </w:t>
      </w:r>
      <w:r w:rsidRPr="00CE4712">
        <w:rPr>
          <w:rFonts w:ascii="Times New Roman" w:hAnsi="Times New Roman"/>
          <w:i/>
        </w:rPr>
        <w:t>Journal of Official Statistics</w:t>
      </w:r>
      <w:r w:rsidRPr="00CE4712">
        <w:rPr>
          <w:rFonts w:ascii="Times New Roman" w:hAnsi="Times New Roman"/>
        </w:rPr>
        <w:t>, 15(2), 231.</w:t>
      </w:r>
    </w:p>
    <w:p w14:paraId="340481AD" w14:textId="77777777" w:rsidR="00FC5B70" w:rsidRPr="00FC5B70" w:rsidRDefault="00FC5B70" w:rsidP="00FC5B70">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rPr>
      </w:pPr>
    </w:p>
    <w:p w14:paraId="618FEA37" w14:textId="31C38BFC" w:rsidR="00FC5B70" w:rsidRDefault="00FC5B70" w:rsidP="00FC5B70">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rPr>
      </w:pPr>
      <w:r w:rsidRPr="00FC5B70">
        <w:rPr>
          <w:rFonts w:ascii="Times New Roman" w:hAnsi="Times New Roman"/>
        </w:rPr>
        <w:t xml:space="preserve">U.S. Food and Drug Administration (FDA), “Payment and Reimbursement to Research Subjects - Information Sheet” (Jan. </w:t>
      </w:r>
      <w:r w:rsidRPr="00A0032B">
        <w:rPr>
          <w:rFonts w:ascii="Times New Roman" w:hAnsi="Times New Roman"/>
        </w:rPr>
        <w:t xml:space="preserve">25, 2018). This information sheet may be accessed at </w:t>
      </w:r>
      <w:r w:rsidR="00A0032B" w:rsidRPr="00A0032B">
        <w:rPr>
          <w:rStyle w:val="Hyperlink"/>
          <w:rFonts w:ascii="Times New Roman" w:hAnsi="Times New Roman"/>
          <w:color w:val="auto"/>
        </w:rPr>
        <w:t>https://www.fda.gov/RegulatoryInformation/Guidances/ucm126429.htm</w:t>
      </w:r>
      <w:r w:rsidRPr="00A0032B">
        <w:rPr>
          <w:rFonts w:ascii="Times New Roman" w:hAnsi="Times New Roman"/>
        </w:rPr>
        <w:t>.</w:t>
      </w:r>
    </w:p>
    <w:p w14:paraId="5C07A9B8" w14:textId="77777777" w:rsidR="00FC5B70" w:rsidRPr="00FC5B70" w:rsidRDefault="00FC5B70" w:rsidP="00FC5B70">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rPr>
      </w:pPr>
    </w:p>
    <w:p w14:paraId="69193AF0" w14:textId="2275F37A" w:rsidR="00FC5B70" w:rsidRDefault="00FC5B70" w:rsidP="00FC5B70">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r>
    </w:p>
    <w:p w14:paraId="76A6579C" w14:textId="77777777" w:rsidR="00FC5B70" w:rsidRPr="00FC5B70" w:rsidRDefault="00FC5B70" w:rsidP="00FC5B70">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4371E3D" w14:textId="77777777" w:rsidR="00FC5B70" w:rsidRPr="002F6BD3" w:rsidRDefault="00FC5B70" w:rsidP="002F6BD3">
      <w:pPr>
        <w:spacing w:after="240"/>
        <w:ind w:left="720"/>
        <w:rPr>
          <w:rFonts w:ascii="Times New Roman" w:eastAsia="Times New Roman" w:hAnsi="Times New Roman" w:cs="Times New Roman"/>
        </w:rPr>
      </w:pPr>
    </w:p>
    <w:sectPr w:rsidR="00FC5B70" w:rsidRPr="002F6BD3" w:rsidSect="003551C5">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3A40E" w14:textId="77777777" w:rsidR="004F799D" w:rsidRDefault="004F799D" w:rsidP="00476B0B">
      <w:r>
        <w:separator/>
      </w:r>
    </w:p>
    <w:p w14:paraId="2A1976BE" w14:textId="77777777" w:rsidR="004F799D" w:rsidRDefault="004F799D"/>
  </w:endnote>
  <w:endnote w:type="continuationSeparator" w:id="0">
    <w:p w14:paraId="7CE61D92" w14:textId="77777777" w:rsidR="004F799D" w:rsidRDefault="004F799D" w:rsidP="00476B0B">
      <w:r>
        <w:continuationSeparator/>
      </w:r>
    </w:p>
    <w:p w14:paraId="23095A6F" w14:textId="77777777" w:rsidR="004F799D" w:rsidRDefault="004F79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BA13F" w14:textId="77777777" w:rsidR="00D06B25" w:rsidRDefault="00D06B25" w:rsidP="009C6AA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AE6535" w14:textId="77777777" w:rsidR="00D06B25" w:rsidRDefault="00D06B25">
    <w:pPr>
      <w:pStyle w:val="Footer"/>
    </w:pPr>
  </w:p>
  <w:p w14:paraId="669FE052" w14:textId="77777777" w:rsidR="00D06B25" w:rsidRDefault="00D06B2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5CAB9" w14:textId="00968D36" w:rsidR="00D06B25" w:rsidRPr="009C6AAC" w:rsidRDefault="00D06B25" w:rsidP="009C6AAC">
    <w:pPr>
      <w:pStyle w:val="Footer"/>
      <w:framePr w:wrap="none" w:vAnchor="text" w:hAnchor="margin" w:xAlign="center" w:y="1"/>
      <w:rPr>
        <w:rStyle w:val="PageNumber"/>
        <w:rFonts w:ascii="Times New Roman" w:hAnsi="Times New Roman" w:cs="Times New Roman"/>
      </w:rPr>
    </w:pPr>
    <w:r w:rsidRPr="009C6AAC">
      <w:rPr>
        <w:rStyle w:val="PageNumber"/>
        <w:rFonts w:ascii="Times New Roman" w:hAnsi="Times New Roman" w:cs="Times New Roman"/>
      </w:rPr>
      <w:fldChar w:fldCharType="begin"/>
    </w:r>
    <w:r w:rsidRPr="009C6AAC">
      <w:rPr>
        <w:rStyle w:val="PageNumber"/>
        <w:rFonts w:ascii="Times New Roman" w:hAnsi="Times New Roman" w:cs="Times New Roman"/>
      </w:rPr>
      <w:instrText xml:space="preserve">PAGE  </w:instrText>
    </w:r>
    <w:r w:rsidRPr="009C6AAC">
      <w:rPr>
        <w:rStyle w:val="PageNumber"/>
        <w:rFonts w:ascii="Times New Roman" w:hAnsi="Times New Roman" w:cs="Times New Roman"/>
      </w:rPr>
      <w:fldChar w:fldCharType="separate"/>
    </w:r>
    <w:r w:rsidR="00617A7C">
      <w:rPr>
        <w:rStyle w:val="PageNumber"/>
        <w:rFonts w:ascii="Times New Roman" w:hAnsi="Times New Roman" w:cs="Times New Roman"/>
        <w:noProof/>
      </w:rPr>
      <w:t>2</w:t>
    </w:r>
    <w:r w:rsidRPr="009C6AAC">
      <w:rPr>
        <w:rStyle w:val="PageNumber"/>
        <w:rFonts w:ascii="Times New Roman" w:hAnsi="Times New Roman" w:cs="Times New Roman"/>
      </w:rPr>
      <w:fldChar w:fldCharType="end"/>
    </w:r>
  </w:p>
  <w:p w14:paraId="0F1B756A" w14:textId="77777777" w:rsidR="00D06B25" w:rsidRPr="009C6AAC" w:rsidRDefault="00D06B25">
    <w:pPr>
      <w:pStyle w:val="Footer"/>
      <w:rPr>
        <w:rFonts w:ascii="Times New Roman" w:hAnsi="Times New Roman" w:cs="Times New Roman"/>
      </w:rPr>
    </w:pPr>
  </w:p>
  <w:p w14:paraId="0CD1B917" w14:textId="77777777" w:rsidR="00D06B25" w:rsidRDefault="00D06B2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49250" w14:textId="30377CD6" w:rsidR="00D06B25" w:rsidRPr="009C6AAC" w:rsidRDefault="00D06B25">
    <w:pPr>
      <w:pStyle w:val="Footer"/>
      <w:tabs>
        <w:tab w:val="clear" w:pos="4680"/>
        <w:tab w:val="clear" w:pos="9360"/>
      </w:tabs>
      <w:jc w:val="center"/>
      <w:rPr>
        <w:rFonts w:ascii="Times New Roman" w:hAnsi="Times New Roman" w:cs="Times New Roman"/>
        <w:caps/>
        <w:noProof/>
        <w:color w:val="000000" w:themeColor="text1"/>
      </w:rPr>
    </w:pPr>
    <w:r w:rsidRPr="009C6AAC">
      <w:rPr>
        <w:rFonts w:ascii="Times New Roman" w:hAnsi="Times New Roman" w:cs="Times New Roman"/>
        <w:caps/>
        <w:color w:val="000000" w:themeColor="text1"/>
      </w:rPr>
      <w:fldChar w:fldCharType="begin"/>
    </w:r>
    <w:r w:rsidRPr="009C6AAC">
      <w:rPr>
        <w:rFonts w:ascii="Times New Roman" w:hAnsi="Times New Roman" w:cs="Times New Roman"/>
        <w:caps/>
        <w:color w:val="000000" w:themeColor="text1"/>
      </w:rPr>
      <w:instrText xml:space="preserve"> PAGE   \* MERGEFORMAT </w:instrText>
    </w:r>
    <w:r w:rsidRPr="009C6AAC">
      <w:rPr>
        <w:rFonts w:ascii="Times New Roman" w:hAnsi="Times New Roman" w:cs="Times New Roman"/>
        <w:caps/>
        <w:color w:val="000000" w:themeColor="text1"/>
      </w:rPr>
      <w:fldChar w:fldCharType="separate"/>
    </w:r>
    <w:r w:rsidR="00617A7C">
      <w:rPr>
        <w:rFonts w:ascii="Times New Roman" w:hAnsi="Times New Roman" w:cs="Times New Roman"/>
        <w:caps/>
        <w:noProof/>
        <w:color w:val="000000" w:themeColor="text1"/>
      </w:rPr>
      <w:t>1</w:t>
    </w:r>
    <w:r w:rsidRPr="009C6AAC">
      <w:rPr>
        <w:rFonts w:ascii="Times New Roman" w:hAnsi="Times New Roman" w:cs="Times New Roman"/>
        <w:caps/>
        <w:noProof/>
        <w:color w:val="000000" w:themeColor="text1"/>
      </w:rPr>
      <w:fldChar w:fldCharType="end"/>
    </w:r>
  </w:p>
  <w:p w14:paraId="69DC9608" w14:textId="77777777" w:rsidR="00D06B25" w:rsidRDefault="00D06B25">
    <w:pPr>
      <w:pStyle w:val="Footer"/>
    </w:pPr>
  </w:p>
  <w:p w14:paraId="10513EC4" w14:textId="77777777" w:rsidR="00D06B25" w:rsidRDefault="00D06B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185B4C" w14:textId="77777777" w:rsidR="004F799D" w:rsidRDefault="004F799D" w:rsidP="00476B0B">
      <w:r>
        <w:separator/>
      </w:r>
    </w:p>
    <w:p w14:paraId="4573671F" w14:textId="77777777" w:rsidR="004F799D" w:rsidRDefault="004F799D"/>
  </w:footnote>
  <w:footnote w:type="continuationSeparator" w:id="0">
    <w:p w14:paraId="1F84BB3F" w14:textId="77777777" w:rsidR="004F799D" w:rsidRDefault="004F799D" w:rsidP="00476B0B">
      <w:r>
        <w:continuationSeparator/>
      </w:r>
    </w:p>
    <w:p w14:paraId="42101A1B" w14:textId="77777777" w:rsidR="004F799D" w:rsidRDefault="004F799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9BAD6" w14:textId="1221C4E1" w:rsidR="00D06B25" w:rsidRPr="002F1E96" w:rsidRDefault="00D06B25" w:rsidP="002F1E96">
    <w:pPr>
      <w:pStyle w:val="Header"/>
      <w:jc w:val="center"/>
      <w:rPr>
        <w:rFonts w:ascii="Times New Roman" w:hAnsi="Times New Roman" w:cs="Times New Roman"/>
        <w:b/>
        <w:color w:val="808080" w:themeColor="background1" w:themeShade="80"/>
      </w:rPr>
    </w:pPr>
    <w:r w:rsidRPr="005F52E3">
      <w:rPr>
        <w:rFonts w:ascii="Times New Roman" w:hAnsi="Times New Roman" w:cs="Times New Roman"/>
        <w:b/>
        <w:color w:val="808080" w:themeColor="background1" w:themeShade="80"/>
      </w:rPr>
      <w:t>SUPPORTING STATEMENT: PART A</w:t>
    </w:r>
  </w:p>
  <w:p w14:paraId="2AB2A6FE" w14:textId="77777777" w:rsidR="00D06B25" w:rsidRDefault="00D06B2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6167E"/>
    <w:multiLevelType w:val="hybridMultilevel"/>
    <w:tmpl w:val="22C40F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D70C62"/>
    <w:multiLevelType w:val="multilevel"/>
    <w:tmpl w:val="8A08D972"/>
    <w:lvl w:ilvl="0">
      <w:start w:val="1"/>
      <w:numFmt w:val="decimal"/>
      <w:lvlText w:val="%1."/>
      <w:lvlJc w:val="left"/>
      <w:pPr>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C07354"/>
    <w:multiLevelType w:val="hybridMultilevel"/>
    <w:tmpl w:val="52805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99F7D2F"/>
    <w:multiLevelType w:val="hybridMultilevel"/>
    <w:tmpl w:val="7180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4D6C80"/>
    <w:multiLevelType w:val="hybridMultilevel"/>
    <w:tmpl w:val="82F6A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AF3879"/>
    <w:multiLevelType w:val="hybridMultilevel"/>
    <w:tmpl w:val="D578002E"/>
    <w:lvl w:ilvl="0" w:tplc="50B6D354">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399D09AB"/>
    <w:multiLevelType w:val="multilevel"/>
    <w:tmpl w:val="8A08D972"/>
    <w:lvl w:ilvl="0">
      <w:start w:val="1"/>
      <w:numFmt w:val="decimal"/>
      <w:lvlText w:val="%1."/>
      <w:lvlJc w:val="left"/>
      <w:pPr>
        <w:ind w:left="81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743241"/>
    <w:multiLevelType w:val="hybridMultilevel"/>
    <w:tmpl w:val="28BAD23E"/>
    <w:lvl w:ilvl="0" w:tplc="8CC6025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0663AF"/>
    <w:multiLevelType w:val="hybridMultilevel"/>
    <w:tmpl w:val="15C0A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702900"/>
    <w:multiLevelType w:val="hybridMultilevel"/>
    <w:tmpl w:val="1C820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431F63"/>
    <w:multiLevelType w:val="hybridMultilevel"/>
    <w:tmpl w:val="8AB6E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1F6D3D"/>
    <w:multiLevelType w:val="hybridMultilevel"/>
    <w:tmpl w:val="1FFAFDB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3"/>
  </w:num>
  <w:num w:numId="3">
    <w:abstractNumId w:val="9"/>
  </w:num>
  <w:num w:numId="4">
    <w:abstractNumId w:val="10"/>
  </w:num>
  <w:num w:numId="5">
    <w:abstractNumId w:val="4"/>
  </w:num>
  <w:num w:numId="6">
    <w:abstractNumId w:val="6"/>
  </w:num>
  <w:num w:numId="7">
    <w:abstractNumId w:val="0"/>
  </w:num>
  <w:num w:numId="8">
    <w:abstractNumId w:val="7"/>
  </w:num>
  <w:num w:numId="9">
    <w:abstractNumId w:val="1"/>
  </w:num>
  <w:num w:numId="10">
    <w:abstractNumId w:val="11"/>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8AE"/>
    <w:rsid w:val="000079B0"/>
    <w:rsid w:val="00011DD3"/>
    <w:rsid w:val="00012627"/>
    <w:rsid w:val="00023915"/>
    <w:rsid w:val="00024D98"/>
    <w:rsid w:val="00033A69"/>
    <w:rsid w:val="00036017"/>
    <w:rsid w:val="00040EBB"/>
    <w:rsid w:val="000420A0"/>
    <w:rsid w:val="000465AB"/>
    <w:rsid w:val="00050F65"/>
    <w:rsid w:val="00051FD8"/>
    <w:rsid w:val="00052415"/>
    <w:rsid w:val="00052B80"/>
    <w:rsid w:val="00055FF7"/>
    <w:rsid w:val="00060783"/>
    <w:rsid w:val="0006754C"/>
    <w:rsid w:val="00073644"/>
    <w:rsid w:val="00076C7F"/>
    <w:rsid w:val="00083088"/>
    <w:rsid w:val="000830F3"/>
    <w:rsid w:val="000849F8"/>
    <w:rsid w:val="000928AE"/>
    <w:rsid w:val="00093634"/>
    <w:rsid w:val="000B0C03"/>
    <w:rsid w:val="000B22EE"/>
    <w:rsid w:val="000B3AB3"/>
    <w:rsid w:val="000B4460"/>
    <w:rsid w:val="000B52FA"/>
    <w:rsid w:val="000B6659"/>
    <w:rsid w:val="000C1F27"/>
    <w:rsid w:val="000C21FB"/>
    <w:rsid w:val="000C2CC2"/>
    <w:rsid w:val="000C3C69"/>
    <w:rsid w:val="000C4E7F"/>
    <w:rsid w:val="000C5CD3"/>
    <w:rsid w:val="000D08A0"/>
    <w:rsid w:val="000D4DC6"/>
    <w:rsid w:val="000D56DA"/>
    <w:rsid w:val="000D64D4"/>
    <w:rsid w:val="000E2F14"/>
    <w:rsid w:val="000E52AD"/>
    <w:rsid w:val="000F0D74"/>
    <w:rsid w:val="000F18CF"/>
    <w:rsid w:val="000F1B31"/>
    <w:rsid w:val="00101ED4"/>
    <w:rsid w:val="00106B79"/>
    <w:rsid w:val="00107F73"/>
    <w:rsid w:val="00114F7D"/>
    <w:rsid w:val="0012279F"/>
    <w:rsid w:val="0012330E"/>
    <w:rsid w:val="00124223"/>
    <w:rsid w:val="00124FE4"/>
    <w:rsid w:val="00127AB5"/>
    <w:rsid w:val="00134933"/>
    <w:rsid w:val="00135481"/>
    <w:rsid w:val="00141386"/>
    <w:rsid w:val="001426A3"/>
    <w:rsid w:val="001446C2"/>
    <w:rsid w:val="001543EF"/>
    <w:rsid w:val="00154689"/>
    <w:rsid w:val="0015481A"/>
    <w:rsid w:val="00154C12"/>
    <w:rsid w:val="00154D57"/>
    <w:rsid w:val="001559F1"/>
    <w:rsid w:val="00157A94"/>
    <w:rsid w:val="001618FD"/>
    <w:rsid w:val="00167CCB"/>
    <w:rsid w:val="001744B7"/>
    <w:rsid w:val="00174E04"/>
    <w:rsid w:val="0017712D"/>
    <w:rsid w:val="001838D8"/>
    <w:rsid w:val="0018523B"/>
    <w:rsid w:val="001A0F96"/>
    <w:rsid w:val="001A1F1A"/>
    <w:rsid w:val="001A293C"/>
    <w:rsid w:val="001A3402"/>
    <w:rsid w:val="001A3D57"/>
    <w:rsid w:val="001A6BF7"/>
    <w:rsid w:val="001A7750"/>
    <w:rsid w:val="001B01AA"/>
    <w:rsid w:val="001B4C28"/>
    <w:rsid w:val="001B53C4"/>
    <w:rsid w:val="001B64F3"/>
    <w:rsid w:val="001B6839"/>
    <w:rsid w:val="001C2431"/>
    <w:rsid w:val="001C3BDF"/>
    <w:rsid w:val="001C45B9"/>
    <w:rsid w:val="001C5FA3"/>
    <w:rsid w:val="001C6994"/>
    <w:rsid w:val="001D2F4D"/>
    <w:rsid w:val="001D3F25"/>
    <w:rsid w:val="001E2B60"/>
    <w:rsid w:val="001E7EEB"/>
    <w:rsid w:val="001F250F"/>
    <w:rsid w:val="001F2943"/>
    <w:rsid w:val="001F54D7"/>
    <w:rsid w:val="001F6D3A"/>
    <w:rsid w:val="00200D51"/>
    <w:rsid w:val="0020147F"/>
    <w:rsid w:val="0020580F"/>
    <w:rsid w:val="002061B4"/>
    <w:rsid w:val="00217BED"/>
    <w:rsid w:val="00220260"/>
    <w:rsid w:val="00221F20"/>
    <w:rsid w:val="0022324E"/>
    <w:rsid w:val="0023124A"/>
    <w:rsid w:val="00231647"/>
    <w:rsid w:val="002324AB"/>
    <w:rsid w:val="00233559"/>
    <w:rsid w:val="00234AD5"/>
    <w:rsid w:val="00241A56"/>
    <w:rsid w:val="002478F7"/>
    <w:rsid w:val="00250617"/>
    <w:rsid w:val="002529B7"/>
    <w:rsid w:val="002557BE"/>
    <w:rsid w:val="00257D24"/>
    <w:rsid w:val="00262CD0"/>
    <w:rsid w:val="00264665"/>
    <w:rsid w:val="00265325"/>
    <w:rsid w:val="00265754"/>
    <w:rsid w:val="00270DAC"/>
    <w:rsid w:val="00271746"/>
    <w:rsid w:val="00273351"/>
    <w:rsid w:val="0028008F"/>
    <w:rsid w:val="00285A03"/>
    <w:rsid w:val="00285B00"/>
    <w:rsid w:val="00285DA8"/>
    <w:rsid w:val="00286FD1"/>
    <w:rsid w:val="00287E72"/>
    <w:rsid w:val="002952F6"/>
    <w:rsid w:val="002B2A81"/>
    <w:rsid w:val="002B4B43"/>
    <w:rsid w:val="002C415A"/>
    <w:rsid w:val="002C50D4"/>
    <w:rsid w:val="002D0360"/>
    <w:rsid w:val="002D2876"/>
    <w:rsid w:val="002E1828"/>
    <w:rsid w:val="002E2B25"/>
    <w:rsid w:val="002E7453"/>
    <w:rsid w:val="002F1E96"/>
    <w:rsid w:val="002F2C04"/>
    <w:rsid w:val="002F611C"/>
    <w:rsid w:val="002F6B82"/>
    <w:rsid w:val="002F6BD3"/>
    <w:rsid w:val="0030045D"/>
    <w:rsid w:val="00303CD6"/>
    <w:rsid w:val="00306495"/>
    <w:rsid w:val="003122F3"/>
    <w:rsid w:val="00312D69"/>
    <w:rsid w:val="00314390"/>
    <w:rsid w:val="003150BC"/>
    <w:rsid w:val="00316BEC"/>
    <w:rsid w:val="0031786D"/>
    <w:rsid w:val="0032416C"/>
    <w:rsid w:val="00327637"/>
    <w:rsid w:val="00330260"/>
    <w:rsid w:val="003311E3"/>
    <w:rsid w:val="003329B0"/>
    <w:rsid w:val="00335AB9"/>
    <w:rsid w:val="00340E8A"/>
    <w:rsid w:val="003418DA"/>
    <w:rsid w:val="00343FCA"/>
    <w:rsid w:val="00347053"/>
    <w:rsid w:val="0035072B"/>
    <w:rsid w:val="003508A0"/>
    <w:rsid w:val="00352D84"/>
    <w:rsid w:val="00353EBF"/>
    <w:rsid w:val="003551C5"/>
    <w:rsid w:val="00356826"/>
    <w:rsid w:val="00360258"/>
    <w:rsid w:val="00367E26"/>
    <w:rsid w:val="00371C89"/>
    <w:rsid w:val="0037511E"/>
    <w:rsid w:val="00387BB5"/>
    <w:rsid w:val="00390462"/>
    <w:rsid w:val="00397A3F"/>
    <w:rsid w:val="003A2F96"/>
    <w:rsid w:val="003A387E"/>
    <w:rsid w:val="003A7795"/>
    <w:rsid w:val="003B510E"/>
    <w:rsid w:val="003B57DE"/>
    <w:rsid w:val="003B7DA1"/>
    <w:rsid w:val="003C11F7"/>
    <w:rsid w:val="003C2832"/>
    <w:rsid w:val="003C2D47"/>
    <w:rsid w:val="003C3236"/>
    <w:rsid w:val="003C37FE"/>
    <w:rsid w:val="003C5103"/>
    <w:rsid w:val="003D14EA"/>
    <w:rsid w:val="003D3C3D"/>
    <w:rsid w:val="003D5431"/>
    <w:rsid w:val="003D741A"/>
    <w:rsid w:val="003E09B5"/>
    <w:rsid w:val="003E1CD5"/>
    <w:rsid w:val="003E1E37"/>
    <w:rsid w:val="003F27DE"/>
    <w:rsid w:val="003F4239"/>
    <w:rsid w:val="003F642C"/>
    <w:rsid w:val="00401392"/>
    <w:rsid w:val="004018EB"/>
    <w:rsid w:val="00401F0B"/>
    <w:rsid w:val="0041184B"/>
    <w:rsid w:val="00411CC1"/>
    <w:rsid w:val="004213CB"/>
    <w:rsid w:val="00431315"/>
    <w:rsid w:val="0043510A"/>
    <w:rsid w:val="00437758"/>
    <w:rsid w:val="00437AE3"/>
    <w:rsid w:val="00442BE8"/>
    <w:rsid w:val="004432BE"/>
    <w:rsid w:val="00445CAC"/>
    <w:rsid w:val="0045510A"/>
    <w:rsid w:val="0045543B"/>
    <w:rsid w:val="0046356B"/>
    <w:rsid w:val="00470454"/>
    <w:rsid w:val="00470921"/>
    <w:rsid w:val="00473BA5"/>
    <w:rsid w:val="004759BA"/>
    <w:rsid w:val="00476B0B"/>
    <w:rsid w:val="00477DDA"/>
    <w:rsid w:val="00486F14"/>
    <w:rsid w:val="0048711A"/>
    <w:rsid w:val="00492DC9"/>
    <w:rsid w:val="00496682"/>
    <w:rsid w:val="004A064C"/>
    <w:rsid w:val="004A3BA2"/>
    <w:rsid w:val="004A4B3A"/>
    <w:rsid w:val="004A70EC"/>
    <w:rsid w:val="004B2621"/>
    <w:rsid w:val="004C0E0D"/>
    <w:rsid w:val="004C3B6E"/>
    <w:rsid w:val="004C64B6"/>
    <w:rsid w:val="004C78F0"/>
    <w:rsid w:val="004C7C10"/>
    <w:rsid w:val="004D2517"/>
    <w:rsid w:val="004D288F"/>
    <w:rsid w:val="004D7895"/>
    <w:rsid w:val="004D7B71"/>
    <w:rsid w:val="004E0D9B"/>
    <w:rsid w:val="004E3A70"/>
    <w:rsid w:val="004E3A9A"/>
    <w:rsid w:val="004E4369"/>
    <w:rsid w:val="004E6B20"/>
    <w:rsid w:val="004F2641"/>
    <w:rsid w:val="004F799D"/>
    <w:rsid w:val="00504B03"/>
    <w:rsid w:val="00504F93"/>
    <w:rsid w:val="00504FDF"/>
    <w:rsid w:val="00505BCE"/>
    <w:rsid w:val="00506709"/>
    <w:rsid w:val="0051290E"/>
    <w:rsid w:val="0051705B"/>
    <w:rsid w:val="00524A78"/>
    <w:rsid w:val="005265C9"/>
    <w:rsid w:val="00534372"/>
    <w:rsid w:val="00537F1C"/>
    <w:rsid w:val="005435DB"/>
    <w:rsid w:val="00544D3E"/>
    <w:rsid w:val="005469C7"/>
    <w:rsid w:val="00550DFC"/>
    <w:rsid w:val="00552C90"/>
    <w:rsid w:val="00552E27"/>
    <w:rsid w:val="0055534B"/>
    <w:rsid w:val="00561F65"/>
    <w:rsid w:val="00564B3D"/>
    <w:rsid w:val="0056506E"/>
    <w:rsid w:val="00572830"/>
    <w:rsid w:val="005863A1"/>
    <w:rsid w:val="00586892"/>
    <w:rsid w:val="005877E8"/>
    <w:rsid w:val="005917E1"/>
    <w:rsid w:val="00591CB8"/>
    <w:rsid w:val="005A12CD"/>
    <w:rsid w:val="005A137B"/>
    <w:rsid w:val="005A1898"/>
    <w:rsid w:val="005A5DDB"/>
    <w:rsid w:val="005B1FE3"/>
    <w:rsid w:val="005B23C7"/>
    <w:rsid w:val="005B419D"/>
    <w:rsid w:val="005B4290"/>
    <w:rsid w:val="005B62A8"/>
    <w:rsid w:val="005B66AB"/>
    <w:rsid w:val="005B77A0"/>
    <w:rsid w:val="005C2B45"/>
    <w:rsid w:val="005C5B20"/>
    <w:rsid w:val="005C6967"/>
    <w:rsid w:val="005D2BBC"/>
    <w:rsid w:val="005D405F"/>
    <w:rsid w:val="005D717A"/>
    <w:rsid w:val="005E33A2"/>
    <w:rsid w:val="005E37C8"/>
    <w:rsid w:val="005E4E8F"/>
    <w:rsid w:val="005E6C52"/>
    <w:rsid w:val="005E7607"/>
    <w:rsid w:val="005F65AB"/>
    <w:rsid w:val="00616DA7"/>
    <w:rsid w:val="00617A7C"/>
    <w:rsid w:val="00622BCF"/>
    <w:rsid w:val="00625BAF"/>
    <w:rsid w:val="00631079"/>
    <w:rsid w:val="00632ADF"/>
    <w:rsid w:val="00633049"/>
    <w:rsid w:val="006344D8"/>
    <w:rsid w:val="00636E15"/>
    <w:rsid w:val="00640299"/>
    <w:rsid w:val="0064131E"/>
    <w:rsid w:val="00642621"/>
    <w:rsid w:val="00645358"/>
    <w:rsid w:val="006523DB"/>
    <w:rsid w:val="00655C1D"/>
    <w:rsid w:val="00657379"/>
    <w:rsid w:val="006630A4"/>
    <w:rsid w:val="0066352C"/>
    <w:rsid w:val="0066476C"/>
    <w:rsid w:val="006648E2"/>
    <w:rsid w:val="00664B8E"/>
    <w:rsid w:val="006670B3"/>
    <w:rsid w:val="0067552E"/>
    <w:rsid w:val="0067558E"/>
    <w:rsid w:val="00675E73"/>
    <w:rsid w:val="006775C1"/>
    <w:rsid w:val="00691DA6"/>
    <w:rsid w:val="006A2059"/>
    <w:rsid w:val="006A5837"/>
    <w:rsid w:val="006C1C2B"/>
    <w:rsid w:val="006D3A5F"/>
    <w:rsid w:val="006E0330"/>
    <w:rsid w:val="006E3D95"/>
    <w:rsid w:val="006E3F94"/>
    <w:rsid w:val="006F181D"/>
    <w:rsid w:val="006F41F0"/>
    <w:rsid w:val="006F6904"/>
    <w:rsid w:val="00701D8A"/>
    <w:rsid w:val="00705EFA"/>
    <w:rsid w:val="00705F0A"/>
    <w:rsid w:val="007067AB"/>
    <w:rsid w:val="00707369"/>
    <w:rsid w:val="0071221A"/>
    <w:rsid w:val="00713923"/>
    <w:rsid w:val="00720190"/>
    <w:rsid w:val="00720DCD"/>
    <w:rsid w:val="00721A20"/>
    <w:rsid w:val="0072348C"/>
    <w:rsid w:val="00724D56"/>
    <w:rsid w:val="00726FAC"/>
    <w:rsid w:val="0073001A"/>
    <w:rsid w:val="0073326D"/>
    <w:rsid w:val="007363C9"/>
    <w:rsid w:val="00740E83"/>
    <w:rsid w:val="00744DD6"/>
    <w:rsid w:val="00752573"/>
    <w:rsid w:val="00756CBF"/>
    <w:rsid w:val="00756E10"/>
    <w:rsid w:val="00757214"/>
    <w:rsid w:val="00762C2A"/>
    <w:rsid w:val="00773413"/>
    <w:rsid w:val="0077390B"/>
    <w:rsid w:val="00774C76"/>
    <w:rsid w:val="00777BF8"/>
    <w:rsid w:val="00784CC7"/>
    <w:rsid w:val="0078537A"/>
    <w:rsid w:val="0079195C"/>
    <w:rsid w:val="0079425B"/>
    <w:rsid w:val="00794941"/>
    <w:rsid w:val="007965F6"/>
    <w:rsid w:val="007A0285"/>
    <w:rsid w:val="007B0D78"/>
    <w:rsid w:val="007B50D1"/>
    <w:rsid w:val="007B50F5"/>
    <w:rsid w:val="007B6A07"/>
    <w:rsid w:val="007C1ED3"/>
    <w:rsid w:val="007C405F"/>
    <w:rsid w:val="007C717E"/>
    <w:rsid w:val="007C7F5C"/>
    <w:rsid w:val="007D36A4"/>
    <w:rsid w:val="007D5B4D"/>
    <w:rsid w:val="007D769D"/>
    <w:rsid w:val="007E31CE"/>
    <w:rsid w:val="007E3BC1"/>
    <w:rsid w:val="007E5161"/>
    <w:rsid w:val="007F1D19"/>
    <w:rsid w:val="007F1F45"/>
    <w:rsid w:val="007F4C7A"/>
    <w:rsid w:val="00807CF1"/>
    <w:rsid w:val="00816C34"/>
    <w:rsid w:val="00817478"/>
    <w:rsid w:val="008179D7"/>
    <w:rsid w:val="00822FB9"/>
    <w:rsid w:val="00826FF9"/>
    <w:rsid w:val="008272C0"/>
    <w:rsid w:val="0083101B"/>
    <w:rsid w:val="00833BEA"/>
    <w:rsid w:val="008400C0"/>
    <w:rsid w:val="00842763"/>
    <w:rsid w:val="00852F27"/>
    <w:rsid w:val="00854D08"/>
    <w:rsid w:val="00856530"/>
    <w:rsid w:val="008648B6"/>
    <w:rsid w:val="0087008A"/>
    <w:rsid w:val="00873D51"/>
    <w:rsid w:val="008770AF"/>
    <w:rsid w:val="0087758B"/>
    <w:rsid w:val="00882F17"/>
    <w:rsid w:val="00892F51"/>
    <w:rsid w:val="008A3785"/>
    <w:rsid w:val="008A51E9"/>
    <w:rsid w:val="008A7737"/>
    <w:rsid w:val="008B07EF"/>
    <w:rsid w:val="008B1D2F"/>
    <w:rsid w:val="008C2014"/>
    <w:rsid w:val="008C724B"/>
    <w:rsid w:val="008D165B"/>
    <w:rsid w:val="008D400A"/>
    <w:rsid w:val="008D4299"/>
    <w:rsid w:val="008D4906"/>
    <w:rsid w:val="008D5DCE"/>
    <w:rsid w:val="008D6DEF"/>
    <w:rsid w:val="008D743F"/>
    <w:rsid w:val="008E2D19"/>
    <w:rsid w:val="008E4EEC"/>
    <w:rsid w:val="008F2D6E"/>
    <w:rsid w:val="008F3DEC"/>
    <w:rsid w:val="008F5DD6"/>
    <w:rsid w:val="009010C5"/>
    <w:rsid w:val="00901173"/>
    <w:rsid w:val="009049D4"/>
    <w:rsid w:val="00907586"/>
    <w:rsid w:val="009132E3"/>
    <w:rsid w:val="0091413E"/>
    <w:rsid w:val="0092112B"/>
    <w:rsid w:val="00922D37"/>
    <w:rsid w:val="00923AD5"/>
    <w:rsid w:val="00934E96"/>
    <w:rsid w:val="00936102"/>
    <w:rsid w:val="009364A4"/>
    <w:rsid w:val="00940FAC"/>
    <w:rsid w:val="0095138D"/>
    <w:rsid w:val="009529AB"/>
    <w:rsid w:val="00952F08"/>
    <w:rsid w:val="00953E6E"/>
    <w:rsid w:val="009554EE"/>
    <w:rsid w:val="00955915"/>
    <w:rsid w:val="00956E69"/>
    <w:rsid w:val="00961679"/>
    <w:rsid w:val="00962D75"/>
    <w:rsid w:val="00963E62"/>
    <w:rsid w:val="00965AE2"/>
    <w:rsid w:val="009720E2"/>
    <w:rsid w:val="0097429F"/>
    <w:rsid w:val="00974FE5"/>
    <w:rsid w:val="00977A62"/>
    <w:rsid w:val="00982ACA"/>
    <w:rsid w:val="00987753"/>
    <w:rsid w:val="00990C6B"/>
    <w:rsid w:val="00991B13"/>
    <w:rsid w:val="009A060F"/>
    <w:rsid w:val="009A7CF4"/>
    <w:rsid w:val="009B2FEB"/>
    <w:rsid w:val="009B46CC"/>
    <w:rsid w:val="009B5B5A"/>
    <w:rsid w:val="009C0979"/>
    <w:rsid w:val="009C6AAC"/>
    <w:rsid w:val="009C7022"/>
    <w:rsid w:val="009C7525"/>
    <w:rsid w:val="009D0098"/>
    <w:rsid w:val="009D0AF3"/>
    <w:rsid w:val="009D0FEE"/>
    <w:rsid w:val="009D3967"/>
    <w:rsid w:val="009D5070"/>
    <w:rsid w:val="009D5DCF"/>
    <w:rsid w:val="009D5F97"/>
    <w:rsid w:val="009E0A14"/>
    <w:rsid w:val="009E1943"/>
    <w:rsid w:val="009E1A4C"/>
    <w:rsid w:val="009E75BD"/>
    <w:rsid w:val="009E7C1C"/>
    <w:rsid w:val="009F1152"/>
    <w:rsid w:val="009F1FDA"/>
    <w:rsid w:val="00A0032B"/>
    <w:rsid w:val="00A02991"/>
    <w:rsid w:val="00A111E1"/>
    <w:rsid w:val="00A117A5"/>
    <w:rsid w:val="00A14533"/>
    <w:rsid w:val="00A15A39"/>
    <w:rsid w:val="00A2081B"/>
    <w:rsid w:val="00A2337F"/>
    <w:rsid w:val="00A30DB9"/>
    <w:rsid w:val="00A31F6D"/>
    <w:rsid w:val="00A32348"/>
    <w:rsid w:val="00A37E19"/>
    <w:rsid w:val="00A41140"/>
    <w:rsid w:val="00A41AD6"/>
    <w:rsid w:val="00A44A80"/>
    <w:rsid w:val="00A51D3A"/>
    <w:rsid w:val="00A53AA2"/>
    <w:rsid w:val="00A5450F"/>
    <w:rsid w:val="00A557FF"/>
    <w:rsid w:val="00A57B10"/>
    <w:rsid w:val="00A660D3"/>
    <w:rsid w:val="00A67A16"/>
    <w:rsid w:val="00A75FF8"/>
    <w:rsid w:val="00A847B2"/>
    <w:rsid w:val="00A93778"/>
    <w:rsid w:val="00A946D1"/>
    <w:rsid w:val="00AA2A92"/>
    <w:rsid w:val="00AA65FA"/>
    <w:rsid w:val="00AA66A4"/>
    <w:rsid w:val="00AB0ADA"/>
    <w:rsid w:val="00AB21E6"/>
    <w:rsid w:val="00AB6EF5"/>
    <w:rsid w:val="00AC2144"/>
    <w:rsid w:val="00AC36F5"/>
    <w:rsid w:val="00AC373E"/>
    <w:rsid w:val="00AC4AFF"/>
    <w:rsid w:val="00AC79CB"/>
    <w:rsid w:val="00AD110E"/>
    <w:rsid w:val="00AD2978"/>
    <w:rsid w:val="00AD4C5C"/>
    <w:rsid w:val="00AD4D20"/>
    <w:rsid w:val="00AD7FB2"/>
    <w:rsid w:val="00AE3789"/>
    <w:rsid w:val="00AE43A1"/>
    <w:rsid w:val="00AF43E9"/>
    <w:rsid w:val="00AF48BA"/>
    <w:rsid w:val="00AF5CF0"/>
    <w:rsid w:val="00AF66CC"/>
    <w:rsid w:val="00B007C1"/>
    <w:rsid w:val="00B02589"/>
    <w:rsid w:val="00B04E7D"/>
    <w:rsid w:val="00B05F79"/>
    <w:rsid w:val="00B15682"/>
    <w:rsid w:val="00B175B8"/>
    <w:rsid w:val="00B26E31"/>
    <w:rsid w:val="00B30EE0"/>
    <w:rsid w:val="00B31993"/>
    <w:rsid w:val="00B32FC1"/>
    <w:rsid w:val="00B35F51"/>
    <w:rsid w:val="00B42D29"/>
    <w:rsid w:val="00B444F6"/>
    <w:rsid w:val="00B467CE"/>
    <w:rsid w:val="00B50FE4"/>
    <w:rsid w:val="00B522E2"/>
    <w:rsid w:val="00B52751"/>
    <w:rsid w:val="00B53C9A"/>
    <w:rsid w:val="00B60BEC"/>
    <w:rsid w:val="00B60FEF"/>
    <w:rsid w:val="00B641DB"/>
    <w:rsid w:val="00B64A5D"/>
    <w:rsid w:val="00B6512C"/>
    <w:rsid w:val="00B65767"/>
    <w:rsid w:val="00B66991"/>
    <w:rsid w:val="00B675C6"/>
    <w:rsid w:val="00B71932"/>
    <w:rsid w:val="00B72462"/>
    <w:rsid w:val="00B73D5E"/>
    <w:rsid w:val="00B81496"/>
    <w:rsid w:val="00B83DB4"/>
    <w:rsid w:val="00B84544"/>
    <w:rsid w:val="00B864AF"/>
    <w:rsid w:val="00B9098E"/>
    <w:rsid w:val="00B91ADB"/>
    <w:rsid w:val="00B96C08"/>
    <w:rsid w:val="00BA0C35"/>
    <w:rsid w:val="00BA6873"/>
    <w:rsid w:val="00BA7A31"/>
    <w:rsid w:val="00BB037E"/>
    <w:rsid w:val="00BB390A"/>
    <w:rsid w:val="00BB44C4"/>
    <w:rsid w:val="00BB5854"/>
    <w:rsid w:val="00BB6E28"/>
    <w:rsid w:val="00BB754D"/>
    <w:rsid w:val="00BC0B9A"/>
    <w:rsid w:val="00BD00E1"/>
    <w:rsid w:val="00BD3BB7"/>
    <w:rsid w:val="00BD4D87"/>
    <w:rsid w:val="00BD5741"/>
    <w:rsid w:val="00BD64BF"/>
    <w:rsid w:val="00BE1A7C"/>
    <w:rsid w:val="00BE5079"/>
    <w:rsid w:val="00BE5651"/>
    <w:rsid w:val="00BE7380"/>
    <w:rsid w:val="00BE789F"/>
    <w:rsid w:val="00BF0A1F"/>
    <w:rsid w:val="00BF0CD4"/>
    <w:rsid w:val="00C00DBB"/>
    <w:rsid w:val="00C02D25"/>
    <w:rsid w:val="00C04136"/>
    <w:rsid w:val="00C04567"/>
    <w:rsid w:val="00C04866"/>
    <w:rsid w:val="00C059B3"/>
    <w:rsid w:val="00C07CE6"/>
    <w:rsid w:val="00C13D74"/>
    <w:rsid w:val="00C1519B"/>
    <w:rsid w:val="00C15E44"/>
    <w:rsid w:val="00C16F90"/>
    <w:rsid w:val="00C2259D"/>
    <w:rsid w:val="00C301C3"/>
    <w:rsid w:val="00C4132D"/>
    <w:rsid w:val="00C41FB2"/>
    <w:rsid w:val="00C45351"/>
    <w:rsid w:val="00C45B7D"/>
    <w:rsid w:val="00C5018E"/>
    <w:rsid w:val="00C50D14"/>
    <w:rsid w:val="00C514DB"/>
    <w:rsid w:val="00C51757"/>
    <w:rsid w:val="00C53348"/>
    <w:rsid w:val="00C55E4A"/>
    <w:rsid w:val="00C5749A"/>
    <w:rsid w:val="00C57785"/>
    <w:rsid w:val="00C61ED6"/>
    <w:rsid w:val="00C6212D"/>
    <w:rsid w:val="00C62CCB"/>
    <w:rsid w:val="00C82D5C"/>
    <w:rsid w:val="00C82ECC"/>
    <w:rsid w:val="00C833F6"/>
    <w:rsid w:val="00C87327"/>
    <w:rsid w:val="00C873F4"/>
    <w:rsid w:val="00C8775A"/>
    <w:rsid w:val="00C93B15"/>
    <w:rsid w:val="00CA18F8"/>
    <w:rsid w:val="00CA2C37"/>
    <w:rsid w:val="00CA42D6"/>
    <w:rsid w:val="00CD2291"/>
    <w:rsid w:val="00CD340A"/>
    <w:rsid w:val="00CD7961"/>
    <w:rsid w:val="00CE1208"/>
    <w:rsid w:val="00CE2559"/>
    <w:rsid w:val="00CE3A45"/>
    <w:rsid w:val="00CE7B18"/>
    <w:rsid w:val="00CF085B"/>
    <w:rsid w:val="00CF60E9"/>
    <w:rsid w:val="00CF7916"/>
    <w:rsid w:val="00D06B25"/>
    <w:rsid w:val="00D11F21"/>
    <w:rsid w:val="00D12C91"/>
    <w:rsid w:val="00D213B8"/>
    <w:rsid w:val="00D21661"/>
    <w:rsid w:val="00D21D29"/>
    <w:rsid w:val="00D22C11"/>
    <w:rsid w:val="00D23174"/>
    <w:rsid w:val="00D24F74"/>
    <w:rsid w:val="00D261EA"/>
    <w:rsid w:val="00D31952"/>
    <w:rsid w:val="00D36432"/>
    <w:rsid w:val="00D36A74"/>
    <w:rsid w:val="00D36E01"/>
    <w:rsid w:val="00D41476"/>
    <w:rsid w:val="00D43532"/>
    <w:rsid w:val="00D43C7C"/>
    <w:rsid w:val="00D4468C"/>
    <w:rsid w:val="00D446E3"/>
    <w:rsid w:val="00D5054D"/>
    <w:rsid w:val="00D516E3"/>
    <w:rsid w:val="00D64707"/>
    <w:rsid w:val="00D6574D"/>
    <w:rsid w:val="00D70357"/>
    <w:rsid w:val="00D719C7"/>
    <w:rsid w:val="00D720D4"/>
    <w:rsid w:val="00D7427B"/>
    <w:rsid w:val="00D8265B"/>
    <w:rsid w:val="00D85B7D"/>
    <w:rsid w:val="00D85E64"/>
    <w:rsid w:val="00D902CD"/>
    <w:rsid w:val="00D92C01"/>
    <w:rsid w:val="00D9423D"/>
    <w:rsid w:val="00D966FE"/>
    <w:rsid w:val="00D96BBB"/>
    <w:rsid w:val="00DA11D0"/>
    <w:rsid w:val="00DA1A69"/>
    <w:rsid w:val="00DA58D0"/>
    <w:rsid w:val="00DA7604"/>
    <w:rsid w:val="00DA78CD"/>
    <w:rsid w:val="00DC1E38"/>
    <w:rsid w:val="00DC45EA"/>
    <w:rsid w:val="00DC4E9B"/>
    <w:rsid w:val="00DC50FC"/>
    <w:rsid w:val="00DD233D"/>
    <w:rsid w:val="00DD7D19"/>
    <w:rsid w:val="00DE016B"/>
    <w:rsid w:val="00DE04C3"/>
    <w:rsid w:val="00DE2BDE"/>
    <w:rsid w:val="00DE6683"/>
    <w:rsid w:val="00DF4896"/>
    <w:rsid w:val="00E0463F"/>
    <w:rsid w:val="00E06BEB"/>
    <w:rsid w:val="00E07508"/>
    <w:rsid w:val="00E077FD"/>
    <w:rsid w:val="00E135EA"/>
    <w:rsid w:val="00E161B3"/>
    <w:rsid w:val="00E16A3B"/>
    <w:rsid w:val="00E17483"/>
    <w:rsid w:val="00E175C8"/>
    <w:rsid w:val="00E22715"/>
    <w:rsid w:val="00E3135F"/>
    <w:rsid w:val="00E32BBA"/>
    <w:rsid w:val="00E368FE"/>
    <w:rsid w:val="00E377A9"/>
    <w:rsid w:val="00E37E4D"/>
    <w:rsid w:val="00E41F35"/>
    <w:rsid w:val="00E426BE"/>
    <w:rsid w:val="00E53192"/>
    <w:rsid w:val="00E6181B"/>
    <w:rsid w:val="00E638BA"/>
    <w:rsid w:val="00E63A1D"/>
    <w:rsid w:val="00E63AE6"/>
    <w:rsid w:val="00E65699"/>
    <w:rsid w:val="00E66BD8"/>
    <w:rsid w:val="00E774C8"/>
    <w:rsid w:val="00E83AA9"/>
    <w:rsid w:val="00E84E25"/>
    <w:rsid w:val="00E85687"/>
    <w:rsid w:val="00E85F17"/>
    <w:rsid w:val="00E876B7"/>
    <w:rsid w:val="00E91A78"/>
    <w:rsid w:val="00E91EF3"/>
    <w:rsid w:val="00E95C2A"/>
    <w:rsid w:val="00EA1772"/>
    <w:rsid w:val="00EA6237"/>
    <w:rsid w:val="00EB0BC0"/>
    <w:rsid w:val="00EB16D9"/>
    <w:rsid w:val="00EB3270"/>
    <w:rsid w:val="00EB51AB"/>
    <w:rsid w:val="00EB742C"/>
    <w:rsid w:val="00EC4D46"/>
    <w:rsid w:val="00ED15F4"/>
    <w:rsid w:val="00ED22C3"/>
    <w:rsid w:val="00ED5251"/>
    <w:rsid w:val="00ED7908"/>
    <w:rsid w:val="00EE3985"/>
    <w:rsid w:val="00EF5715"/>
    <w:rsid w:val="00EF5744"/>
    <w:rsid w:val="00EF7CB5"/>
    <w:rsid w:val="00F01359"/>
    <w:rsid w:val="00F029F7"/>
    <w:rsid w:val="00F072BD"/>
    <w:rsid w:val="00F11A74"/>
    <w:rsid w:val="00F147D0"/>
    <w:rsid w:val="00F20527"/>
    <w:rsid w:val="00F23925"/>
    <w:rsid w:val="00F23EA5"/>
    <w:rsid w:val="00F25650"/>
    <w:rsid w:val="00F26D73"/>
    <w:rsid w:val="00F26F36"/>
    <w:rsid w:val="00F271BA"/>
    <w:rsid w:val="00F32248"/>
    <w:rsid w:val="00F32573"/>
    <w:rsid w:val="00F3422A"/>
    <w:rsid w:val="00F3489D"/>
    <w:rsid w:val="00F37604"/>
    <w:rsid w:val="00F40F48"/>
    <w:rsid w:val="00F4248C"/>
    <w:rsid w:val="00F42667"/>
    <w:rsid w:val="00F43199"/>
    <w:rsid w:val="00F443CA"/>
    <w:rsid w:val="00F47E76"/>
    <w:rsid w:val="00F47F7F"/>
    <w:rsid w:val="00F512DD"/>
    <w:rsid w:val="00F51307"/>
    <w:rsid w:val="00F52B32"/>
    <w:rsid w:val="00F55D68"/>
    <w:rsid w:val="00F6224D"/>
    <w:rsid w:val="00F63285"/>
    <w:rsid w:val="00F65790"/>
    <w:rsid w:val="00F7365B"/>
    <w:rsid w:val="00F81EA1"/>
    <w:rsid w:val="00F83592"/>
    <w:rsid w:val="00F86449"/>
    <w:rsid w:val="00F87217"/>
    <w:rsid w:val="00F90177"/>
    <w:rsid w:val="00F9213E"/>
    <w:rsid w:val="00F946F3"/>
    <w:rsid w:val="00F967AF"/>
    <w:rsid w:val="00F97C7F"/>
    <w:rsid w:val="00F97D8F"/>
    <w:rsid w:val="00FA0671"/>
    <w:rsid w:val="00FA4871"/>
    <w:rsid w:val="00FB3EDC"/>
    <w:rsid w:val="00FB77A6"/>
    <w:rsid w:val="00FC004F"/>
    <w:rsid w:val="00FC589F"/>
    <w:rsid w:val="00FC5B70"/>
    <w:rsid w:val="00FC733D"/>
    <w:rsid w:val="00FD3807"/>
    <w:rsid w:val="00FD40CE"/>
    <w:rsid w:val="00FE1965"/>
    <w:rsid w:val="00FE1AE4"/>
    <w:rsid w:val="00FE2F55"/>
    <w:rsid w:val="00FF0C62"/>
    <w:rsid w:val="00FF4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A9B6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B25"/>
  </w:style>
  <w:style w:type="paragraph" w:styleId="Heading1">
    <w:name w:val="heading 1"/>
    <w:basedOn w:val="Normal"/>
    <w:next w:val="Normal"/>
    <w:link w:val="Heading1Char"/>
    <w:qFormat/>
    <w:rsid w:val="00A117A5"/>
    <w:pPr>
      <w:widowControl w:val="0"/>
      <w:autoSpaceDE w:val="0"/>
      <w:autoSpaceDN w:val="0"/>
      <w:adjustRightInd w:val="0"/>
      <w:spacing w:after="240"/>
      <w:jc w:val="both"/>
      <w:outlineLvl w:val="0"/>
    </w:pPr>
    <w:rPr>
      <w:rFonts w:ascii="Arial" w:eastAsia="Times New Roman"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28A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28AE"/>
    <w:pPr>
      <w:ind w:left="720"/>
      <w:contextualSpacing/>
    </w:pPr>
    <w:rPr>
      <w:rFonts w:ascii="Times New Roman" w:eastAsia="Calibri" w:hAnsi="Times New Roman" w:cs="Arial"/>
      <w:szCs w:val="22"/>
    </w:rPr>
  </w:style>
  <w:style w:type="character" w:styleId="CommentReference">
    <w:name w:val="annotation reference"/>
    <w:basedOn w:val="DefaultParagraphFont"/>
    <w:uiPriority w:val="99"/>
    <w:unhideWhenUsed/>
    <w:rsid w:val="00AD4C5C"/>
    <w:rPr>
      <w:sz w:val="18"/>
      <w:szCs w:val="18"/>
    </w:rPr>
  </w:style>
  <w:style w:type="paragraph" w:styleId="CommentText">
    <w:name w:val="annotation text"/>
    <w:basedOn w:val="Normal"/>
    <w:link w:val="CommentTextChar"/>
    <w:uiPriority w:val="99"/>
    <w:unhideWhenUsed/>
    <w:rsid w:val="00AD4C5C"/>
  </w:style>
  <w:style w:type="character" w:customStyle="1" w:styleId="CommentTextChar">
    <w:name w:val="Comment Text Char"/>
    <w:basedOn w:val="DefaultParagraphFont"/>
    <w:link w:val="CommentText"/>
    <w:uiPriority w:val="99"/>
    <w:rsid w:val="00AD4C5C"/>
  </w:style>
  <w:style w:type="paragraph" w:styleId="CommentSubject">
    <w:name w:val="annotation subject"/>
    <w:basedOn w:val="CommentText"/>
    <w:next w:val="CommentText"/>
    <w:link w:val="CommentSubjectChar"/>
    <w:uiPriority w:val="99"/>
    <w:semiHidden/>
    <w:unhideWhenUsed/>
    <w:rsid w:val="00AD4C5C"/>
    <w:rPr>
      <w:b/>
      <w:bCs/>
      <w:sz w:val="20"/>
      <w:szCs w:val="20"/>
    </w:rPr>
  </w:style>
  <w:style w:type="character" w:customStyle="1" w:styleId="CommentSubjectChar">
    <w:name w:val="Comment Subject Char"/>
    <w:basedOn w:val="CommentTextChar"/>
    <w:link w:val="CommentSubject"/>
    <w:uiPriority w:val="99"/>
    <w:semiHidden/>
    <w:rsid w:val="00AD4C5C"/>
    <w:rPr>
      <w:b/>
      <w:bCs/>
      <w:sz w:val="20"/>
      <w:szCs w:val="20"/>
    </w:rPr>
  </w:style>
  <w:style w:type="paragraph" w:styleId="BalloonText">
    <w:name w:val="Balloon Text"/>
    <w:basedOn w:val="Normal"/>
    <w:link w:val="BalloonTextChar"/>
    <w:uiPriority w:val="99"/>
    <w:semiHidden/>
    <w:unhideWhenUsed/>
    <w:rsid w:val="00AD4C5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D4C5C"/>
    <w:rPr>
      <w:rFonts w:ascii="Times New Roman" w:hAnsi="Times New Roman" w:cs="Times New Roman"/>
      <w:sz w:val="18"/>
      <w:szCs w:val="18"/>
    </w:rPr>
  </w:style>
  <w:style w:type="character" w:styleId="Hyperlink">
    <w:name w:val="Hyperlink"/>
    <w:basedOn w:val="DefaultParagraphFont"/>
    <w:uiPriority w:val="99"/>
    <w:unhideWhenUsed/>
    <w:rsid w:val="00B73D5E"/>
    <w:rPr>
      <w:color w:val="0563C1" w:themeColor="hyperlink"/>
      <w:u w:val="single"/>
    </w:rPr>
  </w:style>
  <w:style w:type="paragraph" w:customStyle="1" w:styleId="FigureTitle">
    <w:name w:val="Figure Title"/>
    <w:basedOn w:val="Normal"/>
    <w:uiPriority w:val="99"/>
    <w:rsid w:val="006A5837"/>
    <w:pPr>
      <w:keepNext/>
      <w:keepLines/>
      <w:spacing w:before="240" w:after="240"/>
    </w:pPr>
    <w:rPr>
      <w:rFonts w:ascii="Times New Roman" w:eastAsia="Times New Roman" w:hAnsi="Times New Roman" w:cs="Times New Roman"/>
      <w:b/>
      <w:szCs w:val="20"/>
    </w:rPr>
  </w:style>
  <w:style w:type="paragraph" w:styleId="BodyText2">
    <w:name w:val="Body Text 2"/>
    <w:basedOn w:val="Normal"/>
    <w:link w:val="BodyText2Char"/>
    <w:rsid w:val="009B5B5A"/>
    <w:rPr>
      <w:rFonts w:ascii="Times New Roman" w:eastAsia="Times New Roman" w:hAnsi="Times New Roman" w:cs="Times New Roman"/>
      <w:szCs w:val="20"/>
    </w:rPr>
  </w:style>
  <w:style w:type="character" w:customStyle="1" w:styleId="BodyText2Char">
    <w:name w:val="Body Text 2 Char"/>
    <w:basedOn w:val="DefaultParagraphFont"/>
    <w:link w:val="BodyText2"/>
    <w:rsid w:val="009B5B5A"/>
    <w:rPr>
      <w:rFonts w:ascii="Times New Roman" w:eastAsia="Times New Roman" w:hAnsi="Times New Roman" w:cs="Times New Roman"/>
      <w:szCs w:val="20"/>
    </w:rPr>
  </w:style>
  <w:style w:type="paragraph" w:styleId="BodyTextIndent">
    <w:name w:val="Body Text Indent"/>
    <w:basedOn w:val="Normal"/>
    <w:link w:val="BodyTextIndentChar"/>
    <w:rsid w:val="00C82D5C"/>
    <w:pPr>
      <w:spacing w:after="12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C82D5C"/>
    <w:rPr>
      <w:rFonts w:ascii="Times New Roman" w:eastAsia="Times New Roman" w:hAnsi="Times New Roman" w:cs="Times New Roman"/>
    </w:rPr>
  </w:style>
  <w:style w:type="character" w:customStyle="1" w:styleId="bodytextChar">
    <w:name w:val="body text Char"/>
    <w:aliases w:val="bt Char,body tx Char,indent Char1,flush Char Char,indent Char,flush Char"/>
    <w:link w:val="BodyText1"/>
    <w:locked/>
    <w:rsid w:val="00873D51"/>
  </w:style>
  <w:style w:type="paragraph" w:customStyle="1" w:styleId="BodyText1">
    <w:name w:val="Body Text1"/>
    <w:aliases w:val="bt,body tx,indent,flush,body text"/>
    <w:basedOn w:val="Normal"/>
    <w:link w:val="bodytextChar"/>
    <w:rsid w:val="00873D51"/>
    <w:pPr>
      <w:spacing w:after="120" w:line="360" w:lineRule="auto"/>
      <w:ind w:firstLine="720"/>
    </w:pPr>
  </w:style>
  <w:style w:type="paragraph" w:styleId="Header">
    <w:name w:val="header"/>
    <w:basedOn w:val="Normal"/>
    <w:link w:val="HeaderChar"/>
    <w:uiPriority w:val="99"/>
    <w:unhideWhenUsed/>
    <w:rsid w:val="00476B0B"/>
    <w:pPr>
      <w:tabs>
        <w:tab w:val="center" w:pos="4680"/>
        <w:tab w:val="right" w:pos="9360"/>
      </w:tabs>
    </w:pPr>
  </w:style>
  <w:style w:type="character" w:customStyle="1" w:styleId="HeaderChar">
    <w:name w:val="Header Char"/>
    <w:basedOn w:val="DefaultParagraphFont"/>
    <w:link w:val="Header"/>
    <w:uiPriority w:val="99"/>
    <w:rsid w:val="00476B0B"/>
  </w:style>
  <w:style w:type="paragraph" w:styleId="Footer">
    <w:name w:val="footer"/>
    <w:basedOn w:val="Normal"/>
    <w:link w:val="FooterChar"/>
    <w:uiPriority w:val="99"/>
    <w:unhideWhenUsed/>
    <w:rsid w:val="00476B0B"/>
    <w:pPr>
      <w:tabs>
        <w:tab w:val="center" w:pos="4680"/>
        <w:tab w:val="right" w:pos="9360"/>
      </w:tabs>
    </w:pPr>
  </w:style>
  <w:style w:type="character" w:customStyle="1" w:styleId="FooterChar">
    <w:name w:val="Footer Char"/>
    <w:basedOn w:val="DefaultParagraphFont"/>
    <w:link w:val="Footer"/>
    <w:uiPriority w:val="99"/>
    <w:rsid w:val="00476B0B"/>
  </w:style>
  <w:style w:type="paragraph" w:customStyle="1" w:styleId="Default">
    <w:name w:val="Default"/>
    <w:rsid w:val="00956E69"/>
    <w:pPr>
      <w:autoSpaceDE w:val="0"/>
      <w:autoSpaceDN w:val="0"/>
      <w:adjustRightInd w:val="0"/>
    </w:pPr>
    <w:rPr>
      <w:rFonts w:ascii="Calibri" w:hAnsi="Calibri" w:cs="Calibri"/>
      <w:color w:val="000000"/>
    </w:rPr>
  </w:style>
  <w:style w:type="paragraph" w:styleId="Revision">
    <w:name w:val="Revision"/>
    <w:hidden/>
    <w:uiPriority w:val="99"/>
    <w:semiHidden/>
    <w:rsid w:val="00B467CE"/>
  </w:style>
  <w:style w:type="character" w:styleId="PageNumber">
    <w:name w:val="page number"/>
    <w:basedOn w:val="DefaultParagraphFont"/>
    <w:uiPriority w:val="99"/>
    <w:semiHidden/>
    <w:unhideWhenUsed/>
    <w:rsid w:val="001446C2"/>
  </w:style>
  <w:style w:type="character" w:styleId="FollowedHyperlink">
    <w:name w:val="FollowedHyperlink"/>
    <w:basedOn w:val="DefaultParagraphFont"/>
    <w:uiPriority w:val="99"/>
    <w:semiHidden/>
    <w:unhideWhenUsed/>
    <w:rsid w:val="00437758"/>
    <w:rPr>
      <w:color w:val="954F72" w:themeColor="followedHyperlink"/>
      <w:u w:val="single"/>
    </w:rPr>
  </w:style>
  <w:style w:type="paragraph" w:styleId="DocumentMap">
    <w:name w:val="Document Map"/>
    <w:basedOn w:val="Normal"/>
    <w:link w:val="DocumentMapChar"/>
    <w:uiPriority w:val="99"/>
    <w:semiHidden/>
    <w:unhideWhenUsed/>
    <w:rsid w:val="00FD40CE"/>
    <w:rPr>
      <w:rFonts w:ascii="Times New Roman" w:hAnsi="Times New Roman" w:cs="Times New Roman"/>
    </w:rPr>
  </w:style>
  <w:style w:type="character" w:customStyle="1" w:styleId="DocumentMapChar">
    <w:name w:val="Document Map Char"/>
    <w:basedOn w:val="DefaultParagraphFont"/>
    <w:link w:val="DocumentMap"/>
    <w:uiPriority w:val="99"/>
    <w:semiHidden/>
    <w:rsid w:val="00FD40CE"/>
    <w:rPr>
      <w:rFonts w:ascii="Times New Roman" w:hAnsi="Times New Roman" w:cs="Times New Roman"/>
    </w:rPr>
  </w:style>
  <w:style w:type="character" w:customStyle="1" w:styleId="Heading1Char">
    <w:name w:val="Heading 1 Char"/>
    <w:basedOn w:val="DefaultParagraphFont"/>
    <w:link w:val="Heading1"/>
    <w:rsid w:val="00A117A5"/>
    <w:rPr>
      <w:rFonts w:ascii="Arial" w:eastAsia="Times New Roman" w:hAnsi="Arial" w:cs="Arial"/>
      <w:b/>
      <w:sz w:val="22"/>
      <w:szCs w:val="22"/>
    </w:rPr>
  </w:style>
  <w:style w:type="paragraph" w:styleId="NoSpacing">
    <w:name w:val="No Spacing"/>
    <w:uiPriority w:val="1"/>
    <w:qFormat/>
    <w:rsid w:val="000B52FA"/>
  </w:style>
  <w:style w:type="character" w:customStyle="1" w:styleId="lrzxr">
    <w:name w:val="lrzxr"/>
    <w:basedOn w:val="DefaultParagraphFont"/>
    <w:rsid w:val="00901173"/>
  </w:style>
  <w:style w:type="paragraph" w:styleId="BodyText">
    <w:name w:val="Body Text"/>
    <w:basedOn w:val="Normal"/>
    <w:link w:val="BodyTextChar0"/>
    <w:uiPriority w:val="99"/>
    <w:semiHidden/>
    <w:unhideWhenUsed/>
    <w:rsid w:val="00470454"/>
    <w:pPr>
      <w:spacing w:after="120"/>
    </w:pPr>
  </w:style>
  <w:style w:type="character" w:customStyle="1" w:styleId="BodyTextChar0">
    <w:name w:val="Body Text Char"/>
    <w:basedOn w:val="DefaultParagraphFont"/>
    <w:link w:val="BodyText"/>
    <w:uiPriority w:val="99"/>
    <w:semiHidden/>
    <w:rsid w:val="00470454"/>
  </w:style>
  <w:style w:type="paragraph" w:styleId="FootnoteText">
    <w:name w:val="footnote text"/>
    <w:basedOn w:val="Normal"/>
    <w:link w:val="FootnoteTextChar"/>
    <w:rsid w:val="007F1D19"/>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F1D19"/>
    <w:rPr>
      <w:rFonts w:ascii="Times New Roman" w:eastAsia="Times New Roman" w:hAnsi="Times New Roman" w:cs="Times New Roman"/>
      <w:sz w:val="20"/>
      <w:szCs w:val="20"/>
    </w:rPr>
  </w:style>
  <w:style w:type="character" w:styleId="FootnoteReference">
    <w:name w:val="footnote reference"/>
    <w:rsid w:val="007F1D19"/>
    <w:rPr>
      <w:vertAlign w:val="superscript"/>
    </w:rPr>
  </w:style>
  <w:style w:type="character" w:customStyle="1" w:styleId="UnresolvedMention">
    <w:name w:val="Unresolved Mention"/>
    <w:basedOn w:val="DefaultParagraphFont"/>
    <w:uiPriority w:val="99"/>
    <w:semiHidden/>
    <w:unhideWhenUsed/>
    <w:rsid w:val="0064262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B25"/>
  </w:style>
  <w:style w:type="paragraph" w:styleId="Heading1">
    <w:name w:val="heading 1"/>
    <w:basedOn w:val="Normal"/>
    <w:next w:val="Normal"/>
    <w:link w:val="Heading1Char"/>
    <w:qFormat/>
    <w:rsid w:val="00A117A5"/>
    <w:pPr>
      <w:widowControl w:val="0"/>
      <w:autoSpaceDE w:val="0"/>
      <w:autoSpaceDN w:val="0"/>
      <w:adjustRightInd w:val="0"/>
      <w:spacing w:after="240"/>
      <w:jc w:val="both"/>
      <w:outlineLvl w:val="0"/>
    </w:pPr>
    <w:rPr>
      <w:rFonts w:ascii="Arial" w:eastAsia="Times New Roman"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28A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28AE"/>
    <w:pPr>
      <w:ind w:left="720"/>
      <w:contextualSpacing/>
    </w:pPr>
    <w:rPr>
      <w:rFonts w:ascii="Times New Roman" w:eastAsia="Calibri" w:hAnsi="Times New Roman" w:cs="Arial"/>
      <w:szCs w:val="22"/>
    </w:rPr>
  </w:style>
  <w:style w:type="character" w:styleId="CommentReference">
    <w:name w:val="annotation reference"/>
    <w:basedOn w:val="DefaultParagraphFont"/>
    <w:uiPriority w:val="99"/>
    <w:unhideWhenUsed/>
    <w:rsid w:val="00AD4C5C"/>
    <w:rPr>
      <w:sz w:val="18"/>
      <w:szCs w:val="18"/>
    </w:rPr>
  </w:style>
  <w:style w:type="paragraph" w:styleId="CommentText">
    <w:name w:val="annotation text"/>
    <w:basedOn w:val="Normal"/>
    <w:link w:val="CommentTextChar"/>
    <w:uiPriority w:val="99"/>
    <w:unhideWhenUsed/>
    <w:rsid w:val="00AD4C5C"/>
  </w:style>
  <w:style w:type="character" w:customStyle="1" w:styleId="CommentTextChar">
    <w:name w:val="Comment Text Char"/>
    <w:basedOn w:val="DefaultParagraphFont"/>
    <w:link w:val="CommentText"/>
    <w:uiPriority w:val="99"/>
    <w:rsid w:val="00AD4C5C"/>
  </w:style>
  <w:style w:type="paragraph" w:styleId="CommentSubject">
    <w:name w:val="annotation subject"/>
    <w:basedOn w:val="CommentText"/>
    <w:next w:val="CommentText"/>
    <w:link w:val="CommentSubjectChar"/>
    <w:uiPriority w:val="99"/>
    <w:semiHidden/>
    <w:unhideWhenUsed/>
    <w:rsid w:val="00AD4C5C"/>
    <w:rPr>
      <w:b/>
      <w:bCs/>
      <w:sz w:val="20"/>
      <w:szCs w:val="20"/>
    </w:rPr>
  </w:style>
  <w:style w:type="character" w:customStyle="1" w:styleId="CommentSubjectChar">
    <w:name w:val="Comment Subject Char"/>
    <w:basedOn w:val="CommentTextChar"/>
    <w:link w:val="CommentSubject"/>
    <w:uiPriority w:val="99"/>
    <w:semiHidden/>
    <w:rsid w:val="00AD4C5C"/>
    <w:rPr>
      <w:b/>
      <w:bCs/>
      <w:sz w:val="20"/>
      <w:szCs w:val="20"/>
    </w:rPr>
  </w:style>
  <w:style w:type="paragraph" w:styleId="BalloonText">
    <w:name w:val="Balloon Text"/>
    <w:basedOn w:val="Normal"/>
    <w:link w:val="BalloonTextChar"/>
    <w:uiPriority w:val="99"/>
    <w:semiHidden/>
    <w:unhideWhenUsed/>
    <w:rsid w:val="00AD4C5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D4C5C"/>
    <w:rPr>
      <w:rFonts w:ascii="Times New Roman" w:hAnsi="Times New Roman" w:cs="Times New Roman"/>
      <w:sz w:val="18"/>
      <w:szCs w:val="18"/>
    </w:rPr>
  </w:style>
  <w:style w:type="character" w:styleId="Hyperlink">
    <w:name w:val="Hyperlink"/>
    <w:basedOn w:val="DefaultParagraphFont"/>
    <w:uiPriority w:val="99"/>
    <w:unhideWhenUsed/>
    <w:rsid w:val="00B73D5E"/>
    <w:rPr>
      <w:color w:val="0563C1" w:themeColor="hyperlink"/>
      <w:u w:val="single"/>
    </w:rPr>
  </w:style>
  <w:style w:type="paragraph" w:customStyle="1" w:styleId="FigureTitle">
    <w:name w:val="Figure Title"/>
    <w:basedOn w:val="Normal"/>
    <w:uiPriority w:val="99"/>
    <w:rsid w:val="006A5837"/>
    <w:pPr>
      <w:keepNext/>
      <w:keepLines/>
      <w:spacing w:before="240" w:after="240"/>
    </w:pPr>
    <w:rPr>
      <w:rFonts w:ascii="Times New Roman" w:eastAsia="Times New Roman" w:hAnsi="Times New Roman" w:cs="Times New Roman"/>
      <w:b/>
      <w:szCs w:val="20"/>
    </w:rPr>
  </w:style>
  <w:style w:type="paragraph" w:styleId="BodyText2">
    <w:name w:val="Body Text 2"/>
    <w:basedOn w:val="Normal"/>
    <w:link w:val="BodyText2Char"/>
    <w:rsid w:val="009B5B5A"/>
    <w:rPr>
      <w:rFonts w:ascii="Times New Roman" w:eastAsia="Times New Roman" w:hAnsi="Times New Roman" w:cs="Times New Roman"/>
      <w:szCs w:val="20"/>
    </w:rPr>
  </w:style>
  <w:style w:type="character" w:customStyle="1" w:styleId="BodyText2Char">
    <w:name w:val="Body Text 2 Char"/>
    <w:basedOn w:val="DefaultParagraphFont"/>
    <w:link w:val="BodyText2"/>
    <w:rsid w:val="009B5B5A"/>
    <w:rPr>
      <w:rFonts w:ascii="Times New Roman" w:eastAsia="Times New Roman" w:hAnsi="Times New Roman" w:cs="Times New Roman"/>
      <w:szCs w:val="20"/>
    </w:rPr>
  </w:style>
  <w:style w:type="paragraph" w:styleId="BodyTextIndent">
    <w:name w:val="Body Text Indent"/>
    <w:basedOn w:val="Normal"/>
    <w:link w:val="BodyTextIndentChar"/>
    <w:rsid w:val="00C82D5C"/>
    <w:pPr>
      <w:spacing w:after="12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C82D5C"/>
    <w:rPr>
      <w:rFonts w:ascii="Times New Roman" w:eastAsia="Times New Roman" w:hAnsi="Times New Roman" w:cs="Times New Roman"/>
    </w:rPr>
  </w:style>
  <w:style w:type="character" w:customStyle="1" w:styleId="bodytextChar">
    <w:name w:val="body text Char"/>
    <w:aliases w:val="bt Char,body tx Char,indent Char1,flush Char Char,indent Char,flush Char"/>
    <w:link w:val="BodyText1"/>
    <w:locked/>
    <w:rsid w:val="00873D51"/>
  </w:style>
  <w:style w:type="paragraph" w:customStyle="1" w:styleId="BodyText1">
    <w:name w:val="Body Text1"/>
    <w:aliases w:val="bt,body tx,indent,flush,body text"/>
    <w:basedOn w:val="Normal"/>
    <w:link w:val="bodytextChar"/>
    <w:rsid w:val="00873D51"/>
    <w:pPr>
      <w:spacing w:after="120" w:line="360" w:lineRule="auto"/>
      <w:ind w:firstLine="720"/>
    </w:pPr>
  </w:style>
  <w:style w:type="paragraph" w:styleId="Header">
    <w:name w:val="header"/>
    <w:basedOn w:val="Normal"/>
    <w:link w:val="HeaderChar"/>
    <w:uiPriority w:val="99"/>
    <w:unhideWhenUsed/>
    <w:rsid w:val="00476B0B"/>
    <w:pPr>
      <w:tabs>
        <w:tab w:val="center" w:pos="4680"/>
        <w:tab w:val="right" w:pos="9360"/>
      </w:tabs>
    </w:pPr>
  </w:style>
  <w:style w:type="character" w:customStyle="1" w:styleId="HeaderChar">
    <w:name w:val="Header Char"/>
    <w:basedOn w:val="DefaultParagraphFont"/>
    <w:link w:val="Header"/>
    <w:uiPriority w:val="99"/>
    <w:rsid w:val="00476B0B"/>
  </w:style>
  <w:style w:type="paragraph" w:styleId="Footer">
    <w:name w:val="footer"/>
    <w:basedOn w:val="Normal"/>
    <w:link w:val="FooterChar"/>
    <w:uiPriority w:val="99"/>
    <w:unhideWhenUsed/>
    <w:rsid w:val="00476B0B"/>
    <w:pPr>
      <w:tabs>
        <w:tab w:val="center" w:pos="4680"/>
        <w:tab w:val="right" w:pos="9360"/>
      </w:tabs>
    </w:pPr>
  </w:style>
  <w:style w:type="character" w:customStyle="1" w:styleId="FooterChar">
    <w:name w:val="Footer Char"/>
    <w:basedOn w:val="DefaultParagraphFont"/>
    <w:link w:val="Footer"/>
    <w:uiPriority w:val="99"/>
    <w:rsid w:val="00476B0B"/>
  </w:style>
  <w:style w:type="paragraph" w:customStyle="1" w:styleId="Default">
    <w:name w:val="Default"/>
    <w:rsid w:val="00956E69"/>
    <w:pPr>
      <w:autoSpaceDE w:val="0"/>
      <w:autoSpaceDN w:val="0"/>
      <w:adjustRightInd w:val="0"/>
    </w:pPr>
    <w:rPr>
      <w:rFonts w:ascii="Calibri" w:hAnsi="Calibri" w:cs="Calibri"/>
      <w:color w:val="000000"/>
    </w:rPr>
  </w:style>
  <w:style w:type="paragraph" w:styleId="Revision">
    <w:name w:val="Revision"/>
    <w:hidden/>
    <w:uiPriority w:val="99"/>
    <w:semiHidden/>
    <w:rsid w:val="00B467CE"/>
  </w:style>
  <w:style w:type="character" w:styleId="PageNumber">
    <w:name w:val="page number"/>
    <w:basedOn w:val="DefaultParagraphFont"/>
    <w:uiPriority w:val="99"/>
    <w:semiHidden/>
    <w:unhideWhenUsed/>
    <w:rsid w:val="001446C2"/>
  </w:style>
  <w:style w:type="character" w:styleId="FollowedHyperlink">
    <w:name w:val="FollowedHyperlink"/>
    <w:basedOn w:val="DefaultParagraphFont"/>
    <w:uiPriority w:val="99"/>
    <w:semiHidden/>
    <w:unhideWhenUsed/>
    <w:rsid w:val="00437758"/>
    <w:rPr>
      <w:color w:val="954F72" w:themeColor="followedHyperlink"/>
      <w:u w:val="single"/>
    </w:rPr>
  </w:style>
  <w:style w:type="paragraph" w:styleId="DocumentMap">
    <w:name w:val="Document Map"/>
    <w:basedOn w:val="Normal"/>
    <w:link w:val="DocumentMapChar"/>
    <w:uiPriority w:val="99"/>
    <w:semiHidden/>
    <w:unhideWhenUsed/>
    <w:rsid w:val="00FD40CE"/>
    <w:rPr>
      <w:rFonts w:ascii="Times New Roman" w:hAnsi="Times New Roman" w:cs="Times New Roman"/>
    </w:rPr>
  </w:style>
  <w:style w:type="character" w:customStyle="1" w:styleId="DocumentMapChar">
    <w:name w:val="Document Map Char"/>
    <w:basedOn w:val="DefaultParagraphFont"/>
    <w:link w:val="DocumentMap"/>
    <w:uiPriority w:val="99"/>
    <w:semiHidden/>
    <w:rsid w:val="00FD40CE"/>
    <w:rPr>
      <w:rFonts w:ascii="Times New Roman" w:hAnsi="Times New Roman" w:cs="Times New Roman"/>
    </w:rPr>
  </w:style>
  <w:style w:type="character" w:customStyle="1" w:styleId="Heading1Char">
    <w:name w:val="Heading 1 Char"/>
    <w:basedOn w:val="DefaultParagraphFont"/>
    <w:link w:val="Heading1"/>
    <w:rsid w:val="00A117A5"/>
    <w:rPr>
      <w:rFonts w:ascii="Arial" w:eastAsia="Times New Roman" w:hAnsi="Arial" w:cs="Arial"/>
      <w:b/>
      <w:sz w:val="22"/>
      <w:szCs w:val="22"/>
    </w:rPr>
  </w:style>
  <w:style w:type="paragraph" w:styleId="NoSpacing">
    <w:name w:val="No Spacing"/>
    <w:uiPriority w:val="1"/>
    <w:qFormat/>
    <w:rsid w:val="000B52FA"/>
  </w:style>
  <w:style w:type="character" w:customStyle="1" w:styleId="lrzxr">
    <w:name w:val="lrzxr"/>
    <w:basedOn w:val="DefaultParagraphFont"/>
    <w:rsid w:val="00901173"/>
  </w:style>
  <w:style w:type="paragraph" w:styleId="BodyText">
    <w:name w:val="Body Text"/>
    <w:basedOn w:val="Normal"/>
    <w:link w:val="BodyTextChar0"/>
    <w:uiPriority w:val="99"/>
    <w:semiHidden/>
    <w:unhideWhenUsed/>
    <w:rsid w:val="00470454"/>
    <w:pPr>
      <w:spacing w:after="120"/>
    </w:pPr>
  </w:style>
  <w:style w:type="character" w:customStyle="1" w:styleId="BodyTextChar0">
    <w:name w:val="Body Text Char"/>
    <w:basedOn w:val="DefaultParagraphFont"/>
    <w:link w:val="BodyText"/>
    <w:uiPriority w:val="99"/>
    <w:semiHidden/>
    <w:rsid w:val="00470454"/>
  </w:style>
  <w:style w:type="paragraph" w:styleId="FootnoteText">
    <w:name w:val="footnote text"/>
    <w:basedOn w:val="Normal"/>
    <w:link w:val="FootnoteTextChar"/>
    <w:rsid w:val="007F1D19"/>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F1D19"/>
    <w:rPr>
      <w:rFonts w:ascii="Times New Roman" w:eastAsia="Times New Roman" w:hAnsi="Times New Roman" w:cs="Times New Roman"/>
      <w:sz w:val="20"/>
      <w:szCs w:val="20"/>
    </w:rPr>
  </w:style>
  <w:style w:type="character" w:styleId="FootnoteReference">
    <w:name w:val="footnote reference"/>
    <w:rsid w:val="007F1D19"/>
    <w:rPr>
      <w:vertAlign w:val="superscript"/>
    </w:rPr>
  </w:style>
  <w:style w:type="character" w:customStyle="1" w:styleId="UnresolvedMention">
    <w:name w:val="Unresolved Mention"/>
    <w:basedOn w:val="DefaultParagraphFont"/>
    <w:uiPriority w:val="99"/>
    <w:semiHidden/>
    <w:unhideWhenUsed/>
    <w:rsid w:val="00642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620543">
      <w:bodyDiv w:val="1"/>
      <w:marLeft w:val="0"/>
      <w:marRight w:val="0"/>
      <w:marTop w:val="0"/>
      <w:marBottom w:val="0"/>
      <w:divBdr>
        <w:top w:val="none" w:sz="0" w:space="0" w:color="auto"/>
        <w:left w:val="none" w:sz="0" w:space="0" w:color="auto"/>
        <w:bottom w:val="none" w:sz="0" w:space="0" w:color="auto"/>
        <w:right w:val="none" w:sz="0" w:space="0" w:color="auto"/>
      </w:divBdr>
    </w:div>
    <w:div w:id="1567181399">
      <w:bodyDiv w:val="1"/>
      <w:marLeft w:val="0"/>
      <w:marRight w:val="0"/>
      <w:marTop w:val="0"/>
      <w:marBottom w:val="0"/>
      <w:divBdr>
        <w:top w:val="none" w:sz="0" w:space="0" w:color="auto"/>
        <w:left w:val="none" w:sz="0" w:space="0" w:color="auto"/>
        <w:bottom w:val="none" w:sz="0" w:space="0" w:color="auto"/>
        <w:right w:val="none" w:sz="0" w:space="0" w:color="auto"/>
      </w:divBdr>
    </w:div>
    <w:div w:id="18862847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4DDCA56-F72F-41F2-9B7C-51B07BB39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4341</Words>
  <Characters>24748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29031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Anjana Radhakrishnan</dc:creator>
  <cp:lastModifiedBy>SYSTEM</cp:lastModifiedBy>
  <cp:revision>2</cp:revision>
  <cp:lastPrinted>2018-10-16T17:35:00Z</cp:lastPrinted>
  <dcterms:created xsi:type="dcterms:W3CDTF">2019-03-12T17:59:00Z</dcterms:created>
  <dcterms:modified xsi:type="dcterms:W3CDTF">2019-03-12T17:59:00Z</dcterms:modified>
</cp:coreProperties>
</file>