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17903" w:rsidR="00D11A8F" w:rsidP="00616A7C" w:rsidRDefault="00217903" w14:paraId="144DA9AF" w14:textId="071621FC">
      <w:pPr>
        <w:pStyle w:val="Default"/>
        <w:ind w:firstLine="720"/>
        <w:jc w:val="center"/>
      </w:pPr>
      <w:r w:rsidRPr="00217903">
        <w:t xml:space="preserve">UNITED STATES </w:t>
      </w:r>
      <w:r w:rsidRPr="00217903" w:rsidR="00D11A8F">
        <w:t>FOOD &amp; DRUG ADMINISTRAT</w:t>
      </w:r>
      <w:r w:rsidRPr="00217903">
        <w:t>ION</w:t>
      </w:r>
    </w:p>
    <w:p w:rsidRPr="00217903" w:rsidR="00DA79BC" w:rsidP="00616A7C" w:rsidRDefault="00DA79BC" w14:paraId="08CD9A4A" w14:textId="348472A3">
      <w:pPr>
        <w:spacing w:after="0" w:line="240" w:lineRule="auto"/>
        <w:jc w:val="center"/>
        <w:rPr>
          <w:rFonts w:ascii="Times New Roman" w:hAnsi="Times New Roman" w:eastAsia="Times New Roman"/>
          <w:sz w:val="24"/>
          <w:szCs w:val="24"/>
        </w:rPr>
      </w:pPr>
    </w:p>
    <w:p w:rsidRPr="00664EFE" w:rsidR="00664EFE" w:rsidP="00616A7C" w:rsidRDefault="00664EFE" w14:paraId="30BE0F09" w14:textId="77777777">
      <w:pPr>
        <w:spacing w:after="0" w:line="240" w:lineRule="auto"/>
        <w:jc w:val="center"/>
        <w:rPr>
          <w:rFonts w:ascii="Times New Roman" w:hAnsi="Times New Roman" w:eastAsia="Times New Roman"/>
          <w:sz w:val="24"/>
          <w:szCs w:val="24"/>
        </w:rPr>
      </w:pPr>
      <w:r w:rsidRPr="00664EFE">
        <w:rPr>
          <w:rFonts w:ascii="Times New Roman" w:hAnsi="Times New Roman" w:eastAsia="Times New Roman"/>
          <w:sz w:val="24"/>
          <w:szCs w:val="24"/>
        </w:rPr>
        <w:t>Section 351(k) Biosimilar Applications – General Licensing Provisions</w:t>
      </w:r>
    </w:p>
    <w:p w:rsidRPr="00217903" w:rsidR="00217903" w:rsidP="00616A7C" w:rsidRDefault="00664EFE" w14:paraId="582E9FE5" w14:textId="0653A583">
      <w:pPr>
        <w:tabs>
          <w:tab w:val="left" w:pos="6570"/>
        </w:tabs>
        <w:spacing w:after="0" w:line="240" w:lineRule="auto"/>
        <w:jc w:val="center"/>
        <w:rPr>
          <w:rFonts w:ascii="Times New Roman" w:hAnsi="Times New Roman" w:eastAsia="Times New Roman"/>
          <w:sz w:val="24"/>
          <w:szCs w:val="24"/>
        </w:rPr>
      </w:pPr>
      <w:r w:rsidRPr="00664EFE">
        <w:rPr>
          <w:rFonts w:ascii="Times New Roman" w:hAnsi="Times New Roman" w:eastAsia="Times New Roman"/>
          <w:sz w:val="24"/>
          <w:szCs w:val="24"/>
        </w:rPr>
        <w:t>Biosimilar User Fee Program</w:t>
      </w:r>
    </w:p>
    <w:p w:rsidRPr="00217903" w:rsidR="00217903" w:rsidP="00616A7C" w:rsidRDefault="00217903" w14:paraId="2DBCD2CA" w14:textId="77777777">
      <w:pPr>
        <w:spacing w:after="0" w:line="240" w:lineRule="auto"/>
        <w:jc w:val="center"/>
        <w:rPr>
          <w:rFonts w:ascii="Times New Roman" w:hAnsi="Times New Roman" w:eastAsia="Times New Roman"/>
          <w:sz w:val="24"/>
          <w:szCs w:val="24"/>
        </w:rPr>
      </w:pPr>
    </w:p>
    <w:p w:rsidRPr="00217903" w:rsidR="00D11A8F" w:rsidP="00616A7C" w:rsidRDefault="00D11A8F" w14:paraId="18249A8E" w14:textId="6E2A6023">
      <w:pPr>
        <w:pStyle w:val="Default"/>
        <w:ind w:firstLine="720"/>
        <w:jc w:val="center"/>
        <w:rPr>
          <w:rFonts w:eastAsia="Times New Roman"/>
          <w:color w:val="auto"/>
          <w:u w:val="single"/>
        </w:rPr>
      </w:pPr>
      <w:r w:rsidRPr="00217903">
        <w:rPr>
          <w:rFonts w:eastAsia="Times New Roman"/>
          <w:color w:val="auto"/>
          <w:u w:val="single"/>
        </w:rPr>
        <w:t>OMB Control N</w:t>
      </w:r>
      <w:r w:rsidR="00496FAA">
        <w:rPr>
          <w:rFonts w:eastAsia="Times New Roman"/>
          <w:color w:val="auto"/>
          <w:u w:val="single"/>
        </w:rPr>
        <w:t>umber</w:t>
      </w:r>
      <w:r w:rsidRPr="00217903">
        <w:rPr>
          <w:rFonts w:eastAsia="Times New Roman"/>
          <w:color w:val="auto"/>
          <w:u w:val="single"/>
        </w:rPr>
        <w:t xml:space="preserve"> 0910-</w:t>
      </w:r>
      <w:r w:rsidRPr="00217903" w:rsidR="00217903">
        <w:rPr>
          <w:rFonts w:eastAsia="Times New Roman"/>
          <w:color w:val="auto"/>
          <w:u w:val="single"/>
        </w:rPr>
        <w:t>0</w:t>
      </w:r>
      <w:r w:rsidR="005054EC">
        <w:rPr>
          <w:rFonts w:eastAsia="Times New Roman"/>
          <w:color w:val="auto"/>
          <w:u w:val="single"/>
        </w:rPr>
        <w:t>719</w:t>
      </w:r>
    </w:p>
    <w:p w:rsidR="00D11A8F" w:rsidP="00616A7C" w:rsidRDefault="00D11A8F" w14:paraId="4F4A033D" w14:textId="77777777">
      <w:pPr>
        <w:pStyle w:val="Default"/>
        <w:ind w:firstLine="720"/>
        <w:jc w:val="center"/>
        <w:rPr>
          <w:rFonts w:eastAsia="Times New Roman"/>
          <w:color w:val="auto"/>
        </w:rPr>
      </w:pPr>
    </w:p>
    <w:p w:rsidR="00D11A8F" w:rsidP="00616A7C" w:rsidRDefault="00305CDE" w14:paraId="656B2A34" w14:textId="1831964C">
      <w:pPr>
        <w:pStyle w:val="Default"/>
        <w:rPr>
          <w:b/>
        </w:rPr>
      </w:pPr>
      <w:r w:rsidRPr="005A1401">
        <w:rPr>
          <w:rFonts w:eastAsia="Times New Roman"/>
          <w:b/>
          <w:color w:val="auto"/>
        </w:rPr>
        <w:t xml:space="preserve">Non-substantive </w:t>
      </w:r>
      <w:r w:rsidRPr="005A1401" w:rsidR="00D11A8F">
        <w:rPr>
          <w:rFonts w:eastAsia="Times New Roman"/>
          <w:b/>
          <w:color w:val="auto"/>
        </w:rPr>
        <w:t xml:space="preserve">Change </w:t>
      </w:r>
      <w:r w:rsidRPr="005A1401" w:rsidR="006F52F3">
        <w:rPr>
          <w:rFonts w:eastAsia="Times New Roman"/>
          <w:b/>
          <w:color w:val="auto"/>
        </w:rPr>
        <w:t xml:space="preserve">Request </w:t>
      </w:r>
      <w:r w:rsidRPr="005A1401" w:rsidR="00D11A8F">
        <w:rPr>
          <w:b/>
          <w:color w:val="auto"/>
        </w:rPr>
        <w:t>to</w:t>
      </w:r>
      <w:r w:rsidRPr="005A1401">
        <w:rPr>
          <w:rFonts w:eastAsia="Times New Roman"/>
          <w:b/>
          <w:color w:val="auto"/>
        </w:rPr>
        <w:t xml:space="preserve"> an existing information collection</w:t>
      </w:r>
      <w:r>
        <w:rPr>
          <w:rFonts w:eastAsia="Times New Roman"/>
          <w:color w:val="auto"/>
        </w:rPr>
        <w:t>:</w:t>
      </w:r>
      <w:r w:rsidRPr="00E07864" w:rsidR="00D11A8F">
        <w:rPr>
          <w:color w:val="auto"/>
        </w:rPr>
        <w:t xml:space="preserve"> </w:t>
      </w:r>
    </w:p>
    <w:p w:rsidR="00D11A8F" w:rsidP="00616A7C" w:rsidRDefault="00D11A8F" w14:paraId="184018EF" w14:textId="77777777">
      <w:pPr>
        <w:pStyle w:val="Default"/>
        <w:ind w:firstLine="720"/>
        <w:jc w:val="center"/>
        <w:rPr>
          <w:b/>
        </w:rPr>
      </w:pPr>
    </w:p>
    <w:p w:rsidRPr="00E2776D" w:rsidR="00D11A8F" w:rsidP="00616A7C" w:rsidRDefault="00D11A8F" w14:paraId="6E094DFB" w14:textId="73CDEB53">
      <w:pPr>
        <w:pStyle w:val="Default"/>
        <w:rPr>
          <w:u w:val="single"/>
        </w:rPr>
      </w:pPr>
      <w:r w:rsidRPr="00E2776D">
        <w:rPr>
          <w:u w:val="single"/>
        </w:rPr>
        <w:t xml:space="preserve">I.  Background  </w:t>
      </w:r>
    </w:p>
    <w:p w:rsidR="00D11A8F" w:rsidP="00616A7C" w:rsidRDefault="00D11A8F" w14:paraId="7601891F" w14:textId="77777777">
      <w:pPr>
        <w:pStyle w:val="Default"/>
      </w:pPr>
    </w:p>
    <w:p w:rsidR="00A47B87" w:rsidP="00616A7C" w:rsidRDefault="00A22197" w14:paraId="6580F80A" w14:textId="0616FB6E">
      <w:pPr>
        <w:pStyle w:val="Default"/>
        <w:spacing w:after="240"/>
      </w:pPr>
      <w:r w:rsidRPr="00A22197">
        <w:t xml:space="preserve">This information collection </w:t>
      </w:r>
      <w:r w:rsidR="00D518DF">
        <w:t xml:space="preserve">helps </w:t>
      </w:r>
      <w:r w:rsidRPr="00A22197">
        <w:t>support implementation of the Biologics Price Competition and Innovation Act of 2009 (BPCI Act).  The BPCI Act amended the Public Health Service Act (PHS Act) to establish an abbreviated licensure pathway for biological products shown to be</w:t>
      </w:r>
      <w:r w:rsidR="00180C3D">
        <w:t xml:space="preserve"> </w:t>
      </w:r>
      <w:r w:rsidRPr="00A22197">
        <w:t>biosimilar to, or interchangeable with, a Food and Drug Administration (FDA)-licensed biological reference product.  Section 351(k) of the PHS Act (42 U.S.C. 262(k)), sets forth the requirements for an application for a proposed biosimilar product and an application or a supplement for a proposed interchangeable product.</w:t>
      </w:r>
      <w:r w:rsidR="00E2776D">
        <w:t xml:space="preserve">  Regulations pertaining to</w:t>
      </w:r>
      <w:r w:rsidR="00705E5F">
        <w:t xml:space="preserve"> applications for </w:t>
      </w:r>
      <w:r w:rsidR="00E2776D">
        <w:t xml:space="preserve"> </w:t>
      </w:r>
      <w:r w:rsidR="00705E5F">
        <w:t>biol</w:t>
      </w:r>
      <w:r w:rsidR="00F4489A">
        <w:t>ogics licenses and procedures for filing are codified in agency regulations at 21 CFR part 601</w:t>
      </w:r>
      <w:r w:rsidR="00EF3755">
        <w:t xml:space="preserve"> (see related OMB control no. 0910-0338)</w:t>
      </w:r>
      <w:r w:rsidR="00F4489A">
        <w:t>.</w:t>
      </w:r>
    </w:p>
    <w:p w:rsidR="004651DB" w:rsidP="00A850BD" w:rsidRDefault="00A0302E" w14:paraId="43CEE0C5" w14:textId="7C729C95">
      <w:pPr>
        <w:pStyle w:val="Default"/>
        <w:spacing w:after="240"/>
      </w:pPr>
      <w:r w:rsidRPr="00A0302E">
        <w:t>The Biosimilar User Fee Act of 2012 (BsUFA I)</w:t>
      </w:r>
      <w:r w:rsidR="0048004E">
        <w:t>, as re</w:t>
      </w:r>
      <w:r w:rsidR="00760872">
        <w:t xml:space="preserve">authorized </w:t>
      </w:r>
      <w:r w:rsidR="00FE66D2">
        <w:t xml:space="preserve">under the </w:t>
      </w:r>
      <w:r w:rsidRPr="00A0302E">
        <w:t>FDA Reauthorization Act of 2017 (BsUFA II),</w:t>
      </w:r>
      <w:r w:rsidR="00A47B87">
        <w:t xml:space="preserve"> </w:t>
      </w:r>
      <w:r w:rsidR="00D466A5">
        <w:t>permits FDA to establish fees for biologic</w:t>
      </w:r>
      <w:r w:rsidR="00421DC8">
        <w:t xml:space="preserve"> license applications</w:t>
      </w:r>
      <w:r w:rsidR="00A85789">
        <w:t xml:space="preserve"> submitted in accordance with </w:t>
      </w:r>
      <w:r w:rsidR="00FE4EBC">
        <w:t>section 351(k)</w:t>
      </w:r>
      <w:r w:rsidR="00421DC8">
        <w:t xml:space="preserve">.  </w:t>
      </w:r>
      <w:r w:rsidR="009361DE">
        <w:t>Information collection pertaining to the establishment, submission, red</w:t>
      </w:r>
      <w:r w:rsidR="00995A95">
        <w:t xml:space="preserve">uction, and waiver of fees </w:t>
      </w:r>
      <w:r w:rsidR="008A7433">
        <w:t xml:space="preserve">associated with our BsUFA program </w:t>
      </w:r>
      <w:r w:rsidR="00995A95">
        <w:t>is approved under OMB</w:t>
      </w:r>
      <w:r w:rsidR="00B6066E">
        <w:t xml:space="preserve"> control no.</w:t>
      </w:r>
      <w:r w:rsidR="00995A95">
        <w:t xml:space="preserve"> 0910-0718</w:t>
      </w:r>
      <w:r w:rsidR="00D12CAE">
        <w:t>.</w:t>
      </w:r>
      <w:r w:rsidR="00D848E0">
        <w:t xml:space="preserve">  </w:t>
      </w:r>
      <w:r w:rsidR="00E84BCE">
        <w:t xml:space="preserve">This collection of information sets forth procedural information and accounts for burden associated with the submission of license applications </w:t>
      </w:r>
      <w:r w:rsidR="00C77C71">
        <w:t xml:space="preserve">themselves, along with </w:t>
      </w:r>
      <w:r w:rsidR="00E84BCE">
        <w:t>associated recordkeeping and disclosure</w:t>
      </w:r>
      <w:r w:rsidR="00A34CCD">
        <w:t xml:space="preserve"> burdens</w:t>
      </w:r>
      <w:r w:rsidR="00B916AA">
        <w:t xml:space="preserve"> resulting from </w:t>
      </w:r>
      <w:r w:rsidR="00FE4EBC">
        <w:t xml:space="preserve">applicable </w:t>
      </w:r>
      <w:r w:rsidR="006150E2">
        <w:t xml:space="preserve">statutory </w:t>
      </w:r>
      <w:r w:rsidR="00D54E8C">
        <w:t xml:space="preserve">and </w:t>
      </w:r>
      <w:r w:rsidR="00B916AA">
        <w:t>regulatory requirements</w:t>
      </w:r>
      <w:r w:rsidR="00A34CCD">
        <w:t>.</w:t>
      </w:r>
      <w:r w:rsidR="00E445F8">
        <w:t xml:space="preserve">  </w:t>
      </w:r>
    </w:p>
    <w:p w:rsidRPr="00D402E7" w:rsidR="004651DB" w:rsidP="00A850BD" w:rsidRDefault="004651DB" w14:paraId="5D4D5035" w14:textId="35FC3B92">
      <w:pPr>
        <w:pStyle w:val="Default"/>
        <w:spacing w:after="240"/>
        <w:rPr>
          <w:u w:val="single"/>
        </w:rPr>
      </w:pPr>
      <w:r w:rsidRPr="00D402E7">
        <w:rPr>
          <w:u w:val="single"/>
        </w:rPr>
        <w:t>II.  Proposed Change</w:t>
      </w:r>
      <w:r w:rsidR="007E001E">
        <w:rPr>
          <w:u w:val="single"/>
        </w:rPr>
        <w:t>s</w:t>
      </w:r>
    </w:p>
    <w:p w:rsidR="00E116DD" w:rsidP="001C4677" w:rsidRDefault="00AC1B77" w14:paraId="425F643C" w14:textId="77777777">
      <w:pPr>
        <w:pStyle w:val="Default"/>
        <w:spacing w:after="240"/>
      </w:pPr>
      <w:r w:rsidRPr="00AC1B77">
        <w:t xml:space="preserve">The BsUFA </w:t>
      </w:r>
      <w:r w:rsidR="00FF403C">
        <w:t xml:space="preserve">requirements discussed above </w:t>
      </w:r>
      <w:r w:rsidRPr="00AC1B77">
        <w:t>are augmented by what is commonly referred to as a “</w:t>
      </w:r>
      <w:r w:rsidRPr="00AC1B77">
        <w:rPr>
          <w:i/>
        </w:rPr>
        <w:t>goals letter</w:t>
      </w:r>
      <w:r w:rsidRPr="00AC1B77">
        <w:t>” or “</w:t>
      </w:r>
      <w:r w:rsidRPr="00AC1B77">
        <w:rPr>
          <w:i/>
        </w:rPr>
        <w:t>commitment letter</w:t>
      </w:r>
      <w:r w:rsidRPr="00AC1B77">
        <w:t>,” which represents the product of FDA discussions with regulated industry and public stakeholders, as mandated by Congress.</w:t>
      </w:r>
      <w:r>
        <w:t xml:space="preserve">  </w:t>
      </w:r>
      <w:r w:rsidR="004651DB">
        <w:t xml:space="preserve">We are requesting a non-substantive change to the information </w:t>
      </w:r>
      <w:r w:rsidR="00642254">
        <w:t xml:space="preserve">collection </w:t>
      </w:r>
      <w:r w:rsidR="004651DB">
        <w:t>to incorporate</w:t>
      </w:r>
      <w:r w:rsidR="00431F52">
        <w:t xml:space="preserve"> the </w:t>
      </w:r>
      <w:r w:rsidR="00D60AE9">
        <w:t xml:space="preserve">the document entitled </w:t>
      </w:r>
      <w:r w:rsidRPr="00A0302E" w:rsidR="00FE0FE0">
        <w:t>“</w:t>
      </w:r>
      <w:r w:rsidRPr="00D60AE9" w:rsidR="00FE0FE0">
        <w:rPr>
          <w:i/>
        </w:rPr>
        <w:t>BsUFA Reauthorization Performance Goals and Procedures Fiscal Years 2018 Through 2022</w:t>
      </w:r>
      <w:r w:rsidRPr="00A0302E" w:rsidR="00FE0FE0">
        <w:t xml:space="preserve">” </w:t>
      </w:r>
      <w:r w:rsidR="005416DD">
        <w:t xml:space="preserve">(BsUFA II letter) </w:t>
      </w:r>
      <w:r w:rsidRPr="00A0302E" w:rsidR="00FE0FE0">
        <w:t xml:space="preserve">available on </w:t>
      </w:r>
      <w:r w:rsidR="00D60AE9">
        <w:t xml:space="preserve">our </w:t>
      </w:r>
      <w:r w:rsidRPr="00A0302E" w:rsidR="00FE0FE0">
        <w:t xml:space="preserve">website at </w:t>
      </w:r>
      <w:hyperlink w:history="1" r:id="rId8">
        <w:r w:rsidRPr="00115A50" w:rsidR="00FE0FE0">
          <w:rPr>
            <w:rStyle w:val="Hyperlink"/>
          </w:rPr>
          <w:t>https://www.fda.gov/downloads/ForIndustry/UserFees/BiosimilarUserFeeActBsUFA/UCM521121.pdf</w:t>
        </w:r>
      </w:hyperlink>
      <w:r w:rsidRPr="00A0302E" w:rsidR="00FE0FE0">
        <w:t>.</w:t>
      </w:r>
      <w:r w:rsidR="00D60AE9">
        <w:t xml:space="preserve">  </w:t>
      </w:r>
      <w:r w:rsidR="00616A7C">
        <w:t xml:space="preserve">The performance and procedural goals specified in </w:t>
      </w:r>
      <w:r w:rsidR="00642254">
        <w:t xml:space="preserve">the </w:t>
      </w:r>
      <w:r w:rsidR="00616A7C">
        <w:t>letter</w:t>
      </w:r>
      <w:r w:rsidR="0024056E">
        <w:t xml:space="preserve"> </w:t>
      </w:r>
      <w:r w:rsidR="00616A7C">
        <w:t>apply to aspects of the biosimilar biological product review program that are important for</w:t>
      </w:r>
      <w:r w:rsidR="0024056E">
        <w:t xml:space="preserve"> </w:t>
      </w:r>
      <w:r w:rsidR="00616A7C">
        <w:t>facilitating timely access to safe and effective biosimilar medicines for patients.</w:t>
      </w:r>
      <w:r w:rsidR="00C44EBD">
        <w:t xml:space="preserve">  </w:t>
      </w:r>
      <w:r w:rsidR="000E51DE">
        <w:t xml:space="preserve">Among those considerations is </w:t>
      </w:r>
      <w:r w:rsidR="00961D37">
        <w:t xml:space="preserve">providing </w:t>
      </w:r>
      <w:r w:rsidR="0032644A">
        <w:t xml:space="preserve">feedback </w:t>
      </w:r>
      <w:r w:rsidR="00961D37">
        <w:t xml:space="preserve">to requests from regulated industry.  </w:t>
      </w:r>
      <w:r w:rsidRPr="0032644A" w:rsidR="0032644A">
        <w:t>Each year, FDA review staff participate in many meetings with requesters who seek advice relating to the development and review of a biosimilar or interchangeable product.</w:t>
      </w:r>
      <w:r w:rsidR="005A3053">
        <w:t xml:space="preserve">  </w:t>
      </w:r>
      <w:r w:rsidRPr="0032644A" w:rsidR="0032644A">
        <w:t>Because these meetings often represent critical points in the regulatory and development process, it is important that there are</w:t>
      </w:r>
      <w:r w:rsidR="006F411A">
        <w:t xml:space="preserve"> clear</w:t>
      </w:r>
      <w:r w:rsidRPr="0032644A" w:rsidR="0032644A">
        <w:t xml:space="preserve"> procedures for the timely and effective conduct of such meetings.</w:t>
      </w:r>
    </w:p>
    <w:p w:rsidR="000B361B" w:rsidP="001C4677" w:rsidRDefault="00366105" w14:paraId="66408D05" w14:textId="7FF1A910">
      <w:pPr>
        <w:pStyle w:val="Default"/>
        <w:spacing w:after="240"/>
      </w:pPr>
      <w:r>
        <w:lastRenderedPageBreak/>
        <w:t xml:space="preserve">Consistent with </w:t>
      </w:r>
      <w:r w:rsidRPr="0018746F" w:rsidR="00534F1D">
        <w:rPr>
          <w:i/>
          <w:u w:val="single"/>
        </w:rPr>
        <w:t>Section I</w:t>
      </w:r>
      <w:r w:rsidRPr="0018746F" w:rsidR="0018746F">
        <w:rPr>
          <w:i/>
          <w:u w:val="single"/>
        </w:rPr>
        <w:t>; P</w:t>
      </w:r>
      <w:r w:rsidRPr="0018746F" w:rsidR="00534F1D">
        <w:rPr>
          <w:i/>
          <w:u w:val="single"/>
        </w:rPr>
        <w:t>art 6</w:t>
      </w:r>
      <w:r w:rsidR="00534F1D">
        <w:t xml:space="preserve"> </w:t>
      </w:r>
      <w:r w:rsidR="00562077">
        <w:t xml:space="preserve">of the BsUFA II letter </w:t>
      </w:r>
      <w:r w:rsidR="00EB31B9">
        <w:t>(see p. 25 of 33)</w:t>
      </w:r>
      <w:r w:rsidR="00C44EBD">
        <w:t xml:space="preserve"> therefore</w:t>
      </w:r>
      <w:r w:rsidR="00562077">
        <w:t xml:space="preserve">, </w:t>
      </w:r>
      <w:r w:rsidR="000D6067">
        <w:t xml:space="preserve">and </w:t>
      </w:r>
      <w:r w:rsidR="0018746F">
        <w:t xml:space="preserve">together with </w:t>
      </w:r>
      <w:r w:rsidR="00562077">
        <w:t xml:space="preserve">adherence to </w:t>
      </w:r>
      <w:r>
        <w:t xml:space="preserve">agency Good Guidance practice regulations </w:t>
      </w:r>
      <w:r w:rsidR="00A2572B">
        <w:t>in 21 CFR 10.115</w:t>
      </w:r>
      <w:r w:rsidR="007A0198">
        <w:t>,</w:t>
      </w:r>
      <w:r w:rsidR="00A2572B">
        <w:t xml:space="preserve"> </w:t>
      </w:r>
      <w:r w:rsidR="005A3053">
        <w:t xml:space="preserve">we </w:t>
      </w:r>
      <w:r w:rsidR="00562077">
        <w:t xml:space="preserve">issued draft guidance articulating </w:t>
      </w:r>
      <w:r w:rsidR="00AF68A5">
        <w:t>current meeting management goals</w:t>
      </w:r>
      <w:r w:rsidR="000045F0">
        <w:t xml:space="preserve">.  The guidance provides </w:t>
      </w:r>
      <w:r w:rsidR="00A73552">
        <w:t xml:space="preserve">specific instruction and </w:t>
      </w:r>
      <w:r w:rsidR="0052208A">
        <w:t>recommendations regarding the submission of meeting requests and</w:t>
      </w:r>
      <w:r w:rsidR="00180E5D">
        <w:t xml:space="preserve"> </w:t>
      </w:r>
      <w:r w:rsidR="001F1D43">
        <w:t xml:space="preserve">preparing </w:t>
      </w:r>
      <w:r w:rsidR="00180E5D">
        <w:t>supporting material</w:t>
      </w:r>
      <w:r w:rsidR="00AF68A5">
        <w:t xml:space="preserve">.  </w:t>
      </w:r>
      <w:r w:rsidR="000D6067">
        <w:t xml:space="preserve">In the </w:t>
      </w:r>
      <w:r w:rsidRPr="00BC1E16" w:rsidR="000D6067">
        <w:rPr>
          <w:u w:val="single"/>
        </w:rPr>
        <w:t>Federal Register</w:t>
      </w:r>
      <w:r w:rsidR="000D6067">
        <w:t xml:space="preserve"> of November 22, 2019 (84 FR </w:t>
      </w:r>
      <w:r w:rsidR="00467BF7">
        <w:t xml:space="preserve">64529) we </w:t>
      </w:r>
      <w:r w:rsidR="00156B39">
        <w:t xml:space="preserve">announced the draft guidance and included an analysis under the PRA </w:t>
      </w:r>
      <w:r w:rsidR="00DB5F9A">
        <w:t xml:space="preserve">attributing </w:t>
      </w:r>
      <w:r w:rsidR="00F90B98">
        <w:t xml:space="preserve">159 annual responses and </w:t>
      </w:r>
      <w:r w:rsidR="0070372E">
        <w:t xml:space="preserve">3,405 annual hours </w:t>
      </w:r>
      <w:r w:rsidR="00180E5D">
        <w:t xml:space="preserve">to </w:t>
      </w:r>
      <w:r w:rsidR="001F1D43">
        <w:t xml:space="preserve">the attendant information collection activity.  </w:t>
      </w:r>
      <w:r w:rsidR="00B926BC">
        <w:t xml:space="preserve">The guidance is available from our website at:  </w:t>
      </w:r>
    </w:p>
    <w:p w:rsidR="000B361B" w:rsidP="001C4677" w:rsidRDefault="00541B23" w14:paraId="1946552D" w14:textId="7EF9B28D">
      <w:pPr>
        <w:pStyle w:val="Default"/>
        <w:spacing w:after="240"/>
      </w:pPr>
      <w:hyperlink w:history="1" r:id="rId9">
        <w:r w:rsidRPr="00541B23">
          <w:rPr>
            <w:rStyle w:val="Hyperlink"/>
          </w:rPr>
          <w:t>Formal Meetings Between the FDA and Sponsors or Applicants of BsUFA Products Guidance for Industry | FDA</w:t>
        </w:r>
      </w:hyperlink>
    </w:p>
    <w:p w:rsidR="00404A55" w:rsidP="001C4677" w:rsidRDefault="00920A53" w14:paraId="444C2506" w14:textId="749EE738">
      <w:pPr>
        <w:pStyle w:val="Default"/>
        <w:spacing w:after="240"/>
      </w:pPr>
      <w:r>
        <w:t>While w</w:t>
      </w:r>
      <w:r w:rsidR="00E45F4D">
        <w:t>e intend to finalize the guidance</w:t>
      </w:r>
      <w:r>
        <w:t xml:space="preserve">, </w:t>
      </w:r>
      <w:r w:rsidR="007108DB">
        <w:t xml:space="preserve">we believe that burden associated with the submission of meeting requests and </w:t>
      </w:r>
      <w:r w:rsidR="00AE76EC">
        <w:t>supporting</w:t>
      </w:r>
      <w:r w:rsidR="007108DB">
        <w:t xml:space="preserve"> material </w:t>
      </w:r>
      <w:r w:rsidR="004E2F6D">
        <w:t xml:space="preserve">is </w:t>
      </w:r>
      <w:r w:rsidR="001D02A2">
        <w:t xml:space="preserve">ultimately </w:t>
      </w:r>
      <w:r w:rsidR="004E2F6D">
        <w:t xml:space="preserve">triggered by the </w:t>
      </w:r>
      <w:r w:rsidR="00E45F4D">
        <w:t>BsUFA II</w:t>
      </w:r>
      <w:r w:rsidR="00EB6F99">
        <w:t xml:space="preserve"> letter</w:t>
      </w:r>
      <w:r w:rsidR="004E2F6D">
        <w:t xml:space="preserve">.  At the same time, </w:t>
      </w:r>
      <w:r w:rsidR="00AE326D">
        <w:t xml:space="preserve">because the guidance </w:t>
      </w:r>
      <w:r w:rsidR="00B501F9">
        <w:t xml:space="preserve">provides </w:t>
      </w:r>
      <w:r w:rsidR="0046208E">
        <w:t xml:space="preserve">procedural </w:t>
      </w:r>
      <w:r w:rsidR="00AD00CE">
        <w:t>instruction helpful to respondents</w:t>
      </w:r>
      <w:r w:rsidR="0067293F">
        <w:t xml:space="preserve"> </w:t>
      </w:r>
      <w:r w:rsidR="00B66E10">
        <w:t xml:space="preserve">and helps us reach what we believe is a </w:t>
      </w:r>
      <w:r w:rsidR="00E0067C">
        <w:t xml:space="preserve">more accurate burden estimate, we are requesting to </w:t>
      </w:r>
      <w:r w:rsidR="00B66E10">
        <w:t>include reference to the guidance document as well.  We have added</w:t>
      </w:r>
      <w:r w:rsidR="007D2702">
        <w:t xml:space="preserve"> the 159 annual responses and 3,406 annual hours </w:t>
      </w:r>
      <w:r w:rsidR="00486B9C">
        <w:t xml:space="preserve">proffered in our </w:t>
      </w:r>
      <w:r w:rsidR="00AE76EC">
        <w:t xml:space="preserve">guidance notice </w:t>
      </w:r>
      <w:r w:rsidR="000B361B">
        <w:t>as a distinct IC element</w:t>
      </w:r>
      <w:r w:rsidR="005C479C">
        <w:t xml:space="preserve"> to this information collection.</w:t>
      </w:r>
      <w:bookmarkStart w:name="_GoBack" w:id="0"/>
      <w:bookmarkEnd w:id="0"/>
    </w:p>
    <w:p w:rsidRPr="001A548B" w:rsidR="001A548B" w:rsidP="001C4677" w:rsidRDefault="001A548B" w14:paraId="5B05F4B9" w14:textId="22228159">
      <w:pPr>
        <w:pStyle w:val="Default"/>
        <w:spacing w:after="240"/>
        <w:rPr>
          <w:b/>
        </w:rPr>
      </w:pPr>
      <w:r w:rsidRPr="001A548B">
        <w:rPr>
          <w:b/>
        </w:rPr>
        <w:t>Submitted:  January 2021</w:t>
      </w:r>
    </w:p>
    <w:sectPr w:rsidRPr="001A548B" w:rsidR="001A548B" w:rsidSect="00440ED8">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6E45E" w14:textId="77777777" w:rsidR="007A261F" w:rsidRDefault="007A261F" w:rsidP="00305CDE">
      <w:pPr>
        <w:spacing w:after="0" w:line="240" w:lineRule="auto"/>
      </w:pPr>
      <w:r>
        <w:separator/>
      </w:r>
    </w:p>
  </w:endnote>
  <w:endnote w:type="continuationSeparator" w:id="0">
    <w:p w14:paraId="4A46D0F6" w14:textId="77777777" w:rsidR="007A261F" w:rsidRDefault="007A261F" w:rsidP="00305CDE">
      <w:pPr>
        <w:spacing w:after="0" w:line="240" w:lineRule="auto"/>
      </w:pPr>
      <w:r>
        <w:continuationSeparator/>
      </w:r>
    </w:p>
  </w:endnote>
  <w:endnote w:type="continuationNotice" w:id="1">
    <w:p w14:paraId="242A4871" w14:textId="77777777" w:rsidR="007A261F" w:rsidRDefault="007A26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738455"/>
      <w:docPartObj>
        <w:docPartGallery w:val="Page Numbers (Bottom of Page)"/>
        <w:docPartUnique/>
      </w:docPartObj>
    </w:sdtPr>
    <w:sdtEndPr>
      <w:rPr>
        <w:noProof/>
      </w:rPr>
    </w:sdtEndPr>
    <w:sdtContent>
      <w:p w14:paraId="389DFF2F" w14:textId="77777777" w:rsidR="00305CDE" w:rsidRDefault="00305C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53757C" w14:textId="77777777" w:rsidR="00305CDE" w:rsidRDefault="00305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B6978" w14:textId="77777777" w:rsidR="007A261F" w:rsidRDefault="007A261F" w:rsidP="00305CDE">
      <w:pPr>
        <w:spacing w:after="0" w:line="240" w:lineRule="auto"/>
      </w:pPr>
      <w:r>
        <w:separator/>
      </w:r>
    </w:p>
  </w:footnote>
  <w:footnote w:type="continuationSeparator" w:id="0">
    <w:p w14:paraId="06C9BE21" w14:textId="77777777" w:rsidR="007A261F" w:rsidRDefault="007A261F" w:rsidP="00305CDE">
      <w:pPr>
        <w:spacing w:after="0" w:line="240" w:lineRule="auto"/>
      </w:pPr>
      <w:r>
        <w:continuationSeparator/>
      </w:r>
    </w:p>
  </w:footnote>
  <w:footnote w:type="continuationNotice" w:id="1">
    <w:p w14:paraId="1472DFC5" w14:textId="77777777" w:rsidR="007A261F" w:rsidRDefault="007A26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23F17"/>
    <w:multiLevelType w:val="hybridMultilevel"/>
    <w:tmpl w:val="2DAA3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905"/>
    <w:multiLevelType w:val="multilevel"/>
    <w:tmpl w:val="FA44CE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FD3035"/>
    <w:multiLevelType w:val="hybridMultilevel"/>
    <w:tmpl w:val="1C788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A8F"/>
    <w:rsid w:val="00003A3A"/>
    <w:rsid w:val="000045F0"/>
    <w:rsid w:val="00005EEB"/>
    <w:rsid w:val="0001153B"/>
    <w:rsid w:val="000348E6"/>
    <w:rsid w:val="00050607"/>
    <w:rsid w:val="000548AB"/>
    <w:rsid w:val="00067810"/>
    <w:rsid w:val="00075670"/>
    <w:rsid w:val="00075E6E"/>
    <w:rsid w:val="00097DF8"/>
    <w:rsid w:val="000A68E9"/>
    <w:rsid w:val="000B2871"/>
    <w:rsid w:val="000B361B"/>
    <w:rsid w:val="000B58B6"/>
    <w:rsid w:val="000B5EBA"/>
    <w:rsid w:val="000C768D"/>
    <w:rsid w:val="000D6067"/>
    <w:rsid w:val="000E4D84"/>
    <w:rsid w:val="000E51DE"/>
    <w:rsid w:val="00103938"/>
    <w:rsid w:val="00103F22"/>
    <w:rsid w:val="00107282"/>
    <w:rsid w:val="00112C32"/>
    <w:rsid w:val="00112C93"/>
    <w:rsid w:val="0011677E"/>
    <w:rsid w:val="00127A65"/>
    <w:rsid w:val="0013636E"/>
    <w:rsid w:val="00137492"/>
    <w:rsid w:val="001418C8"/>
    <w:rsid w:val="00156B39"/>
    <w:rsid w:val="00157F05"/>
    <w:rsid w:val="00162789"/>
    <w:rsid w:val="0016584B"/>
    <w:rsid w:val="00180C3D"/>
    <w:rsid w:val="00180E5D"/>
    <w:rsid w:val="0018746F"/>
    <w:rsid w:val="00190DE3"/>
    <w:rsid w:val="00191AE1"/>
    <w:rsid w:val="00193558"/>
    <w:rsid w:val="00194A50"/>
    <w:rsid w:val="001A1CBD"/>
    <w:rsid w:val="001A35F9"/>
    <w:rsid w:val="001A548B"/>
    <w:rsid w:val="001B0E80"/>
    <w:rsid w:val="001B3EA6"/>
    <w:rsid w:val="001B41CE"/>
    <w:rsid w:val="001B7076"/>
    <w:rsid w:val="001C0FDD"/>
    <w:rsid w:val="001C2043"/>
    <w:rsid w:val="001C2AD5"/>
    <w:rsid w:val="001C3A26"/>
    <w:rsid w:val="001C4677"/>
    <w:rsid w:val="001D02A2"/>
    <w:rsid w:val="001D3B89"/>
    <w:rsid w:val="001F0D17"/>
    <w:rsid w:val="001F1D43"/>
    <w:rsid w:val="00213551"/>
    <w:rsid w:val="00214352"/>
    <w:rsid w:val="00217903"/>
    <w:rsid w:val="00230255"/>
    <w:rsid w:val="00235DF5"/>
    <w:rsid w:val="0024056E"/>
    <w:rsid w:val="002830C9"/>
    <w:rsid w:val="002861B9"/>
    <w:rsid w:val="002A2E47"/>
    <w:rsid w:val="002B0F1F"/>
    <w:rsid w:val="002D32BD"/>
    <w:rsid w:val="002E1C4D"/>
    <w:rsid w:val="002E2960"/>
    <w:rsid w:val="002E557C"/>
    <w:rsid w:val="002F6D4D"/>
    <w:rsid w:val="00303996"/>
    <w:rsid w:val="00305CDE"/>
    <w:rsid w:val="0032644A"/>
    <w:rsid w:val="00327325"/>
    <w:rsid w:val="00366105"/>
    <w:rsid w:val="0037785A"/>
    <w:rsid w:val="00383720"/>
    <w:rsid w:val="00394EA4"/>
    <w:rsid w:val="003A15C3"/>
    <w:rsid w:val="003A47E9"/>
    <w:rsid w:val="003A55D0"/>
    <w:rsid w:val="003A7894"/>
    <w:rsid w:val="003B6AFB"/>
    <w:rsid w:val="003C4FA1"/>
    <w:rsid w:val="003D2EFF"/>
    <w:rsid w:val="003E0BF8"/>
    <w:rsid w:val="003E22FC"/>
    <w:rsid w:val="003E559C"/>
    <w:rsid w:val="003E7F05"/>
    <w:rsid w:val="00404A55"/>
    <w:rsid w:val="004100D9"/>
    <w:rsid w:val="0041151D"/>
    <w:rsid w:val="004158AC"/>
    <w:rsid w:val="00421DC8"/>
    <w:rsid w:val="0042268B"/>
    <w:rsid w:val="00430758"/>
    <w:rsid w:val="00431F52"/>
    <w:rsid w:val="00440ED8"/>
    <w:rsid w:val="00443CF5"/>
    <w:rsid w:val="00451A58"/>
    <w:rsid w:val="00457AC9"/>
    <w:rsid w:val="0046208E"/>
    <w:rsid w:val="004651DB"/>
    <w:rsid w:val="00466A8E"/>
    <w:rsid w:val="00467BF7"/>
    <w:rsid w:val="0048004E"/>
    <w:rsid w:val="00482080"/>
    <w:rsid w:val="00482EA8"/>
    <w:rsid w:val="00486851"/>
    <w:rsid w:val="00486B9C"/>
    <w:rsid w:val="00491529"/>
    <w:rsid w:val="00496FAA"/>
    <w:rsid w:val="004B39A1"/>
    <w:rsid w:val="004D1B02"/>
    <w:rsid w:val="004E2F6D"/>
    <w:rsid w:val="004F37E2"/>
    <w:rsid w:val="004F5DE8"/>
    <w:rsid w:val="00503D6B"/>
    <w:rsid w:val="005054EC"/>
    <w:rsid w:val="005105D0"/>
    <w:rsid w:val="00514C2E"/>
    <w:rsid w:val="00520F4E"/>
    <w:rsid w:val="00521C92"/>
    <w:rsid w:val="0052208A"/>
    <w:rsid w:val="00534F1D"/>
    <w:rsid w:val="0053718C"/>
    <w:rsid w:val="005416DD"/>
    <w:rsid w:val="00541B23"/>
    <w:rsid w:val="005445BC"/>
    <w:rsid w:val="005450C3"/>
    <w:rsid w:val="00562077"/>
    <w:rsid w:val="0056320D"/>
    <w:rsid w:val="00573763"/>
    <w:rsid w:val="005957B6"/>
    <w:rsid w:val="005A1401"/>
    <w:rsid w:val="005A3053"/>
    <w:rsid w:val="005A7B35"/>
    <w:rsid w:val="005B3115"/>
    <w:rsid w:val="005C479C"/>
    <w:rsid w:val="005E294C"/>
    <w:rsid w:val="005F47D8"/>
    <w:rsid w:val="005F4D3A"/>
    <w:rsid w:val="00602FA3"/>
    <w:rsid w:val="006102CA"/>
    <w:rsid w:val="00610C75"/>
    <w:rsid w:val="00612DE0"/>
    <w:rsid w:val="006150E2"/>
    <w:rsid w:val="00616A7C"/>
    <w:rsid w:val="0061732B"/>
    <w:rsid w:val="006174F4"/>
    <w:rsid w:val="00626D97"/>
    <w:rsid w:val="00635EA8"/>
    <w:rsid w:val="00642254"/>
    <w:rsid w:val="006428BC"/>
    <w:rsid w:val="0064792D"/>
    <w:rsid w:val="00655133"/>
    <w:rsid w:val="0066323F"/>
    <w:rsid w:val="00664EFE"/>
    <w:rsid w:val="0067293F"/>
    <w:rsid w:val="00686EC9"/>
    <w:rsid w:val="00693D78"/>
    <w:rsid w:val="0069499C"/>
    <w:rsid w:val="006B3AA3"/>
    <w:rsid w:val="006D0501"/>
    <w:rsid w:val="006E2AED"/>
    <w:rsid w:val="006F411A"/>
    <w:rsid w:val="006F52F3"/>
    <w:rsid w:val="006F70E5"/>
    <w:rsid w:val="00700EE1"/>
    <w:rsid w:val="0070372E"/>
    <w:rsid w:val="00705E5F"/>
    <w:rsid w:val="007108DB"/>
    <w:rsid w:val="00715D10"/>
    <w:rsid w:val="00736DDE"/>
    <w:rsid w:val="00743F15"/>
    <w:rsid w:val="00751247"/>
    <w:rsid w:val="00752E9B"/>
    <w:rsid w:val="0075563F"/>
    <w:rsid w:val="00760872"/>
    <w:rsid w:val="007622C5"/>
    <w:rsid w:val="00764ABA"/>
    <w:rsid w:val="00767CDA"/>
    <w:rsid w:val="00771A94"/>
    <w:rsid w:val="00787B55"/>
    <w:rsid w:val="00793213"/>
    <w:rsid w:val="00795FA4"/>
    <w:rsid w:val="007A0198"/>
    <w:rsid w:val="007A261F"/>
    <w:rsid w:val="007A75EE"/>
    <w:rsid w:val="007B6329"/>
    <w:rsid w:val="007B637B"/>
    <w:rsid w:val="007C01F4"/>
    <w:rsid w:val="007C22AD"/>
    <w:rsid w:val="007D2702"/>
    <w:rsid w:val="007D513F"/>
    <w:rsid w:val="007E001E"/>
    <w:rsid w:val="007E4B05"/>
    <w:rsid w:val="007E508C"/>
    <w:rsid w:val="007F1EC0"/>
    <w:rsid w:val="00805361"/>
    <w:rsid w:val="008215B7"/>
    <w:rsid w:val="00821696"/>
    <w:rsid w:val="0082757B"/>
    <w:rsid w:val="008457B1"/>
    <w:rsid w:val="0084656F"/>
    <w:rsid w:val="00852481"/>
    <w:rsid w:val="0087055F"/>
    <w:rsid w:val="00872C79"/>
    <w:rsid w:val="008901AC"/>
    <w:rsid w:val="008A7433"/>
    <w:rsid w:val="008C1B3E"/>
    <w:rsid w:val="008C2954"/>
    <w:rsid w:val="008C7056"/>
    <w:rsid w:val="008D6697"/>
    <w:rsid w:val="008E2865"/>
    <w:rsid w:val="008F54BF"/>
    <w:rsid w:val="009066A0"/>
    <w:rsid w:val="00914A06"/>
    <w:rsid w:val="00917C53"/>
    <w:rsid w:val="00920A53"/>
    <w:rsid w:val="009228E3"/>
    <w:rsid w:val="00926AE1"/>
    <w:rsid w:val="00927956"/>
    <w:rsid w:val="00933562"/>
    <w:rsid w:val="009361DE"/>
    <w:rsid w:val="00961D37"/>
    <w:rsid w:val="00975B71"/>
    <w:rsid w:val="00985EA9"/>
    <w:rsid w:val="00986926"/>
    <w:rsid w:val="00995A95"/>
    <w:rsid w:val="009A6FC6"/>
    <w:rsid w:val="009B338F"/>
    <w:rsid w:val="009D0043"/>
    <w:rsid w:val="009D13FB"/>
    <w:rsid w:val="009F46B1"/>
    <w:rsid w:val="00A0302E"/>
    <w:rsid w:val="00A22197"/>
    <w:rsid w:val="00A2572B"/>
    <w:rsid w:val="00A331D6"/>
    <w:rsid w:val="00A34395"/>
    <w:rsid w:val="00A34CCD"/>
    <w:rsid w:val="00A36A8E"/>
    <w:rsid w:val="00A47B87"/>
    <w:rsid w:val="00A56E7A"/>
    <w:rsid w:val="00A62189"/>
    <w:rsid w:val="00A63262"/>
    <w:rsid w:val="00A64D3E"/>
    <w:rsid w:val="00A65502"/>
    <w:rsid w:val="00A71166"/>
    <w:rsid w:val="00A73552"/>
    <w:rsid w:val="00A84750"/>
    <w:rsid w:val="00A850BD"/>
    <w:rsid w:val="00A85789"/>
    <w:rsid w:val="00AA2C5A"/>
    <w:rsid w:val="00AA4118"/>
    <w:rsid w:val="00AC15D6"/>
    <w:rsid w:val="00AC1A6D"/>
    <w:rsid w:val="00AC1B77"/>
    <w:rsid w:val="00AD00CE"/>
    <w:rsid w:val="00AD0A76"/>
    <w:rsid w:val="00AD6E15"/>
    <w:rsid w:val="00AE326D"/>
    <w:rsid w:val="00AE76EC"/>
    <w:rsid w:val="00AF31A1"/>
    <w:rsid w:val="00AF68A5"/>
    <w:rsid w:val="00B02BB8"/>
    <w:rsid w:val="00B1697D"/>
    <w:rsid w:val="00B20904"/>
    <w:rsid w:val="00B22B0A"/>
    <w:rsid w:val="00B26139"/>
    <w:rsid w:val="00B46744"/>
    <w:rsid w:val="00B501F9"/>
    <w:rsid w:val="00B5359C"/>
    <w:rsid w:val="00B55AB0"/>
    <w:rsid w:val="00B6066E"/>
    <w:rsid w:val="00B66E10"/>
    <w:rsid w:val="00B81356"/>
    <w:rsid w:val="00B8183C"/>
    <w:rsid w:val="00B81B34"/>
    <w:rsid w:val="00B916AA"/>
    <w:rsid w:val="00B926BC"/>
    <w:rsid w:val="00B94E68"/>
    <w:rsid w:val="00BB14F2"/>
    <w:rsid w:val="00BB5A0A"/>
    <w:rsid w:val="00BC1E16"/>
    <w:rsid w:val="00BD46ED"/>
    <w:rsid w:val="00BD4E08"/>
    <w:rsid w:val="00BE3880"/>
    <w:rsid w:val="00BE4B60"/>
    <w:rsid w:val="00BE7E4D"/>
    <w:rsid w:val="00C07204"/>
    <w:rsid w:val="00C07726"/>
    <w:rsid w:val="00C13048"/>
    <w:rsid w:val="00C16925"/>
    <w:rsid w:val="00C17EC6"/>
    <w:rsid w:val="00C247A5"/>
    <w:rsid w:val="00C44EBD"/>
    <w:rsid w:val="00C46DB2"/>
    <w:rsid w:val="00C5376A"/>
    <w:rsid w:val="00C60172"/>
    <w:rsid w:val="00C615B5"/>
    <w:rsid w:val="00C62D1A"/>
    <w:rsid w:val="00C634A6"/>
    <w:rsid w:val="00C6465E"/>
    <w:rsid w:val="00C73A88"/>
    <w:rsid w:val="00C769B0"/>
    <w:rsid w:val="00C77C71"/>
    <w:rsid w:val="00C91CCE"/>
    <w:rsid w:val="00C948F9"/>
    <w:rsid w:val="00C96E99"/>
    <w:rsid w:val="00C97139"/>
    <w:rsid w:val="00C972EF"/>
    <w:rsid w:val="00CA3184"/>
    <w:rsid w:val="00CB08C8"/>
    <w:rsid w:val="00CB3545"/>
    <w:rsid w:val="00CC696D"/>
    <w:rsid w:val="00CC73A1"/>
    <w:rsid w:val="00CE0D28"/>
    <w:rsid w:val="00CE2C77"/>
    <w:rsid w:val="00CF63EB"/>
    <w:rsid w:val="00CF65A8"/>
    <w:rsid w:val="00D031DF"/>
    <w:rsid w:val="00D10F0C"/>
    <w:rsid w:val="00D11A8F"/>
    <w:rsid w:val="00D12CAE"/>
    <w:rsid w:val="00D17F0F"/>
    <w:rsid w:val="00D31795"/>
    <w:rsid w:val="00D34DCE"/>
    <w:rsid w:val="00D34E21"/>
    <w:rsid w:val="00D402E7"/>
    <w:rsid w:val="00D444A6"/>
    <w:rsid w:val="00D4552C"/>
    <w:rsid w:val="00D466A5"/>
    <w:rsid w:val="00D518DF"/>
    <w:rsid w:val="00D54E8C"/>
    <w:rsid w:val="00D60AE9"/>
    <w:rsid w:val="00D60F51"/>
    <w:rsid w:val="00D82C6C"/>
    <w:rsid w:val="00D848E0"/>
    <w:rsid w:val="00DA2DD2"/>
    <w:rsid w:val="00DA79BC"/>
    <w:rsid w:val="00DB4CFD"/>
    <w:rsid w:val="00DB5F9A"/>
    <w:rsid w:val="00DC2FB8"/>
    <w:rsid w:val="00DC6DD1"/>
    <w:rsid w:val="00DD79C1"/>
    <w:rsid w:val="00DE51FD"/>
    <w:rsid w:val="00DE7C05"/>
    <w:rsid w:val="00DF40EE"/>
    <w:rsid w:val="00DF5F0F"/>
    <w:rsid w:val="00E0067C"/>
    <w:rsid w:val="00E07F68"/>
    <w:rsid w:val="00E116DD"/>
    <w:rsid w:val="00E11C2E"/>
    <w:rsid w:val="00E163A0"/>
    <w:rsid w:val="00E2180E"/>
    <w:rsid w:val="00E2776D"/>
    <w:rsid w:val="00E31EE3"/>
    <w:rsid w:val="00E41875"/>
    <w:rsid w:val="00E445F8"/>
    <w:rsid w:val="00E44CA7"/>
    <w:rsid w:val="00E45F4D"/>
    <w:rsid w:val="00E60246"/>
    <w:rsid w:val="00E60FF9"/>
    <w:rsid w:val="00E648B8"/>
    <w:rsid w:val="00E83B7D"/>
    <w:rsid w:val="00E84BCE"/>
    <w:rsid w:val="00E97170"/>
    <w:rsid w:val="00EA2273"/>
    <w:rsid w:val="00EB0FF6"/>
    <w:rsid w:val="00EB31B9"/>
    <w:rsid w:val="00EB6F99"/>
    <w:rsid w:val="00EB7EE3"/>
    <w:rsid w:val="00EF113F"/>
    <w:rsid w:val="00EF3755"/>
    <w:rsid w:val="00F01F0D"/>
    <w:rsid w:val="00F16960"/>
    <w:rsid w:val="00F17E1F"/>
    <w:rsid w:val="00F354B3"/>
    <w:rsid w:val="00F4489A"/>
    <w:rsid w:val="00F51AF9"/>
    <w:rsid w:val="00F7590A"/>
    <w:rsid w:val="00F8055A"/>
    <w:rsid w:val="00F90B98"/>
    <w:rsid w:val="00F97FF9"/>
    <w:rsid w:val="00FB5D55"/>
    <w:rsid w:val="00FC62A0"/>
    <w:rsid w:val="00FE0FE0"/>
    <w:rsid w:val="00FE4EBC"/>
    <w:rsid w:val="00FE66D2"/>
    <w:rsid w:val="00FF1D54"/>
    <w:rsid w:val="00FF403C"/>
    <w:rsid w:val="00FF4CC7"/>
    <w:rsid w:val="00FF5136"/>
    <w:rsid w:val="02107939"/>
    <w:rsid w:val="03327EAB"/>
    <w:rsid w:val="035F9C46"/>
    <w:rsid w:val="063678D5"/>
    <w:rsid w:val="063CF8F9"/>
    <w:rsid w:val="07F53645"/>
    <w:rsid w:val="0A6C40F5"/>
    <w:rsid w:val="0AED3C0F"/>
    <w:rsid w:val="0E83739B"/>
    <w:rsid w:val="0EA07051"/>
    <w:rsid w:val="0EE40FAC"/>
    <w:rsid w:val="11839FBB"/>
    <w:rsid w:val="123F8407"/>
    <w:rsid w:val="1290E812"/>
    <w:rsid w:val="12BFC88C"/>
    <w:rsid w:val="13326116"/>
    <w:rsid w:val="13B2F310"/>
    <w:rsid w:val="1418B9F4"/>
    <w:rsid w:val="149F2164"/>
    <w:rsid w:val="1556A58A"/>
    <w:rsid w:val="169B113A"/>
    <w:rsid w:val="17027700"/>
    <w:rsid w:val="17CB6357"/>
    <w:rsid w:val="1B069563"/>
    <w:rsid w:val="1D2E04ED"/>
    <w:rsid w:val="1D9F8250"/>
    <w:rsid w:val="1E20B872"/>
    <w:rsid w:val="20F8D8D1"/>
    <w:rsid w:val="2294A932"/>
    <w:rsid w:val="22CB3BF5"/>
    <w:rsid w:val="23129CFA"/>
    <w:rsid w:val="242530F3"/>
    <w:rsid w:val="27075541"/>
    <w:rsid w:val="2A0382F3"/>
    <w:rsid w:val="2A5E5EE4"/>
    <w:rsid w:val="2B17B0E4"/>
    <w:rsid w:val="2B51BC74"/>
    <w:rsid w:val="2DD456FA"/>
    <w:rsid w:val="2EA68C92"/>
    <w:rsid w:val="303B0F9B"/>
    <w:rsid w:val="310F8D15"/>
    <w:rsid w:val="315F074D"/>
    <w:rsid w:val="32135490"/>
    <w:rsid w:val="34AA24F9"/>
    <w:rsid w:val="353A65E1"/>
    <w:rsid w:val="369DEE43"/>
    <w:rsid w:val="36BC44EF"/>
    <w:rsid w:val="381F52D5"/>
    <w:rsid w:val="3992996C"/>
    <w:rsid w:val="3AF09E38"/>
    <w:rsid w:val="3AF111D4"/>
    <w:rsid w:val="3B62131B"/>
    <w:rsid w:val="41D6C974"/>
    <w:rsid w:val="41F99E3A"/>
    <w:rsid w:val="4269938D"/>
    <w:rsid w:val="435B8E69"/>
    <w:rsid w:val="44F607F6"/>
    <w:rsid w:val="45EF5DEB"/>
    <w:rsid w:val="460E1D3B"/>
    <w:rsid w:val="4877E44F"/>
    <w:rsid w:val="48AAA1A4"/>
    <w:rsid w:val="4A0E8D8E"/>
    <w:rsid w:val="4A6AE7C2"/>
    <w:rsid w:val="4ACA621E"/>
    <w:rsid w:val="4CD44F56"/>
    <w:rsid w:val="4E046D3D"/>
    <w:rsid w:val="5073F8DC"/>
    <w:rsid w:val="512F0BDF"/>
    <w:rsid w:val="518FF418"/>
    <w:rsid w:val="527BE5F4"/>
    <w:rsid w:val="530F1F74"/>
    <w:rsid w:val="53270DB4"/>
    <w:rsid w:val="55890CED"/>
    <w:rsid w:val="59B67BFC"/>
    <w:rsid w:val="5A00772D"/>
    <w:rsid w:val="5B822B0E"/>
    <w:rsid w:val="5BC758D5"/>
    <w:rsid w:val="5DDDA508"/>
    <w:rsid w:val="5E19E572"/>
    <w:rsid w:val="5F13492A"/>
    <w:rsid w:val="604DA24B"/>
    <w:rsid w:val="622DFBBE"/>
    <w:rsid w:val="628E4A5B"/>
    <w:rsid w:val="62B1D524"/>
    <w:rsid w:val="639F6D12"/>
    <w:rsid w:val="65E119E0"/>
    <w:rsid w:val="66C2FE60"/>
    <w:rsid w:val="66C33E1E"/>
    <w:rsid w:val="6810326E"/>
    <w:rsid w:val="6934DE49"/>
    <w:rsid w:val="69D351FF"/>
    <w:rsid w:val="6C624950"/>
    <w:rsid w:val="6CD75677"/>
    <w:rsid w:val="6DB69F44"/>
    <w:rsid w:val="6F00831C"/>
    <w:rsid w:val="713C4CDA"/>
    <w:rsid w:val="71CE1098"/>
    <w:rsid w:val="7372D189"/>
    <w:rsid w:val="74C43AE3"/>
    <w:rsid w:val="75DC2083"/>
    <w:rsid w:val="76362853"/>
    <w:rsid w:val="763FE5EB"/>
    <w:rsid w:val="76874C12"/>
    <w:rsid w:val="76C58038"/>
    <w:rsid w:val="77827233"/>
    <w:rsid w:val="795737F4"/>
    <w:rsid w:val="7B540AFB"/>
    <w:rsid w:val="7C162AB2"/>
    <w:rsid w:val="7CFE3734"/>
    <w:rsid w:val="7D7062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EDF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A8F"/>
    <w:pPr>
      <w:spacing w:after="200" w:line="276" w:lineRule="auto"/>
    </w:pPr>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1A8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700EE1"/>
    <w:rPr>
      <w:color w:val="0563C1" w:themeColor="hyperlink"/>
      <w:u w:val="single"/>
    </w:rPr>
  </w:style>
  <w:style w:type="character" w:styleId="UnresolvedMention">
    <w:name w:val="Unresolved Mention"/>
    <w:basedOn w:val="DefaultParagraphFont"/>
    <w:uiPriority w:val="99"/>
    <w:semiHidden/>
    <w:unhideWhenUsed/>
    <w:rsid w:val="00700EE1"/>
    <w:rPr>
      <w:color w:val="605E5C"/>
      <w:shd w:val="clear" w:color="auto" w:fill="E1DFDD"/>
    </w:rPr>
  </w:style>
  <w:style w:type="paragraph" w:styleId="Header">
    <w:name w:val="header"/>
    <w:basedOn w:val="Normal"/>
    <w:link w:val="HeaderChar"/>
    <w:uiPriority w:val="99"/>
    <w:unhideWhenUsed/>
    <w:rsid w:val="00305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CDE"/>
    <w:rPr>
      <w:rFonts w:ascii="Calibri" w:eastAsia="Calibri" w:hAnsi="Calibri" w:cs="Times New Roman"/>
    </w:rPr>
  </w:style>
  <w:style w:type="paragraph" w:styleId="Footer">
    <w:name w:val="footer"/>
    <w:basedOn w:val="Normal"/>
    <w:link w:val="FooterChar"/>
    <w:uiPriority w:val="99"/>
    <w:unhideWhenUsed/>
    <w:rsid w:val="00305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CDE"/>
    <w:rPr>
      <w:rFonts w:ascii="Calibri" w:eastAsia="Calibri" w:hAnsi="Calibri" w:cs="Times New Roman"/>
    </w:rPr>
  </w:style>
  <w:style w:type="character" w:styleId="CommentReference">
    <w:name w:val="annotation reference"/>
    <w:basedOn w:val="DefaultParagraphFont"/>
    <w:uiPriority w:val="99"/>
    <w:semiHidden/>
    <w:unhideWhenUsed/>
    <w:rsid w:val="00C948F9"/>
    <w:rPr>
      <w:sz w:val="16"/>
      <w:szCs w:val="16"/>
    </w:rPr>
  </w:style>
  <w:style w:type="paragraph" w:styleId="CommentText">
    <w:name w:val="annotation text"/>
    <w:basedOn w:val="Normal"/>
    <w:link w:val="CommentTextChar"/>
    <w:uiPriority w:val="99"/>
    <w:unhideWhenUsed/>
    <w:rsid w:val="00C948F9"/>
    <w:pPr>
      <w:spacing w:line="240" w:lineRule="auto"/>
    </w:pPr>
    <w:rPr>
      <w:sz w:val="20"/>
      <w:szCs w:val="20"/>
    </w:rPr>
  </w:style>
  <w:style w:type="character" w:customStyle="1" w:styleId="CommentTextChar">
    <w:name w:val="Comment Text Char"/>
    <w:basedOn w:val="DefaultParagraphFont"/>
    <w:link w:val="CommentText"/>
    <w:uiPriority w:val="99"/>
    <w:rsid w:val="00C948F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48F9"/>
    <w:rPr>
      <w:b/>
      <w:bCs/>
    </w:rPr>
  </w:style>
  <w:style w:type="character" w:customStyle="1" w:styleId="CommentSubjectChar">
    <w:name w:val="Comment Subject Char"/>
    <w:basedOn w:val="CommentTextChar"/>
    <w:link w:val="CommentSubject"/>
    <w:uiPriority w:val="99"/>
    <w:semiHidden/>
    <w:rsid w:val="00C948F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94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8F9"/>
    <w:rPr>
      <w:rFonts w:ascii="Segoe UI" w:eastAsia="Calibri" w:hAnsi="Segoe UI" w:cs="Segoe UI"/>
      <w:sz w:val="18"/>
      <w:szCs w:val="18"/>
    </w:rPr>
  </w:style>
  <w:style w:type="paragraph" w:styleId="Revision">
    <w:name w:val="Revision"/>
    <w:hidden/>
    <w:uiPriority w:val="99"/>
    <w:semiHidden/>
    <w:rsid w:val="007B637B"/>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B55AB0"/>
    <w:rPr>
      <w:color w:val="954F72" w:themeColor="followedHyperlink"/>
      <w:u w:val="single"/>
    </w:rPr>
  </w:style>
  <w:style w:type="character" w:customStyle="1" w:styleId="hgkelc">
    <w:name w:val="hgkelc"/>
    <w:basedOn w:val="DefaultParagraphFont"/>
    <w:rsid w:val="00DA79BC"/>
  </w:style>
  <w:style w:type="paragraph" w:customStyle="1" w:styleId="xmsolistparagraph">
    <w:name w:val="x_msolistparagraph"/>
    <w:basedOn w:val="Normal"/>
    <w:rsid w:val="00D4552C"/>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132">
      <w:bodyDiv w:val="1"/>
      <w:marLeft w:val="0"/>
      <w:marRight w:val="0"/>
      <w:marTop w:val="0"/>
      <w:marBottom w:val="0"/>
      <w:divBdr>
        <w:top w:val="none" w:sz="0" w:space="0" w:color="auto"/>
        <w:left w:val="none" w:sz="0" w:space="0" w:color="auto"/>
        <w:bottom w:val="none" w:sz="0" w:space="0" w:color="auto"/>
        <w:right w:val="none" w:sz="0" w:space="0" w:color="auto"/>
      </w:divBdr>
    </w:div>
    <w:div w:id="104664748">
      <w:bodyDiv w:val="1"/>
      <w:marLeft w:val="0"/>
      <w:marRight w:val="0"/>
      <w:marTop w:val="0"/>
      <w:marBottom w:val="0"/>
      <w:divBdr>
        <w:top w:val="none" w:sz="0" w:space="0" w:color="auto"/>
        <w:left w:val="none" w:sz="0" w:space="0" w:color="auto"/>
        <w:bottom w:val="none" w:sz="0" w:space="0" w:color="auto"/>
        <w:right w:val="none" w:sz="0" w:space="0" w:color="auto"/>
      </w:divBdr>
    </w:div>
    <w:div w:id="173351480">
      <w:bodyDiv w:val="1"/>
      <w:marLeft w:val="0"/>
      <w:marRight w:val="0"/>
      <w:marTop w:val="0"/>
      <w:marBottom w:val="0"/>
      <w:divBdr>
        <w:top w:val="none" w:sz="0" w:space="0" w:color="auto"/>
        <w:left w:val="none" w:sz="0" w:space="0" w:color="auto"/>
        <w:bottom w:val="none" w:sz="0" w:space="0" w:color="auto"/>
        <w:right w:val="none" w:sz="0" w:space="0" w:color="auto"/>
      </w:divBdr>
    </w:div>
    <w:div w:id="435446414">
      <w:bodyDiv w:val="1"/>
      <w:marLeft w:val="0"/>
      <w:marRight w:val="0"/>
      <w:marTop w:val="0"/>
      <w:marBottom w:val="0"/>
      <w:divBdr>
        <w:top w:val="none" w:sz="0" w:space="0" w:color="auto"/>
        <w:left w:val="none" w:sz="0" w:space="0" w:color="auto"/>
        <w:bottom w:val="none" w:sz="0" w:space="0" w:color="auto"/>
        <w:right w:val="none" w:sz="0" w:space="0" w:color="auto"/>
      </w:divBdr>
    </w:div>
    <w:div w:id="495800466">
      <w:bodyDiv w:val="1"/>
      <w:marLeft w:val="0"/>
      <w:marRight w:val="0"/>
      <w:marTop w:val="0"/>
      <w:marBottom w:val="0"/>
      <w:divBdr>
        <w:top w:val="none" w:sz="0" w:space="0" w:color="auto"/>
        <w:left w:val="none" w:sz="0" w:space="0" w:color="auto"/>
        <w:bottom w:val="none" w:sz="0" w:space="0" w:color="auto"/>
        <w:right w:val="none" w:sz="0" w:space="0" w:color="auto"/>
      </w:divBdr>
    </w:div>
    <w:div w:id="1273515990">
      <w:bodyDiv w:val="1"/>
      <w:marLeft w:val="0"/>
      <w:marRight w:val="0"/>
      <w:marTop w:val="0"/>
      <w:marBottom w:val="0"/>
      <w:divBdr>
        <w:top w:val="none" w:sz="0" w:space="0" w:color="auto"/>
        <w:left w:val="none" w:sz="0" w:space="0" w:color="auto"/>
        <w:bottom w:val="none" w:sz="0" w:space="0" w:color="auto"/>
        <w:right w:val="none" w:sz="0" w:space="0" w:color="auto"/>
      </w:divBdr>
    </w:div>
    <w:div w:id="1352802401">
      <w:bodyDiv w:val="1"/>
      <w:marLeft w:val="0"/>
      <w:marRight w:val="0"/>
      <w:marTop w:val="0"/>
      <w:marBottom w:val="0"/>
      <w:divBdr>
        <w:top w:val="none" w:sz="0" w:space="0" w:color="auto"/>
        <w:left w:val="none" w:sz="0" w:space="0" w:color="auto"/>
        <w:bottom w:val="none" w:sz="0" w:space="0" w:color="auto"/>
        <w:right w:val="none" w:sz="0" w:space="0" w:color="auto"/>
      </w:divBdr>
    </w:div>
    <w:div w:id="151206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downloads/ForIndustry/UserFees/BiosimilarUserFeeActBsUFA/UCM5211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da.gov/regulatory-information/search-fda-guidance-documents/formal-meetings-between-fda-and-sponsors-or-applicants-bsufa-products-guidance-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0BD10-3DB9-42D7-8DE7-6498A0B51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Links>
    <vt:vector size="12" baseType="variant">
      <vt:variant>
        <vt:i4>4194376</vt:i4>
      </vt:variant>
      <vt:variant>
        <vt:i4>3</vt:i4>
      </vt:variant>
      <vt:variant>
        <vt:i4>0</vt:i4>
      </vt:variant>
      <vt:variant>
        <vt:i4>5</vt:i4>
      </vt:variant>
      <vt:variant>
        <vt:lpwstr>https://www.fda.gov/media/116608/download</vt:lpwstr>
      </vt:variant>
      <vt:variant>
        <vt:lpwstr/>
      </vt:variant>
      <vt:variant>
        <vt:i4>6553648</vt:i4>
      </vt:variant>
      <vt:variant>
        <vt:i4>0</vt:i4>
      </vt:variant>
      <vt:variant>
        <vt:i4>0</vt:i4>
      </vt:variant>
      <vt:variant>
        <vt:i4>5</vt:i4>
      </vt:variant>
      <vt:variant>
        <vt:lpwstr>https://www.fda.gov/files/drugs/published/Investigational-New-Drug-Applications-Prepared-and-Submitted-by-Sponsor-Investigators.pdf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2021-01-27T01:37:00Z</dcterms:created>
  <dcterms:modified xsi:type="dcterms:W3CDTF">2021-01-27T01:37:00Z</dcterms:modified>
</cp:coreProperties>
</file>