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1A" w:rsidP="009B2EF6" w:rsidRDefault="00C43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name="_GoBack" w:id="0"/>
      <w:bookmarkEnd w:id="0"/>
      <w:r>
        <w:rPr>
          <w:rFonts w:ascii="Times New Roman" w:hAnsi="Times New Roman"/>
          <w:b/>
          <w:bCs/>
          <w:sz w:val="24"/>
          <w:szCs w:val="24"/>
        </w:rPr>
        <w:t>Supporting Statement</w:t>
      </w:r>
    </w:p>
    <w:p w:rsidR="00C43A1A" w:rsidP="009B2EF6" w:rsidRDefault="00C43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Faculty Loan Repay</w:t>
      </w:r>
      <w:r w:rsidR="009B2EF6">
        <w:rPr>
          <w:rFonts w:ascii="Times New Roman" w:hAnsi="Times New Roman"/>
          <w:b/>
          <w:bCs/>
          <w:sz w:val="24"/>
          <w:szCs w:val="24"/>
        </w:rPr>
        <w:t>ment Program (FLRP) Application</w:t>
      </w:r>
    </w:p>
    <w:p w:rsidR="005D342C" w:rsidP="009B2EF6" w:rsidRDefault="005D3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OMB Control No. 0915-</w:t>
      </w:r>
      <w:r w:rsidR="00B215E8">
        <w:rPr>
          <w:rFonts w:ascii="Times New Roman" w:hAnsi="Times New Roman"/>
          <w:b/>
          <w:bCs/>
          <w:sz w:val="24"/>
          <w:szCs w:val="24"/>
        </w:rPr>
        <w:t>0150</w:t>
      </w:r>
      <w:r w:rsidR="009A5929">
        <w:rPr>
          <w:rFonts w:ascii="Times New Roman" w:hAnsi="Times New Roman"/>
          <w:b/>
          <w:bCs/>
          <w:sz w:val="24"/>
          <w:szCs w:val="24"/>
        </w:rPr>
        <w:t xml:space="preserve"> - Revision</w:t>
      </w:r>
    </w:p>
    <w:p w:rsidR="009B2EF6" w:rsidP="009B2EF6" w:rsidRDefault="009B2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08AB" w:rsidP="00C43A1A" w:rsidRDefault="002D08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Terms of Clearance: </w:t>
      </w:r>
      <w:r w:rsidR="0075184F">
        <w:rPr>
          <w:rFonts w:ascii="Times New Roman" w:hAnsi="Times New Roman"/>
          <w:sz w:val="24"/>
          <w:szCs w:val="24"/>
        </w:rPr>
        <w:t>None</w:t>
      </w:r>
    </w:p>
    <w:p w:rsidR="002D08AB" w:rsidP="00C43A1A" w:rsidRDefault="002D08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F47EE5"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EE5">
        <w:rPr>
          <w:rFonts w:ascii="Times New Roman" w:hAnsi="Times New Roman"/>
          <w:b/>
          <w:sz w:val="24"/>
          <w:szCs w:val="24"/>
        </w:rPr>
        <w:t xml:space="preserve">A. </w:t>
      </w:r>
      <w:r w:rsidR="002D08AB">
        <w:rPr>
          <w:rFonts w:ascii="Times New Roman" w:hAnsi="Times New Roman"/>
          <w:b/>
          <w:sz w:val="24"/>
          <w:szCs w:val="24"/>
        </w:rPr>
        <w:tab/>
      </w:r>
      <w:r w:rsidRPr="00F47EE5">
        <w:rPr>
          <w:rFonts w:ascii="Times New Roman" w:hAnsi="Times New Roman"/>
          <w:b/>
          <w:sz w:val="24"/>
          <w:szCs w:val="24"/>
        </w:rPr>
        <w:t>Justification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4F599B" w:rsidR="00F47EE5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4F599B" w:rsidR="002E5C46">
        <w:rPr>
          <w:rFonts w:ascii="Times New Roman" w:hAnsi="Times New Roman"/>
          <w:b/>
          <w:bCs/>
          <w:sz w:val="24"/>
          <w:szCs w:val="24"/>
          <w:u w:val="single"/>
        </w:rPr>
        <w:t>ircumstances of</w:t>
      </w:r>
      <w:r w:rsidRPr="004F599B" w:rsidR="002D08AB">
        <w:rPr>
          <w:rFonts w:ascii="Times New Roman" w:hAnsi="Times New Roman"/>
          <w:b/>
          <w:bCs/>
          <w:sz w:val="24"/>
          <w:szCs w:val="24"/>
          <w:u w:val="single"/>
        </w:rPr>
        <w:t xml:space="preserve"> Making the Collection of Information Necessary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B2EF6" w:rsidP="00EB5B54" w:rsidRDefault="00C14D94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a </w:t>
      </w:r>
      <w:r w:rsidR="00C20DD5">
        <w:rPr>
          <w:rFonts w:ascii="Times New Roman" w:hAnsi="Times New Roman"/>
          <w:sz w:val="24"/>
          <w:szCs w:val="24"/>
        </w:rPr>
        <w:t xml:space="preserve">revision </w:t>
      </w:r>
      <w:r w:rsidR="002C3B60">
        <w:rPr>
          <w:rFonts w:ascii="Times New Roman" w:hAnsi="Times New Roman"/>
          <w:sz w:val="24"/>
          <w:szCs w:val="24"/>
        </w:rPr>
        <w:t xml:space="preserve">request </w:t>
      </w:r>
      <w:r w:rsidR="0075184F">
        <w:rPr>
          <w:rFonts w:ascii="Times New Roman" w:hAnsi="Times New Roman"/>
          <w:sz w:val="24"/>
          <w:szCs w:val="24"/>
        </w:rPr>
        <w:t xml:space="preserve">of the Office of Management and Budget for continued approval </w:t>
      </w:r>
      <w:r w:rsidR="00C43A1A">
        <w:rPr>
          <w:rFonts w:ascii="Times New Roman" w:hAnsi="Times New Roman"/>
          <w:sz w:val="24"/>
          <w:szCs w:val="24"/>
        </w:rPr>
        <w:t>of the information collection requirements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C43A1A">
        <w:rPr>
          <w:rFonts w:ascii="Times New Roman" w:hAnsi="Times New Roman"/>
          <w:sz w:val="24"/>
          <w:szCs w:val="24"/>
        </w:rPr>
        <w:t>application form for the F</w:t>
      </w:r>
      <w:r w:rsidR="00A44DFF">
        <w:rPr>
          <w:rFonts w:ascii="Times New Roman" w:hAnsi="Times New Roman"/>
          <w:sz w:val="24"/>
          <w:szCs w:val="24"/>
        </w:rPr>
        <w:t>LRP</w:t>
      </w:r>
      <w:r w:rsidR="00C43A1A">
        <w:rPr>
          <w:rFonts w:ascii="Times New Roman" w:hAnsi="Times New Roman"/>
          <w:sz w:val="24"/>
          <w:szCs w:val="24"/>
        </w:rPr>
        <w:t xml:space="preserve"> under</w:t>
      </w:r>
      <w:r>
        <w:rPr>
          <w:rFonts w:ascii="Times New Roman" w:hAnsi="Times New Roman"/>
          <w:sz w:val="24"/>
          <w:szCs w:val="24"/>
        </w:rPr>
        <w:t xml:space="preserve"> </w:t>
      </w:r>
      <w:r w:rsidR="00C43A1A">
        <w:rPr>
          <w:rFonts w:ascii="Times New Roman" w:hAnsi="Times New Roman"/>
          <w:sz w:val="24"/>
          <w:szCs w:val="24"/>
        </w:rPr>
        <w:t xml:space="preserve">OMB </w:t>
      </w:r>
      <w:r w:rsidR="0075184F">
        <w:rPr>
          <w:rFonts w:ascii="Times New Roman" w:hAnsi="Times New Roman"/>
          <w:sz w:val="24"/>
          <w:szCs w:val="24"/>
        </w:rPr>
        <w:t xml:space="preserve">Control </w:t>
      </w:r>
      <w:r w:rsidR="00C43A1A">
        <w:rPr>
          <w:rFonts w:ascii="Times New Roman" w:hAnsi="Times New Roman"/>
          <w:sz w:val="24"/>
          <w:szCs w:val="24"/>
        </w:rPr>
        <w:t>No. 0915-0150</w:t>
      </w:r>
      <w:r w:rsidR="0075184F">
        <w:rPr>
          <w:rFonts w:ascii="Times New Roman" w:hAnsi="Times New Roman"/>
          <w:sz w:val="24"/>
          <w:szCs w:val="24"/>
        </w:rPr>
        <w:t xml:space="preserve"> expiring</w:t>
      </w:r>
      <w:r w:rsidR="00C43A1A">
        <w:rPr>
          <w:rFonts w:ascii="Times New Roman" w:hAnsi="Times New Roman"/>
          <w:sz w:val="24"/>
          <w:szCs w:val="24"/>
        </w:rPr>
        <w:t xml:space="preserve"> </w:t>
      </w:r>
      <w:r w:rsidR="009A5929">
        <w:rPr>
          <w:rFonts w:ascii="Times New Roman" w:hAnsi="Times New Roman"/>
          <w:sz w:val="24"/>
          <w:szCs w:val="24"/>
        </w:rPr>
        <w:t>August 30, 2021</w:t>
      </w:r>
      <w:r w:rsidR="00DB7AC8">
        <w:rPr>
          <w:rFonts w:ascii="Times New Roman" w:hAnsi="Times New Roman"/>
          <w:sz w:val="24"/>
          <w:szCs w:val="24"/>
        </w:rPr>
        <w:t>.</w:t>
      </w:r>
      <w:r w:rsidR="001C707F">
        <w:rPr>
          <w:rFonts w:ascii="Times New Roman" w:hAnsi="Times New Roman"/>
          <w:sz w:val="24"/>
          <w:szCs w:val="24"/>
        </w:rPr>
        <w:t xml:space="preserve">  </w:t>
      </w:r>
      <w:r w:rsidRPr="001C707F" w:rsidR="001C707F">
        <w:rPr>
          <w:rFonts w:ascii="Times New Roman" w:hAnsi="Times New Roman"/>
          <w:sz w:val="24"/>
          <w:szCs w:val="24"/>
        </w:rPr>
        <w:t xml:space="preserve">Responsibility for </w:t>
      </w:r>
      <w:r w:rsidR="001C707F">
        <w:rPr>
          <w:rFonts w:ascii="Times New Roman" w:hAnsi="Times New Roman"/>
          <w:sz w:val="24"/>
          <w:szCs w:val="24"/>
        </w:rPr>
        <w:t>the FLRP program</w:t>
      </w:r>
      <w:r w:rsidRPr="001C707F" w:rsidR="001C707F">
        <w:rPr>
          <w:rFonts w:ascii="Times New Roman" w:hAnsi="Times New Roman"/>
          <w:sz w:val="24"/>
          <w:szCs w:val="24"/>
        </w:rPr>
        <w:t xml:space="preserve"> resides in the Bureau of Health Workforce</w:t>
      </w:r>
      <w:r w:rsidR="005B1ECB">
        <w:rPr>
          <w:rFonts w:ascii="Times New Roman" w:hAnsi="Times New Roman"/>
          <w:sz w:val="24"/>
          <w:szCs w:val="24"/>
        </w:rPr>
        <w:t xml:space="preserve"> (BHW)</w:t>
      </w:r>
      <w:r w:rsidRPr="001C707F" w:rsidR="001C707F">
        <w:rPr>
          <w:rFonts w:ascii="Times New Roman" w:hAnsi="Times New Roman"/>
          <w:sz w:val="24"/>
          <w:szCs w:val="24"/>
        </w:rPr>
        <w:t>, Health Resources and Services Administration (HRSA), Department of Health and Human Services (HHS).</w:t>
      </w:r>
    </w:p>
    <w:p w:rsidR="000A3B08" w:rsidP="000F65A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</w:t>
      </w:r>
      <w:r w:rsidR="00A44DFF">
        <w:rPr>
          <w:rFonts w:ascii="Times New Roman" w:hAnsi="Times New Roman"/>
          <w:sz w:val="24"/>
          <w:szCs w:val="24"/>
        </w:rPr>
        <w:t>LRP</w:t>
      </w:r>
      <w:r>
        <w:rPr>
          <w:rFonts w:ascii="Times New Roman" w:hAnsi="Times New Roman"/>
          <w:sz w:val="24"/>
          <w:szCs w:val="24"/>
        </w:rPr>
        <w:t xml:space="preserve"> is governed by section 738(a) of the Public</w:t>
      </w:r>
      <w:r w:rsidR="002D0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Health Service Act (42 U.S.C. 293b)</w:t>
      </w:r>
      <w:r w:rsidR="00390B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90B78">
        <w:rPr>
          <w:rFonts w:ascii="Times New Roman" w:hAnsi="Times New Roman"/>
          <w:sz w:val="24"/>
          <w:szCs w:val="24"/>
        </w:rPr>
        <w:t xml:space="preserve"> </w:t>
      </w:r>
    </w:p>
    <w:p w:rsidR="00C43A1A" w:rsidP="000F65AA" w:rsidRDefault="00EB5B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C43A1A">
        <w:rPr>
          <w:rFonts w:ascii="Times New Roman" w:hAnsi="Times New Roman"/>
          <w:sz w:val="24"/>
          <w:szCs w:val="24"/>
        </w:rPr>
        <w:t>purpose of the FLRP is to recruit individuals</w:t>
      </w:r>
      <w:r w:rsidR="002D08AB">
        <w:rPr>
          <w:rFonts w:ascii="Times New Roman" w:hAnsi="Times New Roman"/>
          <w:sz w:val="24"/>
          <w:szCs w:val="24"/>
        </w:rPr>
        <w:t xml:space="preserve"> </w:t>
      </w:r>
      <w:r w:rsidR="00C43A1A">
        <w:rPr>
          <w:rFonts w:ascii="Times New Roman" w:hAnsi="Times New Roman"/>
          <w:sz w:val="24"/>
          <w:szCs w:val="24"/>
        </w:rPr>
        <w:t>from a</w:t>
      </w:r>
      <w:r w:rsidR="001C707F">
        <w:rPr>
          <w:rFonts w:ascii="Times New Roman" w:hAnsi="Times New Roman"/>
          <w:sz w:val="24"/>
          <w:szCs w:val="24"/>
        </w:rPr>
        <w:t>n</w:t>
      </w:r>
      <w:r w:rsidR="00C43A1A">
        <w:rPr>
          <w:rFonts w:ascii="Times New Roman" w:hAnsi="Times New Roman"/>
          <w:sz w:val="24"/>
          <w:szCs w:val="24"/>
        </w:rPr>
        <w:t xml:space="preserve"> </w:t>
      </w:r>
      <w:r w:rsidR="00A44DFF">
        <w:rPr>
          <w:rFonts w:ascii="Times New Roman" w:hAnsi="Times New Roman"/>
          <w:sz w:val="24"/>
          <w:szCs w:val="24"/>
        </w:rPr>
        <w:t xml:space="preserve">economically and environmentally </w:t>
      </w:r>
      <w:r w:rsidR="00C43A1A">
        <w:rPr>
          <w:rFonts w:ascii="Times New Roman" w:hAnsi="Times New Roman"/>
          <w:sz w:val="24"/>
          <w:szCs w:val="24"/>
        </w:rPr>
        <w:t>disadvantaged background who have a health professions degree or certificate to serve as</w:t>
      </w:r>
      <w:r w:rsidR="00BB6621">
        <w:rPr>
          <w:rFonts w:ascii="Times New Roman" w:hAnsi="Times New Roman"/>
          <w:sz w:val="24"/>
          <w:szCs w:val="24"/>
        </w:rPr>
        <w:t xml:space="preserve"> </w:t>
      </w:r>
      <w:r w:rsidR="00C43A1A">
        <w:rPr>
          <w:rFonts w:ascii="Times New Roman" w:hAnsi="Times New Roman"/>
          <w:sz w:val="24"/>
          <w:szCs w:val="24"/>
        </w:rPr>
        <w:t xml:space="preserve">faculty members in </w:t>
      </w:r>
      <w:r w:rsidR="00A44DFF">
        <w:rPr>
          <w:rFonts w:ascii="Times New Roman" w:hAnsi="Times New Roman"/>
          <w:sz w:val="24"/>
          <w:szCs w:val="24"/>
        </w:rPr>
        <w:t xml:space="preserve">eligible, </w:t>
      </w:r>
      <w:r w:rsidR="00C43A1A">
        <w:rPr>
          <w:rFonts w:ascii="Times New Roman" w:hAnsi="Times New Roman"/>
          <w:sz w:val="24"/>
          <w:szCs w:val="24"/>
        </w:rPr>
        <w:t>accredited health professions school</w:t>
      </w:r>
      <w:r>
        <w:rPr>
          <w:rFonts w:ascii="Times New Roman" w:hAnsi="Times New Roman"/>
          <w:sz w:val="24"/>
          <w:szCs w:val="24"/>
        </w:rPr>
        <w:t xml:space="preserve">s by offering to make payments </w:t>
      </w:r>
      <w:r w:rsidR="00C43A1A">
        <w:rPr>
          <w:rFonts w:ascii="Times New Roman" w:hAnsi="Times New Roman"/>
          <w:sz w:val="24"/>
          <w:szCs w:val="24"/>
        </w:rPr>
        <w:t xml:space="preserve">on </w:t>
      </w:r>
      <w:r w:rsidR="00A44DFF">
        <w:rPr>
          <w:rFonts w:ascii="Times New Roman" w:hAnsi="Times New Roman"/>
          <w:sz w:val="24"/>
          <w:szCs w:val="24"/>
        </w:rPr>
        <w:t xml:space="preserve">qualifying </w:t>
      </w:r>
      <w:r w:rsidR="00C43A1A">
        <w:rPr>
          <w:rFonts w:ascii="Times New Roman" w:hAnsi="Times New Roman"/>
          <w:sz w:val="24"/>
          <w:szCs w:val="24"/>
        </w:rPr>
        <w:t xml:space="preserve">education loan(s). </w:t>
      </w:r>
      <w:r w:rsidR="006A5EB0">
        <w:rPr>
          <w:rFonts w:ascii="Times New Roman" w:hAnsi="Times New Roman"/>
          <w:sz w:val="24"/>
          <w:szCs w:val="24"/>
        </w:rPr>
        <w:t xml:space="preserve"> </w:t>
      </w:r>
      <w:r w:rsidR="00C43A1A">
        <w:rPr>
          <w:rFonts w:ascii="Times New Roman" w:hAnsi="Times New Roman"/>
          <w:sz w:val="24"/>
          <w:szCs w:val="24"/>
        </w:rPr>
        <w:t xml:space="preserve">The FLRP is </w:t>
      </w:r>
      <w:r w:rsidR="00A44DFF">
        <w:rPr>
          <w:rFonts w:ascii="Times New Roman" w:hAnsi="Times New Roman"/>
          <w:sz w:val="24"/>
          <w:szCs w:val="24"/>
        </w:rPr>
        <w:t>administered to</w:t>
      </w:r>
      <w:r w:rsidR="00C43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those individuals available to </w:t>
      </w:r>
      <w:r w:rsidR="00C43A1A">
        <w:rPr>
          <w:rFonts w:ascii="Times New Roman" w:hAnsi="Times New Roman"/>
          <w:sz w:val="24"/>
          <w:szCs w:val="24"/>
        </w:rPr>
        <w:t>serve</w:t>
      </w:r>
      <w:r w:rsidR="001C707F">
        <w:rPr>
          <w:rFonts w:ascii="Times New Roman" w:hAnsi="Times New Roman"/>
          <w:sz w:val="24"/>
          <w:szCs w:val="24"/>
        </w:rPr>
        <w:t xml:space="preserve"> </w:t>
      </w:r>
      <w:r w:rsidR="00C43A1A">
        <w:rPr>
          <w:rFonts w:ascii="Times New Roman" w:hAnsi="Times New Roman"/>
          <w:sz w:val="24"/>
          <w:szCs w:val="24"/>
        </w:rPr>
        <w:t>as full-time or part-time faculty members</w:t>
      </w:r>
      <w:r w:rsidR="000F65AA">
        <w:rPr>
          <w:rFonts w:ascii="Times New Roman" w:hAnsi="Times New Roman"/>
          <w:sz w:val="24"/>
          <w:szCs w:val="24"/>
        </w:rPr>
        <w:t>.</w:t>
      </w:r>
    </w:p>
    <w:p w:rsidR="0037016C" w:rsidP="00C43A1A" w:rsidRDefault="003701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exchange, the health professional agrees to have a</w:t>
      </w:r>
      <w:r w:rsidR="000F65AA">
        <w:rPr>
          <w:rFonts w:ascii="Times New Roman" w:hAnsi="Times New Roman"/>
          <w:sz w:val="24"/>
          <w:szCs w:val="24"/>
        </w:rPr>
        <w:t xml:space="preserve">n employment commitment </w:t>
      </w:r>
      <w:r>
        <w:rPr>
          <w:rFonts w:ascii="Times New Roman" w:hAnsi="Times New Roman"/>
          <w:sz w:val="24"/>
          <w:szCs w:val="24"/>
        </w:rPr>
        <w:t xml:space="preserve">with an </w:t>
      </w:r>
      <w:r w:rsidR="000F65AA">
        <w:rPr>
          <w:rFonts w:ascii="Times New Roman" w:hAnsi="Times New Roman"/>
          <w:sz w:val="24"/>
          <w:szCs w:val="24"/>
        </w:rPr>
        <w:t>eligible</w:t>
      </w:r>
      <w:r>
        <w:rPr>
          <w:rFonts w:ascii="Times New Roman" w:hAnsi="Times New Roman"/>
          <w:sz w:val="24"/>
          <w:szCs w:val="24"/>
        </w:rPr>
        <w:t xml:space="preserve"> health</w:t>
      </w:r>
      <w:r w:rsidR="001C7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professions school to serve as a full-time or part-time faculty member for a minimum of 2 years.</w:t>
      </w:r>
      <w:r w:rsidR="001C707F">
        <w:rPr>
          <w:rFonts w:ascii="Times New Roman" w:hAnsi="Times New Roman"/>
          <w:sz w:val="24"/>
          <w:szCs w:val="24"/>
        </w:rPr>
        <w:t xml:space="preserve"> </w:t>
      </w:r>
      <w:r w:rsidR="00DF09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Loan repayment agreements are approved by the Secretary for eligible undergraduate and</w:t>
      </w:r>
      <w:r w:rsidR="00EB5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graduate health professional educational loans incurred with government or commercial lending</w:t>
      </w:r>
      <w:r w:rsidR="00EB5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institutions.</w:t>
      </w: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FLRP application information </w:t>
      </w:r>
      <w:r w:rsidR="009812E9">
        <w:rPr>
          <w:rFonts w:ascii="Times New Roman" w:hAnsi="Times New Roman"/>
          <w:sz w:val="24"/>
          <w:szCs w:val="24"/>
        </w:rPr>
        <w:t>and forms are</w:t>
      </w:r>
      <w:r>
        <w:rPr>
          <w:rFonts w:ascii="Times New Roman" w:hAnsi="Times New Roman"/>
          <w:sz w:val="24"/>
          <w:szCs w:val="24"/>
        </w:rPr>
        <w:t xml:space="preserve"> electronic and </w:t>
      </w:r>
      <w:r w:rsidR="009812E9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 w:rsidR="000F65AA"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z w:val="24"/>
          <w:szCs w:val="24"/>
        </w:rPr>
        <w:t xml:space="preserve"> to determine the applicants’</w:t>
      </w:r>
      <w:r w:rsidR="009B2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eligibility and the </w:t>
      </w:r>
      <w:r w:rsidR="000F65AA">
        <w:rPr>
          <w:rFonts w:ascii="Times New Roman" w:hAnsi="Times New Roman"/>
          <w:color w:val="000000"/>
          <w:sz w:val="24"/>
          <w:szCs w:val="24"/>
        </w:rPr>
        <w:t xml:space="preserve">verification </w:t>
      </w:r>
      <w:r>
        <w:rPr>
          <w:rFonts w:ascii="Times New Roman" w:hAnsi="Times New Roman"/>
          <w:color w:val="000000"/>
          <w:sz w:val="24"/>
          <w:szCs w:val="24"/>
        </w:rPr>
        <w:t>of existing undergraduate and/or graduate health professional</w:t>
      </w:r>
      <w:r w:rsidR="009B2EF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educational loans.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This collection of information is necessary to enable HRSA to respond to The President's</w:t>
      </w:r>
    </w:p>
    <w:p w:rsidR="009B2EF6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Management Agenda, which calls for government reform that is citizen-centric, results-oriented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and market-based and requires agencies to participate in e-Government initiatives that provide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high quality customer service, provide citizens with readier access to government services,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increase access for persons with disabilities to agency Websites and make government more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transparent and accountable (</w:t>
      </w:r>
      <w:hyperlink w:history="1" r:id="rId14">
        <w:r w:rsidRPr="00AE4E82" w:rsidR="00EB12B1">
          <w:rPr>
            <w:rStyle w:val="Hyperlink"/>
            <w:rFonts w:ascii="Times New Roman" w:hAnsi="Times New Roman"/>
            <w:sz w:val="24"/>
            <w:szCs w:val="24"/>
          </w:rPr>
          <w:t>http://www.whitehouse.gov/omb/budget/fy2002/mgmt.pdf</w:t>
        </w:r>
      </w:hyperlink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EB12B1" w:rsidP="00C43A1A" w:rsidRDefault="00EB1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2310B7" w:rsidR="002310B7" w:rsidP="002310B7" w:rsidRDefault="002310B7">
      <w:pPr>
        <w:spacing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For this revision request, </w:t>
      </w:r>
      <w:r w:rsidRPr="002310B7">
        <w:rPr>
          <w:rFonts w:ascii="Times New Roman" w:hAnsi="Times New Roman"/>
          <w:b/>
          <w:i/>
          <w:sz w:val="24"/>
        </w:rPr>
        <w:t xml:space="preserve">a Disadvantaged Background (DB) form </w:t>
      </w:r>
      <w:r>
        <w:rPr>
          <w:rFonts w:ascii="Times New Roman" w:hAnsi="Times New Roman"/>
          <w:b/>
          <w:i/>
          <w:sz w:val="24"/>
        </w:rPr>
        <w:t>has been included i</w:t>
      </w:r>
      <w:r w:rsidRPr="002310B7">
        <w:rPr>
          <w:rFonts w:ascii="Times New Roman" w:hAnsi="Times New Roman"/>
          <w:b/>
          <w:i/>
          <w:sz w:val="24"/>
        </w:rPr>
        <w:t>n the FLRP application. FLRP applicants are required to provide certification from a health professions school previously attended that identifies the individual as coming from an economically or environmentally disadvantaged background.  In the past, applicants provided this information in varying formats</w:t>
      </w:r>
      <w:r>
        <w:rPr>
          <w:rFonts w:ascii="Times New Roman" w:hAnsi="Times New Roman"/>
          <w:b/>
          <w:i/>
          <w:sz w:val="24"/>
        </w:rPr>
        <w:t xml:space="preserve"> so t</w:t>
      </w:r>
      <w:r w:rsidRPr="002310B7">
        <w:rPr>
          <w:rFonts w:ascii="Times New Roman" w:hAnsi="Times New Roman"/>
          <w:b/>
          <w:i/>
          <w:sz w:val="24"/>
        </w:rPr>
        <w:t xml:space="preserve">he DB form is not requesting new information from FLRP applicants. The form will allow an easier method for applicants to convey their DB </w:t>
      </w:r>
      <w:r w:rsidRPr="002310B7">
        <w:rPr>
          <w:rFonts w:ascii="Times New Roman" w:hAnsi="Times New Roman"/>
          <w:b/>
          <w:i/>
          <w:sz w:val="24"/>
        </w:rPr>
        <w:lastRenderedPageBreak/>
        <w:t>status and will standardize the collection of information. The information collected will be used to evaluate applicants’ rank and tier in the FLRP award process.</w:t>
      </w:r>
    </w:p>
    <w:p w:rsidR="009B2EF6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4F599B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</w:t>
      </w:r>
      <w:r w:rsidRPr="004F599B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urpose and Use of Information</w:t>
      </w:r>
    </w:p>
    <w:p w:rsidR="00E0727B" w:rsidP="00C43A1A" w:rsidRDefault="00E072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applicant completes and submits an electronic application that identifies for the Secretary</w:t>
      </w:r>
      <w:r w:rsidR="00C61143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that the applicant</w:t>
      </w:r>
      <w:r w:rsidR="00CD30E0">
        <w:rPr>
          <w:rFonts w:ascii="Times New Roman" w:hAnsi="Times New Roman"/>
          <w:color w:val="000000"/>
          <w:sz w:val="24"/>
          <w:szCs w:val="24"/>
        </w:rPr>
        <w:t xml:space="preserve"> comes from an economically or environmentally disadvantaged background</w:t>
      </w:r>
      <w:r>
        <w:rPr>
          <w:rFonts w:ascii="Times New Roman" w:hAnsi="Times New Roman"/>
          <w:color w:val="000000"/>
          <w:sz w:val="24"/>
          <w:szCs w:val="24"/>
        </w:rPr>
        <w:t xml:space="preserve"> who has a contract with an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2BDE">
        <w:rPr>
          <w:rFonts w:ascii="Times New Roman" w:hAnsi="Times New Roman"/>
          <w:color w:val="000000"/>
          <w:sz w:val="24"/>
          <w:szCs w:val="24"/>
        </w:rPr>
        <w:t>eligible</w:t>
      </w:r>
      <w:r>
        <w:rPr>
          <w:rFonts w:ascii="Times New Roman" w:hAnsi="Times New Roman"/>
          <w:color w:val="000000"/>
          <w:sz w:val="24"/>
          <w:szCs w:val="24"/>
        </w:rPr>
        <w:t xml:space="preserve"> health professions school to serve as a full-time or part-time faculty member for a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minimum of 2 years and has </w:t>
      </w:r>
      <w:r w:rsidR="00092BDE">
        <w:rPr>
          <w:rFonts w:ascii="Times New Roman" w:hAnsi="Times New Roman"/>
          <w:color w:val="000000"/>
          <w:sz w:val="24"/>
          <w:szCs w:val="24"/>
        </w:rPr>
        <w:t>qualifying</w:t>
      </w:r>
      <w:r w:rsidR="00C611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outstanding educational loans.</w:t>
      </w:r>
      <w:r w:rsidR="006A5EB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In addition, for each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undergraduate and/or graduate loan for which repayment is sought, the applicant is required to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submit </w:t>
      </w:r>
      <w:r w:rsidR="00092BDE">
        <w:rPr>
          <w:rFonts w:ascii="Times New Roman" w:hAnsi="Times New Roman"/>
          <w:color w:val="000000"/>
          <w:sz w:val="24"/>
          <w:szCs w:val="24"/>
        </w:rPr>
        <w:t>loan documentation</w:t>
      </w:r>
      <w:r>
        <w:rPr>
          <w:rFonts w:ascii="Times New Roman" w:hAnsi="Times New Roman"/>
          <w:color w:val="000000"/>
          <w:sz w:val="24"/>
          <w:szCs w:val="24"/>
        </w:rPr>
        <w:t xml:space="preserve"> verifying the establishment of the educational loan(s) and lender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202B">
        <w:rPr>
          <w:rFonts w:ascii="Times New Roman" w:hAnsi="Times New Roman"/>
          <w:color w:val="000000"/>
          <w:sz w:val="24"/>
          <w:szCs w:val="24"/>
        </w:rPr>
        <w:t xml:space="preserve">account </w:t>
      </w:r>
      <w:r>
        <w:rPr>
          <w:rFonts w:ascii="Times New Roman" w:hAnsi="Times New Roman"/>
          <w:color w:val="000000"/>
          <w:sz w:val="24"/>
          <w:szCs w:val="24"/>
        </w:rPr>
        <w:t>statements</w:t>
      </w:r>
      <w:r w:rsidR="00AF717D">
        <w:rPr>
          <w:rFonts w:ascii="Times New Roman" w:hAnsi="Times New Roman"/>
          <w:color w:val="000000"/>
          <w:sz w:val="24"/>
          <w:szCs w:val="24"/>
        </w:rPr>
        <w:t xml:space="preserve">, promissory </w:t>
      </w:r>
      <w:r w:rsidR="009812E9">
        <w:rPr>
          <w:rFonts w:ascii="Times New Roman" w:hAnsi="Times New Roman"/>
          <w:color w:val="000000"/>
          <w:sz w:val="24"/>
          <w:szCs w:val="24"/>
        </w:rPr>
        <w:t>notes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1143">
        <w:rPr>
          <w:rFonts w:ascii="Times New Roman" w:hAnsi="Times New Roman"/>
          <w:color w:val="000000"/>
          <w:sz w:val="24"/>
          <w:szCs w:val="24"/>
        </w:rPr>
        <w:t xml:space="preserve">including </w:t>
      </w: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AF717D">
        <w:rPr>
          <w:rFonts w:ascii="Times New Roman" w:hAnsi="Times New Roman"/>
          <w:color w:val="000000"/>
          <w:sz w:val="24"/>
          <w:szCs w:val="24"/>
        </w:rPr>
        <w:t xml:space="preserve">original date, and </w:t>
      </w:r>
      <w:r>
        <w:rPr>
          <w:rFonts w:ascii="Times New Roman" w:hAnsi="Times New Roman"/>
          <w:color w:val="000000"/>
          <w:sz w:val="24"/>
          <w:szCs w:val="24"/>
        </w:rPr>
        <w:t>current balance of the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outstanding educational loan(s). </w:t>
      </w:r>
      <w:r w:rsidR="006A5EB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After</w:t>
      </w:r>
      <w:r w:rsidR="009812E9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 xml:space="preserve"> thorough</w:t>
      </w:r>
      <w:r w:rsidR="00032B1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review of </w:t>
      </w:r>
      <w:r w:rsidR="0002202B">
        <w:rPr>
          <w:rFonts w:ascii="Times New Roman" w:hAnsi="Times New Roman"/>
          <w:color w:val="000000"/>
          <w:sz w:val="24"/>
          <w:szCs w:val="24"/>
        </w:rPr>
        <w:t xml:space="preserve">all </w:t>
      </w:r>
      <w:r>
        <w:rPr>
          <w:rFonts w:ascii="Times New Roman" w:hAnsi="Times New Roman"/>
          <w:color w:val="000000"/>
          <w:sz w:val="24"/>
          <w:szCs w:val="24"/>
        </w:rPr>
        <w:t xml:space="preserve">applications, participants </w:t>
      </w:r>
      <w:r w:rsidR="003F48FF">
        <w:rPr>
          <w:rFonts w:ascii="Times New Roman" w:hAnsi="Times New Roman"/>
          <w:color w:val="000000"/>
          <w:sz w:val="24"/>
          <w:szCs w:val="24"/>
        </w:rPr>
        <w:t>are selected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32B19" w:rsidP="00C43A1A" w:rsidRDefault="0003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information is needed to determine applicants are in compliance with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requirements of the FLRP </w:t>
      </w:r>
      <w:r w:rsidR="0002202B">
        <w:rPr>
          <w:rFonts w:ascii="Times New Roman" w:hAnsi="Times New Roman"/>
          <w:color w:val="000000"/>
          <w:sz w:val="24"/>
          <w:szCs w:val="24"/>
        </w:rPr>
        <w:t xml:space="preserve">contract </w:t>
      </w:r>
      <w:r>
        <w:rPr>
          <w:rFonts w:ascii="Times New Roman" w:hAnsi="Times New Roman"/>
          <w:color w:val="000000"/>
          <w:sz w:val="24"/>
          <w:szCs w:val="24"/>
        </w:rPr>
        <w:t xml:space="preserve">and that the evidence </w:t>
      </w:r>
      <w:r w:rsidR="003F48FF">
        <w:rPr>
          <w:rFonts w:ascii="Times New Roman" w:hAnsi="Times New Roman"/>
          <w:color w:val="000000"/>
          <w:sz w:val="24"/>
          <w:szCs w:val="24"/>
        </w:rPr>
        <w:t>submitted is</w:t>
      </w:r>
      <w:r>
        <w:rPr>
          <w:rFonts w:ascii="Times New Roman" w:hAnsi="Times New Roman"/>
          <w:color w:val="000000"/>
          <w:sz w:val="24"/>
          <w:szCs w:val="24"/>
        </w:rPr>
        <w:t xml:space="preserve"> satisfactory to the</w:t>
      </w:r>
    </w:p>
    <w:p w:rsidR="00C43A1A" w:rsidP="009812E9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Secretary before entering into an agreement for repayment of undergraduate and/or graduate</w:t>
      </w:r>
      <w:r w:rsidR="00C611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health professions loans. </w:t>
      </w:r>
    </w:p>
    <w:p w:rsidR="00032B19" w:rsidP="00C43A1A" w:rsidRDefault="00032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B5256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terms and conditions for participating in the FLRP are set forth in the contract between the</w:t>
      </w:r>
      <w:r w:rsidR="006A5EB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individual and the Secretary.</w:t>
      </w:r>
      <w:r w:rsidR="00DF09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In addition, the contract includes the relevant statute authorizing</w:t>
      </w:r>
      <w:r w:rsidR="00C611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9812E9">
        <w:rPr>
          <w:rFonts w:ascii="Times New Roman" w:hAnsi="Times New Roman"/>
          <w:color w:val="000000"/>
          <w:sz w:val="24"/>
          <w:szCs w:val="24"/>
        </w:rPr>
        <w:t>administration</w:t>
      </w:r>
      <w:r>
        <w:rPr>
          <w:rFonts w:ascii="Times New Roman" w:hAnsi="Times New Roman"/>
          <w:color w:val="000000"/>
          <w:sz w:val="24"/>
          <w:szCs w:val="24"/>
        </w:rPr>
        <w:t xml:space="preserve"> of the FLRP.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Pr="00AB5256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U</w:t>
      </w:r>
      <w:r w:rsidRPr="00AB5256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se of Improved Information Technology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Currently all FLRP materials</w:t>
      </w:r>
      <w:r w:rsidR="00B63E39">
        <w:rPr>
          <w:rFonts w:ascii="Times New Roman" w:hAnsi="Times New Roman"/>
          <w:color w:val="000000"/>
          <w:sz w:val="24"/>
          <w:szCs w:val="24"/>
        </w:rPr>
        <w:t xml:space="preserve"> are available on the Internet.  </w:t>
      </w:r>
      <w:r>
        <w:rPr>
          <w:rFonts w:ascii="Times New Roman" w:hAnsi="Times New Roman"/>
          <w:color w:val="000000"/>
          <w:sz w:val="24"/>
          <w:szCs w:val="24"/>
        </w:rPr>
        <w:t xml:space="preserve">FLRP </w:t>
      </w:r>
      <w:r w:rsidR="006A5EB0">
        <w:rPr>
          <w:rFonts w:ascii="Times New Roman" w:hAnsi="Times New Roman"/>
          <w:color w:val="000000"/>
          <w:sz w:val="24"/>
          <w:szCs w:val="24"/>
        </w:rPr>
        <w:t>A</w:t>
      </w:r>
      <w:r w:rsidR="009812E9">
        <w:rPr>
          <w:rFonts w:ascii="Times New Roman" w:hAnsi="Times New Roman"/>
          <w:color w:val="000000"/>
          <w:sz w:val="24"/>
          <w:szCs w:val="24"/>
        </w:rPr>
        <w:t xml:space="preserve">pplication and </w:t>
      </w:r>
      <w:r w:rsidR="006A5EB0">
        <w:rPr>
          <w:rFonts w:ascii="Times New Roman" w:hAnsi="Times New Roman"/>
          <w:color w:val="000000"/>
          <w:sz w:val="24"/>
          <w:szCs w:val="24"/>
        </w:rPr>
        <w:t>P</w:t>
      </w:r>
      <w:r w:rsidR="009812E9">
        <w:rPr>
          <w:rFonts w:ascii="Times New Roman" w:hAnsi="Times New Roman"/>
          <w:color w:val="000000"/>
          <w:sz w:val="24"/>
          <w:szCs w:val="24"/>
        </w:rPr>
        <w:t xml:space="preserve">rogram </w:t>
      </w:r>
      <w:r w:rsidR="006A5EB0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uidance and application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materials have been integrated into a website for easier access by the public. </w:t>
      </w:r>
      <w:r w:rsidR="00DF09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Program staff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members are available to answer inquiries via telephone and e-mail</w:t>
      </w:r>
      <w:r w:rsidR="004A5325"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</w:rPr>
        <w:t>Th</w:t>
      </w:r>
      <w:r w:rsidR="009812E9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website provides the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purpose and goal of the program. </w:t>
      </w:r>
      <w:r w:rsidR="006A5E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12E9"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z w:val="24"/>
          <w:szCs w:val="24"/>
        </w:rPr>
        <w:t xml:space="preserve"> program overview, eligibility and employer requirements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are featured as well as Frequently Asked Questions</w:t>
      </w:r>
      <w:r w:rsidR="004A532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B6112C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he FLRP </w:t>
      </w:r>
      <w:r w:rsidR="00B6112C">
        <w:rPr>
          <w:rFonts w:ascii="Times New Roman" w:hAnsi="Times New Roman"/>
          <w:color w:val="000000"/>
          <w:sz w:val="24"/>
          <w:szCs w:val="24"/>
        </w:rPr>
        <w:t xml:space="preserve">materials are </w:t>
      </w:r>
      <w:r>
        <w:rPr>
          <w:rFonts w:ascii="Times New Roman" w:hAnsi="Times New Roman"/>
          <w:color w:val="000000"/>
          <w:sz w:val="24"/>
          <w:szCs w:val="24"/>
        </w:rPr>
        <w:t>easily accessible 24-hours a day.</w:t>
      </w:r>
      <w:r w:rsidR="006A5EB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During </w:t>
      </w:r>
      <w:r w:rsidR="006B4888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 xml:space="preserve">application </w:t>
      </w:r>
      <w:r w:rsidR="006B4888">
        <w:rPr>
          <w:rFonts w:ascii="Times New Roman" w:hAnsi="Times New Roman"/>
          <w:color w:val="000000"/>
          <w:sz w:val="24"/>
          <w:szCs w:val="24"/>
        </w:rPr>
        <w:t xml:space="preserve">cycle, </w:t>
      </w:r>
      <w:r>
        <w:rPr>
          <w:rFonts w:ascii="Times New Roman" w:hAnsi="Times New Roman"/>
          <w:color w:val="000000"/>
          <w:sz w:val="24"/>
          <w:szCs w:val="24"/>
        </w:rPr>
        <w:t>the application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can </w:t>
      </w:r>
      <w:r w:rsidR="00B6112C">
        <w:rPr>
          <w:rFonts w:ascii="Times New Roman" w:hAnsi="Times New Roman"/>
          <w:color w:val="000000"/>
          <w:sz w:val="24"/>
          <w:szCs w:val="24"/>
        </w:rPr>
        <w:t xml:space="preserve">also </w:t>
      </w:r>
      <w:r>
        <w:rPr>
          <w:rFonts w:ascii="Times New Roman" w:hAnsi="Times New Roman"/>
          <w:color w:val="000000"/>
          <w:sz w:val="24"/>
          <w:szCs w:val="24"/>
        </w:rPr>
        <w:t xml:space="preserve">be </w:t>
      </w:r>
      <w:r w:rsidR="006B4888">
        <w:rPr>
          <w:rFonts w:ascii="Times New Roman" w:hAnsi="Times New Roman"/>
          <w:color w:val="000000"/>
          <w:sz w:val="24"/>
          <w:szCs w:val="24"/>
        </w:rPr>
        <w:t xml:space="preserve">accessed </w:t>
      </w:r>
      <w:r>
        <w:rPr>
          <w:rFonts w:ascii="Times New Roman" w:hAnsi="Times New Roman"/>
          <w:color w:val="000000"/>
          <w:sz w:val="24"/>
          <w:szCs w:val="24"/>
        </w:rPr>
        <w:t xml:space="preserve">from the </w:t>
      </w:r>
      <w:r w:rsidR="00B6112C">
        <w:rPr>
          <w:rFonts w:ascii="Times New Roman" w:hAnsi="Times New Roman"/>
          <w:color w:val="000000"/>
          <w:sz w:val="24"/>
          <w:szCs w:val="24"/>
        </w:rPr>
        <w:t>web</w:t>
      </w:r>
      <w:r>
        <w:rPr>
          <w:rFonts w:ascii="Times New Roman" w:hAnsi="Times New Roman"/>
          <w:color w:val="000000"/>
          <w:sz w:val="24"/>
          <w:szCs w:val="24"/>
        </w:rPr>
        <w:t>site</w:t>
      </w:r>
      <w:r w:rsidR="00B6112C">
        <w:rPr>
          <w:rFonts w:ascii="Times New Roman" w:hAnsi="Times New Roman"/>
          <w:color w:val="000000"/>
          <w:sz w:val="24"/>
          <w:szCs w:val="24"/>
        </w:rPr>
        <w:t xml:space="preserve"> listed below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0E281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0E2818" w:rsidP="000E2818" w:rsidRDefault="009632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 w:rsidRPr="004C0723" w:rsidR="000E2818">
        <w:rPr>
          <w:rFonts w:ascii="Times New Roman" w:hAnsi="Times New Roman"/>
          <w:color w:val="000000"/>
          <w:sz w:val="24"/>
          <w:szCs w:val="24"/>
        </w:rPr>
        <w:t xml:space="preserve">FLRP Website: </w:t>
      </w:r>
      <w:hyperlink w:history="1" r:id="rId15">
        <w:r w:rsidRPr="00DD5746" w:rsidR="00760D65">
          <w:rPr>
            <w:rStyle w:val="Hyperlink"/>
            <w:rFonts w:ascii="Times New Roman" w:hAnsi="Times New Roman"/>
            <w:sz w:val="24"/>
            <w:szCs w:val="24"/>
          </w:rPr>
          <w:t>https://bhw.hrsa.gov/loa</w:t>
        </w:r>
        <w:r w:rsidRPr="00DD5746" w:rsidR="00760D65">
          <w:rPr>
            <w:rStyle w:val="Hyperlink"/>
            <w:rFonts w:ascii="Times New Roman" w:hAnsi="Times New Roman"/>
            <w:sz w:val="24"/>
            <w:szCs w:val="24"/>
          </w:rPr>
          <w:t>n</w:t>
        </w:r>
        <w:r w:rsidRPr="00DD5746" w:rsidR="00760D65">
          <w:rPr>
            <w:rStyle w:val="Hyperlink"/>
            <w:rFonts w:ascii="Times New Roman" w:hAnsi="Times New Roman"/>
            <w:sz w:val="24"/>
            <w:szCs w:val="24"/>
          </w:rPr>
          <w:t>sscholarships/flr</w:t>
        </w:r>
        <w:r w:rsidRPr="00DD5746" w:rsidR="00760D65">
          <w:rPr>
            <w:rStyle w:val="Hyperlink"/>
            <w:rFonts w:ascii="Times New Roman" w:hAnsi="Times New Roman"/>
            <w:sz w:val="24"/>
            <w:szCs w:val="24"/>
          </w:rPr>
          <w:t>p</w:t>
        </w:r>
      </w:hyperlink>
      <w:r w:rsidR="00760D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2818" w:rsidP="00C43A1A" w:rsidRDefault="000E28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Pr="00F47EE5" w:rsidR="00F47EE5" w:rsidP="00F47EE5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Pr="00435D97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435D97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fforts to Identify Duplication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information requested in the application is specific to the applicant and unique to th</w:t>
      </w:r>
      <w:r w:rsidR="00B6112C">
        <w:rPr>
          <w:rFonts w:ascii="Times New Roman" w:hAnsi="Times New Roman"/>
          <w:color w:val="000000"/>
          <w:sz w:val="24"/>
          <w:szCs w:val="24"/>
        </w:rPr>
        <w:t>e</w:t>
      </w:r>
    </w:p>
    <w:p w:rsidR="00C43A1A" w:rsidP="00C43A1A" w:rsidRDefault="00B6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FLRP</w:t>
      </w:r>
      <w:r w:rsidR="00C43A1A">
        <w:rPr>
          <w:rFonts w:ascii="Times New Roman" w:hAnsi="Times New Roman"/>
          <w:color w:val="000000"/>
          <w:sz w:val="24"/>
          <w:szCs w:val="24"/>
        </w:rPr>
        <w:t>.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Pr="00435D97" w:rsidR="00DE190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</w:t>
      </w:r>
      <w:r w:rsidRPr="00435D97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mpact of Small Businesses or Other Small Entities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Pr="002E5C46" w:rsidR="009B2EF6" w:rsidP="00C43A1A" w:rsidRDefault="00DE19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5C46">
        <w:rPr>
          <w:rFonts w:ascii="Times New Roman" w:hAnsi="Times New Roman"/>
          <w:color w:val="000000"/>
          <w:sz w:val="24"/>
          <w:szCs w:val="24"/>
        </w:rPr>
        <w:t>No small businesses will be involved in this study.</w:t>
      </w:r>
      <w:r w:rsidRPr="002E5C46" w:rsidDel="00DE19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E5C46" w:rsidP="00C43A1A" w:rsidRDefault="002E5C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:rsidRDefault="000A3B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="00C43A1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6. </w:t>
      </w:r>
      <w:r w:rsidRPr="00435D97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</w:t>
      </w:r>
      <w:r w:rsidRPr="00435D97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onsequences of Collecting the Information Less Frequently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FLRP requests the information once from each applicant</w:t>
      </w:r>
      <w:r w:rsidR="004A5325"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</w:rPr>
        <w:t>Without this information, the</w:t>
      </w:r>
    </w:p>
    <w:p w:rsidR="00C43A1A" w:rsidP="00C43A1A" w:rsidRDefault="006A5E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rogram would be unable to determine </w:t>
      </w:r>
      <w:r w:rsidR="00B6112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C43A1A">
        <w:rPr>
          <w:rFonts w:ascii="Times New Roman" w:hAnsi="Times New Roman"/>
          <w:color w:val="000000"/>
          <w:sz w:val="24"/>
          <w:szCs w:val="24"/>
        </w:rPr>
        <w:t>applicant</w:t>
      </w:r>
      <w:r w:rsidR="00B6112C">
        <w:rPr>
          <w:rFonts w:ascii="Times New Roman" w:hAnsi="Times New Roman"/>
          <w:color w:val="000000"/>
          <w:sz w:val="24"/>
          <w:szCs w:val="24"/>
        </w:rPr>
        <w:t>’s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 eligibility.</w:t>
      </w:r>
      <w:r w:rsidR="005D34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3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342C">
        <w:rPr>
          <w:rFonts w:ascii="Times New Roman" w:hAnsi="Times New Roman"/>
          <w:color w:val="000000"/>
          <w:sz w:val="24"/>
          <w:szCs w:val="24"/>
        </w:rPr>
        <w:t>There are no legal obstacles to reduce the burden.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435D97" w:rsidR="009B2EF6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F257F">
        <w:rPr>
          <w:rFonts w:ascii="Times New Roman" w:hAnsi="Times New Roman"/>
          <w:b/>
          <w:bCs/>
          <w:color w:val="000000"/>
          <w:sz w:val="24"/>
          <w:szCs w:val="24"/>
        </w:rPr>
        <w:t xml:space="preserve">7. </w:t>
      </w:r>
      <w:r w:rsidRPr="00435D97" w:rsidR="005D342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Pr="00435D97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pecial Circumstances Relating to the Guidelines of</w:t>
      </w:r>
      <w:r w:rsidRPr="00435D97" w:rsidR="00647F9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435D97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 CFR 1320.5(d)(2)</w:t>
      </w:r>
    </w:p>
    <w:p w:rsidR="00E0727B" w:rsidP="00C43A1A" w:rsidRDefault="00E072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2E16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</w:t>
      </w:r>
      <w:r w:rsidR="00B6112C"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z w:val="24"/>
          <w:szCs w:val="24"/>
        </w:rPr>
        <w:t xml:space="preserve"> request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 fully complies with the </w:t>
      </w:r>
      <w:r>
        <w:rPr>
          <w:rFonts w:ascii="Times New Roman" w:hAnsi="Times New Roman"/>
          <w:color w:val="000000"/>
          <w:sz w:val="24"/>
          <w:szCs w:val="24"/>
        </w:rPr>
        <w:t>regulation.</w:t>
      </w:r>
    </w:p>
    <w:p w:rsidRPr="004C0723"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435D97" w:rsidR="009A4EF3" w:rsidP="00612E0E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435D97" w:rsidR="002E16E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</w:t>
      </w:r>
      <w:r w:rsidRPr="00435D97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omments in Response to the Federal Register Notice/Outside Consultation</w:t>
      </w:r>
    </w:p>
    <w:p w:rsidR="009A4EF3" w:rsidP="00612E0E" w:rsidRDefault="009A4E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612E0E" w:rsidRDefault="002E16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60-day Federal Register Notice was published in the </w:t>
      </w:r>
      <w:r w:rsidRPr="002C4BA3">
        <w:rPr>
          <w:rFonts w:ascii="Times New Roman" w:hAnsi="Times New Roman"/>
          <w:i/>
          <w:color w:val="000000"/>
          <w:sz w:val="24"/>
          <w:szCs w:val="24"/>
        </w:rPr>
        <w:t>Federal Register</w:t>
      </w:r>
      <w:r>
        <w:rPr>
          <w:rFonts w:ascii="Times New Roman" w:hAnsi="Times New Roman"/>
          <w:color w:val="000000"/>
          <w:sz w:val="24"/>
          <w:szCs w:val="24"/>
        </w:rPr>
        <w:t xml:space="preserve"> on </w:t>
      </w:r>
      <w:r w:rsidR="009A5929">
        <w:rPr>
          <w:rFonts w:ascii="Times New Roman" w:hAnsi="Times New Roman"/>
          <w:color w:val="000000"/>
          <w:sz w:val="24"/>
          <w:szCs w:val="24"/>
        </w:rPr>
        <w:t>October 6, 2020</w:t>
      </w:r>
      <w:r w:rsidR="00395E79">
        <w:rPr>
          <w:rFonts w:ascii="Times New Roman" w:hAnsi="Times New Roman"/>
          <w:color w:val="000000"/>
          <w:sz w:val="24"/>
          <w:szCs w:val="24"/>
        </w:rPr>
        <w:t>, Vol. 8</w:t>
      </w:r>
      <w:r w:rsidR="009A5929">
        <w:rPr>
          <w:rFonts w:ascii="Times New Roman" w:hAnsi="Times New Roman"/>
          <w:color w:val="000000"/>
          <w:sz w:val="24"/>
          <w:szCs w:val="24"/>
        </w:rPr>
        <w:t>5</w:t>
      </w:r>
      <w:r w:rsidR="005651EF">
        <w:rPr>
          <w:rFonts w:ascii="Times New Roman" w:hAnsi="Times New Roman"/>
          <w:color w:val="000000"/>
          <w:sz w:val="24"/>
          <w:szCs w:val="24"/>
        </w:rPr>
        <w:t xml:space="preserve">, No. </w:t>
      </w:r>
      <w:r w:rsidR="009A5929">
        <w:rPr>
          <w:rFonts w:ascii="Times New Roman" w:hAnsi="Times New Roman"/>
          <w:color w:val="000000"/>
          <w:sz w:val="24"/>
          <w:szCs w:val="24"/>
        </w:rPr>
        <w:t>19</w:t>
      </w:r>
      <w:r w:rsidR="00435D97">
        <w:rPr>
          <w:rFonts w:ascii="Times New Roman" w:hAnsi="Times New Roman"/>
          <w:color w:val="000000"/>
          <w:sz w:val="24"/>
          <w:szCs w:val="24"/>
        </w:rPr>
        <w:t>4</w:t>
      </w:r>
      <w:r w:rsidR="00395E79">
        <w:rPr>
          <w:rFonts w:ascii="Times New Roman" w:hAnsi="Times New Roman"/>
          <w:color w:val="000000"/>
          <w:sz w:val="24"/>
          <w:szCs w:val="24"/>
        </w:rPr>
        <w:t>; p</w:t>
      </w:r>
      <w:r w:rsidR="00D02414">
        <w:rPr>
          <w:rFonts w:ascii="Times New Roman" w:hAnsi="Times New Roman"/>
          <w:color w:val="000000"/>
          <w:sz w:val="24"/>
          <w:szCs w:val="24"/>
        </w:rPr>
        <w:t>p</w:t>
      </w:r>
      <w:r w:rsidR="00395E79">
        <w:rPr>
          <w:rFonts w:ascii="Times New Roman" w:hAnsi="Times New Roman"/>
          <w:color w:val="000000"/>
          <w:sz w:val="24"/>
          <w:szCs w:val="24"/>
        </w:rPr>
        <w:t>.</w:t>
      </w:r>
      <w:r w:rsidR="00D024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929">
        <w:rPr>
          <w:rFonts w:ascii="Times New Roman" w:hAnsi="Times New Roman"/>
          <w:color w:val="000000"/>
          <w:sz w:val="24"/>
          <w:szCs w:val="24"/>
        </w:rPr>
        <w:t>6312</w:t>
      </w:r>
      <w:r w:rsidR="005651EF">
        <w:rPr>
          <w:rFonts w:ascii="Times New Roman" w:hAnsi="Times New Roman"/>
          <w:color w:val="000000"/>
          <w:sz w:val="24"/>
          <w:szCs w:val="24"/>
        </w:rPr>
        <w:t>0</w:t>
      </w:r>
      <w:r w:rsidR="009A5929">
        <w:rPr>
          <w:rFonts w:ascii="Times New Roman" w:hAnsi="Times New Roman"/>
          <w:color w:val="000000"/>
          <w:sz w:val="24"/>
          <w:szCs w:val="24"/>
        </w:rPr>
        <w:t>-63121</w:t>
      </w:r>
      <w:r w:rsidR="00395E7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A3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0847" w:rsidR="00395E79">
        <w:rPr>
          <w:rFonts w:ascii="Times New Roman" w:hAnsi="Times New Roman"/>
          <w:color w:val="000000"/>
          <w:sz w:val="24"/>
          <w:szCs w:val="24"/>
        </w:rPr>
        <w:t>There were no public comments</w:t>
      </w:r>
      <w:r w:rsidRPr="00E60847" w:rsidR="004A5325">
        <w:rPr>
          <w:rFonts w:ascii="Times New Roman" w:hAnsi="Times New Roman"/>
          <w:color w:val="000000"/>
          <w:sz w:val="24"/>
          <w:szCs w:val="24"/>
        </w:rPr>
        <w:t>.</w:t>
      </w:r>
      <w:r w:rsidR="004A5325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0E2818" w:rsidP="00342C86" w:rsidRDefault="000E28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5E79" w:rsidP="00C43A1A" w:rsidRDefault="00395E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929">
        <w:rPr>
          <w:rFonts w:ascii="Times New Roman" w:hAnsi="Times New Roman"/>
          <w:color w:val="000000"/>
          <w:sz w:val="24"/>
          <w:szCs w:val="24"/>
        </w:rPr>
        <w:t>Section 8B:</w:t>
      </w:r>
    </w:p>
    <w:p w:rsidRPr="009A5929" w:rsidR="007C7497" w:rsidP="00C43A1A" w:rsidRDefault="007C7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9A5929" w:rsidR="00395E79" w:rsidP="00853584" w:rsidRDefault="009A5929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 w:val="24"/>
        </w:rPr>
      </w:pPr>
      <w:r w:rsidRPr="009A5929">
        <w:rPr>
          <w:rFonts w:ascii="Times New Roman" w:hAnsi="Times New Roman"/>
          <w:color w:val="000000"/>
          <w:sz w:val="24"/>
          <w:szCs w:val="24"/>
        </w:rPr>
        <w:t>Thi</w:t>
      </w:r>
      <w:r w:rsidRPr="009A5929">
        <w:rPr>
          <w:rFonts w:ascii="Times New Roman" w:hAnsi="Times New Roman"/>
          <w:sz w:val="24"/>
        </w:rPr>
        <w:t xml:space="preserve">s program has consulted with </w:t>
      </w:r>
      <w:r w:rsidR="007C7497">
        <w:rPr>
          <w:rFonts w:ascii="Times New Roman" w:hAnsi="Times New Roman"/>
          <w:sz w:val="24"/>
        </w:rPr>
        <w:t>five (5)</w:t>
      </w:r>
      <w:r w:rsidR="0010003E">
        <w:rPr>
          <w:rFonts w:ascii="Times New Roman" w:hAnsi="Times New Roman"/>
          <w:sz w:val="24"/>
        </w:rPr>
        <w:t xml:space="preserve"> </w:t>
      </w:r>
      <w:r w:rsidRPr="009A5929" w:rsidR="0010003E">
        <w:rPr>
          <w:rFonts w:ascii="Times New Roman" w:hAnsi="Times New Roman"/>
          <w:sz w:val="24"/>
        </w:rPr>
        <w:t>individuals</w:t>
      </w:r>
      <w:r w:rsidRPr="009A5929">
        <w:rPr>
          <w:rFonts w:ascii="Times New Roman" w:hAnsi="Times New Roman"/>
          <w:sz w:val="24"/>
        </w:rPr>
        <w:t xml:space="preserve"> to obtain constructive feedback to improve the application, improve efficiency, and minimize the collection burden.  The comments on clarity of the application and forms were positive. </w:t>
      </w:r>
      <w:r w:rsidR="006A5EB0">
        <w:rPr>
          <w:rFonts w:ascii="Times New Roman" w:hAnsi="Times New Roman"/>
          <w:sz w:val="24"/>
        </w:rPr>
        <w:t xml:space="preserve"> </w:t>
      </w:r>
      <w:r w:rsidRPr="009A5929">
        <w:rPr>
          <w:rFonts w:ascii="Times New Roman" w:hAnsi="Times New Roman"/>
          <w:sz w:val="24"/>
        </w:rPr>
        <w:t xml:space="preserve">The applicants found the application instructions and materials to be clear and </w:t>
      </w:r>
      <w:r w:rsidRPr="009A5929" w:rsidR="00977EFD">
        <w:rPr>
          <w:rFonts w:ascii="Times New Roman" w:hAnsi="Times New Roman"/>
          <w:sz w:val="24"/>
        </w:rPr>
        <w:t>straightforward</w:t>
      </w:r>
      <w:r w:rsidRPr="009A5929">
        <w:rPr>
          <w:rFonts w:ascii="Times New Roman" w:hAnsi="Times New Roman"/>
          <w:sz w:val="24"/>
        </w:rPr>
        <w:t xml:space="preserve">. </w:t>
      </w:r>
      <w:r w:rsidR="006A5EB0">
        <w:rPr>
          <w:rFonts w:ascii="Times New Roman" w:hAnsi="Times New Roman"/>
          <w:sz w:val="24"/>
        </w:rPr>
        <w:t xml:space="preserve"> </w:t>
      </w:r>
      <w:r w:rsidRPr="009A5929">
        <w:rPr>
          <w:rFonts w:ascii="Times New Roman" w:hAnsi="Times New Roman"/>
          <w:sz w:val="24"/>
        </w:rPr>
        <w:t>There were no suggestions for improvement.</w:t>
      </w:r>
      <w:r w:rsidRPr="5B7AB0A9">
        <w:rPr>
          <w:sz w:val="24"/>
        </w:rPr>
        <w:t xml:space="preserve"> </w:t>
      </w:r>
    </w:p>
    <w:p w:rsidR="009B2EF6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 </w:t>
      </w:r>
      <w:r w:rsidRPr="00435D97" w:rsidR="00395E7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435D97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xplanation of Any Payment/Gift to Respondents</w:t>
      </w:r>
    </w:p>
    <w:p w:rsidR="00E0727B" w:rsidP="00C43A1A" w:rsidRDefault="00E072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Respondents will not </w:t>
      </w:r>
      <w:r w:rsidR="00395E79">
        <w:rPr>
          <w:rFonts w:ascii="Times New Roman" w:hAnsi="Times New Roman"/>
          <w:color w:val="000000"/>
          <w:sz w:val="24"/>
          <w:szCs w:val="24"/>
        </w:rPr>
        <w:t>receive any payments or gifts.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5B1ECB"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10. </w:t>
      </w:r>
      <w:r w:rsidRPr="005B1ECB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5B1ECB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ssurance of Confidentiality </w:t>
      </w:r>
      <w:r w:rsidRPr="005B1ECB" w:rsidR="00231EA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Provided to Respondents</w:t>
      </w:r>
    </w:p>
    <w:p w:rsidRPr="005B1ECB"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3A1A" w:rsidP="00C43A1A" w:rsidRDefault="004472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 will be kept private to the extent allowed by law.</w:t>
      </w:r>
      <w:r w:rsidR="00B215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3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>The Right to Financial Privacy Act (RFPA), Pub</w:t>
      </w:r>
      <w:r w:rsidR="004A532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C43A1A">
        <w:rPr>
          <w:rFonts w:ascii="Times New Roman" w:hAnsi="Times New Roman"/>
          <w:color w:val="000000"/>
          <w:sz w:val="24"/>
          <w:szCs w:val="24"/>
        </w:rPr>
        <w:t>L. 95-630, regulates any financial institution</w:t>
      </w:r>
      <w:r w:rsidR="006869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>that provides a Federal agency with access to information contained in the financial records of a</w:t>
      </w:r>
      <w:r w:rsidR="006869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>customer</w:t>
      </w:r>
      <w:r w:rsidR="004A532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C43A1A">
        <w:rPr>
          <w:rFonts w:ascii="Times New Roman" w:hAnsi="Times New Roman"/>
          <w:color w:val="000000"/>
          <w:sz w:val="24"/>
          <w:szCs w:val="24"/>
        </w:rPr>
        <w:t>Section 1102(a) prohibits government access to financial records unless one of five</w:t>
      </w:r>
      <w:r w:rsidR="006869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procedures is used and the records are "reasonably described." </w:t>
      </w:r>
      <w:r w:rsidR="006A5E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>The procedure being used by</w:t>
      </w:r>
      <w:r w:rsidR="006869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FLRP requires the applicant to submit </w:t>
      </w:r>
      <w:r w:rsidR="006868B8">
        <w:rPr>
          <w:rFonts w:ascii="Times New Roman" w:hAnsi="Times New Roman"/>
          <w:color w:val="000000"/>
          <w:sz w:val="24"/>
          <w:szCs w:val="24"/>
        </w:rPr>
        <w:t xml:space="preserve">loan documentation 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 that verifies the establishment of the</w:t>
      </w:r>
      <w:r w:rsidR="006869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>loan(s) and lender statement(s), which identifies the current loan balance(s), verifies the</w:t>
      </w:r>
      <w:r w:rsidR="006869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applicant’s address and provides the applicant’s Social Security Number. </w:t>
      </w:r>
      <w:r w:rsidR="006A5E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All applicants </w:t>
      </w:r>
      <w:r w:rsidR="004B7BB5">
        <w:rPr>
          <w:rFonts w:ascii="Times New Roman" w:hAnsi="Times New Roman"/>
          <w:color w:val="000000"/>
          <w:sz w:val="24"/>
          <w:szCs w:val="24"/>
        </w:rPr>
        <w:t xml:space="preserve">must </w:t>
      </w:r>
      <w:r w:rsidR="00C43A1A">
        <w:rPr>
          <w:rFonts w:ascii="Times New Roman" w:hAnsi="Times New Roman"/>
          <w:color w:val="000000"/>
          <w:sz w:val="24"/>
          <w:szCs w:val="24"/>
        </w:rPr>
        <w:t>comply</w:t>
      </w:r>
      <w:r w:rsidR="006869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A1A">
        <w:rPr>
          <w:rFonts w:ascii="Times New Roman" w:hAnsi="Times New Roman"/>
          <w:color w:val="000000"/>
          <w:sz w:val="24"/>
          <w:szCs w:val="24"/>
        </w:rPr>
        <w:t>with this requirement.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Privacy Act Notification Statement is included on the FLRP website which describes the</w:t>
      </w: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purpose of the information collection and the potential disclosures. </w:t>
      </w:r>
      <w:r w:rsidR="00DF09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Privacy Act System of</w:t>
      </w:r>
    </w:p>
    <w:p w:rsidR="0075686D" w:rsidP="009D7DF7" w:rsidRDefault="004A5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Records</w:t>
      </w:r>
      <w:r w:rsidRPr="000475CA">
        <w:rPr>
          <w:rFonts w:ascii="Times New Roman" w:hAnsi="Times New Roman"/>
          <w:color w:val="000000"/>
          <w:sz w:val="24"/>
          <w:szCs w:val="24"/>
        </w:rPr>
        <w:t>, #09-15-0058, have</w:t>
      </w:r>
      <w:r w:rsidRPr="000475CA" w:rsidR="00C43A1A">
        <w:rPr>
          <w:rFonts w:ascii="Times New Roman" w:hAnsi="Times New Roman"/>
          <w:color w:val="000000"/>
          <w:sz w:val="24"/>
          <w:szCs w:val="24"/>
        </w:rPr>
        <w:t xml:space="preserve"> been established for the </w:t>
      </w:r>
      <w:r w:rsidR="005B1ECB">
        <w:rPr>
          <w:rFonts w:ascii="Times New Roman" w:hAnsi="Times New Roman"/>
          <w:color w:val="000000"/>
          <w:sz w:val="24"/>
          <w:szCs w:val="24"/>
        </w:rPr>
        <w:t xml:space="preserve">FLRP, </w:t>
      </w:r>
      <w:r w:rsidRPr="000475CA" w:rsidR="00C43A1A">
        <w:rPr>
          <w:rFonts w:ascii="Times New Roman" w:hAnsi="Times New Roman"/>
          <w:color w:val="000000"/>
          <w:sz w:val="24"/>
          <w:szCs w:val="24"/>
        </w:rPr>
        <w:t>HHS/HRSA/</w:t>
      </w:r>
      <w:r w:rsidRPr="000475CA" w:rsidR="0044724C">
        <w:rPr>
          <w:rFonts w:ascii="Times New Roman" w:hAnsi="Times New Roman"/>
          <w:color w:val="000000"/>
          <w:sz w:val="24"/>
          <w:szCs w:val="24"/>
        </w:rPr>
        <w:t>B</w:t>
      </w:r>
      <w:r w:rsidR="0044724C">
        <w:rPr>
          <w:rFonts w:ascii="Times New Roman" w:hAnsi="Times New Roman"/>
          <w:color w:val="000000"/>
          <w:sz w:val="24"/>
          <w:szCs w:val="24"/>
        </w:rPr>
        <w:t>HW</w:t>
      </w:r>
      <w:r w:rsidRPr="000475CA" w:rsidR="00C43A1A">
        <w:rPr>
          <w:rFonts w:ascii="Times New Roman" w:hAnsi="Times New Roman"/>
          <w:color w:val="000000"/>
          <w:sz w:val="24"/>
          <w:szCs w:val="24"/>
        </w:rPr>
        <w:t>.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7497" w:rsidP="009D7DF7" w:rsidRDefault="007C7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11. </w:t>
      </w:r>
      <w:r w:rsidRPr="00F47EE5" w:rsidR="00F47EE5"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  <w:r w:rsidRPr="005B1ECB" w:rsidR="003C1C06">
        <w:rPr>
          <w:rFonts w:ascii="Times New Roman" w:hAnsi="Times New Roman" w:eastAsia="Times New Roman"/>
          <w:b/>
          <w:bCs/>
          <w:sz w:val="24"/>
          <w:szCs w:val="24"/>
          <w:u w:val="single"/>
        </w:rPr>
        <w:t>J</w:t>
      </w:r>
      <w:r w:rsidRPr="005B1ECB" w:rsidR="009A4EF3">
        <w:rPr>
          <w:rFonts w:ascii="Times New Roman" w:hAnsi="Times New Roman" w:eastAsia="Times New Roman"/>
          <w:b/>
          <w:bCs/>
          <w:sz w:val="24"/>
          <w:szCs w:val="24"/>
          <w:u w:val="single"/>
        </w:rPr>
        <w:t>ustification for Sensitive Questions</w:t>
      </w:r>
      <w:r w:rsidRPr="00526C44" w:rsidR="00F47E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2E0E" w:rsidP="00C43A1A" w:rsidRDefault="00F4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47EE5">
        <w:rPr>
          <w:rFonts w:ascii="Times New Roman" w:hAnsi="Times New Roman"/>
          <w:color w:val="000000"/>
          <w:sz w:val="24"/>
          <w:szCs w:val="24"/>
        </w:rPr>
        <w:t xml:space="preserve">Questions regarding race and ethnicity are </w:t>
      </w:r>
      <w:r>
        <w:rPr>
          <w:rFonts w:ascii="Times New Roman" w:hAnsi="Times New Roman"/>
          <w:color w:val="000000"/>
          <w:sz w:val="24"/>
          <w:szCs w:val="24"/>
        </w:rPr>
        <w:t>asked in the online application;</w:t>
      </w:r>
      <w:r w:rsidRPr="00F47EE5">
        <w:rPr>
          <w:rFonts w:ascii="Times New Roman" w:hAnsi="Times New Roman"/>
          <w:color w:val="000000"/>
          <w:sz w:val="24"/>
          <w:szCs w:val="24"/>
        </w:rPr>
        <w:t xml:space="preserve"> however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47EE5">
        <w:rPr>
          <w:rFonts w:ascii="Times New Roman" w:hAnsi="Times New Roman"/>
          <w:color w:val="000000"/>
          <w:sz w:val="24"/>
          <w:szCs w:val="24"/>
        </w:rPr>
        <w:t xml:space="preserve"> responses to these questions are optional</w:t>
      </w:r>
      <w:r w:rsidR="004A532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9D7DF7" w:rsidR="009D7DF7">
        <w:rPr>
          <w:rFonts w:ascii="Times New Roman" w:hAnsi="Times New Roman"/>
          <w:color w:val="000000"/>
          <w:sz w:val="24"/>
          <w:szCs w:val="24"/>
        </w:rPr>
        <w:t xml:space="preserve">The disclosure of the applicant's Social Security Number (SSN) is required by section 4 of the Debt Collection Act of 1982 (26 U.S.C. 6103) and the applicant </w:t>
      </w:r>
      <w:r w:rsidRPr="009D7DF7" w:rsidR="009D7DF7">
        <w:rPr>
          <w:rFonts w:ascii="Times New Roman" w:hAnsi="Times New Roman"/>
          <w:color w:val="000000"/>
          <w:sz w:val="24"/>
          <w:szCs w:val="24"/>
        </w:rPr>
        <w:lastRenderedPageBreak/>
        <w:t xml:space="preserve">provides this information on </w:t>
      </w:r>
      <w:r w:rsidR="004B7BB5">
        <w:rPr>
          <w:rFonts w:ascii="Times New Roman" w:hAnsi="Times New Roman"/>
          <w:color w:val="000000"/>
          <w:sz w:val="24"/>
          <w:szCs w:val="24"/>
        </w:rPr>
        <w:t>the</w:t>
      </w:r>
      <w:r w:rsidRPr="009D7DF7" w:rsidR="009D7DF7">
        <w:rPr>
          <w:rFonts w:ascii="Times New Roman" w:hAnsi="Times New Roman"/>
          <w:color w:val="000000"/>
          <w:sz w:val="24"/>
          <w:szCs w:val="24"/>
        </w:rPr>
        <w:t xml:space="preserve"> lender statement(s)</w:t>
      </w:r>
      <w:r w:rsidRPr="009D7DF7" w:rsidR="004A5325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9D7DF7" w:rsidR="009D7DF7">
        <w:rPr>
          <w:rFonts w:ascii="Times New Roman" w:hAnsi="Times New Roman"/>
          <w:color w:val="000000"/>
          <w:sz w:val="24"/>
          <w:szCs w:val="24"/>
        </w:rPr>
        <w:t>The disclosure o</w:t>
      </w:r>
      <w:r w:rsidR="009D7DF7">
        <w:rPr>
          <w:rFonts w:ascii="Times New Roman" w:hAnsi="Times New Roman"/>
          <w:color w:val="000000"/>
          <w:sz w:val="24"/>
          <w:szCs w:val="24"/>
        </w:rPr>
        <w:t xml:space="preserve">f the Social Security Number is </w:t>
      </w:r>
      <w:r w:rsidRPr="009D7DF7" w:rsidR="009D7DF7">
        <w:rPr>
          <w:rFonts w:ascii="Times New Roman" w:hAnsi="Times New Roman"/>
          <w:color w:val="000000"/>
          <w:sz w:val="24"/>
          <w:szCs w:val="24"/>
        </w:rPr>
        <w:t>required for participation in the program, since the amounts repaid to lenders must be reported to</w:t>
      </w:r>
      <w:r w:rsidR="009D7D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7DF7" w:rsidR="009D7DF7">
        <w:rPr>
          <w:rFonts w:ascii="Times New Roman" w:hAnsi="Times New Roman"/>
          <w:color w:val="000000"/>
          <w:sz w:val="24"/>
          <w:szCs w:val="24"/>
        </w:rPr>
        <w:t>the Internal Revenue Service as "other income" on IRS Form 1099.</w:t>
      </w:r>
      <w:r w:rsidR="000A3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7DF7" w:rsidR="009D7DF7">
        <w:rPr>
          <w:rFonts w:ascii="Times New Roman" w:hAnsi="Times New Roman"/>
          <w:color w:val="000000"/>
          <w:sz w:val="24"/>
          <w:szCs w:val="24"/>
        </w:rPr>
        <w:t xml:space="preserve"> Safeguards are followed</w:t>
      </w:r>
      <w:r w:rsidR="009D7D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7DF7" w:rsidR="009D7DF7">
        <w:rPr>
          <w:rFonts w:ascii="Times New Roman" w:hAnsi="Times New Roman"/>
          <w:color w:val="000000"/>
          <w:sz w:val="24"/>
          <w:szCs w:val="24"/>
        </w:rPr>
        <w:t>concerning the use of the SSN in the Privacy Act of 1974 (5 U.S.C. 552a note).</w:t>
      </w:r>
    </w:p>
    <w:p w:rsidR="005A2198" w:rsidP="00C43A1A" w:rsidRDefault="005A2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C8661A" w:rsidR="00C43A1A" w:rsidP="0075686D" w:rsidRDefault="00C43A1A">
      <w:pPr>
        <w:tabs>
          <w:tab w:val="left" w:pos="8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661A">
        <w:rPr>
          <w:rFonts w:ascii="Times New Roman" w:hAnsi="Times New Roman"/>
          <w:b/>
          <w:bCs/>
          <w:color w:val="000000"/>
          <w:sz w:val="24"/>
          <w:szCs w:val="24"/>
        </w:rPr>
        <w:t>12.</w:t>
      </w:r>
      <w:r w:rsidRPr="00C8661A" w:rsidR="00647F9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B1ECB" w:rsidR="00647F9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A. </w:t>
      </w:r>
      <w:r w:rsidRPr="005B1ECB" w:rsidR="003C1C0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5B1ECB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stimates of Annualized Burden Hours</w:t>
      </w:r>
    </w:p>
    <w:p w:rsidRPr="00C8661A" w:rsidR="00647F9C" w:rsidP="0075686D" w:rsidRDefault="00647F9C">
      <w:pPr>
        <w:tabs>
          <w:tab w:val="left" w:pos="8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50"/>
        <w:gridCol w:w="1530"/>
        <w:gridCol w:w="1505"/>
        <w:gridCol w:w="1367"/>
        <w:gridCol w:w="1286"/>
        <w:gridCol w:w="1124"/>
      </w:tblGrid>
      <w:tr w:rsidRPr="00C8661A" w:rsidR="00585676" w:rsidTr="000A3B08">
        <w:tc>
          <w:tcPr>
            <w:tcW w:w="1458" w:type="dxa"/>
            <w:shd w:val="clear" w:color="auto" w:fill="auto"/>
          </w:tcPr>
          <w:p w:rsidRPr="00C8661A" w:rsidR="00585676" w:rsidP="000A3B0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Type of Respondent</w:t>
            </w:r>
          </w:p>
        </w:tc>
        <w:tc>
          <w:tcPr>
            <w:tcW w:w="2250" w:type="dxa"/>
            <w:shd w:val="clear" w:color="auto" w:fill="auto"/>
          </w:tcPr>
          <w:p w:rsidRPr="00C8661A" w:rsidR="00585676" w:rsidP="000A3B0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 Name</w:t>
            </w:r>
          </w:p>
        </w:tc>
        <w:tc>
          <w:tcPr>
            <w:tcW w:w="1530" w:type="dxa"/>
            <w:shd w:val="clear" w:color="auto" w:fill="auto"/>
          </w:tcPr>
          <w:p w:rsidRPr="00C8661A" w:rsidR="00585676" w:rsidP="000A3B0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No. of Respondents</w:t>
            </w:r>
          </w:p>
        </w:tc>
        <w:tc>
          <w:tcPr>
            <w:tcW w:w="1505" w:type="dxa"/>
            <w:shd w:val="clear" w:color="auto" w:fill="auto"/>
          </w:tcPr>
          <w:p w:rsidRPr="00C8661A" w:rsidR="00585676" w:rsidP="000A3B0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  <w:r w:rsidRPr="00C8661A" w:rsidR="004A53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 </w:t>
            </w: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Responses per Respondent</w:t>
            </w:r>
          </w:p>
        </w:tc>
        <w:tc>
          <w:tcPr>
            <w:tcW w:w="1367" w:type="dxa"/>
          </w:tcPr>
          <w:p w:rsidRPr="00C8661A" w:rsidR="00585676" w:rsidP="000A3B0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Responses</w:t>
            </w:r>
          </w:p>
        </w:tc>
        <w:tc>
          <w:tcPr>
            <w:tcW w:w="1286" w:type="dxa"/>
            <w:shd w:val="clear" w:color="auto" w:fill="auto"/>
          </w:tcPr>
          <w:p w:rsidRPr="00C8661A" w:rsidR="00585676" w:rsidP="000A3B0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Average Burden per Response (in hours)</w:t>
            </w:r>
          </w:p>
        </w:tc>
        <w:tc>
          <w:tcPr>
            <w:tcW w:w="1124" w:type="dxa"/>
            <w:shd w:val="clear" w:color="auto" w:fill="auto"/>
          </w:tcPr>
          <w:p w:rsidRPr="00C8661A" w:rsidR="00585676" w:rsidP="000A3B0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Burden Hours</w:t>
            </w:r>
          </w:p>
        </w:tc>
      </w:tr>
      <w:tr w:rsidRPr="00C8661A" w:rsidR="00585676" w:rsidTr="000A3B08">
        <w:tc>
          <w:tcPr>
            <w:tcW w:w="1458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Applicant</w:t>
            </w:r>
          </w:p>
        </w:tc>
        <w:tc>
          <w:tcPr>
            <w:tcW w:w="2250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Eligible Application</w:t>
            </w:r>
            <w:r w:rsidR="005A21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30" w:type="dxa"/>
            <w:shd w:val="clear" w:color="auto" w:fill="auto"/>
          </w:tcPr>
          <w:p w:rsidRPr="00C8661A" w:rsidR="00585676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05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Pr="00C8661A" w:rsidR="00585676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86" w:type="dxa"/>
            <w:shd w:val="clear" w:color="auto" w:fill="auto"/>
          </w:tcPr>
          <w:p w:rsidRPr="00C8661A" w:rsidR="00585676" w:rsidP="001E52B9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Pr="00C8661A" w:rsidR="00585676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Pr="00C8661A" w:rsidR="005A2198" w:rsidTr="000A3B08">
        <w:tc>
          <w:tcPr>
            <w:tcW w:w="1458" w:type="dxa"/>
            <w:shd w:val="clear" w:color="auto" w:fill="auto"/>
          </w:tcPr>
          <w:p w:rsidRPr="00C8661A" w:rsidR="005A2198" w:rsidP="005A219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2250" w:type="dxa"/>
            <w:shd w:val="clear" w:color="auto" w:fill="auto"/>
          </w:tcPr>
          <w:p w:rsidRPr="00C8661A" w:rsidR="005A2198" w:rsidP="005A219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Institution/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Loan Repayment Employment Form</w:t>
            </w:r>
          </w:p>
        </w:tc>
        <w:tc>
          <w:tcPr>
            <w:tcW w:w="1530" w:type="dxa"/>
            <w:shd w:val="clear" w:color="auto" w:fill="auto"/>
          </w:tcPr>
          <w:p w:rsidRPr="00C8661A" w:rsidR="005A2198" w:rsidP="005A219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505" w:type="dxa"/>
            <w:shd w:val="clear" w:color="auto" w:fill="auto"/>
          </w:tcPr>
          <w:p w:rsidRPr="00C8661A" w:rsidR="005A2198" w:rsidP="005A219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Pr="00C8661A" w:rsidR="005A2198" w:rsidP="005A219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86" w:type="dxa"/>
            <w:shd w:val="clear" w:color="auto" w:fill="auto"/>
          </w:tcPr>
          <w:p w:rsidRPr="00C8661A" w:rsidR="005A2198" w:rsidP="005A219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Pr="00C8661A" w:rsidR="005A2198" w:rsidP="005A219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Pr="00C8661A" w:rsidR="00585676" w:rsidTr="000A3B08">
        <w:tc>
          <w:tcPr>
            <w:tcW w:w="1458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Applicant</w:t>
            </w:r>
          </w:p>
        </w:tc>
        <w:tc>
          <w:tcPr>
            <w:tcW w:w="2250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Authorization to Release Information Form</w:t>
            </w:r>
          </w:p>
        </w:tc>
        <w:tc>
          <w:tcPr>
            <w:tcW w:w="1530" w:type="dxa"/>
            <w:shd w:val="clear" w:color="auto" w:fill="auto"/>
          </w:tcPr>
          <w:p w:rsidRPr="00C8661A" w:rsidR="00585676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05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Pr="00C8661A" w:rsidR="00585676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86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.25</w:t>
            </w:r>
          </w:p>
        </w:tc>
        <w:tc>
          <w:tcPr>
            <w:tcW w:w="1124" w:type="dxa"/>
            <w:shd w:val="clear" w:color="auto" w:fill="auto"/>
          </w:tcPr>
          <w:p w:rsidRPr="00C8661A" w:rsidR="00585676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46.5</w:t>
            </w:r>
          </w:p>
        </w:tc>
      </w:tr>
      <w:tr w:rsidRPr="00C8661A" w:rsidR="005A2198" w:rsidTr="000A3B08">
        <w:tc>
          <w:tcPr>
            <w:tcW w:w="1458" w:type="dxa"/>
            <w:shd w:val="clear" w:color="auto" w:fill="auto"/>
          </w:tcPr>
          <w:p w:rsidRPr="00C8661A" w:rsidR="005A2198" w:rsidP="009865F8" w:rsidRDefault="003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324C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2250" w:type="dxa"/>
            <w:shd w:val="clear" w:color="auto" w:fill="auto"/>
          </w:tcPr>
          <w:p w:rsidRPr="00C8661A" w:rsidR="005A2198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Disadvantaged Background Form</w:t>
            </w:r>
          </w:p>
        </w:tc>
        <w:tc>
          <w:tcPr>
            <w:tcW w:w="1530" w:type="dxa"/>
            <w:shd w:val="clear" w:color="auto" w:fill="auto"/>
          </w:tcPr>
          <w:p w:rsidR="005A2198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05" w:type="dxa"/>
            <w:shd w:val="clear" w:color="auto" w:fill="auto"/>
          </w:tcPr>
          <w:p w:rsidRPr="00C8661A" w:rsidR="005A2198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5A2198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86" w:type="dxa"/>
            <w:shd w:val="clear" w:color="auto" w:fill="auto"/>
          </w:tcPr>
          <w:p w:rsidRPr="00C8661A" w:rsidR="005A2198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</w:t>
            </w:r>
          </w:p>
        </w:tc>
        <w:tc>
          <w:tcPr>
            <w:tcW w:w="1124" w:type="dxa"/>
            <w:shd w:val="clear" w:color="auto" w:fill="auto"/>
          </w:tcPr>
          <w:p w:rsidR="005A2198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37.2</w:t>
            </w:r>
          </w:p>
        </w:tc>
      </w:tr>
      <w:tr w:rsidRPr="009865F8" w:rsidR="00585676" w:rsidTr="000A3B08">
        <w:tc>
          <w:tcPr>
            <w:tcW w:w="1458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50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Pr="00C8661A" w:rsidR="00585676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505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Pr="00C8661A" w:rsidR="00585676" w:rsidP="009865F8" w:rsidRDefault="00184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286" w:type="dxa"/>
            <w:shd w:val="clear" w:color="auto" w:fill="auto"/>
          </w:tcPr>
          <w:p w:rsidRPr="00C8661A" w:rsidR="00585676" w:rsidP="009865F8" w:rsidRDefault="0058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Pr="00526C44" w:rsidR="00585676" w:rsidP="009865F8" w:rsidRDefault="005A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455.</w:t>
            </w:r>
            <w:r w:rsidRPr="008029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</w:t>
            </w:r>
          </w:p>
        </w:tc>
      </w:tr>
    </w:tbl>
    <w:p w:rsidRPr="00FF5FD1" w:rsidR="009B2EF6" w:rsidP="00A54F90" w:rsidRDefault="00A54F9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*</w:t>
      </w:r>
      <w:r w:rsidRPr="00FF5FD1" w:rsidR="00FF5FD1">
        <w:rPr>
          <w:rFonts w:ascii="Times New Roman" w:hAnsi="Times New Roman"/>
          <w:bCs/>
          <w:color w:val="000000"/>
          <w:sz w:val="20"/>
          <w:szCs w:val="20"/>
        </w:rPr>
        <w:t>Respondent for this form is the institution for the applicant.</w:t>
      </w:r>
    </w:p>
    <w:p w:rsidRPr="00FF5FD1" w:rsidR="00FF5FD1" w:rsidP="00C43A1A" w:rsidRDefault="00FF5F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451795" w:rsidP="00C43A1A" w:rsidRDefault="00D66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Burden estimates were derived from information provided by applicants and institutions completing the required application package and forms.</w:t>
      </w:r>
      <w:r w:rsidR="000A37C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558E">
        <w:rPr>
          <w:rFonts w:ascii="Times New Roman" w:hAnsi="Times New Roman"/>
          <w:color w:val="000000"/>
          <w:sz w:val="24"/>
          <w:szCs w:val="24"/>
        </w:rPr>
        <w:t>The application</w:t>
      </w:r>
      <w:r w:rsidRPr="00682797" w:rsidR="008029E5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C7558E">
        <w:rPr>
          <w:rFonts w:ascii="Times New Roman" w:hAnsi="Times New Roman"/>
          <w:color w:val="000000"/>
          <w:sz w:val="24"/>
          <w:szCs w:val="24"/>
        </w:rPr>
        <w:t>nd employment forms require</w:t>
      </w:r>
      <w:r w:rsidRPr="00C7558E" w:rsidR="00C7558E">
        <w:rPr>
          <w:rFonts w:ascii="Times New Roman" w:hAnsi="Times New Roman"/>
          <w:color w:val="000000"/>
          <w:sz w:val="24"/>
          <w:szCs w:val="24"/>
        </w:rPr>
        <w:t xml:space="preserve"> 1 hour</w:t>
      </w:r>
      <w:r w:rsidR="00136E32">
        <w:rPr>
          <w:rFonts w:ascii="Times New Roman" w:hAnsi="Times New Roman"/>
          <w:color w:val="000000"/>
          <w:sz w:val="24"/>
          <w:szCs w:val="24"/>
        </w:rPr>
        <w:t xml:space="preserve"> each</w:t>
      </w:r>
      <w:r w:rsidRPr="00C7558E" w:rsidR="00C7558E">
        <w:rPr>
          <w:rFonts w:ascii="Times New Roman" w:hAnsi="Times New Roman"/>
          <w:color w:val="000000"/>
          <w:sz w:val="24"/>
          <w:szCs w:val="24"/>
        </w:rPr>
        <w:t xml:space="preserve"> to complete</w:t>
      </w:r>
      <w:r w:rsidR="00136E3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A3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558E">
        <w:rPr>
          <w:rFonts w:ascii="Times New Roman" w:hAnsi="Times New Roman"/>
          <w:color w:val="000000"/>
          <w:sz w:val="24"/>
          <w:szCs w:val="24"/>
        </w:rPr>
        <w:t>Authorization to Release Information</w:t>
      </w:r>
      <w:r>
        <w:rPr>
          <w:rFonts w:ascii="Times New Roman" w:hAnsi="Times New Roman"/>
          <w:color w:val="000000"/>
          <w:sz w:val="24"/>
          <w:szCs w:val="24"/>
        </w:rPr>
        <w:t xml:space="preserve"> required</w:t>
      </w:r>
      <w:r w:rsidR="00C7558E">
        <w:rPr>
          <w:rFonts w:ascii="Times New Roman" w:hAnsi="Times New Roman"/>
          <w:color w:val="000000"/>
          <w:sz w:val="24"/>
          <w:szCs w:val="24"/>
        </w:rPr>
        <w:t xml:space="preserve"> 15 minutes to complete</w:t>
      </w:r>
      <w:r w:rsidR="004F0091">
        <w:rPr>
          <w:rFonts w:ascii="Times New Roman" w:hAnsi="Times New Roman"/>
          <w:color w:val="000000"/>
          <w:sz w:val="24"/>
          <w:szCs w:val="24"/>
        </w:rPr>
        <w:t xml:space="preserve"> or .25 hour.  </w:t>
      </w:r>
      <w:r w:rsidR="008029E5">
        <w:rPr>
          <w:rFonts w:ascii="Times New Roman" w:hAnsi="Times New Roman"/>
          <w:color w:val="000000"/>
          <w:sz w:val="24"/>
          <w:szCs w:val="24"/>
        </w:rPr>
        <w:t xml:space="preserve">The Disadvantaged Background Form required 12 minutes to complete or .20 hour.  </w:t>
      </w:r>
      <w:r w:rsidRPr="00C7558E" w:rsidR="00C7558E">
        <w:rPr>
          <w:rFonts w:ascii="Times New Roman" w:hAnsi="Times New Roman"/>
          <w:color w:val="000000"/>
          <w:sz w:val="24"/>
          <w:szCs w:val="24"/>
        </w:rPr>
        <w:t>The hour-burden estimates include the time for reviewing instructions, searching existing data sources, gathering and maintaining the data needed, and completing and reviewing the collection of information</w:t>
      </w:r>
      <w:r w:rsidRPr="00C7558E" w:rsidR="004A5325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1C0224" w:rsidP="00647F9C" w:rsidRDefault="001C02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Pr="00451795" w:rsidR="00ED33F8" w:rsidP="00647F9C" w:rsidRDefault="00ED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51795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451795" w:rsidR="002C4B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B1ECB">
        <w:rPr>
          <w:rFonts w:ascii="Times New Roman" w:hAnsi="Times New Roman"/>
          <w:b/>
          <w:color w:val="000000"/>
          <w:sz w:val="24"/>
          <w:szCs w:val="24"/>
          <w:u w:val="single"/>
        </w:rPr>
        <w:t>B</w:t>
      </w:r>
      <w:r w:rsidRPr="005B1ECB" w:rsidR="009C4495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5B1ECB" w:rsidR="00647F9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E</w:t>
      </w:r>
      <w:r w:rsidRPr="005B1ECB" w:rsidR="009A4EF3">
        <w:rPr>
          <w:rFonts w:ascii="Times New Roman" w:hAnsi="Times New Roman"/>
          <w:b/>
          <w:color w:val="000000"/>
          <w:sz w:val="24"/>
          <w:szCs w:val="24"/>
          <w:u w:val="single"/>
        </w:rPr>
        <w:t>stimated Annualized Burden Costs</w:t>
      </w:r>
    </w:p>
    <w:p w:rsidRPr="00451795" w:rsidR="00647F9C" w:rsidP="00647F9C" w:rsidRDefault="00647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46"/>
        <w:gridCol w:w="1530"/>
        <w:gridCol w:w="1530"/>
        <w:gridCol w:w="1430"/>
      </w:tblGrid>
      <w:tr w:rsidRPr="00451795" w:rsidR="00ED33F8" w:rsidTr="000A3B08">
        <w:trPr>
          <w:trHeight w:val="476"/>
          <w:jc w:val="center"/>
        </w:trPr>
        <w:tc>
          <w:tcPr>
            <w:tcW w:w="4446" w:type="dxa"/>
            <w:shd w:val="clear" w:color="auto" w:fill="auto"/>
            <w:vAlign w:val="bottom"/>
          </w:tcPr>
          <w:p w:rsidRPr="000A3B08" w:rsidR="00ED33F8" w:rsidP="000A3B08" w:rsidRDefault="00ED33F8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Type of Respondent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Pr="000A3B08" w:rsidR="00ED33F8" w:rsidP="000A3B08" w:rsidRDefault="00ED33F8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 Burden Hours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Pr="000A3B08" w:rsidR="00ED33F8" w:rsidP="000A3B08" w:rsidRDefault="00ED33F8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Hourly Wage Rate</w:t>
            </w:r>
            <w:r w:rsidRPr="000A3B08" w:rsidR="00C57C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Pr="000A3B08" w:rsidR="00ED33F8" w:rsidP="000A3B08" w:rsidRDefault="00ED33F8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 Respondent Costs</w:t>
            </w:r>
          </w:p>
        </w:tc>
      </w:tr>
      <w:tr w:rsidRPr="00451795" w:rsidR="00ED33F8" w:rsidTr="000A3B08">
        <w:trPr>
          <w:trHeight w:val="152"/>
          <w:jc w:val="center"/>
        </w:trPr>
        <w:tc>
          <w:tcPr>
            <w:tcW w:w="4446" w:type="dxa"/>
            <w:shd w:val="clear" w:color="auto" w:fill="auto"/>
            <w:vAlign w:val="center"/>
          </w:tcPr>
          <w:p w:rsidRPr="000A3B08" w:rsidR="00ED33F8" w:rsidP="000A3B08" w:rsidRDefault="00E92EDA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***</w:t>
            </w:r>
            <w:r w:rsidRPr="000A3B08" w:rsidR="00ED3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Mid-level administrator</w:t>
            </w:r>
          </w:p>
        </w:tc>
        <w:tc>
          <w:tcPr>
            <w:tcW w:w="1530" w:type="dxa"/>
            <w:shd w:val="clear" w:color="auto" w:fill="auto"/>
          </w:tcPr>
          <w:p w:rsidRPr="000A3B08" w:rsidR="00ED33F8" w:rsidP="00E92EDA" w:rsidRDefault="00E92EDA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shd w:val="clear" w:color="auto" w:fill="auto"/>
          </w:tcPr>
          <w:p w:rsidRPr="000A3B08" w:rsidR="00ED33F8" w:rsidP="00E2497C" w:rsidRDefault="00FC6E26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color w:val="000000"/>
                <w:sz w:val="24"/>
                <w:szCs w:val="24"/>
              </w:rPr>
              <w:t>$</w:t>
            </w:r>
            <w:r w:rsidRPr="000A3B08" w:rsidR="00E2497C">
              <w:rPr>
                <w:rFonts w:ascii="Times New Roman" w:hAnsi="Times New Roman"/>
                <w:color w:val="000000"/>
                <w:sz w:val="24"/>
                <w:szCs w:val="24"/>
              </w:rPr>
              <w:t>58.47</w:t>
            </w:r>
          </w:p>
        </w:tc>
        <w:tc>
          <w:tcPr>
            <w:tcW w:w="1430" w:type="dxa"/>
            <w:shd w:val="clear" w:color="auto" w:fill="auto"/>
          </w:tcPr>
          <w:p w:rsidRPr="000A3B08" w:rsidR="00ED33F8" w:rsidP="00E2497C" w:rsidRDefault="00C57CD3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color w:val="000000"/>
                <w:sz w:val="24"/>
                <w:szCs w:val="24"/>
              </w:rPr>
              <w:t>$</w:t>
            </w:r>
            <w:r w:rsidRPr="000A3B08" w:rsidR="00E2497C">
              <w:rPr>
                <w:rFonts w:ascii="Times New Roman" w:hAnsi="Times New Roman"/>
                <w:color w:val="000000"/>
                <w:sz w:val="24"/>
                <w:szCs w:val="24"/>
              </w:rPr>
              <w:t>1403.28</w:t>
            </w:r>
          </w:p>
        </w:tc>
      </w:tr>
      <w:tr w:rsidRPr="00451795" w:rsidR="00ED33F8" w:rsidTr="000A3B08">
        <w:trPr>
          <w:jc w:val="center"/>
        </w:trPr>
        <w:tc>
          <w:tcPr>
            <w:tcW w:w="4446" w:type="dxa"/>
            <w:shd w:val="clear" w:color="auto" w:fill="auto"/>
            <w:vAlign w:val="center"/>
          </w:tcPr>
          <w:p w:rsidRPr="000A3B08" w:rsidR="00ED33F8" w:rsidP="000A3B08" w:rsidRDefault="00ED33F8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Mid-level Health Care Professional</w:t>
            </w:r>
          </w:p>
        </w:tc>
        <w:tc>
          <w:tcPr>
            <w:tcW w:w="1530" w:type="dxa"/>
            <w:shd w:val="clear" w:color="auto" w:fill="auto"/>
          </w:tcPr>
          <w:p w:rsidRPr="000A3B08" w:rsidR="00ED33F8" w:rsidP="00E92EDA" w:rsidRDefault="00E92EDA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shd w:val="clear" w:color="auto" w:fill="auto"/>
          </w:tcPr>
          <w:p w:rsidRPr="000A3B08" w:rsidR="00ED33F8" w:rsidP="00647F9C" w:rsidRDefault="00E2497C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color w:val="000000"/>
                <w:sz w:val="24"/>
                <w:szCs w:val="24"/>
              </w:rPr>
              <w:t>58.47</w:t>
            </w:r>
          </w:p>
        </w:tc>
        <w:tc>
          <w:tcPr>
            <w:tcW w:w="1430" w:type="dxa"/>
            <w:shd w:val="clear" w:color="auto" w:fill="auto"/>
          </w:tcPr>
          <w:p w:rsidRPr="000A3B08" w:rsidR="00ED33F8" w:rsidP="00E2497C" w:rsidRDefault="00C57CD3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color w:val="000000"/>
                <w:sz w:val="24"/>
                <w:szCs w:val="24"/>
              </w:rPr>
              <w:t>$</w:t>
            </w:r>
            <w:r w:rsidRPr="000A3B08" w:rsidR="00E2497C">
              <w:rPr>
                <w:rFonts w:ascii="Times New Roman" w:hAnsi="Times New Roman"/>
                <w:color w:val="000000"/>
                <w:sz w:val="24"/>
                <w:szCs w:val="24"/>
              </w:rPr>
              <w:t>2514.21</w:t>
            </w:r>
          </w:p>
        </w:tc>
      </w:tr>
      <w:tr w:rsidRPr="00451795" w:rsidR="00ED33F8" w:rsidTr="000A3B08">
        <w:trPr>
          <w:trHeight w:val="278"/>
          <w:jc w:val="center"/>
        </w:trPr>
        <w:tc>
          <w:tcPr>
            <w:tcW w:w="4446" w:type="dxa"/>
            <w:shd w:val="clear" w:color="auto" w:fill="auto"/>
            <w:vAlign w:val="center"/>
          </w:tcPr>
          <w:p w:rsidRPr="000A3B08" w:rsidR="00ED33F8" w:rsidP="000A3B08" w:rsidRDefault="00ED33F8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30" w:type="dxa"/>
            <w:shd w:val="clear" w:color="auto" w:fill="auto"/>
          </w:tcPr>
          <w:p w:rsidRPr="000A3B08" w:rsidR="00ED33F8" w:rsidP="00E92EDA" w:rsidRDefault="00E92EDA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shd w:val="clear" w:color="auto" w:fill="auto"/>
          </w:tcPr>
          <w:p w:rsidRPr="000A3B08" w:rsidR="00ED33F8" w:rsidP="00647F9C" w:rsidRDefault="00ED33F8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Pr="000A3B08" w:rsidR="00ED33F8" w:rsidP="00E2497C" w:rsidRDefault="00ED33F8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color w:val="000000"/>
                <w:sz w:val="24"/>
                <w:szCs w:val="24"/>
              </w:rPr>
              <w:t>$</w:t>
            </w:r>
            <w:r w:rsidRPr="000A3B08" w:rsidR="00E2497C">
              <w:rPr>
                <w:rFonts w:ascii="Times New Roman" w:hAnsi="Times New Roman"/>
                <w:color w:val="000000"/>
                <w:sz w:val="24"/>
                <w:szCs w:val="24"/>
              </w:rPr>
              <w:t>3917.49</w:t>
            </w:r>
          </w:p>
        </w:tc>
      </w:tr>
    </w:tbl>
    <w:p w:rsidRPr="000A3B08" w:rsidR="00ED33F8" w:rsidP="00984DE5" w:rsidRDefault="00F96496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16"/>
          <w:szCs w:val="16"/>
        </w:rPr>
      </w:pPr>
      <w:r w:rsidRPr="000A3B08">
        <w:rPr>
          <w:rFonts w:ascii="Times New Roman" w:hAnsi="Times New Roman"/>
          <w:color w:val="000000"/>
          <w:sz w:val="16"/>
          <w:szCs w:val="16"/>
        </w:rPr>
        <w:t xml:space="preserve">*The Mid-level Health Care Professional total burden hours totals </w:t>
      </w:r>
      <w:r w:rsidRPr="000A3B08" w:rsidR="00E92EDA">
        <w:rPr>
          <w:rFonts w:ascii="Times New Roman" w:hAnsi="Times New Roman"/>
          <w:color w:val="000000"/>
          <w:sz w:val="16"/>
          <w:szCs w:val="16"/>
        </w:rPr>
        <w:t>43</w:t>
      </w:r>
      <w:r w:rsidRPr="000A3B08">
        <w:rPr>
          <w:rFonts w:ascii="Times New Roman" w:hAnsi="Times New Roman"/>
          <w:color w:val="000000"/>
          <w:sz w:val="16"/>
          <w:szCs w:val="16"/>
        </w:rPr>
        <w:t xml:space="preserve"> since the same respondent is completing the online application and the authorization to release forms.</w:t>
      </w:r>
    </w:p>
    <w:p w:rsidRPr="000A3B08" w:rsidR="006B120C" w:rsidP="00C43A1A" w:rsidRDefault="00ED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0A3B08">
        <w:rPr>
          <w:rFonts w:ascii="Times New Roman" w:hAnsi="Times New Roman"/>
          <w:color w:val="000000"/>
          <w:sz w:val="16"/>
          <w:szCs w:val="16"/>
        </w:rPr>
        <w:lastRenderedPageBreak/>
        <w:t>*</w:t>
      </w:r>
      <w:r w:rsidRPr="000A3B08" w:rsidR="00E92EDA">
        <w:rPr>
          <w:rFonts w:ascii="Times New Roman" w:hAnsi="Times New Roman"/>
          <w:color w:val="000000"/>
          <w:sz w:val="16"/>
          <w:szCs w:val="16"/>
        </w:rPr>
        <w:t>**</w:t>
      </w:r>
      <w:r w:rsidRPr="000A3B08">
        <w:rPr>
          <w:rFonts w:ascii="Times New Roman" w:hAnsi="Times New Roman"/>
          <w:color w:val="000000"/>
          <w:sz w:val="16"/>
          <w:szCs w:val="16"/>
        </w:rPr>
        <w:t>Respondent for this form is the institution for the applicant.</w:t>
      </w:r>
    </w:p>
    <w:p w:rsidRPr="000A3B08" w:rsidR="00C57CD3" w:rsidP="00C43A1A" w:rsidRDefault="00C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Pr="000A3B08" w:rsidR="00451795" w:rsidP="00451795" w:rsidRDefault="00C57CD3">
      <w:pPr>
        <w:pStyle w:val="FootnoteText"/>
        <w:rPr>
          <w:sz w:val="16"/>
          <w:szCs w:val="16"/>
        </w:rPr>
      </w:pPr>
      <w:r w:rsidRPr="000A3B08">
        <w:rPr>
          <w:color w:val="000000"/>
          <w:sz w:val="16"/>
          <w:szCs w:val="16"/>
        </w:rPr>
        <w:t xml:space="preserve">** </w:t>
      </w:r>
      <w:r w:rsidRPr="000A3B08" w:rsidR="00451795">
        <w:rPr>
          <w:color w:val="000000"/>
          <w:sz w:val="16"/>
          <w:szCs w:val="16"/>
        </w:rPr>
        <w:t xml:space="preserve">Based on the following:  </w:t>
      </w:r>
      <w:hyperlink w:history="1" r:id="rId16">
        <w:r w:rsidRPr="000A3B08" w:rsidR="00372B06">
          <w:rPr>
            <w:rStyle w:val="Hyperlink"/>
            <w:sz w:val="16"/>
            <w:szCs w:val="16"/>
          </w:rPr>
          <w:t>https://www.bls.gov/oes/current/oes251071.htm</w:t>
        </w:r>
      </w:hyperlink>
    </w:p>
    <w:p w:rsidRPr="00416DB2" w:rsidR="00C57CD3" w:rsidP="00C43A1A" w:rsidRDefault="00C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Pr="00526C44"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13. </w:t>
      </w:r>
      <w:r w:rsidRPr="00072B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stimates of other Total Annual Cost Burden to Respondents or Record Keepers/Capital Costs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F9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Other than their time, there is no cost to respondents.</w:t>
      </w:r>
    </w:p>
    <w:p w:rsidR="00647F9C" w:rsidP="00C43A1A" w:rsidRDefault="00647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Pr="00072BF9"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16DB2">
        <w:rPr>
          <w:rFonts w:ascii="Times New Roman" w:hAnsi="Times New Roman"/>
          <w:b/>
          <w:bCs/>
          <w:color w:val="000000"/>
          <w:sz w:val="24"/>
          <w:szCs w:val="24"/>
        </w:rPr>
        <w:t xml:space="preserve">14.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stimates of Annualized Estimates of Annualized Cost to the Government</w:t>
      </w:r>
    </w:p>
    <w:p w:rsidRPr="00416DB2" w:rsidR="003943D6" w:rsidP="00C43A1A" w:rsidRDefault="00394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9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35"/>
        <w:gridCol w:w="1488"/>
        <w:gridCol w:w="1080"/>
        <w:gridCol w:w="1167"/>
        <w:gridCol w:w="1485"/>
      </w:tblGrid>
      <w:tr w:rsidRPr="00416DB2" w:rsidR="003943D6" w:rsidTr="000A3B08">
        <w:trPr>
          <w:cantSplit/>
          <w:trHeight w:val="840"/>
        </w:trPr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auto"/>
            <w:vAlign w:val="center"/>
          </w:tcPr>
          <w:p w:rsidRPr="00416DB2" w:rsidR="003943D6" w:rsidP="003943D6" w:rsidRDefault="003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Instrument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auto"/>
            <w:vAlign w:val="center"/>
          </w:tcPr>
          <w:p w:rsidRPr="00416DB2" w:rsidR="003943D6" w:rsidP="003943D6" w:rsidRDefault="003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Base Pay Rate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auto"/>
            <w:vAlign w:val="center"/>
          </w:tcPr>
          <w:p w:rsidRPr="00416DB2" w:rsidR="003943D6" w:rsidP="003943D6" w:rsidRDefault="003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Project Time per FTE 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 w:rsidRPr="00416DB2" w:rsidR="003943D6" w:rsidP="003943D6" w:rsidRDefault="003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 of FTEs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 w:rsidRPr="00416DB2" w:rsidR="003943D6" w:rsidP="003943D6" w:rsidRDefault="003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Annual Cost</w:t>
            </w:r>
          </w:p>
        </w:tc>
      </w:tr>
      <w:tr w:rsidRPr="00416DB2" w:rsidR="003943D6" w:rsidTr="00AF1AB5">
        <w:trPr>
          <w:cantSplit/>
          <w:trHeight w:val="885"/>
        </w:trPr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3943D6" w:rsidP="003943D6" w:rsidRDefault="003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FLRP 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3943D6" w:rsidP="00BF5C0F" w:rsidRDefault="003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B66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</w:t>
            </w:r>
            <w:r w:rsidR="00BF5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94,970</w:t>
            </w:r>
            <w:r w:rsidRPr="00BB66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CC52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GS-12</w:t>
            </w: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Step 4 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3943D6" w:rsidP="003943D6" w:rsidRDefault="00B21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416DB2" w:rsidR="003943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.15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16DB2" w:rsidR="003943D6" w:rsidP="003943D6" w:rsidRDefault="00B21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16DB2" w:rsidR="003943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16DB2" w:rsidR="003943D6" w:rsidP="00BF5C0F" w:rsidRDefault="003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</w:t>
            </w:r>
            <w:r w:rsidR="00BF5C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142,455.00</w:t>
            </w:r>
          </w:p>
        </w:tc>
      </w:tr>
      <w:tr w:rsidRPr="00416DB2" w:rsidR="00AF1AB5" w:rsidTr="002C4BA3">
        <w:trPr>
          <w:cantSplit/>
          <w:trHeight w:val="885"/>
        </w:trPr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FLRP  Online Application</w:t>
            </w:r>
            <w:r w:rsidR="00C37D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Contract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416DB2" w:rsidR="00B215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58,917.28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……..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…………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416DB2" w:rsidR="00B215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58,917.28</w:t>
            </w:r>
          </w:p>
        </w:tc>
      </w:tr>
      <w:tr w:rsidRPr="00416DB2" w:rsidR="00AF1AB5" w:rsidTr="002C4BA3">
        <w:trPr>
          <w:cantSplit/>
          <w:trHeight w:val="885"/>
        </w:trPr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16DB2" w:rsidR="00AF1AB5" w:rsidP="003943D6" w:rsidRDefault="00AF1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16DB2" w:rsidR="00AF1AB5" w:rsidP="00B4180A" w:rsidRDefault="0068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</w:t>
            </w:r>
            <w:r w:rsidR="00DF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201,</w:t>
            </w:r>
            <w:r w:rsidR="007C74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F09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72.28</w:t>
            </w:r>
          </w:p>
        </w:tc>
      </w:tr>
    </w:tbl>
    <w:p w:rsidRPr="000A3B08" w:rsidR="00E904F5" w:rsidP="00EA2D70" w:rsidRDefault="00E90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16"/>
          <w:szCs w:val="16"/>
        </w:rPr>
      </w:pPr>
      <w:r w:rsidRPr="000A3B08">
        <w:rPr>
          <w:rFonts w:ascii="Times New Roman" w:hAnsi="Times New Roman"/>
          <w:i/>
          <w:color w:val="000000"/>
          <w:sz w:val="16"/>
          <w:szCs w:val="16"/>
        </w:rPr>
        <w:t>Base Pay Rate based on the Office of Pe</w:t>
      </w:r>
      <w:r w:rsidRPr="000A3B08" w:rsidR="001A49E9">
        <w:rPr>
          <w:rFonts w:ascii="Times New Roman" w:hAnsi="Times New Roman"/>
          <w:i/>
          <w:color w:val="000000"/>
          <w:sz w:val="16"/>
          <w:szCs w:val="16"/>
        </w:rPr>
        <w:t xml:space="preserve">rsonnel Management Pay Scale:  </w:t>
      </w:r>
      <w:r w:rsidRPr="000A3B08" w:rsidR="001A49E9">
        <w:rPr>
          <w:sz w:val="16"/>
          <w:szCs w:val="16"/>
        </w:rPr>
        <w:t>(</w:t>
      </w:r>
      <w:r w:rsidRPr="000A3B08" w:rsidR="00BF5C0F">
        <w:rPr>
          <w:rFonts w:ascii="Times New Roman" w:hAnsi="Times New Roman"/>
          <w:i/>
          <w:color w:val="000000"/>
          <w:sz w:val="16"/>
          <w:szCs w:val="16"/>
        </w:rPr>
        <w:t>https://www.opm.gov/policy-data-oversight/pay-leave/salaries-wages/salary-tables/pdf/2020/DCB.pdf</w:t>
      </w:r>
      <w:r w:rsidRPr="000A3B08">
        <w:rPr>
          <w:rFonts w:ascii="Times New Roman" w:hAnsi="Times New Roman"/>
          <w:i/>
          <w:color w:val="000000"/>
          <w:sz w:val="16"/>
          <w:szCs w:val="16"/>
        </w:rPr>
        <w:t>)</w:t>
      </w:r>
    </w:p>
    <w:p w:rsidRPr="00416DB2" w:rsidR="00E904F5" w:rsidP="00C43A1A" w:rsidRDefault="00E90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2BF9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DB2">
        <w:rPr>
          <w:rFonts w:ascii="Times New Roman" w:hAnsi="Times New Roman"/>
          <w:color w:val="000000"/>
          <w:sz w:val="24"/>
          <w:szCs w:val="24"/>
        </w:rPr>
        <w:t>The annual cost to the government is approximatel</w:t>
      </w:r>
      <w:r w:rsidRPr="00416DB2" w:rsidR="00521F78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Pr="00416DB2">
        <w:rPr>
          <w:rFonts w:ascii="Times New Roman" w:hAnsi="Times New Roman"/>
          <w:color w:val="000000"/>
          <w:sz w:val="24"/>
          <w:szCs w:val="24"/>
        </w:rPr>
        <w:t>$</w:t>
      </w:r>
      <w:r w:rsidRPr="00DF0943" w:rsidR="00B05362">
        <w:rPr>
          <w:rFonts w:ascii="Times New Roman" w:hAnsi="Times New Roman"/>
          <w:color w:val="000000"/>
          <w:sz w:val="24"/>
          <w:szCs w:val="24"/>
        </w:rPr>
        <w:t>58,917.28</w:t>
      </w:r>
      <w:r w:rsidR="00E57C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6DB2" w:rsidR="00877FDA">
        <w:rPr>
          <w:rFonts w:ascii="Times New Roman" w:hAnsi="Times New Roman"/>
          <w:color w:val="000000"/>
          <w:sz w:val="24"/>
          <w:szCs w:val="24"/>
        </w:rPr>
        <w:t>for</w:t>
      </w:r>
      <w:r w:rsidRPr="00416DB2" w:rsidR="00BF2F98">
        <w:rPr>
          <w:rFonts w:ascii="Times New Roman" w:hAnsi="Times New Roman"/>
          <w:color w:val="000000"/>
          <w:sz w:val="24"/>
          <w:szCs w:val="24"/>
        </w:rPr>
        <w:t xml:space="preserve"> the contract costs for the online application system and </w:t>
      </w:r>
      <w:r w:rsidR="00B05362">
        <w:rPr>
          <w:rFonts w:ascii="Times New Roman" w:hAnsi="Times New Roman"/>
          <w:color w:val="000000"/>
          <w:sz w:val="24"/>
          <w:szCs w:val="24"/>
        </w:rPr>
        <w:t>$</w:t>
      </w:r>
      <w:r w:rsidR="00A03FF6">
        <w:rPr>
          <w:rFonts w:ascii="Times New Roman" w:hAnsi="Times New Roman"/>
          <w:color w:val="000000"/>
          <w:sz w:val="24"/>
          <w:szCs w:val="24"/>
        </w:rPr>
        <w:t>142,455.00</w:t>
      </w:r>
      <w:r w:rsidR="002E51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6DB2" w:rsidR="00BF2F98">
        <w:rPr>
          <w:rFonts w:ascii="Times New Roman" w:hAnsi="Times New Roman"/>
          <w:color w:val="000000"/>
          <w:sz w:val="24"/>
          <w:szCs w:val="24"/>
        </w:rPr>
        <w:t>for</w:t>
      </w:r>
      <w:r w:rsidRPr="00416DB2" w:rsidR="00877F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6DB2" w:rsidR="00BF2F98">
        <w:rPr>
          <w:rFonts w:ascii="Times New Roman" w:hAnsi="Times New Roman"/>
          <w:color w:val="000000"/>
          <w:sz w:val="24"/>
          <w:szCs w:val="24"/>
        </w:rPr>
        <w:t>10 GS-12 Step 4</w:t>
      </w:r>
      <w:r w:rsidRPr="00416DB2" w:rsidR="009C44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6DB2">
        <w:rPr>
          <w:rFonts w:ascii="Times New Roman" w:hAnsi="Times New Roman"/>
          <w:color w:val="000000"/>
          <w:sz w:val="24"/>
          <w:szCs w:val="24"/>
        </w:rPr>
        <w:t>employee</w:t>
      </w:r>
      <w:r w:rsidRPr="00416DB2" w:rsidR="00BF2F98">
        <w:rPr>
          <w:rFonts w:ascii="Times New Roman" w:hAnsi="Times New Roman"/>
          <w:color w:val="000000"/>
          <w:sz w:val="24"/>
          <w:szCs w:val="24"/>
        </w:rPr>
        <w:t>s</w:t>
      </w:r>
      <w:r w:rsidR="002E5188">
        <w:rPr>
          <w:rFonts w:ascii="Times New Roman" w:hAnsi="Times New Roman"/>
          <w:color w:val="000000"/>
          <w:sz w:val="24"/>
          <w:szCs w:val="24"/>
        </w:rPr>
        <w:t xml:space="preserve"> at a </w:t>
      </w:r>
      <w:r w:rsidR="00B76E5A">
        <w:rPr>
          <w:rFonts w:ascii="Times New Roman" w:hAnsi="Times New Roman"/>
          <w:color w:val="000000"/>
          <w:sz w:val="24"/>
          <w:szCs w:val="24"/>
        </w:rPr>
        <w:t xml:space="preserve">.15 FTE </w:t>
      </w:r>
      <w:r w:rsidR="00B05362">
        <w:rPr>
          <w:rFonts w:ascii="Times New Roman" w:hAnsi="Times New Roman"/>
          <w:color w:val="000000"/>
          <w:sz w:val="24"/>
          <w:szCs w:val="24"/>
        </w:rPr>
        <w:t xml:space="preserve">rate </w:t>
      </w:r>
      <w:r w:rsidRPr="00416DB2">
        <w:rPr>
          <w:rFonts w:ascii="Times New Roman" w:hAnsi="Times New Roman"/>
          <w:color w:val="000000"/>
          <w:sz w:val="24"/>
          <w:szCs w:val="24"/>
        </w:rPr>
        <w:t>to process the applications and facilitate team members in the loan repayment process</w:t>
      </w:r>
      <w:r w:rsidRPr="00416DB2" w:rsidR="00BF2F98">
        <w:rPr>
          <w:rFonts w:ascii="Times New Roman" w:hAnsi="Times New Roman"/>
          <w:color w:val="000000"/>
          <w:sz w:val="24"/>
          <w:szCs w:val="24"/>
        </w:rPr>
        <w:t>.</w:t>
      </w:r>
    </w:p>
    <w:p w:rsidR="008C124E" w:rsidP="00C43A1A" w:rsidRDefault="008C12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2089">
        <w:rPr>
          <w:rFonts w:ascii="Times New Roman" w:hAnsi="Times New Roman"/>
          <w:b/>
          <w:bCs/>
          <w:color w:val="000000"/>
          <w:sz w:val="24"/>
          <w:szCs w:val="24"/>
        </w:rPr>
        <w:t xml:space="preserve">15.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xplanation for Program Changes or Adjustments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904F5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203A6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4F0091">
        <w:rPr>
          <w:rFonts w:ascii="Times New Roman" w:hAnsi="Times New Roman"/>
          <w:color w:val="000000"/>
          <w:sz w:val="24"/>
          <w:szCs w:val="24"/>
        </w:rPr>
        <w:t xml:space="preserve">estimated </w:t>
      </w:r>
      <w:r w:rsidRPr="006203A6">
        <w:rPr>
          <w:rFonts w:ascii="Times New Roman" w:hAnsi="Times New Roman"/>
          <w:color w:val="000000"/>
          <w:sz w:val="24"/>
          <w:szCs w:val="24"/>
        </w:rPr>
        <w:t>total burden</w:t>
      </w:r>
      <w:r w:rsidRPr="006203A6" w:rsidR="008D434D">
        <w:rPr>
          <w:rFonts w:ascii="Times New Roman" w:hAnsi="Times New Roman"/>
          <w:color w:val="000000"/>
          <w:sz w:val="24"/>
          <w:szCs w:val="24"/>
        </w:rPr>
        <w:t xml:space="preserve"> for this activity </w:t>
      </w:r>
      <w:r w:rsidR="004F0091">
        <w:rPr>
          <w:rFonts w:ascii="Times New Roman" w:hAnsi="Times New Roman"/>
          <w:color w:val="000000"/>
          <w:sz w:val="24"/>
          <w:szCs w:val="24"/>
        </w:rPr>
        <w:t xml:space="preserve">is </w:t>
      </w:r>
      <w:r w:rsidR="005A2198">
        <w:rPr>
          <w:rFonts w:ascii="Times New Roman" w:hAnsi="Times New Roman"/>
          <w:color w:val="000000"/>
          <w:sz w:val="24"/>
          <w:szCs w:val="24"/>
        </w:rPr>
        <w:t>approximately 456</w:t>
      </w:r>
      <w:r w:rsidRPr="006203A6" w:rsidR="005A21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3A6">
        <w:rPr>
          <w:rFonts w:ascii="Times New Roman" w:hAnsi="Times New Roman"/>
          <w:color w:val="000000"/>
          <w:sz w:val="24"/>
          <w:szCs w:val="24"/>
        </w:rPr>
        <w:t>hours</w:t>
      </w:r>
      <w:r w:rsidR="004F00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254F">
        <w:rPr>
          <w:rFonts w:ascii="Times New Roman" w:hAnsi="Times New Roman"/>
          <w:color w:val="000000"/>
          <w:sz w:val="24"/>
          <w:szCs w:val="24"/>
        </w:rPr>
        <w:t>with the current b</w:t>
      </w:r>
      <w:r w:rsidR="00184BBD">
        <w:rPr>
          <w:rFonts w:ascii="Times New Roman" w:hAnsi="Times New Roman"/>
          <w:color w:val="000000"/>
          <w:sz w:val="24"/>
          <w:szCs w:val="24"/>
        </w:rPr>
        <w:t>urden hour inventory being 250</w:t>
      </w:r>
      <w:r w:rsidR="00D9254F">
        <w:rPr>
          <w:rFonts w:ascii="Times New Roman" w:hAnsi="Times New Roman"/>
          <w:color w:val="000000"/>
          <w:sz w:val="24"/>
          <w:szCs w:val="24"/>
        </w:rPr>
        <w:t xml:space="preserve">.  This is due to </w:t>
      </w:r>
      <w:r w:rsidR="00184BBD">
        <w:rPr>
          <w:rFonts w:ascii="Times New Roman" w:hAnsi="Times New Roman"/>
          <w:color w:val="000000"/>
          <w:sz w:val="24"/>
          <w:szCs w:val="24"/>
        </w:rPr>
        <w:t xml:space="preserve">an </w:t>
      </w:r>
      <w:r w:rsidR="007F1241">
        <w:rPr>
          <w:rFonts w:ascii="Times New Roman" w:hAnsi="Times New Roman"/>
          <w:color w:val="000000"/>
          <w:sz w:val="24"/>
          <w:szCs w:val="24"/>
        </w:rPr>
        <w:t xml:space="preserve">increase in estimated responses and the addition of the DB form to this information collection request.  </w:t>
      </w:r>
      <w:r w:rsidR="00184BB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06BC2" w:rsidP="00C43A1A" w:rsidRDefault="0050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16.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lans for Tabulation, Publication, and Project Time Schedule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There are no plans for the tabulation, statistical analysis or publication of the information.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072BF9"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17.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R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eason(s) Display of OMB Expiration Date is Inappropriate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521F78">
        <w:rPr>
          <w:rFonts w:ascii="Times New Roman" w:hAnsi="Times New Roman"/>
          <w:color w:val="000000"/>
          <w:sz w:val="24"/>
          <w:szCs w:val="24"/>
        </w:rPr>
        <w:t>OMB number and e</w:t>
      </w:r>
      <w:r w:rsidR="00233FFB">
        <w:rPr>
          <w:rFonts w:ascii="Times New Roman" w:hAnsi="Times New Roman"/>
          <w:color w:val="000000"/>
          <w:sz w:val="24"/>
          <w:szCs w:val="24"/>
        </w:rPr>
        <w:t xml:space="preserve">xpiration </w:t>
      </w:r>
      <w:r>
        <w:rPr>
          <w:rFonts w:ascii="Times New Roman" w:hAnsi="Times New Roman"/>
          <w:color w:val="000000"/>
          <w:sz w:val="24"/>
          <w:szCs w:val="24"/>
        </w:rPr>
        <w:t>date will be displayed</w:t>
      </w:r>
      <w:r w:rsidR="00233FFB">
        <w:rPr>
          <w:rFonts w:ascii="Times New Roman" w:hAnsi="Times New Roman"/>
          <w:color w:val="000000"/>
          <w:sz w:val="24"/>
          <w:szCs w:val="24"/>
        </w:rPr>
        <w:t xml:space="preserve"> on every page of every form/instrument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072BF9"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E825CD">
        <w:rPr>
          <w:rFonts w:ascii="Times New Roman" w:hAnsi="Times New Roman"/>
          <w:b/>
          <w:bCs/>
          <w:color w:val="000000"/>
          <w:sz w:val="24"/>
          <w:szCs w:val="24"/>
        </w:rPr>
        <w:t xml:space="preserve">18.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072BF9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xceptions to Certification for Paperwork Reduction Act Submissions</w:t>
      </w:r>
    </w:p>
    <w:p w:rsidR="009B2EF6" w:rsidP="00C43A1A" w:rsidRDefault="009B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Pr="003F1920" w:rsidR="003F1920" w:rsidP="003F1920" w:rsidRDefault="003F1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1920">
        <w:rPr>
          <w:rFonts w:ascii="Times New Roman" w:hAnsi="Times New Roman"/>
          <w:color w:val="000000"/>
          <w:sz w:val="24"/>
          <w:szCs w:val="24"/>
        </w:rPr>
        <w:lastRenderedPageBreak/>
        <w:t>This project fully complies with the guidelines set forth in 5 CFR 1320.9.  The required certifications are included in this package.</w:t>
      </w:r>
    </w:p>
    <w:p w:rsidR="00C43A1A" w:rsidP="00C43A1A" w:rsidRDefault="00C4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1A7A" w:rsidP="00C43A1A" w:rsidRDefault="009B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1A7A" w:rsidP="00C43A1A" w:rsidRDefault="009B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A2D70">
        <w:rPr>
          <w:rFonts w:ascii="Times New Roman" w:hAnsi="Times New Roman"/>
          <w:b/>
          <w:color w:val="000000"/>
          <w:sz w:val="24"/>
          <w:szCs w:val="24"/>
        </w:rPr>
        <w:t>List of Instruments</w:t>
      </w:r>
    </w:p>
    <w:p w:rsidR="003F2174" w:rsidP="00C43A1A" w:rsidRDefault="00AD3B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FLRP Online Application User Guide</w:t>
      </w:r>
    </w:p>
    <w:p w:rsidR="009B1A7A" w:rsidP="00C43A1A" w:rsidRDefault="003F2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8661A">
        <w:rPr>
          <w:rFonts w:ascii="Times New Roman" w:hAnsi="Times New Roman"/>
          <w:bCs/>
          <w:color w:val="000000"/>
          <w:sz w:val="24"/>
          <w:szCs w:val="24"/>
        </w:rPr>
        <w:t>Authorization to Release Information Form</w:t>
      </w:r>
    </w:p>
    <w:p w:rsidR="003F2174" w:rsidP="00C43A1A" w:rsidRDefault="003F2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Institution Employment/Loan Repayment Verification Form</w:t>
      </w:r>
    </w:p>
    <w:p w:rsidR="005A2198" w:rsidP="00C43A1A" w:rsidRDefault="005A2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Disadvantaged Background Form</w:t>
      </w:r>
    </w:p>
    <w:p w:rsidR="009B1A7A" w:rsidP="00C43A1A" w:rsidRDefault="009B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A05E43" w:rsidR="00A05E43" w:rsidP="00A05E43" w:rsidRDefault="00A05E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5E43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 w:rsidR="009A4EF3">
        <w:rPr>
          <w:rFonts w:ascii="Times New Roman" w:hAnsi="Times New Roman"/>
          <w:b/>
          <w:bCs/>
          <w:color w:val="000000"/>
          <w:sz w:val="24"/>
          <w:szCs w:val="24"/>
        </w:rPr>
        <w:t>ist of Attachments</w:t>
      </w:r>
    </w:p>
    <w:p w:rsidRPr="00A05E43" w:rsidR="00A05E43" w:rsidP="00A05E43" w:rsidRDefault="00A05E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5E43">
        <w:rPr>
          <w:rFonts w:ascii="Times New Roman" w:hAnsi="Times New Roman"/>
          <w:color w:val="000000"/>
          <w:sz w:val="24"/>
          <w:szCs w:val="24"/>
        </w:rPr>
        <w:t>Attachment A: Authorizing Legislation and Regulations</w:t>
      </w:r>
    </w:p>
    <w:p w:rsidRPr="00A05E43" w:rsidR="00A05E43" w:rsidP="00A05E43" w:rsidRDefault="007E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Attachment B</w:t>
      </w:r>
      <w:r w:rsidRPr="00A05E43" w:rsidR="00A05E43">
        <w:rPr>
          <w:rFonts w:ascii="Times New Roman" w:hAnsi="Times New Roman"/>
          <w:color w:val="000000"/>
          <w:sz w:val="24"/>
          <w:szCs w:val="24"/>
        </w:rPr>
        <w:t xml:space="preserve">: Application </w:t>
      </w:r>
      <w:r w:rsidR="009D1963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A05E43" w:rsidR="00A05E43">
        <w:rPr>
          <w:rFonts w:ascii="Times New Roman" w:hAnsi="Times New Roman"/>
          <w:color w:val="000000"/>
          <w:sz w:val="24"/>
          <w:szCs w:val="24"/>
        </w:rPr>
        <w:t>Program Guidance</w:t>
      </w:r>
    </w:p>
    <w:p w:rsidR="00A05E43" w:rsidP="00A05E43" w:rsidRDefault="007E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Attachment C</w:t>
      </w:r>
      <w:r w:rsidRPr="00A05E43" w:rsidR="00A05E4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9D1963">
        <w:rPr>
          <w:rFonts w:ascii="Times New Roman" w:hAnsi="Times New Roman"/>
          <w:color w:val="000000"/>
          <w:sz w:val="24"/>
          <w:szCs w:val="24"/>
        </w:rPr>
        <w:t xml:space="preserve">FLRP </w:t>
      </w:r>
      <w:r w:rsidR="00136E32">
        <w:rPr>
          <w:rFonts w:ascii="Times New Roman" w:hAnsi="Times New Roman"/>
          <w:color w:val="000000"/>
          <w:sz w:val="24"/>
          <w:szCs w:val="24"/>
        </w:rPr>
        <w:t>Contract</w:t>
      </w:r>
      <w:r w:rsidR="00862F32">
        <w:rPr>
          <w:rFonts w:ascii="Times New Roman" w:hAnsi="Times New Roman"/>
          <w:color w:val="000000"/>
          <w:sz w:val="24"/>
          <w:szCs w:val="24"/>
        </w:rPr>
        <w:t xml:space="preserve"> Form</w:t>
      </w:r>
    </w:p>
    <w:p w:rsidR="00713E1F" w:rsidP="002F28D7" w:rsidRDefault="009079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sectPr w:rsidR="00713E1F" w:rsidSect="0075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B9E" w:rsidRDefault="00131B9E" w:rsidP="001F257F">
      <w:pPr>
        <w:spacing w:after="0" w:line="240" w:lineRule="auto"/>
      </w:pPr>
      <w:r>
        <w:separator/>
      </w:r>
    </w:p>
  </w:endnote>
  <w:endnote w:type="continuationSeparator" w:id="0">
    <w:p w:rsidR="00131B9E" w:rsidRDefault="00131B9E" w:rsidP="001F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B9E" w:rsidRDefault="00131B9E" w:rsidP="001F257F">
      <w:pPr>
        <w:spacing w:after="0" w:line="240" w:lineRule="auto"/>
      </w:pPr>
      <w:r>
        <w:separator/>
      </w:r>
    </w:p>
  </w:footnote>
  <w:footnote w:type="continuationSeparator" w:id="0">
    <w:p w:rsidR="00131B9E" w:rsidRDefault="00131B9E" w:rsidP="001F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36C3"/>
    <w:multiLevelType w:val="hybridMultilevel"/>
    <w:tmpl w:val="8B4C79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8183228"/>
    <w:multiLevelType w:val="hybridMultilevel"/>
    <w:tmpl w:val="EEA25DBC"/>
    <w:lvl w:ilvl="0" w:tplc="16F0483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13CCC"/>
    <w:multiLevelType w:val="hybridMultilevel"/>
    <w:tmpl w:val="E076B398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1A"/>
    <w:rsid w:val="0000298B"/>
    <w:rsid w:val="0002202B"/>
    <w:rsid w:val="00023C6D"/>
    <w:rsid w:val="000241F8"/>
    <w:rsid w:val="000256A1"/>
    <w:rsid w:val="00032B19"/>
    <w:rsid w:val="00032D97"/>
    <w:rsid w:val="00036802"/>
    <w:rsid w:val="000475CA"/>
    <w:rsid w:val="00054291"/>
    <w:rsid w:val="00062F5C"/>
    <w:rsid w:val="00071E46"/>
    <w:rsid w:val="00072BF9"/>
    <w:rsid w:val="00076EA1"/>
    <w:rsid w:val="00085287"/>
    <w:rsid w:val="00085BC1"/>
    <w:rsid w:val="00091A6F"/>
    <w:rsid w:val="00092BDE"/>
    <w:rsid w:val="000A17B9"/>
    <w:rsid w:val="000A2290"/>
    <w:rsid w:val="000A22CC"/>
    <w:rsid w:val="000A37C4"/>
    <w:rsid w:val="000A386B"/>
    <w:rsid w:val="000A3B08"/>
    <w:rsid w:val="000A6008"/>
    <w:rsid w:val="000B2BD7"/>
    <w:rsid w:val="000B3885"/>
    <w:rsid w:val="000C1354"/>
    <w:rsid w:val="000D2FCF"/>
    <w:rsid w:val="000E2818"/>
    <w:rsid w:val="000F1CE1"/>
    <w:rsid w:val="000F65AA"/>
    <w:rsid w:val="0010003E"/>
    <w:rsid w:val="00101B86"/>
    <w:rsid w:val="00106536"/>
    <w:rsid w:val="00116A1F"/>
    <w:rsid w:val="00121F27"/>
    <w:rsid w:val="0013157C"/>
    <w:rsid w:val="00131B9E"/>
    <w:rsid w:val="00133607"/>
    <w:rsid w:val="001355DB"/>
    <w:rsid w:val="00136E32"/>
    <w:rsid w:val="001431FD"/>
    <w:rsid w:val="00147CB7"/>
    <w:rsid w:val="001536E2"/>
    <w:rsid w:val="00155650"/>
    <w:rsid w:val="0016411C"/>
    <w:rsid w:val="00170033"/>
    <w:rsid w:val="00184BBD"/>
    <w:rsid w:val="00185FB0"/>
    <w:rsid w:val="00190AE7"/>
    <w:rsid w:val="001A49E9"/>
    <w:rsid w:val="001C017E"/>
    <w:rsid w:val="001C0224"/>
    <w:rsid w:val="001C707F"/>
    <w:rsid w:val="001D08C8"/>
    <w:rsid w:val="001D4627"/>
    <w:rsid w:val="001E52B9"/>
    <w:rsid w:val="001F257F"/>
    <w:rsid w:val="001F4FAC"/>
    <w:rsid w:val="001F532E"/>
    <w:rsid w:val="001F54F6"/>
    <w:rsid w:val="001F5827"/>
    <w:rsid w:val="0021008A"/>
    <w:rsid w:val="002310B7"/>
    <w:rsid w:val="00231EA6"/>
    <w:rsid w:val="00233FFB"/>
    <w:rsid w:val="002345B0"/>
    <w:rsid w:val="00242A47"/>
    <w:rsid w:val="002617D5"/>
    <w:rsid w:val="00265E48"/>
    <w:rsid w:val="002762DF"/>
    <w:rsid w:val="00280697"/>
    <w:rsid w:val="002847E9"/>
    <w:rsid w:val="00285DA8"/>
    <w:rsid w:val="002965A6"/>
    <w:rsid w:val="002A4A27"/>
    <w:rsid w:val="002B0929"/>
    <w:rsid w:val="002B1CFE"/>
    <w:rsid w:val="002C348B"/>
    <w:rsid w:val="002C3B60"/>
    <w:rsid w:val="002C4BA3"/>
    <w:rsid w:val="002C575C"/>
    <w:rsid w:val="002D08AB"/>
    <w:rsid w:val="002D1236"/>
    <w:rsid w:val="002E1276"/>
    <w:rsid w:val="002E16ED"/>
    <w:rsid w:val="002E5188"/>
    <w:rsid w:val="002E59A8"/>
    <w:rsid w:val="002E5C46"/>
    <w:rsid w:val="002F1F19"/>
    <w:rsid w:val="002F28D7"/>
    <w:rsid w:val="00302B97"/>
    <w:rsid w:val="0030543C"/>
    <w:rsid w:val="00324CB0"/>
    <w:rsid w:val="00337669"/>
    <w:rsid w:val="00342C86"/>
    <w:rsid w:val="00352D46"/>
    <w:rsid w:val="00352DD1"/>
    <w:rsid w:val="0035711F"/>
    <w:rsid w:val="00367E8D"/>
    <w:rsid w:val="0037016C"/>
    <w:rsid w:val="00372B06"/>
    <w:rsid w:val="00390B78"/>
    <w:rsid w:val="003943D6"/>
    <w:rsid w:val="00395E79"/>
    <w:rsid w:val="003A27DB"/>
    <w:rsid w:val="003B172C"/>
    <w:rsid w:val="003B3F57"/>
    <w:rsid w:val="003C1C06"/>
    <w:rsid w:val="003C571F"/>
    <w:rsid w:val="003D255F"/>
    <w:rsid w:val="003E08E2"/>
    <w:rsid w:val="003E2B84"/>
    <w:rsid w:val="003E5620"/>
    <w:rsid w:val="003E5B98"/>
    <w:rsid w:val="003F1920"/>
    <w:rsid w:val="003F2174"/>
    <w:rsid w:val="003F407E"/>
    <w:rsid w:val="003F408C"/>
    <w:rsid w:val="003F48FF"/>
    <w:rsid w:val="0040208F"/>
    <w:rsid w:val="0040739C"/>
    <w:rsid w:val="004149E9"/>
    <w:rsid w:val="00416DB2"/>
    <w:rsid w:val="00420409"/>
    <w:rsid w:val="00420EC3"/>
    <w:rsid w:val="004248E5"/>
    <w:rsid w:val="00427798"/>
    <w:rsid w:val="00430A8B"/>
    <w:rsid w:val="0043281F"/>
    <w:rsid w:val="00435A75"/>
    <w:rsid w:val="00435D97"/>
    <w:rsid w:val="0044724C"/>
    <w:rsid w:val="00451795"/>
    <w:rsid w:val="0045688E"/>
    <w:rsid w:val="00457B89"/>
    <w:rsid w:val="004602FC"/>
    <w:rsid w:val="00460689"/>
    <w:rsid w:val="0047181A"/>
    <w:rsid w:val="004743F4"/>
    <w:rsid w:val="00475AEE"/>
    <w:rsid w:val="00480ED9"/>
    <w:rsid w:val="00493180"/>
    <w:rsid w:val="00496590"/>
    <w:rsid w:val="004A0893"/>
    <w:rsid w:val="004A5325"/>
    <w:rsid w:val="004B481C"/>
    <w:rsid w:val="004B7BB5"/>
    <w:rsid w:val="004C0600"/>
    <w:rsid w:val="004C0723"/>
    <w:rsid w:val="004C32C6"/>
    <w:rsid w:val="004E1226"/>
    <w:rsid w:val="004E12FC"/>
    <w:rsid w:val="004F0091"/>
    <w:rsid w:val="004F3316"/>
    <w:rsid w:val="004F599B"/>
    <w:rsid w:val="00506BC2"/>
    <w:rsid w:val="00514943"/>
    <w:rsid w:val="00517D4E"/>
    <w:rsid w:val="00521F78"/>
    <w:rsid w:val="00526C44"/>
    <w:rsid w:val="00527C26"/>
    <w:rsid w:val="00533F73"/>
    <w:rsid w:val="005533C0"/>
    <w:rsid w:val="005624E8"/>
    <w:rsid w:val="00564E78"/>
    <w:rsid w:val="005651EF"/>
    <w:rsid w:val="0056731E"/>
    <w:rsid w:val="00585676"/>
    <w:rsid w:val="00592E98"/>
    <w:rsid w:val="005A2198"/>
    <w:rsid w:val="005A2C3C"/>
    <w:rsid w:val="005B1ECB"/>
    <w:rsid w:val="005B57DA"/>
    <w:rsid w:val="005B6919"/>
    <w:rsid w:val="005C4A09"/>
    <w:rsid w:val="005D342C"/>
    <w:rsid w:val="005D353C"/>
    <w:rsid w:val="005F1A8D"/>
    <w:rsid w:val="005F4381"/>
    <w:rsid w:val="005F4C4D"/>
    <w:rsid w:val="005F6B81"/>
    <w:rsid w:val="0060289F"/>
    <w:rsid w:val="00612E0E"/>
    <w:rsid w:val="00613F55"/>
    <w:rsid w:val="00620018"/>
    <w:rsid w:val="006203A6"/>
    <w:rsid w:val="00622A98"/>
    <w:rsid w:val="006331DD"/>
    <w:rsid w:val="00636E3F"/>
    <w:rsid w:val="00647F9C"/>
    <w:rsid w:val="00655F4C"/>
    <w:rsid w:val="00675E7A"/>
    <w:rsid w:val="00682797"/>
    <w:rsid w:val="0068476D"/>
    <w:rsid w:val="006868B8"/>
    <w:rsid w:val="00686908"/>
    <w:rsid w:val="00691E22"/>
    <w:rsid w:val="006928B3"/>
    <w:rsid w:val="006947D9"/>
    <w:rsid w:val="006A51B3"/>
    <w:rsid w:val="006A5EB0"/>
    <w:rsid w:val="006B0B9C"/>
    <w:rsid w:val="006B120C"/>
    <w:rsid w:val="006B4888"/>
    <w:rsid w:val="006B6F2A"/>
    <w:rsid w:val="006B7A38"/>
    <w:rsid w:val="006D29F5"/>
    <w:rsid w:val="006E74A6"/>
    <w:rsid w:val="006F7D75"/>
    <w:rsid w:val="0071191C"/>
    <w:rsid w:val="00713E1F"/>
    <w:rsid w:val="00735273"/>
    <w:rsid w:val="0074237E"/>
    <w:rsid w:val="007427D7"/>
    <w:rsid w:val="0075184F"/>
    <w:rsid w:val="0075300A"/>
    <w:rsid w:val="00754614"/>
    <w:rsid w:val="007561DB"/>
    <w:rsid w:val="0075686D"/>
    <w:rsid w:val="00756FC4"/>
    <w:rsid w:val="0076057D"/>
    <w:rsid w:val="00760D17"/>
    <w:rsid w:val="00760D65"/>
    <w:rsid w:val="007619FF"/>
    <w:rsid w:val="00763171"/>
    <w:rsid w:val="00767C12"/>
    <w:rsid w:val="0077347C"/>
    <w:rsid w:val="00775FC5"/>
    <w:rsid w:val="00790280"/>
    <w:rsid w:val="007A2FEF"/>
    <w:rsid w:val="007A376D"/>
    <w:rsid w:val="007C517F"/>
    <w:rsid w:val="007C7497"/>
    <w:rsid w:val="007D21D7"/>
    <w:rsid w:val="007D4EF7"/>
    <w:rsid w:val="007D5C13"/>
    <w:rsid w:val="007E1D01"/>
    <w:rsid w:val="007F1241"/>
    <w:rsid w:val="008029E5"/>
    <w:rsid w:val="008079DD"/>
    <w:rsid w:val="0082261C"/>
    <w:rsid w:val="00832C99"/>
    <w:rsid w:val="0083598B"/>
    <w:rsid w:val="008427EF"/>
    <w:rsid w:val="00853584"/>
    <w:rsid w:val="008548DD"/>
    <w:rsid w:val="00862F32"/>
    <w:rsid w:val="008639CD"/>
    <w:rsid w:val="00877FDA"/>
    <w:rsid w:val="008808B7"/>
    <w:rsid w:val="00893D05"/>
    <w:rsid w:val="008A030A"/>
    <w:rsid w:val="008A08DB"/>
    <w:rsid w:val="008A2184"/>
    <w:rsid w:val="008A5B0B"/>
    <w:rsid w:val="008B00FE"/>
    <w:rsid w:val="008B20DB"/>
    <w:rsid w:val="008C124E"/>
    <w:rsid w:val="008C5D2A"/>
    <w:rsid w:val="008D434D"/>
    <w:rsid w:val="008E15F7"/>
    <w:rsid w:val="00901192"/>
    <w:rsid w:val="0090441F"/>
    <w:rsid w:val="00907908"/>
    <w:rsid w:val="009144D7"/>
    <w:rsid w:val="00922E42"/>
    <w:rsid w:val="00927A2E"/>
    <w:rsid w:val="00930EDC"/>
    <w:rsid w:val="00931EFF"/>
    <w:rsid w:val="00932F65"/>
    <w:rsid w:val="00935822"/>
    <w:rsid w:val="009408AA"/>
    <w:rsid w:val="0094317B"/>
    <w:rsid w:val="00943ED4"/>
    <w:rsid w:val="00963224"/>
    <w:rsid w:val="00977EFD"/>
    <w:rsid w:val="009812E9"/>
    <w:rsid w:val="00984DE5"/>
    <w:rsid w:val="009865F8"/>
    <w:rsid w:val="00986B00"/>
    <w:rsid w:val="00993CD7"/>
    <w:rsid w:val="009944AD"/>
    <w:rsid w:val="009A3479"/>
    <w:rsid w:val="009A4EF3"/>
    <w:rsid w:val="009A5929"/>
    <w:rsid w:val="009B1A7A"/>
    <w:rsid w:val="009B2EF6"/>
    <w:rsid w:val="009B7CC2"/>
    <w:rsid w:val="009C4495"/>
    <w:rsid w:val="009C55B5"/>
    <w:rsid w:val="009D1963"/>
    <w:rsid w:val="009D1AEE"/>
    <w:rsid w:val="009D7DF7"/>
    <w:rsid w:val="009E60B9"/>
    <w:rsid w:val="009F04FA"/>
    <w:rsid w:val="009F46A5"/>
    <w:rsid w:val="00A029EA"/>
    <w:rsid w:val="00A03FF6"/>
    <w:rsid w:val="00A05E43"/>
    <w:rsid w:val="00A15D32"/>
    <w:rsid w:val="00A17F8D"/>
    <w:rsid w:val="00A21431"/>
    <w:rsid w:val="00A2665D"/>
    <w:rsid w:val="00A26D3F"/>
    <w:rsid w:val="00A30E54"/>
    <w:rsid w:val="00A35253"/>
    <w:rsid w:val="00A35513"/>
    <w:rsid w:val="00A438EA"/>
    <w:rsid w:val="00A44DFF"/>
    <w:rsid w:val="00A50A38"/>
    <w:rsid w:val="00A54F90"/>
    <w:rsid w:val="00A61504"/>
    <w:rsid w:val="00A61B90"/>
    <w:rsid w:val="00A8797B"/>
    <w:rsid w:val="00A9739B"/>
    <w:rsid w:val="00AA2862"/>
    <w:rsid w:val="00AB5256"/>
    <w:rsid w:val="00AC382B"/>
    <w:rsid w:val="00AC4DC3"/>
    <w:rsid w:val="00AD1296"/>
    <w:rsid w:val="00AD3B97"/>
    <w:rsid w:val="00AE0A15"/>
    <w:rsid w:val="00AE3163"/>
    <w:rsid w:val="00AF1AB5"/>
    <w:rsid w:val="00AF43AB"/>
    <w:rsid w:val="00AF717D"/>
    <w:rsid w:val="00B05362"/>
    <w:rsid w:val="00B071BC"/>
    <w:rsid w:val="00B073D0"/>
    <w:rsid w:val="00B215E8"/>
    <w:rsid w:val="00B2167C"/>
    <w:rsid w:val="00B220A6"/>
    <w:rsid w:val="00B22D9B"/>
    <w:rsid w:val="00B30E9D"/>
    <w:rsid w:val="00B37CA2"/>
    <w:rsid w:val="00B41600"/>
    <w:rsid w:val="00B4180A"/>
    <w:rsid w:val="00B4726F"/>
    <w:rsid w:val="00B53556"/>
    <w:rsid w:val="00B6112C"/>
    <w:rsid w:val="00B61F2B"/>
    <w:rsid w:val="00B63E39"/>
    <w:rsid w:val="00B76E5A"/>
    <w:rsid w:val="00B87009"/>
    <w:rsid w:val="00BA0F16"/>
    <w:rsid w:val="00BA674B"/>
    <w:rsid w:val="00BB6621"/>
    <w:rsid w:val="00BC2524"/>
    <w:rsid w:val="00BC54CA"/>
    <w:rsid w:val="00BE4FF2"/>
    <w:rsid w:val="00BF2B2A"/>
    <w:rsid w:val="00BF2F98"/>
    <w:rsid w:val="00BF4FCC"/>
    <w:rsid w:val="00BF5C0F"/>
    <w:rsid w:val="00C05083"/>
    <w:rsid w:val="00C14D94"/>
    <w:rsid w:val="00C20DD5"/>
    <w:rsid w:val="00C22411"/>
    <w:rsid w:val="00C25AF8"/>
    <w:rsid w:val="00C37D88"/>
    <w:rsid w:val="00C43A1A"/>
    <w:rsid w:val="00C473BA"/>
    <w:rsid w:val="00C50769"/>
    <w:rsid w:val="00C57CD3"/>
    <w:rsid w:val="00C57F1C"/>
    <w:rsid w:val="00C61143"/>
    <w:rsid w:val="00C618EE"/>
    <w:rsid w:val="00C657A8"/>
    <w:rsid w:val="00C70805"/>
    <w:rsid w:val="00C7558E"/>
    <w:rsid w:val="00C830BE"/>
    <w:rsid w:val="00C83412"/>
    <w:rsid w:val="00C8661A"/>
    <w:rsid w:val="00C900AE"/>
    <w:rsid w:val="00CC521F"/>
    <w:rsid w:val="00CD30E0"/>
    <w:rsid w:val="00CE22B8"/>
    <w:rsid w:val="00CE50B4"/>
    <w:rsid w:val="00CF7D44"/>
    <w:rsid w:val="00D02414"/>
    <w:rsid w:val="00D05A94"/>
    <w:rsid w:val="00D126DD"/>
    <w:rsid w:val="00D20FA9"/>
    <w:rsid w:val="00D32FE6"/>
    <w:rsid w:val="00D349DB"/>
    <w:rsid w:val="00D37461"/>
    <w:rsid w:val="00D37601"/>
    <w:rsid w:val="00D42D82"/>
    <w:rsid w:val="00D4412D"/>
    <w:rsid w:val="00D5708E"/>
    <w:rsid w:val="00D667BF"/>
    <w:rsid w:val="00D9254F"/>
    <w:rsid w:val="00DA5A48"/>
    <w:rsid w:val="00DB071A"/>
    <w:rsid w:val="00DB4FC9"/>
    <w:rsid w:val="00DB7AC8"/>
    <w:rsid w:val="00DC1A11"/>
    <w:rsid w:val="00DD0866"/>
    <w:rsid w:val="00DE190F"/>
    <w:rsid w:val="00DF0943"/>
    <w:rsid w:val="00DF3C56"/>
    <w:rsid w:val="00E053F4"/>
    <w:rsid w:val="00E0727B"/>
    <w:rsid w:val="00E12089"/>
    <w:rsid w:val="00E16164"/>
    <w:rsid w:val="00E1655A"/>
    <w:rsid w:val="00E23218"/>
    <w:rsid w:val="00E2497C"/>
    <w:rsid w:val="00E375B2"/>
    <w:rsid w:val="00E407D2"/>
    <w:rsid w:val="00E43315"/>
    <w:rsid w:val="00E465CB"/>
    <w:rsid w:val="00E56228"/>
    <w:rsid w:val="00E57CD5"/>
    <w:rsid w:val="00E60318"/>
    <w:rsid w:val="00E60847"/>
    <w:rsid w:val="00E825CD"/>
    <w:rsid w:val="00E904F5"/>
    <w:rsid w:val="00E92EDA"/>
    <w:rsid w:val="00EA11D8"/>
    <w:rsid w:val="00EA1902"/>
    <w:rsid w:val="00EA29A8"/>
    <w:rsid w:val="00EA2D70"/>
    <w:rsid w:val="00EA3AFB"/>
    <w:rsid w:val="00EB12B1"/>
    <w:rsid w:val="00EB5B54"/>
    <w:rsid w:val="00EC094C"/>
    <w:rsid w:val="00EC2FBB"/>
    <w:rsid w:val="00EC77A3"/>
    <w:rsid w:val="00ED233B"/>
    <w:rsid w:val="00ED33F8"/>
    <w:rsid w:val="00EE3656"/>
    <w:rsid w:val="00EF1E18"/>
    <w:rsid w:val="00F24B7B"/>
    <w:rsid w:val="00F36E42"/>
    <w:rsid w:val="00F47EE5"/>
    <w:rsid w:val="00F51070"/>
    <w:rsid w:val="00F52DF1"/>
    <w:rsid w:val="00F549E5"/>
    <w:rsid w:val="00F55FE4"/>
    <w:rsid w:val="00F61A99"/>
    <w:rsid w:val="00F73C9D"/>
    <w:rsid w:val="00F76BE9"/>
    <w:rsid w:val="00F8268D"/>
    <w:rsid w:val="00F96496"/>
    <w:rsid w:val="00FA0470"/>
    <w:rsid w:val="00FA71BD"/>
    <w:rsid w:val="00FB7274"/>
    <w:rsid w:val="00FC6E26"/>
    <w:rsid w:val="00FD380B"/>
    <w:rsid w:val="00FE0391"/>
    <w:rsid w:val="00FE323F"/>
    <w:rsid w:val="00FE6A6C"/>
    <w:rsid w:val="00FF5FD1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F077B4E-D7EB-48DD-95BD-9DF544FF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0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3A1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3A1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C07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5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257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5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257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E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8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8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28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28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5686D"/>
    <w:rPr>
      <w:sz w:val="22"/>
      <w:szCs w:val="22"/>
    </w:rPr>
  </w:style>
  <w:style w:type="table" w:styleId="TableGrid">
    <w:name w:val="Table Grid"/>
    <w:basedOn w:val="TableNormal"/>
    <w:uiPriority w:val="59"/>
    <w:rsid w:val="0061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451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51795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29A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29A8"/>
  </w:style>
  <w:style w:type="character" w:styleId="EndnoteReference">
    <w:name w:val="endnote reference"/>
    <w:uiPriority w:val="99"/>
    <w:semiHidden/>
    <w:unhideWhenUsed/>
    <w:rsid w:val="00EA29A8"/>
    <w:rPr>
      <w:vertAlign w:val="superscript"/>
    </w:rPr>
  </w:style>
  <w:style w:type="character" w:styleId="FootnoteReference">
    <w:name w:val="footnote reference"/>
    <w:uiPriority w:val="99"/>
    <w:semiHidden/>
    <w:unhideWhenUsed/>
    <w:rsid w:val="00EA29A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760D65"/>
    <w:rPr>
      <w:color w:val="954F72"/>
      <w:u w:val="single"/>
    </w:rPr>
  </w:style>
  <w:style w:type="paragraph" w:customStyle="1" w:styleId="Default">
    <w:name w:val="Default"/>
    <w:rsid w:val="00AC38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423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BFBFBF"/>
                    <w:bottom w:val="none" w:sz="0" w:space="0" w:color="auto"/>
                    <w:right w:val="none" w:sz="0" w:space="0" w:color="auto"/>
                  </w:divBdr>
                  <w:divsChild>
                    <w:div w:id="913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4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9BBFE2"/>
                            <w:left w:val="single" w:sz="6" w:space="0" w:color="9BBFE2"/>
                            <w:bottom w:val="single" w:sz="6" w:space="0" w:color="9BBFE2"/>
                            <w:right w:val="single" w:sz="6" w:space="0" w:color="9BBFE2"/>
                          </w:divBdr>
                          <w:divsChild>
                            <w:div w:id="307518787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7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4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94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5141">
                          <w:marLeft w:val="0"/>
                          <w:marRight w:val="0"/>
                          <w:marTop w:val="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BBCEAA"/>
                                    <w:left w:val="single" w:sz="6" w:space="4" w:color="BBCEAA"/>
                                    <w:bottom w:val="single" w:sz="6" w:space="4" w:color="BBCEAA"/>
                                    <w:right w:val="single" w:sz="6" w:space="4" w:color="BBCEA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ls.gov/oes/current/oes251071.ht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bhw.hrsa.gov/loansscholarships/flrp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whitehouse.gov/omb/budget/fy2002/mgm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31" ma:contentTypeDescription="Create a new document." ma:contentTypeScope="" ma:versionID="8e140ebc6a675136ab284563b5d7d8e7">
  <xsd:schema xmlns:xsd="http://www.w3.org/2001/XMLSchema" xmlns:xs="http://www.w3.org/2001/XMLSchema" xmlns:p="http://schemas.microsoft.com/office/2006/metadata/properties" xmlns:ns2="053a5afd-1424-405b-82d9-63deec7446f8" xmlns:ns3="0fdd5923-a2c2-4931-ba39-644f5cbc34d7" targetNamespace="http://schemas.microsoft.com/office/2006/metadata/properties" ma:root="true" ma:fieldsID="8acc7080d68f7e0e23a52f6bc3daa00e" ns2:_="" ns3:_="">
    <xsd:import namespace="053a5afd-1424-405b-82d9-63deec7446f8"/>
    <xsd:import namespace="0fdd5923-a2c2-4931-ba39-644f5cbc3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d5923-a2c2-4931-ba39-644f5cbc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F7006-DD75-472B-A9D5-0841101C7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0fdd5923-a2c2-4931-ba39-644f5cbc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8E427-BD7B-4539-8724-18396D19C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64D42-C6CD-403A-A47D-6BD915E22B6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A67A859-9C3C-4342-93D1-81473EB027A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F312AB3-4EB0-4883-AEF6-5F8D06380F5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F69D48-3EC0-4ABF-830E-DEACAD8B22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dd5923-a2c2-4931-ba39-644f5cbc34d7"/>
    <ds:schemaRef ds:uri="053a5afd-1424-405b-82d9-63deec7446f8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C3BFB8C-4820-446B-98EB-B6FCBB7B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FLRP Supporting Statement</vt:lpstr>
    </vt:vector>
  </TitlesOfParts>
  <Company>HRSA</Company>
  <LinksUpToDate>false</LinksUpToDate>
  <CharactersWithSpaces>12130</CharactersWithSpaces>
  <SharedDoc>false</SharedDoc>
  <HLinks>
    <vt:vector size="18" baseType="variant">
      <vt:variant>
        <vt:i4>5046300</vt:i4>
      </vt:variant>
      <vt:variant>
        <vt:i4>6</vt:i4>
      </vt:variant>
      <vt:variant>
        <vt:i4>0</vt:i4>
      </vt:variant>
      <vt:variant>
        <vt:i4>5</vt:i4>
      </vt:variant>
      <vt:variant>
        <vt:lpwstr>https://www.bls.gov/oes/current/oes251071.htm</vt:lpwstr>
      </vt:variant>
      <vt:variant>
        <vt:lpwstr/>
      </vt:variant>
      <vt:variant>
        <vt:i4>3866751</vt:i4>
      </vt:variant>
      <vt:variant>
        <vt:i4>3</vt:i4>
      </vt:variant>
      <vt:variant>
        <vt:i4>0</vt:i4>
      </vt:variant>
      <vt:variant>
        <vt:i4>5</vt:i4>
      </vt:variant>
      <vt:variant>
        <vt:lpwstr>https://bhw.hrsa.gov/loansscholarships/flrp</vt:lpwstr>
      </vt:variant>
      <vt:variant>
        <vt:lpwstr/>
      </vt:variant>
      <vt:variant>
        <vt:i4>4718677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http://www.whitehouse.gov/omb/budget/fy2002/mgmt.pdf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FLRP Supporting Statement</dc:title>
  <dc:subject/>
  <dc:creator>sambady</dc:creator>
  <cp:keywords/>
  <cp:lastModifiedBy>Elyana N.  Bowman</cp:lastModifiedBy>
  <cp:revision>2</cp:revision>
  <cp:lastPrinted>2018-03-15T15:35:00Z</cp:lastPrinted>
  <dcterms:created xsi:type="dcterms:W3CDTF">2021-01-15T22:16:00Z</dcterms:created>
  <dcterms:modified xsi:type="dcterms:W3CDTF">2021-01-15T22:16:00Z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WZ63U36FQ2UJ-1977657543-2319</vt:lpwstr>
  </property>
  <property fmtid="{D5CDD505-2E9C-101B-9397-08002B2CF9AE}" pid="3" name="_dlc_DocIdItemGuid">
    <vt:lpwstr>ba4ade1e-ec44-4a09-9cda-b3e77e73c5dd</vt:lpwstr>
  </property>
  <property fmtid="{D5CDD505-2E9C-101B-9397-08002B2CF9AE}" pid="4" name="_dlc_DocIdUrl">
    <vt:lpwstr>https://sharepoint.hrsa.gov/sites/BHW/DPSD/frns-regs/_layouts/15/DocIdRedir.aspx?ID=WZ63U36FQ2UJ-1977657543-2319, WZ63U36FQ2UJ-1977657543-2319</vt:lpwstr>
  </property>
</Properties>
</file>