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690B" w:rsidR="00527A26" w:rsidP="00464AB6" w:rsidRDefault="00527A26" w14:paraId="16C43012" w14:textId="77777777">
      <w:pPr>
        <w:pStyle w:val="Body1"/>
        <w:rPr>
          <w:szCs w:val="24"/>
        </w:rPr>
      </w:pPr>
    </w:p>
    <w:p w:rsidRPr="0072690B" w:rsidR="00527A26" w:rsidP="0042175C" w:rsidRDefault="00527A26" w14:paraId="7F74D676" w14:textId="77777777">
      <w:pPr>
        <w:pStyle w:val="Body1"/>
        <w:rPr>
          <w:szCs w:val="24"/>
        </w:rPr>
      </w:pPr>
    </w:p>
    <w:p w:rsidRPr="0072690B" w:rsidR="00527A26" w:rsidP="00A05BCF" w:rsidRDefault="00527A26" w14:paraId="40546859" w14:textId="77777777">
      <w:pPr>
        <w:pStyle w:val="Body1"/>
        <w:rPr>
          <w:szCs w:val="24"/>
        </w:rPr>
      </w:pPr>
    </w:p>
    <w:p w:rsidR="00782B71" w:rsidP="003E5F22" w:rsidRDefault="00782B71" w14:paraId="0134055D" w14:textId="77777777">
      <w:pPr>
        <w:spacing w:line="276" w:lineRule="auto"/>
        <w:jc w:val="center"/>
        <w:rPr>
          <w:b/>
          <w:sz w:val="24"/>
          <w:szCs w:val="24"/>
        </w:rPr>
      </w:pPr>
    </w:p>
    <w:p w:rsidR="00782B71" w:rsidP="00782B71" w:rsidRDefault="00782B71" w14:paraId="43BE6AE5" w14:textId="77777777">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Pr="00EA366E" w:rsidR="00782B71" w:rsidP="00782B71" w:rsidRDefault="00782B71" w14:paraId="7B17B02D"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00782B71" w:rsidP="003E5F22" w:rsidRDefault="00782B71" w14:paraId="56CEA39C" w14:textId="77777777">
      <w:pPr>
        <w:spacing w:line="276" w:lineRule="auto"/>
        <w:jc w:val="center"/>
        <w:rPr>
          <w:b/>
          <w:sz w:val="24"/>
          <w:szCs w:val="24"/>
        </w:rPr>
      </w:pPr>
    </w:p>
    <w:p w:rsidRPr="00782B71" w:rsidR="003E5F22" w:rsidP="003E5F22" w:rsidRDefault="00730455" w14:paraId="50677BDA" w14:textId="77777777">
      <w:pPr>
        <w:spacing w:line="276" w:lineRule="auto"/>
        <w:jc w:val="center"/>
        <w:rPr>
          <w:b/>
          <w:sz w:val="24"/>
          <w:szCs w:val="24"/>
        </w:rPr>
      </w:pPr>
      <w:r w:rsidRPr="00782B71">
        <w:rPr>
          <w:b/>
          <w:sz w:val="24"/>
          <w:szCs w:val="24"/>
        </w:rPr>
        <w:t xml:space="preserve">Drug Overdose Response </w:t>
      </w:r>
      <w:r w:rsidRPr="00782B71" w:rsidR="003E5F22">
        <w:rPr>
          <w:b/>
          <w:sz w:val="24"/>
          <w:szCs w:val="24"/>
        </w:rPr>
        <w:t>Investigation (</w:t>
      </w:r>
      <w:r w:rsidRPr="00782B71">
        <w:rPr>
          <w:b/>
          <w:sz w:val="24"/>
          <w:szCs w:val="24"/>
        </w:rPr>
        <w:t>DORI</w:t>
      </w:r>
      <w:r w:rsidRPr="00782B71" w:rsidR="003E5F22">
        <w:rPr>
          <w:b/>
          <w:sz w:val="24"/>
          <w:szCs w:val="24"/>
        </w:rPr>
        <w:t>) Data Collection</w:t>
      </w:r>
    </w:p>
    <w:p w:rsidRPr="00782B71" w:rsidR="003E5F22" w:rsidP="003E5F22" w:rsidRDefault="003E5F22" w14:paraId="2D072E6B" w14:textId="77777777">
      <w:pPr>
        <w:spacing w:line="276" w:lineRule="auto"/>
        <w:jc w:val="center"/>
        <w:rPr>
          <w:sz w:val="24"/>
          <w:szCs w:val="24"/>
        </w:rPr>
      </w:pPr>
    </w:p>
    <w:p w:rsidRPr="00782B71" w:rsidR="003E5F22" w:rsidP="003E5F22" w:rsidRDefault="003E5F22" w14:paraId="078C78A5" w14:textId="77777777">
      <w:pPr>
        <w:spacing w:line="276" w:lineRule="auto"/>
        <w:jc w:val="center"/>
        <w:rPr>
          <w:sz w:val="24"/>
          <w:szCs w:val="24"/>
        </w:rPr>
      </w:pPr>
    </w:p>
    <w:p w:rsidRPr="00782B71" w:rsidR="003E5F22" w:rsidP="003E5F22" w:rsidRDefault="003E5F22" w14:paraId="32FD0724" w14:textId="77777777">
      <w:pPr>
        <w:spacing w:line="276" w:lineRule="auto"/>
        <w:jc w:val="center"/>
        <w:rPr>
          <w:sz w:val="24"/>
          <w:szCs w:val="24"/>
        </w:rPr>
      </w:pPr>
    </w:p>
    <w:p w:rsidRPr="00B436C1" w:rsidR="00782B71" w:rsidP="00782B71" w:rsidRDefault="00782B71" w14:paraId="3007C892" w14:textId="77777777">
      <w:pPr>
        <w:jc w:val="center"/>
        <w:rPr>
          <w:b/>
          <w:sz w:val="24"/>
          <w:szCs w:val="24"/>
        </w:rPr>
      </w:pPr>
      <w:r w:rsidRPr="00B436C1">
        <w:rPr>
          <w:b/>
          <w:sz w:val="24"/>
          <w:szCs w:val="24"/>
        </w:rPr>
        <w:t>OMB# 0920-1054</w:t>
      </w:r>
    </w:p>
    <w:p w:rsidRPr="00782B71" w:rsidR="003E5F22" w:rsidP="003E5F22" w:rsidRDefault="003E5F22" w14:paraId="35A6505F" w14:textId="77777777">
      <w:pPr>
        <w:spacing w:line="276" w:lineRule="auto"/>
        <w:jc w:val="center"/>
        <w:rPr>
          <w:sz w:val="24"/>
          <w:szCs w:val="24"/>
        </w:rPr>
      </w:pPr>
    </w:p>
    <w:p w:rsidRPr="00782B71" w:rsidR="003E5F22" w:rsidP="003E5F22" w:rsidRDefault="003E5F22" w14:paraId="4866235A" w14:textId="77777777">
      <w:pPr>
        <w:spacing w:line="276" w:lineRule="auto"/>
        <w:jc w:val="center"/>
        <w:rPr>
          <w:sz w:val="24"/>
          <w:szCs w:val="24"/>
        </w:rPr>
      </w:pPr>
    </w:p>
    <w:p w:rsidR="00782B71" w:rsidP="003E5F22" w:rsidRDefault="00D252E0" w14:paraId="1167218B" w14:textId="408E5740">
      <w:pPr>
        <w:spacing w:line="276" w:lineRule="auto"/>
        <w:jc w:val="center"/>
        <w:rPr>
          <w:sz w:val="24"/>
          <w:szCs w:val="24"/>
        </w:rPr>
      </w:pPr>
      <w:r>
        <w:rPr>
          <w:sz w:val="24"/>
          <w:szCs w:val="24"/>
        </w:rPr>
        <w:t xml:space="preserve">January 5, 2021 </w:t>
      </w:r>
    </w:p>
    <w:p w:rsidRPr="00782B71" w:rsidR="00D252E0" w:rsidP="003E5F22" w:rsidRDefault="00D252E0" w14:paraId="5F6F59F7" w14:textId="46DA57BA">
      <w:pPr>
        <w:spacing w:line="276" w:lineRule="auto"/>
        <w:jc w:val="center"/>
        <w:rPr>
          <w:sz w:val="24"/>
          <w:szCs w:val="24"/>
        </w:rPr>
      </w:pPr>
    </w:p>
    <w:p w:rsidRPr="00782B71" w:rsidR="00782B71" w:rsidP="00782B71" w:rsidRDefault="00782B71" w14:paraId="3C7E8FE9" w14:textId="77777777">
      <w:pPr>
        <w:jc w:val="center"/>
        <w:rPr>
          <w:sz w:val="24"/>
          <w:szCs w:val="24"/>
        </w:rPr>
      </w:pPr>
    </w:p>
    <w:p w:rsidRPr="00782B71" w:rsidR="00782B71" w:rsidP="00782B71" w:rsidRDefault="00782B71" w14:paraId="5E63C33F" w14:textId="77777777">
      <w:pPr>
        <w:jc w:val="center"/>
        <w:rPr>
          <w:sz w:val="24"/>
          <w:szCs w:val="24"/>
        </w:rPr>
      </w:pPr>
    </w:p>
    <w:p w:rsidRPr="00B436C1" w:rsidR="00782B71" w:rsidP="00782B71" w:rsidRDefault="00782B71" w14:paraId="34462D6A" w14:textId="77777777">
      <w:pPr>
        <w:jc w:val="center"/>
        <w:rPr>
          <w:sz w:val="24"/>
          <w:szCs w:val="24"/>
        </w:rPr>
      </w:pPr>
      <w:r w:rsidRPr="00B436C1">
        <w:rPr>
          <w:sz w:val="24"/>
          <w:szCs w:val="24"/>
        </w:rPr>
        <w:t>Point of Contact:</w:t>
      </w:r>
    </w:p>
    <w:p w:rsidRPr="00DC64DC" w:rsidR="00055F72" w:rsidP="00DC64DC" w:rsidRDefault="00055F72" w14:paraId="0CAE3854" w14:textId="77777777">
      <w:pPr>
        <w:jc w:val="center"/>
        <w:rPr>
          <w:sz w:val="24"/>
          <w:szCs w:val="24"/>
        </w:rPr>
      </w:pPr>
      <w:r w:rsidRPr="00DC64DC">
        <w:rPr>
          <w:sz w:val="24"/>
          <w:szCs w:val="24"/>
        </w:rPr>
        <w:t>Jessica Wolff, MPH</w:t>
      </w:r>
    </w:p>
    <w:p w:rsidRPr="00921454" w:rsidR="00055F72" w:rsidP="00DC64DC" w:rsidRDefault="00055F72" w14:paraId="124308F7" w14:textId="77777777">
      <w:pPr>
        <w:jc w:val="center"/>
        <w:rPr>
          <w:color w:val="000000" w:themeColor="text1"/>
          <w:sz w:val="24"/>
          <w:szCs w:val="24"/>
        </w:rPr>
      </w:pPr>
      <w:r w:rsidRPr="00921454">
        <w:rPr>
          <w:color w:val="000000" w:themeColor="text1"/>
          <w:sz w:val="24"/>
          <w:szCs w:val="24"/>
        </w:rPr>
        <w:t>Centers for Disease Control and Prevention</w:t>
      </w:r>
    </w:p>
    <w:p w:rsidRPr="00921454" w:rsidR="00055F72" w:rsidP="00DC64DC" w:rsidRDefault="00055F72" w14:paraId="30BB94B8" w14:textId="77777777">
      <w:pPr>
        <w:jc w:val="center"/>
        <w:rPr>
          <w:color w:val="000000" w:themeColor="text1"/>
          <w:sz w:val="24"/>
          <w:szCs w:val="24"/>
        </w:rPr>
      </w:pPr>
      <w:r w:rsidRPr="00921454">
        <w:rPr>
          <w:color w:val="000000" w:themeColor="text1"/>
          <w:sz w:val="24"/>
          <w:szCs w:val="24"/>
        </w:rPr>
        <w:t>National Center for Injury Prevention and Control</w:t>
      </w:r>
    </w:p>
    <w:p w:rsidRPr="00921454" w:rsidR="00055F72" w:rsidP="00DC64DC" w:rsidRDefault="00055F72" w14:paraId="27451808" w14:textId="77777777">
      <w:pPr>
        <w:jc w:val="center"/>
        <w:rPr>
          <w:color w:val="000000" w:themeColor="text1"/>
          <w:sz w:val="24"/>
          <w:szCs w:val="24"/>
        </w:rPr>
      </w:pPr>
      <w:r w:rsidRPr="00921454">
        <w:rPr>
          <w:color w:val="000000" w:themeColor="text1"/>
          <w:sz w:val="24"/>
          <w:szCs w:val="24"/>
        </w:rPr>
        <w:t>Division of Overdose Prevention</w:t>
      </w:r>
    </w:p>
    <w:p w:rsidRPr="00921454" w:rsidR="00055F72" w:rsidP="00DC64DC" w:rsidRDefault="00055F72" w14:paraId="452BE33F" w14:textId="77777777">
      <w:pPr>
        <w:jc w:val="center"/>
        <w:rPr>
          <w:color w:val="000000" w:themeColor="text1"/>
          <w:sz w:val="24"/>
          <w:szCs w:val="24"/>
        </w:rPr>
      </w:pPr>
      <w:r w:rsidRPr="00921454">
        <w:rPr>
          <w:color w:val="000000" w:themeColor="text1"/>
          <w:sz w:val="24"/>
          <w:szCs w:val="24"/>
        </w:rPr>
        <w:t>4770 Buford Hwy MS F-63</w:t>
      </w:r>
    </w:p>
    <w:p w:rsidRPr="00921454" w:rsidR="00055F72" w:rsidP="00DC64DC" w:rsidRDefault="00055F72" w14:paraId="3FB9D44F" w14:textId="77777777">
      <w:pPr>
        <w:jc w:val="center"/>
        <w:rPr>
          <w:color w:val="000000" w:themeColor="text1"/>
          <w:sz w:val="24"/>
          <w:szCs w:val="24"/>
        </w:rPr>
      </w:pPr>
      <w:r w:rsidRPr="00921454">
        <w:rPr>
          <w:color w:val="000000" w:themeColor="text1"/>
          <w:sz w:val="24"/>
          <w:szCs w:val="24"/>
        </w:rPr>
        <w:t>Atlanta, GA 30341</w:t>
      </w:r>
    </w:p>
    <w:p w:rsidRPr="00921454" w:rsidR="00055F72" w:rsidP="00055F72" w:rsidRDefault="00055F72" w14:paraId="5015CE00" w14:textId="323C8AEF">
      <w:pPr>
        <w:spacing w:line="276" w:lineRule="auto"/>
        <w:jc w:val="center"/>
        <w:rPr>
          <w:color w:val="000000" w:themeColor="text1"/>
          <w:sz w:val="24"/>
          <w:szCs w:val="24"/>
        </w:rPr>
      </w:pPr>
      <w:r w:rsidRPr="00921454">
        <w:rPr>
          <w:color w:val="000000" w:themeColor="text1"/>
          <w:sz w:val="24"/>
          <w:szCs w:val="24"/>
        </w:rPr>
        <w:t>Phone: 404-498-5070</w:t>
      </w:r>
    </w:p>
    <w:p w:rsidRPr="00921454" w:rsidR="00055F72" w:rsidP="00055F72" w:rsidRDefault="00055F72" w14:paraId="57AAAF5D" w14:textId="38C260AD">
      <w:pPr>
        <w:spacing w:line="276" w:lineRule="auto"/>
        <w:jc w:val="center"/>
        <w:rPr>
          <w:color w:val="000000" w:themeColor="text1"/>
          <w:sz w:val="24"/>
          <w:szCs w:val="24"/>
        </w:rPr>
      </w:pPr>
      <w:r w:rsidRPr="00921454">
        <w:rPr>
          <w:color w:val="000000" w:themeColor="text1"/>
          <w:sz w:val="24"/>
          <w:szCs w:val="24"/>
        </w:rPr>
        <w:t>Email: nmn3@cdc.gov</w:t>
      </w:r>
    </w:p>
    <w:p w:rsidRPr="00921454" w:rsidR="003E5F22" w:rsidP="003E5F22" w:rsidRDefault="003E5F22" w14:paraId="0A27CE20" w14:textId="77777777">
      <w:pPr>
        <w:spacing w:line="276" w:lineRule="auto"/>
        <w:jc w:val="center"/>
        <w:rPr>
          <w:color w:val="000000" w:themeColor="text1"/>
          <w:sz w:val="24"/>
          <w:szCs w:val="24"/>
        </w:rPr>
      </w:pPr>
    </w:p>
    <w:p w:rsidRPr="0072690B" w:rsidR="00527A26" w:rsidP="00A05BCF" w:rsidRDefault="00527A26" w14:paraId="341B4B23" w14:textId="77777777">
      <w:pPr>
        <w:pStyle w:val="Body1"/>
        <w:jc w:val="center"/>
        <w:rPr>
          <w:b/>
          <w:szCs w:val="24"/>
        </w:rPr>
      </w:pPr>
    </w:p>
    <w:p w:rsidR="00D91CDF" w:rsidP="00A05BCF" w:rsidRDefault="00D91CDF" w14:paraId="161E4952" w14:textId="77777777">
      <w:pPr>
        <w:pStyle w:val="Body1"/>
        <w:jc w:val="center"/>
        <w:rPr>
          <w:b/>
          <w:szCs w:val="24"/>
        </w:rPr>
      </w:pPr>
    </w:p>
    <w:p w:rsidR="003E5F22" w:rsidRDefault="003E5F22" w14:paraId="22EF8CD5" w14:textId="77777777">
      <w:pPr>
        <w:rPr>
          <w:rFonts w:eastAsia="Arial Unicode MS"/>
          <w:b/>
          <w:color w:val="000000"/>
          <w:sz w:val="24"/>
          <w:szCs w:val="24"/>
          <w:u w:color="000000"/>
        </w:rPr>
      </w:pPr>
      <w:r>
        <w:rPr>
          <w:b/>
          <w:szCs w:val="24"/>
        </w:rPr>
        <w:br w:type="page"/>
      </w:r>
    </w:p>
    <w:p w:rsidRPr="00F21EE8" w:rsidR="00784C67" w:rsidP="002D635F" w:rsidRDefault="00784C67" w14:paraId="5AFA8A24" w14:textId="77777777">
      <w:pPr>
        <w:pStyle w:val="Body1"/>
        <w:rPr>
          <w:b/>
          <w:szCs w:val="24"/>
        </w:rPr>
      </w:pPr>
      <w:r w:rsidRPr="00F21EE8">
        <w:rPr>
          <w:b/>
          <w:szCs w:val="24"/>
        </w:rPr>
        <w:lastRenderedPageBreak/>
        <w:t>Table of Contents</w:t>
      </w:r>
    </w:p>
    <w:p w:rsidRPr="00F21EE8" w:rsidR="00784C67" w:rsidP="00784C67" w:rsidRDefault="00784C67" w14:paraId="58925AD9" w14:textId="77777777">
      <w:pPr>
        <w:pStyle w:val="Body1"/>
        <w:tabs>
          <w:tab w:val="left" w:pos="720"/>
          <w:tab w:val="left" w:pos="1440"/>
          <w:tab w:val="left" w:pos="2160"/>
          <w:tab w:val="left" w:pos="2880"/>
        </w:tabs>
        <w:spacing w:line="360" w:lineRule="auto"/>
        <w:rPr>
          <w:b/>
          <w:szCs w:val="24"/>
        </w:rPr>
      </w:pPr>
    </w:p>
    <w:p w:rsidR="00782B71" w:rsidP="00784C67" w:rsidRDefault="00784C67" w14:paraId="01B41386"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r>
      <w:r w:rsidR="00782B71">
        <w:rPr>
          <w:szCs w:val="24"/>
        </w:rPr>
        <w:t>Summary Table</w:t>
      </w:r>
    </w:p>
    <w:p w:rsidRPr="00F21EE8" w:rsidR="00784C67" w:rsidP="00784C67" w:rsidRDefault="00782B71" w14:paraId="745DA33D" w14:textId="77777777">
      <w:pPr>
        <w:pStyle w:val="Body1"/>
        <w:tabs>
          <w:tab w:val="left" w:pos="720"/>
          <w:tab w:val="left" w:pos="1440"/>
          <w:tab w:val="left" w:pos="2160"/>
          <w:tab w:val="left" w:pos="2880"/>
        </w:tabs>
        <w:spacing w:line="360" w:lineRule="auto"/>
        <w:rPr>
          <w:szCs w:val="24"/>
        </w:rPr>
      </w:pPr>
      <w:r>
        <w:rPr>
          <w:szCs w:val="24"/>
        </w:rPr>
        <w:tab/>
      </w:r>
      <w:r w:rsidRPr="00F21EE8" w:rsidR="00784C67">
        <w:rPr>
          <w:szCs w:val="24"/>
        </w:rPr>
        <w:t>Justification</w:t>
      </w:r>
    </w:p>
    <w:p w:rsidRPr="00F21EE8" w:rsidR="00784C67" w:rsidP="00784C67" w:rsidRDefault="00784C67" w14:paraId="474C57C5" w14:textId="7777777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rsidRPr="00F21EE8" w:rsidR="00784C67" w:rsidP="00784C67" w:rsidRDefault="00D83A42" w14:paraId="56CFEDAB" w14:textId="77777777">
      <w:pPr>
        <w:pStyle w:val="Body1"/>
        <w:tabs>
          <w:tab w:val="left" w:pos="720"/>
          <w:tab w:val="left" w:pos="1440"/>
          <w:tab w:val="left" w:pos="2160"/>
          <w:tab w:val="left" w:pos="2880"/>
        </w:tabs>
        <w:spacing w:line="360" w:lineRule="auto"/>
        <w:rPr>
          <w:szCs w:val="24"/>
        </w:rPr>
      </w:pPr>
      <w:r>
        <w:rPr>
          <w:szCs w:val="24"/>
        </w:rPr>
        <w:tab/>
      </w:r>
      <w:r w:rsidRPr="00F21EE8" w:rsidR="00784C67">
        <w:rPr>
          <w:szCs w:val="24"/>
        </w:rPr>
        <w:t xml:space="preserve">2. </w:t>
      </w:r>
      <w:r w:rsidRPr="00F21EE8" w:rsidR="00784C67">
        <w:rPr>
          <w:szCs w:val="24"/>
        </w:rPr>
        <w:tab/>
        <w:t>Purpose and Use of Information Collection</w:t>
      </w:r>
    </w:p>
    <w:p w:rsidRPr="00F21EE8" w:rsidR="00784C67" w:rsidP="00784C67" w:rsidRDefault="00784C67" w14:paraId="01DD8F71" w14:textId="7777777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Pr="00F21EE8" w:rsidR="00784C67" w:rsidP="00784C67" w:rsidRDefault="00784C67" w14:paraId="2BD49F1E" w14:textId="7777777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rsidRPr="00F21EE8" w:rsidR="00784C67" w:rsidP="00784C67" w:rsidRDefault="00784C67" w14:paraId="16E91D2B"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Pr="00F21EE8" w:rsidR="00784C67" w:rsidP="00784C67" w:rsidRDefault="00784C67" w14:paraId="0810A7E2" w14:textId="7777777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rsidRPr="00782B71" w:rsidR="00782B71" w:rsidP="00782B71" w:rsidRDefault="00784C67" w14:paraId="0205317E" w14:textId="77777777">
      <w:pPr>
        <w:pStyle w:val="Body1"/>
        <w:tabs>
          <w:tab w:val="left" w:pos="720"/>
          <w:tab w:val="left" w:pos="1440"/>
        </w:tabs>
        <w:spacing w:line="360" w:lineRule="auto"/>
        <w:rPr>
          <w:szCs w:val="24"/>
        </w:rPr>
      </w:pPr>
      <w:r w:rsidRPr="00F21EE8">
        <w:rPr>
          <w:szCs w:val="24"/>
        </w:rPr>
        <w:tab/>
        <w:t>7.</w:t>
      </w:r>
      <w:r w:rsidRPr="00F21EE8">
        <w:rPr>
          <w:szCs w:val="24"/>
        </w:rPr>
        <w:tab/>
      </w:r>
      <w:r w:rsidRPr="00782B71" w:rsidR="00782B71">
        <w:rPr>
          <w:szCs w:val="24"/>
        </w:rPr>
        <w:t xml:space="preserve">Special Circumstances Relating to the Guidelines of </w:t>
      </w:r>
    </w:p>
    <w:p w:rsidRPr="00F21EE8" w:rsidR="00784C67" w:rsidP="00782B71" w:rsidRDefault="00782B71" w14:paraId="1C485E95" w14:textId="77777777">
      <w:pPr>
        <w:pStyle w:val="Body1"/>
        <w:tabs>
          <w:tab w:val="left" w:pos="720"/>
          <w:tab w:val="left" w:pos="1440"/>
        </w:tabs>
        <w:spacing w:line="360" w:lineRule="auto"/>
        <w:rPr>
          <w:szCs w:val="24"/>
        </w:rPr>
      </w:pPr>
      <w:r w:rsidRPr="00782B71">
        <w:rPr>
          <w:szCs w:val="24"/>
        </w:rPr>
        <w:tab/>
      </w:r>
      <w:r>
        <w:rPr>
          <w:szCs w:val="24"/>
        </w:rPr>
        <w:tab/>
      </w:r>
      <w:r w:rsidRPr="00782B71">
        <w:rPr>
          <w:szCs w:val="24"/>
        </w:rPr>
        <w:t>5 CFR 1320.5(d)2</w:t>
      </w:r>
    </w:p>
    <w:p w:rsidRPr="00F21EE8" w:rsidR="00784C67" w:rsidP="00784C67" w:rsidRDefault="00784C67" w14:paraId="1F612943"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Pr="00F21EE8" w:rsidR="00784C67" w:rsidP="00784C67" w:rsidRDefault="00784C67" w14:paraId="6D78C37B" w14:textId="7777777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rsidR="00782B71" w:rsidP="00B436C1" w:rsidRDefault="00784C67" w14:paraId="4CF04536" w14:textId="05485A2C">
      <w:pPr>
        <w:pStyle w:val="Body1"/>
        <w:tabs>
          <w:tab w:val="left" w:pos="720"/>
          <w:tab w:val="left" w:pos="1440"/>
        </w:tabs>
        <w:spacing w:line="360" w:lineRule="auto"/>
        <w:ind w:left="1440" w:hanging="720"/>
        <w:rPr>
          <w:szCs w:val="24"/>
        </w:rPr>
      </w:pPr>
      <w:r w:rsidRPr="00F21EE8">
        <w:rPr>
          <w:szCs w:val="24"/>
        </w:rPr>
        <w:t>10.</w:t>
      </w:r>
      <w:r w:rsidRPr="00F21EE8">
        <w:rPr>
          <w:szCs w:val="24"/>
        </w:rPr>
        <w:tab/>
      </w:r>
      <w:r w:rsidRPr="00782B71" w:rsidR="00782B71">
        <w:rPr>
          <w:szCs w:val="24"/>
        </w:rPr>
        <w:t xml:space="preserve">Protection of the Privacy and Confidentiality of Information Provided </w:t>
      </w:r>
      <w:r w:rsidRPr="00782B71" w:rsidR="00921454">
        <w:rPr>
          <w:szCs w:val="24"/>
        </w:rPr>
        <w:t>by Respondents</w:t>
      </w:r>
      <w:r w:rsidRPr="00782B71" w:rsidDel="00782B71" w:rsidR="00782B71">
        <w:rPr>
          <w:szCs w:val="24"/>
        </w:rPr>
        <w:t xml:space="preserve"> </w:t>
      </w:r>
    </w:p>
    <w:p w:rsidRPr="00F21EE8" w:rsidR="00784C67" w:rsidP="00782B71" w:rsidRDefault="00784C67" w14:paraId="389C0874" w14:textId="77777777">
      <w:pPr>
        <w:pStyle w:val="Body1"/>
        <w:tabs>
          <w:tab w:val="left" w:pos="720"/>
          <w:tab w:val="left" w:pos="1440"/>
        </w:tabs>
        <w:spacing w:line="360" w:lineRule="auto"/>
        <w:ind w:left="720"/>
        <w:rPr>
          <w:szCs w:val="24"/>
        </w:rPr>
      </w:pPr>
      <w:r w:rsidRPr="00F21EE8">
        <w:rPr>
          <w:szCs w:val="24"/>
        </w:rPr>
        <w:t>11.</w:t>
      </w:r>
      <w:r w:rsidRPr="00F21EE8">
        <w:rPr>
          <w:szCs w:val="24"/>
        </w:rPr>
        <w:tab/>
      </w:r>
      <w:r w:rsidRPr="009C1939" w:rsidR="00782B71">
        <w:rPr>
          <w:noProof/>
        </w:rPr>
        <w:t xml:space="preserve">Institutional Review Board (IRB) and </w:t>
      </w:r>
      <w:r w:rsidR="00782B71">
        <w:rPr>
          <w:noProof/>
        </w:rPr>
        <w:t xml:space="preserve"> </w:t>
      </w:r>
      <w:r w:rsidRPr="009C1939" w:rsidR="00782B71">
        <w:rPr>
          <w:noProof/>
        </w:rPr>
        <w:t>Justification for Sensitive Questions</w:t>
      </w:r>
      <w:r w:rsidDel="00782B71" w:rsidR="00782B71">
        <w:rPr>
          <w:szCs w:val="24"/>
        </w:rPr>
        <w:t xml:space="preserve"> </w:t>
      </w:r>
    </w:p>
    <w:p w:rsidRPr="00F21EE8" w:rsidR="00784C67" w:rsidP="00784C67" w:rsidRDefault="00784C67" w14:paraId="54FD09D4"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Pr="00F21EE8" w:rsidR="00784C67" w:rsidP="00784C67" w:rsidRDefault="00784C67" w14:paraId="0A6EF2F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Annual Cost Burden to Respondents or Record Keepers</w:t>
      </w:r>
    </w:p>
    <w:p w:rsidRPr="00F21EE8" w:rsidR="00784C67" w:rsidP="00784C67" w:rsidRDefault="00784C67" w14:paraId="5D6CC01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Annualized Cost to the Government</w:t>
      </w:r>
    </w:p>
    <w:p w:rsidRPr="00F21EE8" w:rsidR="00784C67" w:rsidP="00784C67" w:rsidRDefault="00784C67" w14:paraId="3012B0BD"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Pr="00F21EE8" w:rsidR="00784C67" w:rsidP="00784C67" w:rsidRDefault="00784C67" w14:paraId="58130FD6"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Pr="00F21EE8" w:rsidR="00784C67" w:rsidP="00784C67" w:rsidRDefault="00784C67" w14:paraId="6E536207"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Pr="00F21EE8" w:rsidR="00784C67" w:rsidP="00784C67" w:rsidRDefault="00784C67" w14:paraId="0FE485D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Pr="00F21EE8" w:rsidR="00784C67" w:rsidP="00784C67" w:rsidRDefault="00784C67" w14:paraId="4CEFD7D5" w14:textId="77777777">
      <w:pPr>
        <w:spacing w:line="360" w:lineRule="auto"/>
        <w:rPr>
          <w:rFonts w:eastAsia="Arial Unicode MS"/>
          <w:sz w:val="24"/>
          <w:szCs w:val="24"/>
          <w:u w:color="000000"/>
        </w:rPr>
      </w:pPr>
    </w:p>
    <w:p w:rsidR="00D91CDF" w:rsidP="00784C67" w:rsidRDefault="00D91CDF" w14:paraId="2837E5D7" w14:textId="77777777">
      <w:pPr>
        <w:pStyle w:val="Body1"/>
        <w:tabs>
          <w:tab w:val="left" w:pos="720"/>
          <w:tab w:val="left" w:pos="1440"/>
          <w:tab w:val="left" w:pos="2160"/>
          <w:tab w:val="left" w:pos="2880"/>
        </w:tabs>
        <w:spacing w:line="360" w:lineRule="auto"/>
        <w:rPr>
          <w:b/>
          <w:szCs w:val="24"/>
        </w:rPr>
      </w:pPr>
    </w:p>
    <w:p w:rsidR="001076E0" w:rsidRDefault="001076E0" w14:paraId="03792C52" w14:textId="77777777">
      <w:pPr>
        <w:rPr>
          <w:rFonts w:eastAsia="Arial Unicode MS"/>
          <w:b/>
          <w:color w:val="000000"/>
          <w:sz w:val="24"/>
          <w:szCs w:val="24"/>
          <w:u w:color="000000"/>
        </w:rPr>
      </w:pPr>
      <w:r>
        <w:rPr>
          <w:b/>
          <w:szCs w:val="24"/>
        </w:rPr>
        <w:br w:type="page"/>
      </w:r>
    </w:p>
    <w:p w:rsidR="006E7636" w:rsidP="00C80A34" w:rsidRDefault="00C80A34" w14:paraId="5AA5F6A4" w14:textId="77777777">
      <w:pPr>
        <w:pStyle w:val="Body1"/>
        <w:tabs>
          <w:tab w:val="left" w:pos="720"/>
          <w:tab w:val="left" w:pos="1440"/>
          <w:tab w:val="left" w:pos="2160"/>
          <w:tab w:val="left" w:pos="2880"/>
        </w:tabs>
        <w:spacing w:line="360" w:lineRule="auto"/>
        <w:rPr>
          <w:b/>
          <w:szCs w:val="24"/>
        </w:rPr>
      </w:pPr>
      <w:r w:rsidRPr="00D515FB">
        <w:rPr>
          <w:b/>
          <w:szCs w:val="24"/>
        </w:rPr>
        <w:lastRenderedPageBreak/>
        <w:t>Attachments</w:t>
      </w:r>
    </w:p>
    <w:p w:rsidRPr="006E7636" w:rsidR="00C80A34" w:rsidP="006E7636" w:rsidRDefault="006E7636" w14:paraId="2BF3DBE7" w14:textId="77777777">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A. </w:t>
      </w:r>
      <w:r w:rsidRPr="006E7636" w:rsidR="00C80A34">
        <w:rPr>
          <w:rFonts w:eastAsia="Arial Unicode MS"/>
          <w:sz w:val="24"/>
          <w:szCs w:val="24"/>
          <w:u w:color="000000"/>
        </w:rPr>
        <w:t>Authorizing Legislation</w:t>
      </w:r>
    </w:p>
    <w:p w:rsidR="005D455E" w:rsidP="006E7636" w:rsidRDefault="006E7636" w14:paraId="62F5AF31" w14:textId="61C38154">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B. </w:t>
      </w:r>
      <w:r w:rsidRPr="006E7636" w:rsidR="005D455E">
        <w:rPr>
          <w:rFonts w:eastAsia="Arial Unicode MS"/>
          <w:sz w:val="24"/>
          <w:szCs w:val="24"/>
          <w:u w:color="000000"/>
        </w:rPr>
        <w:t>Published 60-day notice</w:t>
      </w:r>
    </w:p>
    <w:p w:rsidR="005F5A79" w:rsidP="006E7636" w:rsidRDefault="00EF7537" w14:paraId="2BA1B94D" w14:textId="56E0B65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C</w:t>
      </w:r>
      <w:r w:rsidR="007F0C6F">
        <w:rPr>
          <w:rFonts w:eastAsia="Arial Unicode MS"/>
          <w:sz w:val="24"/>
          <w:szCs w:val="24"/>
          <w:u w:color="000000"/>
        </w:rPr>
        <w:t xml:space="preserve">. </w:t>
      </w:r>
      <w:r w:rsidR="006100BE">
        <w:rPr>
          <w:rFonts w:eastAsia="Arial Unicode MS"/>
          <w:sz w:val="24"/>
          <w:szCs w:val="24"/>
          <w:u w:color="000000"/>
        </w:rPr>
        <w:t>Request</w:t>
      </w:r>
      <w:r w:rsidRPr="006E7636" w:rsidR="007F0C6F">
        <w:rPr>
          <w:rFonts w:eastAsia="Arial Unicode MS"/>
          <w:sz w:val="24"/>
          <w:szCs w:val="24"/>
          <w:u w:color="000000"/>
        </w:rPr>
        <w:t xml:space="preserve"> Protocol Template</w:t>
      </w:r>
    </w:p>
    <w:p w:rsidR="007F0C6F" w:rsidP="007F0C6F" w:rsidRDefault="00EF7537" w14:paraId="512D5595" w14:textId="05BFE2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D</w:t>
      </w:r>
      <w:r w:rsidRPr="006E7636" w:rsidR="00551D8A">
        <w:rPr>
          <w:rFonts w:eastAsia="Arial Unicode MS"/>
          <w:sz w:val="24"/>
          <w:szCs w:val="24"/>
          <w:u w:color="000000"/>
        </w:rPr>
        <w:t xml:space="preserve">. </w:t>
      </w:r>
      <w:r w:rsidR="007F0C6F">
        <w:rPr>
          <w:rFonts w:eastAsia="Arial Unicode MS"/>
          <w:sz w:val="24"/>
          <w:szCs w:val="24"/>
          <w:u w:color="000000"/>
        </w:rPr>
        <w:t>Burden Memo</w:t>
      </w:r>
    </w:p>
    <w:p w:rsidRPr="006E7636" w:rsidR="008A7948" w:rsidP="0098510A" w:rsidRDefault="00EF7537" w14:paraId="3F954A05" w14:textId="1531B34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00551D8A">
        <w:rPr>
          <w:rFonts w:eastAsia="Arial Unicode MS"/>
          <w:sz w:val="24"/>
          <w:szCs w:val="24"/>
          <w:u w:color="000000"/>
        </w:rPr>
        <w:t xml:space="preserve">. </w:t>
      </w:r>
      <w:r w:rsidR="007C2D7E">
        <w:rPr>
          <w:rFonts w:eastAsia="Arial Unicode MS"/>
          <w:sz w:val="24"/>
          <w:szCs w:val="24"/>
          <w:u w:color="000000"/>
        </w:rPr>
        <w:t xml:space="preserve">Summary </w:t>
      </w:r>
      <w:r w:rsidR="00120CAF">
        <w:rPr>
          <w:rFonts w:eastAsia="Arial Unicode MS"/>
          <w:sz w:val="24"/>
          <w:szCs w:val="24"/>
          <w:u w:color="000000"/>
        </w:rPr>
        <w:t xml:space="preserve">previous </w:t>
      </w:r>
      <w:r w:rsidR="007C2D7E">
        <w:rPr>
          <w:rFonts w:eastAsia="Arial Unicode MS"/>
          <w:sz w:val="24"/>
          <w:szCs w:val="24"/>
          <w:u w:color="000000"/>
        </w:rPr>
        <w:t xml:space="preserve">DORI </w:t>
      </w:r>
    </w:p>
    <w:p w:rsidRPr="006E7636" w:rsidR="00304F0B" w:rsidP="001076E0" w:rsidRDefault="00304F0B" w14:paraId="5D4588EB" w14:textId="77777777">
      <w:pPr>
        <w:tabs>
          <w:tab w:val="left" w:pos="0"/>
          <w:tab w:val="left" w:pos="720"/>
          <w:tab w:val="left" w:pos="1440"/>
        </w:tabs>
        <w:spacing w:line="360" w:lineRule="auto"/>
        <w:rPr>
          <w:rFonts w:eastAsia="Arial Unicode MS"/>
          <w:sz w:val="24"/>
          <w:szCs w:val="24"/>
          <w:u w:color="000000"/>
        </w:rPr>
      </w:pPr>
    </w:p>
    <w:p w:rsidRPr="00CC1CCC" w:rsidR="001076E0" w:rsidP="001076E0" w:rsidRDefault="001076E0" w14:paraId="4FA276D0" w14:textId="77777777">
      <w:pPr>
        <w:tabs>
          <w:tab w:val="left" w:pos="0"/>
          <w:tab w:val="left" w:pos="720"/>
          <w:tab w:val="left" w:pos="1440"/>
        </w:tabs>
        <w:spacing w:line="360" w:lineRule="auto"/>
        <w:rPr>
          <w:rFonts w:eastAsia="Arial Unicode MS"/>
          <w:sz w:val="24"/>
          <w:szCs w:val="24"/>
          <w:u w:color="000000"/>
        </w:rPr>
      </w:pPr>
    </w:p>
    <w:p w:rsidR="00C80A34" w:rsidP="00C80A34" w:rsidRDefault="00C80A34" w14:paraId="26B4E26E" w14:textId="77777777">
      <w:pPr>
        <w:tabs>
          <w:tab w:val="left" w:pos="0"/>
          <w:tab w:val="left" w:pos="720"/>
          <w:tab w:val="left" w:pos="1440"/>
        </w:tabs>
        <w:spacing w:line="360" w:lineRule="auto"/>
        <w:rPr>
          <w:rFonts w:eastAsia="Arial Unicode MS"/>
          <w:b/>
          <w:sz w:val="24"/>
          <w:szCs w:val="24"/>
          <w:u w:color="000000"/>
        </w:rPr>
      </w:pPr>
    </w:p>
    <w:p w:rsidRPr="0072690B" w:rsidR="002D635F" w:rsidP="002D635F" w:rsidRDefault="00527A26" w14:paraId="045F59C6" w14:textId="77777777">
      <w:pPr>
        <w:pStyle w:val="Body1"/>
        <w:jc w:val="center"/>
        <w:rPr>
          <w:b/>
          <w:szCs w:val="24"/>
        </w:rPr>
      </w:pPr>
      <w:r w:rsidRPr="00784C67">
        <w:rPr>
          <w:b/>
          <w:szCs w:val="24"/>
        </w:rPr>
        <w:br w:type="page"/>
      </w:r>
      <w:r w:rsidR="00187F1A">
        <w:rPr>
          <w:b/>
          <w:szCs w:val="24"/>
        </w:rPr>
        <w:lastRenderedPageBreak/>
        <w:t xml:space="preserve"> </w:t>
      </w:r>
      <w:r w:rsidR="00E14D26">
        <w:rPr>
          <w:b/>
          <w:szCs w:val="24"/>
        </w:rPr>
        <w:t>Drug Overdose Response</w:t>
      </w:r>
      <w:r w:rsidR="0057601D">
        <w:rPr>
          <w:b/>
          <w:szCs w:val="24"/>
        </w:rPr>
        <w:t xml:space="preserve"> Investigations </w:t>
      </w:r>
      <w:r w:rsidR="00E14D26">
        <w:rPr>
          <w:b/>
          <w:szCs w:val="24"/>
        </w:rPr>
        <w:t xml:space="preserve">(DORI) </w:t>
      </w:r>
      <w:r w:rsidRPr="00BF1A48" w:rsidR="00BF1A48">
        <w:rPr>
          <w:b/>
          <w:szCs w:val="24"/>
        </w:rPr>
        <w:t>Data Collections</w:t>
      </w:r>
    </w:p>
    <w:p w:rsidR="0067598A" w:rsidP="00B436C1" w:rsidRDefault="0067598A" w14:paraId="5903C32A" w14:textId="77777777">
      <w:pPr>
        <w:pStyle w:val="Body1"/>
        <w:rPr>
          <w:b/>
          <w:szCs w:val="24"/>
        </w:rPr>
      </w:pPr>
    </w:p>
    <w:p w:rsidR="008D7C72" w:rsidP="008D7C72" w:rsidRDefault="00E14D26" w14:paraId="006311FB" w14:textId="77777777">
      <w:pPr>
        <w:pStyle w:val="Body1"/>
        <w:numPr>
          <w:ilvl w:val="0"/>
          <w:numId w:val="2"/>
        </w:numPr>
        <w:tabs>
          <w:tab w:val="num" w:pos="0"/>
        </w:tabs>
        <w:rPr>
          <w:b/>
          <w:szCs w:val="24"/>
        </w:rPr>
      </w:pPr>
      <w:r w:rsidRPr="00E14D26">
        <w:rPr>
          <w:b/>
          <w:szCs w:val="24"/>
        </w:rPr>
        <w:t xml:space="preserve">A. </w:t>
      </w:r>
      <w:r w:rsidRPr="00E14D26" w:rsidR="008D7C72">
        <w:rPr>
          <w:b/>
          <w:szCs w:val="24"/>
        </w:rPr>
        <w:t>Justification</w:t>
      </w:r>
    </w:p>
    <w:p w:rsidR="00782B71" w:rsidP="00B436C1" w:rsidRDefault="00782B71" w14:paraId="73B576FD" w14:textId="77777777">
      <w:pPr>
        <w:pStyle w:val="Body1"/>
        <w:rPr>
          <w:b/>
          <w:szCs w:val="24"/>
        </w:rPr>
      </w:pPr>
    </w:p>
    <w:p w:rsidR="0067598A" w:rsidP="0067598A" w:rsidRDefault="0067598A" w14:paraId="13A2B995" w14:textId="77777777">
      <w:pPr>
        <w:pStyle w:val="Body1"/>
        <w:rPr>
          <w:b/>
          <w:szCs w:val="24"/>
        </w:rPr>
      </w:pPr>
      <w:r>
        <w:rPr>
          <w:szCs w:val="24"/>
        </w:rPr>
        <w:t>Summary Table</w:t>
      </w:r>
    </w:p>
    <w:p w:rsidR="0067598A" w:rsidP="0067598A" w:rsidRDefault="0067598A" w14:paraId="64B639C1" w14:textId="77777777">
      <w:pPr>
        <w:pStyle w:val="Body1"/>
        <w:jc w:val="center"/>
        <w:rPr>
          <w:b/>
          <w:szCs w:val="24"/>
        </w:rPr>
      </w:pPr>
      <w:r>
        <w:rPr>
          <w:noProof/>
        </w:rPr>
        <mc:AlternateContent>
          <mc:Choice Requires="wps">
            <w:drawing>
              <wp:anchor distT="0" distB="0" distL="114300" distR="114300" simplePos="0" relativeHeight="251658240" behindDoc="0" locked="0" layoutInCell="1" allowOverlap="1" wp14:editId="7386F542" wp14:anchorId="63DB56DB">
                <wp:simplePos x="0" y="0"/>
                <wp:positionH relativeFrom="column">
                  <wp:posOffset>-196850</wp:posOffset>
                </wp:positionH>
                <wp:positionV relativeFrom="paragraph">
                  <wp:posOffset>127000</wp:posOffset>
                </wp:positionV>
                <wp:extent cx="6638925" cy="799465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994650"/>
                        </a:xfrm>
                        <a:prstGeom prst="rect">
                          <a:avLst/>
                        </a:prstGeom>
                        <a:solidFill>
                          <a:srgbClr val="FFFFFF"/>
                        </a:solidFill>
                        <a:ln w="9525">
                          <a:solidFill>
                            <a:srgbClr val="000000"/>
                          </a:solidFill>
                          <a:miter lim="800000"/>
                          <a:headEnd/>
                          <a:tailEnd/>
                        </a:ln>
                      </wps:spPr>
                      <wps:txbx>
                        <w:txbxContent>
                          <w:p w:rsidRPr="005F1CA7" w:rsidR="00D946B1" w:rsidP="005F1CA7" w:rsidRDefault="00D946B1" w14:paraId="60C1AD23" w14:textId="3C83A47E">
                            <w:pPr>
                              <w:pStyle w:val="ListParagraph"/>
                              <w:numPr>
                                <w:ilvl w:val="0"/>
                                <w:numId w:val="25"/>
                              </w:numPr>
                              <w:spacing w:after="200" w:line="276" w:lineRule="auto"/>
                              <w:rPr>
                                <w:sz w:val="24"/>
                                <w:szCs w:val="24"/>
                              </w:rPr>
                            </w:pPr>
                            <w:r w:rsidRPr="00B436C1">
                              <w:rPr>
                                <w:sz w:val="22"/>
                                <w:szCs w:val="22"/>
                                <w:u w:val="single"/>
                              </w:rPr>
                              <w:t>Goal of the study</w:t>
                            </w:r>
                            <w:r w:rsidRPr="00674A5F">
                              <w:rPr>
                                <w:sz w:val="22"/>
                                <w:szCs w:val="22"/>
                              </w:rPr>
                              <w:t xml:space="preserve">: </w:t>
                            </w:r>
                            <w:r>
                              <w:rPr>
                                <w:sz w:val="22"/>
                                <w:szCs w:val="22"/>
                              </w:rPr>
                              <w:t xml:space="preserve">Revision of </w:t>
                            </w:r>
                            <w:r w:rsidRPr="00DC64DC">
                              <w:rPr>
                                <w:sz w:val="22"/>
                                <w:szCs w:val="22"/>
                              </w:rPr>
                              <w:t>OMB control number 0920–1054</w:t>
                            </w:r>
                            <w:r>
                              <w:rPr>
                                <w:sz w:val="22"/>
                                <w:szCs w:val="22"/>
                              </w:rPr>
                              <w:t xml:space="preserve">. </w:t>
                            </w:r>
                            <w:r w:rsidRPr="00B436C1">
                              <w:rPr>
                                <w:sz w:val="22"/>
                                <w:szCs w:val="22"/>
                              </w:rPr>
                              <w:t>The goal</w:t>
                            </w:r>
                            <w:r>
                              <w:rPr>
                                <w:sz w:val="22"/>
                                <w:szCs w:val="22"/>
                              </w:rPr>
                              <w:t xml:space="preserve"> of </w:t>
                            </w:r>
                            <w:r w:rsidRPr="00B436C1">
                              <w:rPr>
                                <w:sz w:val="22"/>
                                <w:szCs w:val="22"/>
                              </w:rPr>
                              <w:t xml:space="preserve">Drug Overdose Response Investigations (DORI) is to collect data in response to an urgent request from a state or local </w:t>
                            </w:r>
                            <w:r>
                              <w:rPr>
                                <w:sz w:val="22"/>
                                <w:szCs w:val="22"/>
                              </w:rPr>
                              <w:t>public agency</w:t>
                            </w:r>
                            <w:r w:rsidRPr="00B436C1">
                              <w:rPr>
                                <w:sz w:val="22"/>
                                <w:szCs w:val="22"/>
                              </w:rPr>
                              <w:t xml:space="preserve"> to inform responses to control a local drug overdose epidemic. When a data collection meets criteria for review and approval under the Paperwork Reduction Act, approval will be sought for the data collection through this</w:t>
                            </w:r>
                            <w:r>
                              <w:rPr>
                                <w:sz w:val="22"/>
                                <w:szCs w:val="22"/>
                              </w:rPr>
                              <w:t xml:space="preserve"> </w:t>
                            </w:r>
                            <w:r w:rsidRPr="00B436C1">
                              <w:rPr>
                                <w:sz w:val="22"/>
                                <w:szCs w:val="22"/>
                              </w:rPr>
                              <w:t xml:space="preserve">generic Information Collection Request </w:t>
                            </w:r>
                            <w:r w:rsidRPr="00010583">
                              <w:rPr>
                                <w:sz w:val="22"/>
                                <w:szCs w:val="22"/>
                              </w:rPr>
                              <w:t>(</w:t>
                            </w:r>
                            <w:r w:rsidRPr="00B436C1">
                              <w:rPr>
                                <w:sz w:val="22"/>
                                <w:szCs w:val="22"/>
                              </w:rPr>
                              <w:t>ICR</w:t>
                            </w:r>
                            <w:r w:rsidRPr="00010583">
                              <w:rPr>
                                <w:sz w:val="22"/>
                                <w:szCs w:val="22"/>
                              </w:rPr>
                              <w:t>)</w:t>
                            </w:r>
                            <w:r w:rsidRPr="00B436C1">
                              <w:rPr>
                                <w:sz w:val="22"/>
                                <w:szCs w:val="22"/>
                              </w:rPr>
                              <w:t>. The National Center for Injury Prevention and Control (NCIPC) anticipates that information will need to be collected to (a) understand sudden increases in drug use and misuse associated with fatal and nonfatal overdoses (e.g., collect data on type of drug, number of cases, time of increasing trend, morbidity and mortality), (b) understand the drivers and risk factors associated with those trends (e.g., collect data on circumstances surrounding overdose), and (c) identify the groups most affected</w:t>
                            </w:r>
                            <w:r w:rsidRPr="00002E56">
                              <w:t xml:space="preserve">. </w:t>
                            </w:r>
                          </w:p>
                          <w:p w:rsidR="00D946B1" w:rsidP="00B436C1" w:rsidRDefault="00D946B1" w14:paraId="011C01E4" w14:textId="77777777">
                            <w:pPr>
                              <w:pStyle w:val="ListParagraph"/>
                              <w:spacing w:after="200" w:line="276" w:lineRule="auto"/>
                              <w:ind w:left="360"/>
                              <w:rPr>
                                <w:sz w:val="22"/>
                                <w:szCs w:val="22"/>
                              </w:rPr>
                            </w:pPr>
                          </w:p>
                          <w:p w:rsidRPr="00674A5F" w:rsidR="00D946B1" w:rsidP="0067598A" w:rsidRDefault="00D946B1" w14:paraId="2A814A11" w14:textId="6A8654F0">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The resulting data about drug use and misuse and associated fatal and nonfatal overdoses</w:t>
                            </w:r>
                            <w:r w:rsidRPr="005F1CA7">
                              <w:rPr>
                                <w:sz w:val="22"/>
                                <w:szCs w:val="22"/>
                              </w:rPr>
                              <w:t xml:space="preserve"> </w:t>
                            </w:r>
                            <w:r w:rsidRPr="00B436C1">
                              <w:rPr>
                                <w:sz w:val="22"/>
                                <w:szCs w:val="22"/>
                              </w:rPr>
                              <w:t>will be used to identify actions that can be taken to control a local drug overdose epidemic</w:t>
                            </w:r>
                            <w:r>
                              <w:rPr>
                                <w:sz w:val="22"/>
                                <w:szCs w:val="22"/>
                              </w:rPr>
                              <w:t>.</w:t>
                            </w:r>
                          </w:p>
                          <w:p w:rsidR="00D946B1" w:rsidP="00B436C1" w:rsidRDefault="00D946B1" w14:paraId="3D033788" w14:textId="77777777">
                            <w:pPr>
                              <w:pStyle w:val="ListParagraph"/>
                              <w:spacing w:after="200" w:line="276" w:lineRule="auto"/>
                              <w:ind w:left="360"/>
                              <w:rPr>
                                <w:sz w:val="22"/>
                                <w:szCs w:val="22"/>
                              </w:rPr>
                            </w:pPr>
                          </w:p>
                          <w:p w:rsidR="00D946B1" w:rsidP="00E0205B" w:rsidRDefault="00D946B1" w14:paraId="3F763B14" w14:textId="2D56F95C">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Pr="00B436C1">
                              <w:rPr>
                                <w:sz w:val="22"/>
                                <w:szCs w:val="22"/>
                              </w:rPr>
                              <w:t xml:space="preserve">The jurisdiction requesting assistance determines the specific data collection needs that CDC can fulfill. CDC staff may provide technical assistance with developing questionnaires and a data </w:t>
                            </w:r>
                            <w:r>
                              <w:rPr>
                                <w:sz w:val="22"/>
                                <w:szCs w:val="22"/>
                              </w:rPr>
                              <w:t xml:space="preserve">collection and </w:t>
                            </w:r>
                            <w:r w:rsidRPr="00B436C1">
                              <w:rPr>
                                <w:sz w:val="22"/>
                                <w:szCs w:val="22"/>
                              </w:rPr>
                              <w:t>analysis plan</w:t>
                            </w:r>
                            <w:r>
                              <w:rPr>
                                <w:sz w:val="22"/>
                                <w:szCs w:val="22"/>
                              </w:rPr>
                              <w:t xml:space="preserve"> or</w:t>
                            </w:r>
                            <w:r w:rsidRPr="00B436C1">
                              <w:rPr>
                                <w:sz w:val="22"/>
                                <w:szCs w:val="22"/>
                              </w:rPr>
                              <w:t xml:space="preserve"> may be deployed to the field to assist in operations of the investigation. Examples of data collection modes that could be employed during DORIs </w:t>
                            </w:r>
                            <w:proofErr w:type="gramStart"/>
                            <w:r w:rsidRPr="00B436C1">
                              <w:rPr>
                                <w:sz w:val="22"/>
                                <w:szCs w:val="22"/>
                              </w:rPr>
                              <w:t>include:</w:t>
                            </w:r>
                            <w:proofErr w:type="gramEnd"/>
                            <w:r w:rsidRPr="00B436C1">
                              <w:rPr>
                                <w:sz w:val="22"/>
                                <w:szCs w:val="22"/>
                              </w:rPr>
                              <w:t xml:space="preserve"> archival record abstraction and review, face-to-face interview, telephone interview, web-based questionnaire, or self-administered questionnaire.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 xml:space="preserve">rapidly created and implemented to meet the unique needs of the situation and the agency requesting assistance, often immediately before deployment.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when investigators are in the field. </w:t>
                            </w:r>
                          </w:p>
                          <w:p w:rsidRPr="00B436C1" w:rsidR="00D946B1" w:rsidP="00B436C1" w:rsidRDefault="00D946B1" w14:paraId="35C5482E" w14:textId="77777777">
                            <w:pPr>
                              <w:pStyle w:val="ListParagraph"/>
                              <w:rPr>
                                <w:sz w:val="22"/>
                                <w:szCs w:val="22"/>
                              </w:rPr>
                            </w:pPr>
                          </w:p>
                          <w:p w:rsidR="00D946B1" w:rsidP="00674A5F" w:rsidRDefault="00D946B1" w14:paraId="6C6EE559" w14:textId="2C238DF6">
                            <w:pPr>
                              <w:pStyle w:val="ListParagraph"/>
                              <w:numPr>
                                <w:ilvl w:val="0"/>
                                <w:numId w:val="25"/>
                              </w:numPr>
                              <w:spacing w:after="200" w:line="276" w:lineRule="auto"/>
                              <w:rPr>
                                <w:sz w:val="22"/>
                                <w:szCs w:val="22"/>
                              </w:rPr>
                            </w:pPr>
                            <w:r w:rsidRPr="00B436C1">
                              <w:rPr>
                                <w:sz w:val="22"/>
                                <w:szCs w:val="22"/>
                                <w:u w:val="single"/>
                              </w:rPr>
                              <w:t>The subpopulation to be studied</w:t>
                            </w:r>
                            <w:r w:rsidRPr="00674A5F">
                              <w:rPr>
                                <w:sz w:val="22"/>
                                <w:szCs w:val="22"/>
                              </w:rPr>
                              <w:t>: Likely respondents include: public health authorities</w:t>
                            </w:r>
                            <w:r w:rsidRPr="000914DE">
                              <w:rPr>
                                <w:sz w:val="22"/>
                                <w:szCs w:val="22"/>
                              </w:rPr>
                              <w:t>, l</w:t>
                            </w:r>
                            <w:r w:rsidRPr="00A57CB9">
                              <w:rPr>
                                <w:sz w:val="22"/>
                                <w:szCs w:val="22"/>
                              </w:rPr>
                              <w:t xml:space="preserve">aw enforcement authorities, </w:t>
                            </w:r>
                            <w:r>
                              <w:rPr>
                                <w:sz w:val="22"/>
                                <w:szCs w:val="22"/>
                              </w:rPr>
                              <w:t xml:space="preserve">other public safety authorities, </w:t>
                            </w:r>
                            <w:r w:rsidRPr="002430B1">
                              <w:rPr>
                                <w:sz w:val="22"/>
                                <w:szCs w:val="22"/>
                              </w:rPr>
                              <w:t>medical examiners</w:t>
                            </w:r>
                            <w:r w:rsidRPr="00C12096">
                              <w:rPr>
                                <w:sz w:val="22"/>
                                <w:szCs w:val="22"/>
                              </w:rPr>
                              <w:t xml:space="preserve">, </w:t>
                            </w:r>
                            <w:r>
                              <w:rPr>
                                <w:sz w:val="22"/>
                                <w:szCs w:val="22"/>
                              </w:rPr>
                              <w:t xml:space="preserve">participants of overdose prevention and response services, </w:t>
                            </w:r>
                            <w:r w:rsidRPr="00C12096">
                              <w:rPr>
                                <w:sz w:val="22"/>
                                <w:szCs w:val="22"/>
                              </w:rPr>
                              <w:t xml:space="preserve">individuals who </w:t>
                            </w:r>
                            <w:r>
                              <w:rPr>
                                <w:sz w:val="22"/>
                                <w:szCs w:val="22"/>
                              </w:rPr>
                              <w:t>have experienced</w:t>
                            </w:r>
                            <w:r w:rsidRPr="00C12096">
                              <w:rPr>
                                <w:sz w:val="22"/>
                                <w:szCs w:val="22"/>
                              </w:rPr>
                              <w:t xml:space="preserve"> nonfatal overdose, families and friends of individuals who </w:t>
                            </w:r>
                            <w:r>
                              <w:rPr>
                                <w:sz w:val="22"/>
                                <w:szCs w:val="22"/>
                              </w:rPr>
                              <w:t>have experienced</w:t>
                            </w:r>
                            <w:r w:rsidRPr="00C12096">
                              <w:rPr>
                                <w:sz w:val="22"/>
                                <w:szCs w:val="22"/>
                              </w:rPr>
                              <w:t xml:space="preserve"> drug overdose, members of the general public, individuals who are at higher risk for overdose (e.g., those </w:t>
                            </w:r>
                            <w:r>
                              <w:rPr>
                                <w:sz w:val="22"/>
                                <w:szCs w:val="22"/>
                              </w:rPr>
                              <w:t>with opioid use disorder</w:t>
                            </w:r>
                            <w:r w:rsidRPr="00C12096">
                              <w:rPr>
                                <w:sz w:val="22"/>
                                <w:szCs w:val="22"/>
                              </w:rPr>
                              <w:t>), health care providers/pharmacists</w:t>
                            </w:r>
                            <w:r>
                              <w:rPr>
                                <w:sz w:val="22"/>
                                <w:szCs w:val="22"/>
                              </w:rPr>
                              <w:t>,</w:t>
                            </w:r>
                            <w:r w:rsidRPr="00C12096">
                              <w:rPr>
                                <w:sz w:val="22"/>
                                <w:szCs w:val="22"/>
                              </w:rPr>
                              <w:t xml:space="preserve"> dispensers of prescription medication, </w:t>
                            </w:r>
                            <w:r>
                              <w:rPr>
                                <w:sz w:val="22"/>
                                <w:szCs w:val="22"/>
                              </w:rPr>
                              <w:t>and r</w:t>
                            </w:r>
                            <w:r w:rsidRPr="00674A5F">
                              <w:rPr>
                                <w:sz w:val="22"/>
                                <w:szCs w:val="22"/>
                              </w:rPr>
                              <w:t>epresentatives of community organizations (e.g., substance use service providers)</w:t>
                            </w:r>
                          </w:p>
                          <w:p w:rsidRPr="00674A5F" w:rsidR="00D946B1" w:rsidP="00B436C1" w:rsidRDefault="00D946B1" w14:paraId="756182F6" w14:textId="77777777">
                            <w:pPr>
                              <w:pStyle w:val="ListParagraph"/>
                              <w:spacing w:after="200" w:line="276" w:lineRule="auto"/>
                              <w:ind w:left="360"/>
                              <w:rPr>
                                <w:sz w:val="22"/>
                                <w:szCs w:val="22"/>
                              </w:rPr>
                            </w:pPr>
                          </w:p>
                          <w:p w:rsidRPr="00674A5F" w:rsidR="00D946B1" w:rsidP="00134FB4" w:rsidRDefault="00D946B1" w14:paraId="38EA0C7B" w14:textId="6B09CF3C">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Data analysis will depend on the method of collection and content, but it is anticipated that most DORIs will involve computing basic descriptive statistics </w:t>
                            </w:r>
                            <w:r>
                              <w:rPr>
                                <w:sz w:val="22"/>
                                <w:szCs w:val="22"/>
                              </w:rPr>
                              <w:t xml:space="preserve">to characterize the population experiencing overdoses </w:t>
                            </w:r>
                            <w:r w:rsidRPr="00A535DA">
                              <w:rPr>
                                <w:sz w:val="22"/>
                                <w:szCs w:val="22"/>
                              </w:rPr>
                              <w:t>(e.g. the number and rate of fatal and/or non-fatal overdose cases</w:t>
                            </w:r>
                            <w:r>
                              <w:rPr>
                                <w:sz w:val="22"/>
                                <w:szCs w:val="22"/>
                              </w:rPr>
                              <w:t>, along with demographic characteristics</w:t>
                            </w:r>
                            <w:r w:rsidRPr="00A535DA">
                              <w:rPr>
                                <w:sz w:val="22"/>
                                <w:szCs w:val="22"/>
                              </w:rPr>
                              <w:t>); the creation an epidemic curve to graphically display the numbers of incident fatal or non-fatal overdose cases, plotted over time; potentially a bivariate exploration of risk and protective factors associated with overdose between cases and controls</w:t>
                            </w:r>
                            <w:r>
                              <w:rPr>
                                <w:sz w:val="22"/>
                                <w:szCs w:val="22"/>
                              </w:rPr>
                              <w:t xml:space="preserve">; and </w:t>
                            </w:r>
                            <w:r w:rsidRPr="00134FB4">
                              <w:rPr>
                                <w:sz w:val="22"/>
                                <w:szCs w:val="22"/>
                              </w:rPr>
                              <w:t xml:space="preserve">qualitative or quantitative summaries to describe </w:t>
                            </w:r>
                            <w:r>
                              <w:rPr>
                                <w:sz w:val="22"/>
                                <w:szCs w:val="22"/>
                              </w:rPr>
                              <w:t>overdose events</w:t>
                            </w:r>
                            <w:r w:rsidRPr="00A535DA">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56DB">
                <v:stroke joinstyle="miter"/>
                <v:path gradientshapeok="t" o:connecttype="rect"/>
              </v:shapetype>
              <v:shape id="Text Box 2" style="position:absolute;left:0;text-align:left;margin-left:-15.5pt;margin-top:10pt;width:522.75pt;height:6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">
                <v:textbox>
                  <w:txbxContent>
                    <w:p w:rsidRPr="005F1CA7" w:rsidR="00D946B1" w:rsidP="005F1CA7" w:rsidRDefault="00D946B1" w14:paraId="60C1AD23" w14:textId="3C83A47E">
                      <w:pPr>
                        <w:pStyle w:val="ListParagraph"/>
                        <w:numPr>
                          <w:ilvl w:val="0"/>
                          <w:numId w:val="25"/>
                        </w:numPr>
                        <w:spacing w:after="200" w:line="276" w:lineRule="auto"/>
                        <w:rPr>
                          <w:sz w:val="24"/>
                          <w:szCs w:val="24"/>
                        </w:rPr>
                      </w:pPr>
                      <w:r w:rsidRPr="00B436C1">
                        <w:rPr>
                          <w:sz w:val="22"/>
                          <w:szCs w:val="22"/>
                          <w:u w:val="single"/>
                        </w:rPr>
                        <w:t>Goal of the study</w:t>
                      </w:r>
                      <w:r w:rsidRPr="00674A5F">
                        <w:rPr>
                          <w:sz w:val="22"/>
                          <w:szCs w:val="22"/>
                        </w:rPr>
                        <w:t xml:space="preserve">: </w:t>
                      </w:r>
                      <w:r>
                        <w:rPr>
                          <w:sz w:val="22"/>
                          <w:szCs w:val="22"/>
                        </w:rPr>
                        <w:t xml:space="preserve">Revision of </w:t>
                      </w:r>
                      <w:r w:rsidRPr="00DC64DC">
                        <w:rPr>
                          <w:sz w:val="22"/>
                          <w:szCs w:val="22"/>
                        </w:rPr>
                        <w:t>OMB control number 0920–1054</w:t>
                      </w:r>
                      <w:r>
                        <w:rPr>
                          <w:sz w:val="22"/>
                          <w:szCs w:val="22"/>
                        </w:rPr>
                        <w:t xml:space="preserve">. </w:t>
                      </w:r>
                      <w:r w:rsidRPr="00B436C1">
                        <w:rPr>
                          <w:sz w:val="22"/>
                          <w:szCs w:val="22"/>
                        </w:rPr>
                        <w:t>The goal</w:t>
                      </w:r>
                      <w:r>
                        <w:rPr>
                          <w:sz w:val="22"/>
                          <w:szCs w:val="22"/>
                        </w:rPr>
                        <w:t xml:space="preserve"> of </w:t>
                      </w:r>
                      <w:r w:rsidRPr="00B436C1">
                        <w:rPr>
                          <w:sz w:val="22"/>
                          <w:szCs w:val="22"/>
                        </w:rPr>
                        <w:t xml:space="preserve">Drug Overdose Response Investigations (DORI) is to collect data in response to an urgent request from a state or local </w:t>
                      </w:r>
                      <w:r>
                        <w:rPr>
                          <w:sz w:val="22"/>
                          <w:szCs w:val="22"/>
                        </w:rPr>
                        <w:t>public agency</w:t>
                      </w:r>
                      <w:r w:rsidRPr="00B436C1">
                        <w:rPr>
                          <w:sz w:val="22"/>
                          <w:szCs w:val="22"/>
                        </w:rPr>
                        <w:t xml:space="preserve"> to inform responses to control a local drug overdose epidemic. When a data collection meets criteria for review and approval under the Paperwork Reduction Act, approval will be sought for the data collection through this</w:t>
                      </w:r>
                      <w:r>
                        <w:rPr>
                          <w:sz w:val="22"/>
                          <w:szCs w:val="22"/>
                        </w:rPr>
                        <w:t xml:space="preserve"> </w:t>
                      </w:r>
                      <w:r w:rsidRPr="00B436C1">
                        <w:rPr>
                          <w:sz w:val="22"/>
                          <w:szCs w:val="22"/>
                        </w:rPr>
                        <w:t xml:space="preserve">generic Information Collection Request </w:t>
                      </w:r>
                      <w:r w:rsidRPr="00010583">
                        <w:rPr>
                          <w:sz w:val="22"/>
                          <w:szCs w:val="22"/>
                        </w:rPr>
                        <w:t>(</w:t>
                      </w:r>
                      <w:r w:rsidRPr="00B436C1">
                        <w:rPr>
                          <w:sz w:val="22"/>
                          <w:szCs w:val="22"/>
                        </w:rPr>
                        <w:t>ICR</w:t>
                      </w:r>
                      <w:r w:rsidRPr="00010583">
                        <w:rPr>
                          <w:sz w:val="22"/>
                          <w:szCs w:val="22"/>
                        </w:rPr>
                        <w:t>)</w:t>
                      </w:r>
                      <w:r w:rsidRPr="00B436C1">
                        <w:rPr>
                          <w:sz w:val="22"/>
                          <w:szCs w:val="22"/>
                        </w:rPr>
                        <w:t>. The National Center for Injury Prevention and Control (NCIPC) anticipates that information will need to be collected to (a) understand sudden increases in drug use and misuse associated with fatal and nonfatal overdoses (e.g., collect data on type of drug, number of cases, time of increasing trend, morbidity and mortality), (b) understand the drivers and risk factors associated with those trends (e.g., collect data on circumstances surrounding overdose), and (c) identify the groups most affected</w:t>
                      </w:r>
                      <w:r w:rsidRPr="00002E56">
                        <w:t xml:space="preserve">. </w:t>
                      </w:r>
                    </w:p>
                    <w:p w:rsidR="00D946B1" w:rsidP="00B436C1" w:rsidRDefault="00D946B1" w14:paraId="011C01E4" w14:textId="77777777">
                      <w:pPr>
                        <w:pStyle w:val="ListParagraph"/>
                        <w:spacing w:after="200" w:line="276" w:lineRule="auto"/>
                        <w:ind w:left="360"/>
                        <w:rPr>
                          <w:sz w:val="22"/>
                          <w:szCs w:val="22"/>
                        </w:rPr>
                      </w:pPr>
                    </w:p>
                    <w:p w:rsidRPr="00674A5F" w:rsidR="00D946B1" w:rsidP="0067598A" w:rsidRDefault="00D946B1" w14:paraId="2A814A11" w14:textId="6A8654F0">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The resulting data about drug use and misuse and associated fatal and nonfatal overdoses</w:t>
                      </w:r>
                      <w:r w:rsidRPr="005F1CA7">
                        <w:rPr>
                          <w:sz w:val="22"/>
                          <w:szCs w:val="22"/>
                        </w:rPr>
                        <w:t xml:space="preserve"> </w:t>
                      </w:r>
                      <w:r w:rsidRPr="00B436C1">
                        <w:rPr>
                          <w:sz w:val="22"/>
                          <w:szCs w:val="22"/>
                        </w:rPr>
                        <w:t>will be used to identify actions that can be taken to control a local drug overdose epidemic</w:t>
                      </w:r>
                      <w:r>
                        <w:rPr>
                          <w:sz w:val="22"/>
                          <w:szCs w:val="22"/>
                        </w:rPr>
                        <w:t>.</w:t>
                      </w:r>
                    </w:p>
                    <w:p w:rsidR="00D946B1" w:rsidP="00B436C1" w:rsidRDefault="00D946B1" w14:paraId="3D033788" w14:textId="77777777">
                      <w:pPr>
                        <w:pStyle w:val="ListParagraph"/>
                        <w:spacing w:after="200" w:line="276" w:lineRule="auto"/>
                        <w:ind w:left="360"/>
                        <w:rPr>
                          <w:sz w:val="22"/>
                          <w:szCs w:val="22"/>
                        </w:rPr>
                      </w:pPr>
                    </w:p>
                    <w:p w:rsidR="00D946B1" w:rsidP="00E0205B" w:rsidRDefault="00D946B1" w14:paraId="3F763B14" w14:textId="2D56F95C">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Pr="00B436C1">
                        <w:rPr>
                          <w:sz w:val="22"/>
                          <w:szCs w:val="22"/>
                        </w:rPr>
                        <w:t xml:space="preserve">The jurisdiction requesting assistance determines the specific data collection needs that CDC can fulfill. CDC staff may provide technical assistance with developing questionnaires and a data </w:t>
                      </w:r>
                      <w:r>
                        <w:rPr>
                          <w:sz w:val="22"/>
                          <w:szCs w:val="22"/>
                        </w:rPr>
                        <w:t xml:space="preserve">collection and </w:t>
                      </w:r>
                      <w:r w:rsidRPr="00B436C1">
                        <w:rPr>
                          <w:sz w:val="22"/>
                          <w:szCs w:val="22"/>
                        </w:rPr>
                        <w:t>analysis plan</w:t>
                      </w:r>
                      <w:r>
                        <w:rPr>
                          <w:sz w:val="22"/>
                          <w:szCs w:val="22"/>
                        </w:rPr>
                        <w:t xml:space="preserve"> or</w:t>
                      </w:r>
                      <w:r w:rsidRPr="00B436C1">
                        <w:rPr>
                          <w:sz w:val="22"/>
                          <w:szCs w:val="22"/>
                        </w:rPr>
                        <w:t xml:space="preserve"> may be deployed to the field to assist in operations of the investigation. Examples of data collection modes that could be employed during DORIs include: archival record abstraction and review, face-to-face interview, telephone interview, web-based questionnaire, or self-administered questionnaire.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 xml:space="preserve">rapidly created and implemented to meet the unique needs of the situation and the agency requesting assistance, often immediately before deployment.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when investigators are in the field. </w:t>
                      </w:r>
                    </w:p>
                    <w:p w:rsidRPr="00B436C1" w:rsidR="00D946B1" w:rsidP="00B436C1" w:rsidRDefault="00D946B1" w14:paraId="35C5482E" w14:textId="77777777">
                      <w:pPr>
                        <w:pStyle w:val="ListParagraph"/>
                        <w:rPr>
                          <w:sz w:val="22"/>
                          <w:szCs w:val="22"/>
                        </w:rPr>
                      </w:pPr>
                    </w:p>
                    <w:p w:rsidR="00D946B1" w:rsidP="00674A5F" w:rsidRDefault="00D946B1" w14:paraId="6C6EE559" w14:textId="2C238DF6">
                      <w:pPr>
                        <w:pStyle w:val="ListParagraph"/>
                        <w:numPr>
                          <w:ilvl w:val="0"/>
                          <w:numId w:val="25"/>
                        </w:numPr>
                        <w:spacing w:after="200" w:line="276" w:lineRule="auto"/>
                        <w:rPr>
                          <w:sz w:val="22"/>
                          <w:szCs w:val="22"/>
                        </w:rPr>
                      </w:pPr>
                      <w:r w:rsidRPr="00B436C1">
                        <w:rPr>
                          <w:sz w:val="22"/>
                          <w:szCs w:val="22"/>
                          <w:u w:val="single"/>
                        </w:rPr>
                        <w:t>The subpopulation to be studied</w:t>
                      </w:r>
                      <w:r w:rsidRPr="00674A5F">
                        <w:rPr>
                          <w:sz w:val="22"/>
                          <w:szCs w:val="22"/>
                        </w:rPr>
                        <w:t>: Likely respondents include: public health authorities</w:t>
                      </w:r>
                      <w:r w:rsidRPr="000914DE">
                        <w:rPr>
                          <w:sz w:val="22"/>
                          <w:szCs w:val="22"/>
                        </w:rPr>
                        <w:t>, l</w:t>
                      </w:r>
                      <w:r w:rsidRPr="00A57CB9">
                        <w:rPr>
                          <w:sz w:val="22"/>
                          <w:szCs w:val="22"/>
                        </w:rPr>
                        <w:t xml:space="preserve">aw enforcement authorities, </w:t>
                      </w:r>
                      <w:r>
                        <w:rPr>
                          <w:sz w:val="22"/>
                          <w:szCs w:val="22"/>
                        </w:rPr>
                        <w:t xml:space="preserve">other public safety authorities, </w:t>
                      </w:r>
                      <w:r w:rsidRPr="002430B1">
                        <w:rPr>
                          <w:sz w:val="22"/>
                          <w:szCs w:val="22"/>
                        </w:rPr>
                        <w:t>medical examiners</w:t>
                      </w:r>
                      <w:r w:rsidRPr="00C12096">
                        <w:rPr>
                          <w:sz w:val="22"/>
                          <w:szCs w:val="22"/>
                        </w:rPr>
                        <w:t xml:space="preserve">, </w:t>
                      </w:r>
                      <w:r>
                        <w:rPr>
                          <w:sz w:val="22"/>
                          <w:szCs w:val="22"/>
                        </w:rPr>
                        <w:t xml:space="preserve">participants of overdose prevention and response services, </w:t>
                      </w:r>
                      <w:r w:rsidRPr="00C12096">
                        <w:rPr>
                          <w:sz w:val="22"/>
                          <w:szCs w:val="22"/>
                        </w:rPr>
                        <w:t xml:space="preserve">individuals who </w:t>
                      </w:r>
                      <w:r>
                        <w:rPr>
                          <w:sz w:val="22"/>
                          <w:szCs w:val="22"/>
                        </w:rPr>
                        <w:t>have experienced</w:t>
                      </w:r>
                      <w:r w:rsidRPr="00C12096">
                        <w:rPr>
                          <w:sz w:val="22"/>
                          <w:szCs w:val="22"/>
                        </w:rPr>
                        <w:t xml:space="preserve"> nonfatal overdose, families and friends of individuals who </w:t>
                      </w:r>
                      <w:r>
                        <w:rPr>
                          <w:sz w:val="22"/>
                          <w:szCs w:val="22"/>
                        </w:rPr>
                        <w:t>have experienced</w:t>
                      </w:r>
                      <w:r w:rsidRPr="00C12096">
                        <w:rPr>
                          <w:sz w:val="22"/>
                          <w:szCs w:val="22"/>
                        </w:rPr>
                        <w:t xml:space="preserve"> drug overdose, members of the general public, individuals who are at higher risk for overdose (e.g., those </w:t>
                      </w:r>
                      <w:r>
                        <w:rPr>
                          <w:sz w:val="22"/>
                          <w:szCs w:val="22"/>
                        </w:rPr>
                        <w:t>with opioid use disorder</w:t>
                      </w:r>
                      <w:r w:rsidRPr="00C12096">
                        <w:rPr>
                          <w:sz w:val="22"/>
                          <w:szCs w:val="22"/>
                        </w:rPr>
                        <w:t>), health care providers/pharmacists</w:t>
                      </w:r>
                      <w:r>
                        <w:rPr>
                          <w:sz w:val="22"/>
                          <w:szCs w:val="22"/>
                        </w:rPr>
                        <w:t>,</w:t>
                      </w:r>
                      <w:r w:rsidRPr="00C12096">
                        <w:rPr>
                          <w:sz w:val="22"/>
                          <w:szCs w:val="22"/>
                        </w:rPr>
                        <w:t xml:space="preserve"> dispensers of prescription medication, </w:t>
                      </w:r>
                      <w:r>
                        <w:rPr>
                          <w:sz w:val="22"/>
                          <w:szCs w:val="22"/>
                        </w:rPr>
                        <w:t>and r</w:t>
                      </w:r>
                      <w:r w:rsidRPr="00674A5F">
                        <w:rPr>
                          <w:sz w:val="22"/>
                          <w:szCs w:val="22"/>
                        </w:rPr>
                        <w:t>epresentatives of community organizations (e.g., substance use service providers)</w:t>
                      </w:r>
                    </w:p>
                    <w:p w:rsidRPr="00674A5F" w:rsidR="00D946B1" w:rsidP="00B436C1" w:rsidRDefault="00D946B1" w14:paraId="756182F6" w14:textId="77777777">
                      <w:pPr>
                        <w:pStyle w:val="ListParagraph"/>
                        <w:spacing w:after="200" w:line="276" w:lineRule="auto"/>
                        <w:ind w:left="360"/>
                        <w:rPr>
                          <w:sz w:val="22"/>
                          <w:szCs w:val="22"/>
                        </w:rPr>
                      </w:pPr>
                    </w:p>
                    <w:p w:rsidRPr="00674A5F" w:rsidR="00D946B1" w:rsidP="00134FB4" w:rsidRDefault="00D946B1" w14:paraId="38EA0C7B" w14:textId="6B09CF3C">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Data analysis will depend on the method of collection and content, but it is anticipated that most DORIs will involve computing basic descriptive statistics </w:t>
                      </w:r>
                      <w:r>
                        <w:rPr>
                          <w:sz w:val="22"/>
                          <w:szCs w:val="22"/>
                        </w:rPr>
                        <w:t xml:space="preserve">to characterize the population experiencing overdoses </w:t>
                      </w:r>
                      <w:r w:rsidRPr="00A535DA">
                        <w:rPr>
                          <w:sz w:val="22"/>
                          <w:szCs w:val="22"/>
                        </w:rPr>
                        <w:t>(e.g. the number and rate of fatal and/or non-fatal overdose cases</w:t>
                      </w:r>
                      <w:r>
                        <w:rPr>
                          <w:sz w:val="22"/>
                          <w:szCs w:val="22"/>
                        </w:rPr>
                        <w:t>, along with demographic characteristics</w:t>
                      </w:r>
                      <w:r w:rsidRPr="00A535DA">
                        <w:rPr>
                          <w:sz w:val="22"/>
                          <w:szCs w:val="22"/>
                        </w:rPr>
                        <w:t>); the creation an epidemic curve to graphically display the numbers of incident fatal or non-fatal overdose cases, plotted over time; potentially a bivariate exploration of risk and protective factors associated with overdose between cases and controls</w:t>
                      </w:r>
                      <w:r>
                        <w:rPr>
                          <w:sz w:val="22"/>
                          <w:szCs w:val="22"/>
                        </w:rPr>
                        <w:t xml:space="preserve">; and </w:t>
                      </w:r>
                      <w:r w:rsidRPr="00134FB4">
                        <w:rPr>
                          <w:sz w:val="22"/>
                          <w:szCs w:val="22"/>
                        </w:rPr>
                        <w:t xml:space="preserve">qualitative or quantitative summaries to describe </w:t>
                      </w:r>
                      <w:r>
                        <w:rPr>
                          <w:sz w:val="22"/>
                          <w:szCs w:val="22"/>
                        </w:rPr>
                        <w:t>overdose events</w:t>
                      </w:r>
                      <w:r w:rsidRPr="00A535DA">
                        <w:rPr>
                          <w:sz w:val="22"/>
                          <w:szCs w:val="22"/>
                        </w:rPr>
                        <w:t>.</w:t>
                      </w:r>
                    </w:p>
                  </w:txbxContent>
                </v:textbox>
              </v:shape>
            </w:pict>
          </mc:Fallback>
        </mc:AlternateContent>
      </w:r>
    </w:p>
    <w:p w:rsidR="0067598A" w:rsidP="0067598A" w:rsidRDefault="0067598A" w14:paraId="3DD29CE5" w14:textId="77777777">
      <w:pPr>
        <w:pStyle w:val="Body1"/>
        <w:jc w:val="center"/>
        <w:rPr>
          <w:b/>
          <w:szCs w:val="24"/>
        </w:rPr>
      </w:pPr>
    </w:p>
    <w:p w:rsidR="0067598A" w:rsidP="0067598A" w:rsidRDefault="0067598A" w14:paraId="53D9D9BA" w14:textId="77777777">
      <w:pPr>
        <w:pStyle w:val="Body1"/>
        <w:jc w:val="center"/>
        <w:rPr>
          <w:b/>
          <w:szCs w:val="24"/>
        </w:rPr>
      </w:pPr>
    </w:p>
    <w:p w:rsidR="0067598A" w:rsidP="0067598A" w:rsidRDefault="0067598A" w14:paraId="67829AEC" w14:textId="77777777">
      <w:pPr>
        <w:pStyle w:val="Body1"/>
        <w:jc w:val="center"/>
        <w:rPr>
          <w:b/>
          <w:szCs w:val="24"/>
        </w:rPr>
      </w:pPr>
    </w:p>
    <w:p w:rsidR="0067598A" w:rsidP="0067598A" w:rsidRDefault="0067598A" w14:paraId="187E2E39" w14:textId="77777777">
      <w:pPr>
        <w:pStyle w:val="Body1"/>
        <w:jc w:val="center"/>
        <w:rPr>
          <w:b/>
          <w:szCs w:val="24"/>
        </w:rPr>
      </w:pPr>
    </w:p>
    <w:p w:rsidR="0067598A" w:rsidP="0067598A" w:rsidRDefault="0067598A" w14:paraId="3BBFF60E" w14:textId="77777777">
      <w:pPr>
        <w:pStyle w:val="Body1"/>
        <w:jc w:val="center"/>
        <w:rPr>
          <w:b/>
          <w:szCs w:val="24"/>
        </w:rPr>
      </w:pPr>
    </w:p>
    <w:p w:rsidR="0067598A" w:rsidP="0067598A" w:rsidRDefault="0067598A" w14:paraId="4E4F5D83" w14:textId="77777777">
      <w:pPr>
        <w:pStyle w:val="Body1"/>
        <w:jc w:val="center"/>
        <w:rPr>
          <w:b/>
          <w:szCs w:val="24"/>
        </w:rPr>
      </w:pPr>
    </w:p>
    <w:p w:rsidR="008D7C72" w:rsidP="008D7C72" w:rsidRDefault="00173013" w14:paraId="55C3500B" w14:textId="77777777">
      <w:pPr>
        <w:pStyle w:val="Body1"/>
        <w:rPr>
          <w:b/>
          <w:szCs w:val="24"/>
        </w:rPr>
      </w:pPr>
      <w:r>
        <w:rPr>
          <w:b/>
          <w:szCs w:val="24"/>
        </w:rPr>
        <w:t xml:space="preserve"> </w:t>
      </w:r>
    </w:p>
    <w:p w:rsidR="00276E6B" w:rsidP="008D7C72" w:rsidRDefault="00276E6B" w14:paraId="40E28D96" w14:textId="77777777">
      <w:pPr>
        <w:pStyle w:val="Body1"/>
        <w:rPr>
          <w:b/>
          <w:szCs w:val="24"/>
        </w:rPr>
      </w:pPr>
    </w:p>
    <w:p w:rsidR="00276E6B" w:rsidP="008D7C72" w:rsidRDefault="00276E6B" w14:paraId="4E5E9A4B" w14:textId="77777777">
      <w:pPr>
        <w:pStyle w:val="Body1"/>
        <w:rPr>
          <w:b/>
          <w:szCs w:val="24"/>
        </w:rPr>
      </w:pPr>
    </w:p>
    <w:p w:rsidR="00276E6B" w:rsidP="008D7C72" w:rsidRDefault="00276E6B" w14:paraId="1E52112E" w14:textId="77777777">
      <w:pPr>
        <w:pStyle w:val="Body1"/>
        <w:rPr>
          <w:b/>
          <w:szCs w:val="24"/>
        </w:rPr>
      </w:pPr>
    </w:p>
    <w:p w:rsidR="00276E6B" w:rsidP="008D7C72" w:rsidRDefault="00276E6B" w14:paraId="4D69D4B2" w14:textId="77777777">
      <w:pPr>
        <w:pStyle w:val="Body1"/>
        <w:rPr>
          <w:b/>
          <w:szCs w:val="24"/>
        </w:rPr>
      </w:pPr>
    </w:p>
    <w:p w:rsidR="00276E6B" w:rsidP="008D7C72" w:rsidRDefault="00276E6B" w14:paraId="70119956" w14:textId="77777777">
      <w:pPr>
        <w:pStyle w:val="Body1"/>
        <w:rPr>
          <w:b/>
          <w:szCs w:val="24"/>
        </w:rPr>
      </w:pPr>
    </w:p>
    <w:p w:rsidR="00276E6B" w:rsidP="008D7C72" w:rsidRDefault="00276E6B" w14:paraId="6E346EED" w14:textId="77777777">
      <w:pPr>
        <w:pStyle w:val="Body1"/>
        <w:rPr>
          <w:b/>
          <w:szCs w:val="24"/>
        </w:rPr>
      </w:pPr>
    </w:p>
    <w:p w:rsidR="00276E6B" w:rsidP="008D7C72" w:rsidRDefault="00276E6B" w14:paraId="6C906F82" w14:textId="77777777">
      <w:pPr>
        <w:pStyle w:val="Body1"/>
        <w:rPr>
          <w:b/>
          <w:szCs w:val="24"/>
        </w:rPr>
      </w:pPr>
    </w:p>
    <w:p w:rsidR="00276E6B" w:rsidP="008D7C72" w:rsidRDefault="00276E6B" w14:paraId="7C12C057" w14:textId="77777777">
      <w:pPr>
        <w:pStyle w:val="Body1"/>
        <w:rPr>
          <w:b/>
          <w:szCs w:val="24"/>
        </w:rPr>
      </w:pPr>
    </w:p>
    <w:p w:rsidR="00276E6B" w:rsidP="008D7C72" w:rsidRDefault="00276E6B" w14:paraId="7669BC05" w14:textId="77777777">
      <w:pPr>
        <w:pStyle w:val="Body1"/>
        <w:rPr>
          <w:b/>
          <w:szCs w:val="24"/>
        </w:rPr>
      </w:pPr>
    </w:p>
    <w:p w:rsidR="00276E6B" w:rsidP="008D7C72" w:rsidRDefault="00276E6B" w14:paraId="515EF3BE" w14:textId="77777777">
      <w:pPr>
        <w:pStyle w:val="Body1"/>
        <w:rPr>
          <w:b/>
          <w:szCs w:val="24"/>
        </w:rPr>
      </w:pPr>
    </w:p>
    <w:p w:rsidR="00276E6B" w:rsidP="008D7C72" w:rsidRDefault="00276E6B" w14:paraId="42B99777" w14:textId="77777777">
      <w:pPr>
        <w:pStyle w:val="Body1"/>
        <w:rPr>
          <w:b/>
          <w:szCs w:val="24"/>
        </w:rPr>
      </w:pPr>
    </w:p>
    <w:p w:rsidR="00276E6B" w:rsidP="008D7C72" w:rsidRDefault="00276E6B" w14:paraId="64F48918" w14:textId="77777777">
      <w:pPr>
        <w:pStyle w:val="Body1"/>
        <w:rPr>
          <w:b/>
          <w:szCs w:val="24"/>
        </w:rPr>
      </w:pPr>
    </w:p>
    <w:p w:rsidR="00276E6B" w:rsidP="008D7C72" w:rsidRDefault="00276E6B" w14:paraId="143C47E5" w14:textId="77777777">
      <w:pPr>
        <w:pStyle w:val="Body1"/>
        <w:rPr>
          <w:b/>
          <w:szCs w:val="24"/>
        </w:rPr>
      </w:pPr>
    </w:p>
    <w:p w:rsidR="00276E6B" w:rsidP="008D7C72" w:rsidRDefault="00276E6B" w14:paraId="679EDE6D" w14:textId="77777777">
      <w:pPr>
        <w:pStyle w:val="Body1"/>
        <w:rPr>
          <w:b/>
          <w:szCs w:val="24"/>
        </w:rPr>
      </w:pPr>
    </w:p>
    <w:p w:rsidR="00276E6B" w:rsidP="008D7C72" w:rsidRDefault="00276E6B" w14:paraId="54C7EB51" w14:textId="77777777">
      <w:pPr>
        <w:pStyle w:val="Body1"/>
        <w:rPr>
          <w:b/>
          <w:szCs w:val="24"/>
        </w:rPr>
      </w:pPr>
    </w:p>
    <w:p w:rsidR="00276E6B" w:rsidP="008D7C72" w:rsidRDefault="00276E6B" w14:paraId="149B5599" w14:textId="77777777">
      <w:pPr>
        <w:pStyle w:val="Body1"/>
        <w:rPr>
          <w:b/>
          <w:szCs w:val="24"/>
        </w:rPr>
      </w:pPr>
    </w:p>
    <w:p w:rsidR="00276E6B" w:rsidP="008D7C72" w:rsidRDefault="00276E6B" w14:paraId="262F99E3" w14:textId="77777777">
      <w:pPr>
        <w:pStyle w:val="Body1"/>
        <w:rPr>
          <w:b/>
          <w:szCs w:val="24"/>
        </w:rPr>
      </w:pPr>
    </w:p>
    <w:p w:rsidR="00276E6B" w:rsidP="008D7C72" w:rsidRDefault="00276E6B" w14:paraId="0B2F6200" w14:textId="77777777">
      <w:pPr>
        <w:pStyle w:val="Body1"/>
        <w:rPr>
          <w:b/>
          <w:szCs w:val="24"/>
        </w:rPr>
      </w:pPr>
    </w:p>
    <w:p w:rsidR="00276E6B" w:rsidP="008D7C72" w:rsidRDefault="00276E6B" w14:paraId="33CF46E2" w14:textId="77777777">
      <w:pPr>
        <w:pStyle w:val="Body1"/>
        <w:rPr>
          <w:b/>
          <w:szCs w:val="24"/>
        </w:rPr>
      </w:pPr>
    </w:p>
    <w:p w:rsidR="00276E6B" w:rsidP="008D7C72" w:rsidRDefault="00276E6B" w14:paraId="31DF1E60" w14:textId="77777777">
      <w:pPr>
        <w:pStyle w:val="Body1"/>
        <w:rPr>
          <w:b/>
          <w:szCs w:val="24"/>
        </w:rPr>
      </w:pPr>
    </w:p>
    <w:p w:rsidR="00276E6B" w:rsidP="008D7C72" w:rsidRDefault="00276E6B" w14:paraId="579D0D49" w14:textId="77777777">
      <w:pPr>
        <w:pStyle w:val="Body1"/>
        <w:rPr>
          <w:b/>
          <w:szCs w:val="24"/>
        </w:rPr>
      </w:pPr>
    </w:p>
    <w:p w:rsidR="00674A5F" w:rsidP="008D7C72" w:rsidRDefault="00674A5F" w14:paraId="3F137D24" w14:textId="77777777">
      <w:pPr>
        <w:pStyle w:val="Body1"/>
        <w:rPr>
          <w:b/>
          <w:szCs w:val="24"/>
        </w:rPr>
      </w:pPr>
    </w:p>
    <w:p w:rsidR="00674A5F" w:rsidP="008D7C72" w:rsidRDefault="00674A5F" w14:paraId="69B49CD3" w14:textId="77777777">
      <w:pPr>
        <w:pStyle w:val="Body1"/>
        <w:rPr>
          <w:b/>
          <w:szCs w:val="24"/>
        </w:rPr>
      </w:pPr>
    </w:p>
    <w:p w:rsidR="00674A5F" w:rsidP="008D7C72" w:rsidRDefault="00674A5F" w14:paraId="50F1472F" w14:textId="77777777">
      <w:pPr>
        <w:pStyle w:val="Body1"/>
        <w:rPr>
          <w:b/>
          <w:szCs w:val="24"/>
        </w:rPr>
      </w:pPr>
    </w:p>
    <w:p w:rsidR="00674A5F" w:rsidP="008D7C72" w:rsidRDefault="00674A5F" w14:paraId="5344AB91" w14:textId="77777777">
      <w:pPr>
        <w:pStyle w:val="Body1"/>
        <w:rPr>
          <w:b/>
          <w:szCs w:val="24"/>
        </w:rPr>
      </w:pPr>
    </w:p>
    <w:p w:rsidR="00674A5F" w:rsidP="008D7C72" w:rsidRDefault="00674A5F" w14:paraId="0C76BD2F" w14:textId="77777777">
      <w:pPr>
        <w:pStyle w:val="Body1"/>
        <w:rPr>
          <w:b/>
          <w:szCs w:val="24"/>
        </w:rPr>
      </w:pPr>
    </w:p>
    <w:p w:rsidR="00674A5F" w:rsidP="008D7C72" w:rsidRDefault="00674A5F" w14:paraId="42446FF1" w14:textId="77777777">
      <w:pPr>
        <w:pStyle w:val="Body1"/>
        <w:rPr>
          <w:b/>
          <w:szCs w:val="24"/>
        </w:rPr>
      </w:pPr>
    </w:p>
    <w:p w:rsidR="00276E6B" w:rsidP="008D7C72" w:rsidRDefault="00276E6B" w14:paraId="56874F69" w14:textId="77777777">
      <w:pPr>
        <w:pStyle w:val="Body1"/>
        <w:rPr>
          <w:b/>
          <w:szCs w:val="24"/>
        </w:rPr>
      </w:pPr>
    </w:p>
    <w:p w:rsidR="00276E6B" w:rsidP="008D7C72" w:rsidRDefault="00276E6B" w14:paraId="1FFE4756" w14:textId="77777777">
      <w:pPr>
        <w:pStyle w:val="Body1"/>
        <w:rPr>
          <w:b/>
          <w:szCs w:val="24"/>
        </w:rPr>
      </w:pPr>
    </w:p>
    <w:p w:rsidR="000914DE" w:rsidP="008D7C72" w:rsidRDefault="000914DE" w14:paraId="79038010" w14:textId="77777777">
      <w:pPr>
        <w:pStyle w:val="Body1"/>
        <w:rPr>
          <w:b/>
          <w:szCs w:val="24"/>
        </w:rPr>
      </w:pPr>
    </w:p>
    <w:p w:rsidR="000914DE" w:rsidP="008D7C72" w:rsidRDefault="000914DE" w14:paraId="1654CD24" w14:textId="77777777">
      <w:pPr>
        <w:pStyle w:val="Body1"/>
        <w:rPr>
          <w:b/>
          <w:szCs w:val="24"/>
        </w:rPr>
      </w:pPr>
    </w:p>
    <w:p w:rsidR="000914DE" w:rsidP="008D7C72" w:rsidRDefault="000914DE" w14:paraId="4E4EA423" w14:textId="77777777">
      <w:pPr>
        <w:pStyle w:val="Body1"/>
        <w:rPr>
          <w:b/>
          <w:szCs w:val="24"/>
        </w:rPr>
      </w:pPr>
    </w:p>
    <w:p w:rsidRPr="00784C67" w:rsidR="00C12096" w:rsidP="008D7C72" w:rsidRDefault="00C12096" w14:paraId="39FBA630" w14:textId="77777777">
      <w:pPr>
        <w:pStyle w:val="Body1"/>
        <w:rPr>
          <w:b/>
          <w:szCs w:val="24"/>
        </w:rPr>
      </w:pPr>
    </w:p>
    <w:p w:rsidRPr="00784C67" w:rsidR="008D7C72" w:rsidP="00E14D26" w:rsidRDefault="008D7C72" w14:paraId="06234041" w14:textId="77777777">
      <w:pPr>
        <w:pStyle w:val="Body1"/>
        <w:numPr>
          <w:ilvl w:val="0"/>
          <w:numId w:val="16"/>
        </w:numPr>
        <w:rPr>
          <w:b/>
          <w:szCs w:val="24"/>
        </w:rPr>
      </w:pPr>
      <w:r w:rsidRPr="00784C67">
        <w:rPr>
          <w:b/>
          <w:szCs w:val="24"/>
        </w:rPr>
        <w:lastRenderedPageBreak/>
        <w:t>Circumstances Making the Collection of Information Necessary</w:t>
      </w:r>
    </w:p>
    <w:p w:rsidRPr="00784C67" w:rsidR="008D7C72" w:rsidP="008D7C72" w:rsidRDefault="008D7C72" w14:paraId="1164B5AA" w14:textId="77777777">
      <w:pPr>
        <w:pStyle w:val="Body1"/>
        <w:rPr>
          <w:szCs w:val="24"/>
        </w:rPr>
      </w:pPr>
    </w:p>
    <w:p w:rsidR="00F70733" w:rsidP="00652D54" w:rsidRDefault="00FA4E88" w14:paraId="5F99E923" w14:textId="562F48E6">
      <w:pPr>
        <w:pStyle w:val="Body1"/>
        <w:ind w:left="720"/>
        <w:rPr>
          <w:szCs w:val="24"/>
        </w:rPr>
      </w:pPr>
      <w:r>
        <w:rPr>
          <w:szCs w:val="24"/>
        </w:rPr>
        <w:t>The Centers for Disease Control and Prevention (CDC)</w:t>
      </w:r>
      <w:r w:rsidR="008D7C72">
        <w:rPr>
          <w:szCs w:val="24"/>
        </w:rPr>
        <w:t xml:space="preserve"> </w:t>
      </w:r>
      <w:r w:rsidR="003F7482">
        <w:rPr>
          <w:szCs w:val="24"/>
        </w:rPr>
        <w:t xml:space="preserve">National Center for Injury Prevention and Control (NCIPC) </w:t>
      </w:r>
      <w:r w:rsidRPr="00BA0445" w:rsidR="00BA0445">
        <w:rPr>
          <w:szCs w:val="24"/>
        </w:rPr>
        <w:t xml:space="preserve">seeks OMB approval for </w:t>
      </w:r>
      <w:r w:rsidR="00D9177B">
        <w:rPr>
          <w:szCs w:val="24"/>
        </w:rPr>
        <w:t xml:space="preserve">the </w:t>
      </w:r>
      <w:r w:rsidR="005D1492">
        <w:rPr>
          <w:szCs w:val="24"/>
        </w:rPr>
        <w:t>Reinstatement with Change</w:t>
      </w:r>
      <w:r w:rsidR="00D9177B">
        <w:rPr>
          <w:szCs w:val="24"/>
        </w:rPr>
        <w:t xml:space="preserve"> </w:t>
      </w:r>
      <w:r w:rsidRPr="00BA0445" w:rsidR="00BA0445">
        <w:rPr>
          <w:szCs w:val="24"/>
        </w:rPr>
        <w:t>of this generic clearance (OMB control number 0920–1054</w:t>
      </w:r>
      <w:r w:rsidR="00BA0445">
        <w:rPr>
          <w:szCs w:val="24"/>
        </w:rPr>
        <w:t>, Expiration 03/31/</w:t>
      </w:r>
      <w:r w:rsidR="00AD2734">
        <w:rPr>
          <w:szCs w:val="24"/>
        </w:rPr>
        <w:t>202</w:t>
      </w:r>
      <w:r w:rsidR="00613B53">
        <w:rPr>
          <w:szCs w:val="24"/>
        </w:rPr>
        <w:t>1</w:t>
      </w:r>
      <w:r w:rsidRPr="00BA0445" w:rsidR="00BA0445">
        <w:rPr>
          <w:szCs w:val="24"/>
        </w:rPr>
        <w:t>) for a 3-year period</w:t>
      </w:r>
      <w:r w:rsidR="00FE1CD8">
        <w:rPr>
          <w:szCs w:val="24"/>
        </w:rPr>
        <w:t>,</w:t>
      </w:r>
      <w:r w:rsidRPr="00BA0445" w:rsidR="00BA0445">
        <w:rPr>
          <w:szCs w:val="24"/>
        </w:rPr>
        <w:t xml:space="preserve"> </w:t>
      </w:r>
      <w:r>
        <w:rPr>
          <w:szCs w:val="24"/>
        </w:rPr>
        <w:t>to conduct</w:t>
      </w:r>
      <w:r w:rsidRPr="00784C67" w:rsidR="008D7C72">
        <w:rPr>
          <w:szCs w:val="24"/>
        </w:rPr>
        <w:t xml:space="preserve"> </w:t>
      </w:r>
      <w:r w:rsidR="000E20DA">
        <w:rPr>
          <w:szCs w:val="24"/>
        </w:rPr>
        <w:t>investigations of drug use and misuse and associated fatal and nonfatal overdose (hereafter referred to as “</w:t>
      </w:r>
      <w:r w:rsidR="00730455">
        <w:rPr>
          <w:szCs w:val="24"/>
        </w:rPr>
        <w:t xml:space="preserve">Drug Overdose Response </w:t>
      </w:r>
      <w:r w:rsidR="008D7C72">
        <w:rPr>
          <w:szCs w:val="24"/>
        </w:rPr>
        <w:t>Investigations (</w:t>
      </w:r>
      <w:r w:rsidR="00730455">
        <w:rPr>
          <w:szCs w:val="24"/>
        </w:rPr>
        <w:t>DORI</w:t>
      </w:r>
      <w:r w:rsidR="000E20DA">
        <w:rPr>
          <w:szCs w:val="24"/>
        </w:rPr>
        <w:t>s</w:t>
      </w:r>
      <w:r w:rsidR="00C5171D">
        <w:rPr>
          <w:szCs w:val="24"/>
        </w:rPr>
        <w:t>)</w:t>
      </w:r>
      <w:r w:rsidR="00730455">
        <w:rPr>
          <w:szCs w:val="24"/>
        </w:rPr>
        <w:t>.</w:t>
      </w:r>
      <w:r w:rsidR="00FA1D13">
        <w:rPr>
          <w:szCs w:val="24"/>
        </w:rPr>
        <w:t>”</w:t>
      </w:r>
      <w:r w:rsidR="00730455">
        <w:rPr>
          <w:szCs w:val="24"/>
        </w:rPr>
        <w:t xml:space="preserve"> </w:t>
      </w:r>
      <w:r w:rsidR="000E20DA">
        <w:rPr>
          <w:szCs w:val="24"/>
        </w:rPr>
        <w:t>In this context, drug overdose refers to overdose</w:t>
      </w:r>
      <w:r w:rsidR="004D1C1F">
        <w:rPr>
          <w:szCs w:val="24"/>
        </w:rPr>
        <w:t xml:space="preserve"> from prescription drugs (with a special interest in </w:t>
      </w:r>
      <w:r w:rsidR="000E20DA">
        <w:rPr>
          <w:szCs w:val="24"/>
        </w:rPr>
        <w:t xml:space="preserve">opioid analgesics such as </w:t>
      </w:r>
      <w:r w:rsidR="004D1C1F">
        <w:rPr>
          <w:szCs w:val="24"/>
        </w:rPr>
        <w:t xml:space="preserve">oxycodone or methadone; </w:t>
      </w:r>
      <w:r w:rsidR="000E20DA">
        <w:rPr>
          <w:szCs w:val="24"/>
        </w:rPr>
        <w:t>benzodiazepines</w:t>
      </w:r>
      <w:r w:rsidR="004D1C1F">
        <w:rPr>
          <w:szCs w:val="24"/>
        </w:rPr>
        <w:t xml:space="preserve"> such as </w:t>
      </w:r>
      <w:r w:rsidR="004D1C1F">
        <w:t>alprazolam</w:t>
      </w:r>
      <w:r w:rsidR="00564362">
        <w:t xml:space="preserve">; </w:t>
      </w:r>
      <w:r w:rsidR="00564362">
        <w:rPr>
          <w:szCs w:val="24"/>
        </w:rPr>
        <w:t xml:space="preserve">psychostimulants such as </w:t>
      </w:r>
      <w:r w:rsidRPr="00564362" w:rsidR="00564362">
        <w:rPr>
          <w:szCs w:val="24"/>
        </w:rPr>
        <w:t>dextroamphetamine</w:t>
      </w:r>
      <w:r w:rsidR="000E20DA">
        <w:rPr>
          <w:szCs w:val="24"/>
        </w:rPr>
        <w:t xml:space="preserve">) </w:t>
      </w:r>
      <w:r w:rsidR="00C56DC3">
        <w:rPr>
          <w:szCs w:val="24"/>
        </w:rPr>
        <w:t>and/</w:t>
      </w:r>
      <w:r w:rsidR="000E20DA">
        <w:rPr>
          <w:szCs w:val="24"/>
        </w:rPr>
        <w:t xml:space="preserve">or illicit drugs (e.g., </w:t>
      </w:r>
      <w:r w:rsidR="004D1C1F">
        <w:rPr>
          <w:szCs w:val="24"/>
        </w:rPr>
        <w:t>heroin</w:t>
      </w:r>
      <w:r w:rsidR="00B7735D">
        <w:rPr>
          <w:szCs w:val="24"/>
        </w:rPr>
        <w:t>, illicit</w:t>
      </w:r>
      <w:r w:rsidR="00DD454C">
        <w:rPr>
          <w:szCs w:val="24"/>
        </w:rPr>
        <w:t>ly manufactured</w:t>
      </w:r>
      <w:r w:rsidR="00B7735D">
        <w:rPr>
          <w:szCs w:val="24"/>
        </w:rPr>
        <w:t xml:space="preserve"> fentanyl</w:t>
      </w:r>
      <w:r w:rsidR="00DD454C">
        <w:rPr>
          <w:szCs w:val="24"/>
        </w:rPr>
        <w:t>, cocaine</w:t>
      </w:r>
      <w:r w:rsidR="00564362">
        <w:rPr>
          <w:szCs w:val="24"/>
        </w:rPr>
        <w:t>, methamphetamines</w:t>
      </w:r>
      <w:r w:rsidR="004D1C1F">
        <w:rPr>
          <w:szCs w:val="24"/>
        </w:rPr>
        <w:t xml:space="preserve">). </w:t>
      </w:r>
    </w:p>
    <w:p w:rsidR="00FF0CD1" w:rsidP="00FF0CD1" w:rsidRDefault="00FF0CD1" w14:paraId="149F604D" w14:textId="77777777">
      <w:pPr>
        <w:pStyle w:val="Body1"/>
        <w:tabs>
          <w:tab w:val="left" w:pos="720"/>
        </w:tabs>
        <w:rPr>
          <w:b/>
          <w:szCs w:val="24"/>
        </w:rPr>
      </w:pPr>
    </w:p>
    <w:p w:rsidR="00EC01A1" w:rsidP="00F12040" w:rsidRDefault="00252703" w14:paraId="3488319A" w14:textId="6183F406">
      <w:pPr>
        <w:pStyle w:val="Body1"/>
        <w:tabs>
          <w:tab w:val="left" w:pos="720"/>
        </w:tabs>
        <w:ind w:left="720"/>
        <w:rPr>
          <w:szCs w:val="24"/>
        </w:rPr>
      </w:pPr>
      <w:r>
        <w:rPr>
          <w:szCs w:val="24"/>
        </w:rPr>
        <w:t>Although in past years the DORI generic mechanism has not been used, t</w:t>
      </w:r>
      <w:r w:rsidR="00CF470A">
        <w:rPr>
          <w:szCs w:val="24"/>
        </w:rPr>
        <w:t>he need to use this generic mechanism is expected to increase as</w:t>
      </w:r>
      <w:r w:rsidR="008358A1">
        <w:rPr>
          <w:szCs w:val="24"/>
        </w:rPr>
        <w:t xml:space="preserve"> t</w:t>
      </w:r>
      <w:r w:rsidR="00FF0CD1">
        <w:rPr>
          <w:szCs w:val="24"/>
        </w:rPr>
        <w:t>he drug overdose epidemic</w:t>
      </w:r>
      <w:r w:rsidR="008358A1">
        <w:rPr>
          <w:szCs w:val="24"/>
        </w:rPr>
        <w:t xml:space="preserve"> continues to pose a serious threat</w:t>
      </w:r>
      <w:r w:rsidR="00CF470A">
        <w:rPr>
          <w:szCs w:val="24"/>
        </w:rPr>
        <w:t xml:space="preserve">. </w:t>
      </w:r>
      <w:r w:rsidR="007358D8">
        <w:rPr>
          <w:szCs w:val="24"/>
        </w:rPr>
        <w:t>In October 2020,</w:t>
      </w:r>
      <w:r w:rsidR="000C42F1">
        <w:rPr>
          <w:szCs w:val="24"/>
        </w:rPr>
        <w:t xml:space="preserve"> the declaration of a national public health emergency</w:t>
      </w:r>
      <w:r w:rsidR="007358D8">
        <w:rPr>
          <w:szCs w:val="24"/>
        </w:rPr>
        <w:t xml:space="preserve"> as a result of the opioid crisis was renewed yet again, and</w:t>
      </w:r>
      <w:r w:rsidR="00A255B8">
        <w:rPr>
          <w:szCs w:val="24"/>
        </w:rPr>
        <w:t xml:space="preserve"> </w:t>
      </w:r>
      <w:r w:rsidR="007358D8">
        <w:rPr>
          <w:szCs w:val="24"/>
        </w:rPr>
        <w:t>eight</w:t>
      </w:r>
      <w:r w:rsidR="00156577">
        <w:rPr>
          <w:szCs w:val="24"/>
        </w:rPr>
        <w:t xml:space="preserve"> </w:t>
      </w:r>
      <w:r w:rsidR="00A255B8">
        <w:rPr>
          <w:szCs w:val="24"/>
        </w:rPr>
        <w:t>states</w:t>
      </w:r>
      <w:r w:rsidR="00F477B4">
        <w:rPr>
          <w:szCs w:val="24"/>
        </w:rPr>
        <w:t xml:space="preserve"> (Alaska, </w:t>
      </w:r>
      <w:r w:rsidRPr="00A255B8" w:rsidR="00F477B4">
        <w:rPr>
          <w:szCs w:val="24"/>
        </w:rPr>
        <w:t>A</w:t>
      </w:r>
      <w:r w:rsidR="00F477B4">
        <w:rPr>
          <w:szCs w:val="24"/>
        </w:rPr>
        <w:t>rizona</w:t>
      </w:r>
      <w:r w:rsidRPr="00A255B8" w:rsidR="00F477B4">
        <w:rPr>
          <w:szCs w:val="24"/>
        </w:rPr>
        <w:t>, F</w:t>
      </w:r>
      <w:r w:rsidR="00F477B4">
        <w:rPr>
          <w:szCs w:val="24"/>
        </w:rPr>
        <w:t>lorida</w:t>
      </w:r>
      <w:r w:rsidRPr="00A255B8" w:rsidR="00F477B4">
        <w:rPr>
          <w:szCs w:val="24"/>
        </w:rPr>
        <w:t>, M</w:t>
      </w:r>
      <w:r w:rsidR="00F477B4">
        <w:rPr>
          <w:szCs w:val="24"/>
        </w:rPr>
        <w:t>aryland</w:t>
      </w:r>
      <w:r w:rsidRPr="00A255B8" w:rsidR="00F477B4">
        <w:rPr>
          <w:szCs w:val="24"/>
        </w:rPr>
        <w:t>, M</w:t>
      </w:r>
      <w:r w:rsidR="007358D8">
        <w:rPr>
          <w:szCs w:val="24"/>
        </w:rPr>
        <w:t>assachusetts</w:t>
      </w:r>
      <w:r w:rsidR="00F477B4">
        <w:rPr>
          <w:szCs w:val="24"/>
        </w:rPr>
        <w:t>,</w:t>
      </w:r>
      <w:r w:rsidRPr="00A255B8" w:rsidR="00F477B4">
        <w:rPr>
          <w:szCs w:val="24"/>
        </w:rPr>
        <w:t xml:space="preserve"> </w:t>
      </w:r>
      <w:r w:rsidRPr="007F449E" w:rsidR="00F477B4">
        <w:rPr>
          <w:szCs w:val="24"/>
        </w:rPr>
        <w:t>Pennsylvania</w:t>
      </w:r>
      <w:r w:rsidR="00F477B4">
        <w:rPr>
          <w:szCs w:val="24"/>
        </w:rPr>
        <w:t>,</w:t>
      </w:r>
      <w:r w:rsidR="007358D8">
        <w:rPr>
          <w:szCs w:val="24"/>
        </w:rPr>
        <w:t xml:space="preserve"> South Carolina,</w:t>
      </w:r>
      <w:r w:rsidRPr="007F449E" w:rsidR="00F477B4">
        <w:rPr>
          <w:szCs w:val="24"/>
        </w:rPr>
        <w:t xml:space="preserve"> </w:t>
      </w:r>
      <w:r w:rsidRPr="00A255B8" w:rsidR="00F477B4">
        <w:rPr>
          <w:szCs w:val="24"/>
        </w:rPr>
        <w:t>V</w:t>
      </w:r>
      <w:r w:rsidR="00F477B4">
        <w:rPr>
          <w:szCs w:val="24"/>
        </w:rPr>
        <w:t>irginia)</w:t>
      </w:r>
      <w:r w:rsidR="00A255B8">
        <w:rPr>
          <w:szCs w:val="24"/>
        </w:rPr>
        <w:t xml:space="preserve"> have </w:t>
      </w:r>
      <w:r w:rsidR="00CF470A">
        <w:rPr>
          <w:szCs w:val="24"/>
        </w:rPr>
        <w:t xml:space="preserve">now </w:t>
      </w:r>
      <w:r w:rsidR="00A255B8">
        <w:rPr>
          <w:szCs w:val="24"/>
        </w:rPr>
        <w:t>declared state emergencies</w:t>
      </w:r>
      <w:r w:rsidR="008358A1">
        <w:rPr>
          <w:szCs w:val="24"/>
        </w:rPr>
        <w:t>.</w:t>
      </w:r>
      <w:r w:rsidR="00F477B4">
        <w:rPr>
          <w:szCs w:val="24"/>
        </w:rPr>
        <w:t xml:space="preserve"> </w:t>
      </w:r>
      <w:r w:rsidR="00CF470A">
        <w:rPr>
          <w:szCs w:val="24"/>
        </w:rPr>
        <w:t xml:space="preserve">Further, provisional data from </w:t>
      </w:r>
      <w:r w:rsidR="008358A1">
        <w:t xml:space="preserve">CDC’s State Unintentional Drug Overdose Reporting System </w:t>
      </w:r>
      <w:r w:rsidR="00F477B4">
        <w:t>suggest</w:t>
      </w:r>
      <w:r w:rsidRPr="00F477B4" w:rsidR="00F477B4">
        <w:t xml:space="preserve"> </w:t>
      </w:r>
      <w:r w:rsidR="008358A1">
        <w:t xml:space="preserve">that overdose deaths increased </w:t>
      </w:r>
      <w:r w:rsidR="006212AE">
        <w:t xml:space="preserve">from </w:t>
      </w:r>
      <w:r w:rsidR="008358A1">
        <w:t>2019</w:t>
      </w:r>
      <w:r w:rsidR="00E24B62">
        <w:t xml:space="preserve"> </w:t>
      </w:r>
      <w:r w:rsidR="006212AE">
        <w:t>to</w:t>
      </w:r>
      <w:r w:rsidR="00E24B62">
        <w:t xml:space="preserve"> early 2020</w:t>
      </w:r>
      <w:r w:rsidR="006212AE">
        <w:t xml:space="preserve"> (the most recent data available to us)</w:t>
      </w:r>
      <w:r w:rsidR="00CF470A">
        <w:t>,</w:t>
      </w:r>
      <w:r w:rsidR="008358A1">
        <w:t xml:space="preserve"> after a slight decrease from 2017 to 2018</w:t>
      </w:r>
      <w:r w:rsidR="003330EE">
        <w:t>. M</w:t>
      </w:r>
      <w:r w:rsidR="008358A1">
        <w:t xml:space="preserve">ore recent data from the Overdose Detection Mapping Application Program indicate </w:t>
      </w:r>
      <w:r w:rsidR="008358A1">
        <w:rPr>
          <w:szCs w:val="24"/>
        </w:rPr>
        <w:t>yet another uptick in suspected overdose</w:t>
      </w:r>
      <w:r w:rsidR="00CF470A">
        <w:rPr>
          <w:szCs w:val="24"/>
        </w:rPr>
        <w:t xml:space="preserve"> events</w:t>
      </w:r>
      <w:r w:rsidR="008358A1">
        <w:rPr>
          <w:szCs w:val="24"/>
        </w:rPr>
        <w:t xml:space="preserve"> since the start of the COVID-19 pandemic.</w:t>
      </w:r>
      <w:r w:rsidR="008358A1">
        <w:t xml:space="preserve"> Adding to this challenge,</w:t>
      </w:r>
      <w:r w:rsidR="00CF470A">
        <w:rPr>
          <w:szCs w:val="24"/>
        </w:rPr>
        <w:t xml:space="preserve"> drug </w:t>
      </w:r>
      <w:r w:rsidR="006212AE">
        <w:rPr>
          <w:szCs w:val="24"/>
        </w:rPr>
        <w:t xml:space="preserve">and overdose </w:t>
      </w:r>
      <w:r w:rsidR="00CF470A">
        <w:rPr>
          <w:szCs w:val="24"/>
        </w:rPr>
        <w:t xml:space="preserve">trends are </w:t>
      </w:r>
      <w:r w:rsidR="00F477B4">
        <w:rPr>
          <w:szCs w:val="24"/>
        </w:rPr>
        <w:t xml:space="preserve">rapidly changing, </w:t>
      </w:r>
      <w:r w:rsidR="008358A1">
        <w:rPr>
          <w:szCs w:val="24"/>
        </w:rPr>
        <w:t>shaped by the</w:t>
      </w:r>
      <w:r w:rsidRPr="00F477B4" w:rsidR="00F477B4">
        <w:t xml:space="preserve"> westward expansion of fentanyl, the eastward expansion of methamphetamines, </w:t>
      </w:r>
      <w:r w:rsidR="00CF470A">
        <w:t xml:space="preserve">and </w:t>
      </w:r>
      <w:r w:rsidRPr="00F477B4" w:rsidR="00F477B4">
        <w:t>increasing pol</w:t>
      </w:r>
      <w:r w:rsidR="00E24B62">
        <w:t>ysubstance overdo</w:t>
      </w:r>
      <w:r w:rsidRPr="00F477B4" w:rsidR="00F477B4">
        <w:t>se</w:t>
      </w:r>
      <w:r w:rsidR="00FF0CD1">
        <w:rPr>
          <w:szCs w:val="24"/>
        </w:rPr>
        <w:t xml:space="preserve">. </w:t>
      </w:r>
    </w:p>
    <w:p w:rsidR="00EC01A1" w:rsidP="00F12040" w:rsidRDefault="00EC01A1" w14:paraId="12F12373" w14:textId="77777777">
      <w:pPr>
        <w:pStyle w:val="Body1"/>
        <w:tabs>
          <w:tab w:val="left" w:pos="720"/>
        </w:tabs>
        <w:ind w:left="720"/>
        <w:rPr>
          <w:szCs w:val="24"/>
        </w:rPr>
      </w:pPr>
    </w:p>
    <w:p w:rsidR="00874291" w:rsidP="00874291" w:rsidRDefault="005F05B5" w14:paraId="727E1561" w14:textId="77777777">
      <w:pPr>
        <w:pStyle w:val="Body1"/>
        <w:tabs>
          <w:tab w:val="left" w:pos="720"/>
        </w:tabs>
        <w:ind w:left="720"/>
        <w:rPr>
          <w:szCs w:val="24"/>
        </w:rPr>
      </w:pPr>
      <w:r>
        <w:rPr>
          <w:szCs w:val="24"/>
        </w:rPr>
        <w:t>As of September 20</w:t>
      </w:r>
      <w:r w:rsidR="00564362">
        <w:rPr>
          <w:szCs w:val="24"/>
        </w:rPr>
        <w:t>20</w:t>
      </w:r>
      <w:r>
        <w:rPr>
          <w:szCs w:val="24"/>
        </w:rPr>
        <w:t xml:space="preserve">, </w:t>
      </w:r>
      <w:r w:rsidR="000C42F1">
        <w:rPr>
          <w:szCs w:val="24"/>
        </w:rPr>
        <w:t>CDC now funds enhanced surveillance</w:t>
      </w:r>
      <w:r w:rsidR="00564362">
        <w:rPr>
          <w:szCs w:val="24"/>
        </w:rPr>
        <w:t xml:space="preserve"> and prevention</w:t>
      </w:r>
      <w:r w:rsidR="000C42F1">
        <w:rPr>
          <w:szCs w:val="24"/>
        </w:rPr>
        <w:t xml:space="preserve"> of fatal and nonfatal </w:t>
      </w:r>
      <w:r>
        <w:rPr>
          <w:szCs w:val="24"/>
        </w:rPr>
        <w:t>opioid</w:t>
      </w:r>
      <w:r w:rsidR="000C42F1">
        <w:rPr>
          <w:szCs w:val="24"/>
        </w:rPr>
        <w:t xml:space="preserve"> overdoses in </w:t>
      </w:r>
      <w:r w:rsidR="00564362">
        <w:rPr>
          <w:szCs w:val="24"/>
        </w:rPr>
        <w:t>47</w:t>
      </w:r>
      <w:r w:rsidR="000C42F1">
        <w:rPr>
          <w:szCs w:val="24"/>
        </w:rPr>
        <w:t xml:space="preserve"> states</w:t>
      </w:r>
      <w:r w:rsidR="00564362">
        <w:rPr>
          <w:szCs w:val="24"/>
        </w:rPr>
        <w:t>, 16 localities, Puerto Rico, North Mariana Islands,</w:t>
      </w:r>
      <w:r w:rsidR="000C42F1">
        <w:rPr>
          <w:szCs w:val="24"/>
        </w:rPr>
        <w:t xml:space="preserve"> and the District of Columbia</w:t>
      </w:r>
      <w:r w:rsidR="00E17F6C">
        <w:rPr>
          <w:szCs w:val="24"/>
        </w:rPr>
        <w:t xml:space="preserve">. In addition, </w:t>
      </w:r>
      <w:r w:rsidR="00EC01A1">
        <w:rPr>
          <w:szCs w:val="24"/>
        </w:rPr>
        <w:t xml:space="preserve">by June 2021, </w:t>
      </w:r>
      <w:r w:rsidR="00E17F6C">
        <w:rPr>
          <w:szCs w:val="24"/>
        </w:rPr>
        <w:t xml:space="preserve">CDC </w:t>
      </w:r>
      <w:r w:rsidR="00EC01A1">
        <w:rPr>
          <w:szCs w:val="24"/>
        </w:rPr>
        <w:t>will be funding</w:t>
      </w:r>
      <w:r w:rsidR="00E17F6C">
        <w:rPr>
          <w:szCs w:val="24"/>
        </w:rPr>
        <w:t xml:space="preserve"> public health </w:t>
      </w:r>
      <w:r w:rsidR="00F12040">
        <w:rPr>
          <w:szCs w:val="24"/>
        </w:rPr>
        <w:t>analyst positions in 30 states to support the work of the</w:t>
      </w:r>
      <w:r w:rsidR="00E17F6C">
        <w:rPr>
          <w:szCs w:val="24"/>
        </w:rPr>
        <w:t xml:space="preserve"> Overdose Response Strategy, </w:t>
      </w:r>
      <w:r w:rsidR="00F12040">
        <w:rPr>
          <w:szCs w:val="24"/>
        </w:rPr>
        <w:t xml:space="preserve">a unique </w:t>
      </w:r>
      <w:r w:rsidRPr="00F12040" w:rsidR="00F12040">
        <w:rPr>
          <w:szCs w:val="24"/>
        </w:rPr>
        <w:t>collaboration</w:t>
      </w:r>
      <w:r w:rsidR="00F12040">
        <w:rPr>
          <w:szCs w:val="24"/>
        </w:rPr>
        <w:t xml:space="preserve"> </w:t>
      </w:r>
      <w:r w:rsidRPr="00F12040" w:rsidR="00F12040">
        <w:rPr>
          <w:szCs w:val="24"/>
        </w:rPr>
        <w:t xml:space="preserve">between </w:t>
      </w:r>
      <w:r w:rsidR="00F12040">
        <w:rPr>
          <w:szCs w:val="24"/>
        </w:rPr>
        <w:t xml:space="preserve">public health and public safety </w:t>
      </w:r>
      <w:r w:rsidRPr="00F12040" w:rsidR="00F12040">
        <w:rPr>
          <w:szCs w:val="24"/>
        </w:rPr>
        <w:t>created to help local communities reduce</w:t>
      </w:r>
      <w:r w:rsidR="00F12040">
        <w:rPr>
          <w:szCs w:val="24"/>
        </w:rPr>
        <w:t xml:space="preserve"> drug overdose</w:t>
      </w:r>
      <w:r w:rsidRPr="00F12040" w:rsidR="00F12040">
        <w:rPr>
          <w:szCs w:val="24"/>
        </w:rPr>
        <w:t xml:space="preserve"> and save lives</w:t>
      </w:r>
      <w:r w:rsidR="00F12040">
        <w:rPr>
          <w:szCs w:val="24"/>
        </w:rPr>
        <w:t>.</w:t>
      </w:r>
      <w:r w:rsidR="00C9029C">
        <w:rPr>
          <w:szCs w:val="24"/>
        </w:rPr>
        <w:t xml:space="preserve"> </w:t>
      </w:r>
      <w:r w:rsidR="00002E56">
        <w:rPr>
          <w:szCs w:val="24"/>
        </w:rPr>
        <w:t xml:space="preserve">Finally, CDC </w:t>
      </w:r>
      <w:r w:rsidR="00C9029C">
        <w:rPr>
          <w:szCs w:val="24"/>
        </w:rPr>
        <w:t>recently</w:t>
      </w:r>
      <w:r w:rsidR="00002E56">
        <w:rPr>
          <w:szCs w:val="24"/>
        </w:rPr>
        <w:t xml:space="preserve"> </w:t>
      </w:r>
      <w:r w:rsidR="00C75C63">
        <w:rPr>
          <w:szCs w:val="24"/>
        </w:rPr>
        <w:t xml:space="preserve">launched </w:t>
      </w:r>
      <w:r w:rsidR="00C9029C">
        <w:rPr>
          <w:szCs w:val="24"/>
        </w:rPr>
        <w:t>the</w:t>
      </w:r>
      <w:r w:rsidR="00E64263">
        <w:rPr>
          <w:szCs w:val="24"/>
        </w:rPr>
        <w:t xml:space="preserve"> </w:t>
      </w:r>
      <w:r w:rsidR="00C9029C">
        <w:rPr>
          <w:szCs w:val="24"/>
        </w:rPr>
        <w:t>O</w:t>
      </w:r>
      <w:r w:rsidR="00E64263">
        <w:rPr>
          <w:szCs w:val="24"/>
        </w:rPr>
        <w:t>verdose</w:t>
      </w:r>
      <w:r w:rsidR="00C75C63">
        <w:rPr>
          <w:szCs w:val="24"/>
        </w:rPr>
        <w:t xml:space="preserve"> </w:t>
      </w:r>
      <w:r w:rsidR="00C9029C">
        <w:rPr>
          <w:szCs w:val="24"/>
        </w:rPr>
        <w:t>R</w:t>
      </w:r>
      <w:r w:rsidR="00C75C63">
        <w:rPr>
          <w:szCs w:val="24"/>
        </w:rPr>
        <w:t xml:space="preserve">apid </w:t>
      </w:r>
      <w:r w:rsidR="00C9029C">
        <w:rPr>
          <w:szCs w:val="24"/>
        </w:rPr>
        <w:t>R</w:t>
      </w:r>
      <w:r w:rsidR="00C75C63">
        <w:rPr>
          <w:szCs w:val="24"/>
        </w:rPr>
        <w:t xml:space="preserve">esponse </w:t>
      </w:r>
      <w:r w:rsidR="00C9029C">
        <w:rPr>
          <w:szCs w:val="24"/>
        </w:rPr>
        <w:t>P</w:t>
      </w:r>
      <w:r w:rsidR="00C75C63">
        <w:rPr>
          <w:szCs w:val="24"/>
        </w:rPr>
        <w:t>rogram</w:t>
      </w:r>
      <w:r w:rsidR="00C9029C">
        <w:rPr>
          <w:szCs w:val="24"/>
        </w:rPr>
        <w:t>,</w:t>
      </w:r>
      <w:r w:rsidR="00C75C63">
        <w:rPr>
          <w:szCs w:val="24"/>
        </w:rPr>
        <w:t xml:space="preserve"> </w:t>
      </w:r>
      <w:r w:rsidR="00C9029C">
        <w:rPr>
          <w:szCs w:val="24"/>
        </w:rPr>
        <w:t xml:space="preserve">which leverages </w:t>
      </w:r>
      <w:r w:rsidRPr="00C9029C" w:rsidR="00C9029C">
        <w:rPr>
          <w:szCs w:val="24"/>
        </w:rPr>
        <w:t>CDC’s partnerships with the HHS Office of Inspect</w:t>
      </w:r>
      <w:r w:rsidR="00C9029C">
        <w:rPr>
          <w:szCs w:val="24"/>
        </w:rPr>
        <w:t>or General</w:t>
      </w:r>
      <w:r w:rsidRPr="00C9029C" w:rsidR="00C9029C">
        <w:rPr>
          <w:szCs w:val="24"/>
        </w:rPr>
        <w:t xml:space="preserve"> and Public He</w:t>
      </w:r>
      <w:r w:rsidR="00C9029C">
        <w:rPr>
          <w:szCs w:val="24"/>
        </w:rPr>
        <w:t xml:space="preserve">alth Service Commissioned Corps, to swiftly deploy </w:t>
      </w:r>
      <w:r w:rsidR="00C75C63">
        <w:rPr>
          <w:szCs w:val="24"/>
        </w:rPr>
        <w:t xml:space="preserve">staff to </w:t>
      </w:r>
      <w:r w:rsidR="00FA1284">
        <w:rPr>
          <w:szCs w:val="24"/>
        </w:rPr>
        <w:t>help</w:t>
      </w:r>
      <w:r w:rsidRPr="00C75C63" w:rsidR="00C75C63">
        <w:rPr>
          <w:szCs w:val="24"/>
        </w:rPr>
        <w:t xml:space="preserve"> jurisdictions </w:t>
      </w:r>
      <w:r w:rsidR="00E64263">
        <w:rPr>
          <w:szCs w:val="24"/>
        </w:rPr>
        <w:t>prevent overdose deaths during an overdose spike or following the closure of an</w:t>
      </w:r>
      <w:r w:rsidRPr="00C75C63" w:rsidR="00C75C63">
        <w:rPr>
          <w:szCs w:val="24"/>
        </w:rPr>
        <w:t xml:space="preserve"> </w:t>
      </w:r>
      <w:r w:rsidR="00C75C63">
        <w:rPr>
          <w:szCs w:val="24"/>
        </w:rPr>
        <w:t xml:space="preserve">opioid </w:t>
      </w:r>
      <w:r w:rsidRPr="00C75C63" w:rsidR="00C75C63">
        <w:rPr>
          <w:szCs w:val="24"/>
        </w:rPr>
        <w:t>clinic where patients are prescribed opioid therapy</w:t>
      </w:r>
      <w:r w:rsidR="00E64263">
        <w:rPr>
          <w:szCs w:val="24"/>
        </w:rPr>
        <w:t xml:space="preserve">. </w:t>
      </w:r>
      <w:r w:rsidR="00252703">
        <w:rPr>
          <w:szCs w:val="24"/>
        </w:rPr>
        <w:t xml:space="preserve">During the </w:t>
      </w:r>
      <w:r w:rsidR="003400E8">
        <w:rPr>
          <w:szCs w:val="24"/>
        </w:rPr>
        <w:t xml:space="preserve">past years the DORI generic mechanism has not been used, </w:t>
      </w:r>
      <w:r w:rsidR="00252703">
        <w:rPr>
          <w:szCs w:val="24"/>
        </w:rPr>
        <w:t xml:space="preserve">but </w:t>
      </w:r>
      <w:r w:rsidR="003400E8">
        <w:rPr>
          <w:szCs w:val="24"/>
        </w:rPr>
        <w:t xml:space="preserve">the </w:t>
      </w:r>
      <w:r>
        <w:rPr>
          <w:szCs w:val="24"/>
        </w:rPr>
        <w:t xml:space="preserve">enhanced surveillance </w:t>
      </w:r>
      <w:r w:rsidR="00564362">
        <w:rPr>
          <w:szCs w:val="24"/>
        </w:rPr>
        <w:t xml:space="preserve">and prevention </w:t>
      </w:r>
      <w:r>
        <w:rPr>
          <w:szCs w:val="24"/>
        </w:rPr>
        <w:t xml:space="preserve">efforts </w:t>
      </w:r>
      <w:r w:rsidR="003400E8">
        <w:rPr>
          <w:szCs w:val="24"/>
        </w:rPr>
        <w:t xml:space="preserve">mentioned </w:t>
      </w:r>
      <w:r w:rsidR="00EC01A1">
        <w:rPr>
          <w:szCs w:val="24"/>
        </w:rPr>
        <w:t xml:space="preserve">may lead to an increase in the need for </w:t>
      </w:r>
      <w:r w:rsidR="000C42F1">
        <w:rPr>
          <w:szCs w:val="24"/>
        </w:rPr>
        <w:t xml:space="preserve">the use of DORI. </w:t>
      </w:r>
      <w:r w:rsidR="00FF0CD1">
        <w:rPr>
          <w:szCs w:val="24"/>
        </w:rPr>
        <w:t>While states continue to develop their capacity to respond to increases in drug overdose, some still require substantial technical assistance</w:t>
      </w:r>
      <w:r w:rsidR="00E24B62">
        <w:rPr>
          <w:szCs w:val="24"/>
        </w:rPr>
        <w:t xml:space="preserve"> </w:t>
      </w:r>
      <w:r w:rsidR="00E24B62">
        <w:t xml:space="preserve">in order to identify actions that take into account: </w:t>
      </w:r>
      <w:r w:rsidRPr="00FA1284" w:rsidR="00E24B62">
        <w:rPr>
          <w:szCs w:val="24"/>
        </w:rPr>
        <w:t>associated fatal and nonfatal overdoses</w:t>
      </w:r>
      <w:r w:rsidR="00FA1284">
        <w:rPr>
          <w:szCs w:val="24"/>
        </w:rPr>
        <w:t xml:space="preserve">, overdose drivers and risk factors, and </w:t>
      </w:r>
      <w:r w:rsidR="00872DE0">
        <w:rPr>
          <w:szCs w:val="24"/>
        </w:rPr>
        <w:t>the populations most affected</w:t>
      </w:r>
      <w:r w:rsidR="00FF0CD1">
        <w:rPr>
          <w:szCs w:val="24"/>
        </w:rPr>
        <w:t>. Because the epidemiology of drug overdoses varies in terms of which populations are affected and which drugs are fueling the overdoses, it is important that CDC preserve the ability to rapidly provide a catered response to protect the public’s health.</w:t>
      </w:r>
      <w:r w:rsidR="00874291">
        <w:rPr>
          <w:szCs w:val="24"/>
        </w:rPr>
        <w:t xml:space="preserve"> </w:t>
      </w:r>
    </w:p>
    <w:p w:rsidR="00874291" w:rsidP="00B37A4A" w:rsidRDefault="00874291" w14:paraId="6CB02720" w14:textId="247BA1D5">
      <w:pPr>
        <w:pStyle w:val="Body1"/>
        <w:tabs>
          <w:tab w:val="left" w:pos="720"/>
        </w:tabs>
        <w:ind w:left="720"/>
        <w:rPr>
          <w:szCs w:val="24"/>
        </w:rPr>
      </w:pPr>
      <w:r>
        <w:rPr>
          <w:color w:val="auto"/>
          <w:szCs w:val="24"/>
        </w:rPr>
        <w:lastRenderedPageBreak/>
        <w:t xml:space="preserve">CDC </w:t>
      </w:r>
      <w:proofErr w:type="gramStart"/>
      <w:r>
        <w:rPr>
          <w:color w:val="auto"/>
          <w:szCs w:val="24"/>
        </w:rPr>
        <w:t xml:space="preserve">is </w:t>
      </w:r>
      <w:r w:rsidRPr="000964E8">
        <w:rPr>
          <w:color w:val="auto"/>
          <w:szCs w:val="24"/>
        </w:rPr>
        <w:t xml:space="preserve"> anticipat</w:t>
      </w:r>
      <w:r>
        <w:rPr>
          <w:color w:val="auto"/>
          <w:szCs w:val="24"/>
        </w:rPr>
        <w:t>ing</w:t>
      </w:r>
      <w:proofErr w:type="gramEnd"/>
      <w:r>
        <w:rPr>
          <w:color w:val="auto"/>
          <w:szCs w:val="24"/>
        </w:rPr>
        <w:t xml:space="preserve"> the</w:t>
      </w:r>
      <w:r w:rsidRPr="000964E8">
        <w:rPr>
          <w:color w:val="auto"/>
          <w:szCs w:val="24"/>
        </w:rPr>
        <w:t xml:space="preserve"> </w:t>
      </w:r>
      <w:r>
        <w:rPr>
          <w:color w:val="auto"/>
          <w:szCs w:val="24"/>
        </w:rPr>
        <w:t xml:space="preserve">annual </w:t>
      </w:r>
      <w:r w:rsidRPr="000964E8">
        <w:rPr>
          <w:color w:val="auto"/>
          <w:szCs w:val="24"/>
        </w:rPr>
        <w:t xml:space="preserve">number of DORIs </w:t>
      </w:r>
      <w:r>
        <w:rPr>
          <w:color w:val="auto"/>
          <w:szCs w:val="24"/>
        </w:rPr>
        <w:t>to</w:t>
      </w:r>
      <w:r w:rsidRPr="000964E8">
        <w:rPr>
          <w:color w:val="auto"/>
          <w:szCs w:val="24"/>
        </w:rPr>
        <w:t xml:space="preserve"> increase to 53 to accommodate the new requests NCIPC expects to receive from not only public safety agencies but also the other authorities funded through its other enhanced surveillance and prevention activities. However, there is no change in the burden hours</w:t>
      </w:r>
      <w:r>
        <w:rPr>
          <w:szCs w:val="24"/>
        </w:rPr>
        <w:t>.</w:t>
      </w:r>
    </w:p>
    <w:p w:rsidRPr="00E24B62" w:rsidR="00874291" w:rsidP="00F12040" w:rsidRDefault="00874291" w14:paraId="405C9F6E" w14:textId="77777777">
      <w:pPr>
        <w:pStyle w:val="Body1"/>
        <w:tabs>
          <w:tab w:val="left" w:pos="720"/>
        </w:tabs>
        <w:ind w:left="720"/>
        <w:rPr>
          <w:b/>
          <w:szCs w:val="24"/>
        </w:rPr>
      </w:pPr>
    </w:p>
    <w:p w:rsidR="00FF0CD1" w:rsidP="00652D54" w:rsidRDefault="00FF0CD1" w14:paraId="5E251464" w14:textId="77777777">
      <w:pPr>
        <w:pStyle w:val="Body1"/>
        <w:ind w:left="720"/>
        <w:rPr>
          <w:szCs w:val="24"/>
        </w:rPr>
      </w:pPr>
    </w:p>
    <w:p w:rsidRPr="00C4585A" w:rsidR="001F2CDB" w:rsidP="001F2CDB" w:rsidRDefault="001F2CDB" w14:paraId="5A9CA902" w14:textId="1D5A8ACA">
      <w:pPr>
        <w:tabs>
          <w:tab w:val="left" w:pos="360"/>
        </w:tabs>
        <w:ind w:left="360" w:hanging="360"/>
        <w:outlineLvl w:val="0"/>
        <w:rPr>
          <w:u w:val="single"/>
        </w:rPr>
      </w:pPr>
      <w:r>
        <w:rPr>
          <w:sz w:val="24"/>
        </w:rPr>
        <w:tab/>
      </w:r>
      <w:r>
        <w:rPr>
          <w:sz w:val="24"/>
        </w:rPr>
        <w:tab/>
      </w:r>
      <w:r w:rsidRPr="009B463E">
        <w:rPr>
          <w:rFonts w:eastAsia="Arial Unicode MS"/>
          <w:color w:val="000000"/>
          <w:sz w:val="24"/>
          <w:szCs w:val="24"/>
          <w:u w:color="000000"/>
        </w:rPr>
        <w:t>Background</w:t>
      </w:r>
    </w:p>
    <w:p w:rsidR="001F2CDB" w:rsidP="00652D54" w:rsidRDefault="001F2CDB" w14:paraId="342288A7" w14:textId="77777777">
      <w:pPr>
        <w:pStyle w:val="Body1"/>
        <w:ind w:left="720"/>
        <w:rPr>
          <w:szCs w:val="24"/>
        </w:rPr>
      </w:pPr>
    </w:p>
    <w:p w:rsidR="00562B8F" w:rsidP="00EE7786" w:rsidRDefault="00730455" w14:paraId="59CB1A7F" w14:textId="1EDBB8C4">
      <w:pPr>
        <w:pStyle w:val="Body1"/>
        <w:ind w:left="720"/>
        <w:rPr>
          <w:szCs w:val="24"/>
        </w:rPr>
      </w:pPr>
      <w:r>
        <w:rPr>
          <w:szCs w:val="24"/>
        </w:rPr>
        <w:t xml:space="preserve">DORIs </w:t>
      </w:r>
      <w:r w:rsidR="00005127">
        <w:rPr>
          <w:szCs w:val="24"/>
        </w:rPr>
        <w:t xml:space="preserve">are data collections </w:t>
      </w:r>
      <w:r>
        <w:rPr>
          <w:szCs w:val="24"/>
        </w:rPr>
        <w:t>conducted</w:t>
      </w:r>
      <w:r w:rsidR="00E32CA2">
        <w:rPr>
          <w:szCs w:val="24"/>
        </w:rPr>
        <w:t xml:space="preserve"> </w:t>
      </w:r>
      <w:r w:rsidRPr="00784C67" w:rsidR="008D7C72">
        <w:rPr>
          <w:szCs w:val="24"/>
        </w:rPr>
        <w:t xml:space="preserve">in response to </w:t>
      </w:r>
      <w:r w:rsidR="00661D5F">
        <w:rPr>
          <w:szCs w:val="24"/>
        </w:rPr>
        <w:t xml:space="preserve">urgent </w:t>
      </w:r>
      <w:r>
        <w:rPr>
          <w:szCs w:val="24"/>
        </w:rPr>
        <w:t xml:space="preserve">requests from </w:t>
      </w:r>
      <w:r w:rsidR="00D8289C">
        <w:rPr>
          <w:szCs w:val="24"/>
        </w:rPr>
        <w:t>state and local authorities</w:t>
      </w:r>
      <w:r w:rsidR="0022573B">
        <w:rPr>
          <w:szCs w:val="24"/>
        </w:rPr>
        <w:t>. Traditionally</w:t>
      </w:r>
      <w:r w:rsidR="00054253">
        <w:rPr>
          <w:szCs w:val="24"/>
        </w:rPr>
        <w:t>,</w:t>
      </w:r>
      <w:r w:rsidR="0022573B">
        <w:rPr>
          <w:szCs w:val="24"/>
        </w:rPr>
        <w:t xml:space="preserve"> these data collections are conducted in the context of an </w:t>
      </w:r>
      <w:r>
        <w:rPr>
          <w:szCs w:val="24"/>
        </w:rPr>
        <w:t>Epi-Aid</w:t>
      </w:r>
      <w:r w:rsidR="0022573B">
        <w:rPr>
          <w:szCs w:val="24"/>
        </w:rPr>
        <w:t xml:space="preserve">; however, DORIs may also be conducted in response to a direct request from state or local </w:t>
      </w:r>
      <w:r w:rsidR="00562B8F">
        <w:rPr>
          <w:szCs w:val="24"/>
        </w:rPr>
        <w:t>public agencies (e.g. health departments, law enforcement agencies)</w:t>
      </w:r>
      <w:r w:rsidR="0022573B">
        <w:rPr>
          <w:szCs w:val="24"/>
        </w:rPr>
        <w:t xml:space="preserve"> to NCIPC</w:t>
      </w:r>
      <w:r w:rsidR="005250DD">
        <w:rPr>
          <w:szCs w:val="24"/>
        </w:rPr>
        <w:t xml:space="preserve">. </w:t>
      </w:r>
      <w:r w:rsidR="005427BE">
        <w:rPr>
          <w:szCs w:val="24"/>
        </w:rPr>
        <w:t xml:space="preserve">The Epi-Aid mechanism </w:t>
      </w:r>
      <w:r w:rsidR="00F70733">
        <w:rPr>
          <w:szCs w:val="24"/>
        </w:rPr>
        <w:t xml:space="preserve">is </w:t>
      </w:r>
      <w:r w:rsidRPr="001550A1" w:rsidR="00F70733">
        <w:t>enac</w:t>
      </w:r>
      <w:r w:rsidR="00F70733">
        <w:t xml:space="preserve">ted to support a field </w:t>
      </w:r>
      <w:r w:rsidR="00613B53">
        <w:t>response and</w:t>
      </w:r>
      <w:r w:rsidR="00F70733">
        <w:t xml:space="preserve"> </w:t>
      </w:r>
      <w:r w:rsidR="00F70733">
        <w:rPr>
          <w:szCs w:val="24"/>
        </w:rPr>
        <w:t>provides CDC with the agility to respond rapidly to serious and urgent public health crises. Epi-Aids are used to provide epidemiological information, as quickly as possible, to inform the selection of interventions to lessen or prevent illness, injury, or death. Epi-Aids may or may not include data collection.</w:t>
      </w:r>
      <w:r w:rsidR="00FE1CD8">
        <w:rPr>
          <w:szCs w:val="24"/>
        </w:rPr>
        <w:t xml:space="preserve"> </w:t>
      </w:r>
      <w:r w:rsidR="007A6CCE">
        <w:rPr>
          <w:szCs w:val="24"/>
        </w:rPr>
        <w:t xml:space="preserve">The goal of DORIs </w:t>
      </w:r>
      <w:r w:rsidR="00F70733">
        <w:rPr>
          <w:szCs w:val="24"/>
        </w:rPr>
        <w:t xml:space="preserve">is </w:t>
      </w:r>
      <w:r w:rsidR="007A6CCE">
        <w:rPr>
          <w:szCs w:val="24"/>
        </w:rPr>
        <w:t xml:space="preserve">to </w:t>
      </w:r>
      <w:r w:rsidR="00005127">
        <w:rPr>
          <w:szCs w:val="24"/>
        </w:rPr>
        <w:t xml:space="preserve">collect data to inform responses that can be taken to </w:t>
      </w:r>
      <w:r w:rsidR="007A6CCE">
        <w:rPr>
          <w:szCs w:val="24"/>
        </w:rPr>
        <w:t>control a local drug overdose epidemic</w:t>
      </w:r>
      <w:r w:rsidR="005427BE">
        <w:rPr>
          <w:szCs w:val="24"/>
        </w:rPr>
        <w:t>.</w:t>
      </w:r>
      <w:r w:rsidR="007A6CCE">
        <w:rPr>
          <w:szCs w:val="24"/>
        </w:rPr>
        <w:t xml:space="preserve"> </w:t>
      </w:r>
      <w:r w:rsidR="00F70733">
        <w:rPr>
          <w:szCs w:val="24"/>
        </w:rPr>
        <w:t xml:space="preserve">When a DORI </w:t>
      </w:r>
      <w:r w:rsidR="00005127">
        <w:rPr>
          <w:szCs w:val="24"/>
        </w:rPr>
        <w:t xml:space="preserve">data collection </w:t>
      </w:r>
      <w:r w:rsidR="00F70733">
        <w:rPr>
          <w:szCs w:val="24"/>
        </w:rPr>
        <w:t xml:space="preserve">is conducted in response to an </w:t>
      </w:r>
      <w:r w:rsidR="0022573B">
        <w:rPr>
          <w:szCs w:val="24"/>
        </w:rPr>
        <w:t xml:space="preserve">urgent </w:t>
      </w:r>
      <w:r w:rsidR="00F70733">
        <w:rPr>
          <w:szCs w:val="24"/>
        </w:rPr>
        <w:t xml:space="preserve">request from a state or local </w:t>
      </w:r>
      <w:r w:rsidR="00562B8F">
        <w:rPr>
          <w:szCs w:val="24"/>
        </w:rPr>
        <w:t>public agency</w:t>
      </w:r>
      <w:r w:rsidR="00F70733">
        <w:rPr>
          <w:szCs w:val="24"/>
        </w:rPr>
        <w:t xml:space="preserve">, </w:t>
      </w:r>
      <w:r w:rsidRPr="00E078F9" w:rsidR="00824E8A">
        <w:rPr>
          <w:szCs w:val="24"/>
        </w:rPr>
        <w:t xml:space="preserve">and the data collection meets criteria for review and approval under the Paperwork Reduction Act, </w:t>
      </w:r>
      <w:r w:rsidRPr="00E078F9" w:rsidR="00F70733">
        <w:rPr>
          <w:szCs w:val="24"/>
        </w:rPr>
        <w:t xml:space="preserve">approval will be sought for the data collection through this ICR. </w:t>
      </w:r>
      <w:r w:rsidRPr="00E078F9" w:rsidR="00C56DC3">
        <w:rPr>
          <w:szCs w:val="24"/>
        </w:rPr>
        <w:t xml:space="preserve">Based on previous experience, </w:t>
      </w:r>
      <w:r w:rsidRPr="00E078F9" w:rsidR="005250DD">
        <w:rPr>
          <w:szCs w:val="24"/>
        </w:rPr>
        <w:t xml:space="preserve">NCIPC anticipates that </w:t>
      </w:r>
      <w:r w:rsidRPr="00E078F9" w:rsidR="00F70733">
        <w:rPr>
          <w:szCs w:val="24"/>
        </w:rPr>
        <w:t>information will need to be collected to</w:t>
      </w:r>
      <w:r w:rsidR="00562B8F">
        <w:rPr>
          <w:szCs w:val="24"/>
        </w:rPr>
        <w:t>:</w:t>
      </w:r>
    </w:p>
    <w:p w:rsidR="00630C3E" w:rsidP="00EE7786" w:rsidRDefault="005250DD" w14:paraId="39BC5062" w14:textId="6E4C025B">
      <w:pPr>
        <w:pStyle w:val="Body1"/>
        <w:ind w:left="1440"/>
        <w:rPr>
          <w:szCs w:val="24"/>
        </w:rPr>
      </w:pPr>
      <w:r w:rsidRPr="00E078F9">
        <w:rPr>
          <w:szCs w:val="24"/>
        </w:rPr>
        <w:t xml:space="preserve">(a) </w:t>
      </w:r>
      <w:r w:rsidRPr="00E078F9" w:rsidR="0057020E">
        <w:rPr>
          <w:szCs w:val="24"/>
        </w:rPr>
        <w:t xml:space="preserve">understand </w:t>
      </w:r>
      <w:r w:rsidRPr="00E078F9" w:rsidR="005427BE">
        <w:rPr>
          <w:szCs w:val="24"/>
        </w:rPr>
        <w:t xml:space="preserve">sudden increases in </w:t>
      </w:r>
      <w:r w:rsidRPr="00E078F9">
        <w:rPr>
          <w:szCs w:val="24"/>
        </w:rPr>
        <w:t xml:space="preserve">drug use and misuse associated </w:t>
      </w:r>
      <w:r w:rsidRPr="00E078F9" w:rsidR="005427BE">
        <w:rPr>
          <w:szCs w:val="24"/>
        </w:rPr>
        <w:t xml:space="preserve">with </w:t>
      </w:r>
      <w:r w:rsidRPr="00E078F9" w:rsidR="007C24F4">
        <w:rPr>
          <w:szCs w:val="24"/>
        </w:rPr>
        <w:t>fatal and nonfatal overdoses</w:t>
      </w:r>
      <w:r w:rsidRPr="00E078F9" w:rsidR="005427BE">
        <w:rPr>
          <w:szCs w:val="24"/>
        </w:rPr>
        <w:t xml:space="preserve"> </w:t>
      </w:r>
      <w:r w:rsidRPr="00E078F9" w:rsidR="007A6CCE">
        <w:rPr>
          <w:szCs w:val="24"/>
        </w:rPr>
        <w:t xml:space="preserve">(e.g., </w:t>
      </w:r>
      <w:r w:rsidRPr="00E078F9" w:rsidR="001E3C25">
        <w:rPr>
          <w:szCs w:val="24"/>
        </w:rPr>
        <w:t>collect data on</w:t>
      </w:r>
      <w:r w:rsidRPr="00E078F9" w:rsidR="00F70733">
        <w:rPr>
          <w:szCs w:val="24"/>
        </w:rPr>
        <w:t xml:space="preserve"> type of drug,</w:t>
      </w:r>
      <w:r w:rsidRPr="00E078F9" w:rsidR="001E3C25">
        <w:rPr>
          <w:szCs w:val="24"/>
        </w:rPr>
        <w:t xml:space="preserve"> </w:t>
      </w:r>
      <w:r w:rsidRPr="00E078F9" w:rsidR="007A6CCE">
        <w:rPr>
          <w:szCs w:val="24"/>
        </w:rPr>
        <w:t>number of cases, time of increasing trend</w:t>
      </w:r>
      <w:r w:rsidRPr="00E078F9" w:rsidR="007C24F4">
        <w:rPr>
          <w:szCs w:val="24"/>
        </w:rPr>
        <w:t>,</w:t>
      </w:r>
      <w:r w:rsidRPr="00E078F9" w:rsidR="003803D3">
        <w:rPr>
          <w:szCs w:val="24"/>
        </w:rPr>
        <w:t xml:space="preserve"> morbidity and </w:t>
      </w:r>
      <w:proofErr w:type="gramStart"/>
      <w:r w:rsidRPr="00E078F9" w:rsidR="003803D3">
        <w:rPr>
          <w:szCs w:val="24"/>
        </w:rPr>
        <w:t>mortality</w:t>
      </w:r>
      <w:r w:rsidR="00630C3E">
        <w:rPr>
          <w:szCs w:val="24"/>
        </w:rPr>
        <w:t>;</w:t>
      </w:r>
      <w:proofErr w:type="gramEnd"/>
    </w:p>
    <w:p w:rsidR="00630C3E" w:rsidP="00EE7786" w:rsidRDefault="00692342" w14:paraId="67463D3E" w14:textId="75033E03">
      <w:pPr>
        <w:pStyle w:val="Body1"/>
        <w:ind w:left="1440"/>
        <w:rPr>
          <w:szCs w:val="24"/>
        </w:rPr>
      </w:pPr>
      <w:r w:rsidRPr="00E078F9">
        <w:rPr>
          <w:szCs w:val="24"/>
        </w:rPr>
        <w:t>(b) understand the drivers and risk factors associated with those trends</w:t>
      </w:r>
      <w:r w:rsidRPr="00E078F9" w:rsidR="001E3C25">
        <w:rPr>
          <w:szCs w:val="24"/>
        </w:rPr>
        <w:t xml:space="preserve"> (e.g., collect data on circumstances surrounding overdose)</w:t>
      </w:r>
      <w:r w:rsidR="00630C3E">
        <w:rPr>
          <w:szCs w:val="24"/>
        </w:rPr>
        <w:t>;</w:t>
      </w:r>
      <w:r w:rsidRPr="00E078F9" w:rsidR="00630C3E">
        <w:rPr>
          <w:szCs w:val="24"/>
        </w:rPr>
        <w:t xml:space="preserve"> </w:t>
      </w:r>
      <w:r w:rsidRPr="00E078F9">
        <w:rPr>
          <w:szCs w:val="24"/>
        </w:rPr>
        <w:t>and</w:t>
      </w:r>
      <w:r w:rsidR="00630C3E">
        <w:rPr>
          <w:szCs w:val="24"/>
        </w:rPr>
        <w:t>,</w:t>
      </w:r>
      <w:r w:rsidRPr="00E078F9">
        <w:rPr>
          <w:szCs w:val="24"/>
        </w:rPr>
        <w:t xml:space="preserve"> </w:t>
      </w:r>
    </w:p>
    <w:p w:rsidR="00E64263" w:rsidP="00EE7786" w:rsidRDefault="003F7482" w14:paraId="5F780DF8" w14:textId="7DD1736E">
      <w:pPr>
        <w:pStyle w:val="Body1"/>
        <w:ind w:left="1440"/>
        <w:rPr>
          <w:szCs w:val="24"/>
        </w:rPr>
      </w:pPr>
      <w:r w:rsidRPr="00E078F9">
        <w:rPr>
          <w:szCs w:val="24"/>
        </w:rPr>
        <w:t>(</w:t>
      </w:r>
      <w:r w:rsidRPr="00E078F9" w:rsidR="00692342">
        <w:rPr>
          <w:szCs w:val="24"/>
        </w:rPr>
        <w:t>c</w:t>
      </w:r>
      <w:r w:rsidRPr="00E078F9">
        <w:rPr>
          <w:szCs w:val="24"/>
        </w:rPr>
        <w:t>) identify the groups most affected</w:t>
      </w:r>
      <w:r w:rsidRPr="00E078F9" w:rsidR="001E3C25">
        <w:rPr>
          <w:szCs w:val="24"/>
        </w:rPr>
        <w:t xml:space="preserve"> (e.g., collect data on emergency department admissions or decedents)</w:t>
      </w:r>
      <w:r w:rsidRPr="00E078F9" w:rsidR="007C24F4">
        <w:rPr>
          <w:szCs w:val="24"/>
        </w:rPr>
        <w:t>.</w:t>
      </w:r>
      <w:r w:rsidRPr="00E078F9" w:rsidR="00824E8A">
        <w:rPr>
          <w:szCs w:val="24"/>
        </w:rPr>
        <w:t xml:space="preserve"> </w:t>
      </w:r>
    </w:p>
    <w:p w:rsidR="00630C3E" w:rsidP="00630C3E" w:rsidRDefault="00630C3E" w14:paraId="7488DC1E" w14:textId="77777777">
      <w:pPr>
        <w:pStyle w:val="Body1"/>
        <w:ind w:left="360"/>
        <w:rPr>
          <w:szCs w:val="24"/>
        </w:rPr>
      </w:pPr>
    </w:p>
    <w:p w:rsidR="003B4E85" w:rsidP="00630C3E" w:rsidRDefault="00824E8A" w14:paraId="04D77788" w14:textId="6EDF2CAB">
      <w:pPr>
        <w:pStyle w:val="Body1"/>
        <w:ind w:left="360"/>
        <w:rPr>
          <w:szCs w:val="24"/>
        </w:rPr>
      </w:pPr>
      <w:r w:rsidRPr="00E078F9">
        <w:rPr>
          <w:szCs w:val="24"/>
        </w:rPr>
        <w:t>It is expected that investigations will often require collection of information from 10 or more respondents</w:t>
      </w:r>
      <w:r w:rsidRPr="00E078F9" w:rsidR="00E078F9">
        <w:rPr>
          <w:szCs w:val="24"/>
        </w:rPr>
        <w:t xml:space="preserve"> (or 10 or more organizations that serve as respondents)</w:t>
      </w:r>
      <w:r w:rsidRPr="00E078F9" w:rsidR="000F01ED">
        <w:rPr>
          <w:szCs w:val="24"/>
        </w:rPr>
        <w:t>,</w:t>
      </w:r>
      <w:r w:rsidRPr="00E078F9">
        <w:rPr>
          <w:szCs w:val="24"/>
        </w:rPr>
        <w:t xml:space="preserve"> with the </w:t>
      </w:r>
      <w:r w:rsidRPr="00E078F9" w:rsidR="000F01ED">
        <w:rPr>
          <w:szCs w:val="24"/>
        </w:rPr>
        <w:t xml:space="preserve">collection of information on the same topic and </w:t>
      </w:r>
      <w:r w:rsidRPr="00E078F9">
        <w:rPr>
          <w:szCs w:val="24"/>
        </w:rPr>
        <w:t>use of similarly structured questions.</w:t>
      </w:r>
      <w:r>
        <w:rPr>
          <w:szCs w:val="24"/>
        </w:rPr>
        <w:t xml:space="preserve"> </w:t>
      </w:r>
    </w:p>
    <w:p w:rsidR="00FA1284" w:rsidP="00630C3E" w:rsidRDefault="00FA1284" w14:paraId="02C18A32" w14:textId="77777777">
      <w:pPr>
        <w:pStyle w:val="Body1"/>
        <w:ind w:left="360"/>
        <w:rPr>
          <w:szCs w:val="24"/>
        </w:rPr>
      </w:pPr>
    </w:p>
    <w:p w:rsidR="003F7482" w:rsidP="00630C3E" w:rsidRDefault="00FE1CD8" w14:paraId="5EA0BC97" w14:textId="3F947502">
      <w:pPr>
        <w:pStyle w:val="Body1"/>
        <w:ind w:left="360"/>
        <w:rPr>
          <w:szCs w:val="24"/>
        </w:rPr>
      </w:pPr>
      <w:r w:rsidRPr="00220C0C">
        <w:rPr>
          <w:rFonts w:cs="Courier New"/>
        </w:rPr>
        <w:t>In</w:t>
      </w:r>
      <w:r>
        <w:rPr>
          <w:rFonts w:cs="Courier New"/>
        </w:rPr>
        <w:t xml:space="preserve"> 2015</w:t>
      </w:r>
      <w:r w:rsidRPr="00220C0C">
        <w:rPr>
          <w:rFonts w:cs="Courier New"/>
        </w:rPr>
        <w:t>, CDC received OMB approval</w:t>
      </w:r>
      <w:r>
        <w:rPr>
          <w:rFonts w:cs="Courier New"/>
        </w:rPr>
        <w:t xml:space="preserve"> (OMB control number 0920–1054</w:t>
      </w:r>
      <w:r w:rsidRPr="00220C0C">
        <w:rPr>
          <w:rFonts w:cs="Courier New"/>
        </w:rPr>
        <w:t>) for a</w:t>
      </w:r>
      <w:r>
        <w:rPr>
          <w:rFonts w:cs="Courier New"/>
        </w:rPr>
        <w:t xml:space="preserve"> </w:t>
      </w:r>
      <w:r w:rsidRPr="00220C0C">
        <w:rPr>
          <w:rFonts w:cs="Courier New"/>
        </w:rPr>
        <w:t>new OMB generic clearance for a 3-year</w:t>
      </w:r>
      <w:r>
        <w:rPr>
          <w:rFonts w:cs="Courier New"/>
        </w:rPr>
        <w:t xml:space="preserve"> </w:t>
      </w:r>
      <w:r w:rsidRPr="00220C0C">
        <w:rPr>
          <w:rFonts w:cs="Courier New"/>
        </w:rPr>
        <w:t xml:space="preserve">period to collect </w:t>
      </w:r>
      <w:r w:rsidRPr="009430D7">
        <w:rPr>
          <w:color w:val="000000" w:themeColor="text1"/>
        </w:rPr>
        <w:t xml:space="preserve">information </w:t>
      </w:r>
      <w:r w:rsidR="00652D54">
        <w:t xml:space="preserve">in response to </w:t>
      </w:r>
      <w:r w:rsidR="0022573B">
        <w:t xml:space="preserve">urgent data collection </w:t>
      </w:r>
      <w:r w:rsidR="00652D54">
        <w:t>requests from states</w:t>
      </w:r>
      <w:r w:rsidR="003F7482">
        <w:t>.</w:t>
      </w:r>
      <w:r w:rsidR="000E20DA">
        <w:t xml:space="preserve"> </w:t>
      </w:r>
      <w:r w:rsidR="00D87ABC">
        <w:t xml:space="preserve">In 2018, </w:t>
      </w:r>
      <w:r w:rsidR="00C063B5">
        <w:t xml:space="preserve">OMB approval for this generic </w:t>
      </w:r>
      <w:r w:rsidR="006D0C41">
        <w:t>ICR</w:t>
      </w:r>
      <w:r w:rsidR="00C063B5">
        <w:t xml:space="preserve"> was </w:t>
      </w:r>
      <w:r w:rsidR="00D87ABC">
        <w:t xml:space="preserve">renewed for an additional </w:t>
      </w:r>
      <w:r w:rsidR="00777317">
        <w:t>3</w:t>
      </w:r>
      <w:r w:rsidR="00D87ABC">
        <w:t xml:space="preserve"> years</w:t>
      </w:r>
      <w:r w:rsidR="00C063B5">
        <w:t xml:space="preserve">. </w:t>
      </w:r>
      <w:r w:rsidR="006D0C41">
        <w:rPr>
          <w:szCs w:val="24"/>
        </w:rPr>
        <w:t xml:space="preserve">Although during the past approval the DORI generic mechanism was not used, the need to use this generic mechanism is expected to increase as the drug overdose epidemic continues to pose a serious threat. </w:t>
      </w:r>
      <w:r w:rsidR="003D7B97">
        <w:t>The DORI ICR was previously determined to assist CDC in responding to state requests given that the</w:t>
      </w:r>
      <w:r w:rsidR="00535418">
        <w:t xml:space="preserve"> generic</w:t>
      </w:r>
      <w:r w:rsidR="003D7B97">
        <w:t xml:space="preserve"> ICR that covers Emergency Epidemic Investigations (EEI) may not be an appropriate fit for data collections in response to drug overdose</w:t>
      </w:r>
      <w:r w:rsidR="00535418">
        <w:t xml:space="preserve">. The potential lack of fit is </w:t>
      </w:r>
      <w:r w:rsidR="003D7B97">
        <w:t xml:space="preserve">due to requirements of the EEI Generic ICR (that is, undetermined agent, source, mode of transition, or risk factors in urgent public health emergencies). </w:t>
      </w:r>
      <w:r w:rsidRPr="00784C67" w:rsidR="000E20DA">
        <w:rPr>
          <w:szCs w:val="24"/>
        </w:rPr>
        <w:t xml:space="preserve">The legal justification for </w:t>
      </w:r>
      <w:r w:rsidR="000E20DA">
        <w:rPr>
          <w:szCs w:val="24"/>
        </w:rPr>
        <w:t xml:space="preserve">conducting emergency requests from states about </w:t>
      </w:r>
      <w:r w:rsidR="000E20DA">
        <w:rPr>
          <w:szCs w:val="24"/>
        </w:rPr>
        <w:lastRenderedPageBreak/>
        <w:t xml:space="preserve">drug overdose can be </w:t>
      </w:r>
      <w:r w:rsidRPr="00784C67" w:rsidR="000E20DA">
        <w:rPr>
          <w:szCs w:val="24"/>
        </w:rPr>
        <w:t>found in the Public Health Service Act (42 USC Sec. 301 [241] (a) (</w:t>
      </w:r>
      <w:r w:rsidRPr="00B06F4C" w:rsidR="000E20DA">
        <w:rPr>
          <w:szCs w:val="24"/>
        </w:rPr>
        <w:t xml:space="preserve">Authorizing Legislation, </w:t>
      </w:r>
      <w:r w:rsidRPr="00B06F4C" w:rsidR="000E20DA">
        <w:rPr>
          <w:b/>
          <w:szCs w:val="24"/>
        </w:rPr>
        <w:t>Attachment A</w:t>
      </w:r>
      <w:r w:rsidRPr="00B06F4C" w:rsidR="000E20DA">
        <w:rPr>
          <w:szCs w:val="24"/>
        </w:rPr>
        <w:t>)</w:t>
      </w:r>
      <w:r w:rsidR="000E20DA">
        <w:rPr>
          <w:szCs w:val="24"/>
        </w:rPr>
        <w:t>.</w:t>
      </w:r>
      <w:r w:rsidR="003F7482">
        <w:t xml:space="preserve"> </w:t>
      </w:r>
    </w:p>
    <w:p w:rsidR="003F7482" w:rsidP="00630C3E" w:rsidRDefault="003F7482" w14:paraId="576FCCEA" w14:textId="77777777">
      <w:pPr>
        <w:pStyle w:val="Body1"/>
        <w:ind w:left="1080"/>
        <w:rPr>
          <w:szCs w:val="24"/>
        </w:rPr>
      </w:pPr>
    </w:p>
    <w:p w:rsidR="0068451A" w:rsidP="00630C3E" w:rsidRDefault="00BE429F" w14:paraId="77150199" w14:textId="4BE90FC5">
      <w:pPr>
        <w:pStyle w:val="Body1"/>
        <w:ind w:left="360"/>
        <w:rPr>
          <w:szCs w:val="24"/>
        </w:rPr>
      </w:pPr>
      <w:r w:rsidRPr="00BE429F">
        <w:rPr>
          <w:szCs w:val="24"/>
        </w:rPr>
        <w:t>Generic clearance is requested to ensure th</w:t>
      </w:r>
      <w:r w:rsidR="00ED6B8B">
        <w:rPr>
          <w:szCs w:val="24"/>
        </w:rPr>
        <w:t>at</w:t>
      </w:r>
      <w:r w:rsidRPr="00BE429F">
        <w:rPr>
          <w:szCs w:val="24"/>
        </w:rPr>
        <w:t xml:space="preserve"> timely information </w:t>
      </w:r>
      <w:r w:rsidR="00ED6B8B">
        <w:rPr>
          <w:szCs w:val="24"/>
        </w:rPr>
        <w:t xml:space="preserve">is </w:t>
      </w:r>
      <w:r w:rsidRPr="00BE429F">
        <w:rPr>
          <w:szCs w:val="24"/>
        </w:rPr>
        <w:t>collect</w:t>
      </w:r>
      <w:r w:rsidR="00C56DC3">
        <w:rPr>
          <w:szCs w:val="24"/>
        </w:rPr>
        <w:t xml:space="preserve">ed during a DORI, </w:t>
      </w:r>
      <w:r w:rsidR="00ED6B8B">
        <w:rPr>
          <w:szCs w:val="24"/>
        </w:rPr>
        <w:t xml:space="preserve">which </w:t>
      </w:r>
      <w:r w:rsidRPr="00BE429F">
        <w:rPr>
          <w:szCs w:val="24"/>
        </w:rPr>
        <w:t>allow</w:t>
      </w:r>
      <w:r w:rsidR="00ED6B8B">
        <w:rPr>
          <w:szCs w:val="24"/>
        </w:rPr>
        <w:t>s</w:t>
      </w:r>
      <w:r w:rsidRPr="00BE429F">
        <w:rPr>
          <w:szCs w:val="24"/>
        </w:rPr>
        <w:t xml:space="preserve"> </w:t>
      </w:r>
      <w:r w:rsidR="00F47073">
        <w:rPr>
          <w:szCs w:val="24"/>
        </w:rPr>
        <w:t>NCIPC</w:t>
      </w:r>
      <w:r w:rsidR="00C56DC3">
        <w:rPr>
          <w:szCs w:val="24"/>
        </w:rPr>
        <w:t xml:space="preserve"> </w:t>
      </w:r>
      <w:r w:rsidRPr="00BE429F">
        <w:rPr>
          <w:szCs w:val="24"/>
        </w:rPr>
        <w:t xml:space="preserve">to maintain critical mission function by working with </w:t>
      </w:r>
      <w:r w:rsidR="00D8289C">
        <w:rPr>
          <w:szCs w:val="24"/>
        </w:rPr>
        <w:t xml:space="preserve">state and local authorities </w:t>
      </w:r>
      <w:r w:rsidRPr="00BE429F">
        <w:rPr>
          <w:szCs w:val="24"/>
        </w:rPr>
        <w:t xml:space="preserve">to </w:t>
      </w:r>
      <w:r w:rsidR="00D8289C">
        <w:rPr>
          <w:szCs w:val="24"/>
        </w:rPr>
        <w:t>protect the public’s health</w:t>
      </w:r>
      <w:r w:rsidRPr="00BE429F">
        <w:rPr>
          <w:szCs w:val="24"/>
        </w:rPr>
        <w:t xml:space="preserve">. </w:t>
      </w:r>
      <w:r w:rsidR="002A01BE">
        <w:rPr>
          <w:szCs w:val="24"/>
        </w:rPr>
        <w:t>During an</w:t>
      </w:r>
      <w:r w:rsidR="007C0C42">
        <w:rPr>
          <w:szCs w:val="24"/>
        </w:rPr>
        <w:t xml:space="preserve"> unanticipated </w:t>
      </w:r>
      <w:r w:rsidR="00C56DC3">
        <w:rPr>
          <w:szCs w:val="24"/>
        </w:rPr>
        <w:t>rise in</w:t>
      </w:r>
      <w:r w:rsidR="00054253">
        <w:rPr>
          <w:szCs w:val="24"/>
        </w:rPr>
        <w:t xml:space="preserve"> a</w:t>
      </w:r>
      <w:r w:rsidR="00C56DC3">
        <w:rPr>
          <w:szCs w:val="24"/>
        </w:rPr>
        <w:t xml:space="preserve"> nonfatal or fatal drug overdose</w:t>
      </w:r>
      <w:r w:rsidR="005E4F71">
        <w:rPr>
          <w:szCs w:val="24"/>
        </w:rPr>
        <w:t>,</w:t>
      </w:r>
      <w:r w:rsidR="00C56DC3">
        <w:rPr>
          <w:szCs w:val="24"/>
        </w:rPr>
        <w:t xml:space="preserve"> where </w:t>
      </w:r>
      <w:r w:rsidR="00692342">
        <w:rPr>
          <w:szCs w:val="24"/>
        </w:rPr>
        <w:t xml:space="preserve">the </w:t>
      </w:r>
      <w:r w:rsidR="00F70733">
        <w:rPr>
          <w:szCs w:val="24"/>
        </w:rPr>
        <w:t xml:space="preserve">substances responsible for the health event, </w:t>
      </w:r>
      <w:r w:rsidR="00692342">
        <w:rPr>
          <w:szCs w:val="24"/>
        </w:rPr>
        <w:t>drivers and risk factors, and</w:t>
      </w:r>
      <w:r w:rsidR="00F70733">
        <w:rPr>
          <w:szCs w:val="24"/>
        </w:rPr>
        <w:t>/or</w:t>
      </w:r>
      <w:r w:rsidR="00692342">
        <w:rPr>
          <w:szCs w:val="24"/>
        </w:rPr>
        <w:t xml:space="preserve"> subgroups at risk need to be identified, immediate </w:t>
      </w:r>
      <w:r w:rsidR="002A01BE">
        <w:rPr>
          <w:szCs w:val="24"/>
        </w:rPr>
        <w:t xml:space="preserve">action </w:t>
      </w:r>
      <w:r w:rsidR="0022047D">
        <w:rPr>
          <w:szCs w:val="24"/>
        </w:rPr>
        <w:t xml:space="preserve">by CDC </w:t>
      </w:r>
      <w:r w:rsidR="002A01BE">
        <w:rPr>
          <w:szCs w:val="24"/>
        </w:rPr>
        <w:t xml:space="preserve">is necessary to minimize or prevent public harm. </w:t>
      </w:r>
      <w:r w:rsidR="00937BBE">
        <w:rPr>
          <w:szCs w:val="24"/>
        </w:rPr>
        <w:t xml:space="preserve">CDC must have the ability to rapidly </w:t>
      </w:r>
      <w:r w:rsidR="00F47073">
        <w:rPr>
          <w:szCs w:val="24"/>
        </w:rPr>
        <w:t xml:space="preserve">deploy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w:t>
      </w:r>
      <w:r w:rsidR="001F2CDB">
        <w:rPr>
          <w:szCs w:val="24"/>
        </w:rPr>
        <w:t>an</w:t>
      </w:r>
      <w:r w:rsidR="00C063B5">
        <w:rPr>
          <w:szCs w:val="24"/>
        </w:rPr>
        <w:t>other</w:t>
      </w:r>
      <w:r w:rsidR="001F2CDB">
        <w:rPr>
          <w:szCs w:val="24"/>
        </w:rPr>
        <w:t xml:space="preserve"> </w:t>
      </w:r>
      <w:r w:rsidR="00F76C8C">
        <w:rPr>
          <w:szCs w:val="24"/>
        </w:rPr>
        <w:t>extension for</w:t>
      </w:r>
      <w:r w:rsidR="009C2D3D">
        <w:rPr>
          <w:szCs w:val="24"/>
        </w:rPr>
        <w:t xml:space="preserve"> this</w:t>
      </w:r>
      <w:r w:rsidR="00483688">
        <w:rPr>
          <w:szCs w:val="24"/>
        </w:rPr>
        <w:t xml:space="preserve"> </w:t>
      </w:r>
      <w:r>
        <w:rPr>
          <w:szCs w:val="24"/>
        </w:rPr>
        <w:t>GenIC</w:t>
      </w:r>
      <w:r w:rsidR="00483688">
        <w:rPr>
          <w:szCs w:val="24"/>
        </w:rPr>
        <w:t xml:space="preserve"> </w:t>
      </w:r>
      <w:r w:rsidR="00A730A0">
        <w:rPr>
          <w:szCs w:val="24"/>
        </w:rPr>
        <w:t xml:space="preserve">to ensure </w:t>
      </w:r>
      <w:r w:rsidR="0052206B">
        <w:rPr>
          <w:szCs w:val="24"/>
        </w:rPr>
        <w:t xml:space="preserve">that the Agency is poised </w:t>
      </w:r>
      <w:r w:rsidR="00A730A0">
        <w:rPr>
          <w:szCs w:val="24"/>
        </w:rPr>
        <w:t xml:space="preserve">to </w:t>
      </w:r>
      <w:r w:rsidR="0052206B">
        <w:rPr>
          <w:szCs w:val="24"/>
        </w:rPr>
        <w:t xml:space="preserve">mobilize quickly and </w:t>
      </w:r>
      <w:r w:rsidR="00F47073">
        <w:rPr>
          <w:szCs w:val="24"/>
        </w:rPr>
        <w:t xml:space="preserve">mitigate </w:t>
      </w:r>
      <w:r w:rsidR="00A730A0">
        <w:rPr>
          <w:szCs w:val="24"/>
        </w:rPr>
        <w:t xml:space="preserve">harm to the public when </w:t>
      </w:r>
      <w:r w:rsidR="0002517B">
        <w:rPr>
          <w:szCs w:val="24"/>
        </w:rPr>
        <w:t xml:space="preserve">urgent </w:t>
      </w:r>
      <w:r w:rsidR="009F02CB">
        <w:rPr>
          <w:szCs w:val="24"/>
        </w:rPr>
        <w:t xml:space="preserve">data collection </w:t>
      </w:r>
      <w:r w:rsidR="00A730A0">
        <w:rPr>
          <w:szCs w:val="24"/>
        </w:rPr>
        <w:t xml:space="preserve">support is requested by </w:t>
      </w:r>
      <w:r w:rsidR="00692342">
        <w:rPr>
          <w:szCs w:val="24"/>
        </w:rPr>
        <w:t xml:space="preserve">state </w:t>
      </w:r>
      <w:r w:rsidR="00D8289C">
        <w:rPr>
          <w:szCs w:val="24"/>
        </w:rPr>
        <w:t xml:space="preserve">and local </w:t>
      </w:r>
      <w:r w:rsidR="001019EE">
        <w:rPr>
          <w:szCs w:val="24"/>
        </w:rPr>
        <w:t>public agencies</w:t>
      </w:r>
      <w:r w:rsidRPr="00E078F9" w:rsidR="00824E8A">
        <w:rPr>
          <w:szCs w:val="24"/>
        </w:rPr>
        <w:t>, and that data collection meets criteria for review under the Paperwork Reduction Act</w:t>
      </w:r>
      <w:r w:rsidRPr="00E078F9" w:rsidR="00A730A0">
        <w:rPr>
          <w:szCs w:val="24"/>
        </w:rPr>
        <w:t>.</w:t>
      </w:r>
      <w:r w:rsidR="00A730A0">
        <w:rPr>
          <w:szCs w:val="24"/>
        </w:rPr>
        <w:t xml:space="preserve"> </w:t>
      </w:r>
    </w:p>
    <w:p w:rsidR="00052F35" w:rsidP="00630C3E" w:rsidRDefault="00052F35" w14:paraId="0D0B2DE9" w14:textId="77777777">
      <w:pPr>
        <w:pStyle w:val="Body1"/>
        <w:tabs>
          <w:tab w:val="left" w:pos="720"/>
        </w:tabs>
        <w:ind w:left="360"/>
        <w:rPr>
          <w:b/>
          <w:szCs w:val="24"/>
        </w:rPr>
      </w:pPr>
    </w:p>
    <w:p w:rsidR="0048541B" w:rsidP="00630C3E" w:rsidRDefault="0048541B" w14:paraId="00ECF7B9" w14:textId="5BFDF6D6">
      <w:pPr>
        <w:pStyle w:val="Body1"/>
        <w:tabs>
          <w:tab w:val="left" w:pos="720"/>
        </w:tabs>
        <w:ind w:left="360"/>
        <w:rPr>
          <w:szCs w:val="24"/>
        </w:rPr>
      </w:pPr>
      <w:r w:rsidRPr="00B436C1">
        <w:rPr>
          <w:szCs w:val="24"/>
        </w:rPr>
        <w:t xml:space="preserve">Over the last </w:t>
      </w:r>
      <w:r w:rsidR="00C063B5">
        <w:rPr>
          <w:szCs w:val="24"/>
        </w:rPr>
        <w:t>six</w:t>
      </w:r>
      <w:r w:rsidRPr="00B436C1" w:rsidR="00C063B5">
        <w:rPr>
          <w:szCs w:val="24"/>
        </w:rPr>
        <w:t xml:space="preserve"> </w:t>
      </w:r>
      <w:r w:rsidRPr="00B436C1">
        <w:rPr>
          <w:szCs w:val="24"/>
        </w:rPr>
        <w:t xml:space="preserve">years, this generic </w:t>
      </w:r>
      <w:r w:rsidR="002C3704">
        <w:rPr>
          <w:szCs w:val="24"/>
        </w:rPr>
        <w:t xml:space="preserve">clearance </w:t>
      </w:r>
      <w:r w:rsidRPr="00B436C1">
        <w:rPr>
          <w:szCs w:val="24"/>
        </w:rPr>
        <w:t xml:space="preserve">was used to support one request from the </w:t>
      </w:r>
      <w:bookmarkStart w:name="_Hlk59019096" w:id="0"/>
      <w:r w:rsidRPr="00B436C1">
        <w:rPr>
          <w:szCs w:val="24"/>
        </w:rPr>
        <w:t xml:space="preserve">Ohio Department of Health </w:t>
      </w:r>
      <w:bookmarkEnd w:id="0"/>
      <w:r w:rsidRPr="00B436C1">
        <w:rPr>
          <w:szCs w:val="24"/>
        </w:rPr>
        <w:t>soliciting CDC’s assistance with an investigation to identify risk factors for fentanyl-related overdose deaths in the state. Fentanyl, a synthetic, short-acting opioid analgesic, is 50–100 times more potent than morphine and is approved for the management of severe or chronic pain, typically among opioid-tolerant patients. In March 2015, the U.S. Drug Enforcement Administration (DEA) issued a nationwide alert on fentanyl as a threat to health and public safety. Identifying the circumst</w:t>
      </w:r>
      <w:r w:rsidRPr="009A6254" w:rsidR="009A6254">
        <w:rPr>
          <w:szCs w:val="24"/>
        </w:rPr>
        <w:t xml:space="preserve">ances and risk factors that </w:t>
      </w:r>
      <w:r w:rsidRPr="00B436C1">
        <w:rPr>
          <w:szCs w:val="24"/>
        </w:rPr>
        <w:t>contribut</w:t>
      </w:r>
      <w:r w:rsidR="009A6254">
        <w:rPr>
          <w:szCs w:val="24"/>
        </w:rPr>
        <w:t>ed</w:t>
      </w:r>
      <w:r w:rsidRPr="009A6254" w:rsidR="009A6254">
        <w:rPr>
          <w:szCs w:val="24"/>
        </w:rPr>
        <w:t xml:space="preserve"> to this increase in deaths wa</w:t>
      </w:r>
      <w:r w:rsidRPr="00B436C1">
        <w:rPr>
          <w:szCs w:val="24"/>
        </w:rPr>
        <w:t>s critical to implementing prevention strategies t</w:t>
      </w:r>
      <w:r w:rsidR="009A6254">
        <w:rPr>
          <w:szCs w:val="24"/>
        </w:rPr>
        <w:t>o</w:t>
      </w:r>
      <w:r w:rsidRPr="00B436C1">
        <w:rPr>
          <w:szCs w:val="24"/>
        </w:rPr>
        <w:t xml:space="preserve"> prevent additional deaths. Therefore, the Oh</w:t>
      </w:r>
      <w:r w:rsidRPr="009A6254" w:rsidR="009A6254">
        <w:rPr>
          <w:szCs w:val="24"/>
        </w:rPr>
        <w:t>io Department of Health requested</w:t>
      </w:r>
      <w:r w:rsidRPr="00B436C1">
        <w:rPr>
          <w:szCs w:val="24"/>
        </w:rPr>
        <w:t xml:space="preserve"> CDC assistance with an investigation to identify risk factors for fentanyl-related overdose deaths in the state. </w:t>
      </w:r>
      <w:r w:rsidR="00AC56BE">
        <w:rPr>
          <w:szCs w:val="24"/>
        </w:rPr>
        <w:t>O</w:t>
      </w:r>
      <w:r w:rsidRPr="00B436C1">
        <w:rPr>
          <w:szCs w:val="24"/>
        </w:rPr>
        <w:t xml:space="preserve">n 10/20/2015 CDC-NCIPC requested and received approval from OMB, through CDC-ICRO, for </w:t>
      </w:r>
      <w:r w:rsidR="002A4EF3">
        <w:rPr>
          <w:szCs w:val="24"/>
        </w:rPr>
        <w:t xml:space="preserve">this DORI generic request </w:t>
      </w:r>
      <w:r w:rsidRPr="00B436C1">
        <w:rPr>
          <w:szCs w:val="24"/>
        </w:rPr>
        <w:t>title</w:t>
      </w:r>
      <w:r w:rsidR="00AC56BE">
        <w:rPr>
          <w:szCs w:val="24"/>
        </w:rPr>
        <w:t>d</w:t>
      </w:r>
      <w:r w:rsidRPr="00B436C1">
        <w:rPr>
          <w:szCs w:val="24"/>
        </w:rPr>
        <w:t xml:space="preserve"> “</w:t>
      </w:r>
      <w:bookmarkStart w:name="_Hlk59019134" w:id="1"/>
      <w:r w:rsidRPr="00B436C1">
        <w:rPr>
          <w:szCs w:val="24"/>
        </w:rPr>
        <w:t>Undetermined risk factors for fentanyl-related overdose deaths- Ohio</w:t>
      </w:r>
      <w:r w:rsidR="00315221">
        <w:rPr>
          <w:szCs w:val="24"/>
        </w:rPr>
        <w:t xml:space="preserve">.” </w:t>
      </w:r>
      <w:r w:rsidR="002A4EF3">
        <w:rPr>
          <w:szCs w:val="24"/>
        </w:rPr>
        <w:t xml:space="preserve">During the previous ICR extension request, </w:t>
      </w:r>
      <w:r w:rsidR="00315221">
        <w:rPr>
          <w:szCs w:val="24"/>
        </w:rPr>
        <w:t>NCIPC reported to OMB th</w:t>
      </w:r>
      <w:r w:rsidR="002A4EF3">
        <w:rPr>
          <w:szCs w:val="24"/>
        </w:rPr>
        <w:t xml:space="preserve">e Ohio generic request </w:t>
      </w:r>
      <w:r w:rsidR="00315221">
        <w:rPr>
          <w:szCs w:val="24"/>
        </w:rPr>
        <w:t>along with the other DORI requests</w:t>
      </w:r>
      <w:r w:rsidR="002A4EF3">
        <w:rPr>
          <w:szCs w:val="24"/>
        </w:rPr>
        <w:t xml:space="preserve">. </w:t>
      </w:r>
      <w:r w:rsidR="00315221">
        <w:rPr>
          <w:szCs w:val="24"/>
        </w:rPr>
        <w:t xml:space="preserve">A summary </w:t>
      </w:r>
      <w:r w:rsidR="00EF7537">
        <w:rPr>
          <w:szCs w:val="24"/>
        </w:rPr>
        <w:t xml:space="preserve">of previously </w:t>
      </w:r>
      <w:r w:rsidR="00315221">
        <w:rPr>
          <w:szCs w:val="24"/>
        </w:rPr>
        <w:t xml:space="preserve">approved DORI generic requests is provided in </w:t>
      </w:r>
      <w:bookmarkEnd w:id="1"/>
      <w:r w:rsidR="00565676">
        <w:rPr>
          <w:b/>
          <w:szCs w:val="24"/>
        </w:rPr>
        <w:t>A</w:t>
      </w:r>
      <w:r w:rsidRPr="00BE72C4">
        <w:rPr>
          <w:b/>
          <w:szCs w:val="24"/>
        </w:rPr>
        <w:t xml:space="preserve">ttachment </w:t>
      </w:r>
      <w:r w:rsidR="00EF7537">
        <w:rPr>
          <w:b/>
          <w:szCs w:val="24"/>
        </w:rPr>
        <w:t>E</w:t>
      </w:r>
      <w:r w:rsidRPr="00B436C1">
        <w:rPr>
          <w:szCs w:val="24"/>
        </w:rPr>
        <w:t xml:space="preserve">. </w:t>
      </w:r>
    </w:p>
    <w:p w:rsidR="005F05B5" w:rsidP="00630C3E" w:rsidRDefault="005F05B5" w14:paraId="5656B109" w14:textId="093076C4">
      <w:pPr>
        <w:pStyle w:val="Body1"/>
        <w:tabs>
          <w:tab w:val="left" w:pos="720"/>
        </w:tabs>
        <w:ind w:left="1080"/>
        <w:rPr>
          <w:szCs w:val="24"/>
        </w:rPr>
      </w:pPr>
    </w:p>
    <w:p w:rsidRPr="00B436C1" w:rsidR="005F05B5" w:rsidP="00630C3E" w:rsidRDefault="007378A3" w14:paraId="2348FB52" w14:textId="20C1D5FB">
      <w:pPr>
        <w:pStyle w:val="Body1"/>
        <w:tabs>
          <w:tab w:val="left" w:pos="720"/>
        </w:tabs>
        <w:ind w:left="360"/>
        <w:rPr>
          <w:szCs w:val="24"/>
        </w:rPr>
      </w:pPr>
      <w:r>
        <w:rPr>
          <w:szCs w:val="24"/>
        </w:rPr>
        <w:t xml:space="preserve">Although </w:t>
      </w:r>
      <w:r w:rsidRPr="00B436C1" w:rsidR="005F05B5">
        <w:rPr>
          <w:szCs w:val="24"/>
        </w:rPr>
        <w:t xml:space="preserve">CDC-NCIPC </w:t>
      </w:r>
      <w:r>
        <w:rPr>
          <w:szCs w:val="24"/>
        </w:rPr>
        <w:t xml:space="preserve">did not </w:t>
      </w:r>
      <w:r w:rsidRPr="00B436C1" w:rsidR="005F05B5">
        <w:rPr>
          <w:szCs w:val="24"/>
        </w:rPr>
        <w:t>request</w:t>
      </w:r>
      <w:r w:rsidR="005F05B5">
        <w:rPr>
          <w:szCs w:val="24"/>
        </w:rPr>
        <w:t xml:space="preserve"> OMB approval for a single GenIC during the </w:t>
      </w:r>
      <w:r>
        <w:rPr>
          <w:szCs w:val="24"/>
        </w:rPr>
        <w:t xml:space="preserve">most recent </w:t>
      </w:r>
      <w:r w:rsidR="005F05B5">
        <w:rPr>
          <w:szCs w:val="24"/>
        </w:rPr>
        <w:t>reporting period</w:t>
      </w:r>
      <w:r>
        <w:rPr>
          <w:szCs w:val="24"/>
        </w:rPr>
        <w:t>, we expect</w:t>
      </w:r>
      <w:r w:rsidRPr="007378A3">
        <w:rPr>
          <w:szCs w:val="24"/>
        </w:rPr>
        <w:t xml:space="preserve"> to receive more requests </w:t>
      </w:r>
      <w:r>
        <w:rPr>
          <w:szCs w:val="24"/>
        </w:rPr>
        <w:t xml:space="preserve">in upcoming years. As mentioned, </w:t>
      </w:r>
      <w:r w:rsidR="00F12040">
        <w:rPr>
          <w:szCs w:val="24"/>
        </w:rPr>
        <w:t xml:space="preserve">in </w:t>
      </w:r>
      <w:r w:rsidR="005F05B5">
        <w:rPr>
          <w:szCs w:val="24"/>
        </w:rPr>
        <w:t xml:space="preserve">light of </w:t>
      </w:r>
      <w:r w:rsidR="00091429">
        <w:rPr>
          <w:szCs w:val="24"/>
        </w:rPr>
        <w:t>the deepening overdose crisis</w:t>
      </w:r>
      <w:r w:rsidR="00630C3E">
        <w:rPr>
          <w:szCs w:val="24"/>
        </w:rPr>
        <w:t xml:space="preserve"> and </w:t>
      </w:r>
      <w:r w:rsidR="005F05B5">
        <w:rPr>
          <w:szCs w:val="24"/>
        </w:rPr>
        <w:t xml:space="preserve">NCIPC’s enhanced </w:t>
      </w:r>
      <w:r w:rsidR="00F12040">
        <w:rPr>
          <w:szCs w:val="24"/>
        </w:rPr>
        <w:t xml:space="preserve">overdose </w:t>
      </w:r>
      <w:r w:rsidR="005F05B5">
        <w:rPr>
          <w:szCs w:val="24"/>
        </w:rPr>
        <w:t xml:space="preserve">surveillance </w:t>
      </w:r>
      <w:r w:rsidR="00F12040">
        <w:rPr>
          <w:szCs w:val="24"/>
        </w:rPr>
        <w:t xml:space="preserve">and prevention </w:t>
      </w:r>
      <w:r w:rsidR="005F05B5">
        <w:rPr>
          <w:szCs w:val="24"/>
        </w:rPr>
        <w:t>efforts</w:t>
      </w:r>
      <w:r w:rsidR="009C3981">
        <w:rPr>
          <w:szCs w:val="24"/>
        </w:rPr>
        <w:t xml:space="preserve">, which have </w:t>
      </w:r>
      <w:r w:rsidR="00DA31F7">
        <w:rPr>
          <w:szCs w:val="24"/>
        </w:rPr>
        <w:t>expanded staffing</w:t>
      </w:r>
      <w:r w:rsidR="009C3981">
        <w:rPr>
          <w:szCs w:val="24"/>
        </w:rPr>
        <w:t xml:space="preserve"> and fostered new connections with jurisdictions and public safety</w:t>
      </w:r>
      <w:r w:rsidR="00A7199A">
        <w:rPr>
          <w:szCs w:val="24"/>
        </w:rPr>
        <w:t xml:space="preserve"> partners</w:t>
      </w:r>
      <w:r w:rsidR="00DA31F7">
        <w:rPr>
          <w:szCs w:val="24"/>
        </w:rPr>
        <w:t xml:space="preserve">, we expect the number of states requesting assistance and our ability to respond to such requests to grow, particularly when we may be asked to participate in multistate investigations. </w:t>
      </w:r>
    </w:p>
    <w:p w:rsidR="0048541B" w:rsidP="00D506FF" w:rsidRDefault="0048541B" w14:paraId="38CDD454" w14:textId="77777777">
      <w:pPr>
        <w:pStyle w:val="Body1"/>
        <w:tabs>
          <w:tab w:val="left" w:pos="720"/>
        </w:tabs>
        <w:rPr>
          <w:b/>
          <w:szCs w:val="24"/>
        </w:rPr>
      </w:pPr>
    </w:p>
    <w:p w:rsidRPr="0072690B" w:rsidR="00527A26" w:rsidP="00D506FF" w:rsidRDefault="00D506FF" w14:paraId="4B577F25" w14:textId="77777777">
      <w:pPr>
        <w:pStyle w:val="Body1"/>
        <w:tabs>
          <w:tab w:val="left" w:pos="720"/>
        </w:tabs>
        <w:rPr>
          <w:b/>
          <w:szCs w:val="24"/>
        </w:rPr>
      </w:pPr>
      <w:r w:rsidRPr="0072690B">
        <w:rPr>
          <w:b/>
          <w:szCs w:val="24"/>
        </w:rPr>
        <w:t>2.</w:t>
      </w:r>
      <w:r w:rsidRPr="0072690B">
        <w:rPr>
          <w:b/>
          <w:szCs w:val="24"/>
        </w:rPr>
        <w:tab/>
      </w:r>
      <w:r w:rsidRPr="0072690B" w:rsidR="00527A26">
        <w:rPr>
          <w:b/>
          <w:szCs w:val="24"/>
        </w:rPr>
        <w:t>Purpose and Use of Information</w:t>
      </w:r>
      <w:r w:rsidRPr="0072690B" w:rsidR="00090414">
        <w:rPr>
          <w:b/>
          <w:szCs w:val="24"/>
        </w:rPr>
        <w:t xml:space="preserve"> Collection</w:t>
      </w:r>
    </w:p>
    <w:p w:rsidRPr="0072690B" w:rsidR="00527A26" w:rsidP="00D506FF" w:rsidRDefault="00527A26" w14:paraId="76B5861B" w14:textId="77777777">
      <w:pPr>
        <w:pStyle w:val="Body1"/>
        <w:tabs>
          <w:tab w:val="num" w:pos="720"/>
          <w:tab w:val="left" w:pos="1710"/>
        </w:tabs>
        <w:rPr>
          <w:b/>
          <w:szCs w:val="24"/>
        </w:rPr>
      </w:pPr>
    </w:p>
    <w:p w:rsidR="00FA1D13" w:rsidP="00FA1D13" w:rsidRDefault="00B626C7" w14:paraId="495CE683" w14:textId="57043E78">
      <w:pPr>
        <w:pStyle w:val="Body1"/>
        <w:ind w:left="720"/>
        <w:rPr>
          <w:szCs w:val="24"/>
        </w:rPr>
      </w:pPr>
      <w:r>
        <w:rPr>
          <w:szCs w:val="24"/>
        </w:rPr>
        <w:t xml:space="preserve">This revision </w:t>
      </w:r>
      <w:r w:rsidRPr="00BA0445">
        <w:rPr>
          <w:szCs w:val="24"/>
        </w:rPr>
        <w:t xml:space="preserve">of this generic clearance </w:t>
      </w:r>
      <w:r>
        <w:rPr>
          <w:szCs w:val="24"/>
        </w:rPr>
        <w:t xml:space="preserve">seeks the continuation </w:t>
      </w:r>
      <w:proofErr w:type="gramStart"/>
      <w:r>
        <w:rPr>
          <w:szCs w:val="24"/>
        </w:rPr>
        <w:t>of  data</w:t>
      </w:r>
      <w:proofErr w:type="gramEnd"/>
      <w:r>
        <w:rPr>
          <w:szCs w:val="24"/>
        </w:rPr>
        <w:t xml:space="preserve"> collection for the “Drug Overdose Response Investigations (DORIs).” R</w:t>
      </w:r>
      <w:r w:rsidR="00FA1D13">
        <w:rPr>
          <w:szCs w:val="24"/>
        </w:rPr>
        <w:t xml:space="preserve">enewal seeks the continued ability for data collection that meets requirements for review and approval under the Paperwork Reduction Act. </w:t>
      </w:r>
      <w:r w:rsidRPr="00D75048" w:rsidR="00FA1D13">
        <w:rPr>
          <w:szCs w:val="24"/>
        </w:rPr>
        <w:t>Th</w:t>
      </w:r>
      <w:r w:rsidR="00FA1D13">
        <w:rPr>
          <w:szCs w:val="24"/>
        </w:rPr>
        <w:t>ere are no major changes requested for this</w:t>
      </w:r>
      <w:r w:rsidRPr="00D75048" w:rsidR="00FA1D13">
        <w:rPr>
          <w:szCs w:val="24"/>
        </w:rPr>
        <w:t xml:space="preserve"> data collection</w:t>
      </w:r>
      <w:r w:rsidR="00FA1D13">
        <w:rPr>
          <w:szCs w:val="24"/>
        </w:rPr>
        <w:t xml:space="preserve"> since the original request is still applicable. As stated, overdose deaths continue to rise and </w:t>
      </w:r>
      <w:r w:rsidR="00FA1D13">
        <w:rPr>
          <w:szCs w:val="24"/>
        </w:rPr>
        <w:lastRenderedPageBreak/>
        <w:t xml:space="preserve">information about the substances involved, associated drivers and risk factors, and groups most affected is still urgently needed to inform timely responses to control a local overdose epidemic. Further, </w:t>
      </w:r>
      <w:proofErr w:type="gramStart"/>
      <w:r w:rsidR="00FA1D13">
        <w:rPr>
          <w:szCs w:val="24"/>
        </w:rPr>
        <w:t>as a result of</w:t>
      </w:r>
      <w:proofErr w:type="gramEnd"/>
      <w:r w:rsidR="00FA1D13">
        <w:rPr>
          <w:szCs w:val="24"/>
        </w:rPr>
        <w:t xml:space="preserve"> its expanded overdose surveillance and prevention work, NCIPC anticipates many more state and local requests; it already counts on increased staff capacity to respond to such requests. </w:t>
      </w:r>
      <w:r w:rsidRPr="00AA243A" w:rsidR="00FA1D13">
        <w:rPr>
          <w:szCs w:val="24"/>
        </w:rPr>
        <w:t xml:space="preserve"> </w:t>
      </w:r>
    </w:p>
    <w:p w:rsidR="00FA1D13" w:rsidP="00FA1D13" w:rsidRDefault="00FA1D13" w14:paraId="0C0408E8" w14:textId="77777777">
      <w:pPr>
        <w:pStyle w:val="Body1"/>
        <w:rPr>
          <w:szCs w:val="24"/>
        </w:rPr>
      </w:pPr>
    </w:p>
    <w:p w:rsidR="00FA1D13" w:rsidP="00FA1D13" w:rsidRDefault="00FA1D13" w14:paraId="11D6738B" w14:textId="77777777">
      <w:pPr>
        <w:pStyle w:val="Body1"/>
        <w:ind w:left="720"/>
        <w:rPr>
          <w:szCs w:val="24"/>
        </w:rPr>
      </w:pPr>
      <w:r>
        <w:rPr>
          <w:szCs w:val="24"/>
        </w:rPr>
        <w:t>There are two minor changes, however, in anticipation of receiving more requests:</w:t>
      </w:r>
      <w:r w:rsidDel="0016553C">
        <w:rPr>
          <w:szCs w:val="24"/>
        </w:rPr>
        <w:t xml:space="preserve"> </w:t>
      </w:r>
    </w:p>
    <w:p w:rsidR="00FA1D13" w:rsidP="00FA1D13" w:rsidRDefault="00FA1D13" w14:paraId="6B1B4501" w14:textId="77777777">
      <w:pPr>
        <w:pStyle w:val="Body1"/>
        <w:ind w:left="720"/>
        <w:rPr>
          <w:szCs w:val="24"/>
        </w:rPr>
      </w:pPr>
    </w:p>
    <w:p w:rsidR="00FA1D13" w:rsidP="00FA1D13" w:rsidRDefault="00FA1D13" w14:paraId="10332955" w14:textId="77777777">
      <w:pPr>
        <w:pStyle w:val="Body1"/>
        <w:numPr>
          <w:ilvl w:val="1"/>
          <w:numId w:val="31"/>
        </w:numPr>
        <w:rPr>
          <w:szCs w:val="24"/>
        </w:rPr>
      </w:pPr>
      <w:r>
        <w:rPr>
          <w:szCs w:val="24"/>
        </w:rPr>
        <w:t>T</w:t>
      </w:r>
      <w:r w:rsidRPr="00A53001">
        <w:rPr>
          <w:szCs w:val="24"/>
        </w:rPr>
        <w:t>he types of authorities that can request data collection</w:t>
      </w:r>
      <w:r>
        <w:rPr>
          <w:szCs w:val="24"/>
        </w:rPr>
        <w:t xml:space="preserve"> were expanded to include any public agency, which would include health authorities, law enforcement agencies, and other public safety partners. </w:t>
      </w:r>
      <w:r w:rsidRPr="00A53001">
        <w:rPr>
          <w:szCs w:val="24"/>
        </w:rPr>
        <w:t xml:space="preserve">NCIPC increasingly works with public safety as one of its main pillars of overdose prevention and through that work has learned that public safety authorities </w:t>
      </w:r>
      <w:r>
        <w:rPr>
          <w:szCs w:val="24"/>
        </w:rPr>
        <w:t xml:space="preserve">are increasingly tracking overdoses, and in the event of an overdose spike, in need of assistance to understand the associated drivers, risk factors, and affected populations, so they can tailor response efforts accordingly. </w:t>
      </w:r>
    </w:p>
    <w:p w:rsidRPr="00A53001" w:rsidR="00FA1D13" w:rsidP="00FA1D13" w:rsidRDefault="00FA1D13" w14:paraId="15C55FFF" w14:textId="77777777">
      <w:pPr>
        <w:pStyle w:val="Body1"/>
        <w:ind w:left="1440"/>
        <w:rPr>
          <w:szCs w:val="24"/>
        </w:rPr>
      </w:pPr>
    </w:p>
    <w:p w:rsidR="00FA1D13" w:rsidP="00FA1D13" w:rsidRDefault="00FA1D13" w14:paraId="5000835E" w14:textId="4520122F">
      <w:pPr>
        <w:pStyle w:val="Body1"/>
        <w:numPr>
          <w:ilvl w:val="1"/>
          <w:numId w:val="31"/>
        </w:numPr>
        <w:rPr>
          <w:szCs w:val="24"/>
        </w:rPr>
      </w:pPr>
      <w:r w:rsidRPr="000964E8">
        <w:rPr>
          <w:color w:val="auto"/>
          <w:szCs w:val="24"/>
        </w:rPr>
        <w:t xml:space="preserve">The anticipated </w:t>
      </w:r>
      <w:r>
        <w:rPr>
          <w:color w:val="auto"/>
          <w:szCs w:val="24"/>
        </w:rPr>
        <w:t xml:space="preserve">annual </w:t>
      </w:r>
      <w:r w:rsidRPr="000964E8">
        <w:rPr>
          <w:color w:val="auto"/>
          <w:szCs w:val="24"/>
        </w:rPr>
        <w:t xml:space="preserve">number of DORIs was increased to 53 to accommodate the new requests NCIPC expects to receive from not only public safety agencies but also the other authorities funded through its other enhanced surveillance and prevention activities. However, there is no change in the </w:t>
      </w:r>
      <w:r w:rsidR="00FA291C">
        <w:rPr>
          <w:color w:val="auto"/>
          <w:szCs w:val="24"/>
        </w:rPr>
        <w:t xml:space="preserve">total annualized </w:t>
      </w:r>
      <w:r w:rsidRPr="000964E8">
        <w:rPr>
          <w:color w:val="auto"/>
          <w:szCs w:val="24"/>
        </w:rPr>
        <w:t>burden hours</w:t>
      </w:r>
      <w:r>
        <w:rPr>
          <w:szCs w:val="24"/>
        </w:rPr>
        <w:t>.</w:t>
      </w:r>
    </w:p>
    <w:p w:rsidR="00FA1D13" w:rsidP="00630C3E" w:rsidRDefault="00FA1D13" w14:paraId="0C30D7E6" w14:textId="141514E8">
      <w:pPr>
        <w:pStyle w:val="Body1"/>
        <w:tabs>
          <w:tab w:val="num" w:pos="720"/>
          <w:tab w:val="left" w:pos="1710"/>
        </w:tabs>
        <w:ind w:left="720"/>
        <w:rPr>
          <w:szCs w:val="24"/>
        </w:rPr>
      </w:pPr>
    </w:p>
    <w:p w:rsidRPr="00377F69" w:rsidR="00D43FCF" w:rsidP="00630C3E" w:rsidRDefault="000F01ED" w14:paraId="2CE6A794" w14:textId="57CF45CA">
      <w:pPr>
        <w:pStyle w:val="Body1"/>
        <w:tabs>
          <w:tab w:val="num" w:pos="720"/>
          <w:tab w:val="left" w:pos="1710"/>
        </w:tabs>
        <w:ind w:left="720"/>
        <w:rPr>
          <w:szCs w:val="24"/>
        </w:rPr>
      </w:pPr>
      <w:r>
        <w:rPr>
          <w:szCs w:val="24"/>
        </w:rPr>
        <w:t xml:space="preserve">This </w:t>
      </w:r>
      <w:r w:rsidR="00D43FCF">
        <w:rPr>
          <w:szCs w:val="24"/>
        </w:rPr>
        <w:t xml:space="preserve">data collection will allow for the gathering of information </w:t>
      </w:r>
      <w:r w:rsidR="00E42377">
        <w:rPr>
          <w:szCs w:val="24"/>
        </w:rPr>
        <w:t xml:space="preserve">about drug use and misuse and associated fatal and nonfatal overdoses to </w:t>
      </w:r>
      <w:r w:rsidR="00D43FCF">
        <w:rPr>
          <w:szCs w:val="24"/>
        </w:rPr>
        <w:t>identify actions that can be taken to control a local drug overdose epidemic. To accomplish this objective, d</w:t>
      </w:r>
      <w:r w:rsidRPr="00B06F4C" w:rsidR="00D43FCF">
        <w:rPr>
          <w:szCs w:val="24"/>
        </w:rPr>
        <w:t xml:space="preserve">ata on the conditions surrounding and preceding the onset of </w:t>
      </w:r>
      <w:r w:rsidR="00D43FCF">
        <w:rPr>
          <w:szCs w:val="24"/>
        </w:rPr>
        <w:t xml:space="preserve">the drug overdose events of interest </w:t>
      </w:r>
      <w:r w:rsidRPr="00B06F4C" w:rsidR="00D43FCF">
        <w:rPr>
          <w:szCs w:val="24"/>
        </w:rPr>
        <w:t xml:space="preserve">must be collected </w:t>
      </w:r>
      <w:r w:rsidR="00D43FCF">
        <w:rPr>
          <w:szCs w:val="24"/>
        </w:rPr>
        <w:t xml:space="preserve">rapidly. The negative consequence of not performing this data collection is the inability to respond to state technical assistance requests and resulting increase or sustained morbidity and mortality associated with the local drug overdose epidemic. </w:t>
      </w:r>
    </w:p>
    <w:p w:rsidR="00D43FCF" w:rsidP="001922D0" w:rsidRDefault="00D43FCF" w14:paraId="27B7B6A7" w14:textId="77777777">
      <w:pPr>
        <w:pStyle w:val="Body1"/>
        <w:tabs>
          <w:tab w:val="num" w:pos="720"/>
          <w:tab w:val="left" w:pos="1710"/>
        </w:tabs>
        <w:ind w:left="720"/>
        <w:rPr>
          <w:szCs w:val="24"/>
        </w:rPr>
      </w:pPr>
    </w:p>
    <w:p w:rsidRPr="008B0D1B" w:rsidR="00E14D26" w:rsidP="00E14D26" w:rsidRDefault="00E14D26" w14:paraId="4DE6EEFF" w14:textId="32FAF8EA">
      <w:pPr>
        <w:pStyle w:val="Body1"/>
        <w:ind w:left="720"/>
        <w:rPr>
          <w:szCs w:val="24"/>
          <w:lang w:val="en"/>
        </w:rPr>
      </w:pPr>
      <w:r w:rsidRPr="00F70733">
        <w:rPr>
          <w:b/>
          <w:szCs w:val="24"/>
          <w:u w:val="single"/>
        </w:rPr>
        <w:t>Need</w:t>
      </w:r>
      <w:r w:rsidRPr="008B0D1B">
        <w:rPr>
          <w:szCs w:val="24"/>
        </w:rPr>
        <w:t xml:space="preserve">. </w:t>
      </w:r>
      <w:r w:rsidRPr="008B0D1B">
        <w:rPr>
          <w:szCs w:val="24"/>
          <w:lang w:val="en"/>
        </w:rPr>
        <w:t>Deaths from drug overdose</w:t>
      </w:r>
      <w:r w:rsidR="00FC760A">
        <w:rPr>
          <w:szCs w:val="24"/>
          <w:lang w:val="en"/>
        </w:rPr>
        <w:t xml:space="preserve"> continue to be a national crisis in the United States.</w:t>
      </w:r>
      <w:r w:rsidRPr="008B0D1B">
        <w:rPr>
          <w:szCs w:val="24"/>
          <w:lang w:val="en"/>
        </w:rPr>
        <w:t xml:space="preserve"> </w:t>
      </w:r>
      <w:r w:rsidR="00FC760A">
        <w:rPr>
          <w:szCs w:val="24"/>
          <w:lang w:val="en"/>
        </w:rPr>
        <w:t xml:space="preserve">Drug overdoses resulted in more than 67,000 deaths in 2018 alone and 69.5% involved an opioid. </w:t>
      </w:r>
      <w:r w:rsidR="006E175F">
        <w:rPr>
          <w:szCs w:val="24"/>
          <w:lang w:val="en"/>
        </w:rPr>
        <w:t xml:space="preserve">The age-adjusted opioid-involved death rate increased from 9.0 per 100,000 in 2014 to </w:t>
      </w:r>
      <w:r w:rsidR="00FC760A">
        <w:rPr>
          <w:szCs w:val="24"/>
          <w:lang w:val="en"/>
        </w:rPr>
        <w:t>14.6</w:t>
      </w:r>
      <w:r w:rsidR="006E175F">
        <w:rPr>
          <w:szCs w:val="24"/>
          <w:lang w:val="en"/>
        </w:rPr>
        <w:t xml:space="preserve"> in 201</w:t>
      </w:r>
      <w:r w:rsidR="00FC760A">
        <w:rPr>
          <w:szCs w:val="24"/>
          <w:lang w:val="en"/>
        </w:rPr>
        <w:t>8</w:t>
      </w:r>
      <w:r w:rsidR="006E175F">
        <w:rPr>
          <w:szCs w:val="24"/>
          <w:lang w:val="en"/>
        </w:rPr>
        <w:t xml:space="preserve">. This increase was driven largely by increases in deaths involving heroin and synthetic opioids other than methadone. </w:t>
      </w:r>
      <w:r w:rsidR="00D4738C">
        <w:rPr>
          <w:szCs w:val="24"/>
          <w:lang w:val="en"/>
        </w:rPr>
        <w:t xml:space="preserve">The proportion of overdose deaths involving cocaine and psychostimulants increased from 2016 to 2017 by 34 and 33 percent, respectively. </w:t>
      </w:r>
      <w:r w:rsidR="00FC760A">
        <w:rPr>
          <w:szCs w:val="24"/>
          <w:lang w:val="en"/>
        </w:rPr>
        <w:t xml:space="preserve">Additionally, benzodiazepines, cocaine, or methamphetamines were present in 63% of opioid-involved deaths in 2018. </w:t>
      </w:r>
      <w:r w:rsidR="009B663D">
        <w:rPr>
          <w:szCs w:val="24"/>
          <w:lang w:val="en"/>
        </w:rPr>
        <w:t>Further, t</w:t>
      </w:r>
      <w:r w:rsidRPr="00B45F1E" w:rsidR="00B45F1E">
        <w:rPr>
          <w:szCs w:val="24"/>
          <w:lang w:val="en"/>
        </w:rPr>
        <w:t xml:space="preserve">he </w:t>
      </w:r>
      <w:r w:rsidR="00B45F1E">
        <w:rPr>
          <w:szCs w:val="24"/>
          <w:lang w:val="en"/>
        </w:rPr>
        <w:t>Drug Enfo</w:t>
      </w:r>
      <w:r w:rsidR="009B663D">
        <w:rPr>
          <w:szCs w:val="24"/>
          <w:lang w:val="en"/>
        </w:rPr>
        <w:t xml:space="preserve">rcement </w:t>
      </w:r>
      <w:r w:rsidRPr="000E37AD" w:rsidR="00C46A1B">
        <w:rPr>
          <w:bCs/>
          <w:szCs w:val="24"/>
        </w:rPr>
        <w:t>Administration</w:t>
      </w:r>
      <w:r w:rsidDel="00C46A1B" w:rsidR="00C46A1B">
        <w:rPr>
          <w:szCs w:val="24"/>
          <w:lang w:val="en"/>
        </w:rPr>
        <w:t xml:space="preserve"> </w:t>
      </w:r>
      <w:r w:rsidR="009B663D">
        <w:rPr>
          <w:szCs w:val="24"/>
          <w:lang w:val="en"/>
        </w:rPr>
        <w:t xml:space="preserve">(DEA) found that </w:t>
      </w:r>
      <w:r w:rsidRPr="009B663D" w:rsidR="009B663D">
        <w:rPr>
          <w:szCs w:val="24"/>
          <w:lang w:val="en"/>
        </w:rPr>
        <w:t>the number of drug products obtained by law enforcement that tested positive for fentanyl</w:t>
      </w:r>
      <w:r w:rsidR="009B663D">
        <w:rPr>
          <w:szCs w:val="24"/>
          <w:lang w:val="en"/>
        </w:rPr>
        <w:t xml:space="preserve"> nationally</w:t>
      </w:r>
      <w:r w:rsidRPr="009B663D" w:rsidR="009B663D">
        <w:rPr>
          <w:szCs w:val="24"/>
          <w:lang w:val="en"/>
        </w:rPr>
        <w:t xml:space="preserve"> </w:t>
      </w:r>
      <w:r w:rsidRPr="00B45F1E" w:rsidR="00B45F1E">
        <w:rPr>
          <w:szCs w:val="24"/>
          <w:lang w:val="en"/>
        </w:rPr>
        <w:t xml:space="preserve">increased </w:t>
      </w:r>
      <w:r w:rsidR="003B083E">
        <w:rPr>
          <w:szCs w:val="24"/>
          <w:lang w:val="en"/>
        </w:rPr>
        <w:t>more than 10-fold from 2014 to 2019</w:t>
      </w:r>
      <w:r w:rsidRPr="00B45F1E" w:rsidR="00B45F1E">
        <w:rPr>
          <w:szCs w:val="24"/>
          <w:lang w:val="en"/>
        </w:rPr>
        <w:t>.</w:t>
      </w:r>
      <w:r w:rsidR="00B45F1E">
        <w:rPr>
          <w:szCs w:val="24"/>
          <w:lang w:val="en"/>
        </w:rPr>
        <w:t xml:space="preserve"> </w:t>
      </w:r>
      <w:r w:rsidR="009B663D">
        <w:rPr>
          <w:szCs w:val="24"/>
          <w:lang w:val="en"/>
        </w:rPr>
        <w:t xml:space="preserve">In addition, </w:t>
      </w:r>
      <w:r w:rsidR="00D4738C">
        <w:rPr>
          <w:szCs w:val="24"/>
          <w:lang w:val="en"/>
        </w:rPr>
        <w:t xml:space="preserve">967,615 nonfatal drug overdoses were treated in U.S. emergency departments in 2017. From 2018 to 2019, rates of suspected nonfatal overdoses treated in emergency departments increased for overdoses involving opioids (9.7%), cocaine (11%), and amphetamines (18.3%). </w:t>
      </w:r>
    </w:p>
    <w:p w:rsidRPr="008B0D1B" w:rsidR="00E14D26" w:rsidP="00E14D26" w:rsidRDefault="00E14D26" w14:paraId="2F6B8DAC" w14:textId="77777777">
      <w:pPr>
        <w:pStyle w:val="Body1"/>
        <w:ind w:left="720"/>
        <w:rPr>
          <w:szCs w:val="24"/>
        </w:rPr>
      </w:pPr>
    </w:p>
    <w:p w:rsidR="00E14D26" w:rsidP="00D43FCF" w:rsidRDefault="00E14D26" w14:paraId="4C26BB94" w14:textId="2011CB95">
      <w:pPr>
        <w:pStyle w:val="Body1"/>
        <w:ind w:left="720"/>
        <w:rPr>
          <w:szCs w:val="24"/>
        </w:rPr>
      </w:pPr>
      <w:r>
        <w:rPr>
          <w:szCs w:val="24"/>
        </w:rPr>
        <w:lastRenderedPageBreak/>
        <w:t xml:space="preserve">State and local </w:t>
      </w:r>
      <w:r w:rsidR="003B083E">
        <w:rPr>
          <w:szCs w:val="24"/>
        </w:rPr>
        <w:t>agencies</w:t>
      </w:r>
      <w:r>
        <w:rPr>
          <w:szCs w:val="24"/>
        </w:rPr>
        <w:t xml:space="preserve"> are responsible for tracking and controlling local epidemics. However, </w:t>
      </w:r>
      <w:proofErr w:type="gramStart"/>
      <w:r>
        <w:rPr>
          <w:szCs w:val="24"/>
        </w:rPr>
        <w:t>state</w:t>
      </w:r>
      <w:proofErr w:type="gramEnd"/>
      <w:r>
        <w:rPr>
          <w:szCs w:val="24"/>
        </w:rPr>
        <w:t xml:space="preserve"> and local </w:t>
      </w:r>
      <w:r w:rsidR="003B083E">
        <w:rPr>
          <w:szCs w:val="24"/>
        </w:rPr>
        <w:t>agencies</w:t>
      </w:r>
      <w:r>
        <w:rPr>
          <w:szCs w:val="24"/>
        </w:rPr>
        <w:t xml:space="preserve"> often require assistance and support from CDC to assist in data collection </w:t>
      </w:r>
      <w:r w:rsidR="005E4F71">
        <w:rPr>
          <w:szCs w:val="24"/>
        </w:rPr>
        <w:t xml:space="preserve">and analysis </w:t>
      </w:r>
      <w:r>
        <w:rPr>
          <w:szCs w:val="24"/>
        </w:rPr>
        <w:t xml:space="preserve">so that complex and immediate demands for information can be met. </w:t>
      </w:r>
      <w:r w:rsidR="006026AB">
        <w:rPr>
          <w:szCs w:val="24"/>
        </w:rPr>
        <w:t xml:space="preserve">These agencies </w:t>
      </w:r>
      <w:r>
        <w:rPr>
          <w:szCs w:val="24"/>
        </w:rPr>
        <w:t xml:space="preserve">rely on </w:t>
      </w:r>
      <w:r w:rsidRPr="00962D6E">
        <w:rPr>
          <w:szCs w:val="24"/>
        </w:rPr>
        <w:t xml:space="preserve">CDC </w:t>
      </w:r>
      <w:r>
        <w:rPr>
          <w:szCs w:val="24"/>
        </w:rPr>
        <w:t xml:space="preserve">to respond quickly to their requests for </w:t>
      </w:r>
      <w:r w:rsidRPr="00962D6E">
        <w:rPr>
          <w:szCs w:val="24"/>
        </w:rPr>
        <w:t xml:space="preserve">short-term </w:t>
      </w:r>
      <w:r>
        <w:rPr>
          <w:szCs w:val="24"/>
        </w:rPr>
        <w:t xml:space="preserve">data collection </w:t>
      </w:r>
      <w:r w:rsidR="005E4F71">
        <w:rPr>
          <w:szCs w:val="24"/>
        </w:rPr>
        <w:t xml:space="preserve">and analysis </w:t>
      </w:r>
      <w:r>
        <w:rPr>
          <w:szCs w:val="24"/>
        </w:rPr>
        <w:t xml:space="preserve">support. NCIPC is </w:t>
      </w:r>
      <w:r w:rsidRPr="00962D6E">
        <w:rPr>
          <w:szCs w:val="24"/>
        </w:rPr>
        <w:t>unique</w:t>
      </w:r>
      <w:r>
        <w:rPr>
          <w:szCs w:val="24"/>
        </w:rPr>
        <w:t>ly qualified to assist in data collection</w:t>
      </w:r>
      <w:r w:rsidR="005E4F71">
        <w:rPr>
          <w:szCs w:val="24"/>
        </w:rPr>
        <w:t xml:space="preserve"> and analysis</w:t>
      </w:r>
      <w:r>
        <w:rPr>
          <w:szCs w:val="24"/>
        </w:rPr>
        <w:t xml:space="preserve"> on drug overdose using DORIs given its expertise </w:t>
      </w:r>
      <w:r w:rsidRPr="00377F69">
        <w:rPr>
          <w:szCs w:val="24"/>
        </w:rPr>
        <w:t xml:space="preserve">in </w:t>
      </w:r>
      <w:r>
        <w:rPr>
          <w:szCs w:val="24"/>
        </w:rPr>
        <w:t xml:space="preserve">investigating emerging trends in drug overdose, the drivers and risk factors associated with trends, and the groups </w:t>
      </w:r>
      <w:r w:rsidR="00D97E72">
        <w:rPr>
          <w:szCs w:val="24"/>
        </w:rPr>
        <w:t xml:space="preserve">most </w:t>
      </w:r>
      <w:r>
        <w:rPr>
          <w:szCs w:val="24"/>
        </w:rPr>
        <w:t xml:space="preserve">affected. </w:t>
      </w:r>
    </w:p>
    <w:p w:rsidR="00E14D26" w:rsidP="00F46FA7" w:rsidRDefault="00E14D26" w14:paraId="04F6EA2C" w14:textId="77777777">
      <w:pPr>
        <w:pStyle w:val="Body1"/>
        <w:tabs>
          <w:tab w:val="num" w:pos="720"/>
          <w:tab w:val="left" w:pos="1710"/>
        </w:tabs>
        <w:ind w:left="720"/>
        <w:rPr>
          <w:szCs w:val="24"/>
        </w:rPr>
      </w:pPr>
    </w:p>
    <w:p w:rsidR="00E14D26" w:rsidP="00E14D26" w:rsidRDefault="00E14D26" w14:paraId="0F823F74" w14:textId="77777777">
      <w:pPr>
        <w:pStyle w:val="Body1"/>
        <w:ind w:left="720"/>
        <w:rPr>
          <w:szCs w:val="24"/>
        </w:rPr>
      </w:pPr>
      <w:r w:rsidRPr="00F70733">
        <w:rPr>
          <w:b/>
          <w:szCs w:val="24"/>
          <w:u w:val="single"/>
        </w:rPr>
        <w:t>Circumstances</w:t>
      </w:r>
      <w:r>
        <w:rPr>
          <w:szCs w:val="24"/>
          <w:u w:val="single"/>
        </w:rPr>
        <w:t>.</w:t>
      </w:r>
      <w:r>
        <w:rPr>
          <w:szCs w:val="24"/>
        </w:rPr>
        <w:t xml:space="preserve"> This generic clearance </w:t>
      </w:r>
      <w:r w:rsidR="006F1E84">
        <w:rPr>
          <w:szCs w:val="24"/>
        </w:rPr>
        <w:t>was</w:t>
      </w:r>
      <w:r>
        <w:rPr>
          <w:szCs w:val="24"/>
        </w:rPr>
        <w:t xml:space="preserve"> established to address drug overdose </w:t>
      </w:r>
    </w:p>
    <w:p w:rsidR="00E14D26" w:rsidP="00E14D26" w:rsidRDefault="00E14D26" w14:paraId="12C8F1BA" w14:textId="152E0D2B">
      <w:pPr>
        <w:pStyle w:val="Body1"/>
        <w:ind w:left="720"/>
        <w:rPr>
          <w:szCs w:val="24"/>
        </w:rPr>
      </w:pPr>
      <w:r>
        <w:rPr>
          <w:szCs w:val="24"/>
        </w:rPr>
        <w:t xml:space="preserve">when there is a request from state </w:t>
      </w:r>
      <w:r w:rsidR="00350D54">
        <w:rPr>
          <w:szCs w:val="24"/>
        </w:rPr>
        <w:t xml:space="preserve">or </w:t>
      </w:r>
      <w:r>
        <w:rPr>
          <w:szCs w:val="24"/>
        </w:rPr>
        <w:t xml:space="preserve">local </w:t>
      </w:r>
      <w:r w:rsidR="006026AB">
        <w:rPr>
          <w:szCs w:val="24"/>
        </w:rPr>
        <w:t>agency</w:t>
      </w:r>
      <w:r>
        <w:rPr>
          <w:szCs w:val="24"/>
        </w:rPr>
        <w:t xml:space="preserve"> to investigate </w:t>
      </w:r>
      <w:r w:rsidR="00350D54">
        <w:rPr>
          <w:szCs w:val="24"/>
        </w:rPr>
        <w:t xml:space="preserve">alarming and </w:t>
      </w:r>
      <w:r>
        <w:rPr>
          <w:szCs w:val="24"/>
        </w:rPr>
        <w:t>emerging trends in drug overdose</w:t>
      </w:r>
      <w:r w:rsidR="00350D54">
        <w:rPr>
          <w:szCs w:val="24"/>
        </w:rPr>
        <w:t xml:space="preserve"> that require immediate response</w:t>
      </w:r>
      <w:r>
        <w:rPr>
          <w:szCs w:val="24"/>
        </w:rPr>
        <w:t xml:space="preserve">, the drivers and risk factors associated with </w:t>
      </w:r>
      <w:r w:rsidR="00350D54">
        <w:rPr>
          <w:szCs w:val="24"/>
        </w:rPr>
        <w:t xml:space="preserve">such </w:t>
      </w:r>
      <w:r>
        <w:rPr>
          <w:szCs w:val="24"/>
        </w:rPr>
        <w:t xml:space="preserve">trends, and the groups most affected. </w:t>
      </w:r>
      <w:r w:rsidRPr="003E4F3A" w:rsidR="00D8546F">
        <w:rPr>
          <w:szCs w:val="24"/>
        </w:rPr>
        <w:t xml:space="preserve">When assistance is requested by a </w:t>
      </w:r>
      <w:r w:rsidR="00D8546F">
        <w:rPr>
          <w:szCs w:val="24"/>
        </w:rPr>
        <w:t xml:space="preserve">state or local </w:t>
      </w:r>
      <w:r w:rsidR="006026AB">
        <w:rPr>
          <w:szCs w:val="24"/>
        </w:rPr>
        <w:t>agency</w:t>
      </w:r>
      <w:r w:rsidR="00D8546F">
        <w:rPr>
          <w:szCs w:val="24"/>
        </w:rPr>
        <w:t xml:space="preserve">, CDC </w:t>
      </w:r>
      <w:r w:rsidRPr="003E4F3A" w:rsidR="00D8546F">
        <w:rPr>
          <w:szCs w:val="24"/>
        </w:rPr>
        <w:t>makes every effort to respond by</w:t>
      </w:r>
      <w:r w:rsidRPr="00784C67" w:rsidR="00D8546F">
        <w:rPr>
          <w:szCs w:val="24"/>
        </w:rPr>
        <w:t xml:space="preserve"> </w:t>
      </w:r>
      <w:r w:rsidR="00D8546F">
        <w:rPr>
          <w:szCs w:val="24"/>
        </w:rPr>
        <w:t xml:space="preserve">providing data collection support to inform public health action. </w:t>
      </w:r>
      <w:r>
        <w:rPr>
          <w:szCs w:val="24"/>
        </w:rPr>
        <w:t xml:space="preserve">Requests for DORIs </w:t>
      </w:r>
      <w:r w:rsidR="0078724A">
        <w:rPr>
          <w:szCs w:val="24"/>
        </w:rPr>
        <w:t>may</w:t>
      </w:r>
      <w:r w:rsidR="0022573B">
        <w:rPr>
          <w:szCs w:val="24"/>
        </w:rPr>
        <w:t xml:space="preserve"> </w:t>
      </w:r>
      <w:r>
        <w:rPr>
          <w:szCs w:val="24"/>
        </w:rPr>
        <w:t>emerge through the Epi-Aid mechanism</w:t>
      </w:r>
      <w:r w:rsidR="0078724A">
        <w:rPr>
          <w:szCs w:val="24"/>
        </w:rPr>
        <w:t xml:space="preserve"> </w:t>
      </w:r>
      <w:r w:rsidR="0078724A">
        <w:t>or through direct requests from state or local agencies to NCIPC</w:t>
      </w:r>
      <w:r>
        <w:rPr>
          <w:szCs w:val="24"/>
        </w:rPr>
        <w:t>.</w:t>
      </w:r>
      <w:r w:rsidR="00F70733">
        <w:rPr>
          <w:szCs w:val="24"/>
        </w:rPr>
        <w:t xml:space="preserve"> </w:t>
      </w:r>
    </w:p>
    <w:p w:rsidR="00E14D26" w:rsidP="00E14D26" w:rsidRDefault="00E14D26" w14:paraId="41EE22F8" w14:textId="77777777">
      <w:pPr>
        <w:pStyle w:val="Body1"/>
        <w:ind w:left="720"/>
        <w:rPr>
          <w:szCs w:val="24"/>
        </w:rPr>
      </w:pPr>
    </w:p>
    <w:p w:rsidR="00E14D26" w:rsidP="00E14D26" w:rsidRDefault="00D97E72" w14:paraId="67C058FC" w14:textId="77777777">
      <w:pPr>
        <w:pStyle w:val="Body1"/>
        <w:ind w:left="720"/>
        <w:rPr>
          <w:szCs w:val="24"/>
        </w:rPr>
      </w:pPr>
      <w:r>
        <w:rPr>
          <w:szCs w:val="24"/>
        </w:rPr>
        <w:t>When the need to collect data from 10 or more entities is indicated, t</w:t>
      </w:r>
      <w:r w:rsidR="00E14D26">
        <w:rPr>
          <w:szCs w:val="24"/>
        </w:rPr>
        <w:t>he circumstances that justify a</w:t>
      </w:r>
      <w:r w:rsidR="0022573B">
        <w:rPr>
          <w:szCs w:val="24"/>
        </w:rPr>
        <w:t>n urgent</w:t>
      </w:r>
      <w:r w:rsidR="00E14D26">
        <w:rPr>
          <w:szCs w:val="24"/>
        </w:rPr>
        <w:t xml:space="preserve"> DORI </w:t>
      </w:r>
      <w:r w:rsidR="0022573B">
        <w:rPr>
          <w:szCs w:val="24"/>
        </w:rPr>
        <w:t xml:space="preserve">data collection </w:t>
      </w:r>
      <w:r w:rsidR="00FD6459">
        <w:rPr>
          <w:szCs w:val="24"/>
        </w:rPr>
        <w:t>include</w:t>
      </w:r>
      <w:r w:rsidR="00E14D26">
        <w:rPr>
          <w:szCs w:val="24"/>
        </w:rPr>
        <w:t>:</w:t>
      </w:r>
    </w:p>
    <w:p w:rsidR="00E14D26" w:rsidP="00E14D26" w:rsidRDefault="00E14D26" w14:paraId="5922B408" w14:textId="0428A31B">
      <w:pPr>
        <w:pStyle w:val="Body1"/>
        <w:numPr>
          <w:ilvl w:val="0"/>
          <w:numId w:val="13"/>
        </w:numPr>
        <w:rPr>
          <w:szCs w:val="24"/>
        </w:rPr>
      </w:pPr>
      <w:r>
        <w:rPr>
          <w:szCs w:val="24"/>
        </w:rPr>
        <w:t>Increased overdose</w:t>
      </w:r>
      <w:r w:rsidR="00901830">
        <w:rPr>
          <w:szCs w:val="24"/>
        </w:rPr>
        <w:t>s</w:t>
      </w:r>
      <w:r>
        <w:rPr>
          <w:szCs w:val="24"/>
        </w:rPr>
        <w:t xml:space="preserve"> (e.g., increase in </w:t>
      </w:r>
      <w:r w:rsidR="00901830">
        <w:rPr>
          <w:szCs w:val="24"/>
        </w:rPr>
        <w:t xml:space="preserve">number of </w:t>
      </w:r>
      <w:r w:rsidR="00350D54">
        <w:rPr>
          <w:szCs w:val="24"/>
        </w:rPr>
        <w:t xml:space="preserve">nonfatal or </w:t>
      </w:r>
      <w:r>
        <w:rPr>
          <w:szCs w:val="24"/>
        </w:rPr>
        <w:t>fatal overdoses</w:t>
      </w:r>
      <w:r w:rsidR="00901830">
        <w:rPr>
          <w:szCs w:val="24"/>
        </w:rPr>
        <w:t xml:space="preserve"> or accelerating trends</w:t>
      </w:r>
      <w:proofErr w:type="gramStart"/>
      <w:r>
        <w:rPr>
          <w:szCs w:val="24"/>
        </w:rPr>
        <w:t>)</w:t>
      </w:r>
      <w:r w:rsidR="00542F01">
        <w:rPr>
          <w:szCs w:val="24"/>
        </w:rPr>
        <w:t>;</w:t>
      </w:r>
      <w:proofErr w:type="gramEnd"/>
    </w:p>
    <w:p w:rsidR="00E14D26" w:rsidP="00E14D26" w:rsidRDefault="00E14D26" w14:paraId="236173BF" w14:textId="6D413884">
      <w:pPr>
        <w:pStyle w:val="Body1"/>
        <w:numPr>
          <w:ilvl w:val="0"/>
          <w:numId w:val="13"/>
        </w:numPr>
        <w:rPr>
          <w:szCs w:val="24"/>
        </w:rPr>
      </w:pPr>
      <w:r>
        <w:rPr>
          <w:szCs w:val="24"/>
        </w:rPr>
        <w:t>Occurrence of a rare or unknown cause of morbidity or mortality related to drug overdose (e.g., inclusion of rare substances, such as in the case of fentanyl-laced heroin</w:t>
      </w:r>
      <w:r w:rsidR="00B73F54">
        <w:rPr>
          <w:szCs w:val="24"/>
        </w:rPr>
        <w:t xml:space="preserve">, fentanyl </w:t>
      </w:r>
      <w:r w:rsidR="00010583">
        <w:rPr>
          <w:szCs w:val="24"/>
        </w:rPr>
        <w:t>analogues</w:t>
      </w:r>
      <w:r w:rsidR="00086588">
        <w:rPr>
          <w:szCs w:val="24"/>
        </w:rPr>
        <w:t>, or other new synthetics</w:t>
      </w:r>
      <w:proofErr w:type="gramStart"/>
      <w:r>
        <w:rPr>
          <w:szCs w:val="24"/>
        </w:rPr>
        <w:t>)</w:t>
      </w:r>
      <w:r w:rsidR="00542F01">
        <w:rPr>
          <w:szCs w:val="24"/>
        </w:rPr>
        <w:t>;</w:t>
      </w:r>
      <w:proofErr w:type="gramEnd"/>
      <w:r>
        <w:rPr>
          <w:szCs w:val="24"/>
        </w:rPr>
        <w:t xml:space="preserve"> </w:t>
      </w:r>
    </w:p>
    <w:p w:rsidR="00E14D26" w:rsidP="00E14D26" w:rsidRDefault="00E14D26" w14:paraId="6CA21BE2" w14:textId="440965D2">
      <w:pPr>
        <w:pStyle w:val="Body1"/>
        <w:numPr>
          <w:ilvl w:val="0"/>
          <w:numId w:val="13"/>
        </w:numPr>
        <w:rPr>
          <w:szCs w:val="24"/>
        </w:rPr>
      </w:pPr>
      <w:r>
        <w:rPr>
          <w:szCs w:val="24"/>
        </w:rPr>
        <w:t>Opportunity to identify new information, such as risk factors previously unassociated with drug overdose or a change in indicators of death (e.g., reports of changes in breathing function prior to death that could signal the need for intervention</w:t>
      </w:r>
      <w:proofErr w:type="gramStart"/>
      <w:r>
        <w:rPr>
          <w:szCs w:val="24"/>
        </w:rPr>
        <w:t>)</w:t>
      </w:r>
      <w:r w:rsidR="00542F01">
        <w:rPr>
          <w:szCs w:val="24"/>
        </w:rPr>
        <w:t>;</w:t>
      </w:r>
      <w:proofErr w:type="gramEnd"/>
    </w:p>
    <w:p w:rsidR="00E14D26" w:rsidP="00E14D26" w:rsidRDefault="00E14D26" w14:paraId="2214A178" w14:textId="77777777">
      <w:pPr>
        <w:pStyle w:val="Body1"/>
        <w:numPr>
          <w:ilvl w:val="0"/>
          <w:numId w:val="13"/>
        </w:numPr>
        <w:rPr>
          <w:szCs w:val="24"/>
        </w:rPr>
      </w:pPr>
      <w:r>
        <w:rPr>
          <w:szCs w:val="24"/>
        </w:rPr>
        <w:t>Occurrence among a particular population (e.g., children)</w:t>
      </w:r>
    </w:p>
    <w:p w:rsidR="006026AB" w:rsidP="00E14D26" w:rsidRDefault="00E14D26" w14:paraId="7DCFBB27" w14:textId="463BFF91">
      <w:pPr>
        <w:pStyle w:val="Body1"/>
        <w:numPr>
          <w:ilvl w:val="0"/>
          <w:numId w:val="13"/>
        </w:numPr>
        <w:rPr>
          <w:szCs w:val="24"/>
        </w:rPr>
      </w:pPr>
      <w:r>
        <w:rPr>
          <w:szCs w:val="24"/>
        </w:rPr>
        <w:t xml:space="preserve">Public or political concern (e.g., state governor declaration of a public health emergency </w:t>
      </w:r>
      <w:proofErr w:type="gramStart"/>
      <w:r>
        <w:rPr>
          <w:szCs w:val="24"/>
        </w:rPr>
        <w:t>in a given</w:t>
      </w:r>
      <w:proofErr w:type="gramEnd"/>
      <w:r>
        <w:rPr>
          <w:szCs w:val="24"/>
        </w:rPr>
        <w:t xml:space="preserve"> state)</w:t>
      </w:r>
      <w:r w:rsidR="006026AB">
        <w:t>.</w:t>
      </w:r>
    </w:p>
    <w:p w:rsidR="00E14D26" w:rsidP="00E14D26" w:rsidRDefault="00E14D26" w14:paraId="1FC2BA44" w14:textId="77777777">
      <w:pPr>
        <w:pStyle w:val="Body1"/>
        <w:rPr>
          <w:szCs w:val="24"/>
        </w:rPr>
      </w:pPr>
    </w:p>
    <w:p w:rsidR="00E14D26" w:rsidP="00630C3E" w:rsidRDefault="00E14D26" w14:paraId="0C7077FB" w14:textId="1DF7E75B">
      <w:pPr>
        <w:pStyle w:val="Body1"/>
        <w:ind w:left="720"/>
        <w:rPr>
          <w:szCs w:val="24"/>
        </w:rPr>
      </w:pPr>
      <w:r>
        <w:rPr>
          <w:szCs w:val="24"/>
        </w:rPr>
        <w:t>The circumstances that would not justify a DORI include:</w:t>
      </w:r>
    </w:p>
    <w:p w:rsidRPr="009C3653" w:rsidR="00E14D26" w:rsidP="00E14D26" w:rsidRDefault="00E14D26" w14:paraId="51B79147" w14:textId="3BE2A27E">
      <w:pPr>
        <w:pStyle w:val="Body1"/>
        <w:numPr>
          <w:ilvl w:val="0"/>
          <w:numId w:val="15"/>
        </w:numPr>
        <w:rPr>
          <w:szCs w:val="24"/>
        </w:rPr>
      </w:pPr>
      <w:r>
        <w:rPr>
          <w:szCs w:val="24"/>
        </w:rPr>
        <w:t xml:space="preserve">Investigations for </w:t>
      </w:r>
      <w:r w:rsidRPr="00BE654E">
        <w:rPr>
          <w:szCs w:val="24"/>
        </w:rPr>
        <w:t>the purposes of program evaluation, surveillance, needs assessment, or research conducted primarily to contribute to generalizable knowledge.</w:t>
      </w:r>
    </w:p>
    <w:p w:rsidR="00630C3E" w:rsidP="00630C3E" w:rsidRDefault="00630C3E" w14:paraId="3D0D610D" w14:textId="77777777">
      <w:pPr>
        <w:pStyle w:val="Body1"/>
        <w:rPr>
          <w:b/>
          <w:u w:val="single"/>
        </w:rPr>
      </w:pPr>
    </w:p>
    <w:p w:rsidR="00D8546F" w:rsidP="00D8546F" w:rsidRDefault="00635454" w14:paraId="4FC4FF5D" w14:textId="18818D10">
      <w:pPr>
        <w:pStyle w:val="Body1"/>
        <w:ind w:left="720"/>
        <w:rPr>
          <w:szCs w:val="24"/>
        </w:rPr>
      </w:pPr>
      <w:r w:rsidRPr="00052F35">
        <w:rPr>
          <w:b/>
          <w:u w:val="single"/>
        </w:rPr>
        <w:t>Scope of data collection</w:t>
      </w:r>
      <w:r>
        <w:t xml:space="preserve">. </w:t>
      </w:r>
      <w:r w:rsidRPr="00EC2B6D" w:rsidR="00D8546F">
        <w:t xml:space="preserve">The jurisdiction </w:t>
      </w:r>
      <w:r w:rsidR="00D8546F">
        <w:t xml:space="preserve">requesting assistance determines the specific data collection needs that CDC can fulfill. </w:t>
      </w:r>
      <w:r w:rsidRPr="00EC2B6D" w:rsidR="00D8546F">
        <w:t xml:space="preserve">CDC </w:t>
      </w:r>
      <w:r w:rsidR="00D8546F">
        <w:t>staff may provide</w:t>
      </w:r>
      <w:r w:rsidRPr="00EC2B6D" w:rsidR="00D8546F">
        <w:t xml:space="preserve"> technical assistance with </w:t>
      </w:r>
      <w:r w:rsidR="00D8546F">
        <w:t>developing questionnaires</w:t>
      </w:r>
      <w:r w:rsidR="00CA76CE">
        <w:t>, interview guides,</w:t>
      </w:r>
      <w:r w:rsidR="00D8546F">
        <w:t xml:space="preserve"> and a data </w:t>
      </w:r>
      <w:r w:rsidR="00542F01">
        <w:t xml:space="preserve">collection and </w:t>
      </w:r>
      <w:r w:rsidR="00D8546F">
        <w:t xml:space="preserve">analysis plan. CDC staff may be </w:t>
      </w:r>
      <w:r w:rsidRPr="00EC2B6D" w:rsidR="00D8546F">
        <w:t xml:space="preserve">deployed to the field to assist in some or </w:t>
      </w:r>
      <w:proofErr w:type="gramStart"/>
      <w:r w:rsidRPr="00EC2B6D" w:rsidR="00D8546F">
        <w:t>all of</w:t>
      </w:r>
      <w:proofErr w:type="gramEnd"/>
      <w:r w:rsidRPr="00EC2B6D" w:rsidR="00D8546F">
        <w:t xml:space="preserve"> the operations </w:t>
      </w:r>
      <w:r w:rsidR="00D8546F">
        <w:t>of the investigation</w:t>
      </w:r>
      <w:r w:rsidRPr="00EC2B6D" w:rsidR="00D8546F">
        <w:t xml:space="preserve">. This can include conducting training, determining sampling frames, </w:t>
      </w:r>
      <w:r w:rsidR="00D8546F">
        <w:t xml:space="preserve">and </w:t>
      </w:r>
      <w:r w:rsidRPr="00EC2B6D" w:rsidR="00D8546F">
        <w:t>collecting data</w:t>
      </w:r>
      <w:r w:rsidR="00D8546F">
        <w:t xml:space="preserve">. CDC staff may analyze the data (either locally or from Atlanta) and assist in report </w:t>
      </w:r>
      <w:r w:rsidRPr="00EC2B6D" w:rsidR="00D8546F">
        <w:t>writing and presenting the final report to the local jurisdiction</w:t>
      </w:r>
      <w:r w:rsidR="00D8546F">
        <w:t xml:space="preserve">. </w:t>
      </w:r>
      <w:r w:rsidR="00D8546F">
        <w:rPr>
          <w:szCs w:val="24"/>
        </w:rPr>
        <w:t xml:space="preserve">The overarching </w:t>
      </w:r>
      <w:r w:rsidRPr="00784C67" w:rsidR="00D8546F">
        <w:rPr>
          <w:szCs w:val="24"/>
        </w:rPr>
        <w:t xml:space="preserve">goal </w:t>
      </w:r>
      <w:r w:rsidR="00D8546F">
        <w:rPr>
          <w:szCs w:val="24"/>
        </w:rPr>
        <w:t xml:space="preserve">when providing data collection </w:t>
      </w:r>
      <w:r w:rsidR="00D8329E">
        <w:rPr>
          <w:szCs w:val="24"/>
        </w:rPr>
        <w:t xml:space="preserve">and analysis </w:t>
      </w:r>
      <w:r w:rsidR="00D8546F">
        <w:rPr>
          <w:szCs w:val="24"/>
        </w:rPr>
        <w:t xml:space="preserve">support </w:t>
      </w:r>
      <w:r w:rsidRPr="00784C67" w:rsidR="00D8546F">
        <w:rPr>
          <w:szCs w:val="24"/>
        </w:rPr>
        <w:t xml:space="preserve">is </w:t>
      </w:r>
      <w:r w:rsidR="00D8546F">
        <w:rPr>
          <w:szCs w:val="24"/>
        </w:rPr>
        <w:t>to implement</w:t>
      </w:r>
      <w:r w:rsidRPr="00784C67" w:rsidR="00D8546F">
        <w:rPr>
          <w:szCs w:val="24"/>
        </w:rPr>
        <w:t xml:space="preserve"> </w:t>
      </w:r>
      <w:r w:rsidR="00D8546F">
        <w:rPr>
          <w:szCs w:val="24"/>
        </w:rPr>
        <w:t xml:space="preserve">immediate </w:t>
      </w:r>
      <w:r w:rsidRPr="00784C67" w:rsidR="00D8546F">
        <w:rPr>
          <w:szCs w:val="24"/>
        </w:rPr>
        <w:lastRenderedPageBreak/>
        <w:t xml:space="preserve">prevention and control measures </w:t>
      </w:r>
      <w:r w:rsidR="00D8546F">
        <w:rPr>
          <w:szCs w:val="24"/>
        </w:rPr>
        <w:t xml:space="preserve">based on the findings from the investigation to </w:t>
      </w:r>
      <w:r w:rsidRPr="00784C67" w:rsidR="00D8546F">
        <w:rPr>
          <w:szCs w:val="24"/>
        </w:rPr>
        <w:t xml:space="preserve">minimize adverse health consequences. </w:t>
      </w:r>
    </w:p>
    <w:p w:rsidR="00D8546F" w:rsidP="00D8546F" w:rsidRDefault="00D8546F" w14:paraId="53857D1C" w14:textId="77777777">
      <w:pPr>
        <w:pStyle w:val="Body1"/>
        <w:ind w:left="720"/>
        <w:rPr>
          <w:szCs w:val="24"/>
        </w:rPr>
      </w:pPr>
    </w:p>
    <w:p w:rsidR="00D8546F" w:rsidP="00F70733" w:rsidRDefault="0066020E" w14:paraId="431D6B58" w14:textId="48C8B6F7">
      <w:pPr>
        <w:pStyle w:val="Body1"/>
        <w:tabs>
          <w:tab w:val="num" w:pos="720"/>
          <w:tab w:val="left" w:pos="1710"/>
        </w:tabs>
        <w:ind w:left="720"/>
        <w:rPr>
          <w:szCs w:val="24"/>
        </w:rPr>
      </w:pPr>
      <w:r w:rsidRPr="0072690B">
        <w:rPr>
          <w:szCs w:val="24"/>
        </w:rPr>
        <w:t>The information collected var</w:t>
      </w:r>
      <w:r>
        <w:rPr>
          <w:szCs w:val="24"/>
        </w:rPr>
        <w:t>ies</w:t>
      </w:r>
      <w:r w:rsidRPr="0072690B">
        <w:rPr>
          <w:szCs w:val="24"/>
        </w:rPr>
        <w:t xml:space="preserve"> b</w:t>
      </w:r>
      <w:r>
        <w:rPr>
          <w:szCs w:val="24"/>
        </w:rPr>
        <w:t>y</w:t>
      </w:r>
      <w:r w:rsidRPr="0072690B">
        <w:rPr>
          <w:szCs w:val="24"/>
        </w:rPr>
        <w:t xml:space="preserve"> </w:t>
      </w:r>
      <w:r>
        <w:rPr>
          <w:szCs w:val="24"/>
        </w:rPr>
        <w:t xml:space="preserve">DORI </w:t>
      </w:r>
      <w:r w:rsidRPr="0072690B">
        <w:rPr>
          <w:szCs w:val="24"/>
        </w:rPr>
        <w:t>depending on the nature of the event.</w:t>
      </w:r>
      <w:r w:rsidRPr="00BF16E8">
        <w:rPr>
          <w:szCs w:val="24"/>
        </w:rPr>
        <w:t xml:space="preserve"> </w:t>
      </w:r>
      <w:r w:rsidR="00D8546F">
        <w:rPr>
          <w:szCs w:val="24"/>
        </w:rPr>
        <w:t xml:space="preserve">Based on previous experience, NCIPC anticipates that </w:t>
      </w:r>
      <w:r>
        <w:rPr>
          <w:szCs w:val="24"/>
        </w:rPr>
        <w:t xml:space="preserve">state </w:t>
      </w:r>
      <w:r w:rsidR="00D8546F">
        <w:rPr>
          <w:szCs w:val="24"/>
        </w:rPr>
        <w:t>requests will result in the need to collect data to</w:t>
      </w:r>
      <w:r w:rsidR="00F70733">
        <w:rPr>
          <w:szCs w:val="24"/>
        </w:rPr>
        <w:t xml:space="preserve"> (a) understand sudden increases in drug use and misuse associated with fatal and nonfatal </w:t>
      </w:r>
      <w:r w:rsidR="00D14A6B">
        <w:rPr>
          <w:szCs w:val="24"/>
        </w:rPr>
        <w:t xml:space="preserve">overdoses </w:t>
      </w:r>
      <w:r w:rsidR="00F70733">
        <w:rPr>
          <w:szCs w:val="24"/>
        </w:rPr>
        <w:t xml:space="preserve">(e.g., collect data on type of drug, number of cases, place and time of increasing trend, morbidity and mortality, medical conditions or symptomology information), (b) understand the drivers and risk factors associated with those trends (e.g., collect data on circumstances surrounding overdose, environmental factors, potential exposures, risk behaviors), and (c) identify the groups most affected (e.g., collect data on emergency department admissions or decedents to determine differences by demographics or location). </w:t>
      </w:r>
    </w:p>
    <w:p w:rsidR="00F70733" w:rsidP="00F70733" w:rsidRDefault="00F70733" w14:paraId="5AABF672" w14:textId="77777777">
      <w:pPr>
        <w:pStyle w:val="Body1"/>
        <w:tabs>
          <w:tab w:val="num" w:pos="720"/>
          <w:tab w:val="left" w:pos="1710"/>
        </w:tabs>
        <w:ind w:left="720"/>
        <w:rPr>
          <w:szCs w:val="24"/>
        </w:rPr>
      </w:pPr>
    </w:p>
    <w:p w:rsidR="00E14D26" w:rsidP="00E14D26" w:rsidRDefault="00E14D26" w14:paraId="121A4756" w14:textId="22BBE6B7">
      <w:pPr>
        <w:pStyle w:val="Body1"/>
        <w:ind w:left="720"/>
        <w:rPr>
          <w:szCs w:val="24"/>
        </w:rPr>
      </w:pPr>
      <w:r>
        <w:rPr>
          <w:szCs w:val="24"/>
        </w:rPr>
        <w:t xml:space="preserve">In DORIs, </w:t>
      </w:r>
      <w:r w:rsidR="00D14A6B">
        <w:rPr>
          <w:szCs w:val="24"/>
        </w:rPr>
        <w:t xml:space="preserve">draft data collection instruments are developed prior to investigation initiation in the field. However, </w:t>
      </w:r>
      <w:r>
        <w:rPr>
          <w:szCs w:val="24"/>
        </w:rPr>
        <w:t xml:space="preserve">sufficient information is most often not available to allow for </w:t>
      </w:r>
      <w:r w:rsidR="00635454">
        <w:rPr>
          <w:szCs w:val="24"/>
        </w:rPr>
        <w:t xml:space="preserve">complete </w:t>
      </w:r>
      <w:r>
        <w:rPr>
          <w:szCs w:val="24"/>
        </w:rPr>
        <w:t>development of data collection instruments far in advance. Data collection instruments and methods must be rapidly created and implemented to meet the unique needs of the situation and the agency requesting assistance, often immediately before deployment</w:t>
      </w:r>
      <w:r w:rsidR="00635454">
        <w:rPr>
          <w:szCs w:val="24"/>
        </w:rPr>
        <w:t xml:space="preserve">, with needed revisions identified </w:t>
      </w:r>
      <w:r>
        <w:rPr>
          <w:szCs w:val="24"/>
        </w:rPr>
        <w:t xml:space="preserve">while investigators are in the field. Specific questions might </w:t>
      </w:r>
      <w:proofErr w:type="gramStart"/>
      <w:r>
        <w:rPr>
          <w:szCs w:val="24"/>
        </w:rPr>
        <w:t>change</w:t>
      </w:r>
      <w:proofErr w:type="gramEnd"/>
      <w:r>
        <w:rPr>
          <w:szCs w:val="24"/>
        </w:rPr>
        <w:t xml:space="preserve"> or new questions could evolve during the course of the investigation as new information is revealed.</w:t>
      </w:r>
      <w:r w:rsidR="00E144AB">
        <w:rPr>
          <w:szCs w:val="24"/>
        </w:rPr>
        <w:t xml:space="preserve"> The choice of data collection mode may be influenced by what is already known about the problem; the location, size, and characteristics of the affected</w:t>
      </w:r>
      <w:r w:rsidR="00DC2D6D">
        <w:rPr>
          <w:szCs w:val="24"/>
        </w:rPr>
        <w:t xml:space="preserve"> or target</w:t>
      </w:r>
      <w:r w:rsidR="00E144AB">
        <w:rPr>
          <w:szCs w:val="24"/>
        </w:rPr>
        <w:t xml:space="preserve"> population; and resources available to local authorities and the team in the field. </w:t>
      </w:r>
      <w:r>
        <w:rPr>
          <w:szCs w:val="24"/>
        </w:rPr>
        <w:t xml:space="preserve">  </w:t>
      </w:r>
      <w:r>
        <w:rPr>
          <w:szCs w:val="24"/>
        </w:rPr>
        <w:br/>
      </w:r>
    </w:p>
    <w:p w:rsidR="00D14A6B" w:rsidP="00E14D26" w:rsidRDefault="00E14D26" w14:paraId="152F7281"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Examples of </w:t>
      </w:r>
      <w:r w:rsidRPr="00CE0ADD">
        <w:rPr>
          <w:sz w:val="24"/>
          <w:szCs w:val="24"/>
        </w:rPr>
        <w:t>data coll</w:t>
      </w:r>
      <w:r>
        <w:rPr>
          <w:sz w:val="24"/>
          <w:szCs w:val="24"/>
        </w:rPr>
        <w:t xml:space="preserve">ection modes </w:t>
      </w:r>
      <w:r w:rsidR="00E144AB">
        <w:rPr>
          <w:sz w:val="24"/>
          <w:szCs w:val="24"/>
        </w:rPr>
        <w:t xml:space="preserve">that could be </w:t>
      </w:r>
      <w:r>
        <w:rPr>
          <w:sz w:val="24"/>
          <w:szCs w:val="24"/>
        </w:rPr>
        <w:t xml:space="preserve">employed during </w:t>
      </w:r>
      <w:r w:rsidR="00E144AB">
        <w:rPr>
          <w:sz w:val="24"/>
          <w:szCs w:val="24"/>
        </w:rPr>
        <w:t xml:space="preserve">DORIs </w:t>
      </w:r>
      <w:r w:rsidRPr="00CE0ADD">
        <w:rPr>
          <w:sz w:val="24"/>
          <w:szCs w:val="24"/>
        </w:rPr>
        <w:t>include</w:t>
      </w:r>
      <w:r w:rsidR="00D14A6B">
        <w:rPr>
          <w:sz w:val="24"/>
          <w:szCs w:val="24"/>
        </w:rPr>
        <w:t>:</w:t>
      </w:r>
    </w:p>
    <w:p w:rsidR="00D14A6B" w:rsidP="00D14A6B" w:rsidRDefault="00534FAE" w14:paraId="5848848C"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archival </w:t>
      </w:r>
      <w:r w:rsidR="00D14A6B">
        <w:rPr>
          <w:sz w:val="24"/>
          <w:szCs w:val="24"/>
        </w:rPr>
        <w:t>record abstraction</w:t>
      </w:r>
      <w:r>
        <w:rPr>
          <w:sz w:val="24"/>
          <w:szCs w:val="24"/>
        </w:rPr>
        <w:t xml:space="preserve"> and review</w:t>
      </w:r>
    </w:p>
    <w:p w:rsidR="00D14A6B" w:rsidP="00D14A6B" w:rsidRDefault="00534FAE" w14:paraId="7111C5D9"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face-to-face </w:t>
      </w:r>
      <w:r w:rsidR="00D14A6B">
        <w:rPr>
          <w:sz w:val="24"/>
          <w:szCs w:val="24"/>
        </w:rPr>
        <w:t>interview</w:t>
      </w:r>
    </w:p>
    <w:p w:rsidR="00D14A6B" w:rsidP="00D14A6B" w:rsidRDefault="00D14A6B" w14:paraId="51E0119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telephone interview</w:t>
      </w:r>
    </w:p>
    <w:p w:rsidR="00D14A6B" w:rsidP="00D14A6B" w:rsidRDefault="00534FAE" w14:paraId="1C109093"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web-based questionnaire </w:t>
      </w:r>
    </w:p>
    <w:p w:rsidR="00534FAE" w:rsidP="00D14A6B" w:rsidRDefault="00534FAE" w14:paraId="42871764"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self-administered questionnaire</w:t>
      </w:r>
    </w:p>
    <w:p w:rsidR="00D14A6B" w:rsidP="00D14A6B" w:rsidRDefault="00D14A6B" w14:paraId="539935D0"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rsidRPr="00D14A6B" w:rsidR="00E14D26" w:rsidP="00D14A6B" w:rsidRDefault="00D14A6B" w14:paraId="37B24847" w14:textId="1D8EC7E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M</w:t>
      </w:r>
      <w:r w:rsidRPr="00D14A6B" w:rsidR="00E14D26">
        <w:rPr>
          <w:sz w:val="24"/>
          <w:szCs w:val="24"/>
        </w:rPr>
        <w:t xml:space="preserve">ultiple data collection modes </w:t>
      </w:r>
      <w:r>
        <w:rPr>
          <w:sz w:val="24"/>
          <w:szCs w:val="24"/>
        </w:rPr>
        <w:t xml:space="preserve">can be </w:t>
      </w:r>
      <w:r w:rsidRPr="00D14A6B" w:rsidR="00E14D26">
        <w:rPr>
          <w:sz w:val="24"/>
          <w:szCs w:val="24"/>
        </w:rPr>
        <w:t xml:space="preserve">employed in a single </w:t>
      </w:r>
      <w:r w:rsidRPr="00D14A6B" w:rsidR="00E144AB">
        <w:rPr>
          <w:sz w:val="24"/>
          <w:szCs w:val="24"/>
        </w:rPr>
        <w:t>investigation</w:t>
      </w:r>
      <w:r w:rsidRPr="00D14A6B" w:rsidR="00E14D26">
        <w:rPr>
          <w:sz w:val="24"/>
          <w:szCs w:val="24"/>
        </w:rPr>
        <w:t xml:space="preserve">. </w:t>
      </w:r>
      <w:r>
        <w:rPr>
          <w:sz w:val="24"/>
          <w:szCs w:val="24"/>
        </w:rPr>
        <w:t>It is anticipated that the most common data collection modes will include record abstraction</w:t>
      </w:r>
      <w:r w:rsidR="00711D64">
        <w:rPr>
          <w:sz w:val="24"/>
          <w:szCs w:val="24"/>
        </w:rPr>
        <w:t>, web-based questionnaires,</w:t>
      </w:r>
      <w:r>
        <w:rPr>
          <w:sz w:val="24"/>
          <w:szCs w:val="24"/>
        </w:rPr>
        <w:t xml:space="preserve"> and interviews. </w:t>
      </w:r>
    </w:p>
    <w:p w:rsidR="00E14D26" w:rsidP="00E14D26" w:rsidRDefault="00E14D26" w14:paraId="4D8B8BDB"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E144AB" w:rsidP="00E14D26" w:rsidRDefault="00E14D26" w14:paraId="7D813602"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Respondent type will vary by </w:t>
      </w:r>
      <w:r w:rsidR="00E144AB">
        <w:rPr>
          <w:sz w:val="24"/>
          <w:szCs w:val="24"/>
        </w:rPr>
        <w:t>investigation</w:t>
      </w:r>
      <w:r>
        <w:rPr>
          <w:sz w:val="24"/>
          <w:szCs w:val="24"/>
        </w:rPr>
        <w:t xml:space="preserve">.  </w:t>
      </w:r>
      <w:r w:rsidR="00E144AB">
        <w:rPr>
          <w:sz w:val="24"/>
          <w:szCs w:val="24"/>
        </w:rPr>
        <w:t>Likely respondents include:</w:t>
      </w:r>
    </w:p>
    <w:p w:rsidR="00E144AB" w:rsidP="00E144AB" w:rsidRDefault="00E144AB" w14:paraId="6101E8AE"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Public health authorities</w:t>
      </w:r>
    </w:p>
    <w:p w:rsidR="00E144AB" w:rsidP="00E144AB" w:rsidRDefault="00E144AB" w14:paraId="21484217" w14:textId="06046503">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Law enforcement authorities</w:t>
      </w:r>
      <w:r w:rsidRPr="00DC2D6D" w:rsidR="00DC2D6D">
        <w:rPr>
          <w:sz w:val="24"/>
          <w:szCs w:val="24"/>
        </w:rPr>
        <w:t xml:space="preserve"> </w:t>
      </w:r>
      <w:r w:rsidR="00DC2D6D">
        <w:rPr>
          <w:sz w:val="24"/>
          <w:szCs w:val="24"/>
        </w:rPr>
        <w:t>(i.e. police officers, correctional staff)</w:t>
      </w:r>
    </w:p>
    <w:p w:rsidR="00711D64" w:rsidP="00E144AB" w:rsidRDefault="00DC2D6D" w14:paraId="417FC226" w14:textId="33F16F8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Other p</w:t>
      </w:r>
      <w:r w:rsidR="00711D64">
        <w:rPr>
          <w:sz w:val="24"/>
          <w:szCs w:val="24"/>
        </w:rPr>
        <w:t xml:space="preserve">ublic safety authorities (i.e. emergency medical personnel, </w:t>
      </w:r>
      <w:proofErr w:type="gramStart"/>
      <w:r w:rsidR="00711D64">
        <w:rPr>
          <w:sz w:val="24"/>
          <w:szCs w:val="24"/>
        </w:rPr>
        <w:t>fire</w:t>
      </w:r>
      <w:proofErr w:type="gramEnd"/>
      <w:r w:rsidR="00711D64">
        <w:rPr>
          <w:sz w:val="24"/>
          <w:szCs w:val="24"/>
        </w:rPr>
        <w:t xml:space="preserve"> and rescue)</w:t>
      </w:r>
    </w:p>
    <w:p w:rsidR="00E144AB" w:rsidP="00E144AB" w:rsidRDefault="00E144AB" w14:paraId="6C1C2EE4"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Medical examiners</w:t>
      </w:r>
    </w:p>
    <w:p w:rsidR="00711D64" w:rsidP="00E144AB" w:rsidRDefault="00711D64" w14:paraId="74E3722B" w14:textId="50FB237E">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Participants of overdose prevention and response services</w:t>
      </w:r>
    </w:p>
    <w:p w:rsidR="00F3329F" w:rsidP="00E144AB" w:rsidRDefault="00F3329F" w14:paraId="103FC60F" w14:textId="5050FC8A">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Individuals who </w:t>
      </w:r>
      <w:r w:rsidR="00711D64">
        <w:rPr>
          <w:sz w:val="24"/>
          <w:szCs w:val="24"/>
        </w:rPr>
        <w:t>have experienced</w:t>
      </w:r>
      <w:r>
        <w:rPr>
          <w:sz w:val="24"/>
          <w:szCs w:val="24"/>
        </w:rPr>
        <w:t xml:space="preserve"> nonfatal overdose</w:t>
      </w:r>
    </w:p>
    <w:p w:rsidR="00E144AB" w:rsidP="00E144AB" w:rsidRDefault="00E144AB" w14:paraId="799DF035" w14:textId="4EFA9E65">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Families and friends of individuals who </w:t>
      </w:r>
      <w:r w:rsidR="00711D64">
        <w:rPr>
          <w:sz w:val="24"/>
          <w:szCs w:val="24"/>
        </w:rPr>
        <w:t>have experienced</w:t>
      </w:r>
      <w:r>
        <w:rPr>
          <w:sz w:val="24"/>
          <w:szCs w:val="24"/>
        </w:rPr>
        <w:t xml:space="preserve"> drug overdose</w:t>
      </w:r>
    </w:p>
    <w:p w:rsidR="00E144AB" w:rsidP="00E144AB" w:rsidRDefault="00E144AB" w14:paraId="3B151B63" w14:textId="4952DFA1">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Members of the </w:t>
      </w:r>
      <w:proofErr w:type="gramStart"/>
      <w:r>
        <w:rPr>
          <w:sz w:val="24"/>
          <w:szCs w:val="24"/>
        </w:rPr>
        <w:t>general public</w:t>
      </w:r>
      <w:proofErr w:type="gramEnd"/>
      <w:r>
        <w:rPr>
          <w:sz w:val="24"/>
          <w:szCs w:val="24"/>
        </w:rPr>
        <w:t xml:space="preserve"> and individuals who are at higher risk for overdose </w:t>
      </w:r>
    </w:p>
    <w:p w:rsidRPr="00E078F9" w:rsidR="00E144AB" w:rsidP="00E144AB" w:rsidRDefault="00E078F9" w14:paraId="33C881CD"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lastRenderedPageBreak/>
        <w:t>Health care providers</w:t>
      </w:r>
      <w:r w:rsidRPr="00E078F9" w:rsidR="003832D0">
        <w:rPr>
          <w:sz w:val="24"/>
          <w:szCs w:val="24"/>
        </w:rPr>
        <w:t>/pharmacists; dispensers of prescription medication</w:t>
      </w:r>
    </w:p>
    <w:p w:rsidRPr="00E078F9" w:rsidR="00E144AB" w:rsidP="00E144AB" w:rsidRDefault="00E144AB" w14:paraId="6090BE3E" w14:textId="77777777">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078F9">
        <w:rPr>
          <w:sz w:val="24"/>
          <w:szCs w:val="24"/>
        </w:rPr>
        <w:t>Representatives of community organizations (e.g., substance use service providers)</w:t>
      </w:r>
    </w:p>
    <w:p w:rsidRPr="00E078F9" w:rsidR="00E14D26" w:rsidP="00E14D26" w:rsidRDefault="00E14D26" w14:paraId="2BDF2DBC"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637472" w:rsidP="00052F35" w:rsidRDefault="00637472" w14:paraId="2BEA5DA4" w14:textId="5CDDB90F">
      <w:pPr>
        <w:tabs>
          <w:tab w:val="left" w:pos="720"/>
        </w:tabs>
        <w:ind w:left="720"/>
        <w:rPr>
          <w:szCs w:val="24"/>
        </w:rPr>
      </w:pPr>
      <w:r w:rsidRPr="00E078F9">
        <w:rPr>
          <w:sz w:val="24"/>
          <w:szCs w:val="24"/>
        </w:rPr>
        <w:t>Data could be collected in multiple cities, counties, or even states depending on the size and scope of the epidemic. For example, out of state residents can access health providers and dispensers in another state to inappropriately access prescription drugs; contaminated or high potency drugs could be distributed over a large geographic area causing spikes in overdoses.</w:t>
      </w:r>
      <w:r w:rsidR="00CF3E23">
        <w:rPr>
          <w:sz w:val="24"/>
          <w:szCs w:val="24"/>
        </w:rPr>
        <w:t xml:space="preserve"> </w:t>
      </w:r>
      <w:r w:rsidRPr="006D0D50" w:rsidR="006D0D50">
        <w:rPr>
          <w:sz w:val="24"/>
          <w:szCs w:val="24"/>
        </w:rPr>
        <w:t xml:space="preserve">It is anticipated that there will be no more than </w:t>
      </w:r>
      <w:r w:rsidR="0025276D">
        <w:rPr>
          <w:sz w:val="24"/>
          <w:szCs w:val="24"/>
        </w:rPr>
        <w:t>5</w:t>
      </w:r>
      <w:r w:rsidR="00795929">
        <w:rPr>
          <w:sz w:val="24"/>
          <w:szCs w:val="24"/>
        </w:rPr>
        <w:t>3</w:t>
      </w:r>
      <w:r w:rsidRPr="006D0D50" w:rsidR="006D0D50">
        <w:rPr>
          <w:sz w:val="24"/>
          <w:szCs w:val="24"/>
        </w:rPr>
        <w:t xml:space="preserve"> DORIs per year.</w:t>
      </w:r>
      <w:r w:rsidR="006D0D50">
        <w:rPr>
          <w:sz w:val="24"/>
          <w:szCs w:val="24"/>
        </w:rPr>
        <w:t xml:space="preserve"> </w:t>
      </w:r>
    </w:p>
    <w:p w:rsidRPr="00B651A5" w:rsidR="00052F35" w:rsidP="004F0087" w:rsidRDefault="00052F35" w14:paraId="591715F9" w14:textId="77777777">
      <w:pPr>
        <w:pStyle w:val="Body1"/>
        <w:tabs>
          <w:tab w:val="num" w:pos="0"/>
          <w:tab w:val="left" w:pos="720"/>
        </w:tabs>
        <w:rPr>
          <w:b/>
          <w:szCs w:val="24"/>
        </w:rPr>
      </w:pPr>
    </w:p>
    <w:p w:rsidRPr="00B651A5" w:rsidR="00527A26" w:rsidP="001E5A9A" w:rsidRDefault="001E5A9A" w14:paraId="65B2D08A" w14:textId="77777777">
      <w:pPr>
        <w:pStyle w:val="Body1"/>
        <w:tabs>
          <w:tab w:val="num" w:pos="720"/>
        </w:tabs>
        <w:ind w:left="720" w:hanging="720"/>
        <w:rPr>
          <w:b/>
          <w:szCs w:val="24"/>
        </w:rPr>
      </w:pPr>
      <w:r w:rsidRPr="00B651A5">
        <w:rPr>
          <w:b/>
          <w:szCs w:val="24"/>
        </w:rPr>
        <w:t xml:space="preserve">3. </w:t>
      </w:r>
      <w:r w:rsidRPr="00B651A5">
        <w:rPr>
          <w:b/>
          <w:szCs w:val="24"/>
        </w:rPr>
        <w:tab/>
      </w:r>
      <w:r w:rsidRPr="00B651A5" w:rsidR="00527A26">
        <w:rPr>
          <w:b/>
          <w:szCs w:val="24"/>
        </w:rPr>
        <w:t xml:space="preserve">Use of </w:t>
      </w:r>
      <w:r w:rsidRPr="00B651A5">
        <w:rPr>
          <w:b/>
          <w:szCs w:val="24"/>
        </w:rPr>
        <w:t xml:space="preserve">Improved </w:t>
      </w:r>
      <w:r w:rsidRPr="00B651A5" w:rsidR="00527A26">
        <w:rPr>
          <w:b/>
          <w:szCs w:val="24"/>
        </w:rPr>
        <w:t>Information Technology and Burden Reduction</w:t>
      </w:r>
    </w:p>
    <w:p w:rsidRPr="00B651A5" w:rsidR="00527A26" w:rsidP="00B83871" w:rsidRDefault="00527A26" w14:paraId="17F72B3B" w14:textId="77777777">
      <w:pPr>
        <w:pStyle w:val="Body1"/>
        <w:tabs>
          <w:tab w:val="num" w:pos="0"/>
          <w:tab w:val="left" w:pos="720"/>
          <w:tab w:val="left" w:pos="1800"/>
        </w:tabs>
        <w:rPr>
          <w:b/>
          <w:szCs w:val="24"/>
        </w:rPr>
      </w:pPr>
    </w:p>
    <w:p w:rsidRPr="006E754B" w:rsidR="000A37F1" w:rsidP="000A37F1" w:rsidRDefault="000A37F1" w14:paraId="00423BE5" w14:textId="72C17B9F">
      <w:pPr>
        <w:tabs>
          <w:tab w:val="left" w:pos="720"/>
        </w:tabs>
        <w:ind w:left="720"/>
        <w:rPr>
          <w:rFonts w:eastAsia="Arial Unicode MS"/>
          <w:sz w:val="24"/>
          <w:szCs w:val="24"/>
          <w:u w:color="000000"/>
        </w:rPr>
      </w:pPr>
      <w:r>
        <w:rPr>
          <w:rFonts w:eastAsia="Arial Unicode MS"/>
          <w:sz w:val="24"/>
          <w:szCs w:val="24"/>
          <w:u w:color="000000"/>
        </w:rPr>
        <w:t xml:space="preserve">During </w:t>
      </w:r>
      <w:r w:rsidR="00E74F0A">
        <w:rPr>
          <w:rFonts w:eastAsia="Arial Unicode MS"/>
          <w:sz w:val="24"/>
          <w:szCs w:val="24"/>
          <w:u w:color="000000"/>
        </w:rPr>
        <w:t>DORIs</w:t>
      </w:r>
      <w:r>
        <w:rPr>
          <w:rFonts w:eastAsia="Arial Unicode MS"/>
          <w:sz w:val="24"/>
          <w:szCs w:val="24"/>
          <w:u w:color="000000"/>
        </w:rPr>
        <w:t>, there o</w:t>
      </w:r>
      <w:r w:rsidR="00683702">
        <w:rPr>
          <w:rFonts w:eastAsia="Arial Unicode MS"/>
          <w:sz w:val="24"/>
          <w:szCs w:val="24"/>
          <w:u w:color="000000"/>
        </w:rPr>
        <w:t>f</w:t>
      </w:r>
      <w:r>
        <w:rPr>
          <w:rFonts w:eastAsia="Arial Unicode MS"/>
          <w:sz w:val="24"/>
          <w:szCs w:val="24"/>
          <w:u w:color="000000"/>
        </w:rPr>
        <w:t xml:space="preserve">ten is not </w:t>
      </w:r>
      <w:r w:rsidR="0015390A">
        <w:rPr>
          <w:rFonts w:eastAsia="Arial Unicode MS"/>
          <w:sz w:val="24"/>
          <w:szCs w:val="24"/>
          <w:u w:color="000000"/>
        </w:rPr>
        <w:t>enough</w:t>
      </w:r>
      <w:r>
        <w:rPr>
          <w:rFonts w:eastAsia="Arial Unicode MS"/>
          <w:sz w:val="24"/>
          <w:szCs w:val="24"/>
          <w:u w:color="000000"/>
        </w:rPr>
        <w:t xml:space="preserve"> time to develop, test, and launch electronic systems for collection of data. However, </w:t>
      </w:r>
      <w:r w:rsidR="00E74F0A">
        <w:rPr>
          <w:rFonts w:eastAsia="Arial Unicode MS"/>
          <w:sz w:val="24"/>
          <w:szCs w:val="24"/>
          <w:u w:color="000000"/>
        </w:rPr>
        <w:t xml:space="preserve">DORIs </w:t>
      </w:r>
      <w:r w:rsidR="00A5163D">
        <w:rPr>
          <w:rFonts w:eastAsia="Arial Unicode MS"/>
          <w:sz w:val="24"/>
          <w:szCs w:val="24"/>
          <w:u w:color="000000"/>
        </w:rPr>
        <w:t xml:space="preserve">will </w:t>
      </w:r>
      <w:r w:rsidR="00FC76DB">
        <w:rPr>
          <w:rFonts w:eastAsia="Arial Unicode MS"/>
          <w:sz w:val="24"/>
          <w:szCs w:val="24"/>
          <w:u w:color="000000"/>
        </w:rPr>
        <w:t>employ online or electronic submission of responses when feasible.</w:t>
      </w:r>
      <w:r w:rsidRPr="00F46FA7" w:rsidR="00F46FA7">
        <w:rPr>
          <w:szCs w:val="24"/>
        </w:rPr>
        <w:t xml:space="preserve"> </w:t>
      </w:r>
      <w:r w:rsidRPr="00F46FA7" w:rsidR="00F46FA7">
        <w:rPr>
          <w:rFonts w:eastAsia="Arial Unicode MS"/>
          <w:sz w:val="24"/>
          <w:szCs w:val="24"/>
          <w:u w:color="000000"/>
        </w:rPr>
        <w:t xml:space="preserve">If this mode is utilized, it </w:t>
      </w:r>
      <w:r w:rsidR="007A229D">
        <w:rPr>
          <w:rFonts w:eastAsia="Arial Unicode MS"/>
          <w:sz w:val="24"/>
          <w:szCs w:val="24"/>
          <w:u w:color="000000"/>
        </w:rPr>
        <w:t>will</w:t>
      </w:r>
      <w:r w:rsidRPr="00F46FA7" w:rsidR="007A229D">
        <w:rPr>
          <w:rFonts w:eastAsia="Arial Unicode MS"/>
          <w:sz w:val="24"/>
          <w:szCs w:val="24"/>
          <w:u w:color="000000"/>
        </w:rPr>
        <w:t xml:space="preserve"> </w:t>
      </w:r>
      <w:r w:rsidRPr="00F46FA7" w:rsidR="00F46FA7">
        <w:rPr>
          <w:rFonts w:eastAsia="Arial Unicode MS"/>
          <w:sz w:val="24"/>
          <w:szCs w:val="24"/>
          <w:u w:color="000000"/>
        </w:rPr>
        <w:t xml:space="preserve">be password-protected. </w:t>
      </w:r>
      <w:r w:rsidR="00FC76DB">
        <w:rPr>
          <w:rFonts w:eastAsia="Arial Unicode MS"/>
          <w:sz w:val="24"/>
          <w:szCs w:val="24"/>
          <w:u w:color="000000"/>
        </w:rPr>
        <w:t xml:space="preserve"> </w:t>
      </w:r>
      <w:r w:rsidRPr="00F46FA7" w:rsidR="00CB0869">
        <w:rPr>
          <w:rFonts w:eastAsia="Arial Unicode MS"/>
          <w:sz w:val="24"/>
          <w:szCs w:val="24"/>
          <w:u w:color="000000"/>
        </w:rPr>
        <w:t>To minimize burden, existing data from medical records, for instance, could potentially be used to pre-populate data collection tools.</w:t>
      </w:r>
    </w:p>
    <w:p w:rsidRPr="006E754B" w:rsidR="00527A26" w:rsidP="006E754B" w:rsidRDefault="00527A26" w14:paraId="08008248" w14:textId="77777777">
      <w:pPr>
        <w:tabs>
          <w:tab w:val="left" w:pos="720"/>
        </w:tabs>
        <w:rPr>
          <w:rFonts w:eastAsia="Arial Unicode MS"/>
          <w:sz w:val="24"/>
          <w:szCs w:val="24"/>
          <w:u w:color="000000"/>
        </w:rPr>
      </w:pPr>
      <w:r w:rsidRPr="006E754B">
        <w:rPr>
          <w:rFonts w:eastAsia="Arial Unicode MS"/>
          <w:sz w:val="24"/>
          <w:szCs w:val="24"/>
          <w:u w:color="000000"/>
        </w:rPr>
        <w:t xml:space="preserve">  </w:t>
      </w:r>
    </w:p>
    <w:p w:rsidRPr="006E754B" w:rsidR="00527A26" w:rsidP="00E74F0A" w:rsidRDefault="003346A2" w14:paraId="1692BF94" w14:textId="03B072A2">
      <w:pPr>
        <w:tabs>
          <w:tab w:val="left" w:pos="720"/>
        </w:tabs>
        <w:ind w:left="720"/>
        <w:rPr>
          <w:szCs w:val="24"/>
        </w:rPr>
      </w:pPr>
      <w:r>
        <w:rPr>
          <w:rFonts w:eastAsia="Arial Unicode MS"/>
          <w:sz w:val="24"/>
          <w:szCs w:val="24"/>
          <w:u w:color="000000"/>
        </w:rPr>
        <w:t>Data collection protocols are designed to b</w:t>
      </w:r>
      <w:r w:rsidRPr="006E754B" w:rsidR="00527A26">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Pr="006E754B" w:rsidR="00527A26">
        <w:rPr>
          <w:rFonts w:eastAsia="Arial Unicode MS"/>
          <w:sz w:val="24"/>
          <w:szCs w:val="24"/>
          <w:u w:color="000000"/>
        </w:rPr>
        <w:t xml:space="preserve"> </w:t>
      </w:r>
      <w:r w:rsidR="008523D7">
        <w:rPr>
          <w:rFonts w:eastAsia="Arial Unicode MS"/>
          <w:sz w:val="24"/>
          <w:szCs w:val="24"/>
          <w:u w:color="000000"/>
        </w:rPr>
        <w:t>is</w:t>
      </w:r>
      <w:r w:rsidRPr="006E754B" w:rsidR="00527A26">
        <w:rPr>
          <w:rFonts w:eastAsia="Arial Unicode MS"/>
          <w:sz w:val="24"/>
          <w:szCs w:val="24"/>
          <w:u w:color="000000"/>
        </w:rPr>
        <w:t xml:space="preserve"> tailored to meet the immediate needs of the local authorities responding to the public health problem. </w:t>
      </w:r>
    </w:p>
    <w:p w:rsidRPr="0072690B" w:rsidR="00527A26" w:rsidP="00B83871" w:rsidRDefault="00527A26" w14:paraId="16CC5432" w14:textId="77777777">
      <w:pPr>
        <w:pStyle w:val="Body1"/>
        <w:tabs>
          <w:tab w:val="num" w:pos="0"/>
          <w:tab w:val="left" w:pos="720"/>
          <w:tab w:val="left" w:pos="1800"/>
        </w:tabs>
        <w:rPr>
          <w:szCs w:val="24"/>
        </w:rPr>
      </w:pPr>
    </w:p>
    <w:p w:rsidRPr="0072690B" w:rsidR="00527A26" w:rsidP="00AC3A9F" w:rsidRDefault="00AC3A9F" w14:paraId="37C6B8AD" w14:textId="77777777">
      <w:pPr>
        <w:pStyle w:val="Body1"/>
        <w:tabs>
          <w:tab w:val="num" w:pos="720"/>
        </w:tabs>
        <w:rPr>
          <w:b/>
          <w:szCs w:val="24"/>
        </w:rPr>
      </w:pPr>
      <w:r w:rsidRPr="0072690B">
        <w:rPr>
          <w:b/>
          <w:szCs w:val="24"/>
        </w:rPr>
        <w:t xml:space="preserve">4. </w:t>
      </w:r>
      <w:r w:rsidRPr="0072690B">
        <w:rPr>
          <w:b/>
          <w:szCs w:val="24"/>
        </w:rPr>
        <w:tab/>
      </w:r>
      <w:r w:rsidRPr="0072690B" w:rsidR="00527A26">
        <w:rPr>
          <w:b/>
          <w:szCs w:val="24"/>
        </w:rPr>
        <w:t>Efforts to Identify Duplication and Use of Similar Information</w:t>
      </w:r>
    </w:p>
    <w:p w:rsidRPr="0072690B" w:rsidR="00527A26" w:rsidP="00B83871" w:rsidRDefault="00527A26" w14:paraId="5DA79103" w14:textId="77777777">
      <w:pPr>
        <w:pStyle w:val="Body1"/>
        <w:tabs>
          <w:tab w:val="num" w:pos="0"/>
          <w:tab w:val="left" w:pos="720"/>
          <w:tab w:val="left" w:pos="1080"/>
          <w:tab w:val="left" w:pos="1800"/>
        </w:tabs>
        <w:rPr>
          <w:b/>
          <w:szCs w:val="24"/>
        </w:rPr>
      </w:pPr>
    </w:p>
    <w:p w:rsidR="001A3A81" w:rsidP="006E754B" w:rsidRDefault="001A3A81" w14:paraId="0072FF41" w14:textId="232A6BAC">
      <w:pPr>
        <w:ind w:left="720"/>
        <w:rPr>
          <w:rFonts w:eastAsia="Arial Unicode MS"/>
          <w:sz w:val="24"/>
          <w:szCs w:val="24"/>
          <w:u w:color="000000"/>
        </w:rPr>
      </w:pPr>
      <w:r w:rsidRPr="006E754B">
        <w:rPr>
          <w:rFonts w:eastAsia="Arial Unicode MS"/>
          <w:sz w:val="24"/>
          <w:szCs w:val="24"/>
          <w:u w:color="000000"/>
        </w:rPr>
        <w:t xml:space="preserve">Literature searches and discussions with </w:t>
      </w:r>
      <w:r w:rsidR="00725CF0">
        <w:rPr>
          <w:rFonts w:eastAsia="Arial Unicode MS"/>
          <w:sz w:val="24"/>
          <w:szCs w:val="24"/>
          <w:u w:color="000000"/>
        </w:rPr>
        <w:t>local</w:t>
      </w:r>
      <w:r w:rsidR="0088487F">
        <w:rPr>
          <w:rFonts w:eastAsia="Arial Unicode MS"/>
          <w:sz w:val="24"/>
          <w:szCs w:val="24"/>
          <w:u w:color="000000"/>
        </w:rPr>
        <w:t xml:space="preserve"> authorities</w:t>
      </w:r>
      <w:r w:rsidRPr="006E754B">
        <w:rPr>
          <w:rFonts w:eastAsia="Arial Unicode MS"/>
          <w:sz w:val="24"/>
          <w:szCs w:val="24"/>
          <w:u w:color="000000"/>
        </w:rPr>
        <w:t xml:space="preserve"> are initially 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w:t>
      </w:r>
      <w:r w:rsidR="003B6046">
        <w:rPr>
          <w:rFonts w:eastAsia="Arial Unicode MS"/>
          <w:sz w:val="24"/>
          <w:szCs w:val="24"/>
          <w:u w:color="000000"/>
        </w:rPr>
        <w:t>,</w:t>
      </w:r>
      <w:r w:rsidRPr="006E754B">
        <w:rPr>
          <w:rFonts w:eastAsia="Arial Unicode MS"/>
          <w:sz w:val="24"/>
          <w:szCs w:val="24"/>
          <w:u w:color="000000"/>
        </w:rPr>
        <w:t xml:space="preserve"> whenever appropriate</w:t>
      </w:r>
      <w:r w:rsidR="003B6046">
        <w:rPr>
          <w:rFonts w:eastAsia="Arial Unicode MS"/>
          <w:sz w:val="24"/>
          <w:szCs w:val="24"/>
          <w:u w:color="000000"/>
        </w:rPr>
        <w:t>,</w:t>
      </w:r>
      <w:r w:rsidRPr="006E754B">
        <w:rPr>
          <w:rFonts w:eastAsia="Arial Unicode MS"/>
          <w:sz w:val="24"/>
          <w:szCs w:val="24"/>
          <w:u w:color="000000"/>
        </w:rPr>
        <w:t xml:space="preserv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w:t>
      </w:r>
      <w:proofErr w:type="gramStart"/>
      <w:r w:rsidRPr="006E754B">
        <w:rPr>
          <w:rFonts w:eastAsia="Arial Unicode MS"/>
          <w:sz w:val="24"/>
          <w:szCs w:val="24"/>
          <w:u w:color="000000"/>
        </w:rPr>
        <w:t>an emergency situation</w:t>
      </w:r>
      <w:proofErr w:type="gramEnd"/>
      <w:r w:rsidRPr="006E754B">
        <w:rPr>
          <w:rFonts w:eastAsia="Arial Unicode MS"/>
          <w:sz w:val="24"/>
          <w:szCs w:val="24"/>
          <w:u w:color="000000"/>
        </w:rPr>
        <w:t xml:space="preserve"> generally requires the collection of data specific to the particular e</w:t>
      </w:r>
      <w:r w:rsidR="00325322">
        <w:rPr>
          <w:rFonts w:eastAsia="Arial Unicode MS"/>
          <w:sz w:val="24"/>
          <w:szCs w:val="24"/>
          <w:u w:color="000000"/>
        </w:rPr>
        <w:t>vent</w:t>
      </w:r>
      <w:r w:rsidR="003B6046">
        <w:rPr>
          <w:rFonts w:eastAsia="Arial Unicode MS"/>
          <w:sz w:val="24"/>
          <w:szCs w:val="24"/>
          <w:u w:color="000000"/>
        </w:rPr>
        <w:t xml:space="preserve"> as</w:t>
      </w:r>
      <w:r w:rsidRPr="006E754B">
        <w:rPr>
          <w:rFonts w:eastAsia="Arial Unicode MS"/>
          <w:sz w:val="24"/>
          <w:szCs w:val="24"/>
          <w:u w:color="000000"/>
        </w:rPr>
        <w:t xml:space="preserv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w:t>
      </w:r>
      <w:r w:rsidR="00206A43">
        <w:rPr>
          <w:rFonts w:eastAsia="Arial Unicode MS"/>
          <w:sz w:val="24"/>
          <w:szCs w:val="24"/>
          <w:u w:color="000000"/>
        </w:rPr>
        <w:t>class of drug</w:t>
      </w:r>
      <w:r w:rsidRPr="006E754B">
        <w:rPr>
          <w:rFonts w:eastAsia="Arial Unicode MS"/>
          <w:sz w:val="24"/>
          <w:szCs w:val="24"/>
          <w:u w:color="000000"/>
        </w:rPr>
        <w:t xml:space="preserve">, </w:t>
      </w:r>
      <w:r w:rsidR="00206A43">
        <w:rPr>
          <w:rFonts w:eastAsia="Arial Unicode MS"/>
          <w:sz w:val="24"/>
          <w:szCs w:val="24"/>
          <w:u w:color="000000"/>
        </w:rPr>
        <w:t xml:space="preserve">method of drug administration, </w:t>
      </w:r>
      <w:r w:rsidRPr="006E754B">
        <w:rPr>
          <w:rFonts w:eastAsia="Arial Unicode MS"/>
          <w:sz w:val="24"/>
          <w:szCs w:val="24"/>
          <w:u w:color="000000"/>
        </w:rPr>
        <w:t>location, affected population</w:t>
      </w:r>
      <w:r w:rsidR="008523D7">
        <w:rPr>
          <w:rFonts w:eastAsia="Arial Unicode MS"/>
          <w:sz w:val="24"/>
          <w:szCs w:val="24"/>
          <w:u w:color="000000"/>
        </w:rPr>
        <w:t>s</w:t>
      </w:r>
      <w:r w:rsidRPr="006E754B">
        <w:rPr>
          <w:rFonts w:eastAsia="Arial Unicode MS"/>
          <w:sz w:val="24"/>
          <w:szCs w:val="24"/>
          <w:u w:color="000000"/>
        </w:rPr>
        <w:t>, 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rsidR="00332B6F" w:rsidP="006E754B" w:rsidRDefault="00332B6F" w14:paraId="56B707F3" w14:textId="77777777">
      <w:pPr>
        <w:ind w:left="720"/>
        <w:rPr>
          <w:rFonts w:eastAsia="Arial Unicode MS"/>
          <w:sz w:val="24"/>
          <w:szCs w:val="24"/>
          <w:u w:color="000000"/>
        </w:rPr>
      </w:pPr>
    </w:p>
    <w:p w:rsidRPr="006E754B" w:rsidR="00332B6F" w:rsidP="006E754B" w:rsidRDefault="00332B6F" w14:paraId="46B8DCFB" w14:textId="169D775F">
      <w:pPr>
        <w:ind w:left="720"/>
        <w:rPr>
          <w:rFonts w:eastAsia="Arial Unicode MS"/>
          <w:sz w:val="24"/>
          <w:szCs w:val="24"/>
          <w:u w:color="000000"/>
        </w:rPr>
      </w:pPr>
      <w:r>
        <w:rPr>
          <w:rFonts w:eastAsia="Arial Unicode MS"/>
          <w:sz w:val="24"/>
          <w:szCs w:val="24"/>
          <w:u w:color="000000"/>
        </w:rPr>
        <w:t xml:space="preserve">NCIPC has reached out to other Centers within CDC </w:t>
      </w:r>
      <w:r w:rsidR="00FF0A6D">
        <w:rPr>
          <w:rFonts w:eastAsia="Arial Unicode MS"/>
          <w:sz w:val="24"/>
          <w:szCs w:val="24"/>
          <w:u w:color="000000"/>
        </w:rPr>
        <w:t xml:space="preserve">(the National Center for Environmental Health, Division of Environmental Hazards and Health Effects) </w:t>
      </w:r>
      <w:r>
        <w:rPr>
          <w:rFonts w:eastAsia="Arial Unicode MS"/>
          <w:sz w:val="24"/>
          <w:szCs w:val="24"/>
          <w:u w:color="000000"/>
        </w:rPr>
        <w:t xml:space="preserve">to determine the type of information collected by those Centers </w:t>
      </w:r>
      <w:r w:rsidR="00FF0A6D">
        <w:rPr>
          <w:rFonts w:eastAsia="Arial Unicode MS"/>
          <w:sz w:val="24"/>
          <w:szCs w:val="24"/>
          <w:u w:color="000000"/>
        </w:rPr>
        <w:t>(</w:t>
      </w:r>
      <w:r>
        <w:rPr>
          <w:rFonts w:eastAsia="Arial Unicode MS"/>
          <w:sz w:val="24"/>
          <w:szCs w:val="24"/>
          <w:u w:color="000000"/>
        </w:rPr>
        <w:t>within Epi-Aids and otherwise</w:t>
      </w:r>
      <w:r w:rsidR="00FF0A6D">
        <w:rPr>
          <w:rFonts w:eastAsia="Arial Unicode MS"/>
          <w:sz w:val="24"/>
          <w:szCs w:val="24"/>
          <w:u w:color="000000"/>
        </w:rPr>
        <w:t xml:space="preserve">) related to </w:t>
      </w:r>
      <w:r w:rsidR="00D8329E">
        <w:rPr>
          <w:rFonts w:eastAsia="Arial Unicode MS"/>
          <w:sz w:val="24"/>
          <w:szCs w:val="24"/>
          <w:u w:color="000000"/>
        </w:rPr>
        <w:t xml:space="preserve"> and overdose prevention and response</w:t>
      </w:r>
      <w:r w:rsidR="00FF0A6D">
        <w:rPr>
          <w:rFonts w:eastAsia="Arial Unicode MS"/>
          <w:sz w:val="24"/>
          <w:szCs w:val="24"/>
          <w:u w:color="000000"/>
        </w:rPr>
        <w:t xml:space="preserve"> </w:t>
      </w:r>
      <w:r>
        <w:rPr>
          <w:rFonts w:eastAsia="Arial Unicode MS"/>
          <w:sz w:val="24"/>
          <w:szCs w:val="24"/>
          <w:u w:color="000000"/>
        </w:rPr>
        <w:t>to ensure that the collection of information is not duplicative</w:t>
      </w:r>
      <w:r w:rsidR="00FF0A6D">
        <w:rPr>
          <w:rFonts w:eastAsia="Arial Unicode MS"/>
          <w:sz w:val="24"/>
          <w:szCs w:val="24"/>
          <w:u w:color="000000"/>
        </w:rPr>
        <w:t xml:space="preserve"> and that other Centers are not collecting similar information. When Epi-Aid </w:t>
      </w:r>
      <w:r w:rsidR="0022573B">
        <w:rPr>
          <w:rFonts w:eastAsia="Arial Unicode MS"/>
          <w:sz w:val="24"/>
          <w:szCs w:val="24"/>
          <w:u w:color="000000"/>
        </w:rPr>
        <w:t xml:space="preserve">or other urgent data collection </w:t>
      </w:r>
      <w:r w:rsidR="00FF0A6D">
        <w:rPr>
          <w:rFonts w:eastAsia="Arial Unicode MS"/>
          <w:sz w:val="24"/>
          <w:szCs w:val="24"/>
          <w:u w:color="000000"/>
        </w:rPr>
        <w:t xml:space="preserve">requests are received from state and local </w:t>
      </w:r>
      <w:r w:rsidR="00A05AF7">
        <w:rPr>
          <w:rFonts w:eastAsia="Arial Unicode MS"/>
          <w:sz w:val="24"/>
          <w:szCs w:val="24"/>
          <w:u w:color="000000"/>
        </w:rPr>
        <w:t>public agencies</w:t>
      </w:r>
      <w:r w:rsidR="00FF0A6D">
        <w:rPr>
          <w:rFonts w:eastAsia="Arial Unicode MS"/>
          <w:sz w:val="24"/>
          <w:szCs w:val="24"/>
          <w:u w:color="000000"/>
        </w:rPr>
        <w:t xml:space="preserve"> related to drug overdose, NCIPC reaches out to other Centers conducting work on to ensure that similar information does not already exist to meet the state/local </w:t>
      </w:r>
      <w:r w:rsidR="00A05AF7">
        <w:rPr>
          <w:rFonts w:eastAsia="Arial Unicode MS"/>
          <w:sz w:val="24"/>
          <w:szCs w:val="24"/>
          <w:u w:color="000000"/>
        </w:rPr>
        <w:t>agencies’</w:t>
      </w:r>
      <w:r w:rsidR="00FF0A6D">
        <w:rPr>
          <w:rFonts w:eastAsia="Arial Unicode MS"/>
          <w:sz w:val="24"/>
          <w:szCs w:val="24"/>
          <w:u w:color="000000"/>
        </w:rPr>
        <w:t xml:space="preserve"> needs. </w:t>
      </w:r>
      <w:r w:rsidR="00A50004">
        <w:rPr>
          <w:rFonts w:eastAsia="Arial Unicode MS"/>
          <w:sz w:val="24"/>
          <w:szCs w:val="24"/>
          <w:u w:color="000000"/>
        </w:rPr>
        <w:t xml:space="preserve">NCIPC has also reached out to the Substance Abuse and Mental Health Services Administration to ensure the proposed data collection is not duplicative of any of their efforts in working with states. </w:t>
      </w:r>
    </w:p>
    <w:p w:rsidRPr="0072690B" w:rsidR="00527A26" w:rsidP="00D42D37" w:rsidRDefault="00527A26" w14:paraId="3D02571C" w14:textId="77777777">
      <w:pPr>
        <w:pStyle w:val="Body1"/>
        <w:tabs>
          <w:tab w:val="num" w:pos="720"/>
          <w:tab w:val="left" w:pos="1080"/>
          <w:tab w:val="left" w:pos="1800"/>
        </w:tabs>
        <w:ind w:left="720"/>
        <w:rPr>
          <w:szCs w:val="24"/>
        </w:rPr>
      </w:pPr>
    </w:p>
    <w:p w:rsidRPr="00506F5C" w:rsidR="00D409FC" w:rsidP="00506F5C" w:rsidRDefault="00D409FC" w14:paraId="1DD4A36B" w14:textId="17E7C6E5">
      <w:pPr>
        <w:ind w:left="720"/>
        <w:rPr>
          <w:sz w:val="24"/>
          <w:szCs w:val="24"/>
        </w:rPr>
      </w:pPr>
      <w:r w:rsidRPr="00506F5C">
        <w:rPr>
          <w:rFonts w:eastAsia="Arial Unicode MS"/>
          <w:sz w:val="24"/>
          <w:szCs w:val="24"/>
          <w:u w:color="000000"/>
        </w:rPr>
        <w:t xml:space="preserve">A CDC staff person will </w:t>
      </w:r>
      <w:r w:rsidR="00B73F54">
        <w:rPr>
          <w:rFonts w:eastAsia="Arial Unicode MS"/>
          <w:sz w:val="24"/>
          <w:szCs w:val="24"/>
          <w:u w:color="000000"/>
        </w:rPr>
        <w:t xml:space="preserve">continue to </w:t>
      </w:r>
      <w:r w:rsidRPr="00506F5C">
        <w:rPr>
          <w:rFonts w:eastAsia="Arial Unicode MS"/>
          <w:sz w:val="24"/>
          <w:szCs w:val="24"/>
          <w:u w:color="000000"/>
        </w:rPr>
        <w:t xml:space="preserve">serve in the role of </w:t>
      </w:r>
      <w:r w:rsidR="00206A43">
        <w:rPr>
          <w:rFonts w:eastAsia="Arial Unicode MS"/>
          <w:sz w:val="24"/>
          <w:szCs w:val="24"/>
          <w:u w:color="000000"/>
        </w:rPr>
        <w:t xml:space="preserve">DORI </w:t>
      </w:r>
      <w:r w:rsidRPr="00506F5C">
        <w:rPr>
          <w:rFonts w:eastAsia="Arial Unicode MS"/>
          <w:sz w:val="24"/>
          <w:szCs w:val="24"/>
          <w:u w:color="000000"/>
        </w:rPr>
        <w:t xml:space="preserve">Information Collection Request Liaison (ICRL). The ICRL </w:t>
      </w:r>
      <w:r w:rsidRPr="00506F5C">
        <w:rPr>
          <w:sz w:val="24"/>
          <w:szCs w:val="24"/>
        </w:rPr>
        <w:t xml:space="preserve">will </w:t>
      </w:r>
      <w:r w:rsidRPr="00506F5C" w:rsidR="00DF316D">
        <w:rPr>
          <w:sz w:val="24"/>
          <w:szCs w:val="24"/>
        </w:rPr>
        <w:t xml:space="preserve">be responsible for </w:t>
      </w:r>
      <w:r w:rsidRPr="00506F5C">
        <w:rPr>
          <w:sz w:val="24"/>
          <w:szCs w:val="24"/>
        </w:rPr>
        <w:t>maintain</w:t>
      </w:r>
      <w:r w:rsidRPr="00506F5C" w:rsidR="00DF316D">
        <w:rPr>
          <w:sz w:val="24"/>
          <w:szCs w:val="24"/>
        </w:rPr>
        <w:t>ing</w:t>
      </w:r>
      <w:r w:rsidRPr="00506F5C">
        <w:rPr>
          <w:sz w:val="24"/>
          <w:szCs w:val="24"/>
        </w:rPr>
        <w:t xml:space="preserve"> a data collection </w:t>
      </w:r>
      <w:r w:rsidRPr="00506F5C">
        <w:rPr>
          <w:sz w:val="24"/>
          <w:szCs w:val="24"/>
        </w:rPr>
        <w:lastRenderedPageBreak/>
        <w:t>instrument library</w:t>
      </w:r>
      <w:r w:rsidRPr="00506F5C" w:rsidR="00D52205">
        <w:rPr>
          <w:sz w:val="24"/>
          <w:szCs w:val="24"/>
        </w:rPr>
        <w:t xml:space="preserve"> </w:t>
      </w:r>
      <w:r w:rsidR="00D52205">
        <w:rPr>
          <w:sz w:val="24"/>
          <w:szCs w:val="24"/>
        </w:rPr>
        <w:t>which</w:t>
      </w:r>
      <w:r w:rsidRPr="00506F5C">
        <w:rPr>
          <w:sz w:val="24"/>
          <w:szCs w:val="24"/>
        </w:rPr>
        <w:t xml:space="preserve"> </w:t>
      </w:r>
      <w:r w:rsidR="00D52205">
        <w:rPr>
          <w:sz w:val="24"/>
          <w:szCs w:val="24"/>
        </w:rPr>
        <w:t xml:space="preserve">will </w:t>
      </w:r>
      <w:r w:rsidRPr="00506F5C">
        <w:rPr>
          <w:sz w:val="24"/>
          <w:szCs w:val="24"/>
        </w:rPr>
        <w:t xml:space="preserve">include the final data collection instruments administered in </w:t>
      </w:r>
      <w:r w:rsidR="00206A43">
        <w:rPr>
          <w:sz w:val="24"/>
          <w:szCs w:val="24"/>
        </w:rPr>
        <w:t xml:space="preserve">DORIs </w:t>
      </w:r>
      <w:r w:rsidRPr="00506F5C">
        <w:rPr>
          <w:sz w:val="24"/>
          <w:szCs w:val="24"/>
        </w:rPr>
        <w:t xml:space="preserve">under this </w:t>
      </w:r>
      <w:r w:rsidR="003B6046">
        <w:rPr>
          <w:sz w:val="24"/>
          <w:szCs w:val="24"/>
        </w:rPr>
        <w:t>ICR</w:t>
      </w:r>
      <w:r w:rsidRPr="00506F5C">
        <w:rPr>
          <w:sz w:val="24"/>
          <w:szCs w:val="24"/>
        </w:rPr>
        <w:t xml:space="preserve">.  In the event a collection is requested from a CDC program, the </w:t>
      </w:r>
      <w:r w:rsidRPr="00506F5C" w:rsidR="00DF316D">
        <w:rPr>
          <w:sz w:val="24"/>
          <w:szCs w:val="24"/>
        </w:rPr>
        <w:t>ICRL will require the program to determine whether or not the informatio</w:t>
      </w:r>
      <w:r w:rsidRPr="00506F5C" w:rsidR="00C37B11">
        <w:rPr>
          <w:sz w:val="24"/>
          <w:szCs w:val="24"/>
        </w:rPr>
        <w:t>n already exists</w:t>
      </w:r>
      <w:r w:rsidR="00206A43">
        <w:rPr>
          <w:sz w:val="24"/>
          <w:szCs w:val="24"/>
        </w:rPr>
        <w:t>, and to use data collection instruments (or components of such instruments) that have already been approved in previous DORIs</w:t>
      </w:r>
      <w:r w:rsidRPr="00506F5C" w:rsidR="00C37B11">
        <w:rPr>
          <w:sz w:val="24"/>
          <w:szCs w:val="24"/>
        </w:rPr>
        <w:t xml:space="preserve">. </w:t>
      </w:r>
    </w:p>
    <w:p w:rsidRPr="0072690B" w:rsidR="00527A26" w:rsidP="00B83871" w:rsidRDefault="00527A26" w14:paraId="018DF5F9" w14:textId="77777777">
      <w:pPr>
        <w:pStyle w:val="Body1"/>
        <w:tabs>
          <w:tab w:val="num" w:pos="0"/>
          <w:tab w:val="left" w:pos="720"/>
          <w:tab w:val="left" w:pos="1080"/>
          <w:tab w:val="left" w:pos="1800"/>
        </w:tabs>
        <w:rPr>
          <w:szCs w:val="24"/>
        </w:rPr>
      </w:pPr>
    </w:p>
    <w:p w:rsidRPr="0072690B" w:rsidR="00527A26" w:rsidP="00B14FF7" w:rsidRDefault="00B14FF7" w14:paraId="3E220A7A" w14:textId="77777777">
      <w:pPr>
        <w:pStyle w:val="Body1"/>
        <w:tabs>
          <w:tab w:val="num" w:pos="720"/>
        </w:tabs>
        <w:rPr>
          <w:b/>
          <w:szCs w:val="24"/>
        </w:rPr>
      </w:pPr>
      <w:r w:rsidRPr="0072690B">
        <w:rPr>
          <w:b/>
          <w:szCs w:val="24"/>
        </w:rPr>
        <w:t>5.</w:t>
      </w:r>
      <w:r w:rsidRPr="0072690B">
        <w:rPr>
          <w:b/>
          <w:szCs w:val="24"/>
        </w:rPr>
        <w:tab/>
      </w:r>
      <w:r w:rsidRPr="0072690B" w:rsidR="00527A26">
        <w:rPr>
          <w:b/>
          <w:szCs w:val="24"/>
        </w:rPr>
        <w:t>Impact on Small Businesses or Other Small Entities</w:t>
      </w:r>
    </w:p>
    <w:p w:rsidRPr="0072690B" w:rsidR="00527A26" w:rsidP="00B83871" w:rsidRDefault="00527A26" w14:paraId="3AF8CCEE" w14:textId="77777777">
      <w:pPr>
        <w:pStyle w:val="Body1"/>
        <w:tabs>
          <w:tab w:val="num" w:pos="0"/>
          <w:tab w:val="left" w:pos="720"/>
          <w:tab w:val="left" w:pos="1080"/>
          <w:tab w:val="left" w:pos="1800"/>
        </w:tabs>
        <w:rPr>
          <w:b/>
          <w:szCs w:val="24"/>
        </w:rPr>
      </w:pPr>
    </w:p>
    <w:p w:rsidRPr="00B651A5" w:rsidR="001A3A81" w:rsidP="00B651A5" w:rsidRDefault="00456CF8" w14:paraId="75DA86E5" w14:textId="5F10BD14">
      <w:pPr>
        <w:ind w:left="720"/>
        <w:rPr>
          <w:rFonts w:eastAsia="Arial Unicode MS"/>
          <w:sz w:val="24"/>
          <w:szCs w:val="24"/>
          <w:u w:color="000000"/>
        </w:rPr>
      </w:pPr>
      <w:r w:rsidRPr="00456CF8">
        <w:rPr>
          <w:rFonts w:eastAsia="Arial Unicode MS"/>
          <w:sz w:val="24"/>
          <w:szCs w:val="24"/>
          <w:u w:color="000000"/>
        </w:rPr>
        <w:t xml:space="preserve">Every effort is made to minimize the burden on all respondents during the collection of information during </w:t>
      </w:r>
      <w:r w:rsidR="00206A43">
        <w:rPr>
          <w:rFonts w:eastAsia="Arial Unicode MS"/>
          <w:sz w:val="24"/>
          <w:szCs w:val="24"/>
          <w:u w:color="000000"/>
        </w:rPr>
        <w:t>drug overdose investigations</w:t>
      </w:r>
      <w:r w:rsidRPr="00456CF8">
        <w:rPr>
          <w:rFonts w:eastAsia="Arial Unicode MS"/>
          <w:sz w:val="24"/>
          <w:szCs w:val="24"/>
          <w:u w:color="000000"/>
        </w:rPr>
        <w:t xml:space="preserve">. Information collected is held to the absolute minimum required to inform </w:t>
      </w:r>
      <w:r w:rsidR="00206A43">
        <w:rPr>
          <w:rFonts w:eastAsia="Arial Unicode MS"/>
          <w:sz w:val="24"/>
          <w:szCs w:val="24"/>
          <w:u w:color="000000"/>
        </w:rPr>
        <w:t xml:space="preserve">immediate </w:t>
      </w:r>
      <w:r w:rsidRPr="00456CF8">
        <w:rPr>
          <w:rFonts w:eastAsia="Arial Unicode MS"/>
          <w:sz w:val="24"/>
          <w:szCs w:val="24"/>
          <w:u w:color="000000"/>
        </w:rPr>
        <w:t>effective prevention and control measures</w:t>
      </w:r>
      <w:r w:rsidR="0078769C">
        <w:rPr>
          <w:rFonts w:eastAsia="Arial Unicode MS"/>
          <w:sz w:val="24"/>
          <w:szCs w:val="24"/>
          <w:u w:color="000000"/>
        </w:rPr>
        <w:t xml:space="preserve"> to ease impact on small businesses or entities</w:t>
      </w:r>
      <w:r w:rsidRPr="00456CF8">
        <w:rPr>
          <w:rFonts w:eastAsia="Arial Unicode MS"/>
          <w:sz w:val="24"/>
          <w:szCs w:val="24"/>
          <w:u w:color="000000"/>
        </w:rPr>
        <w:t xml:space="preserve">. </w:t>
      </w:r>
      <w:r w:rsidRPr="004D3AB4" w:rsidR="004D3AB4">
        <w:rPr>
          <w:rFonts w:eastAsia="Arial Unicode MS"/>
          <w:sz w:val="24"/>
          <w:szCs w:val="24"/>
          <w:u w:color="000000"/>
        </w:rPr>
        <w:t>No small businesses will be involved in this data collection.</w:t>
      </w:r>
    </w:p>
    <w:p w:rsidRPr="0072690B" w:rsidR="00527A26" w:rsidP="00B83871" w:rsidRDefault="00527A26" w14:paraId="5B76077C" w14:textId="77777777">
      <w:pPr>
        <w:pStyle w:val="Body1"/>
        <w:tabs>
          <w:tab w:val="num" w:pos="0"/>
          <w:tab w:val="left" w:pos="720"/>
          <w:tab w:val="left" w:pos="1080"/>
          <w:tab w:val="left" w:pos="1800"/>
        </w:tabs>
        <w:rPr>
          <w:b/>
          <w:szCs w:val="24"/>
        </w:rPr>
      </w:pPr>
    </w:p>
    <w:p w:rsidRPr="0072690B" w:rsidR="00527A26" w:rsidP="00B14FF7" w:rsidRDefault="00B14FF7" w14:paraId="5A0A0978" w14:textId="77777777">
      <w:pPr>
        <w:pStyle w:val="Body1"/>
        <w:tabs>
          <w:tab w:val="num" w:pos="720"/>
        </w:tabs>
        <w:rPr>
          <w:b/>
          <w:szCs w:val="24"/>
        </w:rPr>
      </w:pPr>
      <w:r w:rsidRPr="0072690B">
        <w:rPr>
          <w:b/>
          <w:szCs w:val="24"/>
        </w:rPr>
        <w:t xml:space="preserve">6. </w:t>
      </w:r>
      <w:r w:rsidRPr="0072690B">
        <w:rPr>
          <w:b/>
          <w:szCs w:val="24"/>
        </w:rPr>
        <w:tab/>
      </w:r>
      <w:r w:rsidRPr="0072690B" w:rsidR="00527A26">
        <w:rPr>
          <w:b/>
          <w:szCs w:val="24"/>
        </w:rPr>
        <w:t>Consequences of Collecting the Information Less Frequently</w:t>
      </w:r>
    </w:p>
    <w:p w:rsidRPr="0072690B" w:rsidR="00527A26" w:rsidP="00B83871" w:rsidRDefault="00527A26" w14:paraId="4E1A303D" w14:textId="77777777">
      <w:pPr>
        <w:pStyle w:val="Body1"/>
        <w:tabs>
          <w:tab w:val="num" w:pos="0"/>
          <w:tab w:val="left" w:pos="720"/>
          <w:tab w:val="left" w:pos="1080"/>
          <w:tab w:val="left" w:pos="1800"/>
        </w:tabs>
        <w:rPr>
          <w:b/>
          <w:szCs w:val="24"/>
        </w:rPr>
      </w:pPr>
    </w:p>
    <w:p w:rsidRPr="00B651A5" w:rsidR="00206A43" w:rsidP="00206A43" w:rsidRDefault="00206A43" w14:paraId="5DB9605C" w14:textId="568165F2">
      <w:pPr>
        <w:ind w:left="720"/>
        <w:rPr>
          <w:rFonts w:eastAsia="Arial Unicode MS"/>
          <w:sz w:val="24"/>
          <w:szCs w:val="24"/>
          <w:u w:color="000000"/>
        </w:rPr>
      </w:pPr>
      <w:r>
        <w:rPr>
          <w:rFonts w:eastAsia="Arial Unicode MS"/>
          <w:sz w:val="24"/>
          <w:szCs w:val="24"/>
          <w:u w:color="000000"/>
        </w:rPr>
        <w:t>DORIs</w:t>
      </w:r>
      <w:r w:rsidR="00B27D8A">
        <w:rPr>
          <w:rFonts w:eastAsia="Arial Unicode MS"/>
          <w:sz w:val="24"/>
          <w:szCs w:val="24"/>
          <w:u w:color="000000"/>
        </w:rPr>
        <w:t xml:space="preserve"> </w:t>
      </w:r>
      <w:r w:rsidR="0088487F">
        <w:rPr>
          <w:rFonts w:eastAsia="Arial Unicode MS"/>
          <w:sz w:val="24"/>
          <w:szCs w:val="24"/>
          <w:u w:color="000000"/>
        </w:rPr>
        <w:t xml:space="preserve">involve </w:t>
      </w:r>
      <w:r w:rsidRPr="00B651A5" w:rsidR="001A3A81">
        <w:rPr>
          <w:rFonts w:eastAsia="Arial Unicode MS"/>
          <w:sz w:val="24"/>
          <w:szCs w:val="24"/>
          <w:u w:color="000000"/>
        </w:rPr>
        <w:t>one-time</w:t>
      </w:r>
      <w:r w:rsidRPr="00B651A5" w:rsidR="00631986">
        <w:rPr>
          <w:rFonts w:eastAsia="Arial Unicode MS"/>
          <w:sz w:val="24"/>
          <w:szCs w:val="24"/>
          <w:u w:color="000000"/>
        </w:rPr>
        <w:t>, rapid</w:t>
      </w:r>
      <w:r w:rsidRPr="00B651A5" w:rsidR="001A3A81">
        <w:rPr>
          <w:rFonts w:eastAsia="Arial Unicode MS"/>
          <w:sz w:val="24"/>
          <w:szCs w:val="24"/>
          <w:u w:color="000000"/>
        </w:rPr>
        <w:t xml:space="preserve"> data collection efforts related to a specific </w:t>
      </w:r>
      <w:r w:rsidR="0088487F">
        <w:rPr>
          <w:rFonts w:eastAsia="Arial Unicode MS"/>
          <w:sz w:val="24"/>
          <w:szCs w:val="24"/>
          <w:u w:color="000000"/>
        </w:rPr>
        <w:t>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w:t>
      </w:r>
      <w:r>
        <w:rPr>
          <w:rFonts w:eastAsia="Arial Unicode MS"/>
          <w:sz w:val="24"/>
          <w:szCs w:val="24"/>
          <w:u w:color="000000"/>
        </w:rPr>
        <w:t xml:space="preserve">responding to state technical assistance requests and </w:t>
      </w:r>
      <w:r w:rsidR="00971766">
        <w:rPr>
          <w:rFonts w:eastAsia="Arial Unicode MS"/>
          <w:sz w:val="24"/>
          <w:szCs w:val="24"/>
          <w:u w:color="000000"/>
        </w:rPr>
        <w:t>identifying effective prevention and control measures</w:t>
      </w:r>
      <w:r>
        <w:rPr>
          <w:rFonts w:eastAsia="Arial Unicode MS"/>
          <w:sz w:val="24"/>
          <w:szCs w:val="24"/>
          <w:u w:color="000000"/>
        </w:rPr>
        <w:t xml:space="preserve"> that could lead to reduced morbidity and mortality associated with the local drug overdose epidemic. </w:t>
      </w:r>
    </w:p>
    <w:p w:rsidRPr="0072690B" w:rsidR="00527A26" w:rsidP="00B83871" w:rsidRDefault="00527A26" w14:paraId="2BB29F36" w14:textId="77777777">
      <w:pPr>
        <w:pStyle w:val="Body1"/>
        <w:tabs>
          <w:tab w:val="num" w:pos="0"/>
          <w:tab w:val="left" w:pos="720"/>
          <w:tab w:val="left" w:pos="1080"/>
          <w:tab w:val="left" w:pos="1800"/>
        </w:tabs>
        <w:rPr>
          <w:szCs w:val="24"/>
        </w:rPr>
      </w:pPr>
    </w:p>
    <w:p w:rsidRPr="0072690B" w:rsidR="00527A26" w:rsidP="00631986" w:rsidRDefault="00631986" w14:paraId="7E92A2C5" w14:textId="77777777">
      <w:pPr>
        <w:pStyle w:val="Body1"/>
        <w:tabs>
          <w:tab w:val="num" w:pos="720"/>
        </w:tabs>
        <w:rPr>
          <w:b/>
          <w:szCs w:val="24"/>
        </w:rPr>
      </w:pPr>
      <w:r w:rsidRPr="0072690B">
        <w:rPr>
          <w:b/>
          <w:szCs w:val="24"/>
        </w:rPr>
        <w:t>7.</w:t>
      </w:r>
      <w:r w:rsidRPr="0072690B">
        <w:rPr>
          <w:b/>
          <w:szCs w:val="24"/>
        </w:rPr>
        <w:tab/>
      </w:r>
      <w:r w:rsidRPr="0072690B" w:rsidR="00527A26">
        <w:rPr>
          <w:b/>
          <w:szCs w:val="24"/>
        </w:rPr>
        <w:t xml:space="preserve">Special Circumstances </w:t>
      </w:r>
      <w:r w:rsidRPr="004D3AB4" w:rsidR="004D3AB4">
        <w:rPr>
          <w:b/>
          <w:szCs w:val="24"/>
        </w:rPr>
        <w:t>Relating to the Guidelines of 5 CFR 1320.5</w:t>
      </w:r>
    </w:p>
    <w:p w:rsidRPr="0072690B" w:rsidR="00527A26" w:rsidP="00B83871" w:rsidRDefault="00527A26" w14:paraId="5A7B5CB2" w14:textId="77777777">
      <w:pPr>
        <w:pStyle w:val="Body1"/>
        <w:tabs>
          <w:tab w:val="num" w:pos="0"/>
          <w:tab w:val="left" w:pos="720"/>
          <w:tab w:val="left" w:pos="1080"/>
          <w:tab w:val="left" w:pos="1800"/>
        </w:tabs>
        <w:rPr>
          <w:b/>
          <w:szCs w:val="24"/>
        </w:rPr>
      </w:pPr>
    </w:p>
    <w:p w:rsidRPr="00B651A5" w:rsidR="00016DEC" w:rsidP="00B651A5" w:rsidRDefault="000A20EA" w14:paraId="499FFFB1" w14:textId="77777777">
      <w:pPr>
        <w:ind w:left="720"/>
        <w:rPr>
          <w:rFonts w:eastAsia="Arial Unicode MS"/>
          <w:sz w:val="24"/>
          <w:szCs w:val="24"/>
          <w:u w:color="000000"/>
        </w:rPr>
      </w:pPr>
      <w:r w:rsidRPr="00B651A5">
        <w:rPr>
          <w:rFonts w:eastAsia="Arial Unicode MS"/>
          <w:sz w:val="24"/>
          <w:szCs w:val="24"/>
          <w:u w:color="000000"/>
        </w:rPr>
        <w:t xml:space="preserve">Often, data need to be collected within days </w:t>
      </w:r>
      <w:r w:rsidR="00D83A42">
        <w:rPr>
          <w:rFonts w:eastAsia="Arial Unicode MS"/>
          <w:sz w:val="24"/>
          <w:szCs w:val="24"/>
          <w:u w:color="000000"/>
        </w:rPr>
        <w:t xml:space="preserve">or weeks </w:t>
      </w:r>
      <w:r w:rsidRPr="00B651A5">
        <w:rPr>
          <w:rFonts w:eastAsia="Arial Unicode MS"/>
          <w:sz w:val="24"/>
          <w:szCs w:val="24"/>
          <w:u w:color="000000"/>
        </w:rPr>
        <w:t>of the</w:t>
      </w:r>
      <w:r w:rsidR="008F0310">
        <w:rPr>
          <w:rFonts w:eastAsia="Arial Unicode MS"/>
          <w:sz w:val="24"/>
          <w:szCs w:val="24"/>
          <w:u w:color="000000"/>
        </w:rPr>
        <w:t xml:space="preserve"> </w:t>
      </w:r>
      <w:r w:rsidRPr="00B651A5">
        <w:rPr>
          <w:rFonts w:eastAsia="Arial Unicode MS"/>
          <w:sz w:val="24"/>
          <w:szCs w:val="24"/>
          <w:u w:color="000000"/>
        </w:rPr>
        <w:t>request</w:t>
      </w:r>
      <w:r w:rsidR="0022573B">
        <w:rPr>
          <w:rFonts w:eastAsia="Arial Unicode MS"/>
          <w:sz w:val="24"/>
          <w:szCs w:val="24"/>
          <w:u w:color="000000"/>
        </w:rPr>
        <w:t xml:space="preserve"> made by the state or local agency</w:t>
      </w:r>
      <w:r>
        <w:rPr>
          <w:rFonts w:eastAsia="Arial Unicode MS"/>
          <w:sz w:val="24"/>
          <w:szCs w:val="24"/>
          <w:u w:color="000000"/>
        </w:rPr>
        <w:t xml:space="preserve">. </w:t>
      </w:r>
      <w:r w:rsidRPr="00B651A5" w:rsidR="00016DEC">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Pr="00B651A5" w:rsidR="00016DEC">
        <w:rPr>
          <w:rFonts w:eastAsia="Arial Unicode MS"/>
          <w:sz w:val="24"/>
          <w:szCs w:val="24"/>
          <w:u w:color="000000"/>
        </w:rPr>
        <w:t xml:space="preserve"> asked to respond </w:t>
      </w:r>
      <w:r>
        <w:rPr>
          <w:rFonts w:eastAsia="Arial Unicode MS"/>
          <w:sz w:val="24"/>
          <w:szCs w:val="24"/>
          <w:u w:color="000000"/>
        </w:rPr>
        <w:t xml:space="preserve">to requests for data </w:t>
      </w:r>
      <w:r w:rsidRPr="00B651A5" w:rsidR="00016DEC">
        <w:rPr>
          <w:rFonts w:eastAsia="Arial Unicode MS"/>
          <w:sz w:val="24"/>
          <w:szCs w:val="24"/>
          <w:u w:color="000000"/>
        </w:rPr>
        <w:t>in fewer than 30 days</w:t>
      </w:r>
      <w:r>
        <w:rPr>
          <w:rFonts w:eastAsia="Arial Unicode MS"/>
          <w:sz w:val="24"/>
          <w:szCs w:val="24"/>
          <w:u w:color="000000"/>
        </w:rPr>
        <w:t xml:space="preserve">. </w:t>
      </w:r>
      <w:r w:rsidR="003E15CC">
        <w:rPr>
          <w:rFonts w:eastAsia="Arial Unicode MS"/>
          <w:sz w:val="24"/>
          <w:szCs w:val="24"/>
          <w:u w:color="000000"/>
        </w:rPr>
        <w:t xml:space="preserve"> </w:t>
      </w:r>
    </w:p>
    <w:p w:rsidRPr="00B651A5" w:rsidR="00016DEC" w:rsidP="00B651A5" w:rsidRDefault="00016DEC" w14:paraId="1A20F9C7" w14:textId="77777777">
      <w:pPr>
        <w:ind w:left="720"/>
        <w:rPr>
          <w:rFonts w:eastAsia="Arial Unicode MS"/>
          <w:sz w:val="24"/>
          <w:szCs w:val="24"/>
          <w:u w:color="000000"/>
        </w:rPr>
      </w:pPr>
      <w:r w:rsidRPr="00B651A5">
        <w:rPr>
          <w:rFonts w:eastAsia="Arial Unicode MS"/>
          <w:sz w:val="24"/>
          <w:szCs w:val="24"/>
          <w:u w:color="000000"/>
        </w:rPr>
        <w:tab/>
      </w:r>
    </w:p>
    <w:p w:rsidR="001A3A81" w:rsidP="00B651A5" w:rsidRDefault="001A3A81" w14:paraId="7E1AFDEA" w14:textId="7D18B9DA">
      <w:pPr>
        <w:ind w:left="720"/>
        <w:rPr>
          <w:rFonts w:eastAsia="Arial Unicode MS"/>
          <w:sz w:val="24"/>
          <w:szCs w:val="24"/>
          <w:u w:color="000000"/>
        </w:rPr>
      </w:pPr>
      <w:r w:rsidRPr="00B651A5">
        <w:rPr>
          <w:rFonts w:eastAsia="Arial Unicode MS"/>
          <w:sz w:val="24"/>
          <w:szCs w:val="24"/>
          <w:u w:color="000000"/>
        </w:rPr>
        <w:t xml:space="preserve">To ensure that data </w:t>
      </w:r>
      <w:r w:rsidR="00D83A42">
        <w:rPr>
          <w:rFonts w:eastAsia="Arial Unicode MS"/>
          <w:sz w:val="24"/>
          <w:szCs w:val="24"/>
          <w:u w:color="000000"/>
        </w:rPr>
        <w:t xml:space="preserve">on drug overdoses </w:t>
      </w:r>
      <w:r w:rsidRPr="00B651A5">
        <w:rPr>
          <w:rFonts w:eastAsia="Arial Unicode MS"/>
          <w:sz w:val="24"/>
          <w:szCs w:val="24"/>
          <w:u w:color="000000"/>
        </w:rPr>
        <w:t>are collected in a timely manner</w:t>
      </w:r>
      <w:r w:rsidR="00603B37">
        <w:rPr>
          <w:rFonts w:eastAsia="Arial Unicode MS"/>
          <w:sz w:val="24"/>
          <w:szCs w:val="24"/>
          <w:u w:color="000000"/>
        </w:rPr>
        <w:t xml:space="preserve"> </w:t>
      </w:r>
      <w:r w:rsidRPr="00B651A5">
        <w:rPr>
          <w:rFonts w:eastAsia="Arial Unicode MS"/>
          <w:sz w:val="24"/>
          <w:szCs w:val="24"/>
          <w:u w:color="000000"/>
        </w:rPr>
        <w:t xml:space="preserve">to </w:t>
      </w:r>
      <w:r w:rsidR="00D83A42">
        <w:rPr>
          <w:rFonts w:eastAsia="Arial Unicode MS"/>
          <w:sz w:val="24"/>
          <w:szCs w:val="24"/>
          <w:u w:color="000000"/>
        </w:rPr>
        <w:t xml:space="preserve">identify immediate prevention and control measures that can </w:t>
      </w:r>
      <w:r w:rsidRPr="00B651A5">
        <w:rPr>
          <w:rFonts w:eastAsia="Arial Unicode MS"/>
          <w:sz w:val="24"/>
          <w:szCs w:val="24"/>
          <w:u w:color="000000"/>
        </w:rPr>
        <w:t xml:space="preserve">protect the health of the public, </w:t>
      </w:r>
      <w:r w:rsidR="00D83A42">
        <w:rPr>
          <w:rFonts w:eastAsia="Arial Unicode MS"/>
          <w:sz w:val="24"/>
          <w:szCs w:val="24"/>
          <w:u w:color="000000"/>
        </w:rPr>
        <w:t xml:space="preserve">DORIs </w:t>
      </w:r>
      <w:r w:rsidR="006E5EB5">
        <w:rPr>
          <w:rFonts w:eastAsia="Arial Unicode MS"/>
          <w:sz w:val="24"/>
          <w:szCs w:val="24"/>
          <w:u w:color="000000"/>
        </w:rPr>
        <w:t>w</w:t>
      </w:r>
      <w:r w:rsidRPr="00B651A5">
        <w:rPr>
          <w:rFonts w:eastAsia="Arial Unicode MS"/>
          <w:sz w:val="24"/>
          <w:szCs w:val="24"/>
          <w:u w:color="000000"/>
        </w:rPr>
        <w:t>ill adhere to the following timeline</w:t>
      </w:r>
      <w:r w:rsidRPr="00B651A5" w:rsidR="004F4B5F">
        <w:rPr>
          <w:rFonts w:eastAsia="Arial Unicode MS"/>
          <w:sz w:val="24"/>
          <w:szCs w:val="24"/>
          <w:u w:color="000000"/>
        </w:rPr>
        <w:t xml:space="preserve"> and processes</w:t>
      </w:r>
      <w:r w:rsidRPr="00B651A5">
        <w:rPr>
          <w:rFonts w:eastAsia="Arial Unicode MS"/>
          <w:sz w:val="24"/>
          <w:szCs w:val="24"/>
          <w:u w:color="000000"/>
        </w:rPr>
        <w:t>:</w:t>
      </w:r>
    </w:p>
    <w:p w:rsidRPr="00B651A5" w:rsidR="008F0310" w:rsidP="00B651A5" w:rsidRDefault="008F0310" w14:paraId="6C8BE3CE" w14:textId="77777777">
      <w:pPr>
        <w:ind w:left="720"/>
        <w:rPr>
          <w:rFonts w:eastAsia="Arial Unicode MS"/>
          <w:sz w:val="24"/>
          <w:szCs w:val="24"/>
          <w:u w:color="000000"/>
        </w:rPr>
      </w:pPr>
    </w:p>
    <w:p w:rsidRPr="00B651A5" w:rsidR="001A3A81" w:rsidP="00406936" w:rsidRDefault="00976B38" w14:paraId="4DAF41F5" w14:textId="77777777">
      <w:pPr>
        <w:numPr>
          <w:ilvl w:val="0"/>
          <w:numId w:val="8"/>
        </w:numPr>
        <w:ind w:left="1440" w:hanging="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the</w:t>
      </w:r>
      <w:r w:rsidRPr="00B651A5">
        <w:rPr>
          <w:rFonts w:eastAsia="Arial Unicode MS"/>
          <w:sz w:val="24"/>
          <w:szCs w:val="24"/>
          <w:u w:color="000000"/>
        </w:rPr>
        <w:t xml:space="preserve"> </w:t>
      </w:r>
      <w:r w:rsidR="008F0310">
        <w:rPr>
          <w:rFonts w:eastAsia="Arial Unicode MS"/>
          <w:sz w:val="24"/>
          <w:szCs w:val="24"/>
          <w:u w:color="000000"/>
        </w:rPr>
        <w:t xml:space="preserve">state or </w:t>
      </w:r>
      <w:r w:rsidR="005F675F">
        <w:rPr>
          <w:rFonts w:eastAsia="Arial Unicode MS"/>
          <w:sz w:val="24"/>
          <w:szCs w:val="24"/>
          <w:u w:color="000000"/>
        </w:rPr>
        <w:t>local health authority</w:t>
      </w:r>
      <w:r w:rsidRPr="00B651A5">
        <w:rPr>
          <w:rFonts w:eastAsia="Arial Unicode MS"/>
          <w:sz w:val="24"/>
          <w:szCs w:val="24"/>
          <w:u w:color="000000"/>
        </w:rPr>
        <w:t xml:space="preserve"> and a</w:t>
      </w:r>
      <w:r w:rsidRPr="00B651A5" w:rsidR="001A3A81">
        <w:rPr>
          <w:rFonts w:eastAsia="Arial Unicode MS"/>
          <w:sz w:val="24"/>
          <w:szCs w:val="24"/>
          <w:u w:color="000000"/>
        </w:rPr>
        <w:t>fter consultation with our external partners, CDC decide</w:t>
      </w:r>
      <w:r w:rsidR="0077278C">
        <w:rPr>
          <w:rFonts w:eastAsia="Arial Unicode MS"/>
          <w:sz w:val="24"/>
          <w:szCs w:val="24"/>
          <w:u w:color="000000"/>
        </w:rPr>
        <w:t>s</w:t>
      </w:r>
      <w:r w:rsidRPr="00B651A5" w:rsidR="001A3A81">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Pr="00B651A5" w:rsidR="001A3A81">
        <w:rPr>
          <w:rFonts w:eastAsia="Arial Unicode MS"/>
          <w:sz w:val="24"/>
          <w:szCs w:val="24"/>
          <w:u w:color="000000"/>
        </w:rPr>
        <w:t xml:space="preserve">assistance to our </w:t>
      </w:r>
      <w:proofErr w:type="gramStart"/>
      <w:r w:rsidRPr="00B651A5" w:rsidR="001A3A81">
        <w:rPr>
          <w:rFonts w:eastAsia="Arial Unicode MS"/>
          <w:sz w:val="24"/>
          <w:szCs w:val="24"/>
          <w:u w:color="000000"/>
        </w:rPr>
        <w:t>partners</w:t>
      </w:r>
      <w:r w:rsidR="00922CE2">
        <w:rPr>
          <w:rFonts w:eastAsia="Arial Unicode MS"/>
          <w:sz w:val="24"/>
          <w:szCs w:val="24"/>
          <w:u w:color="000000"/>
        </w:rPr>
        <w:t>;</w:t>
      </w:r>
      <w:proofErr w:type="gramEnd"/>
    </w:p>
    <w:p w:rsidRPr="001076E0" w:rsidR="00D83A42" w:rsidP="001076E0" w:rsidRDefault="00AA28E2" w14:paraId="5782320A" w14:textId="31F93E2C">
      <w:pPr>
        <w:numPr>
          <w:ilvl w:val="0"/>
          <w:numId w:val="8"/>
        </w:numPr>
        <w:ind w:left="1440" w:hanging="720"/>
        <w:rPr>
          <w:rFonts w:eastAsia="Arial Unicode MS"/>
          <w:sz w:val="24"/>
          <w:szCs w:val="24"/>
          <w:u w:color="000000"/>
        </w:rPr>
      </w:pPr>
      <w:r>
        <w:rPr>
          <w:rFonts w:eastAsia="Arial Unicode MS"/>
          <w:sz w:val="24"/>
          <w:szCs w:val="24"/>
          <w:u w:color="000000"/>
        </w:rPr>
        <w:t xml:space="preserve">Through </w:t>
      </w:r>
      <w:r w:rsidR="00024A7F">
        <w:rPr>
          <w:rFonts w:eastAsia="Arial Unicode MS"/>
          <w:sz w:val="24"/>
          <w:szCs w:val="24"/>
          <w:u w:color="000000"/>
        </w:rPr>
        <w:t>CDC/</w:t>
      </w:r>
      <w:r>
        <w:rPr>
          <w:rFonts w:eastAsia="Arial Unicode MS"/>
          <w:sz w:val="24"/>
          <w:szCs w:val="24"/>
          <w:u w:color="000000"/>
        </w:rPr>
        <w:t>ICRO, t</w:t>
      </w:r>
      <w:r w:rsidRPr="00B651A5" w:rsidR="001A3A81">
        <w:rPr>
          <w:rFonts w:eastAsia="Arial Unicode MS"/>
          <w:sz w:val="24"/>
          <w:szCs w:val="24"/>
          <w:u w:color="000000"/>
        </w:rPr>
        <w:t>he OMB Desk officer</w:t>
      </w:r>
      <w:r w:rsidR="006E5EB5">
        <w:rPr>
          <w:rFonts w:eastAsia="Arial Unicode MS"/>
          <w:sz w:val="24"/>
          <w:szCs w:val="24"/>
          <w:u w:color="000000"/>
        </w:rPr>
        <w:t xml:space="preserve"> </w:t>
      </w:r>
      <w:r w:rsidR="0077278C">
        <w:rPr>
          <w:rFonts w:eastAsia="Arial Unicode MS"/>
          <w:sz w:val="24"/>
          <w:szCs w:val="24"/>
          <w:u w:color="000000"/>
        </w:rPr>
        <w:t>is</w:t>
      </w:r>
      <w:r w:rsidR="006E5EB5">
        <w:rPr>
          <w:rFonts w:eastAsia="Arial Unicode MS"/>
          <w:sz w:val="24"/>
          <w:szCs w:val="24"/>
          <w:u w:color="000000"/>
        </w:rPr>
        <w:t xml:space="preserve"> notified</w:t>
      </w:r>
      <w:r w:rsidR="005F675F">
        <w:rPr>
          <w:rFonts w:eastAsia="Arial Unicode MS"/>
          <w:sz w:val="24"/>
          <w:szCs w:val="24"/>
          <w:u w:color="000000"/>
        </w:rPr>
        <w:t xml:space="preserve"> of the </w:t>
      </w:r>
      <w:r w:rsidR="00D83A42">
        <w:rPr>
          <w:rFonts w:eastAsia="Arial Unicode MS"/>
          <w:sz w:val="24"/>
          <w:szCs w:val="24"/>
          <w:u w:color="000000"/>
        </w:rPr>
        <w:t xml:space="preserve">DORI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Pr="00B651A5" w:rsidR="001A3A81">
        <w:rPr>
          <w:rFonts w:eastAsia="Arial Unicode MS"/>
          <w:sz w:val="24"/>
          <w:szCs w:val="24"/>
          <w:u w:color="000000"/>
        </w:rPr>
        <w:t xml:space="preserve">receipt of the </w:t>
      </w:r>
      <w:r w:rsidR="0040196A">
        <w:rPr>
          <w:rFonts w:eastAsia="Arial Unicode MS"/>
          <w:sz w:val="24"/>
          <w:szCs w:val="24"/>
          <w:u w:color="000000"/>
        </w:rPr>
        <w:t xml:space="preserve">GenIC </w:t>
      </w:r>
      <w:r w:rsidRPr="00B651A5" w:rsidR="007D7E6C">
        <w:rPr>
          <w:rFonts w:eastAsia="Arial Unicode MS"/>
          <w:sz w:val="24"/>
          <w:szCs w:val="24"/>
          <w:u w:color="000000"/>
        </w:rPr>
        <w:t xml:space="preserve">“Request for </w:t>
      </w:r>
      <w:r w:rsidR="00D83A42">
        <w:rPr>
          <w:rFonts w:eastAsia="Arial Unicode MS"/>
          <w:sz w:val="24"/>
          <w:szCs w:val="24"/>
          <w:u w:color="000000"/>
        </w:rPr>
        <w:t xml:space="preserve">Drug Overdose Response </w:t>
      </w:r>
      <w:r w:rsidR="00603B37">
        <w:rPr>
          <w:rFonts w:eastAsia="Arial Unicode MS"/>
          <w:sz w:val="24"/>
          <w:szCs w:val="24"/>
          <w:u w:color="000000"/>
        </w:rPr>
        <w:t>Investigation</w:t>
      </w:r>
      <w:r w:rsidR="00D83A42">
        <w:rPr>
          <w:rFonts w:eastAsia="Arial Unicode MS"/>
          <w:sz w:val="24"/>
          <w:szCs w:val="24"/>
          <w:u w:color="000000"/>
        </w:rPr>
        <w:t>.</w:t>
      </w:r>
      <w:r w:rsidR="00603B37">
        <w:rPr>
          <w:rFonts w:eastAsia="Arial Unicode MS"/>
          <w:sz w:val="24"/>
          <w:szCs w:val="24"/>
          <w:u w:color="000000"/>
        </w:rPr>
        <w:t>”</w:t>
      </w:r>
      <w:r w:rsidR="007442FB">
        <w:rPr>
          <w:rFonts w:eastAsia="Arial Unicode MS"/>
          <w:sz w:val="24"/>
          <w:szCs w:val="24"/>
          <w:u w:color="000000"/>
        </w:rPr>
        <w:t xml:space="preserve"> </w:t>
      </w:r>
      <w:r w:rsidR="00D83A42">
        <w:rPr>
          <w:rFonts w:eastAsia="Arial Unicode MS"/>
          <w:sz w:val="24"/>
          <w:szCs w:val="24"/>
          <w:u w:color="000000"/>
        </w:rPr>
        <w:t xml:space="preserve">This GenIC will </w:t>
      </w:r>
      <w:r w:rsidR="005F0179">
        <w:rPr>
          <w:rFonts w:eastAsia="Arial Unicode MS"/>
          <w:sz w:val="24"/>
          <w:szCs w:val="24"/>
          <w:u w:color="000000"/>
        </w:rPr>
        <w:t>include the protocol for the investigation</w:t>
      </w:r>
      <w:r w:rsidR="001076E0">
        <w:rPr>
          <w:rFonts w:eastAsia="Arial Unicode MS"/>
          <w:sz w:val="24"/>
          <w:szCs w:val="24"/>
          <w:u w:color="000000"/>
        </w:rPr>
        <w:t xml:space="preserve"> (see </w:t>
      </w:r>
      <w:r w:rsidRPr="001076E0" w:rsidR="001076E0">
        <w:rPr>
          <w:rFonts w:eastAsia="Arial Unicode MS"/>
          <w:b/>
          <w:sz w:val="24"/>
          <w:szCs w:val="24"/>
          <w:u w:color="000000"/>
        </w:rPr>
        <w:t xml:space="preserve">Attachment </w:t>
      </w:r>
      <w:r w:rsidR="0025276D">
        <w:rPr>
          <w:rFonts w:eastAsia="Arial Unicode MS"/>
          <w:b/>
          <w:sz w:val="24"/>
          <w:szCs w:val="24"/>
          <w:u w:color="000000"/>
        </w:rPr>
        <w:t>C</w:t>
      </w:r>
      <w:r w:rsidR="001076E0">
        <w:rPr>
          <w:rFonts w:eastAsia="Arial Unicode MS"/>
          <w:sz w:val="24"/>
          <w:szCs w:val="24"/>
          <w:u w:color="000000"/>
        </w:rPr>
        <w:t>, the investigation protocol template)</w:t>
      </w:r>
      <w:r w:rsidR="005F0179">
        <w:rPr>
          <w:rFonts w:eastAsia="Arial Unicode MS"/>
          <w:sz w:val="24"/>
          <w:szCs w:val="24"/>
          <w:u w:color="000000"/>
        </w:rPr>
        <w:t xml:space="preserve">. The protocol describes the </w:t>
      </w:r>
      <w:r w:rsidR="00B876C7">
        <w:rPr>
          <w:rFonts w:eastAsia="Arial Unicode MS"/>
          <w:sz w:val="24"/>
          <w:szCs w:val="24"/>
          <w:u w:color="000000"/>
        </w:rPr>
        <w:t>circumstances</w:t>
      </w:r>
      <w:r w:rsidR="00D83A42">
        <w:rPr>
          <w:rFonts w:eastAsia="Arial Unicode MS"/>
          <w:sz w:val="24"/>
          <w:szCs w:val="24"/>
          <w:u w:color="000000"/>
        </w:rPr>
        <w:t xml:space="preserve">, </w:t>
      </w:r>
      <w:r w:rsidR="00B876C7">
        <w:rPr>
          <w:rFonts w:eastAsia="Arial Unicode MS"/>
          <w:sz w:val="24"/>
          <w:szCs w:val="24"/>
          <w:u w:color="000000"/>
        </w:rPr>
        <w:t>purpose</w:t>
      </w:r>
      <w:r w:rsidR="00D83A42">
        <w:rPr>
          <w:rFonts w:eastAsia="Arial Unicode MS"/>
          <w:sz w:val="24"/>
          <w:szCs w:val="24"/>
          <w:u w:color="000000"/>
        </w:rPr>
        <w:t xml:space="preserve">, </w:t>
      </w:r>
      <w:r w:rsidR="005F0179">
        <w:rPr>
          <w:rFonts w:eastAsia="Arial Unicode MS"/>
          <w:sz w:val="24"/>
          <w:szCs w:val="24"/>
          <w:u w:color="000000"/>
        </w:rPr>
        <w:t>case definition</w:t>
      </w:r>
      <w:r w:rsidR="002D0C57">
        <w:rPr>
          <w:rFonts w:eastAsia="Arial Unicode MS"/>
          <w:sz w:val="24"/>
          <w:szCs w:val="24"/>
          <w:u w:color="000000"/>
        </w:rPr>
        <w:t xml:space="preserve"> (if applicable)</w:t>
      </w:r>
      <w:r w:rsidR="005F0179">
        <w:rPr>
          <w:rFonts w:eastAsia="Arial Unicode MS"/>
          <w:sz w:val="24"/>
          <w:szCs w:val="24"/>
          <w:u w:color="000000"/>
        </w:rPr>
        <w:t xml:space="preserve">, </w:t>
      </w:r>
      <w:r w:rsidR="00B876C7">
        <w:rPr>
          <w:rFonts w:eastAsia="Arial Unicode MS"/>
          <w:sz w:val="24"/>
          <w:szCs w:val="24"/>
          <w:u w:color="000000"/>
        </w:rPr>
        <w:t xml:space="preserve">study population, </w:t>
      </w:r>
      <w:r w:rsidR="005F0179">
        <w:rPr>
          <w:rFonts w:eastAsia="Arial Unicode MS"/>
          <w:sz w:val="24"/>
          <w:szCs w:val="24"/>
          <w:u w:color="000000"/>
        </w:rPr>
        <w:t xml:space="preserve">variables of interest, </w:t>
      </w:r>
      <w:r w:rsidR="00B876C7">
        <w:rPr>
          <w:rFonts w:eastAsia="Arial Unicode MS"/>
          <w:sz w:val="24"/>
          <w:szCs w:val="24"/>
          <w:u w:color="000000"/>
        </w:rPr>
        <w:t xml:space="preserve">respondents, anticipated </w:t>
      </w:r>
      <w:r w:rsidR="00D83A42">
        <w:rPr>
          <w:rFonts w:eastAsia="Arial Unicode MS"/>
          <w:sz w:val="24"/>
          <w:szCs w:val="24"/>
          <w:u w:color="000000"/>
        </w:rPr>
        <w:t xml:space="preserve">burden hours, </w:t>
      </w:r>
      <w:r w:rsidR="00B876C7">
        <w:rPr>
          <w:rFonts w:eastAsia="Arial Unicode MS"/>
          <w:sz w:val="24"/>
          <w:szCs w:val="24"/>
          <w:u w:color="000000"/>
        </w:rPr>
        <w:t xml:space="preserve">data analysis plan, synthesis of results, </w:t>
      </w:r>
      <w:r w:rsidR="005E4C86">
        <w:rPr>
          <w:rFonts w:eastAsia="Arial Unicode MS"/>
          <w:sz w:val="24"/>
          <w:szCs w:val="24"/>
          <w:u w:color="000000"/>
        </w:rPr>
        <w:t>and draft data collection</w:t>
      </w:r>
      <w:r w:rsidR="005F0179">
        <w:rPr>
          <w:rFonts w:eastAsia="Arial Unicode MS"/>
          <w:sz w:val="24"/>
          <w:szCs w:val="24"/>
          <w:u w:color="000000"/>
        </w:rPr>
        <w:t xml:space="preserve"> instruments</w:t>
      </w:r>
      <w:r w:rsidR="005E4C86">
        <w:rPr>
          <w:rFonts w:eastAsia="Arial Unicode MS"/>
          <w:sz w:val="24"/>
          <w:szCs w:val="24"/>
          <w:u w:color="000000"/>
        </w:rPr>
        <w:t>.</w:t>
      </w:r>
      <w:r w:rsidRPr="001076E0" w:rsidR="005E4C86">
        <w:rPr>
          <w:rFonts w:eastAsia="Arial Unicode MS"/>
          <w:sz w:val="24"/>
          <w:szCs w:val="24"/>
          <w:u w:color="000000"/>
        </w:rPr>
        <w:t xml:space="preserve"> </w:t>
      </w:r>
    </w:p>
    <w:p w:rsidR="00710B97" w:rsidP="00406936" w:rsidRDefault="00AD796B" w14:paraId="38C681E6" w14:textId="77777777">
      <w:pPr>
        <w:numPr>
          <w:ilvl w:val="0"/>
          <w:numId w:val="8"/>
        </w:numPr>
        <w:ind w:left="1440" w:hanging="720"/>
        <w:rPr>
          <w:rFonts w:eastAsia="Arial Unicode MS"/>
          <w:sz w:val="24"/>
          <w:szCs w:val="24"/>
          <w:u w:color="000000"/>
        </w:rPr>
      </w:pPr>
      <w:r w:rsidRPr="00B651A5">
        <w:rPr>
          <w:rFonts w:eastAsia="Arial Unicode MS"/>
          <w:sz w:val="24"/>
          <w:szCs w:val="24"/>
          <w:u w:color="000000"/>
        </w:rPr>
        <w:t>The OMB desk officer respond</w:t>
      </w:r>
      <w:r w:rsidR="00501620">
        <w:rPr>
          <w:rFonts w:eastAsia="Arial Unicode MS"/>
          <w:sz w:val="24"/>
          <w:szCs w:val="24"/>
          <w:u w:color="000000"/>
        </w:rPr>
        <w:t>s</w:t>
      </w:r>
      <w:r w:rsidRPr="00B651A5">
        <w:rPr>
          <w:rFonts w:eastAsia="Arial Unicode MS"/>
          <w:sz w:val="24"/>
          <w:szCs w:val="24"/>
          <w:u w:color="000000"/>
        </w:rPr>
        <w:t xml:space="preserve"> with</w:t>
      </w:r>
      <w:r>
        <w:rPr>
          <w:rFonts w:eastAsia="Arial Unicode MS"/>
          <w:sz w:val="24"/>
          <w:szCs w:val="24"/>
          <w:u w:color="000000"/>
        </w:rPr>
        <w:t xml:space="preserve"> comments on the proposed </w:t>
      </w:r>
      <w:r w:rsidR="00922CE2">
        <w:rPr>
          <w:rFonts w:eastAsia="Arial Unicode MS"/>
          <w:sz w:val="24"/>
          <w:szCs w:val="24"/>
          <w:u w:color="000000"/>
        </w:rPr>
        <w:t xml:space="preserve">GenIC </w:t>
      </w:r>
      <w:r w:rsidR="005F0179">
        <w:rPr>
          <w:rFonts w:eastAsia="Arial Unicode MS"/>
          <w:sz w:val="24"/>
          <w:szCs w:val="24"/>
          <w:u w:color="000000"/>
        </w:rPr>
        <w:t xml:space="preserve">DORI </w:t>
      </w:r>
      <w:r w:rsidRPr="00B651A5">
        <w:rPr>
          <w:rFonts w:eastAsia="Arial Unicode MS"/>
          <w:sz w:val="24"/>
          <w:szCs w:val="24"/>
          <w:u w:color="000000"/>
        </w:rPr>
        <w:t xml:space="preserve">within </w:t>
      </w:r>
      <w:r w:rsidR="005F0179">
        <w:rPr>
          <w:rFonts w:eastAsia="Arial Unicode MS"/>
          <w:sz w:val="24"/>
          <w:szCs w:val="24"/>
          <w:u w:color="000000"/>
        </w:rPr>
        <w:t>5 business days</w:t>
      </w:r>
      <w:r w:rsidRPr="00B651A5">
        <w:rPr>
          <w:rFonts w:eastAsia="Arial Unicode MS"/>
          <w:sz w:val="24"/>
          <w:szCs w:val="24"/>
          <w:u w:color="000000"/>
        </w:rPr>
        <w:t xml:space="preserve">. If no response is received within </w:t>
      </w:r>
      <w:r w:rsidR="005F0179">
        <w:rPr>
          <w:rFonts w:eastAsia="Arial Unicode MS"/>
          <w:sz w:val="24"/>
          <w:szCs w:val="24"/>
          <w:u w:color="000000"/>
        </w:rPr>
        <w:t>5 business days</w:t>
      </w:r>
      <w:r w:rsidR="00902D98">
        <w:rPr>
          <w:rFonts w:eastAsia="Arial Unicode MS"/>
          <w:sz w:val="24"/>
          <w:szCs w:val="24"/>
          <w:u w:color="000000"/>
        </w:rPr>
        <w:t>,</w:t>
      </w:r>
      <w:r w:rsidRPr="00B651A5">
        <w:rPr>
          <w:rFonts w:eastAsia="Arial Unicode MS"/>
          <w:sz w:val="24"/>
          <w:szCs w:val="24"/>
          <w:u w:color="000000"/>
        </w:rPr>
        <w:t xml:space="preserve"> the team assume</w:t>
      </w:r>
      <w:r w:rsidR="00501620">
        <w:rPr>
          <w:rFonts w:eastAsia="Arial Unicode MS"/>
          <w:sz w:val="24"/>
          <w:szCs w:val="24"/>
          <w:u w:color="000000"/>
        </w:rPr>
        <w:t>s</w:t>
      </w:r>
      <w:r w:rsidRPr="00B651A5">
        <w:rPr>
          <w:rFonts w:eastAsia="Arial Unicode MS"/>
          <w:sz w:val="24"/>
          <w:szCs w:val="24"/>
          <w:u w:color="000000"/>
        </w:rPr>
        <w:t xml:space="preserve"> that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cleared.</w:t>
      </w:r>
      <w:r w:rsidR="00501620">
        <w:rPr>
          <w:rFonts w:eastAsia="Arial Unicode MS"/>
          <w:sz w:val="24"/>
          <w:szCs w:val="24"/>
          <w:u w:color="000000"/>
        </w:rPr>
        <w:t xml:space="preserve"> </w:t>
      </w:r>
    </w:p>
    <w:p w:rsidRPr="00AD796B" w:rsidR="001A3A81" w:rsidP="00406936" w:rsidRDefault="00710B97" w14:paraId="32722D59" w14:textId="77777777">
      <w:pPr>
        <w:numPr>
          <w:ilvl w:val="0"/>
          <w:numId w:val="8"/>
        </w:numPr>
        <w:ind w:left="1440" w:hanging="720"/>
        <w:rPr>
          <w:rFonts w:eastAsia="Arial Unicode MS"/>
          <w:sz w:val="24"/>
          <w:szCs w:val="24"/>
          <w:u w:color="000000"/>
        </w:rPr>
      </w:pPr>
      <w:r>
        <w:rPr>
          <w:rFonts w:eastAsia="Arial Unicode MS"/>
          <w:sz w:val="24"/>
          <w:szCs w:val="24"/>
          <w:u w:color="000000"/>
        </w:rPr>
        <w:t xml:space="preserve">While in the field, minor modifications may be needed to data collection instruments or number of respondents based on new information about the drug </w:t>
      </w:r>
      <w:r>
        <w:rPr>
          <w:rFonts w:eastAsia="Arial Unicode MS"/>
          <w:sz w:val="24"/>
          <w:szCs w:val="24"/>
          <w:u w:color="000000"/>
        </w:rPr>
        <w:lastRenderedPageBreak/>
        <w:t xml:space="preserve">overdose events or available data sources. If modifications to the protocol are required, the team will provide a copy of revised data collection instruments and protocol to the ICRL. The ICRL will </w:t>
      </w:r>
      <w:proofErr w:type="gramStart"/>
      <w:r>
        <w:rPr>
          <w:rFonts w:eastAsia="Arial Unicode MS"/>
          <w:sz w:val="24"/>
          <w:szCs w:val="24"/>
          <w:u w:color="000000"/>
        </w:rPr>
        <w:t>make a determination</w:t>
      </w:r>
      <w:proofErr w:type="gramEnd"/>
      <w:r>
        <w:rPr>
          <w:rFonts w:eastAsia="Arial Unicode MS"/>
          <w:sz w:val="24"/>
          <w:szCs w:val="24"/>
          <w:u w:color="000000"/>
        </w:rPr>
        <w:t xml:space="preserve"> as to whether the modifications entail a substantial change in </w:t>
      </w:r>
      <w:r w:rsidR="002C5811">
        <w:rPr>
          <w:rFonts w:eastAsia="Arial Unicode MS"/>
          <w:sz w:val="24"/>
          <w:szCs w:val="24"/>
          <w:u w:color="000000"/>
        </w:rPr>
        <w:t xml:space="preserve">scope or </w:t>
      </w:r>
      <w:r>
        <w:rPr>
          <w:rFonts w:eastAsia="Arial Unicode MS"/>
          <w:sz w:val="24"/>
          <w:szCs w:val="24"/>
          <w:u w:color="000000"/>
        </w:rPr>
        <w:t xml:space="preserve">burden hours. If a substantial change is needed, the ICRL will </w:t>
      </w:r>
      <w:r w:rsidR="00901830">
        <w:rPr>
          <w:rFonts w:eastAsia="Arial Unicode MS"/>
          <w:sz w:val="24"/>
          <w:szCs w:val="24"/>
          <w:u w:color="000000"/>
        </w:rPr>
        <w:t xml:space="preserve">work with </w:t>
      </w:r>
      <w:r w:rsidR="00B04949">
        <w:rPr>
          <w:rFonts w:eastAsia="Arial Unicode MS"/>
          <w:sz w:val="24"/>
          <w:szCs w:val="24"/>
          <w:u w:color="000000"/>
        </w:rPr>
        <w:t xml:space="preserve">the investigators </w:t>
      </w:r>
      <w:r w:rsidR="00901830">
        <w:rPr>
          <w:rFonts w:eastAsia="Arial Unicode MS"/>
          <w:sz w:val="24"/>
          <w:szCs w:val="24"/>
          <w:u w:color="000000"/>
        </w:rPr>
        <w:t xml:space="preserve">to </w:t>
      </w:r>
      <w:r w:rsidR="00B04949">
        <w:rPr>
          <w:rFonts w:eastAsia="Arial Unicode MS"/>
          <w:sz w:val="24"/>
          <w:szCs w:val="24"/>
          <w:u w:color="000000"/>
        </w:rPr>
        <w:t xml:space="preserve">submit a GenIC with the revised data collection instruments to ICRO. ICRO will send the GenIC with the revised data collection instruments </w:t>
      </w:r>
      <w:r>
        <w:rPr>
          <w:rFonts w:eastAsia="Arial Unicode MS"/>
          <w:sz w:val="24"/>
          <w:szCs w:val="24"/>
          <w:u w:color="000000"/>
        </w:rPr>
        <w:t xml:space="preserve">to the OMB desk officer for review. The OMB desk officer will respond with approval or comments for revision within </w:t>
      </w:r>
      <w:r w:rsidRPr="00E078F9" w:rsidR="00FB29A6">
        <w:rPr>
          <w:rFonts w:eastAsia="Arial Unicode MS"/>
          <w:sz w:val="24"/>
          <w:szCs w:val="24"/>
          <w:u w:color="000000"/>
        </w:rPr>
        <w:t>2 business days</w:t>
      </w:r>
      <w:r>
        <w:rPr>
          <w:rFonts w:eastAsia="Arial Unicode MS"/>
          <w:sz w:val="24"/>
          <w:szCs w:val="24"/>
          <w:u w:color="000000"/>
        </w:rPr>
        <w:t xml:space="preserve">. If no response is received within </w:t>
      </w:r>
      <w:r w:rsidR="00FB29A6">
        <w:rPr>
          <w:rFonts w:eastAsia="Arial Unicode MS"/>
          <w:sz w:val="24"/>
          <w:szCs w:val="24"/>
          <w:u w:color="000000"/>
        </w:rPr>
        <w:t>2 business days</w:t>
      </w:r>
      <w:r>
        <w:rPr>
          <w:rFonts w:eastAsia="Arial Unicode MS"/>
          <w:sz w:val="24"/>
          <w:szCs w:val="24"/>
          <w:u w:color="000000"/>
        </w:rPr>
        <w:t xml:space="preserve">, the team assumes that the revisions have been accepted. </w:t>
      </w:r>
      <w:r w:rsidR="005F675F">
        <w:rPr>
          <w:rFonts w:eastAsia="Arial Unicode MS"/>
          <w:sz w:val="24"/>
          <w:szCs w:val="24"/>
          <w:u w:color="000000"/>
        </w:rPr>
        <w:t xml:space="preserve"> </w:t>
      </w:r>
    </w:p>
    <w:p w:rsidR="001A3A81" w:rsidP="00406936" w:rsidRDefault="00AD796B" w14:paraId="61426C2C" w14:textId="41D2DC7A">
      <w:pPr>
        <w:numPr>
          <w:ilvl w:val="0"/>
          <w:numId w:val="8"/>
        </w:numPr>
        <w:ind w:left="1440" w:hanging="720"/>
        <w:rPr>
          <w:rFonts w:eastAsia="Arial Unicode MS"/>
          <w:sz w:val="24"/>
          <w:szCs w:val="24"/>
          <w:u w:color="000000"/>
        </w:rPr>
      </w:pPr>
      <w:r>
        <w:rPr>
          <w:rFonts w:eastAsia="Arial Unicode MS"/>
          <w:sz w:val="24"/>
          <w:szCs w:val="24"/>
          <w:u w:color="000000"/>
        </w:rPr>
        <w:t xml:space="preserve">At the completion of the </w:t>
      </w:r>
      <w:r w:rsidR="00710B97">
        <w:rPr>
          <w:rFonts w:eastAsia="Arial Unicode MS"/>
          <w:sz w:val="24"/>
          <w:szCs w:val="24"/>
          <w:u w:color="000000"/>
        </w:rPr>
        <w:t>DORI</w:t>
      </w:r>
      <w:r>
        <w:rPr>
          <w:rFonts w:eastAsia="Arial Unicode MS"/>
          <w:sz w:val="24"/>
          <w:szCs w:val="24"/>
          <w:u w:color="000000"/>
        </w:rPr>
        <w:t xml:space="preserve">,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D3422B">
        <w:rPr>
          <w:rFonts w:eastAsia="Arial Unicode MS"/>
          <w:sz w:val="24"/>
          <w:szCs w:val="24"/>
          <w:u w:color="000000"/>
        </w:rPr>
        <w:t>to the ICRL</w:t>
      </w:r>
      <w:r w:rsidR="007026AA">
        <w:rPr>
          <w:rFonts w:eastAsia="Arial Unicode MS"/>
          <w:sz w:val="24"/>
          <w:szCs w:val="24"/>
          <w:u w:color="000000"/>
        </w:rPr>
        <w:t xml:space="preserve"> using the “burden memo” (see </w:t>
      </w:r>
      <w:r w:rsidRPr="007026AA" w:rsidR="007026AA">
        <w:rPr>
          <w:rFonts w:eastAsia="Arial Unicode MS"/>
          <w:b/>
          <w:sz w:val="24"/>
          <w:szCs w:val="24"/>
          <w:u w:color="000000"/>
        </w:rPr>
        <w:t xml:space="preserve">Attachment </w:t>
      </w:r>
      <w:r w:rsidR="00411C78">
        <w:rPr>
          <w:rFonts w:eastAsia="Arial Unicode MS"/>
          <w:b/>
          <w:sz w:val="24"/>
          <w:szCs w:val="24"/>
          <w:u w:color="000000"/>
        </w:rPr>
        <w:t>D</w:t>
      </w:r>
      <w:r w:rsidR="007026AA">
        <w:rPr>
          <w:rFonts w:eastAsia="Arial Unicode MS"/>
          <w:sz w:val="24"/>
          <w:szCs w:val="24"/>
          <w:u w:color="000000"/>
        </w:rPr>
        <w:t>)</w:t>
      </w:r>
      <w:r w:rsidRPr="00B651A5" w:rsidR="00F41554">
        <w:rPr>
          <w:rFonts w:eastAsia="Arial Unicode MS"/>
          <w:sz w:val="24"/>
          <w:szCs w:val="24"/>
          <w:u w:color="000000"/>
        </w:rPr>
        <w:t>.</w:t>
      </w:r>
      <w:r w:rsidR="00D3422B">
        <w:rPr>
          <w:rFonts w:eastAsia="Arial Unicode MS"/>
          <w:sz w:val="24"/>
          <w:szCs w:val="24"/>
          <w:u w:color="000000"/>
        </w:rPr>
        <w:t xml:space="preserve">  </w:t>
      </w:r>
    </w:p>
    <w:p w:rsidR="001450A6" w:rsidP="00406936" w:rsidRDefault="00501620" w14:paraId="4C3CC0B4" w14:textId="77777777">
      <w:pPr>
        <w:numPr>
          <w:ilvl w:val="0"/>
          <w:numId w:val="8"/>
        </w:numPr>
        <w:ind w:left="1440" w:hanging="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Generic ICR.</w:t>
      </w:r>
      <w:r>
        <w:rPr>
          <w:rFonts w:eastAsia="Arial Unicode MS"/>
          <w:sz w:val="24"/>
          <w:szCs w:val="24"/>
          <w:u w:color="000000"/>
        </w:rPr>
        <w:t xml:space="preserve">  </w:t>
      </w:r>
    </w:p>
    <w:p w:rsidR="005B0F82" w:rsidP="005B0F82" w:rsidRDefault="005B0F82" w14:paraId="51B9A8BC" w14:textId="77777777">
      <w:pPr>
        <w:ind w:left="720"/>
        <w:rPr>
          <w:rFonts w:eastAsia="Arial Unicode MS"/>
          <w:sz w:val="24"/>
          <w:szCs w:val="24"/>
          <w:u w:color="000000"/>
        </w:rPr>
      </w:pPr>
    </w:p>
    <w:p w:rsidRPr="009C3981" w:rsidR="00BA4BD3" w:rsidP="009C3981" w:rsidRDefault="005B0F82" w14:paraId="53751548" w14:textId="2EF6C516">
      <w:pPr>
        <w:ind w:left="720" w:hanging="720"/>
        <w:rPr>
          <w:sz w:val="24"/>
          <w:szCs w:val="24"/>
        </w:rPr>
      </w:pPr>
      <w:r>
        <w:rPr>
          <w:rFonts w:eastAsia="Arial Unicode MS"/>
          <w:sz w:val="24"/>
          <w:szCs w:val="24"/>
          <w:u w:color="000000"/>
        </w:rPr>
        <w:tab/>
      </w:r>
    </w:p>
    <w:p w:rsidR="001A3A81" w:rsidP="00B651A5" w:rsidRDefault="00E92F86" w14:paraId="23316BD2"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Pr="000B6B4A" w:rsidR="001A3A81">
        <w:rPr>
          <w:rFonts w:eastAsia="Arial Unicode MS"/>
          <w:b/>
          <w:sz w:val="24"/>
          <w:szCs w:val="24"/>
          <w:u w:color="000000"/>
        </w:rPr>
        <w:t>Comm</w:t>
      </w:r>
      <w:r w:rsidRPr="00B651A5" w:rsidR="001A3A81">
        <w:rPr>
          <w:rFonts w:eastAsia="Arial Unicode MS"/>
          <w:b/>
          <w:sz w:val="24"/>
          <w:szCs w:val="24"/>
          <w:u w:color="000000"/>
        </w:rPr>
        <w:t xml:space="preserve">ents in Response to the Federal Register Notice and Efforts to Consult </w:t>
      </w:r>
      <w:r w:rsidRPr="007366BE" w:rsidR="001A3A81">
        <w:rPr>
          <w:rFonts w:eastAsia="Arial Unicode MS"/>
          <w:b/>
          <w:sz w:val="24"/>
          <w:szCs w:val="24"/>
          <w:u w:color="000000"/>
        </w:rPr>
        <w:t xml:space="preserve">Outside </w:t>
      </w:r>
      <w:r w:rsidRPr="007366BE">
        <w:rPr>
          <w:rFonts w:eastAsia="Arial Unicode MS"/>
          <w:b/>
          <w:sz w:val="24"/>
          <w:szCs w:val="24"/>
          <w:u w:color="000000"/>
        </w:rPr>
        <w:t xml:space="preserve">the </w:t>
      </w:r>
      <w:r w:rsidRPr="007366BE" w:rsidR="001A3A81">
        <w:rPr>
          <w:rFonts w:eastAsia="Arial Unicode MS"/>
          <w:b/>
          <w:sz w:val="24"/>
          <w:szCs w:val="24"/>
          <w:u w:color="000000"/>
        </w:rPr>
        <w:t>Agency</w:t>
      </w:r>
    </w:p>
    <w:p w:rsidRPr="007366BE" w:rsidR="000B6B4A" w:rsidP="00B651A5" w:rsidRDefault="000B6B4A" w14:paraId="3A021DF2" w14:textId="77777777">
      <w:pPr>
        <w:ind w:left="720" w:hanging="720"/>
        <w:rPr>
          <w:rFonts w:eastAsia="Arial Unicode MS"/>
          <w:b/>
          <w:sz w:val="24"/>
          <w:szCs w:val="24"/>
          <w:u w:color="000000"/>
        </w:rPr>
      </w:pPr>
    </w:p>
    <w:p w:rsidR="000B6B4A" w:rsidP="000B6B4A" w:rsidRDefault="000B6B4A" w14:paraId="7E43B1C4" w14:textId="77777777">
      <w:pPr>
        <w:pStyle w:val="Body1"/>
        <w:tabs>
          <w:tab w:val="left" w:pos="720"/>
          <w:tab w:val="left" w:pos="1080"/>
          <w:tab w:val="left" w:pos="1800"/>
        </w:tabs>
        <w:ind w:left="720"/>
        <w:rPr>
          <w:b/>
          <w:szCs w:val="24"/>
        </w:rPr>
      </w:pPr>
      <w:r>
        <w:rPr>
          <w:b/>
          <w:szCs w:val="24"/>
        </w:rPr>
        <w:t xml:space="preserve">A. </w:t>
      </w:r>
      <w:r w:rsidRPr="0029499C">
        <w:rPr>
          <w:b/>
          <w:noProof/>
        </w:rPr>
        <w:t>Federal Register Notice</w:t>
      </w:r>
      <w:r w:rsidRPr="00912A6F">
        <w:rPr>
          <w:b/>
          <w:szCs w:val="24"/>
        </w:rPr>
        <w:t xml:space="preserve"> </w:t>
      </w:r>
    </w:p>
    <w:p w:rsidR="000B6B4A" w:rsidP="000B6B4A" w:rsidRDefault="000B6B4A" w14:paraId="060798C7" w14:textId="3BCFAC1B">
      <w:pPr>
        <w:pStyle w:val="Body1"/>
        <w:tabs>
          <w:tab w:val="left" w:pos="720"/>
          <w:tab w:val="left" w:pos="1080"/>
          <w:tab w:val="left" w:pos="1800"/>
        </w:tabs>
        <w:ind w:left="720"/>
        <w:rPr>
          <w:szCs w:val="24"/>
        </w:rPr>
      </w:pPr>
      <w:r w:rsidRPr="009C3981">
        <w:rPr>
          <w:szCs w:val="24"/>
        </w:rPr>
        <w:t>A</w:t>
      </w:r>
      <w:r w:rsidRPr="00912A6F">
        <w:rPr>
          <w:szCs w:val="24"/>
        </w:rPr>
        <w:t xml:space="preserve"> 60-day</w:t>
      </w:r>
      <w:r w:rsidRPr="009E7AEB">
        <w:rPr>
          <w:szCs w:val="24"/>
        </w:rPr>
        <w:t xml:space="preserve"> Federal Register Notice was published in the Federal Register on </w:t>
      </w:r>
      <w:r w:rsidRPr="00AC1A82" w:rsidR="00AC1A82">
        <w:rPr>
          <w:szCs w:val="24"/>
        </w:rPr>
        <w:t>August 13, 2020</w:t>
      </w:r>
      <w:r>
        <w:rPr>
          <w:szCs w:val="24"/>
        </w:rPr>
        <w:t xml:space="preserve">, </w:t>
      </w:r>
      <w:r w:rsidRPr="009E7AEB">
        <w:rPr>
          <w:szCs w:val="24"/>
        </w:rPr>
        <w:t xml:space="preserve">Vol. </w:t>
      </w:r>
      <w:r w:rsidR="00AC1A82">
        <w:rPr>
          <w:szCs w:val="24"/>
        </w:rPr>
        <w:t>85</w:t>
      </w:r>
      <w:r w:rsidRPr="009E7AEB">
        <w:rPr>
          <w:szCs w:val="24"/>
        </w:rPr>
        <w:t>, No</w:t>
      </w:r>
      <w:r>
        <w:rPr>
          <w:szCs w:val="24"/>
        </w:rPr>
        <w:t xml:space="preserve">. </w:t>
      </w:r>
      <w:r w:rsidR="00AC1A82">
        <w:rPr>
          <w:szCs w:val="24"/>
        </w:rPr>
        <w:t>157</w:t>
      </w:r>
      <w:r>
        <w:rPr>
          <w:szCs w:val="24"/>
        </w:rPr>
        <w:t xml:space="preserve">, page </w:t>
      </w:r>
      <w:r w:rsidRPr="00AC1A82" w:rsidR="00AC1A82">
        <w:rPr>
          <w:szCs w:val="24"/>
        </w:rPr>
        <w:t>49375</w:t>
      </w:r>
      <w:r w:rsidR="001F2CDB">
        <w:rPr>
          <w:szCs w:val="24"/>
        </w:rPr>
        <w:t xml:space="preserve"> </w:t>
      </w:r>
      <w:r w:rsidR="00CF3E23">
        <w:rPr>
          <w:szCs w:val="24"/>
        </w:rPr>
        <w:t>(</w:t>
      </w:r>
      <w:r w:rsidRPr="00304F0B">
        <w:rPr>
          <w:b/>
          <w:szCs w:val="24"/>
        </w:rPr>
        <w:t xml:space="preserve">Attachment </w:t>
      </w:r>
      <w:r w:rsidR="0032124C">
        <w:rPr>
          <w:b/>
          <w:szCs w:val="24"/>
        </w:rPr>
        <w:t>B</w:t>
      </w:r>
      <w:r>
        <w:rPr>
          <w:szCs w:val="24"/>
        </w:rPr>
        <w:t xml:space="preserve">). </w:t>
      </w:r>
      <w:r w:rsidRPr="00267C1C" w:rsidR="00267C1C">
        <w:rPr>
          <w:szCs w:val="24"/>
        </w:rPr>
        <w:t xml:space="preserve">CDC received </w:t>
      </w:r>
      <w:r w:rsidR="00AC1A82">
        <w:rPr>
          <w:szCs w:val="24"/>
        </w:rPr>
        <w:t>no</w:t>
      </w:r>
      <w:r w:rsidRPr="00267C1C" w:rsidR="00AC1A82">
        <w:rPr>
          <w:szCs w:val="24"/>
        </w:rPr>
        <w:t xml:space="preserve"> </w:t>
      </w:r>
      <w:r w:rsidRPr="00267C1C" w:rsidR="00267C1C">
        <w:rPr>
          <w:szCs w:val="24"/>
        </w:rPr>
        <w:t>public comments</w:t>
      </w:r>
      <w:r w:rsidR="00411C78">
        <w:rPr>
          <w:szCs w:val="24"/>
        </w:rPr>
        <w:t>.</w:t>
      </w:r>
    </w:p>
    <w:p w:rsidR="006C6CE1" w:rsidP="007026AA" w:rsidRDefault="006C6CE1" w14:paraId="6C7CC569" w14:textId="77777777">
      <w:pPr>
        <w:pStyle w:val="Body1"/>
        <w:tabs>
          <w:tab w:val="left" w:pos="720"/>
          <w:tab w:val="left" w:pos="1080"/>
          <w:tab w:val="left" w:pos="1800"/>
        </w:tabs>
        <w:ind w:left="720"/>
        <w:rPr>
          <w:b/>
          <w:szCs w:val="24"/>
        </w:rPr>
      </w:pPr>
    </w:p>
    <w:p w:rsidR="000B6B4A" w:rsidP="001F1EF2" w:rsidRDefault="006C6CE1" w14:paraId="09AE330D" w14:textId="77777777">
      <w:pPr>
        <w:pStyle w:val="Default"/>
        <w:ind w:left="720"/>
        <w:rPr>
          <w:b/>
        </w:rPr>
      </w:pPr>
      <w:r>
        <w:rPr>
          <w:b/>
        </w:rPr>
        <w:t xml:space="preserve">B. </w:t>
      </w:r>
      <w:r w:rsidRPr="0029499C" w:rsidR="000B6B4A">
        <w:rPr>
          <w:b/>
          <w:noProof/>
        </w:rPr>
        <w:t>Efforts to Consult Outside the Agency</w:t>
      </w:r>
    </w:p>
    <w:p w:rsidR="006C6CE1" w:rsidP="001F1EF2" w:rsidRDefault="007227B1" w14:paraId="7AE92E65" w14:textId="0FFE9705">
      <w:pPr>
        <w:pStyle w:val="Default"/>
        <w:ind w:left="720"/>
        <w:rPr>
          <w:sz w:val="22"/>
          <w:szCs w:val="22"/>
        </w:rPr>
      </w:pPr>
      <w:r>
        <w:rPr>
          <w:sz w:val="22"/>
          <w:szCs w:val="22"/>
        </w:rPr>
        <w:t xml:space="preserve">The following are the individuals we consulted with to inform the development of this package. There were no major problems that could not be resolved during the consultation. </w:t>
      </w:r>
    </w:p>
    <w:p w:rsidR="007227B1" w:rsidP="001F1EF2" w:rsidRDefault="007227B1" w14:paraId="5EA5CD21" w14:textId="77777777">
      <w:pPr>
        <w:pStyle w:val="Default"/>
        <w:ind w:left="720"/>
        <w:rPr>
          <w:sz w:val="22"/>
          <w:szCs w:val="22"/>
        </w:rPr>
      </w:pPr>
    </w:p>
    <w:p w:rsidR="007227B1" w:rsidP="001F1EF2" w:rsidRDefault="007227B1" w14:paraId="19BB4F52" w14:textId="77777777">
      <w:pPr>
        <w:pStyle w:val="Default"/>
        <w:ind w:left="720"/>
        <w:rPr>
          <w:sz w:val="22"/>
          <w:szCs w:val="22"/>
        </w:rPr>
      </w:pPr>
      <w:r w:rsidRPr="001F1EF2">
        <w:rPr>
          <w:b/>
          <w:sz w:val="22"/>
          <w:szCs w:val="22"/>
        </w:rPr>
        <w:t>Name</w:t>
      </w:r>
      <w:r>
        <w:rPr>
          <w:sz w:val="22"/>
          <w:szCs w:val="22"/>
        </w:rPr>
        <w:t xml:space="preserve">: </w:t>
      </w:r>
      <w:proofErr w:type="spellStart"/>
      <w:r>
        <w:rPr>
          <w:sz w:val="22"/>
          <w:szCs w:val="22"/>
        </w:rPr>
        <w:t>Danice</w:t>
      </w:r>
      <w:proofErr w:type="spellEnd"/>
      <w:r>
        <w:rPr>
          <w:sz w:val="22"/>
          <w:szCs w:val="22"/>
        </w:rPr>
        <w:t xml:space="preserve"> Eaton</w:t>
      </w:r>
    </w:p>
    <w:p w:rsidR="007227B1" w:rsidP="001F1EF2" w:rsidRDefault="007227B1" w14:paraId="41DEB895" w14:textId="77777777">
      <w:pPr>
        <w:pStyle w:val="Default"/>
        <w:ind w:left="720"/>
        <w:rPr>
          <w:sz w:val="22"/>
          <w:szCs w:val="22"/>
        </w:rPr>
      </w:pPr>
      <w:r w:rsidRPr="001F1EF2">
        <w:rPr>
          <w:b/>
          <w:sz w:val="22"/>
          <w:szCs w:val="22"/>
        </w:rPr>
        <w:t>Title</w:t>
      </w:r>
      <w:r>
        <w:rPr>
          <w:sz w:val="22"/>
          <w:szCs w:val="22"/>
        </w:rPr>
        <w:t>: Senior Research Scientist, Division of Scientific Education and Professional Development, Center for Surveillance, Epidemiology, and Laboratory Services, Office of Public Health Scientific Services</w:t>
      </w:r>
      <w:r w:rsidR="00A50004">
        <w:rPr>
          <w:sz w:val="22"/>
          <w:szCs w:val="22"/>
        </w:rPr>
        <w:t>, CDC</w:t>
      </w:r>
    </w:p>
    <w:p w:rsidR="007227B1" w:rsidP="001F1EF2" w:rsidRDefault="007227B1" w14:paraId="185C0406" w14:textId="77777777">
      <w:pPr>
        <w:pStyle w:val="Default"/>
        <w:ind w:left="720"/>
        <w:rPr>
          <w:sz w:val="22"/>
          <w:szCs w:val="22"/>
        </w:rPr>
      </w:pPr>
      <w:r w:rsidRPr="001F1EF2">
        <w:rPr>
          <w:b/>
          <w:sz w:val="22"/>
          <w:szCs w:val="22"/>
        </w:rPr>
        <w:t>Phone Number</w:t>
      </w:r>
      <w:r>
        <w:rPr>
          <w:sz w:val="22"/>
          <w:szCs w:val="22"/>
        </w:rPr>
        <w:t xml:space="preserve">: </w:t>
      </w:r>
      <w:r w:rsidRPr="007227B1">
        <w:rPr>
          <w:sz w:val="22"/>
          <w:szCs w:val="22"/>
        </w:rPr>
        <w:t>404.498.6389</w:t>
      </w:r>
    </w:p>
    <w:p w:rsidR="007227B1" w:rsidP="001F1EF2" w:rsidRDefault="007227B1" w14:paraId="1D131021" w14:textId="77777777">
      <w:pPr>
        <w:pStyle w:val="Default"/>
        <w:ind w:left="720"/>
        <w:rPr>
          <w:sz w:val="22"/>
          <w:szCs w:val="22"/>
        </w:rPr>
      </w:pPr>
      <w:r w:rsidRPr="001F1EF2">
        <w:rPr>
          <w:b/>
          <w:sz w:val="22"/>
          <w:szCs w:val="22"/>
        </w:rPr>
        <w:t>Email</w:t>
      </w:r>
      <w:r>
        <w:rPr>
          <w:sz w:val="22"/>
          <w:szCs w:val="22"/>
        </w:rPr>
        <w:t xml:space="preserve">: </w:t>
      </w:r>
      <w:hyperlink w:history="1" r:id="rId8">
        <w:r w:rsidRPr="005E5A46">
          <w:rPr>
            <w:rStyle w:val="Hyperlink"/>
            <w:rFonts w:eastAsia="Times New Roman"/>
            <w:sz w:val="22"/>
            <w:szCs w:val="22"/>
          </w:rPr>
          <w:t>DHE0@cdc.gov</w:t>
        </w:r>
      </w:hyperlink>
      <w:r>
        <w:rPr>
          <w:sz w:val="22"/>
          <w:szCs w:val="22"/>
        </w:rPr>
        <w:t xml:space="preserve"> </w:t>
      </w:r>
    </w:p>
    <w:p w:rsidR="007227B1" w:rsidP="001F1EF2" w:rsidRDefault="007227B1" w14:paraId="6A4AF42B" w14:textId="06EAD227">
      <w:pPr>
        <w:pStyle w:val="Default"/>
        <w:ind w:left="720"/>
        <w:rPr>
          <w:sz w:val="22"/>
          <w:szCs w:val="22"/>
        </w:rPr>
      </w:pPr>
    </w:p>
    <w:p w:rsidR="007227B1" w:rsidP="007227B1" w:rsidRDefault="007227B1" w14:paraId="588616B9" w14:textId="77777777">
      <w:pPr>
        <w:pStyle w:val="Default"/>
        <w:ind w:left="720"/>
        <w:rPr>
          <w:sz w:val="22"/>
          <w:szCs w:val="22"/>
        </w:rPr>
      </w:pPr>
      <w:r w:rsidRPr="001F1EF2">
        <w:rPr>
          <w:b/>
          <w:sz w:val="22"/>
          <w:szCs w:val="22"/>
        </w:rPr>
        <w:t>Name</w:t>
      </w:r>
      <w:r>
        <w:rPr>
          <w:sz w:val="22"/>
          <w:szCs w:val="22"/>
        </w:rPr>
        <w:t>: Tony Richardson</w:t>
      </w:r>
    </w:p>
    <w:p w:rsidR="007227B1" w:rsidP="007227B1" w:rsidRDefault="007227B1" w14:paraId="2B228FC6" w14:textId="77777777">
      <w:pPr>
        <w:pStyle w:val="Default"/>
        <w:ind w:left="720"/>
        <w:rPr>
          <w:sz w:val="22"/>
          <w:szCs w:val="22"/>
        </w:rPr>
      </w:pPr>
      <w:r w:rsidRPr="001F1EF2">
        <w:rPr>
          <w:b/>
          <w:sz w:val="22"/>
          <w:szCs w:val="22"/>
        </w:rPr>
        <w:t>Title</w:t>
      </w:r>
      <w:r>
        <w:rPr>
          <w:sz w:val="22"/>
          <w:szCs w:val="22"/>
        </w:rPr>
        <w:t>: Public Health Advisor, Office of Scientific Integrity, Office of the Associate Director for Science, Office of the Director</w:t>
      </w:r>
      <w:r w:rsidR="00A50004">
        <w:rPr>
          <w:sz w:val="22"/>
          <w:szCs w:val="22"/>
        </w:rPr>
        <w:t>, CDC</w:t>
      </w:r>
    </w:p>
    <w:p w:rsidR="007227B1" w:rsidP="007227B1" w:rsidRDefault="007227B1" w14:paraId="67F26D3A" w14:textId="77777777">
      <w:pPr>
        <w:pStyle w:val="Default"/>
        <w:ind w:left="720"/>
        <w:rPr>
          <w:sz w:val="22"/>
          <w:szCs w:val="22"/>
        </w:rPr>
      </w:pPr>
      <w:r w:rsidRPr="001F1EF2">
        <w:rPr>
          <w:b/>
          <w:sz w:val="22"/>
          <w:szCs w:val="22"/>
        </w:rPr>
        <w:t>Phone Number</w:t>
      </w:r>
      <w:r>
        <w:rPr>
          <w:sz w:val="22"/>
          <w:szCs w:val="22"/>
        </w:rPr>
        <w:t>: 404.639.4965</w:t>
      </w:r>
    </w:p>
    <w:p w:rsidR="007227B1" w:rsidP="007227B1" w:rsidRDefault="007227B1" w14:paraId="5A554327" w14:textId="77777777">
      <w:pPr>
        <w:pStyle w:val="Default"/>
        <w:ind w:left="720"/>
        <w:rPr>
          <w:sz w:val="22"/>
          <w:szCs w:val="22"/>
        </w:rPr>
      </w:pPr>
      <w:r w:rsidRPr="001F1EF2">
        <w:rPr>
          <w:b/>
          <w:sz w:val="22"/>
          <w:szCs w:val="22"/>
        </w:rPr>
        <w:t>Email</w:t>
      </w:r>
      <w:r>
        <w:rPr>
          <w:sz w:val="22"/>
          <w:szCs w:val="22"/>
        </w:rPr>
        <w:t xml:space="preserve">: </w:t>
      </w:r>
      <w:hyperlink w:history="1" r:id="rId9">
        <w:r w:rsidRPr="005E5A46">
          <w:rPr>
            <w:rStyle w:val="Hyperlink"/>
            <w:rFonts w:eastAsia="Times New Roman"/>
            <w:sz w:val="22"/>
            <w:szCs w:val="22"/>
          </w:rPr>
          <w:t>LMR7@cdc.gov</w:t>
        </w:r>
      </w:hyperlink>
      <w:r>
        <w:rPr>
          <w:sz w:val="22"/>
          <w:szCs w:val="22"/>
        </w:rPr>
        <w:t xml:space="preserve"> </w:t>
      </w:r>
    </w:p>
    <w:p w:rsidR="007227B1" w:rsidP="007227B1" w:rsidRDefault="007227B1" w14:paraId="16BA403A" w14:textId="77777777">
      <w:pPr>
        <w:pStyle w:val="Default"/>
        <w:ind w:left="720"/>
        <w:rPr>
          <w:sz w:val="22"/>
          <w:szCs w:val="22"/>
        </w:rPr>
      </w:pPr>
    </w:p>
    <w:p w:rsidR="007227B1" w:rsidP="007227B1" w:rsidRDefault="007227B1" w14:paraId="023E9BB5" w14:textId="77777777">
      <w:pPr>
        <w:pStyle w:val="Default"/>
        <w:ind w:left="720"/>
        <w:rPr>
          <w:sz w:val="22"/>
          <w:szCs w:val="22"/>
        </w:rPr>
      </w:pPr>
      <w:r w:rsidRPr="001F1EF2">
        <w:rPr>
          <w:b/>
          <w:sz w:val="22"/>
          <w:szCs w:val="22"/>
        </w:rPr>
        <w:t>Name</w:t>
      </w:r>
      <w:r>
        <w:rPr>
          <w:sz w:val="22"/>
          <w:szCs w:val="22"/>
        </w:rPr>
        <w:t xml:space="preserve">: </w:t>
      </w:r>
      <w:r w:rsidR="00847460">
        <w:rPr>
          <w:sz w:val="22"/>
          <w:szCs w:val="22"/>
        </w:rPr>
        <w:t>Rob Lyer</w:t>
      </w:r>
      <w:r w:rsidR="00A50004">
        <w:rPr>
          <w:sz w:val="22"/>
          <w:szCs w:val="22"/>
        </w:rPr>
        <w:t>l</w:t>
      </w:r>
      <w:r w:rsidR="00847460">
        <w:rPr>
          <w:sz w:val="22"/>
          <w:szCs w:val="22"/>
        </w:rPr>
        <w:t>a</w:t>
      </w:r>
    </w:p>
    <w:p w:rsidR="007227B1" w:rsidP="007227B1" w:rsidRDefault="007227B1" w14:paraId="36E82FCB" w14:textId="77777777">
      <w:pPr>
        <w:pStyle w:val="Default"/>
        <w:ind w:left="720"/>
        <w:rPr>
          <w:sz w:val="22"/>
          <w:szCs w:val="22"/>
        </w:rPr>
      </w:pPr>
      <w:r w:rsidRPr="001F1EF2">
        <w:rPr>
          <w:b/>
          <w:sz w:val="22"/>
          <w:szCs w:val="22"/>
        </w:rPr>
        <w:t>Title</w:t>
      </w:r>
      <w:r>
        <w:rPr>
          <w:sz w:val="22"/>
          <w:szCs w:val="22"/>
        </w:rPr>
        <w:t xml:space="preserve">: </w:t>
      </w:r>
      <w:r w:rsidR="00A50004">
        <w:rPr>
          <w:sz w:val="22"/>
          <w:szCs w:val="22"/>
        </w:rPr>
        <w:t>CAPT USPHS, Center for Behavioral Health Statistics and Quality, Substance Abuse and Mental Health Services Administration</w:t>
      </w:r>
    </w:p>
    <w:p w:rsidR="00A50004" w:rsidP="001F1EF2" w:rsidRDefault="007227B1" w14:paraId="047E4BB4" w14:textId="77777777">
      <w:pPr>
        <w:pStyle w:val="Default"/>
        <w:ind w:left="720"/>
        <w:rPr>
          <w:sz w:val="22"/>
          <w:szCs w:val="22"/>
        </w:rPr>
      </w:pPr>
      <w:r w:rsidRPr="001F1EF2">
        <w:rPr>
          <w:b/>
          <w:sz w:val="22"/>
          <w:szCs w:val="22"/>
        </w:rPr>
        <w:t>Phone Number</w:t>
      </w:r>
      <w:r>
        <w:rPr>
          <w:sz w:val="22"/>
          <w:szCs w:val="22"/>
        </w:rPr>
        <w:t xml:space="preserve">: </w:t>
      </w:r>
      <w:r w:rsidR="00A50004">
        <w:rPr>
          <w:sz w:val="22"/>
          <w:szCs w:val="22"/>
        </w:rPr>
        <w:t>240.276.0548</w:t>
      </w:r>
    </w:p>
    <w:p w:rsidR="007227B1" w:rsidP="007227B1" w:rsidRDefault="007227B1" w14:paraId="7C2AF168" w14:textId="77777777">
      <w:pPr>
        <w:pStyle w:val="Default"/>
        <w:ind w:left="720"/>
        <w:rPr>
          <w:sz w:val="22"/>
          <w:szCs w:val="22"/>
        </w:rPr>
      </w:pPr>
      <w:r w:rsidRPr="001F1EF2">
        <w:rPr>
          <w:b/>
          <w:sz w:val="22"/>
          <w:szCs w:val="22"/>
        </w:rPr>
        <w:t>Email</w:t>
      </w:r>
      <w:r>
        <w:rPr>
          <w:sz w:val="22"/>
          <w:szCs w:val="22"/>
        </w:rPr>
        <w:t xml:space="preserve">: </w:t>
      </w:r>
      <w:hyperlink w:history="1" r:id="rId10">
        <w:r w:rsidRPr="005E5A46" w:rsidR="00A50004">
          <w:rPr>
            <w:rStyle w:val="Hyperlink"/>
            <w:rFonts w:eastAsia="Times New Roman"/>
            <w:sz w:val="22"/>
            <w:szCs w:val="22"/>
          </w:rPr>
          <w:t>rob.lyerla@samhsa.gov</w:t>
        </w:r>
      </w:hyperlink>
      <w:r w:rsidR="00A50004">
        <w:rPr>
          <w:sz w:val="22"/>
          <w:szCs w:val="22"/>
        </w:rPr>
        <w:t xml:space="preserve"> </w:t>
      </w:r>
    </w:p>
    <w:p w:rsidR="007227B1" w:rsidP="007227B1" w:rsidRDefault="007227B1" w14:paraId="34A74017" w14:textId="77777777">
      <w:pPr>
        <w:pStyle w:val="Default"/>
        <w:ind w:left="720"/>
        <w:rPr>
          <w:sz w:val="22"/>
          <w:szCs w:val="22"/>
        </w:rPr>
      </w:pPr>
    </w:p>
    <w:p w:rsidR="00A50004" w:rsidP="00A50004" w:rsidRDefault="00A50004" w14:paraId="0F5275F2" w14:textId="77777777">
      <w:pPr>
        <w:pStyle w:val="Default"/>
        <w:ind w:left="720"/>
        <w:rPr>
          <w:sz w:val="22"/>
          <w:szCs w:val="22"/>
        </w:rPr>
      </w:pPr>
      <w:r w:rsidRPr="001F1EF2">
        <w:rPr>
          <w:b/>
          <w:sz w:val="22"/>
          <w:szCs w:val="22"/>
        </w:rPr>
        <w:lastRenderedPageBreak/>
        <w:t>Name</w:t>
      </w:r>
      <w:r>
        <w:rPr>
          <w:sz w:val="22"/>
          <w:szCs w:val="22"/>
        </w:rPr>
        <w:t>: Sharon Larson</w:t>
      </w:r>
    </w:p>
    <w:p w:rsidR="00A50004" w:rsidP="00A50004" w:rsidRDefault="00A50004" w14:paraId="6983723E" w14:textId="77777777">
      <w:pPr>
        <w:pStyle w:val="Default"/>
        <w:ind w:left="720"/>
        <w:rPr>
          <w:sz w:val="22"/>
          <w:szCs w:val="22"/>
        </w:rPr>
      </w:pPr>
      <w:r w:rsidRPr="001F1EF2">
        <w:rPr>
          <w:b/>
          <w:sz w:val="22"/>
          <w:szCs w:val="22"/>
        </w:rPr>
        <w:t>Title</w:t>
      </w:r>
      <w:r>
        <w:rPr>
          <w:sz w:val="22"/>
          <w:szCs w:val="22"/>
        </w:rPr>
        <w:t>: Director, Center for Behavioral Health Statistics and Quality, Substance Abuse and Mental Health Services Administration</w:t>
      </w:r>
    </w:p>
    <w:p w:rsidR="00A50004" w:rsidP="00A50004" w:rsidRDefault="00A50004" w14:paraId="72C2B09A" w14:textId="77777777">
      <w:pPr>
        <w:pStyle w:val="Default"/>
        <w:ind w:left="720"/>
        <w:rPr>
          <w:sz w:val="22"/>
          <w:szCs w:val="22"/>
        </w:rPr>
      </w:pPr>
      <w:r>
        <w:rPr>
          <w:sz w:val="22"/>
          <w:szCs w:val="22"/>
        </w:rPr>
        <w:t>Phone Number: 240.276.1250</w:t>
      </w:r>
    </w:p>
    <w:p w:rsidR="00A50004" w:rsidP="00A50004" w:rsidRDefault="00A50004" w14:paraId="31FDFC5B" w14:textId="77777777">
      <w:pPr>
        <w:pStyle w:val="Default"/>
        <w:ind w:left="720"/>
        <w:rPr>
          <w:sz w:val="22"/>
          <w:szCs w:val="22"/>
        </w:rPr>
      </w:pPr>
      <w:r w:rsidRPr="001F1EF2">
        <w:rPr>
          <w:b/>
          <w:sz w:val="22"/>
          <w:szCs w:val="22"/>
        </w:rPr>
        <w:t>Email</w:t>
      </w:r>
      <w:r>
        <w:rPr>
          <w:sz w:val="22"/>
          <w:szCs w:val="22"/>
        </w:rPr>
        <w:t xml:space="preserve">: </w:t>
      </w:r>
      <w:hyperlink w:history="1" r:id="rId11">
        <w:r w:rsidRPr="005E5A46">
          <w:rPr>
            <w:rStyle w:val="Hyperlink"/>
            <w:rFonts w:eastAsia="Times New Roman"/>
            <w:sz w:val="22"/>
            <w:szCs w:val="22"/>
          </w:rPr>
          <w:t>Sharon.larson@samhsa.gov</w:t>
        </w:r>
      </w:hyperlink>
      <w:r>
        <w:rPr>
          <w:sz w:val="22"/>
          <w:szCs w:val="22"/>
        </w:rPr>
        <w:t xml:space="preserve"> </w:t>
      </w:r>
    </w:p>
    <w:p w:rsidR="009B663D" w:rsidP="0092087E" w:rsidRDefault="009B663D" w14:paraId="0DF8D54C" w14:textId="77777777">
      <w:pPr>
        <w:pStyle w:val="Default"/>
        <w:rPr>
          <w:b/>
          <w:sz w:val="22"/>
          <w:szCs w:val="22"/>
        </w:rPr>
      </w:pPr>
    </w:p>
    <w:p w:rsidR="00A50004" w:rsidP="00A50004" w:rsidRDefault="00A50004" w14:paraId="1E1B8D4B" w14:textId="77777777">
      <w:pPr>
        <w:pStyle w:val="Default"/>
        <w:ind w:left="720"/>
        <w:rPr>
          <w:sz w:val="22"/>
          <w:szCs w:val="22"/>
        </w:rPr>
      </w:pPr>
      <w:r w:rsidRPr="001F1EF2">
        <w:rPr>
          <w:b/>
          <w:sz w:val="22"/>
          <w:szCs w:val="22"/>
        </w:rPr>
        <w:t>Name</w:t>
      </w:r>
      <w:r>
        <w:rPr>
          <w:sz w:val="22"/>
          <w:szCs w:val="22"/>
        </w:rPr>
        <w:t>: Ellen Yard</w:t>
      </w:r>
    </w:p>
    <w:p w:rsidR="00A50004" w:rsidP="00A50004" w:rsidRDefault="00A50004" w14:paraId="22083111" w14:textId="038E930E">
      <w:pPr>
        <w:pStyle w:val="Default"/>
        <w:ind w:left="720"/>
        <w:rPr>
          <w:sz w:val="22"/>
          <w:szCs w:val="22"/>
        </w:rPr>
      </w:pPr>
      <w:r w:rsidRPr="795783A4">
        <w:rPr>
          <w:b/>
          <w:bCs/>
          <w:sz w:val="22"/>
          <w:szCs w:val="22"/>
        </w:rPr>
        <w:t>Title</w:t>
      </w:r>
      <w:r w:rsidRPr="795783A4">
        <w:rPr>
          <w:sz w:val="22"/>
          <w:szCs w:val="22"/>
        </w:rPr>
        <w:t>: Epidemiologist, Division of Environmental Hazards and Health Effects, National Center for Environmental Health, CDC</w:t>
      </w:r>
    </w:p>
    <w:p w:rsidR="00A50004" w:rsidP="00A50004" w:rsidRDefault="00A50004" w14:paraId="2F4F2335" w14:textId="77777777">
      <w:pPr>
        <w:pStyle w:val="Default"/>
        <w:ind w:left="720"/>
        <w:rPr>
          <w:sz w:val="22"/>
          <w:szCs w:val="22"/>
        </w:rPr>
      </w:pPr>
      <w:r>
        <w:rPr>
          <w:sz w:val="22"/>
          <w:szCs w:val="22"/>
        </w:rPr>
        <w:t>Phone Number: 770.488.3406</w:t>
      </w:r>
    </w:p>
    <w:p w:rsidR="00A50004" w:rsidP="00A50004" w:rsidRDefault="00A50004" w14:paraId="0A066D6B" w14:textId="77777777">
      <w:pPr>
        <w:pStyle w:val="Default"/>
        <w:ind w:left="720"/>
        <w:rPr>
          <w:sz w:val="22"/>
          <w:szCs w:val="22"/>
        </w:rPr>
      </w:pPr>
      <w:r w:rsidRPr="001F1EF2">
        <w:rPr>
          <w:b/>
          <w:sz w:val="22"/>
          <w:szCs w:val="22"/>
        </w:rPr>
        <w:t>Email</w:t>
      </w:r>
      <w:r>
        <w:rPr>
          <w:sz w:val="22"/>
          <w:szCs w:val="22"/>
        </w:rPr>
        <w:t xml:space="preserve">: </w:t>
      </w:r>
      <w:hyperlink w:history="1" r:id="rId12">
        <w:r w:rsidRPr="005E5A46">
          <w:rPr>
            <w:rStyle w:val="Hyperlink"/>
            <w:rFonts w:eastAsia="Times New Roman"/>
            <w:sz w:val="22"/>
            <w:szCs w:val="22"/>
          </w:rPr>
          <w:t>IGF8@cdc.gov</w:t>
        </w:r>
      </w:hyperlink>
      <w:r>
        <w:rPr>
          <w:sz w:val="22"/>
          <w:szCs w:val="22"/>
        </w:rPr>
        <w:t xml:space="preserve"> </w:t>
      </w:r>
    </w:p>
    <w:p w:rsidR="00A50004" w:rsidP="001F1EF2" w:rsidRDefault="00A50004" w14:paraId="26FA3FE5" w14:textId="77777777">
      <w:pPr>
        <w:pStyle w:val="Default"/>
        <w:ind w:left="720"/>
        <w:rPr>
          <w:sz w:val="22"/>
          <w:szCs w:val="22"/>
        </w:rPr>
      </w:pPr>
    </w:p>
    <w:p w:rsidR="00A50004" w:rsidP="00A50004" w:rsidRDefault="00A50004" w14:paraId="69720E1A" w14:textId="77777777">
      <w:pPr>
        <w:pStyle w:val="Default"/>
        <w:ind w:left="720"/>
        <w:rPr>
          <w:sz w:val="22"/>
          <w:szCs w:val="22"/>
        </w:rPr>
      </w:pPr>
      <w:r w:rsidRPr="001F1EF2">
        <w:rPr>
          <w:b/>
          <w:sz w:val="22"/>
          <w:szCs w:val="22"/>
        </w:rPr>
        <w:t>Name</w:t>
      </w:r>
      <w:r>
        <w:rPr>
          <w:sz w:val="22"/>
          <w:szCs w:val="22"/>
        </w:rPr>
        <w:t xml:space="preserve">: Amy Funk </w:t>
      </w:r>
      <w:proofErr w:type="spellStart"/>
      <w:r>
        <w:rPr>
          <w:sz w:val="22"/>
          <w:szCs w:val="22"/>
        </w:rPr>
        <w:t>Wolkin</w:t>
      </w:r>
      <w:proofErr w:type="spellEnd"/>
    </w:p>
    <w:p w:rsidR="00A50004" w:rsidP="00A50004" w:rsidRDefault="00A50004" w14:paraId="5793FA73" w14:textId="77777777">
      <w:pPr>
        <w:pStyle w:val="Default"/>
        <w:ind w:left="720"/>
        <w:rPr>
          <w:sz w:val="22"/>
          <w:szCs w:val="22"/>
        </w:rPr>
      </w:pPr>
      <w:r w:rsidRPr="001F1EF2">
        <w:rPr>
          <w:b/>
          <w:sz w:val="22"/>
          <w:szCs w:val="22"/>
        </w:rPr>
        <w:t>Title</w:t>
      </w:r>
      <w:r>
        <w:rPr>
          <w:sz w:val="22"/>
          <w:szCs w:val="22"/>
        </w:rPr>
        <w:t>: Epidemiologist, Division of Environmental Hazards and Health Effects, National Center for Environmental Health, CDC</w:t>
      </w:r>
    </w:p>
    <w:p w:rsidR="00A50004" w:rsidP="00A50004" w:rsidRDefault="00A50004" w14:paraId="62FBE30B" w14:textId="77777777">
      <w:pPr>
        <w:pStyle w:val="Default"/>
        <w:ind w:left="720"/>
        <w:rPr>
          <w:sz w:val="22"/>
          <w:szCs w:val="22"/>
        </w:rPr>
      </w:pPr>
      <w:r w:rsidRPr="001F1EF2">
        <w:rPr>
          <w:b/>
          <w:sz w:val="22"/>
          <w:szCs w:val="22"/>
        </w:rPr>
        <w:t>Phone Number</w:t>
      </w:r>
      <w:r>
        <w:rPr>
          <w:sz w:val="22"/>
          <w:szCs w:val="22"/>
        </w:rPr>
        <w:t>: 770.488.3402</w:t>
      </w:r>
    </w:p>
    <w:p w:rsidR="00A50004" w:rsidP="00A50004" w:rsidRDefault="00A50004" w14:paraId="744211F5" w14:textId="77777777">
      <w:pPr>
        <w:pStyle w:val="Default"/>
        <w:ind w:left="720"/>
        <w:rPr>
          <w:sz w:val="22"/>
          <w:szCs w:val="22"/>
        </w:rPr>
      </w:pPr>
      <w:r w:rsidRPr="001F1EF2">
        <w:rPr>
          <w:b/>
          <w:sz w:val="22"/>
          <w:szCs w:val="22"/>
        </w:rPr>
        <w:t>Email</w:t>
      </w:r>
      <w:r>
        <w:rPr>
          <w:sz w:val="22"/>
          <w:szCs w:val="22"/>
        </w:rPr>
        <w:t xml:space="preserve">: </w:t>
      </w:r>
      <w:hyperlink w:history="1" r:id="rId13">
        <w:r w:rsidRPr="005E5A46">
          <w:rPr>
            <w:rStyle w:val="Hyperlink"/>
            <w:rFonts w:eastAsia="Times New Roman"/>
            <w:sz w:val="22"/>
            <w:szCs w:val="22"/>
          </w:rPr>
          <w:t>AJF9@cdc.gov</w:t>
        </w:r>
      </w:hyperlink>
      <w:r>
        <w:rPr>
          <w:sz w:val="22"/>
          <w:szCs w:val="22"/>
        </w:rPr>
        <w:t xml:space="preserve"> </w:t>
      </w:r>
    </w:p>
    <w:p w:rsidR="00A50004" w:rsidP="001F1EF2" w:rsidRDefault="00A50004" w14:paraId="18171552" w14:textId="77777777">
      <w:pPr>
        <w:pStyle w:val="Default"/>
        <w:ind w:left="720"/>
        <w:rPr>
          <w:rFonts w:eastAsia="Arial Unicode MS"/>
          <w:sz w:val="22"/>
          <w:szCs w:val="22"/>
          <w:u w:color="000000"/>
        </w:rPr>
      </w:pPr>
    </w:p>
    <w:p w:rsidR="00C74966" w:rsidP="00C74966" w:rsidRDefault="00C74966" w14:paraId="4899A72E" w14:textId="77777777">
      <w:pPr>
        <w:pStyle w:val="Default"/>
        <w:ind w:left="720"/>
        <w:rPr>
          <w:sz w:val="22"/>
          <w:szCs w:val="22"/>
        </w:rPr>
      </w:pPr>
      <w:r w:rsidRPr="00C74966">
        <w:rPr>
          <w:b/>
          <w:sz w:val="22"/>
          <w:szCs w:val="22"/>
        </w:rPr>
        <w:t>Name</w:t>
      </w:r>
      <w:r>
        <w:rPr>
          <w:sz w:val="22"/>
          <w:szCs w:val="22"/>
        </w:rPr>
        <w:t>: Lauren Lewis</w:t>
      </w:r>
    </w:p>
    <w:p w:rsidR="00C74966" w:rsidP="00C74966" w:rsidRDefault="00C74966" w14:paraId="49AF78FC" w14:textId="77777777">
      <w:pPr>
        <w:pStyle w:val="Default"/>
        <w:ind w:left="720"/>
        <w:rPr>
          <w:sz w:val="22"/>
          <w:szCs w:val="22"/>
        </w:rPr>
      </w:pPr>
      <w:r w:rsidRPr="00C74966">
        <w:rPr>
          <w:b/>
          <w:sz w:val="22"/>
          <w:szCs w:val="22"/>
        </w:rPr>
        <w:t>Title</w:t>
      </w:r>
      <w:r>
        <w:rPr>
          <w:sz w:val="22"/>
          <w:szCs w:val="22"/>
        </w:rPr>
        <w:t>: Branch Chief, Health Studies Branch, Division of Environmental Hazards and Health Effects, National Center for Environmental Health, CDC</w:t>
      </w:r>
    </w:p>
    <w:p w:rsidR="00C74966" w:rsidP="00C74966" w:rsidRDefault="00C74966" w14:paraId="6BC13D40" w14:textId="77777777">
      <w:pPr>
        <w:pStyle w:val="Default"/>
        <w:ind w:left="720"/>
        <w:rPr>
          <w:sz w:val="22"/>
          <w:szCs w:val="22"/>
        </w:rPr>
      </w:pPr>
      <w:r w:rsidRPr="00C74966">
        <w:rPr>
          <w:b/>
          <w:sz w:val="22"/>
          <w:szCs w:val="22"/>
        </w:rPr>
        <w:t>Phone Number</w:t>
      </w:r>
      <w:r>
        <w:rPr>
          <w:sz w:val="22"/>
          <w:szCs w:val="22"/>
        </w:rPr>
        <w:t>: 770.488.3428</w:t>
      </w:r>
    </w:p>
    <w:p w:rsidR="00C74966" w:rsidP="00C74966" w:rsidRDefault="00C74966" w14:paraId="6F57BB0E" w14:textId="77777777">
      <w:pPr>
        <w:pStyle w:val="Default"/>
        <w:ind w:left="720"/>
        <w:rPr>
          <w:sz w:val="22"/>
          <w:szCs w:val="22"/>
        </w:rPr>
      </w:pPr>
      <w:r w:rsidRPr="00C74966">
        <w:rPr>
          <w:b/>
          <w:sz w:val="22"/>
          <w:szCs w:val="22"/>
        </w:rPr>
        <w:t>Email</w:t>
      </w:r>
      <w:r>
        <w:rPr>
          <w:sz w:val="22"/>
          <w:szCs w:val="22"/>
        </w:rPr>
        <w:t>: LWB6@cdc.gov</w:t>
      </w:r>
    </w:p>
    <w:p w:rsidR="00A50004" w:rsidP="001F1EF2" w:rsidRDefault="00A50004" w14:paraId="619163C5" w14:textId="77777777">
      <w:pPr>
        <w:pStyle w:val="Default"/>
        <w:ind w:left="720"/>
        <w:rPr>
          <w:sz w:val="22"/>
          <w:szCs w:val="22"/>
        </w:rPr>
      </w:pPr>
    </w:p>
    <w:p w:rsidRPr="006E754B" w:rsidR="008C5039" w:rsidP="008C5039" w:rsidRDefault="008C5039" w14:paraId="21AD5908" w14:textId="77777777">
      <w:pPr>
        <w:pStyle w:val="Body1"/>
        <w:tabs>
          <w:tab w:val="left" w:pos="720"/>
          <w:tab w:val="left" w:pos="1080"/>
          <w:tab w:val="left" w:pos="1800"/>
        </w:tabs>
        <w:ind w:left="720"/>
        <w:rPr>
          <w:b/>
          <w:i/>
          <w:szCs w:val="24"/>
        </w:rPr>
      </w:pPr>
    </w:p>
    <w:p w:rsidRPr="005E159F" w:rsidR="00527A26" w:rsidP="00210A99" w:rsidRDefault="00210A99" w14:paraId="123D40EE" w14:textId="77777777">
      <w:pPr>
        <w:pStyle w:val="Body1"/>
        <w:tabs>
          <w:tab w:val="left" w:pos="720"/>
          <w:tab w:val="num" w:pos="1800"/>
        </w:tabs>
        <w:rPr>
          <w:b/>
          <w:szCs w:val="24"/>
        </w:rPr>
      </w:pPr>
      <w:r w:rsidRPr="005E159F">
        <w:rPr>
          <w:b/>
          <w:szCs w:val="24"/>
        </w:rPr>
        <w:t>9.</w:t>
      </w:r>
      <w:r w:rsidRPr="005E159F">
        <w:rPr>
          <w:b/>
          <w:szCs w:val="24"/>
        </w:rPr>
        <w:tab/>
      </w:r>
      <w:r w:rsidRPr="005E159F" w:rsidR="00527A26">
        <w:rPr>
          <w:b/>
          <w:szCs w:val="24"/>
        </w:rPr>
        <w:t>Explanation of Any Payment or Gift to Respondents</w:t>
      </w:r>
    </w:p>
    <w:p w:rsidRPr="00783129" w:rsidR="00527A26" w:rsidP="00B83871" w:rsidRDefault="00527A26" w14:paraId="52F0A6B4" w14:textId="77777777">
      <w:pPr>
        <w:pStyle w:val="Body1"/>
        <w:tabs>
          <w:tab w:val="num" w:pos="0"/>
          <w:tab w:val="left" w:pos="720"/>
          <w:tab w:val="left" w:pos="1800"/>
        </w:tabs>
        <w:rPr>
          <w:b/>
          <w:szCs w:val="24"/>
        </w:rPr>
      </w:pPr>
    </w:p>
    <w:p w:rsidRPr="00B651A5" w:rsidR="00527A26" w:rsidP="00B651A5" w:rsidRDefault="00527A26" w14:paraId="753822BA" w14:textId="77777777">
      <w:pPr>
        <w:ind w:left="720"/>
        <w:rPr>
          <w:rFonts w:eastAsia="Arial Unicode MS"/>
          <w:sz w:val="24"/>
          <w:szCs w:val="24"/>
          <w:u w:color="000000"/>
        </w:rPr>
      </w:pPr>
      <w:r w:rsidRPr="00B651A5">
        <w:rPr>
          <w:rFonts w:eastAsia="Arial Unicode MS"/>
          <w:sz w:val="24"/>
          <w:szCs w:val="24"/>
          <w:u w:color="000000"/>
        </w:rPr>
        <w:t xml:space="preserve">Respondents </w:t>
      </w:r>
      <w:r w:rsidRPr="00B651A5" w:rsidR="00E92F86">
        <w:rPr>
          <w:rFonts w:eastAsia="Arial Unicode MS"/>
          <w:sz w:val="24"/>
          <w:szCs w:val="24"/>
          <w:u w:color="000000"/>
        </w:rPr>
        <w:t>receive no gift or payment for their participation in any information collections.</w:t>
      </w:r>
    </w:p>
    <w:p w:rsidRPr="0072690B" w:rsidR="00527A26" w:rsidP="00B83871" w:rsidRDefault="00527A26" w14:paraId="05992386" w14:textId="77777777">
      <w:pPr>
        <w:pStyle w:val="Body1"/>
        <w:tabs>
          <w:tab w:val="num" w:pos="0"/>
          <w:tab w:val="left" w:pos="720"/>
          <w:tab w:val="left" w:pos="1800"/>
        </w:tabs>
        <w:rPr>
          <w:szCs w:val="24"/>
        </w:rPr>
      </w:pPr>
    </w:p>
    <w:p w:rsidR="007C16F6" w:rsidP="00B436C1" w:rsidRDefault="00210A99" w14:paraId="5EF47929" w14:textId="77777777">
      <w:pPr>
        <w:pStyle w:val="Body1"/>
        <w:tabs>
          <w:tab w:val="num" w:pos="720"/>
        </w:tabs>
        <w:ind w:left="720" w:hanging="720"/>
        <w:rPr>
          <w:b/>
          <w:szCs w:val="24"/>
        </w:rPr>
      </w:pPr>
      <w:r w:rsidRPr="0072690B">
        <w:rPr>
          <w:b/>
          <w:szCs w:val="24"/>
        </w:rPr>
        <w:t>10.</w:t>
      </w:r>
      <w:r w:rsidRPr="0072690B">
        <w:rPr>
          <w:b/>
          <w:szCs w:val="24"/>
        </w:rPr>
        <w:tab/>
      </w:r>
      <w:r w:rsidR="007C16F6">
        <w:rPr>
          <w:b/>
          <w:szCs w:val="24"/>
        </w:rPr>
        <w:t xml:space="preserve">Protection of the Privacy </w:t>
      </w:r>
      <w:r w:rsidRPr="007C16F6" w:rsidR="007C16F6">
        <w:rPr>
          <w:b/>
          <w:szCs w:val="24"/>
        </w:rPr>
        <w:t>and Confi</w:t>
      </w:r>
      <w:r w:rsidR="007C16F6">
        <w:rPr>
          <w:b/>
          <w:szCs w:val="24"/>
        </w:rPr>
        <w:t xml:space="preserve">dentiality of Information </w:t>
      </w:r>
      <w:r w:rsidRPr="007C16F6" w:rsidR="007C16F6">
        <w:rPr>
          <w:b/>
          <w:szCs w:val="24"/>
        </w:rPr>
        <w:t xml:space="preserve">Provided </w:t>
      </w:r>
      <w:proofErr w:type="gramStart"/>
      <w:r w:rsidRPr="007C16F6" w:rsidR="007C16F6">
        <w:rPr>
          <w:b/>
          <w:szCs w:val="24"/>
        </w:rPr>
        <w:t>by  Respondents</w:t>
      </w:r>
      <w:proofErr w:type="gramEnd"/>
      <w:r w:rsidRPr="007C16F6" w:rsidDel="007C16F6" w:rsidR="007C16F6">
        <w:rPr>
          <w:b/>
          <w:szCs w:val="24"/>
        </w:rPr>
        <w:t xml:space="preserve"> </w:t>
      </w:r>
    </w:p>
    <w:p w:rsidRPr="0072690B" w:rsidR="00527A26" w:rsidP="00B436C1" w:rsidRDefault="00527A26" w14:paraId="63D8FD8C" w14:textId="77777777">
      <w:pPr>
        <w:pStyle w:val="Body1"/>
        <w:tabs>
          <w:tab w:val="num" w:pos="720"/>
        </w:tabs>
        <w:ind w:left="720" w:hanging="720"/>
        <w:rPr>
          <w:b/>
          <w:szCs w:val="24"/>
        </w:rPr>
      </w:pPr>
    </w:p>
    <w:p w:rsidR="00947010" w:rsidP="0078769C" w:rsidRDefault="00D0441A" w14:paraId="1683D408" w14:textId="0E9FFB76">
      <w:pPr>
        <w:ind w:left="720"/>
        <w:rPr>
          <w:sz w:val="24"/>
          <w:szCs w:val="24"/>
        </w:rPr>
      </w:pPr>
      <w:r w:rsidRPr="00D0441A">
        <w:rPr>
          <w:sz w:val="24"/>
          <w:szCs w:val="24"/>
        </w:rPr>
        <w:t xml:space="preserve">This submission </w:t>
      </w:r>
      <w:r w:rsidR="00487E5E">
        <w:rPr>
          <w:sz w:val="24"/>
          <w:szCs w:val="24"/>
        </w:rPr>
        <w:t>was</w:t>
      </w:r>
      <w:r w:rsidRPr="00D0441A">
        <w:rPr>
          <w:sz w:val="24"/>
          <w:szCs w:val="24"/>
        </w:rPr>
        <w:t xml:space="preserve"> reviewed by the NCIPC’s Information Systems Security Officer</w:t>
      </w:r>
      <w:r w:rsidR="00AC1A82">
        <w:rPr>
          <w:sz w:val="24"/>
          <w:szCs w:val="24"/>
        </w:rPr>
        <w:t>, on November 1, 2020</w:t>
      </w:r>
      <w:r w:rsidRPr="00D0441A">
        <w:rPr>
          <w:sz w:val="24"/>
          <w:szCs w:val="24"/>
        </w:rPr>
        <w:t>, who determined that the Privacy Act does not apply</w:t>
      </w:r>
      <w:r w:rsidR="00F927A2">
        <w:rPr>
          <w:sz w:val="24"/>
          <w:szCs w:val="24"/>
        </w:rPr>
        <w:t>.</w:t>
      </w:r>
      <w:r w:rsidRPr="00D0441A" w:rsidDel="00D0441A">
        <w:rPr>
          <w:sz w:val="24"/>
          <w:szCs w:val="24"/>
        </w:rPr>
        <w:t xml:space="preserve"> </w:t>
      </w:r>
      <w:r w:rsidRPr="0078769C" w:rsidR="00947010">
        <w:rPr>
          <w:sz w:val="24"/>
          <w:szCs w:val="24"/>
        </w:rPr>
        <w:t xml:space="preserve">Data </w:t>
      </w:r>
      <w:r w:rsidRPr="0078769C" w:rsidR="003D5A5C">
        <w:rPr>
          <w:sz w:val="24"/>
          <w:szCs w:val="24"/>
        </w:rPr>
        <w:t>are</w:t>
      </w:r>
      <w:r w:rsidRPr="0078769C" w:rsidR="00947010">
        <w:rPr>
          <w:sz w:val="24"/>
          <w:szCs w:val="24"/>
        </w:rPr>
        <w:t xml:space="preserve"> treated in a </w:t>
      </w:r>
      <w:r w:rsidRPr="0078769C" w:rsidR="0078769C">
        <w:rPr>
          <w:sz w:val="24"/>
          <w:szCs w:val="24"/>
        </w:rPr>
        <w:t xml:space="preserve">secure </w:t>
      </w:r>
      <w:r w:rsidRPr="0078769C" w:rsidR="00947010">
        <w:rPr>
          <w:sz w:val="24"/>
          <w:szCs w:val="24"/>
        </w:rPr>
        <w:t xml:space="preserve">manner, unless otherwise compelled by law. </w:t>
      </w:r>
      <w:r w:rsidRPr="0078769C" w:rsidR="003D5A5C">
        <w:rPr>
          <w:sz w:val="24"/>
          <w:szCs w:val="24"/>
        </w:rPr>
        <w:t xml:space="preserve">CDC </w:t>
      </w:r>
      <w:r w:rsidRPr="0078769C" w:rsidR="00947010">
        <w:rPr>
          <w:sz w:val="24"/>
          <w:szCs w:val="24"/>
        </w:rPr>
        <w:t>maintain</w:t>
      </w:r>
      <w:r w:rsidRPr="0078769C" w:rsidR="003D5A5C">
        <w:rPr>
          <w:sz w:val="24"/>
          <w:szCs w:val="24"/>
        </w:rPr>
        <w:t>s</w:t>
      </w:r>
      <w:r w:rsidRPr="0078769C" w:rsidR="00947010">
        <w:rPr>
          <w:sz w:val="24"/>
          <w:szCs w:val="24"/>
        </w:rPr>
        <w:t xml:space="preserve"> </w:t>
      </w:r>
      <w:r w:rsidR="003A3667">
        <w:rPr>
          <w:sz w:val="24"/>
          <w:szCs w:val="24"/>
        </w:rPr>
        <w:t xml:space="preserve">respondent information </w:t>
      </w:r>
      <w:r w:rsidRPr="0078769C" w:rsidR="00947010">
        <w:rPr>
          <w:sz w:val="24"/>
          <w:szCs w:val="24"/>
        </w:rPr>
        <w:t xml:space="preserve">by using unique, study identification numbers on all data collection forms. </w:t>
      </w:r>
      <w:r w:rsidRPr="0078769C" w:rsidR="00946464">
        <w:rPr>
          <w:sz w:val="24"/>
          <w:szCs w:val="24"/>
        </w:rPr>
        <w:t xml:space="preserve"> Data may be collected in identifiable form </w:t>
      </w:r>
      <w:r w:rsidR="008D346D">
        <w:rPr>
          <w:sz w:val="24"/>
          <w:szCs w:val="24"/>
        </w:rPr>
        <w:t xml:space="preserve">by state partners </w:t>
      </w:r>
      <w:r w:rsidRPr="0078769C" w:rsidR="00946464">
        <w:rPr>
          <w:sz w:val="24"/>
          <w:szCs w:val="24"/>
        </w:rPr>
        <w:t>but de-linked from identifiers and subsequently retrieved by an assigned code rather than name or SSN</w:t>
      </w:r>
      <w:r w:rsidR="008D346D">
        <w:rPr>
          <w:sz w:val="24"/>
          <w:szCs w:val="24"/>
        </w:rPr>
        <w:t xml:space="preserve"> for CDC use</w:t>
      </w:r>
      <w:r w:rsidR="0078769C">
        <w:rPr>
          <w:sz w:val="24"/>
          <w:szCs w:val="24"/>
        </w:rPr>
        <w:t>.</w:t>
      </w:r>
      <w:r w:rsidRPr="0078769C" w:rsidR="00946464">
        <w:rPr>
          <w:sz w:val="24"/>
          <w:szCs w:val="24"/>
        </w:rPr>
        <w:t xml:space="preserve"> </w:t>
      </w:r>
      <w:r w:rsidR="0078769C">
        <w:rPr>
          <w:sz w:val="24"/>
          <w:szCs w:val="24"/>
        </w:rPr>
        <w:t>The lead epidemiologist of the</w:t>
      </w:r>
      <w:r w:rsidR="00A57CB9">
        <w:rPr>
          <w:sz w:val="24"/>
          <w:szCs w:val="24"/>
        </w:rPr>
        <w:t xml:space="preserve"> local</w:t>
      </w:r>
      <w:r w:rsidR="0078769C">
        <w:rPr>
          <w:sz w:val="24"/>
          <w:szCs w:val="24"/>
        </w:rPr>
        <w:t xml:space="preserve"> </w:t>
      </w:r>
      <w:r w:rsidR="008D346D">
        <w:rPr>
          <w:sz w:val="24"/>
          <w:szCs w:val="24"/>
        </w:rPr>
        <w:t xml:space="preserve">state </w:t>
      </w:r>
      <w:r w:rsidR="0078769C">
        <w:rPr>
          <w:sz w:val="24"/>
          <w:szCs w:val="24"/>
        </w:rPr>
        <w:t xml:space="preserve">investigation will assign and maintain the code and linking information. </w:t>
      </w:r>
      <w:r w:rsidRPr="0078769C" w:rsidR="00947010">
        <w:rPr>
          <w:sz w:val="24"/>
          <w:szCs w:val="24"/>
        </w:rPr>
        <w:t xml:space="preserve">Personal identifiers and the linkage to the study identification number </w:t>
      </w:r>
      <w:r w:rsidRPr="0078769C" w:rsidR="003D5A5C">
        <w:rPr>
          <w:sz w:val="24"/>
          <w:szCs w:val="24"/>
        </w:rPr>
        <w:t>are</w:t>
      </w:r>
      <w:r w:rsidRPr="0078769C" w:rsidR="00947010">
        <w:rPr>
          <w:sz w:val="24"/>
          <w:szCs w:val="24"/>
        </w:rPr>
        <w:t xml:space="preserve"> maintained separately in locked file cabinets or in encrypted computer files</w:t>
      </w:r>
      <w:r w:rsidR="008D346D">
        <w:rPr>
          <w:sz w:val="24"/>
          <w:szCs w:val="24"/>
        </w:rPr>
        <w:t xml:space="preserve"> by the state/locality</w:t>
      </w:r>
      <w:r w:rsidRPr="0078769C" w:rsidR="00947010">
        <w:rPr>
          <w:sz w:val="24"/>
          <w:szCs w:val="24"/>
        </w:rPr>
        <w:t xml:space="preserve">. All personal identifiers </w:t>
      </w:r>
      <w:r w:rsidRPr="0078769C" w:rsidR="003D5A5C">
        <w:rPr>
          <w:sz w:val="24"/>
          <w:szCs w:val="24"/>
        </w:rPr>
        <w:t>are</w:t>
      </w:r>
      <w:r w:rsidRPr="0078769C" w:rsidR="00947010">
        <w:rPr>
          <w:sz w:val="24"/>
          <w:szCs w:val="24"/>
        </w:rPr>
        <w:t xml:space="preserve"> stripped from the data prior to establishing a final data analysis file. Results </w:t>
      </w:r>
      <w:r w:rsidRPr="0078769C" w:rsidR="003D5A5C">
        <w:rPr>
          <w:sz w:val="24"/>
          <w:szCs w:val="24"/>
        </w:rPr>
        <w:t xml:space="preserve">are </w:t>
      </w:r>
      <w:r w:rsidRPr="0078769C" w:rsidR="00947010">
        <w:rPr>
          <w:sz w:val="24"/>
          <w:szCs w:val="24"/>
        </w:rPr>
        <w:t>published in aggregate form</w:t>
      </w:r>
      <w:r w:rsidRPr="0078769C" w:rsidR="003D5A5C">
        <w:rPr>
          <w:sz w:val="24"/>
          <w:szCs w:val="24"/>
        </w:rPr>
        <w:t xml:space="preserve"> only</w:t>
      </w:r>
      <w:r w:rsidRPr="0078769C" w:rsidR="00947010">
        <w:rPr>
          <w:sz w:val="24"/>
          <w:szCs w:val="24"/>
        </w:rPr>
        <w:t xml:space="preserve">. </w:t>
      </w:r>
    </w:p>
    <w:p w:rsidR="00052F35" w:rsidP="0078769C" w:rsidRDefault="00052F35" w14:paraId="5A69E729" w14:textId="77777777">
      <w:pPr>
        <w:ind w:left="720"/>
        <w:rPr>
          <w:sz w:val="24"/>
          <w:szCs w:val="24"/>
        </w:rPr>
      </w:pPr>
    </w:p>
    <w:p w:rsidRPr="006E7636" w:rsidR="000B6B4A" w:rsidP="000B6B4A" w:rsidRDefault="000B6B4A" w14:paraId="48522485" w14:textId="77777777">
      <w:pPr>
        <w:pStyle w:val="Body1"/>
        <w:tabs>
          <w:tab w:val="num" w:pos="720"/>
          <w:tab w:val="left" w:pos="1710"/>
        </w:tabs>
        <w:rPr>
          <w:b/>
          <w:szCs w:val="24"/>
          <w:u w:val="single"/>
        </w:rPr>
      </w:pPr>
    </w:p>
    <w:p w:rsidR="000B6B4A" w:rsidP="000B6B4A" w:rsidRDefault="000B6B4A" w14:paraId="124FE6CC" w14:textId="51B781A6">
      <w:pPr>
        <w:pStyle w:val="Body1"/>
        <w:tabs>
          <w:tab w:val="num" w:pos="720"/>
          <w:tab w:val="left" w:pos="1710"/>
        </w:tabs>
        <w:ind w:left="720"/>
        <w:rPr>
          <w:szCs w:val="24"/>
        </w:rPr>
      </w:pPr>
      <w:r w:rsidRPr="006E7636">
        <w:rPr>
          <w:szCs w:val="24"/>
        </w:rPr>
        <w:t xml:space="preserve">Information collected through DORIs will be shared in aggregate, summary format with state and local </w:t>
      </w:r>
      <w:r w:rsidR="00F927A2">
        <w:rPr>
          <w:szCs w:val="24"/>
        </w:rPr>
        <w:t>public agencies</w:t>
      </w:r>
      <w:r w:rsidRPr="006E7636">
        <w:rPr>
          <w:szCs w:val="24"/>
        </w:rPr>
        <w:t xml:space="preserve"> and</w:t>
      </w:r>
      <w:r w:rsidR="00F927A2">
        <w:rPr>
          <w:szCs w:val="24"/>
        </w:rPr>
        <w:t xml:space="preserve"> other</w:t>
      </w:r>
      <w:r w:rsidRPr="006E7636">
        <w:rPr>
          <w:szCs w:val="24"/>
        </w:rPr>
        <w:t xml:space="preserve"> partners engaged in controlling the local </w:t>
      </w:r>
      <w:r w:rsidRPr="006E7636">
        <w:rPr>
          <w:szCs w:val="24"/>
        </w:rPr>
        <w:lastRenderedPageBreak/>
        <w:t xml:space="preserve">epidemic (e.g., </w:t>
      </w:r>
      <w:r w:rsidR="00B4662F">
        <w:rPr>
          <w:szCs w:val="24"/>
        </w:rPr>
        <w:t xml:space="preserve">health care providers, </w:t>
      </w:r>
      <w:r w:rsidRPr="006E7636">
        <w:rPr>
          <w:szCs w:val="24"/>
        </w:rPr>
        <w:t>law enforcement</w:t>
      </w:r>
      <w:r w:rsidR="000163F1">
        <w:rPr>
          <w:szCs w:val="24"/>
        </w:rPr>
        <w:t xml:space="preserve"> </w:t>
      </w:r>
      <w:r w:rsidRPr="006E7636">
        <w:rPr>
          <w:szCs w:val="24"/>
        </w:rPr>
        <w:t xml:space="preserve">medical examiners, and community organizations). </w:t>
      </w:r>
      <w:r>
        <w:rPr>
          <w:szCs w:val="24"/>
        </w:rPr>
        <w:t xml:space="preserve">Findings from data analysis </w:t>
      </w:r>
      <w:r w:rsidRPr="006E7636">
        <w:rPr>
          <w:szCs w:val="24"/>
        </w:rPr>
        <w:t xml:space="preserve">will be used by state and local professionals to implement immediate prevention and intervention measures (e.g., task force convening, provision of guidance to Boards of Pharmacy on how to track prescribing and provide feedback to practitioners and implement controls, development of reporting regulations, media outreach efforts). </w:t>
      </w:r>
    </w:p>
    <w:p w:rsidR="000B6B4A" w:rsidP="000B6B4A" w:rsidRDefault="000B6B4A" w14:paraId="1E55E9D7" w14:textId="77777777">
      <w:pPr>
        <w:pStyle w:val="Body1"/>
        <w:tabs>
          <w:tab w:val="num" w:pos="720"/>
          <w:tab w:val="left" w:pos="1710"/>
        </w:tabs>
        <w:ind w:left="720"/>
        <w:rPr>
          <w:szCs w:val="24"/>
        </w:rPr>
      </w:pPr>
    </w:p>
    <w:p w:rsidR="000B6B4A" w:rsidP="000B6B4A" w:rsidRDefault="000B6B4A" w14:paraId="60F8ACC1" w14:textId="5710DF0A">
      <w:pPr>
        <w:pStyle w:val="Body1"/>
        <w:tabs>
          <w:tab w:val="num" w:pos="720"/>
          <w:tab w:val="left" w:pos="1710"/>
        </w:tabs>
        <w:ind w:left="720"/>
        <w:rPr>
          <w:szCs w:val="24"/>
        </w:rPr>
      </w:pPr>
      <w:r>
        <w:rPr>
          <w:szCs w:val="24"/>
        </w:rPr>
        <w:t>Information in identifiable form (IIF) may be collected from or about members of the public</w:t>
      </w:r>
      <w:r w:rsidR="000022BC">
        <w:rPr>
          <w:szCs w:val="24"/>
        </w:rPr>
        <w:t xml:space="preserve"> by states and localities</w:t>
      </w:r>
      <w:r>
        <w:rPr>
          <w:szCs w:val="24"/>
        </w:rPr>
        <w:t xml:space="preserve">. Examples of IIF categories for which data may be collected </w:t>
      </w:r>
      <w:proofErr w:type="gramStart"/>
      <w:r>
        <w:rPr>
          <w:szCs w:val="24"/>
        </w:rPr>
        <w:t>include:</w:t>
      </w:r>
      <w:proofErr w:type="gramEnd"/>
      <w:r>
        <w:rPr>
          <w:szCs w:val="24"/>
        </w:rPr>
        <w:t xml:space="preserve"> name, mailing address, e-mail address, phone numbers, and medical information and notes. IIF is only collected when essential to the objective of the investigation. Personal identifiers are not transmitted to CDC</w:t>
      </w:r>
      <w:r w:rsidR="000022BC">
        <w:rPr>
          <w:szCs w:val="24"/>
        </w:rPr>
        <w:t>; thus, CDC is not collecting IIF</w:t>
      </w:r>
      <w:r>
        <w:rPr>
          <w:szCs w:val="24"/>
        </w:rPr>
        <w:t xml:space="preserve">. IIF data will not be disclosed unless compelled by law. In no case are IIF included in any report from the investigation. </w:t>
      </w:r>
    </w:p>
    <w:p w:rsidR="000B6B4A" w:rsidP="000B6B4A" w:rsidRDefault="000B6B4A" w14:paraId="3F08452D"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0B6B4A" w:rsidRDefault="000B6B4A" w14:paraId="3B5299C1" w14:textId="77777777">
      <w:pPr>
        <w:ind w:left="720"/>
        <w:rPr>
          <w:sz w:val="24"/>
          <w:szCs w:val="24"/>
        </w:rPr>
      </w:pPr>
      <w:r>
        <w:rPr>
          <w:sz w:val="24"/>
          <w:szCs w:val="24"/>
        </w:rPr>
        <w:t xml:space="preserve">Individuals are informed that providing information is </w:t>
      </w:r>
      <w:r w:rsidRPr="00FF0A6D">
        <w:rPr>
          <w:sz w:val="24"/>
          <w:szCs w:val="24"/>
        </w:rPr>
        <w:t xml:space="preserve">voluntary. </w:t>
      </w:r>
      <w:r>
        <w:rPr>
          <w:sz w:val="24"/>
          <w:szCs w:val="24"/>
        </w:rPr>
        <w:t xml:space="preserve">If the respondent participates, consent for participation and sharing of data in aggregate form is assumed. </w:t>
      </w:r>
    </w:p>
    <w:p w:rsidR="000B6B4A" w:rsidP="000B6B4A" w:rsidRDefault="000B6B4A" w14:paraId="6AE142C0" w14:textId="77777777">
      <w:pPr>
        <w:ind w:left="720"/>
        <w:rPr>
          <w:sz w:val="24"/>
          <w:szCs w:val="24"/>
        </w:rPr>
      </w:pPr>
    </w:p>
    <w:p w:rsidR="000B6B4A" w:rsidP="000B6B4A" w:rsidRDefault="000B6B4A" w14:paraId="5ECA9E15" w14:textId="0159CFBE">
      <w:pPr>
        <w:ind w:left="720"/>
        <w:rPr>
          <w:sz w:val="24"/>
          <w:szCs w:val="24"/>
        </w:rPr>
      </w:pPr>
      <w:r w:rsidRPr="008328D1">
        <w:rPr>
          <w:sz w:val="24"/>
          <w:szCs w:val="24"/>
        </w:rPr>
        <w:t xml:space="preserve">Official, written consent is only obtained when it is determined that the data collection involves human subjects research. If research is proposed to accompany the response efforts, all efforts will be taken to ensure that the proposed research complies with all human </w:t>
      </w:r>
      <w:proofErr w:type="gramStart"/>
      <w:r w:rsidRPr="008328D1">
        <w:rPr>
          <w:sz w:val="24"/>
          <w:szCs w:val="24"/>
        </w:rPr>
        <w:t>subjects</w:t>
      </w:r>
      <w:proofErr w:type="gramEnd"/>
      <w:r w:rsidRPr="008328D1">
        <w:rPr>
          <w:sz w:val="24"/>
          <w:szCs w:val="24"/>
        </w:rPr>
        <w:t xml:space="preserve"> requirements, including consent requirements. All personal identifiers are stripped from the data prior to </w:t>
      </w:r>
      <w:r w:rsidR="000022BC">
        <w:rPr>
          <w:sz w:val="24"/>
          <w:szCs w:val="24"/>
        </w:rPr>
        <w:t xml:space="preserve">delivery of data to CDC or </w:t>
      </w:r>
      <w:r w:rsidRPr="008328D1">
        <w:rPr>
          <w:sz w:val="24"/>
          <w:szCs w:val="24"/>
        </w:rPr>
        <w:t>establishing a final data analysis file. Results are only published in aggregate form. A system of records is not being created under the Privacy Act.</w:t>
      </w:r>
    </w:p>
    <w:p w:rsidRPr="008328D1" w:rsidR="000B6B4A" w:rsidP="000B6B4A" w:rsidRDefault="000B6B4A" w14:paraId="1E1F7FD8" w14:textId="77777777">
      <w:pPr>
        <w:ind w:left="720"/>
        <w:rPr>
          <w:sz w:val="24"/>
          <w:szCs w:val="24"/>
        </w:rPr>
      </w:pPr>
    </w:p>
    <w:p w:rsidRPr="00052F35" w:rsidR="000B6B4A" w:rsidP="000B6B4A" w:rsidRDefault="000B6B4A" w14:paraId="397850BE" w14:textId="6D835B73">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Local </w:t>
      </w:r>
      <w:r w:rsidR="00B4662F">
        <w:rPr>
          <w:sz w:val="24"/>
          <w:szCs w:val="24"/>
        </w:rPr>
        <w:t>public agency</w:t>
      </w:r>
      <w:r>
        <w:rPr>
          <w:sz w:val="24"/>
          <w:szCs w:val="24"/>
        </w:rPr>
        <w:t xml:space="preserve">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w:t>
      </w:r>
      <w:r w:rsidRPr="00052F35">
        <w:rPr>
          <w:sz w:val="24"/>
          <w:szCs w:val="24"/>
        </w:rPr>
        <w:t xml:space="preserve">is conducted according to a security plan developed in consultation with the relevant local health authorities. Only staff with approval from the study lead has access to the data. Approvals are granted based on roles or a “need to know basis.”  </w:t>
      </w:r>
    </w:p>
    <w:p w:rsidRPr="00052F35" w:rsidR="000B6B4A" w:rsidP="000B6B4A" w:rsidRDefault="000B6B4A" w14:paraId="57BE699B"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0B6B4A" w:rsidP="000B6B4A" w:rsidRDefault="00C8703F" w14:paraId="3EE63E51" w14:textId="77777777">
      <w:pPr>
        <w:pStyle w:val="Body1"/>
        <w:tabs>
          <w:tab w:val="num" w:pos="720"/>
          <w:tab w:val="left" w:pos="1800"/>
        </w:tabs>
        <w:ind w:left="720"/>
        <w:rPr>
          <w:szCs w:val="24"/>
        </w:rPr>
      </w:pPr>
      <w:r w:rsidRPr="00052F35">
        <w:rPr>
          <w:szCs w:val="24"/>
        </w:rPr>
        <w:t xml:space="preserve">Personal identifiers are not transmitted to CDC. </w:t>
      </w:r>
      <w:r w:rsidR="000B6B4A">
        <w:rPr>
          <w:szCs w:val="24"/>
        </w:rPr>
        <w:t xml:space="preserve">CDC </w:t>
      </w:r>
      <w:r w:rsidRPr="00947010" w:rsidR="000B6B4A">
        <w:rPr>
          <w:szCs w:val="24"/>
        </w:rPr>
        <w:t>maintain</w:t>
      </w:r>
      <w:r w:rsidR="000B6B4A">
        <w:rPr>
          <w:szCs w:val="24"/>
        </w:rPr>
        <w:t>s</w:t>
      </w:r>
      <w:r w:rsidRPr="00947010" w:rsidR="000B6B4A">
        <w:rPr>
          <w:szCs w:val="24"/>
        </w:rPr>
        <w:t xml:space="preserve"> </w:t>
      </w:r>
      <w:r w:rsidR="000B6B4A">
        <w:rPr>
          <w:szCs w:val="24"/>
        </w:rPr>
        <w:t xml:space="preserve">the integrity of respondent information </w:t>
      </w:r>
      <w:r w:rsidRPr="00947010" w:rsidR="000B6B4A">
        <w:rPr>
          <w:szCs w:val="24"/>
        </w:rPr>
        <w:t xml:space="preserve">by using unique, study identification numbers on all data collection forms. </w:t>
      </w:r>
    </w:p>
    <w:p w:rsidR="000B6B4A" w:rsidP="000B6B4A" w:rsidRDefault="000B6B4A" w14:paraId="21F18F8E" w14:textId="77777777">
      <w:pPr>
        <w:pStyle w:val="Body1"/>
        <w:tabs>
          <w:tab w:val="num" w:pos="720"/>
          <w:tab w:val="left" w:pos="1800"/>
        </w:tabs>
        <w:ind w:left="720"/>
        <w:rPr>
          <w:szCs w:val="24"/>
        </w:rPr>
      </w:pPr>
    </w:p>
    <w:p w:rsidR="000B6B4A" w:rsidP="000B6B4A" w:rsidRDefault="000B6B4A" w14:paraId="4B1D042A" w14:textId="141571F5">
      <w:pPr>
        <w:pStyle w:val="Body1"/>
        <w:tabs>
          <w:tab w:val="num" w:pos="720"/>
          <w:tab w:val="left" w:pos="1800"/>
        </w:tabs>
        <w:ind w:left="720"/>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w:t>
      </w:r>
      <w:r w:rsidR="00372EDF">
        <w:rPr>
          <w:szCs w:val="24"/>
        </w:rPr>
        <w:t xml:space="preserve"> </w:t>
      </w:r>
      <w:r w:rsidRPr="006D0D50" w:rsidR="00372EDF">
        <w:rPr>
          <w:szCs w:val="24"/>
        </w:rPr>
        <w:t>(</w:t>
      </w:r>
      <w:hyperlink w:history="1" r:id="rId14">
        <w:r w:rsidRPr="00354A06" w:rsidR="00372EDF">
          <w:rPr>
            <w:rStyle w:val="Hyperlink"/>
            <w:szCs w:val="24"/>
            <w:u w:color="000000"/>
          </w:rPr>
          <w:t>https://www.archives.gov/records-mgmt/grs.html</w:t>
        </w:r>
      </w:hyperlink>
      <w:r w:rsidRPr="006D0D50" w:rsidR="00372EDF">
        <w:rPr>
          <w:szCs w:val="24"/>
        </w:rPr>
        <w:t>).</w:t>
      </w:r>
      <w:r w:rsidR="00372EDF">
        <w:rPr>
          <w:szCs w:val="24"/>
        </w:rPr>
        <w:t xml:space="preserve"> </w:t>
      </w:r>
      <w:r w:rsidRPr="00E373CF">
        <w:rPr>
          <w:szCs w:val="24"/>
        </w:rPr>
        <w:t xml:space="preserve">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 xml:space="preserve">s Security Plan. 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 xml:space="preserve">directed to the component’s Information Systems </w:t>
      </w:r>
      <w:r w:rsidRPr="00947010">
        <w:rPr>
          <w:szCs w:val="24"/>
        </w:rPr>
        <w:lastRenderedPageBreak/>
        <w:t>Security Officer, CDC helpdesk, or to the CDC Incident Response Team. The CDC OCISO reports to the HHS Secure One Communications Center, which reports incidents to US-CERT as appropriate.</w:t>
      </w:r>
      <w:r>
        <w:rPr>
          <w:szCs w:val="24"/>
        </w:rPr>
        <w:t xml:space="preserve"> </w:t>
      </w:r>
    </w:p>
    <w:p w:rsidR="000B6B4A" w:rsidP="000B6B4A" w:rsidRDefault="000B6B4A" w14:paraId="3335A756" w14:textId="77777777">
      <w:pPr>
        <w:ind w:left="720"/>
        <w:rPr>
          <w:sz w:val="24"/>
          <w:szCs w:val="24"/>
        </w:rPr>
      </w:pPr>
    </w:p>
    <w:p w:rsidRPr="00B26655" w:rsidR="00527A26" w:rsidP="0077737F" w:rsidRDefault="00527A26" w14:paraId="2C614D2F" w14:textId="77777777">
      <w:pPr>
        <w:ind w:left="720"/>
        <w:rPr>
          <w:szCs w:val="24"/>
        </w:rPr>
      </w:pPr>
    </w:p>
    <w:p w:rsidR="00C20FA1" w:rsidP="00783129" w:rsidRDefault="00783129" w14:paraId="2BDACDBB" w14:textId="134ED81C">
      <w:pPr>
        <w:pStyle w:val="Body1"/>
        <w:tabs>
          <w:tab w:val="num" w:pos="720"/>
        </w:tabs>
        <w:rPr>
          <w:b/>
          <w:szCs w:val="24"/>
        </w:rPr>
      </w:pPr>
      <w:r>
        <w:rPr>
          <w:b/>
          <w:szCs w:val="24"/>
        </w:rPr>
        <w:t>11.</w:t>
      </w:r>
      <w:r>
        <w:rPr>
          <w:b/>
          <w:szCs w:val="24"/>
        </w:rPr>
        <w:tab/>
      </w:r>
      <w:r w:rsidRPr="00B436C1" w:rsidR="00C20FA1">
        <w:rPr>
          <w:b/>
          <w:szCs w:val="24"/>
        </w:rPr>
        <w:t>Institutional Review Board (IRB) and Justification for Sensitive Questions</w:t>
      </w:r>
    </w:p>
    <w:p w:rsidR="00C20FA1" w:rsidP="00783129" w:rsidRDefault="00C20FA1" w14:paraId="0413479E" w14:textId="77777777">
      <w:pPr>
        <w:pStyle w:val="Body1"/>
        <w:tabs>
          <w:tab w:val="num" w:pos="720"/>
        </w:tabs>
        <w:rPr>
          <w:b/>
          <w:szCs w:val="24"/>
        </w:rPr>
      </w:pPr>
      <w:r>
        <w:rPr>
          <w:b/>
          <w:szCs w:val="24"/>
        </w:rPr>
        <w:tab/>
      </w:r>
    </w:p>
    <w:p w:rsidRPr="005C75FC" w:rsidR="00C20FA1" w:rsidP="00C20FA1" w:rsidRDefault="00C20FA1" w14:paraId="72AF3337" w14:textId="77777777">
      <w:pPr>
        <w:ind w:left="720"/>
        <w:rPr>
          <w:b/>
          <w:sz w:val="24"/>
          <w:szCs w:val="24"/>
        </w:rPr>
      </w:pPr>
    </w:p>
    <w:p w:rsidRPr="00B436C1" w:rsidR="00C20FA1" w:rsidP="00C20FA1" w:rsidRDefault="00C20FA1" w14:paraId="464CB55F" w14:textId="77777777">
      <w:pPr>
        <w:ind w:firstLine="720"/>
        <w:rPr>
          <w:rFonts w:eastAsia="Arial Unicode MS"/>
          <w:b/>
          <w:color w:val="000000"/>
          <w:sz w:val="24"/>
          <w:szCs w:val="24"/>
          <w:u w:color="000000"/>
        </w:rPr>
      </w:pPr>
      <w:r w:rsidRPr="00B436C1">
        <w:rPr>
          <w:rFonts w:eastAsia="Arial Unicode MS"/>
          <w:b/>
          <w:color w:val="000000"/>
          <w:sz w:val="24"/>
          <w:szCs w:val="24"/>
          <w:u w:color="000000"/>
        </w:rPr>
        <w:t>IRB Approval</w:t>
      </w:r>
    </w:p>
    <w:p w:rsidR="00C20FA1" w:rsidP="00C20FA1" w:rsidRDefault="00C20FA1" w14:paraId="07D6E90A" w14:textId="77777777">
      <w:pPr>
        <w:ind w:left="720"/>
        <w:rPr>
          <w:rFonts w:eastAsia="Arial Unicode MS"/>
          <w:sz w:val="24"/>
          <w:szCs w:val="24"/>
          <w:u w:color="000000"/>
        </w:rPr>
      </w:pPr>
    </w:p>
    <w:p w:rsidR="00C20FA1" w:rsidP="00C20FA1" w:rsidRDefault="00B70BBE" w14:paraId="5AB6CAD8" w14:textId="7CF72F2A">
      <w:pPr>
        <w:ind w:left="720"/>
        <w:rPr>
          <w:sz w:val="24"/>
          <w:szCs w:val="24"/>
        </w:rPr>
      </w:pPr>
      <w:r w:rsidRPr="000E37AD">
        <w:rPr>
          <w:bCs/>
          <w:sz w:val="24"/>
          <w:szCs w:val="24"/>
        </w:rPr>
        <w:t xml:space="preserve">Research is not a primary focus of DORIs, and CDC will not have access to identifiable information; however, if research is proposed to accompany the response efforts, the proposed research will comply with all human </w:t>
      </w:r>
      <w:r w:rsidRPr="000E37AD" w:rsidR="007373D6">
        <w:rPr>
          <w:bCs/>
          <w:sz w:val="24"/>
          <w:szCs w:val="24"/>
        </w:rPr>
        <w:t>subjects’</w:t>
      </w:r>
      <w:r w:rsidRPr="000E37AD">
        <w:rPr>
          <w:bCs/>
          <w:sz w:val="24"/>
          <w:szCs w:val="24"/>
        </w:rPr>
        <w:t xml:space="preserve"> requirements.</w:t>
      </w:r>
      <w:r w:rsidR="00C20FA1">
        <w:rPr>
          <w:sz w:val="24"/>
          <w:szCs w:val="24"/>
        </w:rPr>
        <w:t xml:space="preserve"> All data sent to CDC will be stripped of identifiers and transmitted in aggregate format. A Determination of human </w:t>
      </w:r>
      <w:r w:rsidR="007373D6">
        <w:rPr>
          <w:sz w:val="24"/>
          <w:szCs w:val="24"/>
        </w:rPr>
        <w:t>subjects’</w:t>
      </w:r>
      <w:r w:rsidR="00C20FA1">
        <w:rPr>
          <w:sz w:val="24"/>
          <w:szCs w:val="24"/>
        </w:rPr>
        <w:t xml:space="preserve"> review applicability will be included with each submitted </w:t>
      </w:r>
      <w:r w:rsidR="007373D6">
        <w:rPr>
          <w:sz w:val="24"/>
          <w:szCs w:val="24"/>
        </w:rPr>
        <w:t>generic request</w:t>
      </w:r>
      <w:r w:rsidR="0098510A">
        <w:rPr>
          <w:sz w:val="24"/>
          <w:szCs w:val="24"/>
        </w:rPr>
        <w:t xml:space="preserve">. </w:t>
      </w:r>
    </w:p>
    <w:p w:rsidR="00C20FA1" w:rsidP="00783129" w:rsidRDefault="00C20FA1" w14:paraId="3190B2BC" w14:textId="77777777">
      <w:pPr>
        <w:pStyle w:val="Body1"/>
        <w:tabs>
          <w:tab w:val="num" w:pos="720"/>
        </w:tabs>
        <w:rPr>
          <w:b/>
          <w:szCs w:val="24"/>
        </w:rPr>
      </w:pPr>
    </w:p>
    <w:p w:rsidR="00C20FA1" w:rsidP="00783129" w:rsidRDefault="00C20FA1" w14:paraId="1725B037" w14:textId="77777777">
      <w:pPr>
        <w:pStyle w:val="Body1"/>
        <w:tabs>
          <w:tab w:val="num" w:pos="720"/>
        </w:tabs>
        <w:rPr>
          <w:b/>
          <w:szCs w:val="24"/>
        </w:rPr>
      </w:pPr>
      <w:r>
        <w:rPr>
          <w:b/>
          <w:szCs w:val="24"/>
        </w:rPr>
        <w:tab/>
      </w:r>
    </w:p>
    <w:p w:rsidRPr="004955C2" w:rsidR="00527A26" w:rsidP="00783129" w:rsidRDefault="00C20FA1" w14:paraId="1BE5E043" w14:textId="77777777">
      <w:pPr>
        <w:pStyle w:val="Body1"/>
        <w:tabs>
          <w:tab w:val="num" w:pos="720"/>
        </w:tabs>
        <w:rPr>
          <w:b/>
          <w:szCs w:val="24"/>
        </w:rPr>
      </w:pPr>
      <w:r>
        <w:rPr>
          <w:b/>
          <w:szCs w:val="24"/>
        </w:rPr>
        <w:tab/>
      </w:r>
      <w:r w:rsidRPr="00076C2D" w:rsidR="00076C2D">
        <w:rPr>
          <w:b/>
          <w:szCs w:val="24"/>
        </w:rPr>
        <w:t>Justification for Sensitive Questions</w:t>
      </w:r>
    </w:p>
    <w:p w:rsidRPr="004A2C6F" w:rsidR="00527A26" w:rsidP="008C5039" w:rsidRDefault="00527A26" w14:paraId="5CD9193E" w14:textId="77777777">
      <w:pPr>
        <w:pStyle w:val="Body1"/>
        <w:tabs>
          <w:tab w:val="num" w:pos="720"/>
          <w:tab w:val="left" w:pos="1800"/>
        </w:tabs>
        <w:ind w:left="720"/>
        <w:rPr>
          <w:szCs w:val="24"/>
        </w:rPr>
      </w:pPr>
    </w:p>
    <w:p w:rsidRPr="00377F69" w:rsidR="00527A26" w:rsidP="008C5039" w:rsidRDefault="00527A26" w14:paraId="0FAA547D" w14:textId="77777777">
      <w:pPr>
        <w:pStyle w:val="Body1"/>
        <w:tabs>
          <w:tab w:val="num" w:pos="720"/>
          <w:tab w:val="left" w:pos="1800"/>
        </w:tabs>
        <w:ind w:left="720"/>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w:t>
      </w:r>
      <w:r w:rsidRPr="005E159F">
        <w:rPr>
          <w:szCs w:val="24"/>
        </w:rPr>
        <w:t xml:space="preserve">Before administering </w:t>
      </w:r>
      <w:r w:rsidRPr="00783129" w:rsidR="00B85447">
        <w:rPr>
          <w:szCs w:val="24"/>
        </w:rPr>
        <w:t>data collections</w:t>
      </w:r>
      <w:r w:rsidRPr="00962D6E">
        <w:rPr>
          <w:szCs w:val="24"/>
        </w:rPr>
        <w:t xml:space="preserve">, investigators inform respondents (either verbally or in writing) that participation is voluntary, </w:t>
      </w:r>
      <w:r w:rsidR="008352B4">
        <w:rPr>
          <w:szCs w:val="24"/>
        </w:rPr>
        <w:t xml:space="preserve">respondents can refuse to answer any questions, </w:t>
      </w:r>
      <w:r w:rsidRPr="00962D6E">
        <w:rPr>
          <w:szCs w:val="24"/>
        </w:rPr>
        <w:t>and that respondents are not personally ide</w:t>
      </w:r>
      <w:r w:rsidRPr="00377F69">
        <w:rPr>
          <w:szCs w:val="24"/>
        </w:rPr>
        <w:t>ntified in any published reports of the study.</w:t>
      </w:r>
      <w:r w:rsidR="002B7FD7">
        <w:rPr>
          <w:szCs w:val="24"/>
        </w:rPr>
        <w:t xml:space="preserve"> Participants </w:t>
      </w:r>
      <w:r w:rsidR="00A43A9E">
        <w:rPr>
          <w:szCs w:val="24"/>
        </w:rPr>
        <w:t>are</w:t>
      </w:r>
      <w:r w:rsidR="002B7FD7">
        <w:rPr>
          <w:szCs w:val="24"/>
        </w:rPr>
        <w:t xml:space="preserve"> </w:t>
      </w:r>
      <w:r w:rsidR="006C1D25">
        <w:rPr>
          <w:szCs w:val="24"/>
        </w:rPr>
        <w:t xml:space="preserve">also </w:t>
      </w:r>
      <w:r w:rsidR="002B7FD7">
        <w:rPr>
          <w:szCs w:val="24"/>
        </w:rPr>
        <w:t xml:space="preserve">informed the data are being collected in response to </w:t>
      </w:r>
      <w:r w:rsidR="0077737F">
        <w:rPr>
          <w:szCs w:val="24"/>
        </w:rPr>
        <w:t xml:space="preserve">drug overdose </w:t>
      </w:r>
      <w:r w:rsidR="002B7FD7">
        <w:rPr>
          <w:szCs w:val="24"/>
        </w:rPr>
        <w:t>event</w:t>
      </w:r>
      <w:r w:rsidR="0077737F">
        <w:rPr>
          <w:szCs w:val="24"/>
        </w:rPr>
        <w:t>s</w:t>
      </w:r>
      <w:r w:rsidR="002B7FD7">
        <w:rPr>
          <w:szCs w:val="24"/>
        </w:rPr>
        <w:t xml:space="preserve">, and that the information they provide may help to identify effective prevention and control strategies. Social security numbers </w:t>
      </w:r>
      <w:r w:rsidR="00A43A9E">
        <w:rPr>
          <w:szCs w:val="24"/>
        </w:rPr>
        <w:t>are</w:t>
      </w:r>
      <w:r w:rsidR="002B7FD7">
        <w:rPr>
          <w:szCs w:val="24"/>
        </w:rPr>
        <w:t xml:space="preserve"> not collected.</w:t>
      </w:r>
    </w:p>
    <w:p w:rsidRPr="00B651A5" w:rsidR="00527A26" w:rsidP="00B651A5" w:rsidRDefault="00527A26" w14:paraId="147807A5" w14:textId="77777777">
      <w:pPr>
        <w:ind w:left="720"/>
        <w:rPr>
          <w:rFonts w:eastAsia="Arial Unicode MS"/>
          <w:sz w:val="24"/>
          <w:szCs w:val="24"/>
          <w:u w:color="000000"/>
        </w:rPr>
      </w:pPr>
    </w:p>
    <w:p w:rsidR="001011A2" w:rsidP="00783129" w:rsidRDefault="00783129" w14:paraId="5BC9FC50" w14:textId="77777777">
      <w:pPr>
        <w:pStyle w:val="Body1"/>
        <w:tabs>
          <w:tab w:val="num" w:pos="720"/>
        </w:tabs>
        <w:rPr>
          <w:b/>
          <w:szCs w:val="24"/>
        </w:rPr>
      </w:pPr>
      <w:bookmarkStart w:name="_Hlk60730676" w:id="2"/>
      <w:r w:rsidRPr="007366BE">
        <w:rPr>
          <w:b/>
          <w:szCs w:val="24"/>
        </w:rPr>
        <w:t>12.</w:t>
      </w:r>
      <w:r w:rsidRPr="007366BE">
        <w:rPr>
          <w:b/>
          <w:szCs w:val="24"/>
        </w:rPr>
        <w:tab/>
      </w:r>
      <w:r w:rsidRPr="007366BE" w:rsidR="00527A26">
        <w:rPr>
          <w:b/>
          <w:szCs w:val="24"/>
        </w:rPr>
        <w:t>Estimates of Annualized Burden Hours and Costs</w:t>
      </w:r>
    </w:p>
    <w:bookmarkEnd w:id="2"/>
    <w:p w:rsidR="004B339C" w:rsidP="00783129" w:rsidRDefault="004B339C" w14:paraId="6EE16BD1" w14:textId="77777777">
      <w:pPr>
        <w:pStyle w:val="Body1"/>
        <w:tabs>
          <w:tab w:val="num" w:pos="720"/>
        </w:tabs>
        <w:rPr>
          <w:b/>
          <w:szCs w:val="24"/>
        </w:rPr>
      </w:pPr>
      <w:r>
        <w:rPr>
          <w:b/>
          <w:szCs w:val="24"/>
        </w:rPr>
        <w:tab/>
      </w:r>
    </w:p>
    <w:p w:rsidR="004B339C" w:rsidP="00CE0640" w:rsidRDefault="008543FF" w14:paraId="58F21A33" w14:textId="638C3DC5">
      <w:pPr>
        <w:ind w:left="720"/>
        <w:rPr>
          <w:rFonts w:eastAsia="Arial Unicode MS"/>
          <w:color w:val="000000"/>
          <w:sz w:val="24"/>
          <w:szCs w:val="24"/>
          <w:u w:color="000000"/>
        </w:rPr>
      </w:pPr>
      <w:r w:rsidRPr="00B37A4A">
        <w:rPr>
          <w:rFonts w:eastAsia="Arial Unicode MS"/>
          <w:color w:val="000000"/>
          <w:sz w:val="24"/>
          <w:szCs w:val="24"/>
          <w:u w:color="000000"/>
        </w:rPr>
        <w:t>There are no major changes requested for this data collection since the original request</w:t>
      </w:r>
      <w:r>
        <w:rPr>
          <w:rFonts w:eastAsia="Arial Unicode MS"/>
          <w:color w:val="000000"/>
          <w:sz w:val="24"/>
          <w:szCs w:val="24"/>
          <w:u w:color="000000"/>
        </w:rPr>
        <w:t xml:space="preserve">. </w:t>
      </w:r>
      <w:r w:rsidRPr="00912A6F" w:rsidR="004B339C">
        <w:rPr>
          <w:rFonts w:eastAsia="Arial Unicode MS"/>
          <w:color w:val="000000"/>
          <w:sz w:val="24"/>
          <w:szCs w:val="24"/>
          <w:u w:color="000000"/>
        </w:rPr>
        <w:t xml:space="preserve">The projected average number of respondents is </w:t>
      </w:r>
      <w:r w:rsidR="00FB7972">
        <w:rPr>
          <w:rFonts w:eastAsia="Arial Unicode MS"/>
          <w:color w:val="000000"/>
          <w:sz w:val="24"/>
          <w:szCs w:val="24"/>
          <w:u w:color="000000"/>
        </w:rPr>
        <w:t>expected to be the same a</w:t>
      </w:r>
      <w:r w:rsidR="001059F8">
        <w:rPr>
          <w:rFonts w:eastAsia="Arial Unicode MS"/>
          <w:color w:val="000000"/>
          <w:sz w:val="24"/>
          <w:szCs w:val="24"/>
          <w:u w:color="000000"/>
        </w:rPr>
        <w:t xml:space="preserve">nd </w:t>
      </w:r>
      <w:r w:rsidR="00FB7972">
        <w:rPr>
          <w:rFonts w:eastAsia="Arial Unicode MS"/>
          <w:color w:val="000000"/>
          <w:sz w:val="24"/>
          <w:szCs w:val="24"/>
          <w:u w:color="000000"/>
        </w:rPr>
        <w:t xml:space="preserve">is </w:t>
      </w:r>
      <w:r w:rsidR="00D7645F">
        <w:rPr>
          <w:rFonts w:eastAsia="Arial Unicode MS"/>
          <w:color w:val="000000"/>
          <w:sz w:val="24"/>
          <w:szCs w:val="24"/>
          <w:u w:color="000000"/>
        </w:rPr>
        <w:t xml:space="preserve">determined by the state </w:t>
      </w:r>
      <w:r w:rsidR="0077737F">
        <w:rPr>
          <w:rFonts w:eastAsia="Arial Unicode MS"/>
          <w:color w:val="000000"/>
          <w:sz w:val="24"/>
          <w:szCs w:val="24"/>
          <w:u w:color="000000"/>
        </w:rPr>
        <w:t xml:space="preserve">or local authority </w:t>
      </w:r>
      <w:r w:rsidR="00D7645F">
        <w:rPr>
          <w:rFonts w:eastAsia="Arial Unicode MS"/>
          <w:color w:val="000000"/>
          <w:sz w:val="24"/>
          <w:szCs w:val="24"/>
          <w:u w:color="000000"/>
        </w:rPr>
        <w:t xml:space="preserve">requesting organization. </w:t>
      </w:r>
      <w:r w:rsidRPr="00912A6F" w:rsidR="004B339C">
        <w:rPr>
          <w:rFonts w:eastAsia="Arial Unicode MS"/>
          <w:color w:val="000000"/>
          <w:sz w:val="24"/>
          <w:szCs w:val="24"/>
          <w:u w:color="000000"/>
        </w:rPr>
        <w:t>CDC estimates</w:t>
      </w:r>
      <w:r w:rsidR="00F76C8C">
        <w:rPr>
          <w:rFonts w:eastAsia="Arial Unicode MS"/>
          <w:color w:val="000000"/>
          <w:sz w:val="24"/>
          <w:szCs w:val="24"/>
          <w:u w:color="000000"/>
        </w:rPr>
        <w:t xml:space="preserve"> that approximately </w:t>
      </w:r>
      <w:r w:rsidR="00374D19">
        <w:rPr>
          <w:rFonts w:eastAsia="Arial Unicode MS"/>
          <w:color w:val="000000"/>
          <w:sz w:val="24"/>
          <w:szCs w:val="24"/>
          <w:u w:color="000000"/>
        </w:rPr>
        <w:t xml:space="preserve">6000 </w:t>
      </w:r>
      <w:r w:rsidR="00F76C8C">
        <w:rPr>
          <w:rFonts w:eastAsia="Arial Unicode MS"/>
          <w:color w:val="000000"/>
          <w:sz w:val="24"/>
          <w:szCs w:val="24"/>
          <w:u w:color="000000"/>
        </w:rPr>
        <w:t xml:space="preserve">respondents will participate in DORIs </w:t>
      </w:r>
      <w:r w:rsidR="00487E5E">
        <w:rPr>
          <w:rFonts w:eastAsia="Arial Unicode MS"/>
          <w:color w:val="000000"/>
          <w:sz w:val="24"/>
          <w:szCs w:val="24"/>
          <w:u w:color="000000"/>
        </w:rPr>
        <w:t xml:space="preserve">each year </w:t>
      </w:r>
      <w:r w:rsidR="00F76C8C">
        <w:rPr>
          <w:rFonts w:eastAsia="Arial Unicode MS"/>
          <w:color w:val="000000"/>
          <w:sz w:val="24"/>
          <w:szCs w:val="24"/>
          <w:u w:color="000000"/>
        </w:rPr>
        <w:t>and</w:t>
      </w:r>
      <w:r w:rsidRPr="00912A6F" w:rsidR="004B339C">
        <w:rPr>
          <w:rFonts w:eastAsia="Arial Unicode MS"/>
          <w:color w:val="000000"/>
          <w:sz w:val="24"/>
          <w:szCs w:val="24"/>
          <w:u w:color="000000"/>
        </w:rPr>
        <w:t xml:space="preserve"> the average burden per response is 0.5 h</w:t>
      </w:r>
      <w:r w:rsidRPr="00A43A9E" w:rsidR="00A43A9E">
        <w:rPr>
          <w:rFonts w:eastAsia="Arial Unicode MS"/>
          <w:color w:val="000000"/>
          <w:sz w:val="24"/>
          <w:szCs w:val="24"/>
          <w:u w:color="000000"/>
        </w:rPr>
        <w:t xml:space="preserve">ours and each respondent </w:t>
      </w:r>
      <w:r w:rsidR="00A43A9E">
        <w:rPr>
          <w:rFonts w:eastAsia="Arial Unicode MS"/>
          <w:color w:val="000000"/>
          <w:sz w:val="24"/>
          <w:szCs w:val="24"/>
          <w:u w:color="000000"/>
        </w:rPr>
        <w:t>is</w:t>
      </w:r>
      <w:r w:rsidRPr="00912A6F" w:rsidR="004B339C">
        <w:rPr>
          <w:rFonts w:eastAsia="Arial Unicode MS"/>
          <w:color w:val="000000"/>
          <w:sz w:val="24"/>
          <w:szCs w:val="24"/>
          <w:u w:color="000000"/>
        </w:rPr>
        <w:t xml:space="preserve"> asked to respond once. Therefore, the total e</w:t>
      </w:r>
      <w:r w:rsidRPr="00A43A9E" w:rsid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Pr="00A43A9E" w:rsid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001059F8">
        <w:rPr>
          <w:rFonts w:eastAsia="Arial Unicode MS"/>
          <w:color w:val="000000"/>
          <w:sz w:val="24"/>
          <w:szCs w:val="24"/>
          <w:u w:color="000000"/>
        </w:rPr>
        <w:t xml:space="preserve"> </w:t>
      </w:r>
      <w:r w:rsidR="00851572">
        <w:rPr>
          <w:rFonts w:eastAsia="Arial Unicode MS"/>
          <w:color w:val="000000"/>
          <w:sz w:val="24"/>
          <w:szCs w:val="24"/>
          <w:u w:color="000000"/>
        </w:rPr>
        <w:t xml:space="preserve">same </w:t>
      </w:r>
      <w:r w:rsidRPr="00912A6F" w:rsidR="00851572">
        <w:rPr>
          <w:rFonts w:eastAsia="Arial Unicode MS"/>
          <w:color w:val="000000"/>
          <w:sz w:val="24"/>
          <w:szCs w:val="24"/>
          <w:u w:color="000000"/>
        </w:rPr>
        <w:t>3000</w:t>
      </w:r>
      <w:r w:rsidR="001059F8">
        <w:rPr>
          <w:rFonts w:eastAsia="Arial Unicode MS"/>
          <w:color w:val="000000"/>
          <w:sz w:val="24"/>
          <w:szCs w:val="24"/>
          <w:u w:color="000000"/>
        </w:rPr>
        <w:t xml:space="preserve"> previously requested</w:t>
      </w:r>
      <w:r w:rsidRPr="00912A6F" w:rsidR="004B339C">
        <w:rPr>
          <w:rFonts w:eastAsia="Arial Unicode MS"/>
          <w:color w:val="000000"/>
          <w:sz w:val="24"/>
          <w:szCs w:val="24"/>
          <w:u w:color="000000"/>
        </w:rPr>
        <w:t xml:space="preserve">. </w:t>
      </w:r>
      <w:r w:rsidR="00F76C8C">
        <w:rPr>
          <w:rFonts w:eastAsia="Arial Unicode MS"/>
          <w:color w:val="000000"/>
          <w:sz w:val="24"/>
          <w:szCs w:val="24"/>
          <w:u w:color="000000"/>
        </w:rPr>
        <w:t xml:space="preserve">While this number may seem high </w:t>
      </w:r>
      <w:proofErr w:type="gramStart"/>
      <w:r w:rsidR="00F76C8C">
        <w:rPr>
          <w:rFonts w:eastAsia="Arial Unicode MS"/>
          <w:color w:val="000000"/>
          <w:sz w:val="24"/>
          <w:szCs w:val="24"/>
          <w:u w:color="000000"/>
        </w:rPr>
        <w:t>in light of</w:t>
      </w:r>
      <w:proofErr w:type="gramEnd"/>
      <w:r w:rsidR="00F76C8C">
        <w:rPr>
          <w:rFonts w:eastAsia="Arial Unicode MS"/>
          <w:color w:val="000000"/>
          <w:sz w:val="24"/>
          <w:szCs w:val="24"/>
          <w:u w:color="000000"/>
        </w:rPr>
        <w:t xml:space="preserve"> the past infrequent use of DORI, the fact the opioid crisis </w:t>
      </w:r>
      <w:r w:rsidR="00CC3413">
        <w:rPr>
          <w:rFonts w:eastAsia="Arial Unicode MS"/>
          <w:color w:val="000000"/>
          <w:sz w:val="24"/>
          <w:szCs w:val="24"/>
          <w:u w:color="000000"/>
        </w:rPr>
        <w:t xml:space="preserve">is still </w:t>
      </w:r>
      <w:r w:rsidR="00F76C8C">
        <w:rPr>
          <w:rFonts w:eastAsia="Arial Unicode MS"/>
          <w:color w:val="000000"/>
          <w:sz w:val="24"/>
          <w:szCs w:val="24"/>
          <w:u w:color="000000"/>
        </w:rPr>
        <w:t xml:space="preserve">declared a national emergency combined with NCIPC’s enhanced opioid surveillance </w:t>
      </w:r>
      <w:r w:rsidR="00B4662F">
        <w:rPr>
          <w:rFonts w:eastAsia="Arial Unicode MS"/>
          <w:color w:val="000000"/>
          <w:sz w:val="24"/>
          <w:szCs w:val="24"/>
          <w:u w:color="000000"/>
        </w:rPr>
        <w:t>an</w:t>
      </w:r>
      <w:r w:rsidR="00CC3413">
        <w:rPr>
          <w:rFonts w:eastAsia="Arial Unicode MS"/>
          <w:color w:val="000000"/>
          <w:sz w:val="24"/>
          <w:szCs w:val="24"/>
          <w:u w:color="000000"/>
        </w:rPr>
        <w:t>d prevention</w:t>
      </w:r>
      <w:r w:rsidR="00B4662F">
        <w:rPr>
          <w:rFonts w:eastAsia="Arial Unicode MS"/>
          <w:color w:val="000000"/>
          <w:sz w:val="24"/>
          <w:szCs w:val="24"/>
          <w:u w:color="000000"/>
        </w:rPr>
        <w:t xml:space="preserve"> </w:t>
      </w:r>
      <w:r w:rsidR="00F76C8C">
        <w:rPr>
          <w:rFonts w:eastAsia="Arial Unicode MS"/>
          <w:color w:val="000000"/>
          <w:sz w:val="24"/>
          <w:szCs w:val="24"/>
          <w:u w:color="000000"/>
        </w:rPr>
        <w:t xml:space="preserve">efforts, the projection is reasonable.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93600">
        <w:rPr>
          <w:rFonts w:eastAsia="Arial Unicode MS"/>
          <w:color w:val="000000"/>
          <w:sz w:val="24"/>
          <w:szCs w:val="24"/>
          <w:u w:color="000000"/>
        </w:rPr>
        <w:t>generic request</w:t>
      </w:r>
      <w:r w:rsidR="00096679">
        <w:rPr>
          <w:rFonts w:eastAsia="Arial Unicode MS"/>
          <w:color w:val="000000"/>
          <w:sz w:val="24"/>
          <w:szCs w:val="24"/>
          <w:u w:color="000000"/>
        </w:rPr>
        <w:t xml:space="preserve">. </w:t>
      </w:r>
    </w:p>
    <w:p w:rsidR="00C91306" w:rsidP="00CE0640" w:rsidRDefault="00C91306" w14:paraId="3A0A07C0" w14:textId="2DD810AA">
      <w:pPr>
        <w:ind w:left="720"/>
        <w:rPr>
          <w:rFonts w:eastAsia="Arial Unicode MS"/>
          <w:color w:val="000000"/>
          <w:sz w:val="24"/>
          <w:szCs w:val="24"/>
          <w:u w:color="000000"/>
        </w:rPr>
      </w:pPr>
    </w:p>
    <w:p w:rsidR="00C91306" w:rsidP="00CE0640" w:rsidRDefault="00C91306" w14:paraId="55042146" w14:textId="388C48EF">
      <w:pPr>
        <w:ind w:left="720"/>
        <w:rPr>
          <w:rFonts w:eastAsia="Arial Unicode MS"/>
          <w:color w:val="000000"/>
          <w:sz w:val="24"/>
          <w:szCs w:val="24"/>
          <w:u w:color="000000"/>
        </w:rPr>
      </w:pPr>
    </w:p>
    <w:p w:rsidR="001B1BB1" w:rsidP="00CE0640" w:rsidRDefault="001B1BB1" w14:paraId="78D6B7E9" w14:textId="00B2C4A6">
      <w:pPr>
        <w:ind w:left="720"/>
        <w:rPr>
          <w:rFonts w:eastAsia="Arial Unicode MS"/>
          <w:color w:val="000000"/>
          <w:sz w:val="24"/>
          <w:szCs w:val="24"/>
          <w:u w:color="000000"/>
        </w:rPr>
      </w:pPr>
    </w:p>
    <w:p w:rsidRPr="00912A6F" w:rsidR="001B1BB1" w:rsidP="00CE0640" w:rsidRDefault="001B1BB1" w14:paraId="652ED6FD" w14:textId="77777777">
      <w:pPr>
        <w:ind w:left="720"/>
        <w:rPr>
          <w:rFonts w:eastAsia="Arial Unicode MS"/>
          <w:color w:val="000000"/>
          <w:sz w:val="24"/>
          <w:szCs w:val="24"/>
          <w:u w:color="000000"/>
        </w:rPr>
      </w:pPr>
    </w:p>
    <w:p w:rsidR="00CE0640" w:rsidP="00CE0640" w:rsidRDefault="00BF1A48" w14:paraId="5AE3F84F"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rsidR="00BF1A48" w:rsidP="00CE0640" w:rsidRDefault="00CE0640" w14:paraId="76B9CA1C" w14:textId="1BD61F14">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lastRenderedPageBreak/>
        <w:tab/>
      </w:r>
      <w:r w:rsidR="004B339C">
        <w:rPr>
          <w:rFonts w:eastAsia="Arial Unicode MS"/>
          <w:color w:val="000000"/>
          <w:sz w:val="24"/>
          <w:szCs w:val="24"/>
          <w:u w:color="000000"/>
        </w:rPr>
        <w:t xml:space="preserve">Table A-12.1 </w:t>
      </w:r>
      <w:r w:rsidRPr="00BF1A48" w:rsidR="00BF1A48">
        <w:rPr>
          <w:rFonts w:eastAsia="Arial Unicode MS"/>
          <w:color w:val="000000"/>
          <w:sz w:val="24"/>
          <w:szCs w:val="24"/>
          <w:u w:color="000000"/>
        </w:rPr>
        <w:t>Estimated Annualized Burden Hours</w:t>
      </w:r>
    </w:p>
    <w:p w:rsidRPr="00BF1A48" w:rsidR="00F816A0" w:rsidP="00CE0640" w:rsidRDefault="00F816A0" w14:paraId="0072FF30" w14:textId="77777777">
      <w:pPr>
        <w:widowControl w:val="0"/>
        <w:tabs>
          <w:tab w:val="left" w:pos="0"/>
        </w:tabs>
        <w:autoSpaceDE w:val="0"/>
        <w:autoSpaceDN w:val="0"/>
        <w:adjustRightInd w:val="0"/>
        <w:rPr>
          <w:rFonts w:eastAsia="Arial Unicode MS"/>
          <w:color w:val="000000"/>
          <w:sz w:val="24"/>
          <w:szCs w:val="24"/>
          <w:u w:color="000000"/>
        </w:rPr>
      </w:pPr>
    </w:p>
    <w:tbl>
      <w:tblPr>
        <w:tblW w:w="837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530"/>
        <w:gridCol w:w="990"/>
        <w:gridCol w:w="1350"/>
        <w:gridCol w:w="1440"/>
        <w:gridCol w:w="1530"/>
      </w:tblGrid>
      <w:tr w:rsidRPr="00BF1A48" w:rsidR="00BF1A48" w:rsidTr="00067D72" w14:paraId="3BBFA905" w14:textId="77777777">
        <w:trPr>
          <w:trHeight w:val="592"/>
        </w:trPr>
        <w:tc>
          <w:tcPr>
            <w:tcW w:w="153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508B8517"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137D9302"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537D6A6C"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35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0D68A201"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Responses per Respondent</w:t>
            </w:r>
          </w:p>
        </w:tc>
        <w:tc>
          <w:tcPr>
            <w:tcW w:w="144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021BC201"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color="auto" w:sz="4" w:space="0"/>
              <w:left w:val="single" w:color="auto" w:sz="4" w:space="0"/>
              <w:bottom w:val="single" w:color="auto" w:sz="4" w:space="0"/>
              <w:right w:val="single" w:color="auto" w:sz="4" w:space="0"/>
            </w:tcBorders>
            <w:hideMark/>
          </w:tcPr>
          <w:p w:rsidRPr="00BF1A48" w:rsidR="00BF1A48" w:rsidP="00E34301" w:rsidRDefault="00BF1A48" w14:paraId="7DEE5855"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Pr="00BF1A48" w:rsidR="00BF1A48" w:rsidTr="00067D72" w14:paraId="34790207" w14:textId="77777777">
        <w:trPr>
          <w:trHeight w:val="1512"/>
        </w:trPr>
        <w:tc>
          <w:tcPr>
            <w:tcW w:w="1530" w:type="dxa"/>
            <w:tcBorders>
              <w:top w:val="single" w:color="auto" w:sz="4" w:space="0"/>
              <w:left w:val="single" w:color="auto" w:sz="4" w:space="0"/>
              <w:bottom w:val="single" w:color="auto" w:sz="4" w:space="0"/>
              <w:right w:val="single" w:color="auto" w:sz="4" w:space="0"/>
            </w:tcBorders>
            <w:vAlign w:val="center"/>
          </w:tcPr>
          <w:p w:rsidRPr="00BF1A48" w:rsidR="00BF1A48" w:rsidP="0077737F" w:rsidRDefault="0077737F" w14:paraId="42C40433" w14:textId="77777777">
            <w:pPr>
              <w:rPr>
                <w:rFonts w:eastAsia="Arial Unicode MS"/>
                <w:color w:val="000000"/>
                <w:sz w:val="24"/>
                <w:szCs w:val="24"/>
                <w:u w:color="000000"/>
              </w:rPr>
            </w:pPr>
            <w:r>
              <w:rPr>
                <w:rFonts w:eastAsia="Arial Unicode MS"/>
                <w:color w:val="000000"/>
                <w:sz w:val="24"/>
                <w:szCs w:val="24"/>
                <w:u w:color="000000"/>
              </w:rPr>
              <w:t xml:space="preserve">Drug Overdose Response </w:t>
            </w:r>
            <w:r w:rsidR="00483688">
              <w:rPr>
                <w:rFonts w:eastAsia="Arial Unicode MS"/>
                <w:color w:val="000000"/>
                <w:sz w:val="24"/>
                <w:szCs w:val="24"/>
                <w:u w:color="000000"/>
              </w:rPr>
              <w:t>Investigation</w:t>
            </w:r>
            <w:r w:rsidRPr="00BF1A48" w:rsidR="00BF1A48">
              <w:rPr>
                <w:rFonts w:eastAsia="Arial Unicode MS"/>
                <w:color w:val="000000"/>
                <w:sz w:val="24"/>
                <w:szCs w:val="24"/>
                <w:u w:color="000000"/>
              </w:rPr>
              <w:t xml:space="preserve"> Participants</w:t>
            </w:r>
          </w:p>
        </w:tc>
        <w:tc>
          <w:tcPr>
            <w:tcW w:w="1530" w:type="dxa"/>
            <w:tcBorders>
              <w:top w:val="single" w:color="auto" w:sz="4" w:space="0"/>
              <w:left w:val="single" w:color="auto" w:sz="4" w:space="0"/>
              <w:bottom w:val="single" w:color="auto" w:sz="4" w:space="0"/>
              <w:right w:val="single" w:color="auto" w:sz="4" w:space="0"/>
            </w:tcBorders>
            <w:vAlign w:val="center"/>
          </w:tcPr>
          <w:p w:rsidRPr="00BF1A48" w:rsidR="00BF1A48" w:rsidP="00483688" w:rsidRDefault="0077737F" w14:paraId="74E1FB21"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DORI </w:t>
            </w:r>
            <w:r w:rsidRPr="00BF1A48" w:rsidR="00BF1A48">
              <w:rPr>
                <w:rFonts w:eastAsia="Arial Unicode MS"/>
                <w:color w:val="000000"/>
                <w:sz w:val="24"/>
                <w:szCs w:val="24"/>
                <w:u w:color="000000"/>
              </w:rPr>
              <w:t>Data Collection Instruments</w:t>
            </w:r>
          </w:p>
        </w:tc>
        <w:tc>
          <w:tcPr>
            <w:tcW w:w="990" w:type="dxa"/>
            <w:tcBorders>
              <w:top w:val="single" w:color="auto" w:sz="4" w:space="0"/>
              <w:left w:val="single" w:color="auto" w:sz="4" w:space="0"/>
              <w:bottom w:val="single" w:color="auto" w:sz="4" w:space="0"/>
              <w:right w:val="single" w:color="auto" w:sz="4" w:space="0"/>
            </w:tcBorders>
            <w:vAlign w:val="center"/>
          </w:tcPr>
          <w:p w:rsidRPr="00BF1A48" w:rsidR="00BF1A48" w:rsidP="00935A6B" w:rsidRDefault="001059F8" w14:paraId="1C6C22B1" w14:textId="2A0161D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6</w:t>
            </w:r>
            <w:r w:rsidR="00EC466E">
              <w:rPr>
                <w:rFonts w:eastAsia="Arial Unicode MS"/>
                <w:color w:val="000000"/>
                <w:sz w:val="24"/>
                <w:szCs w:val="24"/>
                <w:u w:color="000000"/>
              </w:rPr>
              <w:t>000</w:t>
            </w:r>
          </w:p>
        </w:tc>
        <w:tc>
          <w:tcPr>
            <w:tcW w:w="1350" w:type="dxa"/>
            <w:tcBorders>
              <w:top w:val="single" w:color="auto" w:sz="4" w:space="0"/>
              <w:left w:val="single" w:color="auto" w:sz="4" w:space="0"/>
              <w:bottom w:val="single" w:color="auto" w:sz="4" w:space="0"/>
              <w:right w:val="single" w:color="auto" w:sz="4" w:space="0"/>
            </w:tcBorders>
            <w:vAlign w:val="center"/>
          </w:tcPr>
          <w:p w:rsidRPr="00BF1A48" w:rsidR="00BF1A48" w:rsidP="00E34301" w:rsidRDefault="00BA5BA3" w14:paraId="7B7BA3F5"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440" w:type="dxa"/>
            <w:tcBorders>
              <w:top w:val="single" w:color="auto" w:sz="4" w:space="0"/>
              <w:left w:val="single" w:color="auto" w:sz="4" w:space="0"/>
              <w:bottom w:val="single" w:color="auto" w:sz="4" w:space="0"/>
              <w:right w:val="single" w:color="auto" w:sz="4" w:space="0"/>
            </w:tcBorders>
            <w:vAlign w:val="center"/>
          </w:tcPr>
          <w:p w:rsidRPr="00BF1A48" w:rsidR="00BF1A48" w:rsidP="00E34301" w:rsidRDefault="0055599D" w14:paraId="514DEF08"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30/60</w:t>
            </w:r>
          </w:p>
        </w:tc>
        <w:tc>
          <w:tcPr>
            <w:tcW w:w="1530" w:type="dxa"/>
            <w:tcBorders>
              <w:top w:val="single" w:color="auto" w:sz="4" w:space="0"/>
              <w:left w:val="single" w:color="auto" w:sz="4" w:space="0"/>
              <w:bottom w:val="single" w:color="auto" w:sz="4" w:space="0"/>
              <w:right w:val="single" w:color="auto" w:sz="4" w:space="0"/>
            </w:tcBorders>
            <w:vAlign w:val="center"/>
          </w:tcPr>
          <w:p w:rsidRPr="00BF1A48" w:rsidR="00BF1A48" w:rsidP="00EC466E" w:rsidRDefault="001059F8" w14:paraId="35D7D7A7" w14:textId="12134AD4">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w:t>
            </w:r>
            <w:r w:rsidR="00CF43C7">
              <w:rPr>
                <w:rFonts w:eastAsia="Arial Unicode MS"/>
                <w:color w:val="000000"/>
                <w:sz w:val="24"/>
                <w:szCs w:val="24"/>
                <w:u w:color="000000"/>
              </w:rPr>
              <w:t>000</w:t>
            </w:r>
          </w:p>
        </w:tc>
      </w:tr>
      <w:tr w:rsidRPr="00BF1A48" w:rsidR="00BF1A48" w:rsidTr="00067D72" w14:paraId="463422EF" w14:textId="77777777">
        <w:trPr>
          <w:trHeight w:val="263"/>
        </w:trPr>
        <w:tc>
          <w:tcPr>
            <w:tcW w:w="1530" w:type="dxa"/>
            <w:tcBorders>
              <w:top w:val="single" w:color="auto" w:sz="4" w:space="0"/>
              <w:left w:val="single" w:color="auto" w:sz="4" w:space="0"/>
              <w:bottom w:val="single" w:color="auto" w:sz="4" w:space="0"/>
              <w:right w:val="single" w:color="auto" w:sz="4" w:space="0"/>
            </w:tcBorders>
            <w:vAlign w:val="center"/>
          </w:tcPr>
          <w:p w:rsidRPr="00BF1A48" w:rsidR="00BF1A48" w:rsidP="00E34301" w:rsidRDefault="00BF1A48" w14:paraId="214F90A6" w14:textId="77777777">
            <w:pPr>
              <w:widowControl w:val="0"/>
              <w:tabs>
                <w:tab w:val="left" w:pos="0"/>
              </w:tabs>
              <w:autoSpaceDE w:val="0"/>
              <w:autoSpaceDN w:val="0"/>
              <w:adjustRightInd w:val="0"/>
              <w:jc w:val="center"/>
              <w:rPr>
                <w:rFonts w:eastAsia="Arial Unicode MS"/>
                <w:color w:val="000000"/>
                <w:sz w:val="24"/>
                <w:szCs w:val="24"/>
                <w:u w:color="000000"/>
              </w:rPr>
            </w:pPr>
          </w:p>
        </w:tc>
        <w:tc>
          <w:tcPr>
            <w:tcW w:w="5310" w:type="dxa"/>
            <w:gridSpan w:val="4"/>
            <w:tcBorders>
              <w:top w:val="single" w:color="auto" w:sz="4" w:space="0"/>
              <w:left w:val="single" w:color="auto" w:sz="4" w:space="0"/>
              <w:bottom w:val="single" w:color="auto" w:sz="4" w:space="0"/>
              <w:right w:val="single" w:color="auto" w:sz="4" w:space="0"/>
            </w:tcBorders>
            <w:vAlign w:val="center"/>
            <w:hideMark/>
          </w:tcPr>
          <w:p w:rsidRPr="00BF1A48" w:rsidR="00BF1A48" w:rsidP="00E34301" w:rsidRDefault="00BF1A48" w14:paraId="046CFC70" w14:textId="77777777">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Total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BF1A48" w:rsidR="00BF1A48" w:rsidP="00EC466E" w:rsidRDefault="001059F8" w14:paraId="641CF6C7" w14:textId="092A52B4">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w:t>
            </w:r>
            <w:r w:rsidR="00D446AD">
              <w:rPr>
                <w:rFonts w:eastAsia="Arial Unicode MS"/>
                <w:color w:val="000000"/>
                <w:sz w:val="24"/>
                <w:szCs w:val="24"/>
                <w:u w:color="000000"/>
              </w:rPr>
              <w:t>000</w:t>
            </w:r>
          </w:p>
        </w:tc>
      </w:tr>
    </w:tbl>
    <w:p w:rsidR="002B7FD7" w:rsidP="00B651A5" w:rsidRDefault="002B7FD7" w14:paraId="592D0137" w14:textId="77777777">
      <w:pPr>
        <w:ind w:left="720"/>
        <w:rPr>
          <w:rFonts w:eastAsia="Arial Unicode MS"/>
          <w:sz w:val="24"/>
          <w:szCs w:val="24"/>
          <w:u w:color="000000"/>
        </w:rPr>
      </w:pPr>
    </w:p>
    <w:p w:rsidRPr="0072690B" w:rsidR="00F6498A" w:rsidP="00F6498A" w:rsidRDefault="00F6498A" w14:paraId="12CDB162" w14:textId="6CE63FA6">
      <w:pPr>
        <w:ind w:left="720"/>
        <w:rPr>
          <w:rFonts w:eastAsia="Arial Unicode MS"/>
          <w:color w:val="0000FF"/>
          <w:sz w:val="24"/>
          <w:szCs w:val="24"/>
          <w:u w:val="single" w:color="0000FF"/>
        </w:rPr>
      </w:pPr>
      <w:r>
        <w:rPr>
          <w:rFonts w:eastAsia="Arial Unicode MS"/>
          <w:sz w:val="24"/>
          <w:szCs w:val="24"/>
          <w:u w:color="000000"/>
        </w:rPr>
        <w:t xml:space="preserve">There are no anticipated costs to respondents other than time. The U.S. median national </w:t>
      </w:r>
      <w:r w:rsidR="0077737F">
        <w:rPr>
          <w:rFonts w:eastAsia="Arial Unicode MS"/>
          <w:sz w:val="24"/>
          <w:szCs w:val="24"/>
          <w:u w:color="000000"/>
        </w:rPr>
        <w:t xml:space="preserve">hourly </w:t>
      </w:r>
      <w:r>
        <w:rPr>
          <w:rFonts w:eastAsia="Arial Unicode MS"/>
          <w:sz w:val="24"/>
          <w:szCs w:val="24"/>
          <w:u w:color="000000"/>
        </w:rPr>
        <w:t>wage for all occupations in 20</w:t>
      </w:r>
      <w:r w:rsidR="00EA6B68">
        <w:rPr>
          <w:rFonts w:eastAsia="Arial Unicode MS"/>
          <w:sz w:val="24"/>
          <w:szCs w:val="24"/>
          <w:u w:color="000000"/>
        </w:rPr>
        <w:t>20</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w:t>
      </w:r>
      <w:r w:rsidR="0077737F">
        <w:rPr>
          <w:rFonts w:eastAsia="Arial Unicode MS"/>
          <w:sz w:val="24"/>
          <w:szCs w:val="24"/>
          <w:u w:color="000000"/>
        </w:rPr>
        <w:t>1</w:t>
      </w:r>
      <w:r w:rsidR="00EA6B68">
        <w:rPr>
          <w:rFonts w:eastAsia="Arial Unicode MS"/>
          <w:sz w:val="24"/>
          <w:szCs w:val="24"/>
          <w:u w:color="000000"/>
        </w:rPr>
        <w:t>9.14</w:t>
      </w:r>
      <w:r>
        <w:rPr>
          <w:rFonts w:eastAsia="Arial Unicode MS"/>
          <w:sz w:val="24"/>
          <w:szCs w:val="24"/>
          <w:u w:color="000000"/>
        </w:rPr>
        <w:t xml:space="preserve">.  This wage is assumed for all </w:t>
      </w:r>
      <w:r w:rsidR="0077737F">
        <w:rPr>
          <w:rFonts w:eastAsia="Arial Unicode MS"/>
          <w:sz w:val="24"/>
          <w:szCs w:val="24"/>
          <w:u w:color="000000"/>
        </w:rPr>
        <w:t xml:space="preserve">DORI </w:t>
      </w:r>
      <w:r>
        <w:rPr>
          <w:rFonts w:eastAsia="Arial Unicode MS"/>
          <w:sz w:val="24"/>
          <w:szCs w:val="24"/>
          <w:u w:color="000000"/>
        </w:rPr>
        <w:t xml:space="preserve">participants because of the variety of types of participants expected. </w:t>
      </w:r>
    </w:p>
    <w:p w:rsidR="00F6498A" w:rsidP="00B651A5" w:rsidRDefault="00F6498A" w14:paraId="781AB997" w14:textId="77777777">
      <w:pPr>
        <w:ind w:left="720"/>
        <w:rPr>
          <w:rFonts w:eastAsia="Arial Unicode MS"/>
          <w:sz w:val="24"/>
          <w:szCs w:val="24"/>
          <w:u w:color="000000"/>
        </w:rPr>
      </w:pPr>
    </w:p>
    <w:p w:rsidR="00603C5F" w:rsidP="00B651A5" w:rsidRDefault="00A659CC" w14:paraId="344ED084" w14:textId="3FEDEE54">
      <w:pPr>
        <w:ind w:left="720"/>
        <w:rPr>
          <w:rFonts w:eastAsia="Arial Unicode MS"/>
          <w:sz w:val="24"/>
          <w:szCs w:val="24"/>
          <w:u w:color="000000"/>
        </w:rPr>
      </w:pPr>
      <w:r>
        <w:rPr>
          <w:rFonts w:eastAsia="Arial Unicode MS"/>
          <w:color w:val="000000"/>
          <w:sz w:val="24"/>
          <w:szCs w:val="24"/>
          <w:u w:color="000000"/>
        </w:rPr>
        <w:t xml:space="preserve">Table A-12.2 </w:t>
      </w:r>
      <w:r w:rsidR="00603C5F">
        <w:rPr>
          <w:rFonts w:eastAsia="Arial Unicode MS"/>
          <w:sz w:val="24"/>
          <w:szCs w:val="24"/>
          <w:u w:color="000000"/>
        </w:rPr>
        <w:t>Estimated Annualized Burden Costs</w:t>
      </w:r>
    </w:p>
    <w:p w:rsidR="00603C5F" w:rsidP="00B651A5" w:rsidRDefault="00603C5F" w14:paraId="4EA218C4" w14:textId="77777777">
      <w:pPr>
        <w:ind w:left="720"/>
        <w:rPr>
          <w:rFonts w:eastAsia="Arial Unicode MS"/>
          <w:sz w:val="24"/>
          <w:szCs w:val="24"/>
          <w:u w:color="000000"/>
        </w:rPr>
      </w:pPr>
    </w:p>
    <w:tbl>
      <w:tblPr>
        <w:tblW w:w="6659" w:type="dxa"/>
        <w:tblInd w:w="10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406"/>
        <w:gridCol w:w="1079"/>
        <w:gridCol w:w="1080"/>
        <w:gridCol w:w="1384"/>
      </w:tblGrid>
      <w:tr w:rsidRPr="00BF1A48" w:rsidR="00C32E56" w:rsidTr="00B37A4A" w14:paraId="47156602" w14:textId="77777777">
        <w:trPr>
          <w:trHeight w:val="592"/>
        </w:trPr>
        <w:tc>
          <w:tcPr>
            <w:tcW w:w="1710" w:type="dxa"/>
            <w:tcBorders>
              <w:top w:val="single" w:color="auto" w:sz="4" w:space="0"/>
              <w:left w:val="single" w:color="auto" w:sz="4" w:space="0"/>
              <w:bottom w:val="single" w:color="auto" w:sz="4" w:space="0"/>
              <w:right w:val="single" w:color="auto" w:sz="4" w:space="0"/>
            </w:tcBorders>
            <w:hideMark/>
          </w:tcPr>
          <w:p w:rsidRPr="00BF1A48" w:rsidR="00C32E56" w:rsidP="00D11EB6" w:rsidRDefault="00C32E56" w14:paraId="3B9CF59D"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406" w:type="dxa"/>
            <w:tcBorders>
              <w:top w:val="single" w:color="auto" w:sz="4" w:space="0"/>
              <w:left w:val="single" w:color="auto" w:sz="4" w:space="0"/>
              <w:bottom w:val="single" w:color="auto" w:sz="4" w:space="0"/>
              <w:right w:val="single" w:color="auto" w:sz="4" w:space="0"/>
            </w:tcBorders>
            <w:hideMark/>
          </w:tcPr>
          <w:p w:rsidRPr="00BF1A48" w:rsidR="00C32E56" w:rsidP="00D11EB6" w:rsidRDefault="00C32E56" w14:paraId="0F875CC8"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1079" w:type="dxa"/>
            <w:tcBorders>
              <w:top w:val="single" w:color="auto" w:sz="4" w:space="0"/>
              <w:left w:val="single" w:color="auto" w:sz="4" w:space="0"/>
              <w:bottom w:val="single" w:color="auto" w:sz="4" w:space="0"/>
              <w:right w:val="single" w:color="auto" w:sz="4" w:space="0"/>
            </w:tcBorders>
            <w:hideMark/>
          </w:tcPr>
          <w:p w:rsidRPr="00BF1A48" w:rsidR="00C32E56" w:rsidP="00D11EB6" w:rsidRDefault="00C32E56" w14:paraId="2F83217C"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c>
          <w:tcPr>
            <w:tcW w:w="1080" w:type="dxa"/>
            <w:tcBorders>
              <w:top w:val="single" w:color="auto" w:sz="4" w:space="0"/>
              <w:left w:val="single" w:color="auto" w:sz="4" w:space="0"/>
              <w:bottom w:val="single" w:color="auto" w:sz="4" w:space="0"/>
              <w:right w:val="single" w:color="auto" w:sz="4" w:space="0"/>
            </w:tcBorders>
          </w:tcPr>
          <w:p w:rsidRPr="00BF1A48" w:rsidR="00C32E56" w:rsidP="00D11EB6" w:rsidRDefault="00C32E56" w14:paraId="54A84BBE"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Hourly Wage</w:t>
            </w:r>
          </w:p>
        </w:tc>
        <w:tc>
          <w:tcPr>
            <w:tcW w:w="1384" w:type="dxa"/>
            <w:tcBorders>
              <w:top w:val="single" w:color="auto" w:sz="4" w:space="0"/>
              <w:left w:val="single" w:color="auto" w:sz="4" w:space="0"/>
              <w:bottom w:val="single" w:color="auto" w:sz="4" w:space="0"/>
              <w:right w:val="single" w:color="auto" w:sz="4" w:space="0"/>
            </w:tcBorders>
          </w:tcPr>
          <w:p w:rsidRPr="00BF1A48" w:rsidR="00C32E56" w:rsidP="00D11EB6" w:rsidRDefault="00C32E56" w14:paraId="576E8C9E"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Total Respondent Cost</w:t>
            </w:r>
          </w:p>
        </w:tc>
      </w:tr>
      <w:tr w:rsidRPr="00BF1A48" w:rsidR="00C32E56" w:rsidTr="00B37A4A" w14:paraId="4EA365AE" w14:textId="77777777">
        <w:trPr>
          <w:trHeight w:val="1512"/>
        </w:trPr>
        <w:tc>
          <w:tcPr>
            <w:tcW w:w="1710" w:type="dxa"/>
            <w:tcBorders>
              <w:top w:val="single" w:color="auto" w:sz="4" w:space="0"/>
              <w:left w:val="single" w:color="auto" w:sz="4" w:space="0"/>
              <w:bottom w:val="single" w:color="auto" w:sz="4" w:space="0"/>
              <w:right w:val="single" w:color="auto" w:sz="4" w:space="0"/>
            </w:tcBorders>
            <w:vAlign w:val="center"/>
          </w:tcPr>
          <w:p w:rsidRPr="00BF1A48" w:rsidR="00C32E56" w:rsidP="00D11EB6" w:rsidRDefault="00C32E56" w14:paraId="1AF7480D" w14:textId="77777777">
            <w:pPr>
              <w:rPr>
                <w:rFonts w:eastAsia="Arial Unicode MS"/>
                <w:color w:val="000000"/>
                <w:sz w:val="24"/>
                <w:szCs w:val="24"/>
                <w:u w:color="000000"/>
              </w:rPr>
            </w:pPr>
            <w:r>
              <w:rPr>
                <w:rFonts w:eastAsia="Arial Unicode MS"/>
                <w:color w:val="000000"/>
                <w:sz w:val="24"/>
                <w:szCs w:val="24"/>
                <w:u w:color="000000"/>
              </w:rPr>
              <w:t>Drug Overdose Response Investigation</w:t>
            </w:r>
            <w:r w:rsidRPr="00BF1A48">
              <w:rPr>
                <w:rFonts w:eastAsia="Arial Unicode MS"/>
                <w:color w:val="000000"/>
                <w:sz w:val="24"/>
                <w:szCs w:val="24"/>
                <w:u w:color="000000"/>
              </w:rPr>
              <w:t xml:space="preserve"> Participants</w:t>
            </w:r>
          </w:p>
        </w:tc>
        <w:tc>
          <w:tcPr>
            <w:tcW w:w="1406" w:type="dxa"/>
            <w:tcBorders>
              <w:top w:val="single" w:color="auto" w:sz="4" w:space="0"/>
              <w:left w:val="single" w:color="auto" w:sz="4" w:space="0"/>
              <w:bottom w:val="single" w:color="auto" w:sz="4" w:space="0"/>
              <w:right w:val="single" w:color="auto" w:sz="4" w:space="0"/>
            </w:tcBorders>
            <w:vAlign w:val="center"/>
          </w:tcPr>
          <w:p w:rsidRPr="00BF1A48" w:rsidR="00C32E56" w:rsidP="00D11EB6" w:rsidRDefault="00C32E56" w14:paraId="1B93CEBA" w14:textId="77777777">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DORI </w:t>
            </w:r>
            <w:r w:rsidRPr="00BF1A48">
              <w:rPr>
                <w:rFonts w:eastAsia="Arial Unicode MS"/>
                <w:color w:val="000000"/>
                <w:sz w:val="24"/>
                <w:szCs w:val="24"/>
                <w:u w:color="000000"/>
              </w:rPr>
              <w:t>Data Collection Instruments</w:t>
            </w:r>
          </w:p>
        </w:tc>
        <w:tc>
          <w:tcPr>
            <w:tcW w:w="1079" w:type="dxa"/>
            <w:tcBorders>
              <w:top w:val="single" w:color="auto" w:sz="4" w:space="0"/>
              <w:left w:val="single" w:color="auto" w:sz="4" w:space="0"/>
              <w:bottom w:val="single" w:color="auto" w:sz="4" w:space="0"/>
              <w:right w:val="single" w:color="auto" w:sz="4" w:space="0"/>
            </w:tcBorders>
            <w:vAlign w:val="center"/>
          </w:tcPr>
          <w:p w:rsidRPr="00BF1A48" w:rsidR="00C32E56" w:rsidP="00935A6B" w:rsidRDefault="00C32E56" w14:paraId="723C0EFD" w14:textId="418CDAF9">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3000</w:t>
            </w:r>
          </w:p>
        </w:tc>
        <w:tc>
          <w:tcPr>
            <w:tcW w:w="1080" w:type="dxa"/>
            <w:tcBorders>
              <w:top w:val="single" w:color="auto" w:sz="4" w:space="0"/>
              <w:left w:val="single" w:color="auto" w:sz="4" w:space="0"/>
              <w:bottom w:val="single" w:color="auto" w:sz="4" w:space="0"/>
              <w:right w:val="single" w:color="auto" w:sz="4" w:space="0"/>
            </w:tcBorders>
          </w:tcPr>
          <w:p w:rsidR="00C32E56" w:rsidP="00D11EB6" w:rsidRDefault="00C32E56" w14:paraId="05180270" w14:textId="77777777">
            <w:pPr>
              <w:widowControl w:val="0"/>
              <w:tabs>
                <w:tab w:val="left" w:pos="0"/>
              </w:tabs>
              <w:autoSpaceDE w:val="0"/>
              <w:autoSpaceDN w:val="0"/>
              <w:adjustRightInd w:val="0"/>
              <w:jc w:val="center"/>
              <w:rPr>
                <w:rFonts w:eastAsia="Arial Unicode MS"/>
                <w:color w:val="000000"/>
                <w:sz w:val="24"/>
                <w:szCs w:val="24"/>
                <w:u w:color="000000"/>
              </w:rPr>
            </w:pPr>
          </w:p>
          <w:p w:rsidR="00C32E56" w:rsidP="00D11EB6" w:rsidRDefault="00C32E56" w14:paraId="0522465A" w14:textId="77777777">
            <w:pPr>
              <w:widowControl w:val="0"/>
              <w:tabs>
                <w:tab w:val="left" w:pos="0"/>
              </w:tabs>
              <w:autoSpaceDE w:val="0"/>
              <w:autoSpaceDN w:val="0"/>
              <w:adjustRightInd w:val="0"/>
              <w:jc w:val="center"/>
              <w:rPr>
                <w:rFonts w:eastAsia="Arial Unicode MS"/>
                <w:color w:val="000000"/>
                <w:sz w:val="24"/>
                <w:szCs w:val="24"/>
                <w:u w:color="000000"/>
              </w:rPr>
            </w:pPr>
          </w:p>
          <w:p w:rsidR="00C32E56" w:rsidP="00C34326" w:rsidRDefault="00C32E56" w14:paraId="0EF19F00" w14:textId="0409B4C2">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$19.14</w:t>
            </w:r>
          </w:p>
        </w:tc>
        <w:tc>
          <w:tcPr>
            <w:tcW w:w="1384" w:type="dxa"/>
            <w:tcBorders>
              <w:top w:val="single" w:color="auto" w:sz="4" w:space="0"/>
              <w:left w:val="single" w:color="auto" w:sz="4" w:space="0"/>
              <w:bottom w:val="single" w:color="auto" w:sz="4" w:space="0"/>
              <w:right w:val="single" w:color="auto" w:sz="4" w:space="0"/>
            </w:tcBorders>
          </w:tcPr>
          <w:p w:rsidR="00851572" w:rsidP="00851572" w:rsidRDefault="00851572" w14:paraId="4172C466" w14:textId="77777777">
            <w:pPr>
              <w:widowControl w:val="0"/>
              <w:tabs>
                <w:tab w:val="left" w:pos="0"/>
              </w:tabs>
              <w:autoSpaceDE w:val="0"/>
              <w:autoSpaceDN w:val="0"/>
              <w:adjustRightInd w:val="0"/>
              <w:rPr>
                <w:rFonts w:eastAsia="Arial Unicode MS"/>
                <w:color w:val="000000"/>
                <w:sz w:val="24"/>
                <w:szCs w:val="24"/>
                <w:u w:color="000000"/>
              </w:rPr>
            </w:pPr>
          </w:p>
          <w:p w:rsidR="00851572" w:rsidP="00851572" w:rsidRDefault="00851572" w14:paraId="7B62FF70" w14:textId="77777777">
            <w:pPr>
              <w:widowControl w:val="0"/>
              <w:tabs>
                <w:tab w:val="left" w:pos="0"/>
              </w:tabs>
              <w:autoSpaceDE w:val="0"/>
              <w:autoSpaceDN w:val="0"/>
              <w:adjustRightInd w:val="0"/>
              <w:rPr>
                <w:rFonts w:eastAsia="Arial Unicode MS"/>
                <w:color w:val="000000"/>
                <w:sz w:val="24"/>
                <w:szCs w:val="24"/>
                <w:u w:color="000000"/>
              </w:rPr>
            </w:pPr>
          </w:p>
          <w:p w:rsidR="00C32E56" w:rsidP="00851572" w:rsidRDefault="00C32E56" w14:paraId="770324B0" w14:textId="1FEE648D">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$57,420</w:t>
            </w:r>
          </w:p>
        </w:tc>
      </w:tr>
    </w:tbl>
    <w:p w:rsidR="00C32E56" w:rsidP="00B651A5" w:rsidRDefault="00C32E56" w14:paraId="27EF599D" w14:textId="77777777">
      <w:pPr>
        <w:rPr>
          <w:rFonts w:eastAsia="Arial Unicode MS"/>
          <w:b/>
          <w:sz w:val="24"/>
          <w:szCs w:val="24"/>
          <w:u w:color="000000"/>
        </w:rPr>
      </w:pPr>
    </w:p>
    <w:p w:rsidR="00C32E56" w:rsidP="00B651A5" w:rsidRDefault="00C32E56" w14:paraId="613A7E82" w14:textId="77777777">
      <w:pPr>
        <w:rPr>
          <w:rFonts w:eastAsia="Arial Unicode MS"/>
          <w:b/>
          <w:sz w:val="24"/>
          <w:szCs w:val="24"/>
          <w:u w:color="000000"/>
        </w:rPr>
      </w:pPr>
    </w:p>
    <w:p w:rsidRPr="00B651A5" w:rsidR="001A3A81" w:rsidP="00B651A5" w:rsidRDefault="00270413" w14:paraId="69E1520F" w14:textId="16129067">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Pr="00B651A5" w:rsidR="001A3A81">
        <w:rPr>
          <w:rFonts w:eastAsia="Arial Unicode MS"/>
          <w:b/>
          <w:sz w:val="24"/>
          <w:szCs w:val="24"/>
          <w:u w:color="000000"/>
        </w:rPr>
        <w:t>Estimate</w:t>
      </w:r>
      <w:r w:rsidRPr="00B651A5">
        <w:rPr>
          <w:rFonts w:eastAsia="Arial Unicode MS"/>
          <w:b/>
          <w:sz w:val="24"/>
          <w:szCs w:val="24"/>
          <w:u w:color="000000"/>
        </w:rPr>
        <w:t>s</w:t>
      </w:r>
      <w:r w:rsidRPr="00B651A5" w:rsidR="001A3A81">
        <w:rPr>
          <w:rFonts w:eastAsia="Arial Unicode MS"/>
          <w:b/>
          <w:sz w:val="24"/>
          <w:szCs w:val="24"/>
          <w:u w:color="000000"/>
        </w:rPr>
        <w:t xml:space="preserve"> of Other Total Annual Cost Burden to Respondents or Record </w:t>
      </w:r>
      <w:r w:rsidRPr="00B651A5">
        <w:rPr>
          <w:rFonts w:eastAsia="Arial Unicode MS"/>
          <w:b/>
          <w:sz w:val="24"/>
          <w:szCs w:val="24"/>
          <w:u w:color="000000"/>
        </w:rPr>
        <w:t>K</w:t>
      </w:r>
      <w:r w:rsidRPr="00B651A5" w:rsidR="001A3A81">
        <w:rPr>
          <w:rFonts w:eastAsia="Arial Unicode MS"/>
          <w:b/>
          <w:sz w:val="24"/>
          <w:szCs w:val="24"/>
          <w:u w:color="000000"/>
        </w:rPr>
        <w:t>eepers</w:t>
      </w:r>
    </w:p>
    <w:p w:rsidRPr="0072690B" w:rsidR="0041615D" w:rsidP="00A10978" w:rsidRDefault="00D60161" w14:paraId="0415F174" w14:textId="77777777">
      <w:pPr>
        <w:rPr>
          <w:rFonts w:eastAsia="Arial Unicode MS"/>
          <w:sz w:val="24"/>
          <w:szCs w:val="24"/>
          <w:u w:color="000000"/>
        </w:rPr>
      </w:pPr>
      <w:r w:rsidRPr="0072690B">
        <w:rPr>
          <w:rFonts w:eastAsia="Arial Unicode MS"/>
          <w:sz w:val="24"/>
          <w:szCs w:val="24"/>
          <w:u w:color="000000"/>
        </w:rPr>
        <w:tab/>
      </w:r>
    </w:p>
    <w:p w:rsidR="00853852" w:rsidP="0041615D" w:rsidRDefault="00853852" w14:paraId="58DCA71C" w14:textId="77777777">
      <w:pPr>
        <w:ind w:left="720"/>
        <w:rPr>
          <w:rFonts w:eastAsia="Arial Unicode MS"/>
          <w:sz w:val="24"/>
          <w:szCs w:val="24"/>
          <w:u w:color="000000"/>
        </w:rPr>
      </w:pPr>
      <w:r w:rsidRPr="00853852">
        <w:rPr>
          <w:rFonts w:eastAsia="Arial Unicode MS"/>
          <w:sz w:val="24"/>
          <w:szCs w:val="24"/>
          <w:u w:color="000000"/>
        </w:rPr>
        <w:t>Respondents will incur no capital or maintenance costs.</w:t>
      </w:r>
    </w:p>
    <w:p w:rsidRPr="0072690B" w:rsidR="00F6498A" w:rsidP="0041615D" w:rsidRDefault="00F6498A" w14:paraId="2403D150" w14:textId="77777777">
      <w:pPr>
        <w:ind w:left="720"/>
        <w:rPr>
          <w:rFonts w:eastAsia="Arial Unicode MS"/>
          <w:sz w:val="24"/>
          <w:szCs w:val="24"/>
          <w:u w:color="000000"/>
        </w:rPr>
      </w:pPr>
    </w:p>
    <w:p w:rsidRPr="00B651A5" w:rsidR="001A3A81" w:rsidP="00B651A5" w:rsidRDefault="00B505CE" w14:paraId="4181B25E" w14:textId="77777777">
      <w:pPr>
        <w:rPr>
          <w:rFonts w:eastAsia="Arial Unicode MS"/>
          <w:b/>
          <w:sz w:val="24"/>
          <w:szCs w:val="24"/>
          <w:u w:color="000000"/>
        </w:rPr>
      </w:pPr>
      <w:r w:rsidRPr="00B651A5">
        <w:rPr>
          <w:rFonts w:eastAsia="Arial Unicode MS"/>
          <w:b/>
          <w:sz w:val="24"/>
          <w:szCs w:val="24"/>
          <w:u w:color="000000"/>
        </w:rPr>
        <w:t xml:space="preserve">14. </w:t>
      </w:r>
      <w:r w:rsidRPr="00B651A5" w:rsidR="007A226A">
        <w:rPr>
          <w:rFonts w:eastAsia="Arial Unicode MS"/>
          <w:b/>
          <w:sz w:val="24"/>
          <w:szCs w:val="24"/>
          <w:u w:color="000000"/>
        </w:rPr>
        <w:tab/>
      </w:r>
      <w:r w:rsidRPr="00B651A5" w:rsidR="001A3A81">
        <w:rPr>
          <w:rFonts w:eastAsia="Arial Unicode MS"/>
          <w:b/>
          <w:sz w:val="24"/>
          <w:szCs w:val="24"/>
          <w:u w:color="000000"/>
        </w:rPr>
        <w:t>Annualized Cost to the Government</w:t>
      </w:r>
    </w:p>
    <w:p w:rsidRPr="0072690B" w:rsidR="007A226A" w:rsidP="00B651A5" w:rsidRDefault="007A226A" w14:paraId="27A4A4DB" w14:textId="77777777">
      <w:pPr>
        <w:ind w:left="720"/>
        <w:rPr>
          <w:rFonts w:eastAsia="Arial Unicode MS"/>
          <w:sz w:val="24"/>
          <w:szCs w:val="24"/>
          <w:u w:color="000000"/>
        </w:rPr>
      </w:pPr>
    </w:p>
    <w:p w:rsidR="002F6447" w:rsidP="002F6447" w:rsidRDefault="008021C0" w14:paraId="72551DD4" w14:textId="1BF4E3B0">
      <w:pPr>
        <w:ind w:left="720"/>
        <w:rPr>
          <w:rFonts w:eastAsia="Arial Unicode MS"/>
          <w:sz w:val="24"/>
          <w:szCs w:val="24"/>
          <w:u w:color="000000"/>
        </w:rPr>
      </w:pPr>
      <w:r>
        <w:rPr>
          <w:rFonts w:eastAsia="Arial Unicode MS"/>
          <w:sz w:val="24"/>
          <w:szCs w:val="24"/>
          <w:u w:color="000000"/>
        </w:rPr>
        <w:t xml:space="preserve">There are no equipment or overhead costs. </w:t>
      </w:r>
      <w:r w:rsidRPr="0072690B" w:rsidR="002F6447">
        <w:rPr>
          <w:rFonts w:eastAsia="Arial Unicode MS"/>
          <w:sz w:val="24"/>
          <w:szCs w:val="24"/>
          <w:u w:color="000000"/>
        </w:rPr>
        <w:t>The cost factors considered are related to routine procedures of the investigators in planning investigations; design, preparation, printing, and distribution of questionnaires; and editing, coding, tabulation, analysis, and presentation of the information. Th</w:t>
      </w:r>
      <w:r w:rsidRPr="006E754B" w:rsidR="002F6447">
        <w:rPr>
          <w:rFonts w:eastAsia="Arial Unicode MS"/>
          <w:sz w:val="24"/>
          <w:szCs w:val="24"/>
          <w:u w:color="000000"/>
        </w:rPr>
        <w:t>e annual cost is estimated based on the U.S. national average hourly wage for epidemiologists</w:t>
      </w:r>
      <w:r w:rsidR="002B00A1">
        <w:rPr>
          <w:rFonts w:eastAsia="Arial Unicode MS"/>
          <w:sz w:val="24"/>
          <w:szCs w:val="24"/>
          <w:u w:color="000000"/>
        </w:rPr>
        <w:t xml:space="preserve"> in </w:t>
      </w:r>
      <w:r w:rsidR="003B4E85">
        <w:rPr>
          <w:rFonts w:eastAsia="Arial Unicode MS"/>
          <w:sz w:val="24"/>
          <w:szCs w:val="24"/>
          <w:u w:color="000000"/>
        </w:rPr>
        <w:t>2019</w:t>
      </w:r>
      <w:r w:rsidRPr="006E754B" w:rsidR="003B4E85">
        <w:rPr>
          <w:rFonts w:eastAsia="Arial Unicode MS"/>
          <w:sz w:val="24"/>
          <w:szCs w:val="24"/>
          <w:u w:color="000000"/>
        </w:rPr>
        <w:t xml:space="preserve"> </w:t>
      </w:r>
      <w:r w:rsidRPr="006E754B" w:rsidR="002F6447">
        <w:rPr>
          <w:rFonts w:eastAsia="Arial Unicode MS"/>
          <w:sz w:val="24"/>
          <w:szCs w:val="24"/>
          <w:u w:color="000000"/>
        </w:rPr>
        <w:t>($</w:t>
      </w:r>
      <w:r w:rsidR="00E42377">
        <w:rPr>
          <w:rFonts w:eastAsia="Arial Unicode MS"/>
          <w:sz w:val="24"/>
          <w:szCs w:val="24"/>
          <w:u w:color="000000"/>
        </w:rPr>
        <w:t>3</w:t>
      </w:r>
      <w:r w:rsidR="00C34326">
        <w:rPr>
          <w:rFonts w:eastAsia="Arial Unicode MS"/>
          <w:sz w:val="24"/>
          <w:szCs w:val="24"/>
          <w:u w:color="000000"/>
        </w:rPr>
        <w:t>7</w:t>
      </w:r>
      <w:r w:rsidRPr="006E754B" w:rsidR="002F6447">
        <w:rPr>
          <w:rFonts w:eastAsia="Arial Unicode MS"/>
          <w:sz w:val="24"/>
          <w:szCs w:val="24"/>
          <w:u w:color="000000"/>
        </w:rPr>
        <w:t>.</w:t>
      </w:r>
      <w:r w:rsidR="00D85403">
        <w:rPr>
          <w:rFonts w:eastAsia="Arial Unicode MS"/>
          <w:sz w:val="24"/>
          <w:szCs w:val="24"/>
          <w:u w:color="000000"/>
        </w:rPr>
        <w:t>64</w:t>
      </w:r>
      <w:r w:rsidRPr="0072690B" w:rsidR="002F6447">
        <w:rPr>
          <w:rFonts w:eastAsia="Arial Unicode MS"/>
          <w:sz w:val="24"/>
          <w:szCs w:val="24"/>
          <w:u w:color="000000"/>
        </w:rPr>
        <w:t>)</w:t>
      </w:r>
      <w:r w:rsidR="00D004A7">
        <w:rPr>
          <w:rFonts w:eastAsia="Arial Unicode MS"/>
          <w:sz w:val="24"/>
          <w:szCs w:val="24"/>
          <w:u w:color="000000"/>
        </w:rPr>
        <w:t xml:space="preserve"> </w:t>
      </w:r>
      <w:r w:rsidR="00884221">
        <w:rPr>
          <w:rFonts w:eastAsia="Arial Unicode MS"/>
          <w:sz w:val="24"/>
          <w:szCs w:val="24"/>
          <w:u w:color="000000"/>
        </w:rPr>
        <w:t>based on data from the Bureau of Labor Statistics (available at</w:t>
      </w:r>
      <w:r w:rsidR="00D004A7">
        <w:rPr>
          <w:rFonts w:eastAsia="Arial Unicode MS"/>
          <w:sz w:val="24"/>
          <w:szCs w:val="24"/>
          <w:u w:color="000000"/>
        </w:rPr>
        <w:t xml:space="preserve"> </w:t>
      </w:r>
      <w:r w:rsidRPr="00C34326" w:rsidR="00C34326">
        <w:rPr>
          <w:rFonts w:eastAsia="Arial Unicode MS"/>
          <w:sz w:val="24"/>
          <w:szCs w:val="24"/>
          <w:u w:color="000000"/>
        </w:rPr>
        <w:t>https://www.bls.gov/oes/current/oes_nat.htm#00-0000</w:t>
      </w:r>
      <w:r w:rsidR="00D004A7">
        <w:rPr>
          <w:rFonts w:eastAsia="Arial Unicode MS"/>
          <w:sz w:val="24"/>
          <w:szCs w:val="24"/>
          <w:u w:color="000000"/>
        </w:rPr>
        <w:t xml:space="preserve">). </w:t>
      </w:r>
      <w:r w:rsidRPr="0057310B" w:rsidR="002F6447">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FA7520">
        <w:rPr>
          <w:rFonts w:eastAsia="Arial Unicode MS"/>
          <w:sz w:val="24"/>
          <w:szCs w:val="24"/>
          <w:u w:color="000000"/>
        </w:rPr>
        <w:t>200</w:t>
      </w:r>
      <w:r w:rsidR="00274FA8">
        <w:rPr>
          <w:rFonts w:eastAsia="Arial Unicode MS"/>
          <w:sz w:val="24"/>
          <w:szCs w:val="24"/>
          <w:u w:color="000000"/>
        </w:rPr>
        <w:t xml:space="preserve"> hours per </w:t>
      </w:r>
      <w:r w:rsidR="00E42377">
        <w:rPr>
          <w:rFonts w:eastAsia="Arial Unicode MS"/>
          <w:sz w:val="24"/>
          <w:szCs w:val="24"/>
          <w:u w:color="000000"/>
        </w:rPr>
        <w:t>DORI</w:t>
      </w:r>
      <w:r w:rsidRPr="0057310B" w:rsidR="002F6447">
        <w:rPr>
          <w:rFonts w:eastAsia="Arial Unicode MS"/>
          <w:sz w:val="24"/>
          <w:szCs w:val="24"/>
          <w:u w:color="000000"/>
        </w:rPr>
        <w:t xml:space="preserve">, </w:t>
      </w:r>
      <w:r w:rsidR="00113646">
        <w:rPr>
          <w:rFonts w:eastAsia="Arial Unicode MS"/>
          <w:sz w:val="24"/>
          <w:szCs w:val="24"/>
          <w:u w:color="000000"/>
        </w:rPr>
        <w:t xml:space="preserve">and CDC is </w:t>
      </w:r>
      <w:r w:rsidRPr="00B37A4A" w:rsidR="00113646">
        <w:rPr>
          <w:rFonts w:eastAsia="Arial Unicode MS"/>
          <w:sz w:val="24"/>
          <w:szCs w:val="24"/>
          <w:u w:color="000000"/>
        </w:rPr>
        <w:lastRenderedPageBreak/>
        <w:t xml:space="preserve">anticipated </w:t>
      </w:r>
      <w:r w:rsidR="00113646">
        <w:rPr>
          <w:rFonts w:eastAsia="Arial Unicode MS"/>
          <w:sz w:val="24"/>
          <w:szCs w:val="24"/>
          <w:u w:color="000000"/>
        </w:rPr>
        <w:t xml:space="preserve">an increase in the annual number of </w:t>
      </w:r>
      <w:r w:rsidRPr="00B37A4A" w:rsidR="00113646">
        <w:rPr>
          <w:rFonts w:eastAsia="Arial Unicode MS"/>
          <w:sz w:val="24"/>
          <w:szCs w:val="24"/>
          <w:u w:color="000000"/>
        </w:rPr>
        <w:t>DORIs</w:t>
      </w:r>
      <w:r w:rsidR="00113646">
        <w:rPr>
          <w:rFonts w:eastAsia="Arial Unicode MS"/>
          <w:sz w:val="24"/>
          <w:szCs w:val="24"/>
          <w:u w:color="000000"/>
        </w:rPr>
        <w:t xml:space="preserve"> </w:t>
      </w:r>
      <w:r w:rsidRPr="00B37A4A" w:rsidR="00113646">
        <w:rPr>
          <w:rFonts w:eastAsia="Arial Unicode MS"/>
          <w:sz w:val="24"/>
          <w:szCs w:val="24"/>
          <w:u w:color="000000"/>
        </w:rPr>
        <w:t xml:space="preserve">to 53 </w:t>
      </w:r>
      <w:r w:rsidR="00FA7520">
        <w:rPr>
          <w:rFonts w:eastAsia="Arial Unicode MS"/>
          <w:sz w:val="24"/>
          <w:szCs w:val="24"/>
          <w:u w:color="000000"/>
        </w:rPr>
        <w:t>f</w:t>
      </w:r>
      <w:r w:rsidRPr="0057310B" w:rsidR="002F6447">
        <w:rPr>
          <w:rFonts w:eastAsia="Arial Unicode MS"/>
          <w:sz w:val="24"/>
          <w:szCs w:val="24"/>
          <w:u w:color="000000"/>
        </w:rPr>
        <w:t>or a total annualized co</w:t>
      </w:r>
      <w:r w:rsidR="00733369">
        <w:rPr>
          <w:rFonts w:eastAsia="Arial Unicode MS"/>
          <w:sz w:val="24"/>
          <w:szCs w:val="24"/>
          <w:u w:color="000000"/>
        </w:rPr>
        <w:t>st to the Government of $</w:t>
      </w:r>
      <w:r w:rsidR="003B4E85">
        <w:rPr>
          <w:rFonts w:eastAsia="Arial Unicode MS"/>
          <w:sz w:val="24"/>
          <w:szCs w:val="24"/>
          <w:u w:color="000000"/>
        </w:rPr>
        <w:t>3</w:t>
      </w:r>
      <w:r w:rsidR="00397A20">
        <w:rPr>
          <w:rFonts w:eastAsia="Arial Unicode MS"/>
          <w:sz w:val="24"/>
          <w:szCs w:val="24"/>
          <w:u w:color="000000"/>
        </w:rPr>
        <w:t>9</w:t>
      </w:r>
      <w:r w:rsidR="003B4E85">
        <w:rPr>
          <w:rFonts w:eastAsia="Arial Unicode MS"/>
          <w:sz w:val="24"/>
          <w:szCs w:val="24"/>
          <w:u w:color="000000"/>
        </w:rPr>
        <w:t>8,</w:t>
      </w:r>
      <w:r w:rsidR="00397A20">
        <w:rPr>
          <w:rFonts w:eastAsia="Arial Unicode MS"/>
          <w:sz w:val="24"/>
          <w:szCs w:val="24"/>
          <w:u w:color="000000"/>
        </w:rPr>
        <w:t>984</w:t>
      </w:r>
      <w:r w:rsidR="00E42377">
        <w:rPr>
          <w:rFonts w:eastAsia="Arial Unicode MS"/>
          <w:sz w:val="24"/>
          <w:szCs w:val="24"/>
          <w:u w:color="000000"/>
        </w:rPr>
        <w:t xml:space="preserve"> </w:t>
      </w:r>
      <w:r w:rsidR="00733369">
        <w:rPr>
          <w:rFonts w:eastAsia="Arial Unicode MS"/>
          <w:sz w:val="24"/>
          <w:szCs w:val="24"/>
          <w:u w:color="000000"/>
        </w:rPr>
        <w:t>(</w:t>
      </w:r>
      <w:r w:rsidR="00F07F10">
        <w:rPr>
          <w:rFonts w:eastAsia="Arial Unicode MS"/>
          <w:sz w:val="24"/>
          <w:szCs w:val="24"/>
          <w:u w:color="000000"/>
        </w:rPr>
        <w:t>see Table A-14.1)</w:t>
      </w:r>
      <w:r w:rsidRPr="0057310B" w:rsidR="002F6447">
        <w:rPr>
          <w:rFonts w:eastAsia="Arial Unicode MS"/>
          <w:sz w:val="24"/>
          <w:szCs w:val="24"/>
          <w:u w:color="000000"/>
        </w:rPr>
        <w:t>.</w:t>
      </w:r>
    </w:p>
    <w:p w:rsidR="00F07F10" w:rsidP="002F6447" w:rsidRDefault="00F07F10" w14:paraId="466637AA" w14:textId="77777777">
      <w:pPr>
        <w:ind w:left="720"/>
        <w:rPr>
          <w:rFonts w:eastAsia="Arial Unicode MS"/>
          <w:sz w:val="24"/>
          <w:szCs w:val="24"/>
          <w:u w:color="000000"/>
        </w:rPr>
      </w:pPr>
    </w:p>
    <w:p w:rsidR="002E2629" w:rsidP="002F6447" w:rsidRDefault="002E2629" w14:paraId="5A725317" w14:textId="77777777">
      <w:pPr>
        <w:ind w:left="720"/>
        <w:rPr>
          <w:rFonts w:eastAsia="Arial Unicode MS"/>
          <w:sz w:val="24"/>
          <w:szCs w:val="24"/>
          <w:u w:color="000000"/>
        </w:rPr>
      </w:pPr>
      <w:r>
        <w:rPr>
          <w:rFonts w:eastAsia="Arial Unicode MS"/>
          <w:sz w:val="24"/>
          <w:szCs w:val="24"/>
          <w:u w:color="000000"/>
        </w:rPr>
        <w:t>Table A-14.1 Estimated Annualized Cost to the Government</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3"/>
        <w:gridCol w:w="1740"/>
        <w:gridCol w:w="1657"/>
        <w:gridCol w:w="1657"/>
        <w:gridCol w:w="1514"/>
      </w:tblGrid>
      <w:tr w:rsidRPr="00D55D38" w:rsidR="00113646" w:rsidTr="00AB34BA" w14:paraId="7E7F5EBB" w14:textId="77777777">
        <w:tc>
          <w:tcPr>
            <w:tcW w:w="1973" w:type="dxa"/>
            <w:shd w:val="clear" w:color="auto" w:fill="auto"/>
          </w:tcPr>
          <w:p w:rsidRPr="00D55D38" w:rsidR="00113646" w:rsidP="00F07F10" w:rsidRDefault="00113646" w14:paraId="6EEA8D7E" w14:textId="77777777">
            <w:pPr>
              <w:rPr>
                <w:rFonts w:eastAsia="Arial Unicode MS"/>
                <w:sz w:val="24"/>
                <w:szCs w:val="24"/>
                <w:u w:color="000000"/>
              </w:rPr>
            </w:pPr>
            <w:r w:rsidRPr="00D55D38">
              <w:rPr>
                <w:rFonts w:eastAsia="Arial Unicode MS"/>
                <w:sz w:val="24"/>
                <w:szCs w:val="24"/>
                <w:u w:color="000000"/>
              </w:rPr>
              <w:t>Staff or Contractor</w:t>
            </w:r>
          </w:p>
        </w:tc>
        <w:tc>
          <w:tcPr>
            <w:tcW w:w="1740" w:type="dxa"/>
            <w:shd w:val="clear" w:color="auto" w:fill="auto"/>
          </w:tcPr>
          <w:p w:rsidRPr="00D55D38" w:rsidR="00113646" w:rsidP="00E42377" w:rsidRDefault="00113646" w14:paraId="37430972" w14:textId="77777777">
            <w:pPr>
              <w:rPr>
                <w:rFonts w:eastAsia="Arial Unicode MS"/>
                <w:sz w:val="24"/>
                <w:szCs w:val="24"/>
                <w:u w:color="000000"/>
              </w:rPr>
            </w:pPr>
            <w:r w:rsidRPr="00D55D38">
              <w:rPr>
                <w:rFonts w:eastAsia="Arial Unicode MS"/>
                <w:sz w:val="24"/>
                <w:szCs w:val="24"/>
                <w:u w:color="000000"/>
              </w:rPr>
              <w:t xml:space="preserve">Average Hours per </w:t>
            </w:r>
            <w:r>
              <w:rPr>
                <w:rFonts w:eastAsia="Arial Unicode MS"/>
                <w:sz w:val="24"/>
                <w:szCs w:val="24"/>
                <w:u w:color="000000"/>
              </w:rPr>
              <w:t>DORI</w:t>
            </w:r>
          </w:p>
        </w:tc>
        <w:tc>
          <w:tcPr>
            <w:tcW w:w="1657" w:type="dxa"/>
          </w:tcPr>
          <w:p w:rsidRPr="00D55D38" w:rsidR="00113646" w:rsidP="002F6447" w:rsidRDefault="00113646" w14:paraId="6EB40427" w14:textId="080396E6">
            <w:pPr>
              <w:rPr>
                <w:rFonts w:eastAsia="Arial Unicode MS"/>
                <w:sz w:val="24"/>
                <w:szCs w:val="24"/>
                <w:u w:color="000000"/>
              </w:rPr>
            </w:pPr>
            <w:r w:rsidRPr="00D55D38">
              <w:rPr>
                <w:rFonts w:eastAsia="Arial Unicode MS"/>
                <w:sz w:val="24"/>
                <w:szCs w:val="24"/>
                <w:u w:color="000000"/>
              </w:rPr>
              <w:t xml:space="preserve">Average </w:t>
            </w:r>
            <w:r>
              <w:rPr>
                <w:rFonts w:eastAsia="Arial Unicode MS"/>
                <w:sz w:val="24"/>
                <w:szCs w:val="24"/>
                <w:u w:color="000000"/>
              </w:rPr>
              <w:t>Annual DORI requests</w:t>
            </w:r>
          </w:p>
        </w:tc>
        <w:tc>
          <w:tcPr>
            <w:tcW w:w="1657" w:type="dxa"/>
            <w:shd w:val="clear" w:color="auto" w:fill="auto"/>
          </w:tcPr>
          <w:p w:rsidRPr="00D55D38" w:rsidR="00113646" w:rsidP="002F6447" w:rsidRDefault="00113646" w14:paraId="21CE18D5" w14:textId="02862131">
            <w:pPr>
              <w:rPr>
                <w:rFonts w:eastAsia="Arial Unicode MS"/>
                <w:sz w:val="24"/>
                <w:szCs w:val="24"/>
                <w:u w:color="000000"/>
              </w:rPr>
            </w:pPr>
            <w:r w:rsidRPr="00D55D38">
              <w:rPr>
                <w:rFonts w:eastAsia="Arial Unicode MS"/>
                <w:sz w:val="24"/>
                <w:szCs w:val="24"/>
                <w:u w:color="000000"/>
              </w:rPr>
              <w:t>Average Hourly Rate</w:t>
            </w:r>
          </w:p>
        </w:tc>
        <w:tc>
          <w:tcPr>
            <w:tcW w:w="1514" w:type="dxa"/>
            <w:shd w:val="clear" w:color="auto" w:fill="auto"/>
          </w:tcPr>
          <w:p w:rsidRPr="00D55D38" w:rsidR="00113646" w:rsidP="002F6447" w:rsidRDefault="00113646" w14:paraId="36232CED" w14:textId="77777777">
            <w:pPr>
              <w:rPr>
                <w:rFonts w:eastAsia="Arial Unicode MS"/>
                <w:sz w:val="24"/>
                <w:szCs w:val="24"/>
                <w:u w:color="000000"/>
              </w:rPr>
            </w:pPr>
            <w:r>
              <w:rPr>
                <w:rFonts w:eastAsia="Arial Unicode MS"/>
                <w:sz w:val="24"/>
                <w:szCs w:val="24"/>
                <w:u w:color="000000"/>
              </w:rPr>
              <w:t>Total Annualized Cost</w:t>
            </w:r>
          </w:p>
        </w:tc>
      </w:tr>
      <w:tr w:rsidRPr="00D55D38" w:rsidR="00113646" w:rsidTr="00AB34BA" w14:paraId="4EC3E4F9" w14:textId="77777777">
        <w:tc>
          <w:tcPr>
            <w:tcW w:w="1973" w:type="dxa"/>
            <w:shd w:val="clear" w:color="auto" w:fill="auto"/>
          </w:tcPr>
          <w:p w:rsidRPr="00D55D38" w:rsidR="00113646" w:rsidP="002F6447" w:rsidRDefault="00113646" w14:paraId="77621594" w14:textId="77777777">
            <w:pPr>
              <w:rPr>
                <w:rFonts w:eastAsia="Arial Unicode MS"/>
                <w:sz w:val="24"/>
                <w:szCs w:val="24"/>
                <w:u w:color="000000"/>
              </w:rPr>
            </w:pPr>
            <w:r>
              <w:rPr>
                <w:rFonts w:eastAsia="Arial Unicode MS"/>
                <w:sz w:val="24"/>
                <w:szCs w:val="24"/>
                <w:u w:color="000000"/>
              </w:rPr>
              <w:t>Epidemiologist</w:t>
            </w:r>
          </w:p>
        </w:tc>
        <w:tc>
          <w:tcPr>
            <w:tcW w:w="1740" w:type="dxa"/>
            <w:shd w:val="clear" w:color="auto" w:fill="auto"/>
          </w:tcPr>
          <w:p w:rsidRPr="00D55D38" w:rsidR="00113646" w:rsidP="002F6447" w:rsidRDefault="00113646" w14:paraId="08E2D378" w14:textId="77777777">
            <w:pPr>
              <w:rPr>
                <w:rFonts w:eastAsia="Arial Unicode MS"/>
                <w:sz w:val="24"/>
                <w:szCs w:val="24"/>
                <w:u w:color="000000"/>
              </w:rPr>
            </w:pPr>
            <w:r>
              <w:rPr>
                <w:rFonts w:eastAsia="Arial Unicode MS"/>
                <w:sz w:val="24"/>
                <w:szCs w:val="24"/>
                <w:u w:color="000000"/>
              </w:rPr>
              <w:t>200</w:t>
            </w:r>
          </w:p>
        </w:tc>
        <w:tc>
          <w:tcPr>
            <w:tcW w:w="1657" w:type="dxa"/>
          </w:tcPr>
          <w:p w:rsidR="00113646" w:rsidP="00D85403" w:rsidRDefault="00113646" w14:paraId="0A23CEA4" w14:textId="7334570B">
            <w:pPr>
              <w:rPr>
                <w:rFonts w:eastAsia="Arial Unicode MS"/>
                <w:sz w:val="24"/>
                <w:szCs w:val="24"/>
                <w:u w:color="000000"/>
              </w:rPr>
            </w:pPr>
            <w:r>
              <w:rPr>
                <w:rFonts w:eastAsia="Arial Unicode MS"/>
                <w:sz w:val="24"/>
                <w:szCs w:val="24"/>
                <w:u w:color="000000"/>
              </w:rPr>
              <w:t>53</w:t>
            </w:r>
          </w:p>
        </w:tc>
        <w:tc>
          <w:tcPr>
            <w:tcW w:w="1657" w:type="dxa"/>
            <w:shd w:val="clear" w:color="auto" w:fill="auto"/>
          </w:tcPr>
          <w:p w:rsidRPr="00D55D38" w:rsidR="00113646" w:rsidP="00D85403" w:rsidRDefault="00113646" w14:paraId="00D74A16" w14:textId="0B104495">
            <w:pPr>
              <w:rPr>
                <w:rFonts w:eastAsia="Arial Unicode MS"/>
                <w:sz w:val="24"/>
                <w:szCs w:val="24"/>
                <w:u w:color="000000"/>
              </w:rPr>
            </w:pPr>
            <w:r>
              <w:rPr>
                <w:rFonts w:eastAsia="Arial Unicode MS"/>
                <w:sz w:val="24"/>
                <w:szCs w:val="24"/>
                <w:u w:color="000000"/>
              </w:rPr>
              <w:t>$37.64</w:t>
            </w:r>
          </w:p>
        </w:tc>
        <w:tc>
          <w:tcPr>
            <w:tcW w:w="1514" w:type="dxa"/>
            <w:shd w:val="clear" w:color="auto" w:fill="auto"/>
          </w:tcPr>
          <w:p w:rsidRPr="00D55D38" w:rsidR="00113646" w:rsidP="003B4E85" w:rsidRDefault="00113646" w14:paraId="1EDE3C81" w14:textId="2152BB9C">
            <w:pPr>
              <w:rPr>
                <w:rFonts w:eastAsia="Arial Unicode MS"/>
                <w:sz w:val="24"/>
                <w:szCs w:val="24"/>
                <w:u w:color="000000"/>
              </w:rPr>
            </w:pPr>
            <w:r>
              <w:rPr>
                <w:rFonts w:eastAsia="Arial Unicode MS"/>
                <w:sz w:val="24"/>
                <w:szCs w:val="24"/>
                <w:u w:color="000000"/>
              </w:rPr>
              <w:t>$398,984</w:t>
            </w:r>
          </w:p>
        </w:tc>
      </w:tr>
    </w:tbl>
    <w:p w:rsidR="00F07F10" w:rsidP="002F6447" w:rsidRDefault="00F07F10" w14:paraId="4C340291" w14:textId="77777777">
      <w:pPr>
        <w:ind w:left="720"/>
        <w:rPr>
          <w:rFonts w:eastAsia="Arial Unicode MS"/>
          <w:sz w:val="24"/>
          <w:szCs w:val="24"/>
          <w:u w:color="000000"/>
        </w:rPr>
      </w:pPr>
    </w:p>
    <w:p w:rsidRPr="0072690B" w:rsidR="001A3A81" w:rsidP="00CE0640" w:rsidRDefault="001A3A81" w14:paraId="025353EA" w14:textId="77777777">
      <w:pPr>
        <w:ind w:left="720"/>
        <w:rPr>
          <w:rFonts w:eastAsia="Arial Unicode MS"/>
          <w:sz w:val="24"/>
          <w:szCs w:val="24"/>
          <w:u w:color="000000"/>
        </w:rPr>
      </w:pPr>
    </w:p>
    <w:p w:rsidRPr="00B651A5" w:rsidR="001A3A81" w:rsidP="00B651A5" w:rsidRDefault="00A93394" w14:paraId="51C6E650"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Pr="00B651A5" w:rsidR="001A3A81">
        <w:rPr>
          <w:rFonts w:eastAsia="Arial Unicode MS"/>
          <w:b/>
          <w:sz w:val="24"/>
          <w:szCs w:val="24"/>
          <w:u w:color="000000"/>
        </w:rPr>
        <w:t>Explanation for Program Changes or Adjustments</w:t>
      </w:r>
    </w:p>
    <w:p w:rsidR="001A3A81" w:rsidP="00B651A5" w:rsidRDefault="001A3A81" w14:paraId="567E6EA5" w14:textId="77777777">
      <w:pPr>
        <w:rPr>
          <w:rFonts w:eastAsia="Arial Unicode MS"/>
          <w:sz w:val="24"/>
          <w:szCs w:val="24"/>
          <w:u w:color="000000"/>
        </w:rPr>
      </w:pPr>
    </w:p>
    <w:p w:rsidR="00580166" w:rsidP="00253BDB" w:rsidRDefault="00D75048" w14:paraId="4B6789C8" w14:textId="1362FA90">
      <w:pPr>
        <w:pStyle w:val="Body1"/>
        <w:ind w:left="720"/>
        <w:rPr>
          <w:szCs w:val="24"/>
        </w:rPr>
      </w:pPr>
      <w:r w:rsidRPr="00D75048">
        <w:rPr>
          <w:szCs w:val="24"/>
        </w:rPr>
        <w:t>Th</w:t>
      </w:r>
      <w:r w:rsidR="009C6B07">
        <w:rPr>
          <w:szCs w:val="24"/>
        </w:rPr>
        <w:t>ere are no</w:t>
      </w:r>
      <w:r w:rsidR="00214C37">
        <w:rPr>
          <w:szCs w:val="24"/>
        </w:rPr>
        <w:t xml:space="preserve"> major</w:t>
      </w:r>
      <w:r w:rsidR="009C6B07">
        <w:rPr>
          <w:szCs w:val="24"/>
        </w:rPr>
        <w:t xml:space="preserve"> changes requested for this</w:t>
      </w:r>
      <w:r w:rsidRPr="00D75048">
        <w:rPr>
          <w:szCs w:val="24"/>
        </w:rPr>
        <w:t xml:space="preserve"> data collection</w:t>
      </w:r>
      <w:r w:rsidR="0009052E">
        <w:rPr>
          <w:szCs w:val="24"/>
        </w:rPr>
        <w:t xml:space="preserve"> since the </w:t>
      </w:r>
      <w:r w:rsidR="00882864">
        <w:rPr>
          <w:szCs w:val="24"/>
        </w:rPr>
        <w:t>original request is still applicable</w:t>
      </w:r>
      <w:r w:rsidR="009C6B07">
        <w:rPr>
          <w:szCs w:val="24"/>
        </w:rPr>
        <w:t xml:space="preserve">. </w:t>
      </w:r>
      <w:r w:rsidR="00882864">
        <w:rPr>
          <w:szCs w:val="24"/>
        </w:rPr>
        <w:t xml:space="preserve">As stated, </w:t>
      </w:r>
      <w:r w:rsidR="00214C37">
        <w:rPr>
          <w:szCs w:val="24"/>
        </w:rPr>
        <w:t>overdose deaths continue to rise and information about the substances involved, associated drivers and risk factors, and groups most affected is still urgently needed to inform timely responses to control a local overdose epidemic. Further</w:t>
      </w:r>
      <w:r w:rsidR="00C9029C">
        <w:rPr>
          <w:szCs w:val="24"/>
        </w:rPr>
        <w:t>,</w:t>
      </w:r>
      <w:r w:rsidR="00214C37">
        <w:rPr>
          <w:szCs w:val="24"/>
        </w:rPr>
        <w:t xml:space="preserve"> </w:t>
      </w:r>
      <w:proofErr w:type="gramStart"/>
      <w:r w:rsidR="00214C37">
        <w:rPr>
          <w:szCs w:val="24"/>
        </w:rPr>
        <w:t>as a result of</w:t>
      </w:r>
      <w:proofErr w:type="gramEnd"/>
      <w:r w:rsidR="00214C37">
        <w:rPr>
          <w:szCs w:val="24"/>
        </w:rPr>
        <w:t xml:space="preserve"> its expanded overdose surveillance and prevention work</w:t>
      </w:r>
      <w:r w:rsidR="00F76C8C">
        <w:rPr>
          <w:szCs w:val="24"/>
        </w:rPr>
        <w:t>, NCIPC anticipates many more state</w:t>
      </w:r>
      <w:r w:rsidR="00774055">
        <w:rPr>
          <w:szCs w:val="24"/>
        </w:rPr>
        <w:t xml:space="preserve"> and local</w:t>
      </w:r>
      <w:r w:rsidR="00F76C8C">
        <w:rPr>
          <w:szCs w:val="24"/>
        </w:rPr>
        <w:t xml:space="preserve"> requests</w:t>
      </w:r>
      <w:r w:rsidR="003F1050">
        <w:rPr>
          <w:szCs w:val="24"/>
        </w:rPr>
        <w:t xml:space="preserve">; </w:t>
      </w:r>
      <w:r w:rsidR="00104578">
        <w:rPr>
          <w:szCs w:val="24"/>
        </w:rPr>
        <w:t>it already</w:t>
      </w:r>
      <w:r w:rsidR="003F1050">
        <w:rPr>
          <w:szCs w:val="24"/>
        </w:rPr>
        <w:t xml:space="preserve"> counts on </w:t>
      </w:r>
      <w:r w:rsidR="00F76C8C">
        <w:rPr>
          <w:szCs w:val="24"/>
        </w:rPr>
        <w:t xml:space="preserve">increased staff capacity to respond to such requests. </w:t>
      </w:r>
      <w:r w:rsidRPr="00AA243A" w:rsidR="00AA243A">
        <w:rPr>
          <w:szCs w:val="24"/>
        </w:rPr>
        <w:t xml:space="preserve"> </w:t>
      </w:r>
    </w:p>
    <w:p w:rsidR="00774055" w:rsidP="00A7199A" w:rsidRDefault="00774055" w14:paraId="37F0C148" w14:textId="77777777">
      <w:pPr>
        <w:pStyle w:val="Body1"/>
        <w:rPr>
          <w:szCs w:val="24"/>
        </w:rPr>
      </w:pPr>
    </w:p>
    <w:p w:rsidR="00774055" w:rsidP="00774055" w:rsidRDefault="00B94971" w14:paraId="2A33A5F3" w14:textId="344ED3C2">
      <w:pPr>
        <w:pStyle w:val="Body1"/>
        <w:ind w:left="720"/>
        <w:rPr>
          <w:szCs w:val="24"/>
        </w:rPr>
      </w:pPr>
      <w:r>
        <w:rPr>
          <w:szCs w:val="24"/>
        </w:rPr>
        <w:t xml:space="preserve">There are two minor changes, however, in anticipation of </w:t>
      </w:r>
      <w:r w:rsidR="003F1050">
        <w:rPr>
          <w:szCs w:val="24"/>
        </w:rPr>
        <w:t>receiving</w:t>
      </w:r>
      <w:r>
        <w:rPr>
          <w:szCs w:val="24"/>
        </w:rPr>
        <w:t xml:space="preserve"> </w:t>
      </w:r>
      <w:r w:rsidR="003F1050">
        <w:rPr>
          <w:szCs w:val="24"/>
        </w:rPr>
        <w:t>more</w:t>
      </w:r>
      <w:r>
        <w:rPr>
          <w:szCs w:val="24"/>
        </w:rPr>
        <w:t xml:space="preserve"> requests</w:t>
      </w:r>
      <w:r w:rsidR="0016553C">
        <w:rPr>
          <w:szCs w:val="24"/>
        </w:rPr>
        <w:t>:</w:t>
      </w:r>
      <w:r w:rsidDel="0016553C" w:rsidR="0016553C">
        <w:rPr>
          <w:szCs w:val="24"/>
        </w:rPr>
        <w:t xml:space="preserve"> </w:t>
      </w:r>
    </w:p>
    <w:p w:rsidR="00774055" w:rsidP="00774055" w:rsidRDefault="00774055" w14:paraId="1A7216FF" w14:textId="77777777">
      <w:pPr>
        <w:pStyle w:val="Body1"/>
        <w:ind w:left="720"/>
        <w:rPr>
          <w:szCs w:val="24"/>
        </w:rPr>
      </w:pPr>
    </w:p>
    <w:p w:rsidR="00774055" w:rsidP="00A7199A" w:rsidRDefault="00774055" w14:paraId="3FEDD921" w14:textId="0A4FDCF2">
      <w:pPr>
        <w:pStyle w:val="Body1"/>
        <w:numPr>
          <w:ilvl w:val="1"/>
          <w:numId w:val="31"/>
        </w:numPr>
        <w:rPr>
          <w:szCs w:val="24"/>
        </w:rPr>
      </w:pPr>
      <w:r>
        <w:rPr>
          <w:szCs w:val="24"/>
        </w:rPr>
        <w:t>T</w:t>
      </w:r>
      <w:r w:rsidRPr="00A53001">
        <w:rPr>
          <w:szCs w:val="24"/>
        </w:rPr>
        <w:t>he types of authorities that can request data collection</w:t>
      </w:r>
      <w:r>
        <w:rPr>
          <w:szCs w:val="24"/>
        </w:rPr>
        <w:t xml:space="preserve"> were expanded to include any public agency</w:t>
      </w:r>
      <w:r w:rsidR="00A7199A">
        <w:rPr>
          <w:szCs w:val="24"/>
        </w:rPr>
        <w:t xml:space="preserve">, which would include </w:t>
      </w:r>
      <w:r>
        <w:rPr>
          <w:szCs w:val="24"/>
        </w:rPr>
        <w:t xml:space="preserve">health </w:t>
      </w:r>
      <w:r w:rsidR="00C9029C">
        <w:rPr>
          <w:szCs w:val="24"/>
        </w:rPr>
        <w:t>authorities</w:t>
      </w:r>
      <w:r>
        <w:rPr>
          <w:szCs w:val="24"/>
        </w:rPr>
        <w:t>, law enforcement agencies</w:t>
      </w:r>
      <w:r w:rsidR="00A7199A">
        <w:rPr>
          <w:szCs w:val="24"/>
        </w:rPr>
        <w:t>, and other public safety partners</w:t>
      </w:r>
      <w:r>
        <w:rPr>
          <w:szCs w:val="24"/>
        </w:rPr>
        <w:t xml:space="preserve">. </w:t>
      </w:r>
      <w:r w:rsidRPr="00A53001">
        <w:rPr>
          <w:szCs w:val="24"/>
        </w:rPr>
        <w:t xml:space="preserve">NCIPC increasingly works with public safety as one of its main pillars of overdose prevention and through that work has learned that public safety authorities </w:t>
      </w:r>
      <w:r w:rsidR="004F4EE8">
        <w:rPr>
          <w:szCs w:val="24"/>
        </w:rPr>
        <w:t>are increasingly t</w:t>
      </w:r>
      <w:r w:rsidR="00B94971">
        <w:rPr>
          <w:szCs w:val="24"/>
        </w:rPr>
        <w:t>racking overdoses</w:t>
      </w:r>
      <w:r w:rsidR="004F4EE8">
        <w:rPr>
          <w:szCs w:val="24"/>
        </w:rPr>
        <w:t>,</w:t>
      </w:r>
      <w:r w:rsidR="00B94971">
        <w:rPr>
          <w:szCs w:val="24"/>
        </w:rPr>
        <w:t xml:space="preserve"> and in the event of </w:t>
      </w:r>
      <w:r w:rsidR="004F4EE8">
        <w:rPr>
          <w:szCs w:val="24"/>
        </w:rPr>
        <w:t xml:space="preserve">an </w:t>
      </w:r>
      <w:r w:rsidR="00B94971">
        <w:rPr>
          <w:szCs w:val="24"/>
        </w:rPr>
        <w:t xml:space="preserve">overdose spike, </w:t>
      </w:r>
      <w:r w:rsidR="00C9029C">
        <w:rPr>
          <w:szCs w:val="24"/>
        </w:rPr>
        <w:t>in need of assistance to</w:t>
      </w:r>
      <w:r w:rsidR="004F4EE8">
        <w:rPr>
          <w:szCs w:val="24"/>
        </w:rPr>
        <w:t xml:space="preserve"> </w:t>
      </w:r>
      <w:r w:rsidR="00C9029C">
        <w:rPr>
          <w:szCs w:val="24"/>
        </w:rPr>
        <w:t>understand</w:t>
      </w:r>
      <w:r w:rsidR="004F4EE8">
        <w:rPr>
          <w:szCs w:val="24"/>
        </w:rPr>
        <w:t xml:space="preserve"> </w:t>
      </w:r>
      <w:r w:rsidR="00253BDB">
        <w:rPr>
          <w:szCs w:val="24"/>
        </w:rPr>
        <w:t>the associated</w:t>
      </w:r>
      <w:r w:rsidR="004F4EE8">
        <w:rPr>
          <w:szCs w:val="24"/>
        </w:rPr>
        <w:t xml:space="preserve"> driver</w:t>
      </w:r>
      <w:r w:rsidR="00253BDB">
        <w:rPr>
          <w:szCs w:val="24"/>
        </w:rPr>
        <w:t>s</w:t>
      </w:r>
      <w:r w:rsidR="004F4EE8">
        <w:rPr>
          <w:szCs w:val="24"/>
        </w:rPr>
        <w:t xml:space="preserve">, risk factors, and affected populations, so they can tailor response efforts accordingly. </w:t>
      </w:r>
    </w:p>
    <w:p w:rsidRPr="00A53001" w:rsidR="00774055" w:rsidP="00774055" w:rsidRDefault="00774055" w14:paraId="22AFADDE" w14:textId="77777777">
      <w:pPr>
        <w:pStyle w:val="Body1"/>
        <w:ind w:left="1440"/>
        <w:rPr>
          <w:szCs w:val="24"/>
        </w:rPr>
      </w:pPr>
    </w:p>
    <w:p w:rsidR="00774055" w:rsidP="00774055" w:rsidRDefault="00774055" w14:paraId="48ADE02F" w14:textId="4018A2B1">
      <w:pPr>
        <w:pStyle w:val="Body1"/>
        <w:numPr>
          <w:ilvl w:val="1"/>
          <w:numId w:val="31"/>
        </w:numPr>
        <w:rPr>
          <w:szCs w:val="24"/>
        </w:rPr>
      </w:pPr>
      <w:r w:rsidRPr="00B37A4A">
        <w:rPr>
          <w:color w:val="auto"/>
          <w:szCs w:val="24"/>
        </w:rPr>
        <w:t xml:space="preserve">The anticipated </w:t>
      </w:r>
      <w:r w:rsidR="00874291">
        <w:rPr>
          <w:color w:val="auto"/>
          <w:szCs w:val="24"/>
        </w:rPr>
        <w:t xml:space="preserve">annual </w:t>
      </w:r>
      <w:r w:rsidRPr="00B37A4A">
        <w:rPr>
          <w:color w:val="auto"/>
          <w:szCs w:val="24"/>
        </w:rPr>
        <w:t>number of DORIs was increased</w:t>
      </w:r>
      <w:r w:rsidRPr="00B37A4A" w:rsidR="00FB2CA1">
        <w:rPr>
          <w:color w:val="auto"/>
          <w:szCs w:val="24"/>
        </w:rPr>
        <w:t xml:space="preserve"> to</w:t>
      </w:r>
      <w:r w:rsidRPr="00B37A4A">
        <w:rPr>
          <w:color w:val="auto"/>
          <w:szCs w:val="24"/>
        </w:rPr>
        <w:t xml:space="preserve"> </w:t>
      </w:r>
      <w:r w:rsidRPr="00B37A4A" w:rsidR="00ED6C24">
        <w:rPr>
          <w:color w:val="auto"/>
          <w:szCs w:val="24"/>
        </w:rPr>
        <w:t>5</w:t>
      </w:r>
      <w:r w:rsidRPr="00B37A4A" w:rsidR="00F2229F">
        <w:rPr>
          <w:color w:val="auto"/>
          <w:szCs w:val="24"/>
        </w:rPr>
        <w:t>3</w:t>
      </w:r>
      <w:r w:rsidRPr="00B37A4A" w:rsidR="0016553C">
        <w:rPr>
          <w:color w:val="auto"/>
          <w:szCs w:val="24"/>
        </w:rPr>
        <w:t xml:space="preserve"> to accommodate </w:t>
      </w:r>
      <w:r w:rsidRPr="00B37A4A" w:rsidR="004F4EE8">
        <w:rPr>
          <w:color w:val="auto"/>
          <w:szCs w:val="24"/>
        </w:rPr>
        <w:t xml:space="preserve">the </w:t>
      </w:r>
      <w:r w:rsidRPr="00B37A4A" w:rsidR="0016553C">
        <w:rPr>
          <w:color w:val="auto"/>
          <w:szCs w:val="24"/>
        </w:rPr>
        <w:t>new request</w:t>
      </w:r>
      <w:r w:rsidRPr="00B37A4A">
        <w:rPr>
          <w:color w:val="auto"/>
          <w:szCs w:val="24"/>
        </w:rPr>
        <w:t xml:space="preserve">s </w:t>
      </w:r>
      <w:r w:rsidRPr="00B37A4A" w:rsidR="004F4EE8">
        <w:rPr>
          <w:color w:val="auto"/>
          <w:szCs w:val="24"/>
        </w:rPr>
        <w:t>NCIPC expects to receive from not only public safety agencies but also the other authorities funded through</w:t>
      </w:r>
      <w:r w:rsidRPr="00B37A4A">
        <w:rPr>
          <w:color w:val="auto"/>
          <w:szCs w:val="24"/>
        </w:rPr>
        <w:t xml:space="preserve"> </w:t>
      </w:r>
      <w:r w:rsidRPr="00B37A4A" w:rsidR="004F4EE8">
        <w:rPr>
          <w:color w:val="auto"/>
          <w:szCs w:val="24"/>
        </w:rPr>
        <w:t xml:space="preserve">its </w:t>
      </w:r>
      <w:r w:rsidRPr="00B37A4A" w:rsidR="00253BDB">
        <w:rPr>
          <w:color w:val="auto"/>
          <w:szCs w:val="24"/>
        </w:rPr>
        <w:t xml:space="preserve">other </w:t>
      </w:r>
      <w:r w:rsidRPr="00B37A4A">
        <w:rPr>
          <w:color w:val="auto"/>
          <w:szCs w:val="24"/>
        </w:rPr>
        <w:t xml:space="preserve">enhanced surveillance and prevention </w:t>
      </w:r>
      <w:r w:rsidRPr="00B37A4A" w:rsidR="00253BDB">
        <w:rPr>
          <w:color w:val="auto"/>
          <w:szCs w:val="24"/>
        </w:rPr>
        <w:t>activities</w:t>
      </w:r>
      <w:r w:rsidRPr="00B37A4A" w:rsidR="00E27F40">
        <w:rPr>
          <w:color w:val="auto"/>
          <w:szCs w:val="24"/>
        </w:rPr>
        <w:t xml:space="preserve">. </w:t>
      </w:r>
      <w:r w:rsidRPr="00B37A4A" w:rsidR="00C32E56">
        <w:rPr>
          <w:color w:val="auto"/>
          <w:szCs w:val="24"/>
        </w:rPr>
        <w:t xml:space="preserve">However, there is no change in the </w:t>
      </w:r>
      <w:r w:rsidRPr="00B37A4A" w:rsidR="00E27F40">
        <w:rPr>
          <w:color w:val="auto"/>
          <w:szCs w:val="24"/>
        </w:rPr>
        <w:t>burden hours</w:t>
      </w:r>
      <w:r w:rsidR="00E27F40">
        <w:rPr>
          <w:szCs w:val="24"/>
        </w:rPr>
        <w:t>.</w:t>
      </w:r>
    </w:p>
    <w:p w:rsidR="00774055" w:rsidP="00774055" w:rsidRDefault="00774055" w14:paraId="517E504D" w14:textId="77777777">
      <w:pPr>
        <w:pStyle w:val="Body1"/>
        <w:ind w:left="1440"/>
        <w:rPr>
          <w:szCs w:val="24"/>
        </w:rPr>
      </w:pPr>
    </w:p>
    <w:p w:rsidRPr="0072690B" w:rsidR="001A3A81" w:rsidP="00B651A5" w:rsidRDefault="001A3A81" w14:paraId="5E1D8F54" w14:textId="07746063">
      <w:pPr>
        <w:rPr>
          <w:rFonts w:eastAsia="Arial Unicode MS"/>
          <w:sz w:val="24"/>
          <w:szCs w:val="24"/>
          <w:u w:color="000000"/>
        </w:rPr>
      </w:pPr>
    </w:p>
    <w:p w:rsidRPr="00B651A5" w:rsidR="001A3A81" w:rsidP="00B651A5" w:rsidRDefault="00A1254A" w14:paraId="2F1062E8"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Pr="00B651A5" w:rsidR="001A3A81">
        <w:rPr>
          <w:rFonts w:eastAsia="Arial Unicode MS"/>
          <w:b/>
          <w:sz w:val="24"/>
          <w:szCs w:val="24"/>
          <w:u w:color="000000"/>
        </w:rPr>
        <w:t>Plans for Tabulation and Publication and Project Time Schedule</w:t>
      </w:r>
    </w:p>
    <w:p w:rsidRPr="0072690B" w:rsidR="001A3A81" w:rsidP="00B651A5" w:rsidRDefault="001A3A81" w14:paraId="22AF2C82" w14:textId="77777777">
      <w:pPr>
        <w:rPr>
          <w:rFonts w:eastAsia="Arial Unicode MS"/>
          <w:sz w:val="24"/>
          <w:szCs w:val="24"/>
          <w:u w:color="000000"/>
        </w:rPr>
      </w:pPr>
    </w:p>
    <w:p w:rsidR="00D11EB6" w:rsidP="00B651A5" w:rsidRDefault="001A3A81" w14:paraId="354B42FB" w14:textId="09689DFD">
      <w:pPr>
        <w:ind w:left="720"/>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w:t>
      </w:r>
      <w:r w:rsidR="00E42377">
        <w:rPr>
          <w:rFonts w:eastAsia="Arial Unicode MS"/>
          <w:sz w:val="24"/>
          <w:szCs w:val="24"/>
          <w:u w:color="000000"/>
        </w:rPr>
        <w:t xml:space="preserve">DORI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w:t>
      </w:r>
      <w:r w:rsidRPr="00E42377" w:rsidR="00F74281">
        <w:rPr>
          <w:rFonts w:eastAsia="Arial Unicode MS"/>
          <w:sz w:val="24"/>
          <w:szCs w:val="24"/>
          <w:u w:color="000000"/>
        </w:rPr>
        <w:t xml:space="preserve">effective public health response to </w:t>
      </w:r>
      <w:r w:rsidRPr="00E42377" w:rsidR="00E42377">
        <w:rPr>
          <w:sz w:val="24"/>
          <w:szCs w:val="24"/>
        </w:rPr>
        <w:t>drug use and misuse and associated fatal and nonfatal overdose</w:t>
      </w:r>
      <w:r w:rsidRPr="00E42377"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E42377">
        <w:rPr>
          <w:rFonts w:eastAsia="Arial Unicode MS"/>
          <w:sz w:val="24"/>
          <w:szCs w:val="24"/>
          <w:u w:color="000000"/>
        </w:rPr>
        <w:t xml:space="preserve">overdose </w:t>
      </w:r>
      <w:r w:rsidR="00F74281">
        <w:rPr>
          <w:rFonts w:eastAsia="Arial Unicode MS"/>
          <w:sz w:val="24"/>
          <w:szCs w:val="24"/>
          <w:u w:color="000000"/>
        </w:rPr>
        <w:t>event</w:t>
      </w:r>
      <w:r w:rsidR="00E42377">
        <w:rPr>
          <w:rFonts w:eastAsia="Arial Unicode MS"/>
          <w:sz w:val="24"/>
          <w:szCs w:val="24"/>
          <w:u w:color="000000"/>
        </w:rPr>
        <w:t>s</w:t>
      </w:r>
      <w:r w:rsidRPr="00232173">
        <w:rPr>
          <w:rFonts w:eastAsia="Arial Unicode MS"/>
          <w:sz w:val="24"/>
          <w:szCs w:val="24"/>
          <w:u w:color="000000"/>
        </w:rPr>
        <w:t xml:space="preserve"> </w:t>
      </w:r>
      <w:r w:rsidRPr="006E754B">
        <w:rPr>
          <w:rFonts w:eastAsia="Arial Unicode MS"/>
          <w:sz w:val="24"/>
          <w:szCs w:val="24"/>
          <w:u w:color="000000"/>
        </w:rPr>
        <w:t xml:space="preserve">is critical to the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w:t>
      </w:r>
      <w:r w:rsidR="00E42377">
        <w:rPr>
          <w:rFonts w:eastAsia="Arial Unicode MS"/>
          <w:sz w:val="24"/>
          <w:szCs w:val="24"/>
          <w:u w:color="000000"/>
        </w:rPr>
        <w:t>DORI</w:t>
      </w:r>
      <w:r w:rsidR="00D11EB6">
        <w:rPr>
          <w:rFonts w:eastAsia="Arial Unicode MS"/>
          <w:sz w:val="24"/>
          <w:szCs w:val="24"/>
          <w:u w:color="000000"/>
        </w:rPr>
        <w:t xml:space="preserve">.  </w:t>
      </w:r>
    </w:p>
    <w:p w:rsidR="000B6993" w:rsidP="00B651A5" w:rsidRDefault="000B6993" w14:paraId="0D8197C7" w14:textId="3FA86EDB">
      <w:pPr>
        <w:ind w:left="720"/>
        <w:rPr>
          <w:rFonts w:eastAsia="Arial Unicode MS"/>
          <w:sz w:val="24"/>
          <w:szCs w:val="24"/>
          <w:u w:color="000000"/>
        </w:rPr>
      </w:pPr>
    </w:p>
    <w:p w:rsidR="000B6993" w:rsidP="00B651A5" w:rsidRDefault="000B6993" w14:paraId="3BB19EED" w14:textId="77777777">
      <w:pPr>
        <w:ind w:left="720"/>
        <w:rPr>
          <w:rFonts w:eastAsia="Arial Unicode MS"/>
          <w:sz w:val="24"/>
          <w:szCs w:val="24"/>
          <w:u w:color="000000"/>
        </w:rPr>
      </w:pPr>
    </w:p>
    <w:p w:rsidR="00D11EB6" w:rsidP="00B651A5" w:rsidRDefault="00D11EB6" w14:paraId="2355632A" w14:textId="77777777">
      <w:pPr>
        <w:ind w:left="720"/>
        <w:rPr>
          <w:rFonts w:eastAsia="Arial Unicode MS"/>
          <w:sz w:val="24"/>
          <w:szCs w:val="24"/>
          <w:u w:color="000000"/>
        </w:rPr>
      </w:pPr>
    </w:p>
    <w:tbl>
      <w:tblPr>
        <w:tblStyle w:val="TableGrid"/>
        <w:tblW w:w="8545" w:type="dxa"/>
        <w:tblInd w:w="720" w:type="dxa"/>
        <w:tblLook w:val="04A0" w:firstRow="1" w:lastRow="0" w:firstColumn="1" w:lastColumn="0" w:noHBand="0" w:noVBand="1"/>
      </w:tblPr>
      <w:tblGrid>
        <w:gridCol w:w="4585"/>
        <w:gridCol w:w="3960"/>
      </w:tblGrid>
      <w:tr w:rsidR="003F1050" w:rsidTr="003F1050" w14:paraId="68F332CF" w14:textId="22039AA9">
        <w:trPr>
          <w:trHeight w:val="238"/>
        </w:trPr>
        <w:tc>
          <w:tcPr>
            <w:tcW w:w="8545" w:type="dxa"/>
            <w:gridSpan w:val="2"/>
          </w:tcPr>
          <w:p w:rsidRPr="00D11EB6" w:rsidR="003F1050" w:rsidP="00B651A5" w:rsidRDefault="003F1050" w14:paraId="1DC9FCC7" w14:textId="77777777">
            <w:pPr>
              <w:rPr>
                <w:rFonts w:eastAsia="Arial Unicode MS"/>
                <w:b/>
                <w:sz w:val="24"/>
                <w:szCs w:val="24"/>
                <w:u w:color="000000"/>
              </w:rPr>
            </w:pPr>
            <w:r w:rsidRPr="00D11EB6">
              <w:rPr>
                <w:rFonts w:eastAsia="Arial Unicode MS"/>
                <w:b/>
                <w:sz w:val="24"/>
                <w:szCs w:val="24"/>
                <w:u w:color="000000"/>
              </w:rPr>
              <w:lastRenderedPageBreak/>
              <w:t>Project Time Schedule</w:t>
            </w:r>
          </w:p>
        </w:tc>
      </w:tr>
      <w:tr w:rsidR="003F1050" w:rsidTr="003F1050" w14:paraId="58A3A5DE" w14:textId="63CC6DA0">
        <w:trPr>
          <w:trHeight w:val="238"/>
        </w:trPr>
        <w:tc>
          <w:tcPr>
            <w:tcW w:w="4585" w:type="dxa"/>
          </w:tcPr>
          <w:p w:rsidR="003F1050" w:rsidP="00D11EB6" w:rsidRDefault="003F1050" w14:paraId="54F12B34" w14:textId="77777777">
            <w:pPr>
              <w:jc w:val="center"/>
              <w:rPr>
                <w:rFonts w:eastAsia="Arial Unicode MS"/>
                <w:sz w:val="24"/>
                <w:szCs w:val="24"/>
                <w:u w:color="000000"/>
              </w:rPr>
            </w:pPr>
            <w:r>
              <w:rPr>
                <w:rFonts w:eastAsia="Arial Unicode MS"/>
                <w:sz w:val="24"/>
                <w:szCs w:val="24"/>
                <w:u w:color="000000"/>
              </w:rPr>
              <w:t>Activity</w:t>
            </w:r>
          </w:p>
        </w:tc>
        <w:tc>
          <w:tcPr>
            <w:tcW w:w="3960" w:type="dxa"/>
          </w:tcPr>
          <w:p w:rsidR="003F1050" w:rsidP="00DB1E95" w:rsidRDefault="003F1050" w14:paraId="43135B55" w14:textId="30CFAB5A">
            <w:pPr>
              <w:jc w:val="center"/>
              <w:rPr>
                <w:rFonts w:eastAsia="Arial Unicode MS"/>
                <w:sz w:val="24"/>
                <w:szCs w:val="24"/>
                <w:u w:color="000000"/>
              </w:rPr>
            </w:pPr>
            <w:r>
              <w:rPr>
                <w:rFonts w:eastAsia="Arial Unicode MS"/>
                <w:sz w:val="24"/>
                <w:szCs w:val="24"/>
                <w:u w:color="000000"/>
              </w:rPr>
              <w:t>Time Schedule</w:t>
            </w:r>
          </w:p>
        </w:tc>
      </w:tr>
      <w:tr w:rsidR="003F1050" w:rsidTr="003F1050" w14:paraId="2817D89A" w14:textId="0D03ED32">
        <w:trPr>
          <w:trHeight w:val="475"/>
        </w:trPr>
        <w:tc>
          <w:tcPr>
            <w:tcW w:w="4585" w:type="dxa"/>
          </w:tcPr>
          <w:p w:rsidR="003F1050" w:rsidP="000A5D5D" w:rsidRDefault="003F1050" w14:paraId="191F1542" w14:textId="21A16639">
            <w:pPr>
              <w:rPr>
                <w:rFonts w:eastAsia="Arial Unicode MS"/>
                <w:sz w:val="24"/>
                <w:szCs w:val="24"/>
                <w:u w:color="000000"/>
              </w:rPr>
            </w:pPr>
            <w:r>
              <w:rPr>
                <w:rFonts w:eastAsia="Arial Unicode MS"/>
                <w:sz w:val="24"/>
                <w:szCs w:val="24"/>
                <w:u w:color="000000"/>
              </w:rPr>
              <w:t xml:space="preserve">Letter received from public agency requesting assistance </w:t>
            </w:r>
          </w:p>
        </w:tc>
        <w:tc>
          <w:tcPr>
            <w:tcW w:w="3960" w:type="dxa"/>
          </w:tcPr>
          <w:p w:rsidR="003F1050" w:rsidP="00E42377" w:rsidRDefault="003F1050" w14:paraId="587F561F" w14:textId="77777777">
            <w:pPr>
              <w:rPr>
                <w:rFonts w:eastAsia="Arial Unicode MS"/>
                <w:sz w:val="24"/>
                <w:szCs w:val="24"/>
                <w:u w:color="000000"/>
              </w:rPr>
            </w:pPr>
            <w:r>
              <w:rPr>
                <w:rFonts w:eastAsia="Arial Unicode MS"/>
                <w:sz w:val="24"/>
                <w:szCs w:val="24"/>
                <w:u w:color="000000"/>
              </w:rPr>
              <w:t>Investigation initiation</w:t>
            </w:r>
          </w:p>
        </w:tc>
      </w:tr>
      <w:tr w:rsidR="003F1050" w:rsidTr="003F1050" w14:paraId="79353785" w14:textId="614B0D32">
        <w:trPr>
          <w:trHeight w:val="486"/>
        </w:trPr>
        <w:tc>
          <w:tcPr>
            <w:tcW w:w="4585" w:type="dxa"/>
          </w:tcPr>
          <w:p w:rsidR="003F1050" w:rsidP="00B651A5" w:rsidRDefault="003F1050" w14:paraId="35DD50A8" w14:textId="77777777">
            <w:pPr>
              <w:rPr>
                <w:rFonts w:eastAsia="Arial Unicode MS"/>
                <w:sz w:val="24"/>
                <w:szCs w:val="24"/>
                <w:u w:color="000000"/>
              </w:rPr>
            </w:pPr>
            <w:r>
              <w:rPr>
                <w:rFonts w:eastAsia="Arial Unicode MS"/>
                <w:sz w:val="24"/>
                <w:szCs w:val="24"/>
                <w:u w:color="000000"/>
              </w:rPr>
              <w:t>Convening of health scientists, epidemiologists, etc.</w:t>
            </w:r>
          </w:p>
        </w:tc>
        <w:tc>
          <w:tcPr>
            <w:tcW w:w="3960" w:type="dxa"/>
          </w:tcPr>
          <w:p w:rsidR="003F1050" w:rsidP="00E5115A" w:rsidRDefault="003F1050" w14:paraId="066C062A" w14:textId="77777777">
            <w:pPr>
              <w:rPr>
                <w:rFonts w:eastAsia="Arial Unicode MS"/>
                <w:sz w:val="24"/>
                <w:szCs w:val="24"/>
                <w:u w:color="000000"/>
              </w:rPr>
            </w:pPr>
            <w:r>
              <w:rPr>
                <w:rFonts w:eastAsia="Arial Unicode MS"/>
                <w:sz w:val="24"/>
                <w:szCs w:val="24"/>
                <w:u w:color="000000"/>
              </w:rPr>
              <w:t>Within 1 week after investigation initiation</w:t>
            </w:r>
          </w:p>
        </w:tc>
      </w:tr>
      <w:tr w:rsidR="003F1050" w:rsidTr="003F1050" w14:paraId="4910D836" w14:textId="7B5F6779">
        <w:trPr>
          <w:trHeight w:val="475"/>
        </w:trPr>
        <w:tc>
          <w:tcPr>
            <w:tcW w:w="4585" w:type="dxa"/>
          </w:tcPr>
          <w:p w:rsidR="003F1050" w:rsidP="00E42377" w:rsidRDefault="003F1050" w14:paraId="099FE759" w14:textId="77777777">
            <w:pPr>
              <w:rPr>
                <w:rFonts w:eastAsia="Arial Unicode MS"/>
                <w:sz w:val="24"/>
                <w:szCs w:val="24"/>
                <w:u w:color="000000"/>
              </w:rPr>
            </w:pPr>
            <w:r>
              <w:rPr>
                <w:rFonts w:eastAsia="Arial Unicode MS"/>
                <w:sz w:val="24"/>
                <w:szCs w:val="24"/>
                <w:u w:color="000000"/>
              </w:rPr>
              <w:t>Development of data collection instrument or selection from instrument library</w:t>
            </w:r>
          </w:p>
        </w:tc>
        <w:tc>
          <w:tcPr>
            <w:tcW w:w="3960" w:type="dxa"/>
          </w:tcPr>
          <w:p w:rsidR="003F1050" w:rsidP="00E5115A" w:rsidRDefault="003F1050" w14:paraId="567B08E3" w14:textId="248E1D54">
            <w:pPr>
              <w:rPr>
                <w:rFonts w:eastAsia="Arial Unicode MS"/>
                <w:sz w:val="24"/>
                <w:szCs w:val="24"/>
                <w:u w:color="000000"/>
              </w:rPr>
            </w:pPr>
            <w:r>
              <w:rPr>
                <w:rFonts w:eastAsia="Arial Unicode MS"/>
                <w:sz w:val="24"/>
                <w:szCs w:val="24"/>
                <w:u w:color="000000"/>
              </w:rPr>
              <w:t>Weeks 1 to 3 after investigation initiation</w:t>
            </w:r>
          </w:p>
        </w:tc>
      </w:tr>
      <w:tr w:rsidR="003F1050" w:rsidTr="003F1050" w14:paraId="77B8A790" w14:textId="398C7936">
        <w:trPr>
          <w:trHeight w:val="238"/>
        </w:trPr>
        <w:tc>
          <w:tcPr>
            <w:tcW w:w="4585" w:type="dxa"/>
          </w:tcPr>
          <w:p w:rsidR="003F1050" w:rsidP="00B651A5" w:rsidRDefault="003F1050" w14:paraId="2643711A" w14:textId="0A74A52F">
            <w:pPr>
              <w:rPr>
                <w:rFonts w:eastAsia="Arial Unicode MS"/>
                <w:sz w:val="24"/>
                <w:szCs w:val="24"/>
                <w:u w:color="000000"/>
              </w:rPr>
            </w:pPr>
            <w:r>
              <w:rPr>
                <w:rFonts w:eastAsia="Arial Unicode MS"/>
                <w:sz w:val="24"/>
                <w:szCs w:val="24"/>
                <w:u w:color="000000"/>
              </w:rPr>
              <w:t>GenIC submission and approval</w:t>
            </w:r>
          </w:p>
          <w:p w:rsidR="003F1050" w:rsidP="00B651A5" w:rsidRDefault="003F1050" w14:paraId="0456B1FD" w14:textId="77777777">
            <w:pPr>
              <w:rPr>
                <w:rFonts w:eastAsia="Arial Unicode MS"/>
                <w:sz w:val="24"/>
                <w:szCs w:val="24"/>
                <w:u w:color="000000"/>
              </w:rPr>
            </w:pPr>
          </w:p>
        </w:tc>
        <w:tc>
          <w:tcPr>
            <w:tcW w:w="3960" w:type="dxa"/>
          </w:tcPr>
          <w:p w:rsidR="003F1050" w:rsidP="00E5115A" w:rsidRDefault="003F1050" w14:paraId="0CF6EB97" w14:textId="77777777">
            <w:pPr>
              <w:rPr>
                <w:rFonts w:eastAsia="Arial Unicode MS"/>
                <w:sz w:val="24"/>
                <w:szCs w:val="24"/>
                <w:u w:color="000000"/>
              </w:rPr>
            </w:pPr>
            <w:r>
              <w:rPr>
                <w:rFonts w:eastAsia="Arial Unicode MS"/>
                <w:sz w:val="24"/>
                <w:szCs w:val="24"/>
                <w:u w:color="000000"/>
              </w:rPr>
              <w:t>Week 3 after investigation initiation</w:t>
            </w:r>
          </w:p>
        </w:tc>
      </w:tr>
      <w:tr w:rsidR="003F1050" w:rsidTr="003F1050" w14:paraId="1908560C" w14:textId="39CF404A">
        <w:trPr>
          <w:trHeight w:val="238"/>
        </w:trPr>
        <w:tc>
          <w:tcPr>
            <w:tcW w:w="4585" w:type="dxa"/>
          </w:tcPr>
          <w:p w:rsidR="003F1050" w:rsidP="00B651A5" w:rsidRDefault="003F1050" w14:paraId="020149DC" w14:textId="77777777">
            <w:pPr>
              <w:rPr>
                <w:rFonts w:eastAsia="Arial Unicode MS"/>
                <w:sz w:val="24"/>
                <w:szCs w:val="24"/>
                <w:u w:color="000000"/>
              </w:rPr>
            </w:pPr>
            <w:r>
              <w:rPr>
                <w:rFonts w:eastAsia="Arial Unicode MS"/>
                <w:sz w:val="24"/>
                <w:szCs w:val="24"/>
                <w:u w:color="000000"/>
              </w:rPr>
              <w:t>Deployment into the field</w:t>
            </w:r>
          </w:p>
        </w:tc>
        <w:tc>
          <w:tcPr>
            <w:tcW w:w="3960" w:type="dxa"/>
          </w:tcPr>
          <w:p w:rsidR="003F1050" w:rsidP="00E5115A" w:rsidRDefault="003F1050" w14:paraId="067B2ADB" w14:textId="77777777">
            <w:pPr>
              <w:rPr>
                <w:rFonts w:eastAsia="Arial Unicode MS"/>
                <w:sz w:val="24"/>
                <w:szCs w:val="24"/>
                <w:u w:color="000000"/>
              </w:rPr>
            </w:pPr>
            <w:r>
              <w:rPr>
                <w:rFonts w:eastAsia="Arial Unicode MS"/>
                <w:sz w:val="24"/>
                <w:szCs w:val="24"/>
                <w:u w:color="000000"/>
              </w:rPr>
              <w:t>Weeks 4 to 6 after project initiation</w:t>
            </w:r>
          </w:p>
          <w:p w:rsidR="003F1050" w:rsidP="00E5115A" w:rsidRDefault="003F1050" w14:paraId="3E27D44D" w14:textId="77777777">
            <w:pPr>
              <w:rPr>
                <w:rFonts w:eastAsia="Arial Unicode MS"/>
                <w:sz w:val="24"/>
                <w:szCs w:val="24"/>
                <w:u w:color="000000"/>
              </w:rPr>
            </w:pPr>
          </w:p>
        </w:tc>
      </w:tr>
      <w:tr w:rsidR="003F1050" w:rsidTr="003F1050" w14:paraId="2D7790E0" w14:textId="23354042">
        <w:trPr>
          <w:trHeight w:val="238"/>
        </w:trPr>
        <w:tc>
          <w:tcPr>
            <w:tcW w:w="4585" w:type="dxa"/>
          </w:tcPr>
          <w:p w:rsidR="003F1050" w:rsidP="00B651A5" w:rsidRDefault="003F1050" w14:paraId="6FD9CADF" w14:textId="77777777">
            <w:pPr>
              <w:rPr>
                <w:rFonts w:eastAsia="Arial Unicode MS"/>
                <w:sz w:val="24"/>
                <w:szCs w:val="24"/>
                <w:u w:color="000000"/>
              </w:rPr>
            </w:pPr>
            <w:r>
              <w:rPr>
                <w:rFonts w:eastAsia="Arial Unicode MS"/>
                <w:sz w:val="24"/>
                <w:szCs w:val="24"/>
                <w:u w:color="000000"/>
              </w:rPr>
              <w:t>Data collection in the field</w:t>
            </w:r>
          </w:p>
        </w:tc>
        <w:tc>
          <w:tcPr>
            <w:tcW w:w="3960" w:type="dxa"/>
          </w:tcPr>
          <w:p w:rsidR="003F1050" w:rsidP="00E5115A" w:rsidRDefault="003F1050" w14:paraId="1148B5EA" w14:textId="77777777">
            <w:pPr>
              <w:rPr>
                <w:rFonts w:eastAsia="Arial Unicode MS"/>
                <w:sz w:val="24"/>
                <w:szCs w:val="24"/>
                <w:u w:color="000000"/>
              </w:rPr>
            </w:pPr>
            <w:r>
              <w:rPr>
                <w:rFonts w:eastAsia="Arial Unicode MS"/>
                <w:sz w:val="24"/>
                <w:szCs w:val="24"/>
                <w:u w:color="000000"/>
              </w:rPr>
              <w:t>Weeks 4 to 10 after project initiation (staff may be in the field for up to 3 weeks)</w:t>
            </w:r>
          </w:p>
        </w:tc>
      </w:tr>
      <w:tr w:rsidR="003F1050" w:rsidTr="003F1050" w14:paraId="644F55D7" w14:textId="01FD2C9E">
        <w:trPr>
          <w:trHeight w:val="238"/>
        </w:trPr>
        <w:tc>
          <w:tcPr>
            <w:tcW w:w="4585" w:type="dxa"/>
          </w:tcPr>
          <w:p w:rsidR="003F1050" w:rsidP="00431E9B" w:rsidRDefault="003F1050" w14:paraId="5EFDA40F" w14:textId="77777777">
            <w:pPr>
              <w:rPr>
                <w:rFonts w:eastAsia="Arial Unicode MS"/>
                <w:sz w:val="24"/>
                <w:szCs w:val="24"/>
                <w:u w:color="000000"/>
              </w:rPr>
            </w:pPr>
            <w:r>
              <w:rPr>
                <w:rFonts w:eastAsia="Arial Unicode MS"/>
                <w:sz w:val="24"/>
                <w:szCs w:val="24"/>
                <w:u w:color="000000"/>
              </w:rPr>
              <w:t>Data collection from CDC</w:t>
            </w:r>
          </w:p>
        </w:tc>
        <w:tc>
          <w:tcPr>
            <w:tcW w:w="3960" w:type="dxa"/>
          </w:tcPr>
          <w:p w:rsidR="003F1050" w:rsidP="00431E9B" w:rsidRDefault="003F1050" w14:paraId="438BC69D" w14:textId="77777777">
            <w:pPr>
              <w:rPr>
                <w:rFonts w:eastAsia="Arial Unicode MS"/>
                <w:sz w:val="24"/>
                <w:szCs w:val="24"/>
                <w:u w:color="000000"/>
              </w:rPr>
            </w:pPr>
            <w:r>
              <w:rPr>
                <w:rFonts w:eastAsia="Arial Unicode MS"/>
                <w:sz w:val="24"/>
                <w:szCs w:val="24"/>
                <w:u w:color="000000"/>
              </w:rPr>
              <w:t>Weeks 6 to 12 after investigation initiation (all data collected within 3 months)</w:t>
            </w:r>
          </w:p>
        </w:tc>
      </w:tr>
    </w:tbl>
    <w:p w:rsidR="00F74281" w:rsidP="00B651A5" w:rsidRDefault="00B764E7" w14:paraId="529D0D05" w14:textId="77777777">
      <w:pPr>
        <w:ind w:left="720"/>
        <w:rPr>
          <w:rFonts w:eastAsia="Arial Unicode MS"/>
          <w:sz w:val="24"/>
          <w:szCs w:val="24"/>
          <w:u w:color="000000"/>
        </w:rPr>
      </w:pPr>
      <w:r w:rsidDel="00B764E7">
        <w:rPr>
          <w:rFonts w:eastAsia="Arial Unicode MS"/>
          <w:sz w:val="24"/>
          <w:szCs w:val="24"/>
          <w:u w:color="000000"/>
        </w:rPr>
        <w:t xml:space="preserve"> </w:t>
      </w:r>
    </w:p>
    <w:p w:rsidR="00012BA1" w:rsidP="00B651A5" w:rsidRDefault="00926DD5" w14:paraId="76B1E8D4" w14:textId="4622B4EC">
      <w:pPr>
        <w:ind w:left="720"/>
        <w:rPr>
          <w:rFonts w:eastAsia="Arial Unicode MS"/>
          <w:sz w:val="24"/>
          <w:szCs w:val="24"/>
          <w:u w:color="000000"/>
        </w:rPr>
      </w:pPr>
      <w:r>
        <w:rPr>
          <w:rFonts w:eastAsia="Arial Unicode MS"/>
          <w:sz w:val="24"/>
          <w:szCs w:val="24"/>
          <w:u w:color="000000"/>
        </w:rPr>
        <w:t xml:space="preserve">For each </w:t>
      </w:r>
      <w:r w:rsidR="00A427A8">
        <w:rPr>
          <w:rFonts w:eastAsia="Arial Unicode MS"/>
          <w:sz w:val="24"/>
          <w:szCs w:val="24"/>
          <w:u w:color="000000"/>
        </w:rPr>
        <w:t>DORI</w:t>
      </w:r>
      <w:r>
        <w:rPr>
          <w:rFonts w:eastAsia="Arial Unicode MS"/>
          <w:sz w:val="24"/>
          <w:szCs w:val="24"/>
          <w:u w:color="000000"/>
        </w:rPr>
        <w:t>,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Pr="006E754B" w:rsidR="001A3A81">
        <w:rPr>
          <w:rFonts w:eastAsia="Arial Unicode MS"/>
          <w:sz w:val="24"/>
          <w:szCs w:val="24"/>
          <w:u w:color="000000"/>
        </w:rPr>
        <w:t>ata analysis</w:t>
      </w:r>
      <w:r>
        <w:rPr>
          <w:rFonts w:eastAsia="Arial Unicode MS"/>
          <w:sz w:val="24"/>
          <w:szCs w:val="24"/>
          <w:u w:color="000000"/>
        </w:rPr>
        <w:t xml:space="preserve">. </w:t>
      </w:r>
      <w:r w:rsidR="007B21AA">
        <w:rPr>
          <w:rFonts w:eastAsia="Arial Unicode MS"/>
          <w:sz w:val="24"/>
          <w:szCs w:val="24"/>
          <w:u w:color="000000"/>
        </w:rPr>
        <w:t xml:space="preserve">A preliminary report summarizing the early findings of the investigation </w:t>
      </w:r>
      <w:r w:rsidR="00A211A1">
        <w:rPr>
          <w:rFonts w:eastAsia="Arial Unicode MS"/>
          <w:sz w:val="24"/>
          <w:szCs w:val="24"/>
          <w:u w:color="000000"/>
        </w:rPr>
        <w:t>is</w:t>
      </w:r>
      <w:r w:rsidR="007B21AA">
        <w:rPr>
          <w:rFonts w:eastAsia="Arial Unicode MS"/>
          <w:sz w:val="24"/>
          <w:szCs w:val="24"/>
          <w:u w:color="000000"/>
        </w:rPr>
        <w:t xml:space="preserve"> written by the lead investigator within 14 days of the completion</w:t>
      </w:r>
      <w:r w:rsidR="00012BA1">
        <w:rPr>
          <w:rFonts w:eastAsia="Arial Unicode MS"/>
          <w:sz w:val="24"/>
          <w:szCs w:val="24"/>
          <w:u w:color="000000"/>
        </w:rPr>
        <w:t xml:space="preserve"> o</w:t>
      </w:r>
      <w:r w:rsidR="007B21AA">
        <w:rPr>
          <w:rFonts w:eastAsia="Arial Unicode MS"/>
          <w:sz w:val="24"/>
          <w:szCs w:val="24"/>
          <w:u w:color="000000"/>
        </w:rPr>
        <w:t>f</w:t>
      </w:r>
      <w:r w:rsidR="00012BA1">
        <w:rPr>
          <w:rFonts w:eastAsia="Arial Unicode MS"/>
          <w:sz w:val="24"/>
          <w:szCs w:val="24"/>
          <w:u w:color="000000"/>
        </w:rPr>
        <w:t xml:space="preserve"> </w:t>
      </w:r>
      <w:r w:rsidR="007B21AA">
        <w:rPr>
          <w:rFonts w:eastAsia="Arial Unicode MS"/>
          <w:sz w:val="24"/>
          <w:szCs w:val="24"/>
          <w:u w:color="000000"/>
        </w:rPr>
        <w:t>the investigation.</w:t>
      </w:r>
      <w:r w:rsidR="00012BA1">
        <w:rPr>
          <w:rFonts w:eastAsia="Arial Unicode MS"/>
          <w:sz w:val="24"/>
          <w:szCs w:val="24"/>
          <w:u w:color="000000"/>
        </w:rPr>
        <w:t xml:space="preserve"> </w:t>
      </w:r>
      <w:r w:rsidRPr="006E754B" w:rsidR="001A3A81">
        <w:rPr>
          <w:rFonts w:eastAsia="Arial Unicode MS"/>
          <w:sz w:val="24"/>
          <w:szCs w:val="24"/>
          <w:u w:color="000000"/>
        </w:rPr>
        <w:t>Any pu</w:t>
      </w:r>
      <w:r w:rsidRPr="00B651A5" w:rsidR="001A3A81">
        <w:rPr>
          <w:rFonts w:eastAsia="Arial Unicode MS"/>
          <w:sz w:val="24"/>
          <w:szCs w:val="24"/>
          <w:u w:color="000000"/>
        </w:rPr>
        <w:t xml:space="preserve">blication of data derived from </w:t>
      </w:r>
      <w:r w:rsidR="00A427A8">
        <w:rPr>
          <w:rFonts w:eastAsia="Arial Unicode MS"/>
          <w:sz w:val="24"/>
          <w:szCs w:val="24"/>
          <w:u w:color="000000"/>
        </w:rPr>
        <w:t xml:space="preserve">a DORI </w:t>
      </w:r>
      <w:r w:rsidRPr="00B651A5" w:rsidR="001A3A81">
        <w:rPr>
          <w:rFonts w:eastAsia="Arial Unicode MS"/>
          <w:sz w:val="24"/>
          <w:szCs w:val="24"/>
          <w:u w:color="000000"/>
        </w:rPr>
        <w:t xml:space="preserve">is subject to review by </w:t>
      </w:r>
      <w:r w:rsidRPr="00B651A5" w:rsidR="005E4E8F">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8F0A64">
        <w:rPr>
          <w:rFonts w:eastAsia="Arial Unicode MS"/>
          <w:sz w:val="24"/>
          <w:szCs w:val="24"/>
          <w:u w:color="000000"/>
        </w:rPr>
        <w:t>public agencies</w:t>
      </w:r>
      <w:r w:rsidR="00F74281">
        <w:rPr>
          <w:rFonts w:eastAsia="Arial Unicode MS"/>
          <w:sz w:val="24"/>
          <w:szCs w:val="24"/>
          <w:u w:color="000000"/>
        </w:rPr>
        <w:t xml:space="preserve">, </w:t>
      </w:r>
      <w:r w:rsidRPr="00B651A5" w:rsidR="001A3A81">
        <w:rPr>
          <w:rFonts w:eastAsia="Arial Unicode MS"/>
          <w:sz w:val="24"/>
          <w:szCs w:val="24"/>
          <w:u w:color="000000"/>
        </w:rPr>
        <w:t>CDC, or collaborating federal agencies.</w:t>
      </w:r>
      <w:r w:rsidR="00F74281">
        <w:rPr>
          <w:rFonts w:eastAsia="Arial Unicode MS"/>
          <w:sz w:val="24"/>
          <w:szCs w:val="24"/>
          <w:u w:color="000000"/>
        </w:rPr>
        <w:t xml:space="preserve"> </w:t>
      </w:r>
      <w:r w:rsidR="007B21AA">
        <w:rPr>
          <w:rFonts w:eastAsia="Arial Unicode MS"/>
          <w:sz w:val="24"/>
          <w:szCs w:val="24"/>
          <w:u w:color="000000"/>
        </w:rPr>
        <w:t xml:space="preserve">  </w:t>
      </w:r>
    </w:p>
    <w:p w:rsidR="00CB0869" w:rsidP="00B651A5" w:rsidRDefault="00CB0869" w14:paraId="223E10F7" w14:textId="77777777">
      <w:pPr>
        <w:ind w:left="720"/>
        <w:rPr>
          <w:rFonts w:eastAsia="Arial Unicode MS"/>
          <w:sz w:val="24"/>
          <w:szCs w:val="24"/>
          <w:u w:color="000000"/>
        </w:rPr>
      </w:pPr>
    </w:p>
    <w:p w:rsidRPr="00B651A5" w:rsidR="00CB0869" w:rsidP="00B651A5" w:rsidRDefault="00CB0869" w14:paraId="421DA8A0" w14:textId="50A44C0C">
      <w:pPr>
        <w:ind w:left="720"/>
        <w:rPr>
          <w:rFonts w:eastAsia="Arial Unicode MS"/>
          <w:sz w:val="24"/>
          <w:szCs w:val="24"/>
          <w:u w:color="000000"/>
        </w:rPr>
      </w:pPr>
      <w:r w:rsidRPr="007366BE">
        <w:rPr>
          <w:rFonts w:eastAsia="Arial Unicode MS"/>
          <w:sz w:val="24"/>
          <w:szCs w:val="24"/>
          <w:u w:color="000000"/>
        </w:rPr>
        <w:t>CDC may receive requests to release the information (e.g., congressional inquiry, Freedom of Information Act requests). 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w:t>
      </w:r>
      <w:r w:rsidR="00905D93">
        <w:rPr>
          <w:rFonts w:eastAsia="Arial Unicode MS"/>
          <w:sz w:val="24"/>
          <w:szCs w:val="24"/>
          <w:u w:color="000000"/>
        </w:rPr>
        <w:t>’</w:t>
      </w:r>
      <w:r w:rsidRPr="007366BE">
        <w:rPr>
          <w:rFonts w:eastAsia="Arial Unicode MS"/>
          <w:sz w:val="24"/>
          <w:szCs w:val="24"/>
          <w:u w:color="000000"/>
        </w:rPr>
        <w:t xml:space="preserve">s </w:t>
      </w:r>
      <w:r w:rsidR="00905D93">
        <w:rPr>
          <w:rFonts w:eastAsia="Arial Unicode MS"/>
          <w:sz w:val="24"/>
          <w:szCs w:val="24"/>
          <w:u w:color="000000"/>
        </w:rPr>
        <w:t>“</w:t>
      </w:r>
      <w:r w:rsidRPr="007366BE">
        <w:rPr>
          <w:rFonts w:eastAsia="Arial Unicode MS"/>
          <w:sz w:val="24"/>
          <w:szCs w:val="24"/>
          <w:u w:color="000000"/>
        </w:rPr>
        <w:t>Guidelines for Ensuring the Quality of Informat</w:t>
      </w:r>
      <w:r w:rsidR="00905D93">
        <w:rPr>
          <w:rFonts w:eastAsia="Arial Unicode MS"/>
          <w:sz w:val="24"/>
          <w:szCs w:val="24"/>
          <w:u w:color="000000"/>
        </w:rPr>
        <w:t>ion Disseminated to the Public.”</w:t>
      </w:r>
    </w:p>
    <w:p w:rsidR="001A3A81" w:rsidP="00B651A5" w:rsidRDefault="001A3A81" w14:paraId="06DAD440" w14:textId="5BB30652">
      <w:pPr>
        <w:ind w:left="720"/>
        <w:rPr>
          <w:rFonts w:eastAsia="Arial Unicode MS"/>
          <w:sz w:val="24"/>
          <w:szCs w:val="24"/>
          <w:u w:color="000000"/>
        </w:rPr>
      </w:pPr>
    </w:p>
    <w:p w:rsidRPr="00B651A5" w:rsidR="001A3A81" w:rsidP="00B651A5" w:rsidRDefault="005E4E8F" w14:paraId="140D51BA"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Pr="00B651A5" w:rsidR="001A3A81">
        <w:rPr>
          <w:rFonts w:eastAsia="Arial Unicode MS"/>
          <w:b/>
          <w:sz w:val="24"/>
          <w:szCs w:val="24"/>
          <w:u w:color="000000"/>
        </w:rPr>
        <w:t>Reason(s) Display of OMB Expiration Date is Inappropriate</w:t>
      </w:r>
    </w:p>
    <w:p w:rsidRPr="0072690B" w:rsidR="001A3A81" w:rsidP="00B651A5" w:rsidRDefault="001A3A81" w14:paraId="5E050211" w14:textId="77777777">
      <w:pPr>
        <w:ind w:left="720"/>
        <w:rPr>
          <w:rFonts w:eastAsia="Arial Unicode MS"/>
          <w:sz w:val="24"/>
          <w:szCs w:val="24"/>
          <w:u w:color="000000"/>
        </w:rPr>
      </w:pPr>
    </w:p>
    <w:p w:rsidRPr="0072690B" w:rsidR="001A3A81" w:rsidP="005E4E8F" w:rsidRDefault="005E4E8F" w14:paraId="012D3A8B" w14:textId="77777777">
      <w:pPr>
        <w:tabs>
          <w:tab w:val="num" w:pos="720"/>
        </w:tabs>
        <w:rPr>
          <w:rFonts w:eastAsia="Arial Unicode MS"/>
          <w:sz w:val="24"/>
          <w:szCs w:val="24"/>
          <w:u w:color="000000"/>
        </w:rPr>
      </w:pPr>
      <w:r w:rsidRPr="0072690B">
        <w:rPr>
          <w:rFonts w:eastAsia="Arial Unicode MS"/>
          <w:sz w:val="24"/>
          <w:szCs w:val="24"/>
          <w:u w:color="000000"/>
        </w:rPr>
        <w:tab/>
      </w:r>
      <w:r w:rsidRPr="00126C83" w:rsidR="00126C83">
        <w:rPr>
          <w:rFonts w:eastAsia="Arial Unicode MS"/>
          <w:sz w:val="24"/>
          <w:szCs w:val="24"/>
          <w:u w:color="000000"/>
        </w:rPr>
        <w:t>The display of the OMB expiration date is not inappropriate</w:t>
      </w:r>
      <w:r w:rsidR="00A427A8">
        <w:rPr>
          <w:rFonts w:eastAsia="Arial Unicode MS"/>
          <w:sz w:val="24"/>
          <w:szCs w:val="24"/>
          <w:u w:color="000000"/>
        </w:rPr>
        <w:t>.</w:t>
      </w:r>
    </w:p>
    <w:p w:rsidRPr="0072690B" w:rsidR="001A3A81" w:rsidP="00B651A5" w:rsidRDefault="001A3A81" w14:paraId="3F2B9D58" w14:textId="77777777">
      <w:pPr>
        <w:ind w:left="720"/>
        <w:rPr>
          <w:rFonts w:eastAsia="Arial Unicode MS"/>
          <w:sz w:val="24"/>
          <w:szCs w:val="24"/>
          <w:u w:color="000000"/>
        </w:rPr>
      </w:pPr>
    </w:p>
    <w:p w:rsidRPr="00B651A5" w:rsidR="001A3A81" w:rsidP="00B651A5" w:rsidRDefault="005E4E8F" w14:paraId="07401150"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Pr="00B651A5" w:rsidR="001A3A81">
        <w:rPr>
          <w:rFonts w:eastAsia="Arial Unicode MS"/>
          <w:b/>
          <w:sz w:val="24"/>
          <w:szCs w:val="24"/>
          <w:u w:color="000000"/>
        </w:rPr>
        <w:t>Exceptions to Certification for Paperwork Reduction Act Submissions</w:t>
      </w:r>
    </w:p>
    <w:p w:rsidRPr="0072690B" w:rsidR="001A3A81" w:rsidP="00B651A5" w:rsidRDefault="001A3A81" w14:paraId="3FE4EEEC" w14:textId="77777777">
      <w:pPr>
        <w:ind w:left="720"/>
        <w:rPr>
          <w:rFonts w:eastAsia="Arial Unicode MS"/>
          <w:sz w:val="24"/>
          <w:szCs w:val="24"/>
          <w:u w:color="000000"/>
        </w:rPr>
      </w:pPr>
    </w:p>
    <w:p w:rsidRPr="00B26655" w:rsidR="00527A26" w:rsidP="00D75048" w:rsidRDefault="00D75048" w14:paraId="4CAEAACD" w14:textId="7480DA0D">
      <w:pPr>
        <w:ind w:left="720"/>
        <w:rPr>
          <w:i/>
          <w:szCs w:val="24"/>
          <w:highlight w:val="yellow"/>
        </w:rPr>
      </w:pPr>
      <w:r w:rsidRPr="00D75048">
        <w:rPr>
          <w:rFonts w:eastAsia="Arial Unicode MS"/>
          <w:sz w:val="24"/>
          <w:szCs w:val="24"/>
          <w:u w:color="000000"/>
        </w:rPr>
        <w:t>There are no exceptions to the certification</w:t>
      </w:r>
      <w:r w:rsidR="00A427A8">
        <w:rPr>
          <w:rFonts w:eastAsia="Arial Unicode MS"/>
          <w:sz w:val="24"/>
          <w:szCs w:val="24"/>
          <w:u w:color="000000"/>
        </w:rPr>
        <w:t xml:space="preserve">. </w:t>
      </w:r>
    </w:p>
    <w:sectPr w:rsidRPr="00B26655" w:rsidR="00527A26" w:rsidSect="00E42D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4F1F9" w14:textId="77777777" w:rsidR="00D946B1" w:rsidRDefault="00D946B1" w:rsidP="007B00EF">
      <w:r>
        <w:separator/>
      </w:r>
    </w:p>
    <w:p w14:paraId="0E33C23D" w14:textId="77777777" w:rsidR="00D946B1" w:rsidRDefault="00D946B1" w:rsidP="007B00EF"/>
    <w:p w14:paraId="72AF5D66" w14:textId="77777777" w:rsidR="00D946B1" w:rsidRDefault="00D946B1" w:rsidP="007B00EF"/>
    <w:p w14:paraId="4C9EF795" w14:textId="77777777" w:rsidR="00D946B1" w:rsidRDefault="00D946B1"/>
  </w:endnote>
  <w:endnote w:type="continuationSeparator" w:id="0">
    <w:p w14:paraId="7E8A3B7C" w14:textId="77777777" w:rsidR="00D946B1" w:rsidRDefault="00D946B1" w:rsidP="007B00EF">
      <w:r>
        <w:continuationSeparator/>
      </w:r>
    </w:p>
    <w:p w14:paraId="18190899" w14:textId="77777777" w:rsidR="00D946B1" w:rsidRDefault="00D946B1" w:rsidP="007B00EF"/>
    <w:p w14:paraId="136B9580" w14:textId="77777777" w:rsidR="00D946B1" w:rsidRDefault="00D946B1" w:rsidP="007B00EF"/>
    <w:p w14:paraId="215300A8" w14:textId="77777777" w:rsidR="00D946B1" w:rsidRDefault="00D946B1"/>
  </w:endnote>
  <w:endnote w:type="continuationNotice" w:id="1">
    <w:p w14:paraId="0933A28E" w14:textId="77777777" w:rsidR="00D946B1" w:rsidRDefault="00D94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F264C" w14:textId="77777777" w:rsidR="00D946B1" w:rsidRDefault="00D94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9FD8" w14:textId="1CE1AE21" w:rsidR="00D946B1" w:rsidRDefault="00D946B1">
    <w:pPr>
      <w:pStyle w:val="Footer"/>
      <w:jc w:val="right"/>
    </w:pPr>
    <w:r>
      <w:fldChar w:fldCharType="begin"/>
    </w:r>
    <w:r>
      <w:instrText xml:space="preserve"> PAGE   \* MERGEFORMAT </w:instrText>
    </w:r>
    <w:r>
      <w:fldChar w:fldCharType="separate"/>
    </w:r>
    <w:r>
      <w:rPr>
        <w:noProof/>
      </w:rPr>
      <w:t>19</w:t>
    </w:r>
    <w:r>
      <w:rPr>
        <w:noProof/>
      </w:rPr>
      <w:fldChar w:fldCharType="end"/>
    </w:r>
  </w:p>
  <w:p w14:paraId="673CF5C3" w14:textId="77777777" w:rsidR="00D946B1" w:rsidRDefault="00D946B1" w:rsidP="007B00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6B5A9" w14:textId="77777777" w:rsidR="00D946B1" w:rsidRDefault="00D94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F9B3A" w14:textId="77777777" w:rsidR="00D946B1" w:rsidRDefault="00D946B1" w:rsidP="007B00EF">
      <w:r>
        <w:separator/>
      </w:r>
    </w:p>
    <w:p w14:paraId="4772E419" w14:textId="77777777" w:rsidR="00D946B1" w:rsidRDefault="00D946B1" w:rsidP="007B00EF"/>
    <w:p w14:paraId="1DA57FCE" w14:textId="77777777" w:rsidR="00D946B1" w:rsidRDefault="00D946B1" w:rsidP="007B00EF"/>
    <w:p w14:paraId="7124CAD0" w14:textId="77777777" w:rsidR="00D946B1" w:rsidRDefault="00D946B1"/>
  </w:footnote>
  <w:footnote w:type="continuationSeparator" w:id="0">
    <w:p w14:paraId="3D23AF62" w14:textId="77777777" w:rsidR="00D946B1" w:rsidRDefault="00D946B1" w:rsidP="007B00EF">
      <w:r>
        <w:continuationSeparator/>
      </w:r>
    </w:p>
    <w:p w14:paraId="1D0C103B" w14:textId="77777777" w:rsidR="00D946B1" w:rsidRDefault="00D946B1" w:rsidP="007B00EF"/>
    <w:p w14:paraId="72D761CD" w14:textId="77777777" w:rsidR="00D946B1" w:rsidRDefault="00D946B1" w:rsidP="007B00EF"/>
    <w:p w14:paraId="4BCFE26B" w14:textId="77777777" w:rsidR="00D946B1" w:rsidRDefault="00D946B1"/>
  </w:footnote>
  <w:footnote w:type="continuationNotice" w:id="1">
    <w:p w14:paraId="5CE59C8C" w14:textId="77777777" w:rsidR="00D946B1" w:rsidRDefault="00D94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6A5B" w14:textId="77777777" w:rsidR="00D946B1" w:rsidRDefault="00D94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1D093" w14:textId="77777777" w:rsidR="00D946B1" w:rsidRDefault="00D94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E9C8C" w14:textId="77777777" w:rsidR="00D946B1" w:rsidRDefault="00D94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15:restartNumberingAfterBreak="0">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15:restartNumberingAfterBreak="0">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15:restartNumberingAfterBreak="0">
    <w:nsid w:val="08722370"/>
    <w:multiLevelType w:val="hybridMultilevel"/>
    <w:tmpl w:val="34900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4D0AB2"/>
    <w:multiLevelType w:val="hybridMultilevel"/>
    <w:tmpl w:val="6B7E4312"/>
    <w:lvl w:ilvl="0" w:tplc="582ADD6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8698D"/>
    <w:multiLevelType w:val="multilevel"/>
    <w:tmpl w:val="69787E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7484C66"/>
    <w:multiLevelType w:val="hybridMultilevel"/>
    <w:tmpl w:val="55B218CC"/>
    <w:lvl w:ilvl="0" w:tplc="7640F952">
      <w:start w:val="1"/>
      <w:numFmt w:val="bullet"/>
      <w:lvlText w:val=""/>
      <w:lvlJc w:val="left"/>
      <w:pPr>
        <w:tabs>
          <w:tab w:val="num" w:pos="720"/>
        </w:tabs>
        <w:ind w:left="720" w:hanging="360"/>
      </w:pPr>
      <w:rPr>
        <w:rFonts w:ascii="Symbol" w:hAnsi="Symbol" w:hint="default"/>
        <w:sz w:val="20"/>
      </w:rPr>
    </w:lvl>
    <w:lvl w:ilvl="1" w:tplc="654EF94C" w:tentative="1">
      <w:start w:val="1"/>
      <w:numFmt w:val="bullet"/>
      <w:lvlText w:val=""/>
      <w:lvlJc w:val="left"/>
      <w:pPr>
        <w:tabs>
          <w:tab w:val="num" w:pos="1440"/>
        </w:tabs>
        <w:ind w:left="1440" w:hanging="360"/>
      </w:pPr>
      <w:rPr>
        <w:rFonts w:ascii="Symbol" w:hAnsi="Symbol" w:hint="default"/>
        <w:sz w:val="20"/>
      </w:rPr>
    </w:lvl>
    <w:lvl w:ilvl="2" w:tplc="99F4A1CA" w:tentative="1">
      <w:start w:val="1"/>
      <w:numFmt w:val="bullet"/>
      <w:lvlText w:val=""/>
      <w:lvlJc w:val="left"/>
      <w:pPr>
        <w:tabs>
          <w:tab w:val="num" w:pos="2160"/>
        </w:tabs>
        <w:ind w:left="2160" w:hanging="360"/>
      </w:pPr>
      <w:rPr>
        <w:rFonts w:ascii="Symbol" w:hAnsi="Symbol" w:hint="default"/>
        <w:sz w:val="20"/>
      </w:rPr>
    </w:lvl>
    <w:lvl w:ilvl="3" w:tplc="6B5E6520" w:tentative="1">
      <w:start w:val="1"/>
      <w:numFmt w:val="bullet"/>
      <w:lvlText w:val=""/>
      <w:lvlJc w:val="left"/>
      <w:pPr>
        <w:tabs>
          <w:tab w:val="num" w:pos="2880"/>
        </w:tabs>
        <w:ind w:left="2880" w:hanging="360"/>
      </w:pPr>
      <w:rPr>
        <w:rFonts w:ascii="Symbol" w:hAnsi="Symbol" w:hint="default"/>
        <w:sz w:val="20"/>
      </w:rPr>
    </w:lvl>
    <w:lvl w:ilvl="4" w:tplc="0CDA49BC" w:tentative="1">
      <w:start w:val="1"/>
      <w:numFmt w:val="bullet"/>
      <w:lvlText w:val=""/>
      <w:lvlJc w:val="left"/>
      <w:pPr>
        <w:tabs>
          <w:tab w:val="num" w:pos="3600"/>
        </w:tabs>
        <w:ind w:left="3600" w:hanging="360"/>
      </w:pPr>
      <w:rPr>
        <w:rFonts w:ascii="Symbol" w:hAnsi="Symbol" w:hint="default"/>
        <w:sz w:val="20"/>
      </w:rPr>
    </w:lvl>
    <w:lvl w:ilvl="5" w:tplc="176E2012" w:tentative="1">
      <w:start w:val="1"/>
      <w:numFmt w:val="bullet"/>
      <w:lvlText w:val=""/>
      <w:lvlJc w:val="left"/>
      <w:pPr>
        <w:tabs>
          <w:tab w:val="num" w:pos="4320"/>
        </w:tabs>
        <w:ind w:left="4320" w:hanging="360"/>
      </w:pPr>
      <w:rPr>
        <w:rFonts w:ascii="Symbol" w:hAnsi="Symbol" w:hint="default"/>
        <w:sz w:val="20"/>
      </w:rPr>
    </w:lvl>
    <w:lvl w:ilvl="6" w:tplc="CCFEAD72" w:tentative="1">
      <w:start w:val="1"/>
      <w:numFmt w:val="bullet"/>
      <w:lvlText w:val=""/>
      <w:lvlJc w:val="left"/>
      <w:pPr>
        <w:tabs>
          <w:tab w:val="num" w:pos="5040"/>
        </w:tabs>
        <w:ind w:left="5040" w:hanging="360"/>
      </w:pPr>
      <w:rPr>
        <w:rFonts w:ascii="Symbol" w:hAnsi="Symbol" w:hint="default"/>
        <w:sz w:val="20"/>
      </w:rPr>
    </w:lvl>
    <w:lvl w:ilvl="7" w:tplc="764CAC30" w:tentative="1">
      <w:start w:val="1"/>
      <w:numFmt w:val="bullet"/>
      <w:lvlText w:val=""/>
      <w:lvlJc w:val="left"/>
      <w:pPr>
        <w:tabs>
          <w:tab w:val="num" w:pos="5760"/>
        </w:tabs>
        <w:ind w:left="5760" w:hanging="360"/>
      </w:pPr>
      <w:rPr>
        <w:rFonts w:ascii="Symbol" w:hAnsi="Symbol" w:hint="default"/>
        <w:sz w:val="20"/>
      </w:rPr>
    </w:lvl>
    <w:lvl w:ilvl="8" w:tplc="4A36595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651F1"/>
    <w:multiLevelType w:val="hybridMultilevel"/>
    <w:tmpl w:val="A932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2E0670"/>
    <w:multiLevelType w:val="hybridMultilevel"/>
    <w:tmpl w:val="586CB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3A4455"/>
    <w:multiLevelType w:val="hybridMultilevel"/>
    <w:tmpl w:val="FA4CC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5E74D9"/>
    <w:multiLevelType w:val="hybridMultilevel"/>
    <w:tmpl w:val="F76C90A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FB370B"/>
    <w:multiLevelType w:val="multilevel"/>
    <w:tmpl w:val="8CA627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A1337AE"/>
    <w:multiLevelType w:val="hybridMultilevel"/>
    <w:tmpl w:val="A6603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C6714"/>
    <w:multiLevelType w:val="hybridMultilevel"/>
    <w:tmpl w:val="8732096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DC03066"/>
    <w:multiLevelType w:val="hybridMultilevel"/>
    <w:tmpl w:val="7998272C"/>
    <w:lvl w:ilvl="0" w:tplc="6BE8384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3DD13FB3"/>
    <w:multiLevelType w:val="hybridMultilevel"/>
    <w:tmpl w:val="F76C90A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37237CD"/>
    <w:multiLevelType w:val="hybridMultilevel"/>
    <w:tmpl w:val="0E2C23A4"/>
    <w:lvl w:ilvl="0" w:tplc="9A94AE8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856C8"/>
    <w:multiLevelType w:val="hybridMultilevel"/>
    <w:tmpl w:val="63E48DEA"/>
    <w:lvl w:ilvl="0" w:tplc="A7307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B4763A"/>
    <w:multiLevelType w:val="hybridMultilevel"/>
    <w:tmpl w:val="62888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D3F44"/>
    <w:multiLevelType w:val="hybridMultilevel"/>
    <w:tmpl w:val="250CA26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8" w15:restartNumberingAfterBreak="0">
    <w:nsid w:val="56F12528"/>
    <w:multiLevelType w:val="multilevel"/>
    <w:tmpl w:val="FEB4FE4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7EE7D2C"/>
    <w:multiLevelType w:val="multilevel"/>
    <w:tmpl w:val="C5E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D3F5C"/>
    <w:multiLevelType w:val="hybridMultilevel"/>
    <w:tmpl w:val="FB28E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2" w15:restartNumberingAfterBreak="0">
    <w:nsid w:val="7B55498D"/>
    <w:multiLevelType w:val="multilevel"/>
    <w:tmpl w:val="C25A791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1"/>
  </w:num>
  <w:num w:numId="9">
    <w:abstractNumId w:val="17"/>
  </w:num>
  <w:num w:numId="10">
    <w:abstractNumId w:val="18"/>
  </w:num>
  <w:num w:numId="11">
    <w:abstractNumId w:val="12"/>
  </w:num>
  <w:num w:numId="12">
    <w:abstractNumId w:val="7"/>
  </w:num>
  <w:num w:numId="13">
    <w:abstractNumId w:val="16"/>
  </w:num>
  <w:num w:numId="14">
    <w:abstractNumId w:val="10"/>
  </w:num>
  <w:num w:numId="15">
    <w:abstractNumId w:val="27"/>
  </w:num>
  <w:num w:numId="16">
    <w:abstractNumId w:val="19"/>
  </w:num>
  <w:num w:numId="17">
    <w:abstractNumId w:val="25"/>
  </w:num>
  <w:num w:numId="18">
    <w:abstractNumId w:val="11"/>
  </w:num>
  <w:num w:numId="19">
    <w:abstractNumId w:val="24"/>
  </w:num>
  <w:num w:numId="20">
    <w:abstractNumId w:val="9"/>
  </w:num>
  <w:num w:numId="21">
    <w:abstractNumId w:val="26"/>
  </w:num>
  <w:num w:numId="22">
    <w:abstractNumId w:val="28"/>
  </w:num>
  <w:num w:numId="23">
    <w:abstractNumId w:val="32"/>
  </w:num>
  <w:num w:numId="24">
    <w:abstractNumId w:val="21"/>
  </w:num>
  <w:num w:numId="25">
    <w:abstractNumId w:val="14"/>
  </w:num>
  <w:num w:numId="26">
    <w:abstractNumId w:val="13"/>
  </w:num>
  <w:num w:numId="27">
    <w:abstractNumId w:val="23"/>
  </w:num>
  <w:num w:numId="28">
    <w:abstractNumId w:val="22"/>
  </w:num>
  <w:num w:numId="29">
    <w:abstractNumId w:val="15"/>
  </w:num>
  <w:num w:numId="30">
    <w:abstractNumId w:val="8"/>
  </w:num>
  <w:num w:numId="31">
    <w:abstractNumId w:val="20"/>
  </w:num>
  <w:num w:numId="32">
    <w:abstractNumId w:val="30"/>
  </w:num>
  <w:num w:numId="3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2BC"/>
    <w:rsid w:val="00002E56"/>
    <w:rsid w:val="00002F4E"/>
    <w:rsid w:val="00005127"/>
    <w:rsid w:val="00007430"/>
    <w:rsid w:val="00010583"/>
    <w:rsid w:val="00012BA1"/>
    <w:rsid w:val="000163F1"/>
    <w:rsid w:val="00016DEC"/>
    <w:rsid w:val="00020382"/>
    <w:rsid w:val="000247F2"/>
    <w:rsid w:val="00024A7F"/>
    <w:rsid w:val="0002517B"/>
    <w:rsid w:val="0002585A"/>
    <w:rsid w:val="0002687E"/>
    <w:rsid w:val="00026EFB"/>
    <w:rsid w:val="000305C2"/>
    <w:rsid w:val="00036299"/>
    <w:rsid w:val="000372F2"/>
    <w:rsid w:val="00042053"/>
    <w:rsid w:val="00042D90"/>
    <w:rsid w:val="00044989"/>
    <w:rsid w:val="000513E4"/>
    <w:rsid w:val="00052F35"/>
    <w:rsid w:val="000538E0"/>
    <w:rsid w:val="00054253"/>
    <w:rsid w:val="00055467"/>
    <w:rsid w:val="00055F72"/>
    <w:rsid w:val="00061EBE"/>
    <w:rsid w:val="0006592E"/>
    <w:rsid w:val="00066150"/>
    <w:rsid w:val="0006715E"/>
    <w:rsid w:val="00067D72"/>
    <w:rsid w:val="000733E0"/>
    <w:rsid w:val="00074BA3"/>
    <w:rsid w:val="00076369"/>
    <w:rsid w:val="00076C2D"/>
    <w:rsid w:val="00076C45"/>
    <w:rsid w:val="00082808"/>
    <w:rsid w:val="00084DE8"/>
    <w:rsid w:val="0008519B"/>
    <w:rsid w:val="00086588"/>
    <w:rsid w:val="00090414"/>
    <w:rsid w:val="0009052E"/>
    <w:rsid w:val="00090A7C"/>
    <w:rsid w:val="00091429"/>
    <w:rsid w:val="000914DE"/>
    <w:rsid w:val="000930D0"/>
    <w:rsid w:val="00094296"/>
    <w:rsid w:val="00096679"/>
    <w:rsid w:val="00097DBB"/>
    <w:rsid w:val="000A20EA"/>
    <w:rsid w:val="000A37F1"/>
    <w:rsid w:val="000A4CF4"/>
    <w:rsid w:val="000A5D5D"/>
    <w:rsid w:val="000A6E30"/>
    <w:rsid w:val="000A7A00"/>
    <w:rsid w:val="000B3167"/>
    <w:rsid w:val="000B6993"/>
    <w:rsid w:val="000B6B4A"/>
    <w:rsid w:val="000B6E62"/>
    <w:rsid w:val="000B6F9B"/>
    <w:rsid w:val="000C132C"/>
    <w:rsid w:val="000C42F1"/>
    <w:rsid w:val="000C4532"/>
    <w:rsid w:val="000C4695"/>
    <w:rsid w:val="000C509C"/>
    <w:rsid w:val="000C6F89"/>
    <w:rsid w:val="000D6F7F"/>
    <w:rsid w:val="000D768F"/>
    <w:rsid w:val="000E01DB"/>
    <w:rsid w:val="000E20DA"/>
    <w:rsid w:val="000E2631"/>
    <w:rsid w:val="000E290A"/>
    <w:rsid w:val="000E345F"/>
    <w:rsid w:val="000E615D"/>
    <w:rsid w:val="000E6AB4"/>
    <w:rsid w:val="000F01ED"/>
    <w:rsid w:val="000F07E4"/>
    <w:rsid w:val="000F4885"/>
    <w:rsid w:val="000F515B"/>
    <w:rsid w:val="000F68D7"/>
    <w:rsid w:val="000F750C"/>
    <w:rsid w:val="001011A2"/>
    <w:rsid w:val="001016C4"/>
    <w:rsid w:val="001019EE"/>
    <w:rsid w:val="00101E8A"/>
    <w:rsid w:val="00102314"/>
    <w:rsid w:val="00104578"/>
    <w:rsid w:val="0010570F"/>
    <w:rsid w:val="001059F8"/>
    <w:rsid w:val="00106B85"/>
    <w:rsid w:val="001076E0"/>
    <w:rsid w:val="00112268"/>
    <w:rsid w:val="00113646"/>
    <w:rsid w:val="001151B4"/>
    <w:rsid w:val="00115210"/>
    <w:rsid w:val="00120CAF"/>
    <w:rsid w:val="00121E6B"/>
    <w:rsid w:val="00122736"/>
    <w:rsid w:val="0012450C"/>
    <w:rsid w:val="00126329"/>
    <w:rsid w:val="00126C83"/>
    <w:rsid w:val="00131799"/>
    <w:rsid w:val="00132AAC"/>
    <w:rsid w:val="0013390E"/>
    <w:rsid w:val="00134FB4"/>
    <w:rsid w:val="00137D96"/>
    <w:rsid w:val="001401CD"/>
    <w:rsid w:val="00142656"/>
    <w:rsid w:val="00144232"/>
    <w:rsid w:val="001450A6"/>
    <w:rsid w:val="001479A9"/>
    <w:rsid w:val="001535CC"/>
    <w:rsid w:val="0015390A"/>
    <w:rsid w:val="00156577"/>
    <w:rsid w:val="00157FCB"/>
    <w:rsid w:val="0016553C"/>
    <w:rsid w:val="00165577"/>
    <w:rsid w:val="0016709B"/>
    <w:rsid w:val="00167BC4"/>
    <w:rsid w:val="001726FC"/>
    <w:rsid w:val="00173013"/>
    <w:rsid w:val="00174CDD"/>
    <w:rsid w:val="00176614"/>
    <w:rsid w:val="00181086"/>
    <w:rsid w:val="00187F1A"/>
    <w:rsid w:val="00190FB0"/>
    <w:rsid w:val="001922D0"/>
    <w:rsid w:val="00194E12"/>
    <w:rsid w:val="00197195"/>
    <w:rsid w:val="00197565"/>
    <w:rsid w:val="001A08ED"/>
    <w:rsid w:val="001A0A84"/>
    <w:rsid w:val="001A1184"/>
    <w:rsid w:val="001A1ED2"/>
    <w:rsid w:val="001A3A81"/>
    <w:rsid w:val="001A7BCB"/>
    <w:rsid w:val="001B1BB1"/>
    <w:rsid w:val="001B1E51"/>
    <w:rsid w:val="001C1752"/>
    <w:rsid w:val="001D057E"/>
    <w:rsid w:val="001D35ED"/>
    <w:rsid w:val="001D372C"/>
    <w:rsid w:val="001D4CB1"/>
    <w:rsid w:val="001E0E20"/>
    <w:rsid w:val="001E28CB"/>
    <w:rsid w:val="001E3C25"/>
    <w:rsid w:val="001E5A9A"/>
    <w:rsid w:val="001E621C"/>
    <w:rsid w:val="001F1074"/>
    <w:rsid w:val="001F1EF2"/>
    <w:rsid w:val="001F2CDB"/>
    <w:rsid w:val="001F2DB9"/>
    <w:rsid w:val="001F6366"/>
    <w:rsid w:val="001F7FCC"/>
    <w:rsid w:val="00203376"/>
    <w:rsid w:val="002035AE"/>
    <w:rsid w:val="00205A15"/>
    <w:rsid w:val="00206A43"/>
    <w:rsid w:val="00210A99"/>
    <w:rsid w:val="0021340C"/>
    <w:rsid w:val="00213991"/>
    <w:rsid w:val="00214BB9"/>
    <w:rsid w:val="00214C37"/>
    <w:rsid w:val="0022026C"/>
    <w:rsid w:val="0022047D"/>
    <w:rsid w:val="00220984"/>
    <w:rsid w:val="00221811"/>
    <w:rsid w:val="0022573B"/>
    <w:rsid w:val="00226A5E"/>
    <w:rsid w:val="002271AE"/>
    <w:rsid w:val="00230EFC"/>
    <w:rsid w:val="00230F4A"/>
    <w:rsid w:val="00232173"/>
    <w:rsid w:val="00233070"/>
    <w:rsid w:val="002430B1"/>
    <w:rsid w:val="0024404F"/>
    <w:rsid w:val="002446E2"/>
    <w:rsid w:val="00244A50"/>
    <w:rsid w:val="00246E3D"/>
    <w:rsid w:val="002473B4"/>
    <w:rsid w:val="00247477"/>
    <w:rsid w:val="00252703"/>
    <w:rsid w:val="0025276D"/>
    <w:rsid w:val="00253BDB"/>
    <w:rsid w:val="00257F3B"/>
    <w:rsid w:val="00262291"/>
    <w:rsid w:val="002624DC"/>
    <w:rsid w:val="002638C4"/>
    <w:rsid w:val="002656E7"/>
    <w:rsid w:val="00266AB9"/>
    <w:rsid w:val="00267C1C"/>
    <w:rsid w:val="00270413"/>
    <w:rsid w:val="00271B6E"/>
    <w:rsid w:val="00271CA9"/>
    <w:rsid w:val="00274FA8"/>
    <w:rsid w:val="00276E6B"/>
    <w:rsid w:val="00284B6F"/>
    <w:rsid w:val="00285009"/>
    <w:rsid w:val="00290350"/>
    <w:rsid w:val="0029156B"/>
    <w:rsid w:val="002916C2"/>
    <w:rsid w:val="00293F87"/>
    <w:rsid w:val="0029517C"/>
    <w:rsid w:val="002959BB"/>
    <w:rsid w:val="002A01BE"/>
    <w:rsid w:val="002A11A0"/>
    <w:rsid w:val="002A2094"/>
    <w:rsid w:val="002A3A1F"/>
    <w:rsid w:val="002A4EF3"/>
    <w:rsid w:val="002A560C"/>
    <w:rsid w:val="002B00A1"/>
    <w:rsid w:val="002B3761"/>
    <w:rsid w:val="002B458F"/>
    <w:rsid w:val="002B4D56"/>
    <w:rsid w:val="002B7FD7"/>
    <w:rsid w:val="002C3704"/>
    <w:rsid w:val="002C47A7"/>
    <w:rsid w:val="002C4FD0"/>
    <w:rsid w:val="002C5811"/>
    <w:rsid w:val="002C6FD8"/>
    <w:rsid w:val="002D0C57"/>
    <w:rsid w:val="002D0C89"/>
    <w:rsid w:val="002D1B80"/>
    <w:rsid w:val="002D2095"/>
    <w:rsid w:val="002D635F"/>
    <w:rsid w:val="002D7FE3"/>
    <w:rsid w:val="002E2629"/>
    <w:rsid w:val="002E6D60"/>
    <w:rsid w:val="002F3968"/>
    <w:rsid w:val="002F44E4"/>
    <w:rsid w:val="002F4D16"/>
    <w:rsid w:val="002F6278"/>
    <w:rsid w:val="002F6447"/>
    <w:rsid w:val="00300900"/>
    <w:rsid w:val="00300FFB"/>
    <w:rsid w:val="00301304"/>
    <w:rsid w:val="0030280F"/>
    <w:rsid w:val="00304F0B"/>
    <w:rsid w:val="00305642"/>
    <w:rsid w:val="00306122"/>
    <w:rsid w:val="0030686B"/>
    <w:rsid w:val="00312AA7"/>
    <w:rsid w:val="00314261"/>
    <w:rsid w:val="00315221"/>
    <w:rsid w:val="00317519"/>
    <w:rsid w:val="00317753"/>
    <w:rsid w:val="00317767"/>
    <w:rsid w:val="0032124C"/>
    <w:rsid w:val="00321ABC"/>
    <w:rsid w:val="00324EC4"/>
    <w:rsid w:val="00325322"/>
    <w:rsid w:val="00325A6F"/>
    <w:rsid w:val="003301A9"/>
    <w:rsid w:val="003323A5"/>
    <w:rsid w:val="00332A34"/>
    <w:rsid w:val="00332B6F"/>
    <w:rsid w:val="003330EE"/>
    <w:rsid w:val="003346A2"/>
    <w:rsid w:val="00334EB9"/>
    <w:rsid w:val="0033670B"/>
    <w:rsid w:val="003400E8"/>
    <w:rsid w:val="00344C1E"/>
    <w:rsid w:val="00345C7F"/>
    <w:rsid w:val="00345D95"/>
    <w:rsid w:val="0034695D"/>
    <w:rsid w:val="00350089"/>
    <w:rsid w:val="00350361"/>
    <w:rsid w:val="003503DE"/>
    <w:rsid w:val="00350D54"/>
    <w:rsid w:val="00352223"/>
    <w:rsid w:val="00353430"/>
    <w:rsid w:val="003551BC"/>
    <w:rsid w:val="00361D66"/>
    <w:rsid w:val="00362743"/>
    <w:rsid w:val="003632CD"/>
    <w:rsid w:val="0036547C"/>
    <w:rsid w:val="00367025"/>
    <w:rsid w:val="00371B70"/>
    <w:rsid w:val="00372EDF"/>
    <w:rsid w:val="00374D19"/>
    <w:rsid w:val="00374D9E"/>
    <w:rsid w:val="00377F69"/>
    <w:rsid w:val="003803D3"/>
    <w:rsid w:val="003832D0"/>
    <w:rsid w:val="00383C44"/>
    <w:rsid w:val="0038659E"/>
    <w:rsid w:val="00387B4E"/>
    <w:rsid w:val="00391807"/>
    <w:rsid w:val="00392215"/>
    <w:rsid w:val="00394D21"/>
    <w:rsid w:val="00397A20"/>
    <w:rsid w:val="003A3667"/>
    <w:rsid w:val="003A3847"/>
    <w:rsid w:val="003A6046"/>
    <w:rsid w:val="003B083E"/>
    <w:rsid w:val="003B1051"/>
    <w:rsid w:val="003B1FBE"/>
    <w:rsid w:val="003B3F56"/>
    <w:rsid w:val="003B43EB"/>
    <w:rsid w:val="003B4912"/>
    <w:rsid w:val="003B4E85"/>
    <w:rsid w:val="003B6046"/>
    <w:rsid w:val="003B60F1"/>
    <w:rsid w:val="003B6FD9"/>
    <w:rsid w:val="003B7280"/>
    <w:rsid w:val="003C36C5"/>
    <w:rsid w:val="003C4D18"/>
    <w:rsid w:val="003C5267"/>
    <w:rsid w:val="003C6761"/>
    <w:rsid w:val="003D0B94"/>
    <w:rsid w:val="003D1D34"/>
    <w:rsid w:val="003D244E"/>
    <w:rsid w:val="003D39F9"/>
    <w:rsid w:val="003D5002"/>
    <w:rsid w:val="003D5A5C"/>
    <w:rsid w:val="003D7B97"/>
    <w:rsid w:val="003D7C59"/>
    <w:rsid w:val="003E15CC"/>
    <w:rsid w:val="003E1AEC"/>
    <w:rsid w:val="003E4F3A"/>
    <w:rsid w:val="003E5F22"/>
    <w:rsid w:val="003E6CF2"/>
    <w:rsid w:val="003E771C"/>
    <w:rsid w:val="003F1050"/>
    <w:rsid w:val="003F1BEF"/>
    <w:rsid w:val="003F3652"/>
    <w:rsid w:val="003F4281"/>
    <w:rsid w:val="003F42D9"/>
    <w:rsid w:val="003F73C1"/>
    <w:rsid w:val="003F7482"/>
    <w:rsid w:val="004005EE"/>
    <w:rsid w:val="0040196A"/>
    <w:rsid w:val="004023AB"/>
    <w:rsid w:val="00406347"/>
    <w:rsid w:val="00406936"/>
    <w:rsid w:val="00406A94"/>
    <w:rsid w:val="004109F4"/>
    <w:rsid w:val="00411C78"/>
    <w:rsid w:val="0041615D"/>
    <w:rsid w:val="0042175C"/>
    <w:rsid w:val="00425632"/>
    <w:rsid w:val="00425644"/>
    <w:rsid w:val="00431E9B"/>
    <w:rsid w:val="00433BD8"/>
    <w:rsid w:val="0043689B"/>
    <w:rsid w:val="00440202"/>
    <w:rsid w:val="00442472"/>
    <w:rsid w:val="00443642"/>
    <w:rsid w:val="00444F72"/>
    <w:rsid w:val="00445AAF"/>
    <w:rsid w:val="00445BE2"/>
    <w:rsid w:val="00446BD3"/>
    <w:rsid w:val="00451654"/>
    <w:rsid w:val="0045503C"/>
    <w:rsid w:val="00456CF8"/>
    <w:rsid w:val="004612F1"/>
    <w:rsid w:val="00461626"/>
    <w:rsid w:val="00464AA4"/>
    <w:rsid w:val="00464AB6"/>
    <w:rsid w:val="00465D38"/>
    <w:rsid w:val="00465DBE"/>
    <w:rsid w:val="004660A7"/>
    <w:rsid w:val="0047565B"/>
    <w:rsid w:val="00475995"/>
    <w:rsid w:val="00476ED6"/>
    <w:rsid w:val="00483688"/>
    <w:rsid w:val="00484982"/>
    <w:rsid w:val="0048541B"/>
    <w:rsid w:val="00485EC5"/>
    <w:rsid w:val="00486366"/>
    <w:rsid w:val="00487E5E"/>
    <w:rsid w:val="0049013A"/>
    <w:rsid w:val="00492679"/>
    <w:rsid w:val="00495394"/>
    <w:rsid w:val="004955C2"/>
    <w:rsid w:val="00496C47"/>
    <w:rsid w:val="00497EC7"/>
    <w:rsid w:val="004A1378"/>
    <w:rsid w:val="004A2C6F"/>
    <w:rsid w:val="004A3D80"/>
    <w:rsid w:val="004A5470"/>
    <w:rsid w:val="004A6568"/>
    <w:rsid w:val="004B16A8"/>
    <w:rsid w:val="004B1F20"/>
    <w:rsid w:val="004B339C"/>
    <w:rsid w:val="004B35B1"/>
    <w:rsid w:val="004B5BC7"/>
    <w:rsid w:val="004B6929"/>
    <w:rsid w:val="004C2E26"/>
    <w:rsid w:val="004C3342"/>
    <w:rsid w:val="004C3F1E"/>
    <w:rsid w:val="004D04B0"/>
    <w:rsid w:val="004D09B0"/>
    <w:rsid w:val="004D1C1F"/>
    <w:rsid w:val="004D3AB4"/>
    <w:rsid w:val="004D3E7B"/>
    <w:rsid w:val="004D643D"/>
    <w:rsid w:val="004D7937"/>
    <w:rsid w:val="004E0B6A"/>
    <w:rsid w:val="004E11CC"/>
    <w:rsid w:val="004E1210"/>
    <w:rsid w:val="004E4BCE"/>
    <w:rsid w:val="004E5097"/>
    <w:rsid w:val="004E55A2"/>
    <w:rsid w:val="004E5690"/>
    <w:rsid w:val="004E5729"/>
    <w:rsid w:val="004F0087"/>
    <w:rsid w:val="004F01C8"/>
    <w:rsid w:val="004F2C57"/>
    <w:rsid w:val="004F2C60"/>
    <w:rsid w:val="004F3571"/>
    <w:rsid w:val="004F360B"/>
    <w:rsid w:val="004F4B5F"/>
    <w:rsid w:val="004F4EE8"/>
    <w:rsid w:val="004F570B"/>
    <w:rsid w:val="00501620"/>
    <w:rsid w:val="00502F5E"/>
    <w:rsid w:val="00504DD6"/>
    <w:rsid w:val="005051EF"/>
    <w:rsid w:val="00506F5C"/>
    <w:rsid w:val="005100DC"/>
    <w:rsid w:val="005100F4"/>
    <w:rsid w:val="00512ED2"/>
    <w:rsid w:val="00512FCF"/>
    <w:rsid w:val="005140E4"/>
    <w:rsid w:val="0051452B"/>
    <w:rsid w:val="005152BA"/>
    <w:rsid w:val="005154D7"/>
    <w:rsid w:val="00515B48"/>
    <w:rsid w:val="00515C52"/>
    <w:rsid w:val="00517DC4"/>
    <w:rsid w:val="005209FF"/>
    <w:rsid w:val="0052102D"/>
    <w:rsid w:val="0052206B"/>
    <w:rsid w:val="005250DD"/>
    <w:rsid w:val="00525759"/>
    <w:rsid w:val="00525E54"/>
    <w:rsid w:val="00526E76"/>
    <w:rsid w:val="005277A1"/>
    <w:rsid w:val="00527A26"/>
    <w:rsid w:val="00527E8C"/>
    <w:rsid w:val="00534FAE"/>
    <w:rsid w:val="00535418"/>
    <w:rsid w:val="0053703B"/>
    <w:rsid w:val="00541326"/>
    <w:rsid w:val="00542718"/>
    <w:rsid w:val="005427BE"/>
    <w:rsid w:val="00542F01"/>
    <w:rsid w:val="005446F8"/>
    <w:rsid w:val="0055073F"/>
    <w:rsid w:val="0055162A"/>
    <w:rsid w:val="00551D8A"/>
    <w:rsid w:val="00551F8B"/>
    <w:rsid w:val="005534A1"/>
    <w:rsid w:val="005534ED"/>
    <w:rsid w:val="0055599D"/>
    <w:rsid w:val="00556D22"/>
    <w:rsid w:val="005575CC"/>
    <w:rsid w:val="00561A72"/>
    <w:rsid w:val="00562B8F"/>
    <w:rsid w:val="005632DC"/>
    <w:rsid w:val="00564362"/>
    <w:rsid w:val="00565676"/>
    <w:rsid w:val="0056616D"/>
    <w:rsid w:val="005666FA"/>
    <w:rsid w:val="00567E8A"/>
    <w:rsid w:val="0057020E"/>
    <w:rsid w:val="0057273B"/>
    <w:rsid w:val="0057310B"/>
    <w:rsid w:val="00573945"/>
    <w:rsid w:val="00573FE3"/>
    <w:rsid w:val="0057407D"/>
    <w:rsid w:val="00574A69"/>
    <w:rsid w:val="0057601D"/>
    <w:rsid w:val="00577265"/>
    <w:rsid w:val="00580166"/>
    <w:rsid w:val="0058687C"/>
    <w:rsid w:val="00587D12"/>
    <w:rsid w:val="00591DFF"/>
    <w:rsid w:val="00593600"/>
    <w:rsid w:val="00595C86"/>
    <w:rsid w:val="00597AC3"/>
    <w:rsid w:val="005A0675"/>
    <w:rsid w:val="005A2160"/>
    <w:rsid w:val="005A4FDF"/>
    <w:rsid w:val="005A6841"/>
    <w:rsid w:val="005A702A"/>
    <w:rsid w:val="005A7152"/>
    <w:rsid w:val="005A72D6"/>
    <w:rsid w:val="005B0F82"/>
    <w:rsid w:val="005B18C3"/>
    <w:rsid w:val="005B6DA9"/>
    <w:rsid w:val="005C0568"/>
    <w:rsid w:val="005C0B8E"/>
    <w:rsid w:val="005C0BF8"/>
    <w:rsid w:val="005C0D68"/>
    <w:rsid w:val="005C2324"/>
    <w:rsid w:val="005D08AD"/>
    <w:rsid w:val="005D1492"/>
    <w:rsid w:val="005D4416"/>
    <w:rsid w:val="005D455E"/>
    <w:rsid w:val="005D7275"/>
    <w:rsid w:val="005E159F"/>
    <w:rsid w:val="005E404F"/>
    <w:rsid w:val="005E4C86"/>
    <w:rsid w:val="005E4E8F"/>
    <w:rsid w:val="005E4F71"/>
    <w:rsid w:val="005F0179"/>
    <w:rsid w:val="005F05B5"/>
    <w:rsid w:val="005F1CA7"/>
    <w:rsid w:val="005F21D5"/>
    <w:rsid w:val="005F472B"/>
    <w:rsid w:val="005F5A79"/>
    <w:rsid w:val="005F675F"/>
    <w:rsid w:val="0060020B"/>
    <w:rsid w:val="00601AE9"/>
    <w:rsid w:val="006026AB"/>
    <w:rsid w:val="00602841"/>
    <w:rsid w:val="00603B37"/>
    <w:rsid w:val="00603C5F"/>
    <w:rsid w:val="0060669F"/>
    <w:rsid w:val="006100BE"/>
    <w:rsid w:val="006104EC"/>
    <w:rsid w:val="006125AF"/>
    <w:rsid w:val="00612D14"/>
    <w:rsid w:val="00613B53"/>
    <w:rsid w:val="006212AE"/>
    <w:rsid w:val="00623090"/>
    <w:rsid w:val="0062522E"/>
    <w:rsid w:val="00625BFD"/>
    <w:rsid w:val="00630C3E"/>
    <w:rsid w:val="00631986"/>
    <w:rsid w:val="0063287E"/>
    <w:rsid w:val="00632985"/>
    <w:rsid w:val="00633917"/>
    <w:rsid w:val="00634FD9"/>
    <w:rsid w:val="00635454"/>
    <w:rsid w:val="00637472"/>
    <w:rsid w:val="00637A49"/>
    <w:rsid w:val="006400CE"/>
    <w:rsid w:val="00651E48"/>
    <w:rsid w:val="00652D54"/>
    <w:rsid w:val="00653F38"/>
    <w:rsid w:val="00654CA1"/>
    <w:rsid w:val="00655C19"/>
    <w:rsid w:val="0066020E"/>
    <w:rsid w:val="00660679"/>
    <w:rsid w:val="00661D5F"/>
    <w:rsid w:val="00665259"/>
    <w:rsid w:val="0066544C"/>
    <w:rsid w:val="00666156"/>
    <w:rsid w:val="006704EF"/>
    <w:rsid w:val="00673657"/>
    <w:rsid w:val="00674A5F"/>
    <w:rsid w:val="00674AFF"/>
    <w:rsid w:val="0067598A"/>
    <w:rsid w:val="00676A7E"/>
    <w:rsid w:val="00677495"/>
    <w:rsid w:val="00680443"/>
    <w:rsid w:val="00683702"/>
    <w:rsid w:val="0068451A"/>
    <w:rsid w:val="00685E18"/>
    <w:rsid w:val="00691477"/>
    <w:rsid w:val="00692342"/>
    <w:rsid w:val="00693732"/>
    <w:rsid w:val="00693ABF"/>
    <w:rsid w:val="00694D7F"/>
    <w:rsid w:val="006967AB"/>
    <w:rsid w:val="006A59AE"/>
    <w:rsid w:val="006A60A3"/>
    <w:rsid w:val="006A7BC9"/>
    <w:rsid w:val="006B3FFA"/>
    <w:rsid w:val="006B41F4"/>
    <w:rsid w:val="006B5C4B"/>
    <w:rsid w:val="006B6616"/>
    <w:rsid w:val="006B72DA"/>
    <w:rsid w:val="006B73D1"/>
    <w:rsid w:val="006C1323"/>
    <w:rsid w:val="006C1AA3"/>
    <w:rsid w:val="006C1D25"/>
    <w:rsid w:val="006C395E"/>
    <w:rsid w:val="006C508A"/>
    <w:rsid w:val="006C53C7"/>
    <w:rsid w:val="006C6CE1"/>
    <w:rsid w:val="006D0C41"/>
    <w:rsid w:val="006D0D50"/>
    <w:rsid w:val="006D0E4B"/>
    <w:rsid w:val="006D0EF6"/>
    <w:rsid w:val="006D10DD"/>
    <w:rsid w:val="006D36C3"/>
    <w:rsid w:val="006D47D5"/>
    <w:rsid w:val="006D7365"/>
    <w:rsid w:val="006E127B"/>
    <w:rsid w:val="006E175F"/>
    <w:rsid w:val="006E5EB5"/>
    <w:rsid w:val="006E69F2"/>
    <w:rsid w:val="006E754B"/>
    <w:rsid w:val="006E7636"/>
    <w:rsid w:val="006F00D3"/>
    <w:rsid w:val="006F1E84"/>
    <w:rsid w:val="006F325B"/>
    <w:rsid w:val="006F3BC8"/>
    <w:rsid w:val="006F4031"/>
    <w:rsid w:val="006F5AD6"/>
    <w:rsid w:val="007019A7"/>
    <w:rsid w:val="00701A58"/>
    <w:rsid w:val="007026AA"/>
    <w:rsid w:val="00702969"/>
    <w:rsid w:val="00702DB7"/>
    <w:rsid w:val="00704140"/>
    <w:rsid w:val="007064FD"/>
    <w:rsid w:val="00706D52"/>
    <w:rsid w:val="00706EC6"/>
    <w:rsid w:val="00710B97"/>
    <w:rsid w:val="00711D64"/>
    <w:rsid w:val="007150E2"/>
    <w:rsid w:val="00715540"/>
    <w:rsid w:val="007213C6"/>
    <w:rsid w:val="007227B1"/>
    <w:rsid w:val="007243F0"/>
    <w:rsid w:val="00725B6C"/>
    <w:rsid w:val="00725CF0"/>
    <w:rsid w:val="0072690B"/>
    <w:rsid w:val="00726D23"/>
    <w:rsid w:val="00730455"/>
    <w:rsid w:val="0073315B"/>
    <w:rsid w:val="00733369"/>
    <w:rsid w:val="0073465E"/>
    <w:rsid w:val="007358D8"/>
    <w:rsid w:val="007366BE"/>
    <w:rsid w:val="00736C53"/>
    <w:rsid w:val="00736FD7"/>
    <w:rsid w:val="007373D6"/>
    <w:rsid w:val="007378A3"/>
    <w:rsid w:val="007436F9"/>
    <w:rsid w:val="00743AF9"/>
    <w:rsid w:val="007442FB"/>
    <w:rsid w:val="00746C28"/>
    <w:rsid w:val="007518F8"/>
    <w:rsid w:val="0075458E"/>
    <w:rsid w:val="0076067D"/>
    <w:rsid w:val="00762032"/>
    <w:rsid w:val="007642FA"/>
    <w:rsid w:val="0076463A"/>
    <w:rsid w:val="00765D5A"/>
    <w:rsid w:val="0077278C"/>
    <w:rsid w:val="00773955"/>
    <w:rsid w:val="00774055"/>
    <w:rsid w:val="00774C59"/>
    <w:rsid w:val="00775C7A"/>
    <w:rsid w:val="0077697C"/>
    <w:rsid w:val="00777317"/>
    <w:rsid w:val="0077737F"/>
    <w:rsid w:val="00782B71"/>
    <w:rsid w:val="00783129"/>
    <w:rsid w:val="0078428D"/>
    <w:rsid w:val="00784C67"/>
    <w:rsid w:val="007864BA"/>
    <w:rsid w:val="0078724A"/>
    <w:rsid w:val="0078769C"/>
    <w:rsid w:val="0079241F"/>
    <w:rsid w:val="007930C5"/>
    <w:rsid w:val="00795929"/>
    <w:rsid w:val="0079612B"/>
    <w:rsid w:val="00796489"/>
    <w:rsid w:val="0079779B"/>
    <w:rsid w:val="007A0CBB"/>
    <w:rsid w:val="007A226A"/>
    <w:rsid w:val="007A229D"/>
    <w:rsid w:val="007A35A8"/>
    <w:rsid w:val="007A664F"/>
    <w:rsid w:val="007A67F3"/>
    <w:rsid w:val="007A6CCE"/>
    <w:rsid w:val="007B00EF"/>
    <w:rsid w:val="007B14DE"/>
    <w:rsid w:val="007B21AA"/>
    <w:rsid w:val="007B50AA"/>
    <w:rsid w:val="007B55EF"/>
    <w:rsid w:val="007B622F"/>
    <w:rsid w:val="007B79DD"/>
    <w:rsid w:val="007C0C42"/>
    <w:rsid w:val="007C16F6"/>
    <w:rsid w:val="007C1705"/>
    <w:rsid w:val="007C1A8B"/>
    <w:rsid w:val="007C22E9"/>
    <w:rsid w:val="007C24F4"/>
    <w:rsid w:val="007C2D7E"/>
    <w:rsid w:val="007C7C1B"/>
    <w:rsid w:val="007D25FA"/>
    <w:rsid w:val="007D2930"/>
    <w:rsid w:val="007D2BFB"/>
    <w:rsid w:val="007D2C17"/>
    <w:rsid w:val="007D7E6C"/>
    <w:rsid w:val="007E1407"/>
    <w:rsid w:val="007E2D7C"/>
    <w:rsid w:val="007E3A8D"/>
    <w:rsid w:val="007E6CA5"/>
    <w:rsid w:val="007E759B"/>
    <w:rsid w:val="007E7EDD"/>
    <w:rsid w:val="007F0C6F"/>
    <w:rsid w:val="007F1B03"/>
    <w:rsid w:val="007F380B"/>
    <w:rsid w:val="007F388B"/>
    <w:rsid w:val="007F449E"/>
    <w:rsid w:val="00801F06"/>
    <w:rsid w:val="008021C0"/>
    <w:rsid w:val="00806D64"/>
    <w:rsid w:val="0080767C"/>
    <w:rsid w:val="008128E6"/>
    <w:rsid w:val="00813D3A"/>
    <w:rsid w:val="00821C53"/>
    <w:rsid w:val="008233C6"/>
    <w:rsid w:val="00823B48"/>
    <w:rsid w:val="0082439B"/>
    <w:rsid w:val="008248AD"/>
    <w:rsid w:val="00824E8A"/>
    <w:rsid w:val="00825311"/>
    <w:rsid w:val="00826517"/>
    <w:rsid w:val="00826AE6"/>
    <w:rsid w:val="00826B23"/>
    <w:rsid w:val="00827FB0"/>
    <w:rsid w:val="00830DF9"/>
    <w:rsid w:val="008352B4"/>
    <w:rsid w:val="008358A1"/>
    <w:rsid w:val="008402B3"/>
    <w:rsid w:val="00840E08"/>
    <w:rsid w:val="00842ED7"/>
    <w:rsid w:val="008436A6"/>
    <w:rsid w:val="00846FB3"/>
    <w:rsid w:val="00847460"/>
    <w:rsid w:val="00847CE1"/>
    <w:rsid w:val="00850C2F"/>
    <w:rsid w:val="00851572"/>
    <w:rsid w:val="008523D7"/>
    <w:rsid w:val="00853852"/>
    <w:rsid w:val="008543FF"/>
    <w:rsid w:val="008553DD"/>
    <w:rsid w:val="00855F1E"/>
    <w:rsid w:val="00864093"/>
    <w:rsid w:val="00864AA4"/>
    <w:rsid w:val="008656BF"/>
    <w:rsid w:val="00865821"/>
    <w:rsid w:val="00865957"/>
    <w:rsid w:val="00871EF7"/>
    <w:rsid w:val="00872DE0"/>
    <w:rsid w:val="00874291"/>
    <w:rsid w:val="00882864"/>
    <w:rsid w:val="00884221"/>
    <w:rsid w:val="008845B3"/>
    <w:rsid w:val="0088487F"/>
    <w:rsid w:val="00884D4F"/>
    <w:rsid w:val="00887549"/>
    <w:rsid w:val="00891725"/>
    <w:rsid w:val="0089379A"/>
    <w:rsid w:val="008A0925"/>
    <w:rsid w:val="008A2354"/>
    <w:rsid w:val="008A389B"/>
    <w:rsid w:val="008A70DD"/>
    <w:rsid w:val="008A769D"/>
    <w:rsid w:val="008A7948"/>
    <w:rsid w:val="008B010B"/>
    <w:rsid w:val="008B0D1B"/>
    <w:rsid w:val="008B0FD8"/>
    <w:rsid w:val="008B1118"/>
    <w:rsid w:val="008B53A1"/>
    <w:rsid w:val="008B5DF7"/>
    <w:rsid w:val="008B60AE"/>
    <w:rsid w:val="008B7029"/>
    <w:rsid w:val="008B710F"/>
    <w:rsid w:val="008C1F9E"/>
    <w:rsid w:val="008C32AF"/>
    <w:rsid w:val="008C496E"/>
    <w:rsid w:val="008C4E0C"/>
    <w:rsid w:val="008C5039"/>
    <w:rsid w:val="008C5CB9"/>
    <w:rsid w:val="008C7192"/>
    <w:rsid w:val="008D346D"/>
    <w:rsid w:val="008D41BA"/>
    <w:rsid w:val="008D434F"/>
    <w:rsid w:val="008D4D35"/>
    <w:rsid w:val="008D6B6E"/>
    <w:rsid w:val="008D7C33"/>
    <w:rsid w:val="008D7C72"/>
    <w:rsid w:val="008E4B57"/>
    <w:rsid w:val="008E5894"/>
    <w:rsid w:val="008F0310"/>
    <w:rsid w:val="008F0A64"/>
    <w:rsid w:val="008F29B7"/>
    <w:rsid w:val="00900769"/>
    <w:rsid w:val="00901830"/>
    <w:rsid w:val="00902D98"/>
    <w:rsid w:val="00905D93"/>
    <w:rsid w:val="00907102"/>
    <w:rsid w:val="00907CDB"/>
    <w:rsid w:val="00907FA5"/>
    <w:rsid w:val="00910F69"/>
    <w:rsid w:val="00912A6F"/>
    <w:rsid w:val="0091546E"/>
    <w:rsid w:val="00915960"/>
    <w:rsid w:val="009178D4"/>
    <w:rsid w:val="00920396"/>
    <w:rsid w:val="0092087E"/>
    <w:rsid w:val="00921454"/>
    <w:rsid w:val="00921AD1"/>
    <w:rsid w:val="00922CB1"/>
    <w:rsid w:val="00922CE2"/>
    <w:rsid w:val="009232F5"/>
    <w:rsid w:val="009242D2"/>
    <w:rsid w:val="00926DD5"/>
    <w:rsid w:val="009330B9"/>
    <w:rsid w:val="009331B8"/>
    <w:rsid w:val="0093464B"/>
    <w:rsid w:val="009358B0"/>
    <w:rsid w:val="00935A6B"/>
    <w:rsid w:val="00937BBE"/>
    <w:rsid w:val="00941696"/>
    <w:rsid w:val="00944171"/>
    <w:rsid w:val="00944B86"/>
    <w:rsid w:val="00946464"/>
    <w:rsid w:val="0094669A"/>
    <w:rsid w:val="00946BF8"/>
    <w:rsid w:val="00946F29"/>
    <w:rsid w:val="00947010"/>
    <w:rsid w:val="0094710D"/>
    <w:rsid w:val="00947710"/>
    <w:rsid w:val="00947D02"/>
    <w:rsid w:val="009502E0"/>
    <w:rsid w:val="00950428"/>
    <w:rsid w:val="00952A8C"/>
    <w:rsid w:val="00954C0F"/>
    <w:rsid w:val="00955551"/>
    <w:rsid w:val="00960093"/>
    <w:rsid w:val="00961DFC"/>
    <w:rsid w:val="00962D6E"/>
    <w:rsid w:val="00963BFF"/>
    <w:rsid w:val="009645EF"/>
    <w:rsid w:val="00964634"/>
    <w:rsid w:val="00965156"/>
    <w:rsid w:val="00966150"/>
    <w:rsid w:val="0096759A"/>
    <w:rsid w:val="00971766"/>
    <w:rsid w:val="009717C6"/>
    <w:rsid w:val="009741F7"/>
    <w:rsid w:val="00975656"/>
    <w:rsid w:val="00975CAD"/>
    <w:rsid w:val="00976B38"/>
    <w:rsid w:val="00976D00"/>
    <w:rsid w:val="009776A4"/>
    <w:rsid w:val="00977EFD"/>
    <w:rsid w:val="00980BCE"/>
    <w:rsid w:val="00981B75"/>
    <w:rsid w:val="009844C3"/>
    <w:rsid w:val="0098510A"/>
    <w:rsid w:val="009854D9"/>
    <w:rsid w:val="00985A72"/>
    <w:rsid w:val="00985A79"/>
    <w:rsid w:val="00985D44"/>
    <w:rsid w:val="00990631"/>
    <w:rsid w:val="00995BAD"/>
    <w:rsid w:val="009974AD"/>
    <w:rsid w:val="009A1ED4"/>
    <w:rsid w:val="009A2618"/>
    <w:rsid w:val="009A49E2"/>
    <w:rsid w:val="009A6254"/>
    <w:rsid w:val="009A7C47"/>
    <w:rsid w:val="009B2FBF"/>
    <w:rsid w:val="009B44C6"/>
    <w:rsid w:val="009B463E"/>
    <w:rsid w:val="009B663D"/>
    <w:rsid w:val="009C2D3D"/>
    <w:rsid w:val="009C3653"/>
    <w:rsid w:val="009C3981"/>
    <w:rsid w:val="009C6B07"/>
    <w:rsid w:val="009C70BC"/>
    <w:rsid w:val="009D0E3F"/>
    <w:rsid w:val="009D3547"/>
    <w:rsid w:val="009D486B"/>
    <w:rsid w:val="009D625B"/>
    <w:rsid w:val="009D7F42"/>
    <w:rsid w:val="009E2AA1"/>
    <w:rsid w:val="009E6F6F"/>
    <w:rsid w:val="009E7AEB"/>
    <w:rsid w:val="009F02CB"/>
    <w:rsid w:val="009F0C79"/>
    <w:rsid w:val="009F198C"/>
    <w:rsid w:val="009F1D6E"/>
    <w:rsid w:val="009F6C9A"/>
    <w:rsid w:val="009F7334"/>
    <w:rsid w:val="00A00C74"/>
    <w:rsid w:val="00A016EF"/>
    <w:rsid w:val="00A02FDC"/>
    <w:rsid w:val="00A05AF7"/>
    <w:rsid w:val="00A05BCF"/>
    <w:rsid w:val="00A05FCA"/>
    <w:rsid w:val="00A07CD1"/>
    <w:rsid w:val="00A10978"/>
    <w:rsid w:val="00A11519"/>
    <w:rsid w:val="00A1202E"/>
    <w:rsid w:val="00A1254A"/>
    <w:rsid w:val="00A14E91"/>
    <w:rsid w:val="00A1546E"/>
    <w:rsid w:val="00A17FF9"/>
    <w:rsid w:val="00A211A1"/>
    <w:rsid w:val="00A22BDF"/>
    <w:rsid w:val="00A23785"/>
    <w:rsid w:val="00A24E11"/>
    <w:rsid w:val="00A255B8"/>
    <w:rsid w:val="00A27313"/>
    <w:rsid w:val="00A2770D"/>
    <w:rsid w:val="00A30BA4"/>
    <w:rsid w:val="00A3295B"/>
    <w:rsid w:val="00A34032"/>
    <w:rsid w:val="00A34EFE"/>
    <w:rsid w:val="00A371B2"/>
    <w:rsid w:val="00A40839"/>
    <w:rsid w:val="00A415D6"/>
    <w:rsid w:val="00A427A8"/>
    <w:rsid w:val="00A43A9E"/>
    <w:rsid w:val="00A4753D"/>
    <w:rsid w:val="00A50004"/>
    <w:rsid w:val="00A504FD"/>
    <w:rsid w:val="00A5163D"/>
    <w:rsid w:val="00A53001"/>
    <w:rsid w:val="00A531D2"/>
    <w:rsid w:val="00A535DA"/>
    <w:rsid w:val="00A575B6"/>
    <w:rsid w:val="00A57CB9"/>
    <w:rsid w:val="00A62BAD"/>
    <w:rsid w:val="00A6307F"/>
    <w:rsid w:val="00A63232"/>
    <w:rsid w:val="00A642FC"/>
    <w:rsid w:val="00A659CC"/>
    <w:rsid w:val="00A65C77"/>
    <w:rsid w:val="00A7199A"/>
    <w:rsid w:val="00A730A0"/>
    <w:rsid w:val="00A7351A"/>
    <w:rsid w:val="00A769A3"/>
    <w:rsid w:val="00A81C28"/>
    <w:rsid w:val="00A81DF1"/>
    <w:rsid w:val="00A846A4"/>
    <w:rsid w:val="00A8474C"/>
    <w:rsid w:val="00A91A26"/>
    <w:rsid w:val="00A923CF"/>
    <w:rsid w:val="00A93394"/>
    <w:rsid w:val="00AA1180"/>
    <w:rsid w:val="00AA14EE"/>
    <w:rsid w:val="00AA243A"/>
    <w:rsid w:val="00AA28E2"/>
    <w:rsid w:val="00AA33C1"/>
    <w:rsid w:val="00AA3B4C"/>
    <w:rsid w:val="00AA3C3A"/>
    <w:rsid w:val="00AA674F"/>
    <w:rsid w:val="00AA6A7E"/>
    <w:rsid w:val="00AB2FBE"/>
    <w:rsid w:val="00AB3924"/>
    <w:rsid w:val="00AC1A82"/>
    <w:rsid w:val="00AC3A9F"/>
    <w:rsid w:val="00AC5588"/>
    <w:rsid w:val="00AC56BE"/>
    <w:rsid w:val="00AC611E"/>
    <w:rsid w:val="00AC7902"/>
    <w:rsid w:val="00AD2734"/>
    <w:rsid w:val="00AD2D93"/>
    <w:rsid w:val="00AD502B"/>
    <w:rsid w:val="00AD796B"/>
    <w:rsid w:val="00AE4589"/>
    <w:rsid w:val="00AE5132"/>
    <w:rsid w:val="00AF0281"/>
    <w:rsid w:val="00AF041B"/>
    <w:rsid w:val="00AF2B17"/>
    <w:rsid w:val="00AF5F23"/>
    <w:rsid w:val="00B04911"/>
    <w:rsid w:val="00B04949"/>
    <w:rsid w:val="00B05A38"/>
    <w:rsid w:val="00B05BC8"/>
    <w:rsid w:val="00B05FCC"/>
    <w:rsid w:val="00B0693E"/>
    <w:rsid w:val="00B06F4C"/>
    <w:rsid w:val="00B10B91"/>
    <w:rsid w:val="00B14FF7"/>
    <w:rsid w:val="00B154FF"/>
    <w:rsid w:val="00B15FA1"/>
    <w:rsid w:val="00B1749F"/>
    <w:rsid w:val="00B17867"/>
    <w:rsid w:val="00B240B0"/>
    <w:rsid w:val="00B25C53"/>
    <w:rsid w:val="00B26650"/>
    <w:rsid w:val="00B26655"/>
    <w:rsid w:val="00B27D8A"/>
    <w:rsid w:val="00B3187B"/>
    <w:rsid w:val="00B3544C"/>
    <w:rsid w:val="00B37A4A"/>
    <w:rsid w:val="00B404BD"/>
    <w:rsid w:val="00B40B00"/>
    <w:rsid w:val="00B436C1"/>
    <w:rsid w:val="00B45F1E"/>
    <w:rsid w:val="00B4662F"/>
    <w:rsid w:val="00B472AA"/>
    <w:rsid w:val="00B505CE"/>
    <w:rsid w:val="00B53A8E"/>
    <w:rsid w:val="00B60EC4"/>
    <w:rsid w:val="00B61895"/>
    <w:rsid w:val="00B624B0"/>
    <w:rsid w:val="00B626C7"/>
    <w:rsid w:val="00B6370A"/>
    <w:rsid w:val="00B63877"/>
    <w:rsid w:val="00B63CE3"/>
    <w:rsid w:val="00B651A5"/>
    <w:rsid w:val="00B67C2C"/>
    <w:rsid w:val="00B7015B"/>
    <w:rsid w:val="00B70BBE"/>
    <w:rsid w:val="00B717E8"/>
    <w:rsid w:val="00B73F54"/>
    <w:rsid w:val="00B764E7"/>
    <w:rsid w:val="00B76EAB"/>
    <w:rsid w:val="00B7735D"/>
    <w:rsid w:val="00B82063"/>
    <w:rsid w:val="00B82E73"/>
    <w:rsid w:val="00B83871"/>
    <w:rsid w:val="00B85447"/>
    <w:rsid w:val="00B8560A"/>
    <w:rsid w:val="00B86B7C"/>
    <w:rsid w:val="00B876C7"/>
    <w:rsid w:val="00B92817"/>
    <w:rsid w:val="00B93489"/>
    <w:rsid w:val="00B9408B"/>
    <w:rsid w:val="00B94971"/>
    <w:rsid w:val="00B9584B"/>
    <w:rsid w:val="00BA0445"/>
    <w:rsid w:val="00BA23C3"/>
    <w:rsid w:val="00BA3632"/>
    <w:rsid w:val="00BA4130"/>
    <w:rsid w:val="00BA4BD3"/>
    <w:rsid w:val="00BA587A"/>
    <w:rsid w:val="00BA5BA3"/>
    <w:rsid w:val="00BB10B1"/>
    <w:rsid w:val="00BB4F5A"/>
    <w:rsid w:val="00BB750F"/>
    <w:rsid w:val="00BD28C1"/>
    <w:rsid w:val="00BD325E"/>
    <w:rsid w:val="00BD6262"/>
    <w:rsid w:val="00BD796A"/>
    <w:rsid w:val="00BD7D8F"/>
    <w:rsid w:val="00BE1D0E"/>
    <w:rsid w:val="00BE2EDE"/>
    <w:rsid w:val="00BE429F"/>
    <w:rsid w:val="00BE4F8A"/>
    <w:rsid w:val="00BE59D1"/>
    <w:rsid w:val="00BE6469"/>
    <w:rsid w:val="00BE654E"/>
    <w:rsid w:val="00BE72C4"/>
    <w:rsid w:val="00BF0293"/>
    <w:rsid w:val="00BF16E8"/>
    <w:rsid w:val="00BF1A48"/>
    <w:rsid w:val="00BF49BC"/>
    <w:rsid w:val="00BF66A3"/>
    <w:rsid w:val="00BF7CF5"/>
    <w:rsid w:val="00C0230A"/>
    <w:rsid w:val="00C063B5"/>
    <w:rsid w:val="00C12096"/>
    <w:rsid w:val="00C124EB"/>
    <w:rsid w:val="00C12D36"/>
    <w:rsid w:val="00C15B0F"/>
    <w:rsid w:val="00C20FA1"/>
    <w:rsid w:val="00C270F1"/>
    <w:rsid w:val="00C27627"/>
    <w:rsid w:val="00C32161"/>
    <w:rsid w:val="00C32E56"/>
    <w:rsid w:val="00C33919"/>
    <w:rsid w:val="00C34326"/>
    <w:rsid w:val="00C347C2"/>
    <w:rsid w:val="00C34DA4"/>
    <w:rsid w:val="00C360A3"/>
    <w:rsid w:val="00C37B11"/>
    <w:rsid w:val="00C4163B"/>
    <w:rsid w:val="00C42CA2"/>
    <w:rsid w:val="00C46A1B"/>
    <w:rsid w:val="00C476BA"/>
    <w:rsid w:val="00C5171D"/>
    <w:rsid w:val="00C52483"/>
    <w:rsid w:val="00C52C5E"/>
    <w:rsid w:val="00C54617"/>
    <w:rsid w:val="00C550B9"/>
    <w:rsid w:val="00C5682B"/>
    <w:rsid w:val="00C56DC3"/>
    <w:rsid w:val="00C60C88"/>
    <w:rsid w:val="00C61DFE"/>
    <w:rsid w:val="00C62209"/>
    <w:rsid w:val="00C66175"/>
    <w:rsid w:val="00C66445"/>
    <w:rsid w:val="00C66BEC"/>
    <w:rsid w:val="00C70A4A"/>
    <w:rsid w:val="00C74966"/>
    <w:rsid w:val="00C74A76"/>
    <w:rsid w:val="00C754FD"/>
    <w:rsid w:val="00C75C63"/>
    <w:rsid w:val="00C75F83"/>
    <w:rsid w:val="00C80A34"/>
    <w:rsid w:val="00C84694"/>
    <w:rsid w:val="00C8703F"/>
    <w:rsid w:val="00C8757F"/>
    <w:rsid w:val="00C9029C"/>
    <w:rsid w:val="00C91306"/>
    <w:rsid w:val="00C94409"/>
    <w:rsid w:val="00C9446F"/>
    <w:rsid w:val="00C94CC1"/>
    <w:rsid w:val="00C9566B"/>
    <w:rsid w:val="00C9677C"/>
    <w:rsid w:val="00C96862"/>
    <w:rsid w:val="00C976A9"/>
    <w:rsid w:val="00CA07DF"/>
    <w:rsid w:val="00CA2CB1"/>
    <w:rsid w:val="00CA6BC7"/>
    <w:rsid w:val="00CA76CE"/>
    <w:rsid w:val="00CB0869"/>
    <w:rsid w:val="00CB6078"/>
    <w:rsid w:val="00CB6135"/>
    <w:rsid w:val="00CC02AB"/>
    <w:rsid w:val="00CC0D60"/>
    <w:rsid w:val="00CC11BE"/>
    <w:rsid w:val="00CC253E"/>
    <w:rsid w:val="00CC3413"/>
    <w:rsid w:val="00CD0411"/>
    <w:rsid w:val="00CD26D2"/>
    <w:rsid w:val="00CD2823"/>
    <w:rsid w:val="00CD284D"/>
    <w:rsid w:val="00CD527A"/>
    <w:rsid w:val="00CD7295"/>
    <w:rsid w:val="00CD74AE"/>
    <w:rsid w:val="00CE0640"/>
    <w:rsid w:val="00CE0ADD"/>
    <w:rsid w:val="00CE2C7B"/>
    <w:rsid w:val="00CE60DD"/>
    <w:rsid w:val="00CE6C16"/>
    <w:rsid w:val="00CE7002"/>
    <w:rsid w:val="00CF0CF4"/>
    <w:rsid w:val="00CF1109"/>
    <w:rsid w:val="00CF3E13"/>
    <w:rsid w:val="00CF3E23"/>
    <w:rsid w:val="00CF43C7"/>
    <w:rsid w:val="00CF470A"/>
    <w:rsid w:val="00CF4D5A"/>
    <w:rsid w:val="00CF5812"/>
    <w:rsid w:val="00D004A7"/>
    <w:rsid w:val="00D0441A"/>
    <w:rsid w:val="00D07423"/>
    <w:rsid w:val="00D108F5"/>
    <w:rsid w:val="00D11EB6"/>
    <w:rsid w:val="00D14A6B"/>
    <w:rsid w:val="00D15F5A"/>
    <w:rsid w:val="00D16948"/>
    <w:rsid w:val="00D17C0C"/>
    <w:rsid w:val="00D212BB"/>
    <w:rsid w:val="00D21E73"/>
    <w:rsid w:val="00D24053"/>
    <w:rsid w:val="00D252E0"/>
    <w:rsid w:val="00D25445"/>
    <w:rsid w:val="00D273AD"/>
    <w:rsid w:val="00D27B64"/>
    <w:rsid w:val="00D31842"/>
    <w:rsid w:val="00D32CAF"/>
    <w:rsid w:val="00D3422B"/>
    <w:rsid w:val="00D35F4D"/>
    <w:rsid w:val="00D36F78"/>
    <w:rsid w:val="00D40956"/>
    <w:rsid w:val="00D409FC"/>
    <w:rsid w:val="00D42D37"/>
    <w:rsid w:val="00D42E8C"/>
    <w:rsid w:val="00D43B83"/>
    <w:rsid w:val="00D43C6D"/>
    <w:rsid w:val="00D43FCF"/>
    <w:rsid w:val="00D446AD"/>
    <w:rsid w:val="00D4738C"/>
    <w:rsid w:val="00D506FF"/>
    <w:rsid w:val="00D52205"/>
    <w:rsid w:val="00D5358B"/>
    <w:rsid w:val="00D55D38"/>
    <w:rsid w:val="00D55FE8"/>
    <w:rsid w:val="00D57090"/>
    <w:rsid w:val="00D60161"/>
    <w:rsid w:val="00D60958"/>
    <w:rsid w:val="00D6119B"/>
    <w:rsid w:val="00D6354D"/>
    <w:rsid w:val="00D664CA"/>
    <w:rsid w:val="00D67043"/>
    <w:rsid w:val="00D72933"/>
    <w:rsid w:val="00D73446"/>
    <w:rsid w:val="00D75048"/>
    <w:rsid w:val="00D7645F"/>
    <w:rsid w:val="00D76BB3"/>
    <w:rsid w:val="00D8289C"/>
    <w:rsid w:val="00D8329E"/>
    <w:rsid w:val="00D83A42"/>
    <w:rsid w:val="00D83AF8"/>
    <w:rsid w:val="00D85403"/>
    <w:rsid w:val="00D8546F"/>
    <w:rsid w:val="00D87ABC"/>
    <w:rsid w:val="00D9177B"/>
    <w:rsid w:val="00D91CDF"/>
    <w:rsid w:val="00D927A7"/>
    <w:rsid w:val="00D946B1"/>
    <w:rsid w:val="00D94AEF"/>
    <w:rsid w:val="00D95124"/>
    <w:rsid w:val="00D95857"/>
    <w:rsid w:val="00D97692"/>
    <w:rsid w:val="00D97E72"/>
    <w:rsid w:val="00DA31F7"/>
    <w:rsid w:val="00DA6250"/>
    <w:rsid w:val="00DB1E95"/>
    <w:rsid w:val="00DB3EDC"/>
    <w:rsid w:val="00DC1265"/>
    <w:rsid w:val="00DC2D6D"/>
    <w:rsid w:val="00DC3882"/>
    <w:rsid w:val="00DC64DC"/>
    <w:rsid w:val="00DC6509"/>
    <w:rsid w:val="00DC706D"/>
    <w:rsid w:val="00DC750D"/>
    <w:rsid w:val="00DC79C1"/>
    <w:rsid w:val="00DD15B6"/>
    <w:rsid w:val="00DD331B"/>
    <w:rsid w:val="00DD454C"/>
    <w:rsid w:val="00DD45BA"/>
    <w:rsid w:val="00DD7F6A"/>
    <w:rsid w:val="00DE3B6C"/>
    <w:rsid w:val="00DE7624"/>
    <w:rsid w:val="00DF2E52"/>
    <w:rsid w:val="00DF316D"/>
    <w:rsid w:val="00DF4387"/>
    <w:rsid w:val="00DF6D91"/>
    <w:rsid w:val="00DF7974"/>
    <w:rsid w:val="00E01622"/>
    <w:rsid w:val="00E0205B"/>
    <w:rsid w:val="00E022C2"/>
    <w:rsid w:val="00E03852"/>
    <w:rsid w:val="00E078F9"/>
    <w:rsid w:val="00E105FF"/>
    <w:rsid w:val="00E110D6"/>
    <w:rsid w:val="00E12A14"/>
    <w:rsid w:val="00E144AB"/>
    <w:rsid w:val="00E1458A"/>
    <w:rsid w:val="00E14D26"/>
    <w:rsid w:val="00E158BC"/>
    <w:rsid w:val="00E179C6"/>
    <w:rsid w:val="00E17F6C"/>
    <w:rsid w:val="00E20F9C"/>
    <w:rsid w:val="00E216A5"/>
    <w:rsid w:val="00E226E0"/>
    <w:rsid w:val="00E24B62"/>
    <w:rsid w:val="00E27F40"/>
    <w:rsid w:val="00E31524"/>
    <w:rsid w:val="00E32CA2"/>
    <w:rsid w:val="00E34301"/>
    <w:rsid w:val="00E3449B"/>
    <w:rsid w:val="00E353B9"/>
    <w:rsid w:val="00E373CF"/>
    <w:rsid w:val="00E40652"/>
    <w:rsid w:val="00E42377"/>
    <w:rsid w:val="00E4271D"/>
    <w:rsid w:val="00E42DF3"/>
    <w:rsid w:val="00E47DE9"/>
    <w:rsid w:val="00E5070F"/>
    <w:rsid w:val="00E5084B"/>
    <w:rsid w:val="00E5115A"/>
    <w:rsid w:val="00E51546"/>
    <w:rsid w:val="00E53C8C"/>
    <w:rsid w:val="00E55217"/>
    <w:rsid w:val="00E563F0"/>
    <w:rsid w:val="00E613E7"/>
    <w:rsid w:val="00E625DD"/>
    <w:rsid w:val="00E64263"/>
    <w:rsid w:val="00E648EF"/>
    <w:rsid w:val="00E66F19"/>
    <w:rsid w:val="00E67216"/>
    <w:rsid w:val="00E67D66"/>
    <w:rsid w:val="00E700DF"/>
    <w:rsid w:val="00E70AAC"/>
    <w:rsid w:val="00E71AC3"/>
    <w:rsid w:val="00E74F0A"/>
    <w:rsid w:val="00E76B8C"/>
    <w:rsid w:val="00E85B8F"/>
    <w:rsid w:val="00E9097A"/>
    <w:rsid w:val="00E92F86"/>
    <w:rsid w:val="00E9461B"/>
    <w:rsid w:val="00E94756"/>
    <w:rsid w:val="00EA0302"/>
    <w:rsid w:val="00EA0A7D"/>
    <w:rsid w:val="00EA31A3"/>
    <w:rsid w:val="00EA3788"/>
    <w:rsid w:val="00EA4C76"/>
    <w:rsid w:val="00EA6B68"/>
    <w:rsid w:val="00EA7121"/>
    <w:rsid w:val="00EA7598"/>
    <w:rsid w:val="00EB3FCE"/>
    <w:rsid w:val="00EB57DD"/>
    <w:rsid w:val="00EB647F"/>
    <w:rsid w:val="00EC01A1"/>
    <w:rsid w:val="00EC113E"/>
    <w:rsid w:val="00EC1829"/>
    <w:rsid w:val="00EC466E"/>
    <w:rsid w:val="00EC53DF"/>
    <w:rsid w:val="00EC69E2"/>
    <w:rsid w:val="00ED15A7"/>
    <w:rsid w:val="00ED6B8B"/>
    <w:rsid w:val="00ED6C24"/>
    <w:rsid w:val="00EE3C7B"/>
    <w:rsid w:val="00EE7786"/>
    <w:rsid w:val="00EE77CE"/>
    <w:rsid w:val="00EF62B2"/>
    <w:rsid w:val="00EF7537"/>
    <w:rsid w:val="00F009B6"/>
    <w:rsid w:val="00F0199C"/>
    <w:rsid w:val="00F05883"/>
    <w:rsid w:val="00F07F10"/>
    <w:rsid w:val="00F1181D"/>
    <w:rsid w:val="00F12040"/>
    <w:rsid w:val="00F12FE7"/>
    <w:rsid w:val="00F132DE"/>
    <w:rsid w:val="00F1436E"/>
    <w:rsid w:val="00F2044B"/>
    <w:rsid w:val="00F215C7"/>
    <w:rsid w:val="00F2229F"/>
    <w:rsid w:val="00F22BE1"/>
    <w:rsid w:val="00F245B5"/>
    <w:rsid w:val="00F24B12"/>
    <w:rsid w:val="00F26E8A"/>
    <w:rsid w:val="00F3329F"/>
    <w:rsid w:val="00F3506B"/>
    <w:rsid w:val="00F35441"/>
    <w:rsid w:val="00F36963"/>
    <w:rsid w:val="00F37DBC"/>
    <w:rsid w:val="00F4001B"/>
    <w:rsid w:val="00F41554"/>
    <w:rsid w:val="00F421E7"/>
    <w:rsid w:val="00F43F44"/>
    <w:rsid w:val="00F461E1"/>
    <w:rsid w:val="00F46FA7"/>
    <w:rsid w:val="00F47073"/>
    <w:rsid w:val="00F477B4"/>
    <w:rsid w:val="00F477C8"/>
    <w:rsid w:val="00F50BF4"/>
    <w:rsid w:val="00F51994"/>
    <w:rsid w:val="00F51BB1"/>
    <w:rsid w:val="00F52E8C"/>
    <w:rsid w:val="00F52F66"/>
    <w:rsid w:val="00F56497"/>
    <w:rsid w:val="00F600A6"/>
    <w:rsid w:val="00F61C6C"/>
    <w:rsid w:val="00F61F68"/>
    <w:rsid w:val="00F6262C"/>
    <w:rsid w:val="00F63D92"/>
    <w:rsid w:val="00F6498A"/>
    <w:rsid w:val="00F7047B"/>
    <w:rsid w:val="00F70733"/>
    <w:rsid w:val="00F71F5D"/>
    <w:rsid w:val="00F7256A"/>
    <w:rsid w:val="00F74281"/>
    <w:rsid w:val="00F743F8"/>
    <w:rsid w:val="00F7683F"/>
    <w:rsid w:val="00F76C8C"/>
    <w:rsid w:val="00F77165"/>
    <w:rsid w:val="00F771B1"/>
    <w:rsid w:val="00F77EA8"/>
    <w:rsid w:val="00F801F2"/>
    <w:rsid w:val="00F81645"/>
    <w:rsid w:val="00F816A0"/>
    <w:rsid w:val="00F84C43"/>
    <w:rsid w:val="00F85C72"/>
    <w:rsid w:val="00F85D38"/>
    <w:rsid w:val="00F86A60"/>
    <w:rsid w:val="00F87A69"/>
    <w:rsid w:val="00F87D16"/>
    <w:rsid w:val="00F9146A"/>
    <w:rsid w:val="00F927A2"/>
    <w:rsid w:val="00F92935"/>
    <w:rsid w:val="00F931C6"/>
    <w:rsid w:val="00F956D1"/>
    <w:rsid w:val="00F95D9D"/>
    <w:rsid w:val="00F96358"/>
    <w:rsid w:val="00F96693"/>
    <w:rsid w:val="00FA072B"/>
    <w:rsid w:val="00FA1284"/>
    <w:rsid w:val="00FA1D13"/>
    <w:rsid w:val="00FA291C"/>
    <w:rsid w:val="00FA4E88"/>
    <w:rsid w:val="00FA71DD"/>
    <w:rsid w:val="00FA72BC"/>
    <w:rsid w:val="00FA7520"/>
    <w:rsid w:val="00FA769A"/>
    <w:rsid w:val="00FA76A4"/>
    <w:rsid w:val="00FB0F60"/>
    <w:rsid w:val="00FB29A6"/>
    <w:rsid w:val="00FB2CA1"/>
    <w:rsid w:val="00FB58EE"/>
    <w:rsid w:val="00FB6207"/>
    <w:rsid w:val="00FB7972"/>
    <w:rsid w:val="00FC238B"/>
    <w:rsid w:val="00FC2A44"/>
    <w:rsid w:val="00FC2EE6"/>
    <w:rsid w:val="00FC3214"/>
    <w:rsid w:val="00FC35E5"/>
    <w:rsid w:val="00FC760A"/>
    <w:rsid w:val="00FC76DB"/>
    <w:rsid w:val="00FD6459"/>
    <w:rsid w:val="00FE002E"/>
    <w:rsid w:val="00FE1CD8"/>
    <w:rsid w:val="00FE54AE"/>
    <w:rsid w:val="00FE5D7C"/>
    <w:rsid w:val="00FE7A91"/>
    <w:rsid w:val="00FF0A6D"/>
    <w:rsid w:val="00FF0CD1"/>
    <w:rsid w:val="00FF1320"/>
    <w:rsid w:val="00FF201B"/>
    <w:rsid w:val="00FF3D8B"/>
    <w:rsid w:val="00FF3FD4"/>
    <w:rsid w:val="79578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14:docId w14:val="607D187C"/>
  <w15:docId w15:val="{8AFD6FA6-E858-4622-9BED-507B4ED4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 w:type="paragraph" w:styleId="E-mailSignature">
    <w:name w:val="E-mail Signature"/>
    <w:basedOn w:val="Normal"/>
    <w:link w:val="E-mailSignatureChar"/>
    <w:locked/>
    <w:rsid w:val="00782B71"/>
    <w:rPr>
      <w:sz w:val="24"/>
      <w:szCs w:val="24"/>
    </w:rPr>
  </w:style>
  <w:style w:type="character" w:customStyle="1" w:styleId="E-mailSignatureChar">
    <w:name w:val="E-mail Signature Char"/>
    <w:basedOn w:val="DefaultParagraphFont"/>
    <w:link w:val="E-mailSignature"/>
    <w:rsid w:val="00782B71"/>
    <w:rPr>
      <w:sz w:val="24"/>
      <w:szCs w:val="24"/>
    </w:rPr>
  </w:style>
  <w:style w:type="paragraph" w:customStyle="1" w:styleId="Pa5">
    <w:name w:val="Pa5"/>
    <w:basedOn w:val="Default"/>
    <w:next w:val="Default"/>
    <w:uiPriority w:val="99"/>
    <w:rsid w:val="00865957"/>
    <w:pPr>
      <w:spacing w:line="321" w:lineRule="atLeast"/>
    </w:pPr>
    <w:rPr>
      <w:rFonts w:ascii="ITC Franklin Gothic Std Bk Cd" w:hAnsi="ITC Franklin Gothic Std Bk Cd"/>
      <w:color w:val="auto"/>
    </w:rPr>
  </w:style>
  <w:style w:type="paragraph" w:customStyle="1" w:styleId="Pa6">
    <w:name w:val="Pa6"/>
    <w:basedOn w:val="Default"/>
    <w:next w:val="Default"/>
    <w:uiPriority w:val="99"/>
    <w:rsid w:val="00865957"/>
    <w:pPr>
      <w:spacing w:line="281" w:lineRule="atLeast"/>
    </w:pPr>
    <w:rPr>
      <w:rFonts w:ascii="ITC Franklin Gothic Std Bk Cd" w:hAnsi="ITC Franklin Gothic Std Bk C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92144">
      <w:bodyDiv w:val="1"/>
      <w:marLeft w:val="0"/>
      <w:marRight w:val="0"/>
      <w:marTop w:val="0"/>
      <w:marBottom w:val="0"/>
      <w:divBdr>
        <w:top w:val="none" w:sz="0" w:space="0" w:color="auto"/>
        <w:left w:val="none" w:sz="0" w:space="0" w:color="auto"/>
        <w:bottom w:val="none" w:sz="0" w:space="0" w:color="auto"/>
        <w:right w:val="none" w:sz="0" w:space="0" w:color="auto"/>
      </w:divBdr>
      <w:divsChild>
        <w:div w:id="2127458732">
          <w:marLeft w:val="0"/>
          <w:marRight w:val="0"/>
          <w:marTop w:val="0"/>
          <w:marBottom w:val="0"/>
          <w:divBdr>
            <w:top w:val="none" w:sz="0" w:space="0" w:color="auto"/>
            <w:left w:val="none" w:sz="0" w:space="0" w:color="auto"/>
            <w:bottom w:val="none" w:sz="0" w:space="0" w:color="auto"/>
            <w:right w:val="none" w:sz="0" w:space="0" w:color="auto"/>
          </w:divBdr>
          <w:divsChild>
            <w:div w:id="136655095">
              <w:marLeft w:val="0"/>
              <w:marRight w:val="0"/>
              <w:marTop w:val="0"/>
              <w:marBottom w:val="0"/>
              <w:divBdr>
                <w:top w:val="none" w:sz="0" w:space="0" w:color="auto"/>
                <w:left w:val="none" w:sz="0" w:space="0" w:color="auto"/>
                <w:bottom w:val="none" w:sz="0" w:space="0" w:color="auto"/>
                <w:right w:val="none" w:sz="0" w:space="0" w:color="auto"/>
              </w:divBdr>
              <w:divsChild>
                <w:div w:id="1108433610">
                  <w:marLeft w:val="0"/>
                  <w:marRight w:val="0"/>
                  <w:marTop w:val="0"/>
                  <w:marBottom w:val="0"/>
                  <w:divBdr>
                    <w:top w:val="none" w:sz="0" w:space="0" w:color="auto"/>
                    <w:left w:val="none" w:sz="0" w:space="0" w:color="auto"/>
                    <w:bottom w:val="none" w:sz="0" w:space="0" w:color="auto"/>
                    <w:right w:val="none" w:sz="0" w:space="0" w:color="auto"/>
                  </w:divBdr>
                  <w:divsChild>
                    <w:div w:id="396755710">
                      <w:marLeft w:val="0"/>
                      <w:marRight w:val="0"/>
                      <w:marTop w:val="0"/>
                      <w:marBottom w:val="0"/>
                      <w:divBdr>
                        <w:top w:val="none" w:sz="0" w:space="0" w:color="auto"/>
                        <w:left w:val="none" w:sz="0" w:space="0" w:color="auto"/>
                        <w:bottom w:val="none" w:sz="0" w:space="0" w:color="auto"/>
                        <w:right w:val="none" w:sz="0" w:space="0" w:color="auto"/>
                      </w:divBdr>
                      <w:divsChild>
                        <w:div w:id="1717660366">
                          <w:marLeft w:val="0"/>
                          <w:marRight w:val="0"/>
                          <w:marTop w:val="150"/>
                          <w:marBottom w:val="0"/>
                          <w:divBdr>
                            <w:top w:val="none" w:sz="0" w:space="0" w:color="auto"/>
                            <w:left w:val="none" w:sz="0" w:space="0" w:color="auto"/>
                            <w:bottom w:val="none" w:sz="0" w:space="0" w:color="auto"/>
                            <w:right w:val="none" w:sz="0" w:space="0" w:color="auto"/>
                          </w:divBdr>
                          <w:divsChild>
                            <w:div w:id="1547990430">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88711">
      <w:bodyDiv w:val="1"/>
      <w:marLeft w:val="0"/>
      <w:marRight w:val="0"/>
      <w:marTop w:val="0"/>
      <w:marBottom w:val="0"/>
      <w:divBdr>
        <w:top w:val="none" w:sz="0" w:space="0" w:color="auto"/>
        <w:left w:val="none" w:sz="0" w:space="0" w:color="auto"/>
        <w:bottom w:val="none" w:sz="0" w:space="0" w:color="auto"/>
        <w:right w:val="none" w:sz="0" w:space="0" w:color="auto"/>
      </w:divBdr>
    </w:div>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863906598">
      <w:bodyDiv w:val="1"/>
      <w:marLeft w:val="0"/>
      <w:marRight w:val="0"/>
      <w:marTop w:val="0"/>
      <w:marBottom w:val="0"/>
      <w:divBdr>
        <w:top w:val="none" w:sz="0" w:space="0" w:color="auto"/>
        <w:left w:val="none" w:sz="0" w:space="0" w:color="auto"/>
        <w:bottom w:val="none" w:sz="0" w:space="0" w:color="auto"/>
        <w:right w:val="none" w:sz="0" w:space="0" w:color="auto"/>
      </w:divBdr>
    </w:div>
    <w:div w:id="922186446">
      <w:bodyDiv w:val="1"/>
      <w:marLeft w:val="0"/>
      <w:marRight w:val="0"/>
      <w:marTop w:val="0"/>
      <w:marBottom w:val="0"/>
      <w:divBdr>
        <w:top w:val="none" w:sz="0" w:space="0" w:color="auto"/>
        <w:left w:val="none" w:sz="0" w:space="0" w:color="auto"/>
        <w:bottom w:val="none" w:sz="0" w:space="0" w:color="auto"/>
        <w:right w:val="none" w:sz="0" w:space="0" w:color="auto"/>
      </w:divBdr>
    </w:div>
    <w:div w:id="987200727">
      <w:bodyDiv w:val="1"/>
      <w:marLeft w:val="0"/>
      <w:marRight w:val="0"/>
      <w:marTop w:val="0"/>
      <w:marBottom w:val="0"/>
      <w:divBdr>
        <w:top w:val="none" w:sz="0" w:space="0" w:color="auto"/>
        <w:left w:val="none" w:sz="0" w:space="0" w:color="auto"/>
        <w:bottom w:val="none" w:sz="0" w:space="0" w:color="auto"/>
        <w:right w:val="none" w:sz="0" w:space="0" w:color="auto"/>
      </w:divBdr>
    </w:div>
    <w:div w:id="1077678417">
      <w:bodyDiv w:val="1"/>
      <w:marLeft w:val="0"/>
      <w:marRight w:val="0"/>
      <w:marTop w:val="0"/>
      <w:marBottom w:val="0"/>
      <w:divBdr>
        <w:top w:val="none" w:sz="0" w:space="0" w:color="auto"/>
        <w:left w:val="none" w:sz="0" w:space="0" w:color="auto"/>
        <w:bottom w:val="none" w:sz="0" w:space="0" w:color="auto"/>
        <w:right w:val="none" w:sz="0" w:space="0" w:color="auto"/>
      </w:divBdr>
      <w:divsChild>
        <w:div w:id="1635987664">
          <w:marLeft w:val="0"/>
          <w:marRight w:val="0"/>
          <w:marTop w:val="0"/>
          <w:marBottom w:val="0"/>
          <w:divBdr>
            <w:top w:val="none" w:sz="0" w:space="0" w:color="auto"/>
            <w:left w:val="none" w:sz="0" w:space="0" w:color="auto"/>
            <w:bottom w:val="none" w:sz="0" w:space="0" w:color="auto"/>
            <w:right w:val="none" w:sz="0" w:space="0" w:color="auto"/>
          </w:divBdr>
          <w:divsChild>
            <w:div w:id="1200364111">
              <w:marLeft w:val="0"/>
              <w:marRight w:val="0"/>
              <w:marTop w:val="0"/>
              <w:marBottom w:val="0"/>
              <w:divBdr>
                <w:top w:val="single" w:sz="6" w:space="11" w:color="FCFCFC"/>
                <w:left w:val="single" w:sz="6" w:space="11" w:color="ECECEC"/>
                <w:bottom w:val="single" w:sz="6" w:space="4" w:color="ECECEC"/>
                <w:right w:val="single" w:sz="6" w:space="11" w:color="ECECEC"/>
              </w:divBdr>
              <w:divsChild>
                <w:div w:id="16420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5002">
      <w:bodyDiv w:val="1"/>
      <w:marLeft w:val="0"/>
      <w:marRight w:val="0"/>
      <w:marTop w:val="0"/>
      <w:marBottom w:val="0"/>
      <w:divBdr>
        <w:top w:val="none" w:sz="0" w:space="0" w:color="auto"/>
        <w:left w:val="none" w:sz="0" w:space="0" w:color="auto"/>
        <w:bottom w:val="none" w:sz="0" w:space="0" w:color="auto"/>
        <w:right w:val="none" w:sz="0" w:space="0" w:color="auto"/>
      </w:divBdr>
    </w:div>
    <w:div w:id="1320385264">
      <w:bodyDiv w:val="1"/>
      <w:marLeft w:val="0"/>
      <w:marRight w:val="0"/>
      <w:marTop w:val="0"/>
      <w:marBottom w:val="0"/>
      <w:divBdr>
        <w:top w:val="none" w:sz="0" w:space="0" w:color="auto"/>
        <w:left w:val="none" w:sz="0" w:space="0" w:color="auto"/>
        <w:bottom w:val="none" w:sz="0" w:space="0" w:color="auto"/>
        <w:right w:val="none" w:sz="0" w:space="0" w:color="auto"/>
      </w:divBdr>
      <w:divsChild>
        <w:div w:id="1631478619">
          <w:marLeft w:val="0"/>
          <w:marRight w:val="0"/>
          <w:marTop w:val="0"/>
          <w:marBottom w:val="0"/>
          <w:divBdr>
            <w:top w:val="none" w:sz="0" w:space="0" w:color="auto"/>
            <w:left w:val="none" w:sz="0" w:space="0" w:color="auto"/>
            <w:bottom w:val="none" w:sz="0" w:space="0" w:color="auto"/>
            <w:right w:val="none" w:sz="0" w:space="0" w:color="auto"/>
          </w:divBdr>
          <w:divsChild>
            <w:div w:id="1579172754">
              <w:marLeft w:val="0"/>
              <w:marRight w:val="0"/>
              <w:marTop w:val="0"/>
              <w:marBottom w:val="0"/>
              <w:divBdr>
                <w:top w:val="none" w:sz="0" w:space="0" w:color="auto"/>
                <w:left w:val="none" w:sz="0" w:space="0" w:color="auto"/>
                <w:bottom w:val="none" w:sz="0" w:space="0" w:color="auto"/>
                <w:right w:val="none" w:sz="0" w:space="0" w:color="auto"/>
              </w:divBdr>
              <w:divsChild>
                <w:div w:id="560335975">
                  <w:marLeft w:val="0"/>
                  <w:marRight w:val="0"/>
                  <w:marTop w:val="0"/>
                  <w:marBottom w:val="0"/>
                  <w:divBdr>
                    <w:top w:val="none" w:sz="0" w:space="0" w:color="auto"/>
                    <w:left w:val="none" w:sz="0" w:space="0" w:color="auto"/>
                    <w:bottom w:val="none" w:sz="0" w:space="0" w:color="auto"/>
                    <w:right w:val="none" w:sz="0" w:space="0" w:color="auto"/>
                  </w:divBdr>
                  <w:divsChild>
                    <w:div w:id="592470737">
                      <w:marLeft w:val="0"/>
                      <w:marRight w:val="0"/>
                      <w:marTop w:val="0"/>
                      <w:marBottom w:val="0"/>
                      <w:divBdr>
                        <w:top w:val="none" w:sz="0" w:space="0" w:color="auto"/>
                        <w:left w:val="none" w:sz="0" w:space="0" w:color="auto"/>
                        <w:bottom w:val="none" w:sz="0" w:space="0" w:color="auto"/>
                        <w:right w:val="none" w:sz="0" w:space="0" w:color="auto"/>
                      </w:divBdr>
                      <w:divsChild>
                        <w:div w:id="1902862797">
                          <w:marLeft w:val="0"/>
                          <w:marRight w:val="0"/>
                          <w:marTop w:val="150"/>
                          <w:marBottom w:val="0"/>
                          <w:divBdr>
                            <w:top w:val="none" w:sz="0" w:space="0" w:color="auto"/>
                            <w:left w:val="none" w:sz="0" w:space="0" w:color="auto"/>
                            <w:bottom w:val="none" w:sz="0" w:space="0" w:color="auto"/>
                            <w:right w:val="none" w:sz="0" w:space="0" w:color="auto"/>
                          </w:divBdr>
                          <w:divsChild>
                            <w:div w:id="1834296819">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 w:id="1978874060">
      <w:bodyDiv w:val="1"/>
      <w:marLeft w:val="0"/>
      <w:marRight w:val="0"/>
      <w:marTop w:val="0"/>
      <w:marBottom w:val="0"/>
      <w:divBdr>
        <w:top w:val="none" w:sz="0" w:space="0" w:color="auto"/>
        <w:left w:val="none" w:sz="0" w:space="0" w:color="auto"/>
        <w:bottom w:val="none" w:sz="0" w:space="0" w:color="auto"/>
        <w:right w:val="none" w:sz="0" w:space="0" w:color="auto"/>
      </w:divBdr>
    </w:div>
    <w:div w:id="1983538297">
      <w:bodyDiv w:val="1"/>
      <w:marLeft w:val="0"/>
      <w:marRight w:val="0"/>
      <w:marTop w:val="0"/>
      <w:marBottom w:val="0"/>
      <w:divBdr>
        <w:top w:val="none" w:sz="0" w:space="0" w:color="auto"/>
        <w:left w:val="none" w:sz="0" w:space="0" w:color="auto"/>
        <w:bottom w:val="none" w:sz="0" w:space="0" w:color="auto"/>
        <w:right w:val="none" w:sz="0" w:space="0" w:color="auto"/>
      </w:divBdr>
    </w:div>
    <w:div w:id="2089112469">
      <w:bodyDiv w:val="1"/>
      <w:marLeft w:val="4"/>
      <w:marRight w:val="4"/>
      <w:marTop w:val="4"/>
      <w:marBottom w:val="4"/>
      <w:divBdr>
        <w:top w:val="none" w:sz="0" w:space="0" w:color="auto"/>
        <w:left w:val="none" w:sz="0" w:space="0" w:color="auto"/>
        <w:bottom w:val="none" w:sz="0" w:space="0" w:color="auto"/>
        <w:right w:val="none" w:sz="0" w:space="0" w:color="auto"/>
      </w:divBdr>
      <w:divsChild>
        <w:div w:id="2115515229">
          <w:marLeft w:val="0"/>
          <w:marRight w:val="0"/>
          <w:marTop w:val="0"/>
          <w:marBottom w:val="0"/>
          <w:divBdr>
            <w:top w:val="none" w:sz="0" w:space="0" w:color="auto"/>
            <w:left w:val="none" w:sz="0" w:space="0" w:color="auto"/>
            <w:bottom w:val="none" w:sz="0" w:space="0" w:color="auto"/>
            <w:right w:val="none" w:sz="0" w:space="0" w:color="auto"/>
          </w:divBdr>
          <w:divsChild>
            <w:div w:id="1514343128">
              <w:marLeft w:val="0"/>
              <w:marRight w:val="0"/>
              <w:marTop w:val="0"/>
              <w:marBottom w:val="0"/>
              <w:divBdr>
                <w:top w:val="none" w:sz="0" w:space="0" w:color="auto"/>
                <w:left w:val="none" w:sz="0" w:space="0" w:color="auto"/>
                <w:bottom w:val="none" w:sz="0" w:space="0" w:color="auto"/>
                <w:right w:val="none" w:sz="0" w:space="0" w:color="auto"/>
              </w:divBdr>
              <w:divsChild>
                <w:div w:id="1999653589">
                  <w:marLeft w:val="0"/>
                  <w:marRight w:val="0"/>
                  <w:marTop w:val="0"/>
                  <w:marBottom w:val="180"/>
                  <w:divBdr>
                    <w:top w:val="none" w:sz="0" w:space="0" w:color="auto"/>
                    <w:left w:val="none" w:sz="0" w:space="0" w:color="auto"/>
                    <w:bottom w:val="none" w:sz="0" w:space="0" w:color="auto"/>
                    <w:right w:val="none" w:sz="0" w:space="0" w:color="auto"/>
                  </w:divBdr>
                  <w:divsChild>
                    <w:div w:id="256181612">
                      <w:marLeft w:val="0"/>
                      <w:marRight w:val="0"/>
                      <w:marTop w:val="0"/>
                      <w:marBottom w:val="0"/>
                      <w:divBdr>
                        <w:top w:val="none" w:sz="0" w:space="0" w:color="auto"/>
                        <w:left w:val="none" w:sz="0" w:space="0" w:color="auto"/>
                        <w:bottom w:val="none" w:sz="0" w:space="0" w:color="auto"/>
                        <w:right w:val="none" w:sz="0" w:space="0" w:color="auto"/>
                      </w:divBdr>
                      <w:divsChild>
                        <w:div w:id="678773328">
                          <w:marLeft w:val="0"/>
                          <w:marRight w:val="0"/>
                          <w:marTop w:val="150"/>
                          <w:marBottom w:val="0"/>
                          <w:divBdr>
                            <w:top w:val="none" w:sz="0" w:space="0" w:color="auto"/>
                            <w:left w:val="none" w:sz="0" w:space="0" w:color="auto"/>
                            <w:bottom w:val="none" w:sz="0" w:space="0" w:color="auto"/>
                            <w:right w:val="none" w:sz="0" w:space="0" w:color="auto"/>
                          </w:divBdr>
                          <w:divsChild>
                            <w:div w:id="130364954">
                              <w:marLeft w:val="0"/>
                              <w:marRight w:val="0"/>
                              <w:marTop w:val="0"/>
                              <w:marBottom w:val="0"/>
                              <w:divBdr>
                                <w:top w:val="none" w:sz="0" w:space="0" w:color="auto"/>
                                <w:left w:val="none" w:sz="0" w:space="0" w:color="auto"/>
                                <w:bottom w:val="none" w:sz="0" w:space="0" w:color="auto"/>
                                <w:right w:val="none" w:sz="0" w:space="0" w:color="auto"/>
                              </w:divBdr>
                              <w:divsChild>
                                <w:div w:id="7140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321264">
      <w:bodyDiv w:val="1"/>
      <w:marLeft w:val="0"/>
      <w:marRight w:val="0"/>
      <w:marTop w:val="0"/>
      <w:marBottom w:val="0"/>
      <w:divBdr>
        <w:top w:val="none" w:sz="0" w:space="0" w:color="auto"/>
        <w:left w:val="none" w:sz="0" w:space="0" w:color="auto"/>
        <w:bottom w:val="none" w:sz="0" w:space="0" w:color="auto"/>
        <w:right w:val="none" w:sz="0" w:space="0" w:color="auto"/>
      </w:divBdr>
      <w:divsChild>
        <w:div w:id="2042436103">
          <w:marLeft w:val="0"/>
          <w:marRight w:val="0"/>
          <w:marTop w:val="0"/>
          <w:marBottom w:val="0"/>
          <w:divBdr>
            <w:top w:val="none" w:sz="0" w:space="0" w:color="auto"/>
            <w:left w:val="none" w:sz="0" w:space="0" w:color="auto"/>
            <w:bottom w:val="none" w:sz="0" w:space="0" w:color="auto"/>
            <w:right w:val="none" w:sz="0" w:space="0" w:color="auto"/>
          </w:divBdr>
          <w:divsChild>
            <w:div w:id="2020354781">
              <w:marLeft w:val="0"/>
              <w:marRight w:val="0"/>
              <w:marTop w:val="0"/>
              <w:marBottom w:val="0"/>
              <w:divBdr>
                <w:top w:val="none" w:sz="0" w:space="0" w:color="auto"/>
                <w:left w:val="none" w:sz="0" w:space="0" w:color="auto"/>
                <w:bottom w:val="none" w:sz="0" w:space="0" w:color="auto"/>
                <w:right w:val="none" w:sz="0" w:space="0" w:color="auto"/>
              </w:divBdr>
              <w:divsChild>
                <w:div w:id="115569101">
                  <w:marLeft w:val="0"/>
                  <w:marRight w:val="0"/>
                  <w:marTop w:val="0"/>
                  <w:marBottom w:val="0"/>
                  <w:divBdr>
                    <w:top w:val="none" w:sz="0" w:space="0" w:color="auto"/>
                    <w:left w:val="none" w:sz="0" w:space="0" w:color="auto"/>
                    <w:bottom w:val="none" w:sz="0" w:space="0" w:color="auto"/>
                    <w:right w:val="none" w:sz="0" w:space="0" w:color="auto"/>
                  </w:divBdr>
                  <w:divsChild>
                    <w:div w:id="442966198">
                      <w:marLeft w:val="0"/>
                      <w:marRight w:val="0"/>
                      <w:marTop w:val="0"/>
                      <w:marBottom w:val="0"/>
                      <w:divBdr>
                        <w:top w:val="none" w:sz="0" w:space="0" w:color="auto"/>
                        <w:left w:val="none" w:sz="0" w:space="0" w:color="auto"/>
                        <w:bottom w:val="none" w:sz="0" w:space="0" w:color="auto"/>
                        <w:right w:val="none" w:sz="0" w:space="0" w:color="auto"/>
                      </w:divBdr>
                      <w:divsChild>
                        <w:div w:id="1191576954">
                          <w:marLeft w:val="0"/>
                          <w:marRight w:val="0"/>
                          <w:marTop w:val="150"/>
                          <w:marBottom w:val="0"/>
                          <w:divBdr>
                            <w:top w:val="none" w:sz="0" w:space="0" w:color="auto"/>
                            <w:left w:val="none" w:sz="0" w:space="0" w:color="auto"/>
                            <w:bottom w:val="none" w:sz="0" w:space="0" w:color="auto"/>
                            <w:right w:val="none" w:sz="0" w:space="0" w:color="auto"/>
                          </w:divBdr>
                          <w:divsChild>
                            <w:div w:id="1838230246">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HE0@cdc.gov" TargetMode="External"/><Relationship Id="rId13" Type="http://schemas.openxmlformats.org/officeDocument/2006/relationships/hyperlink" Target="mailto:AJF9@cdc.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GF8@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larson@samhs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b.lyerla@samhs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MR7@cdc.gov" TargetMode="External"/><Relationship Id="rId14" Type="http://schemas.openxmlformats.org/officeDocument/2006/relationships/hyperlink" Target="https://www.archives.gov/records-mgmt/gr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408C-BB8E-48D8-B1E2-6EBA51CD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6337</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Sims, Thelma (CDC/DDPHSS/OS/OSI)</cp:lastModifiedBy>
  <cp:revision>2</cp:revision>
  <cp:lastPrinted>2014-11-14T19:22:00Z</cp:lastPrinted>
  <dcterms:created xsi:type="dcterms:W3CDTF">2021-02-08T13:04:00Z</dcterms:created>
  <dcterms:modified xsi:type="dcterms:W3CDTF">2021-02-08T13:04:00Z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2020-11-13T16:41:13Z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a6d7d787-218a-42d3-81bc-4e8bec080d4e</vt:lpwstr>
  </property>
  <property fmtid="{D5CDD505-2E9C-101B-9397-08002B2CF9AE}" pid="8" name="MSIP_Label_7b94a7b8-f06c-4dfe-bdcc-9b548fd58c31_ContentBits">
    <vt:lpwstr>0</vt:lpwstr>
  </property>
</Properties>
</file>