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0257" w:rsidRDefault="009F7696" w14:paraId="27F76F68" w14:textId="77777777">
      <w:pPr>
        <w:spacing w:before="21"/>
        <w:ind w:left="120"/>
        <w:jc w:val="both"/>
        <w:rPr>
          <w:b/>
          <w:sz w:val="26"/>
        </w:rPr>
      </w:pPr>
      <w:r>
        <w:rPr>
          <w:b/>
          <w:color w:val="365F91"/>
          <w:sz w:val="26"/>
        </w:rPr>
        <w:t>Attachment 7: Focus Group Protocol</w:t>
      </w:r>
    </w:p>
    <w:p w:rsidR="003D0257" w:rsidRDefault="003D0257" w14:paraId="5A79B2F5" w14:textId="77777777">
      <w:pPr>
        <w:pStyle w:val="BodyText"/>
        <w:spacing w:before="11"/>
        <w:rPr>
          <w:b/>
          <w:sz w:val="36"/>
        </w:rPr>
      </w:pPr>
    </w:p>
    <w:p w:rsidR="003D0257" w:rsidRDefault="009F7696" w14:paraId="09D35A77" w14:textId="77777777">
      <w:pPr>
        <w:pStyle w:val="BodyText"/>
        <w:ind w:left="120" w:right="117"/>
        <w:jc w:val="both"/>
      </w:pPr>
      <w:r>
        <w:rPr>
          <w:b/>
        </w:rPr>
        <w:t xml:space="preserve">Purpose. </w:t>
      </w:r>
      <w:r>
        <w:t xml:space="preserve">The purpose of a focus group is </w:t>
      </w:r>
      <w:r w:rsidR="0001529B">
        <w:t xml:space="preserve">to conduct </w:t>
      </w:r>
      <w:r>
        <w:t>a small‐group discussion guided by a trained leader to learn about opinions on a designated topic and to guide future action. Participants are actively encouraged to express their own opinions and respond to others’ questions and comments. Responses in a focus group are typically open‐ended and relatively broad, but they also have depth, nuance, and variety. Nonverbal communications and group interactions can also be observed. Importantly, focus groups can yield a lot of information in a relatively short period of time.</w:t>
      </w:r>
    </w:p>
    <w:p w:rsidR="003D0257" w:rsidRDefault="003D0257" w14:paraId="0C424B92" w14:textId="77777777">
      <w:pPr>
        <w:pStyle w:val="BodyText"/>
        <w:spacing w:before="11"/>
        <w:rPr>
          <w:sz w:val="23"/>
        </w:rPr>
      </w:pPr>
    </w:p>
    <w:p w:rsidR="003D0257" w:rsidRDefault="009F7696" w14:paraId="6659C653" w14:textId="77777777">
      <w:pPr>
        <w:pStyle w:val="BodyText"/>
        <w:ind w:left="120" w:right="116"/>
        <w:jc w:val="both"/>
      </w:pPr>
      <w:r>
        <w:t>This study will use the focus group approach to contextualize findings obtained from a multi‐ mode survey (i.e., web and mail) on the availability and use of emergency supply kits among disaster‐affected populations. The focus groups will be used to bring out insights and understandings that data from the survey may not offer.</w:t>
      </w:r>
    </w:p>
    <w:p w:rsidR="003D0257" w:rsidRDefault="003D0257" w14:paraId="1D1A5764" w14:textId="77777777">
      <w:pPr>
        <w:pStyle w:val="BodyText"/>
      </w:pPr>
    </w:p>
    <w:p w:rsidR="003D0257" w:rsidRDefault="009F7696" w14:paraId="169746C3" w14:textId="39B94C55">
      <w:pPr>
        <w:pStyle w:val="BodyText"/>
        <w:ind w:left="120" w:right="116"/>
        <w:jc w:val="both"/>
      </w:pPr>
      <w:r>
        <w:rPr>
          <w:b/>
        </w:rPr>
        <w:t>Target</w:t>
      </w:r>
      <w:r>
        <w:rPr>
          <w:b/>
          <w:spacing w:val="-14"/>
        </w:rPr>
        <w:t xml:space="preserve"> </w:t>
      </w:r>
      <w:r>
        <w:rPr>
          <w:b/>
        </w:rPr>
        <w:t>Subject</w:t>
      </w:r>
      <w:r>
        <w:rPr>
          <w:b/>
          <w:spacing w:val="-14"/>
        </w:rPr>
        <w:t xml:space="preserve"> </w:t>
      </w:r>
      <w:r>
        <w:rPr>
          <w:b/>
        </w:rPr>
        <w:t>Population.</w:t>
      </w:r>
      <w:r>
        <w:rPr>
          <w:b/>
          <w:spacing w:val="-14"/>
        </w:rPr>
        <w:t xml:space="preserve"> </w:t>
      </w:r>
      <w:r>
        <w:t>The</w:t>
      </w:r>
      <w:r>
        <w:rPr>
          <w:spacing w:val="-13"/>
        </w:rPr>
        <w:t xml:space="preserve"> </w:t>
      </w:r>
      <w:r>
        <w:t>subject</w:t>
      </w:r>
      <w:r>
        <w:rPr>
          <w:spacing w:val="-13"/>
        </w:rPr>
        <w:t xml:space="preserve"> </w:t>
      </w:r>
      <w:r>
        <w:t>population</w:t>
      </w:r>
      <w:r>
        <w:rPr>
          <w:spacing w:val="-13"/>
        </w:rPr>
        <w:t xml:space="preserve"> </w:t>
      </w:r>
      <w:r>
        <w:t>will</w:t>
      </w:r>
      <w:r>
        <w:rPr>
          <w:spacing w:val="-13"/>
        </w:rPr>
        <w:t xml:space="preserve"> </w:t>
      </w:r>
      <w:r>
        <w:t>be</w:t>
      </w:r>
      <w:r>
        <w:rPr>
          <w:spacing w:val="-13"/>
        </w:rPr>
        <w:t xml:space="preserve"> </w:t>
      </w:r>
      <w:r>
        <w:t>the</w:t>
      </w:r>
      <w:r>
        <w:rPr>
          <w:spacing w:val="-13"/>
        </w:rPr>
        <w:t xml:space="preserve"> </w:t>
      </w:r>
      <w:r>
        <w:t>same</w:t>
      </w:r>
      <w:r>
        <w:rPr>
          <w:spacing w:val="-13"/>
        </w:rPr>
        <w:t xml:space="preserve"> </w:t>
      </w:r>
      <w:r>
        <w:t>as</w:t>
      </w:r>
      <w:r>
        <w:rPr>
          <w:spacing w:val="-13"/>
        </w:rPr>
        <w:t xml:space="preserve"> </w:t>
      </w:r>
      <w:r>
        <w:t>the</w:t>
      </w:r>
      <w:r>
        <w:rPr>
          <w:spacing w:val="-13"/>
        </w:rPr>
        <w:t xml:space="preserve"> </w:t>
      </w:r>
      <w:r>
        <w:t>population</w:t>
      </w:r>
      <w:r>
        <w:rPr>
          <w:spacing w:val="-15"/>
        </w:rPr>
        <w:t xml:space="preserve"> </w:t>
      </w:r>
      <w:r>
        <w:t>from</w:t>
      </w:r>
      <w:r>
        <w:rPr>
          <w:spacing w:val="-11"/>
        </w:rPr>
        <w:t xml:space="preserve"> </w:t>
      </w:r>
      <w:r>
        <w:t>which survey</w:t>
      </w:r>
      <w:r>
        <w:rPr>
          <w:spacing w:val="-8"/>
        </w:rPr>
        <w:t xml:space="preserve"> </w:t>
      </w:r>
      <w:r>
        <w:t>participants</w:t>
      </w:r>
      <w:r>
        <w:rPr>
          <w:spacing w:val="-8"/>
        </w:rPr>
        <w:t xml:space="preserve"> </w:t>
      </w:r>
      <w:r>
        <w:t>are</w:t>
      </w:r>
      <w:r>
        <w:rPr>
          <w:spacing w:val="-9"/>
        </w:rPr>
        <w:t xml:space="preserve"> </w:t>
      </w:r>
      <w:r>
        <w:t>recruited.</w:t>
      </w:r>
      <w:r>
        <w:rPr>
          <w:spacing w:val="38"/>
        </w:rPr>
        <w:t xml:space="preserve"> </w:t>
      </w:r>
      <w:r>
        <w:t>This</w:t>
      </w:r>
      <w:r>
        <w:rPr>
          <w:spacing w:val="-8"/>
        </w:rPr>
        <w:t xml:space="preserve"> </w:t>
      </w:r>
      <w:r>
        <w:t>includes</w:t>
      </w:r>
      <w:r>
        <w:rPr>
          <w:spacing w:val="-8"/>
        </w:rPr>
        <w:t xml:space="preserve"> </w:t>
      </w:r>
      <w:r>
        <w:t>adults</w:t>
      </w:r>
      <w:r>
        <w:rPr>
          <w:spacing w:val="-8"/>
        </w:rPr>
        <w:t xml:space="preserve"> </w:t>
      </w:r>
      <w:r>
        <w:t>for</w:t>
      </w:r>
      <w:r>
        <w:rPr>
          <w:spacing w:val="-8"/>
        </w:rPr>
        <w:t xml:space="preserve"> </w:t>
      </w:r>
      <w:r>
        <w:t>whom</w:t>
      </w:r>
      <w:r>
        <w:rPr>
          <w:spacing w:val="-8"/>
        </w:rPr>
        <w:t xml:space="preserve"> </w:t>
      </w:r>
      <w:r>
        <w:t>their</w:t>
      </w:r>
      <w:r>
        <w:rPr>
          <w:spacing w:val="-8"/>
        </w:rPr>
        <w:t xml:space="preserve"> </w:t>
      </w:r>
      <w:r>
        <w:t>home</w:t>
      </w:r>
      <w:r>
        <w:rPr>
          <w:spacing w:val="-8"/>
        </w:rPr>
        <w:t xml:space="preserve"> </w:t>
      </w:r>
      <w:r>
        <w:t>address</w:t>
      </w:r>
      <w:r>
        <w:rPr>
          <w:spacing w:val="-8"/>
        </w:rPr>
        <w:t xml:space="preserve"> </w:t>
      </w:r>
      <w:r>
        <w:t>is</w:t>
      </w:r>
      <w:r>
        <w:rPr>
          <w:spacing w:val="-8"/>
        </w:rPr>
        <w:t xml:space="preserve"> </w:t>
      </w:r>
      <w:r>
        <w:t>within</w:t>
      </w:r>
      <w:r>
        <w:rPr>
          <w:spacing w:val="-8"/>
        </w:rPr>
        <w:t xml:space="preserve"> </w:t>
      </w:r>
      <w:r>
        <w:t xml:space="preserve">the geographic area that was surveyed following a recent natural disaster in the continental United States (e.g., winter storm, flood, tornado, hurricane, wildfire, earthquake). The inclusion criteria for participants are being an English‐speaking, non‐institutionalized adult, 18 years of age or older. English‐speaking is required because of lack of translation ability within current resources (e.g., </w:t>
      </w:r>
      <w:r w:rsidRPr="00D74A7A" w:rsidR="00AA57F2">
        <w:rPr>
          <w:bCs/>
        </w:rPr>
        <w:t>Research Triangle Institute (</w:t>
      </w:r>
      <w:r w:rsidRPr="0001529B" w:rsidR="00AA57F2">
        <w:rPr>
          <w:bCs/>
        </w:rPr>
        <w:t>RTI)</w:t>
      </w:r>
      <w:r w:rsidR="00AA57F2">
        <w:t xml:space="preserve"> </w:t>
      </w:r>
      <w:r>
        <w:t>focus group lead, CDC staff for qualitative data analysis). However, English does not need to be primary language. Exclusion criteria include individuals who had a home address in the geographic area but were not physically present at the time of the</w:t>
      </w:r>
      <w:r>
        <w:rPr>
          <w:spacing w:val="-29"/>
        </w:rPr>
        <w:t xml:space="preserve"> </w:t>
      </w:r>
      <w:r>
        <w:t>disaster.</w:t>
      </w:r>
    </w:p>
    <w:p w:rsidR="003D0257" w:rsidRDefault="003D0257" w14:paraId="4482597E" w14:textId="77777777">
      <w:pPr>
        <w:pStyle w:val="BodyText"/>
        <w:spacing w:before="11"/>
        <w:rPr>
          <w:sz w:val="23"/>
        </w:rPr>
      </w:pPr>
    </w:p>
    <w:p w:rsidR="003D0257" w:rsidRDefault="009F7696" w14:paraId="57B00885" w14:textId="6A018FDA">
      <w:pPr>
        <w:pStyle w:val="BodyText"/>
        <w:ind w:left="119" w:right="116"/>
        <w:jc w:val="both"/>
      </w:pPr>
      <w:r>
        <w:rPr>
          <w:b/>
        </w:rPr>
        <w:t xml:space="preserve">Recruitment. </w:t>
      </w:r>
      <w:r w:rsidRPr="00D74A7A" w:rsidR="0001529B">
        <w:rPr>
          <w:bCs/>
        </w:rPr>
        <w:t>Research Triangle Institute (</w:t>
      </w:r>
      <w:r w:rsidRPr="0001529B">
        <w:rPr>
          <w:bCs/>
        </w:rPr>
        <w:t>RTI</w:t>
      </w:r>
      <w:r w:rsidRPr="0001529B" w:rsidR="0001529B">
        <w:rPr>
          <w:bCs/>
        </w:rPr>
        <w:t>)</w:t>
      </w:r>
      <w:r>
        <w:t xml:space="preserve"> aims to recruit participants for up to two focus groups per disaster site for a total</w:t>
      </w:r>
      <w:r>
        <w:rPr>
          <w:spacing w:val="-10"/>
        </w:rPr>
        <w:t xml:space="preserve"> </w:t>
      </w:r>
      <w:r>
        <w:t>of</w:t>
      </w:r>
      <w:r>
        <w:rPr>
          <w:spacing w:val="-10"/>
        </w:rPr>
        <w:t xml:space="preserve"> </w:t>
      </w:r>
      <w:r>
        <w:t>four</w:t>
      </w:r>
      <w:r>
        <w:rPr>
          <w:spacing w:val="-11"/>
        </w:rPr>
        <w:t xml:space="preserve"> </w:t>
      </w:r>
      <w:r>
        <w:t>focus</w:t>
      </w:r>
      <w:r>
        <w:rPr>
          <w:spacing w:val="-10"/>
        </w:rPr>
        <w:t xml:space="preserve"> </w:t>
      </w:r>
      <w:r>
        <w:t>groups</w:t>
      </w:r>
      <w:r>
        <w:rPr>
          <w:spacing w:val="34"/>
        </w:rPr>
        <w:t xml:space="preserve"> </w:t>
      </w:r>
      <w:r>
        <w:t>(e.g.,</w:t>
      </w:r>
      <w:r>
        <w:rPr>
          <w:spacing w:val="-10"/>
        </w:rPr>
        <w:t xml:space="preserve"> </w:t>
      </w:r>
      <w:r>
        <w:t>two</w:t>
      </w:r>
      <w:r>
        <w:rPr>
          <w:spacing w:val="-10"/>
        </w:rPr>
        <w:t xml:space="preserve"> </w:t>
      </w:r>
      <w:r>
        <w:t>focus</w:t>
      </w:r>
      <w:r>
        <w:rPr>
          <w:spacing w:val="-10"/>
        </w:rPr>
        <w:t xml:space="preserve"> </w:t>
      </w:r>
      <w:r>
        <w:t>groups</w:t>
      </w:r>
      <w:r>
        <w:rPr>
          <w:spacing w:val="-11"/>
        </w:rPr>
        <w:t xml:space="preserve"> </w:t>
      </w:r>
      <w:r>
        <w:t>in</w:t>
      </w:r>
      <w:r>
        <w:rPr>
          <w:spacing w:val="-10"/>
        </w:rPr>
        <w:t xml:space="preserve"> </w:t>
      </w:r>
      <w:r>
        <w:t>an</w:t>
      </w:r>
      <w:r>
        <w:rPr>
          <w:spacing w:val="-10"/>
        </w:rPr>
        <w:t xml:space="preserve"> </w:t>
      </w:r>
      <w:r>
        <w:t>area</w:t>
      </w:r>
      <w:r>
        <w:rPr>
          <w:spacing w:val="-6"/>
        </w:rPr>
        <w:t xml:space="preserve"> </w:t>
      </w:r>
      <w:r>
        <w:t>surveyed</w:t>
      </w:r>
      <w:r>
        <w:rPr>
          <w:spacing w:val="-10"/>
        </w:rPr>
        <w:t xml:space="preserve"> </w:t>
      </w:r>
      <w:r>
        <w:t>after</w:t>
      </w:r>
      <w:r>
        <w:rPr>
          <w:spacing w:val="-11"/>
        </w:rPr>
        <w:t xml:space="preserve"> </w:t>
      </w:r>
      <w:r>
        <w:t>a</w:t>
      </w:r>
      <w:r>
        <w:rPr>
          <w:spacing w:val="-10"/>
        </w:rPr>
        <w:t xml:space="preserve"> </w:t>
      </w:r>
      <w:r>
        <w:t>hurricane,</w:t>
      </w:r>
      <w:r>
        <w:rPr>
          <w:spacing w:val="-11"/>
        </w:rPr>
        <w:t xml:space="preserve"> </w:t>
      </w:r>
      <w:r>
        <w:t>two</w:t>
      </w:r>
      <w:r>
        <w:rPr>
          <w:spacing w:val="-10"/>
        </w:rPr>
        <w:t xml:space="preserve"> </w:t>
      </w:r>
      <w:r>
        <w:t>focus groups in an area surveyed after a wildfire). Potential participants will be recruited using social media, bulletin boards, and Craigslist in the geographic areas where the surveys are conducted</w:t>
      </w:r>
      <w:r w:rsidR="0085527A">
        <w:t>.</w:t>
      </w:r>
      <w:r>
        <w:t xml:space="preserve"> </w:t>
      </w:r>
      <w:r w:rsidRPr="008831D1">
        <w:t>(See</w:t>
      </w:r>
      <w:r w:rsidRPr="008831D1">
        <w:rPr>
          <w:spacing w:val="-6"/>
        </w:rPr>
        <w:t xml:space="preserve"> </w:t>
      </w:r>
      <w:r w:rsidRPr="008831D1">
        <w:t>Attachment</w:t>
      </w:r>
      <w:r w:rsidRPr="008831D1">
        <w:rPr>
          <w:spacing w:val="-6"/>
        </w:rPr>
        <w:t xml:space="preserve"> </w:t>
      </w:r>
      <w:r w:rsidRPr="008831D1" w:rsidR="00C638E8">
        <w:rPr>
          <w:spacing w:val="-6"/>
        </w:rPr>
        <w:t>7</w:t>
      </w:r>
      <w:r w:rsidRPr="008831D1">
        <w:t>A).</w:t>
      </w:r>
      <w:r w:rsidRPr="008831D1">
        <w:rPr>
          <w:spacing w:val="-6"/>
        </w:rPr>
        <w:t xml:space="preserve"> </w:t>
      </w:r>
      <w:r>
        <w:t>Recruitment</w:t>
      </w:r>
      <w:r>
        <w:rPr>
          <w:spacing w:val="-6"/>
        </w:rPr>
        <w:t xml:space="preserve"> </w:t>
      </w:r>
      <w:r>
        <w:t>will</w:t>
      </w:r>
      <w:r>
        <w:rPr>
          <w:spacing w:val="-6"/>
        </w:rPr>
        <w:t xml:space="preserve"> </w:t>
      </w:r>
      <w:r>
        <w:t>occur</w:t>
      </w:r>
      <w:r>
        <w:rPr>
          <w:spacing w:val="-6"/>
        </w:rPr>
        <w:t xml:space="preserve"> </w:t>
      </w:r>
      <w:r>
        <w:t>two</w:t>
      </w:r>
      <w:r>
        <w:rPr>
          <w:spacing w:val="-6"/>
        </w:rPr>
        <w:t xml:space="preserve"> </w:t>
      </w:r>
      <w:r>
        <w:t>to</w:t>
      </w:r>
      <w:r>
        <w:rPr>
          <w:spacing w:val="-6"/>
        </w:rPr>
        <w:t xml:space="preserve"> </w:t>
      </w:r>
      <w:r>
        <w:t>three</w:t>
      </w:r>
      <w:r>
        <w:rPr>
          <w:spacing w:val="-6"/>
        </w:rPr>
        <w:t xml:space="preserve"> </w:t>
      </w:r>
      <w:r>
        <w:t>weeks</w:t>
      </w:r>
      <w:r>
        <w:rPr>
          <w:spacing w:val="-6"/>
        </w:rPr>
        <w:t xml:space="preserve"> </w:t>
      </w:r>
      <w:r>
        <w:t>prior</w:t>
      </w:r>
      <w:r>
        <w:rPr>
          <w:spacing w:val="-6"/>
        </w:rPr>
        <w:t xml:space="preserve"> </w:t>
      </w:r>
      <w:r>
        <w:t>to</w:t>
      </w:r>
      <w:r>
        <w:rPr>
          <w:spacing w:val="-6"/>
        </w:rPr>
        <w:t xml:space="preserve"> </w:t>
      </w:r>
      <w:r>
        <w:t>each</w:t>
      </w:r>
      <w:r>
        <w:rPr>
          <w:spacing w:val="-7"/>
        </w:rPr>
        <w:t xml:space="preserve"> </w:t>
      </w:r>
      <w:r>
        <w:t>focus</w:t>
      </w:r>
      <w:r>
        <w:rPr>
          <w:spacing w:val="-7"/>
        </w:rPr>
        <w:t xml:space="preserve"> </w:t>
      </w:r>
      <w:r>
        <w:t>group</w:t>
      </w:r>
      <w:r>
        <w:rPr>
          <w:spacing w:val="-7"/>
        </w:rPr>
        <w:t xml:space="preserve"> </w:t>
      </w:r>
      <w:r>
        <w:t>date</w:t>
      </w:r>
      <w:r>
        <w:rPr>
          <w:spacing w:val="-6"/>
        </w:rPr>
        <w:t xml:space="preserve"> </w:t>
      </w:r>
      <w:r>
        <w:t>to allow</w:t>
      </w:r>
      <w:r>
        <w:rPr>
          <w:spacing w:val="-10"/>
        </w:rPr>
        <w:t xml:space="preserve"> </w:t>
      </w:r>
      <w:r>
        <w:t>time</w:t>
      </w:r>
      <w:r>
        <w:rPr>
          <w:spacing w:val="-10"/>
        </w:rPr>
        <w:t xml:space="preserve"> </w:t>
      </w:r>
      <w:r>
        <w:t>for</w:t>
      </w:r>
      <w:r>
        <w:rPr>
          <w:spacing w:val="-10"/>
        </w:rPr>
        <w:t xml:space="preserve"> </w:t>
      </w:r>
      <w:r>
        <w:t>gathering</w:t>
      </w:r>
      <w:r>
        <w:rPr>
          <w:spacing w:val="-12"/>
        </w:rPr>
        <w:t xml:space="preserve"> </w:t>
      </w:r>
      <w:r>
        <w:t>consent</w:t>
      </w:r>
      <w:r>
        <w:rPr>
          <w:spacing w:val="-10"/>
        </w:rPr>
        <w:t xml:space="preserve"> </w:t>
      </w:r>
      <w:r>
        <w:t>as</w:t>
      </w:r>
      <w:r>
        <w:rPr>
          <w:spacing w:val="-9"/>
        </w:rPr>
        <w:t xml:space="preserve"> </w:t>
      </w:r>
      <w:r>
        <w:t>well.</w:t>
      </w:r>
      <w:r>
        <w:rPr>
          <w:spacing w:val="-10"/>
        </w:rPr>
        <w:t xml:space="preserve"> </w:t>
      </w:r>
      <w:r w:rsidR="0085527A">
        <w:rPr>
          <w:spacing w:val="-10"/>
        </w:rPr>
        <w:t xml:space="preserve">Potential participants will be asked to supply their email address and/or phone number during recruitment.  </w:t>
      </w:r>
      <w:r>
        <w:t>An</w:t>
      </w:r>
      <w:r>
        <w:rPr>
          <w:spacing w:val="-10"/>
        </w:rPr>
        <w:t xml:space="preserve"> </w:t>
      </w:r>
      <w:r>
        <w:t>RTI</w:t>
      </w:r>
      <w:r>
        <w:rPr>
          <w:spacing w:val="-10"/>
        </w:rPr>
        <w:t xml:space="preserve"> </w:t>
      </w:r>
      <w:r>
        <w:t>qualitative</w:t>
      </w:r>
      <w:r>
        <w:rPr>
          <w:spacing w:val="-10"/>
        </w:rPr>
        <w:t xml:space="preserve"> </w:t>
      </w:r>
      <w:r>
        <w:t>researcher</w:t>
      </w:r>
      <w:r>
        <w:rPr>
          <w:spacing w:val="-10"/>
        </w:rPr>
        <w:t xml:space="preserve"> </w:t>
      </w:r>
      <w:r>
        <w:t>with</w:t>
      </w:r>
      <w:r>
        <w:rPr>
          <w:spacing w:val="-10"/>
        </w:rPr>
        <w:t xml:space="preserve"> </w:t>
      </w:r>
      <w:r>
        <w:t>CITI</w:t>
      </w:r>
      <w:r>
        <w:rPr>
          <w:spacing w:val="-10"/>
        </w:rPr>
        <w:t xml:space="preserve"> </w:t>
      </w:r>
      <w:r>
        <w:t>training,</w:t>
      </w:r>
      <w:r>
        <w:rPr>
          <w:spacing w:val="-10"/>
        </w:rPr>
        <w:t xml:space="preserve"> </w:t>
      </w:r>
      <w:r>
        <w:t>will</w:t>
      </w:r>
      <w:r>
        <w:rPr>
          <w:spacing w:val="-10"/>
        </w:rPr>
        <w:t xml:space="preserve"> </w:t>
      </w:r>
      <w:r>
        <w:t xml:space="preserve">next contact potential participants </w:t>
      </w:r>
      <w:r w:rsidR="0085527A">
        <w:t xml:space="preserve">via email and/or phone </w:t>
      </w:r>
      <w:r>
        <w:t>with the goal of recruiting a sample of eight to twelve demographically diverse participants per</w:t>
      </w:r>
      <w:r>
        <w:rPr>
          <w:spacing w:val="-3"/>
        </w:rPr>
        <w:t xml:space="preserve"> </w:t>
      </w:r>
      <w:r>
        <w:t>group.</w:t>
      </w:r>
    </w:p>
    <w:p w:rsidR="003D0257" w:rsidRDefault="003D0257" w14:paraId="1743B6AD" w14:textId="77777777">
      <w:pPr>
        <w:pStyle w:val="BodyText"/>
        <w:spacing w:before="11"/>
        <w:rPr>
          <w:sz w:val="23"/>
        </w:rPr>
      </w:pPr>
    </w:p>
    <w:p w:rsidR="003D0257" w:rsidP="005F4FFA" w:rsidRDefault="009F7696" w14:paraId="5C062E05" w14:textId="465DA912">
      <w:pPr>
        <w:pStyle w:val="BodyText"/>
        <w:ind w:left="120" w:right="116"/>
        <w:jc w:val="both"/>
      </w:pPr>
      <w:r>
        <w:rPr>
          <w:b/>
        </w:rPr>
        <w:t>Setting.</w:t>
      </w:r>
      <w:r>
        <w:rPr>
          <w:b/>
          <w:spacing w:val="29"/>
        </w:rPr>
        <w:t xml:space="preserve"> </w:t>
      </w:r>
      <w:r>
        <w:t>The</w:t>
      </w:r>
      <w:r>
        <w:rPr>
          <w:spacing w:val="-12"/>
        </w:rPr>
        <w:t xml:space="preserve"> </w:t>
      </w:r>
      <w:r>
        <w:t>focus</w:t>
      </w:r>
      <w:r>
        <w:rPr>
          <w:spacing w:val="-12"/>
        </w:rPr>
        <w:t xml:space="preserve"> </w:t>
      </w:r>
      <w:r>
        <w:t>groups</w:t>
      </w:r>
      <w:r>
        <w:rPr>
          <w:spacing w:val="-13"/>
        </w:rPr>
        <w:t xml:space="preserve"> </w:t>
      </w:r>
      <w:r>
        <w:t>will</w:t>
      </w:r>
      <w:r>
        <w:rPr>
          <w:spacing w:val="-12"/>
        </w:rPr>
        <w:t xml:space="preserve"> </w:t>
      </w:r>
      <w:r>
        <w:t>be</w:t>
      </w:r>
      <w:r>
        <w:rPr>
          <w:spacing w:val="-12"/>
        </w:rPr>
        <w:t xml:space="preserve"> </w:t>
      </w:r>
      <w:r>
        <w:t>conducted</w:t>
      </w:r>
      <w:r>
        <w:rPr>
          <w:spacing w:val="-12"/>
        </w:rPr>
        <w:t xml:space="preserve"> </w:t>
      </w:r>
      <w:r>
        <w:t>via</w:t>
      </w:r>
      <w:r>
        <w:rPr>
          <w:spacing w:val="-12"/>
        </w:rPr>
        <w:t xml:space="preserve"> </w:t>
      </w:r>
      <w:r>
        <w:t>videoconference</w:t>
      </w:r>
      <w:r>
        <w:rPr>
          <w:spacing w:val="-12"/>
        </w:rPr>
        <w:t xml:space="preserve"> </w:t>
      </w:r>
      <w:r>
        <w:t>using</w:t>
      </w:r>
      <w:r>
        <w:rPr>
          <w:spacing w:val="-12"/>
        </w:rPr>
        <w:t xml:space="preserve"> </w:t>
      </w:r>
      <w:r>
        <w:t>a</w:t>
      </w:r>
      <w:r>
        <w:rPr>
          <w:spacing w:val="-11"/>
        </w:rPr>
        <w:t xml:space="preserve"> </w:t>
      </w:r>
      <w:r>
        <w:t>focus</w:t>
      </w:r>
      <w:r>
        <w:rPr>
          <w:spacing w:val="-13"/>
        </w:rPr>
        <w:t xml:space="preserve"> </w:t>
      </w:r>
      <w:r>
        <w:t>group</w:t>
      </w:r>
      <w:r>
        <w:rPr>
          <w:spacing w:val="-13"/>
        </w:rPr>
        <w:t xml:space="preserve"> </w:t>
      </w:r>
      <w:r>
        <w:t xml:space="preserve">vendor. These vendors have user‐friendly platforms that allow real‐time, back and forth conversations between the moderator and participants without travel, time, or costs associated with in‐person meetings. Each focus group will be secure and private to mitigate informational risk. </w:t>
      </w:r>
      <w:r w:rsidR="00634E22">
        <w:t>T</w:t>
      </w:r>
      <w:r>
        <w:t>o ensure that participants include individuals from vulnerable populations who may not have access to computer/internet/webcam equipment at home (e.g., low</w:t>
      </w:r>
      <w:r>
        <w:rPr>
          <w:spacing w:val="-8"/>
        </w:rPr>
        <w:t xml:space="preserve"> </w:t>
      </w:r>
      <w:r>
        <w:t>SES;</w:t>
      </w:r>
      <w:r>
        <w:rPr>
          <w:spacing w:val="-8"/>
        </w:rPr>
        <w:t xml:space="preserve"> </w:t>
      </w:r>
      <w:r>
        <w:t>older</w:t>
      </w:r>
      <w:r>
        <w:rPr>
          <w:spacing w:val="-8"/>
        </w:rPr>
        <w:t xml:space="preserve"> </w:t>
      </w:r>
      <w:r>
        <w:t>adults</w:t>
      </w:r>
      <w:r>
        <w:rPr>
          <w:spacing w:val="-8"/>
        </w:rPr>
        <w:t xml:space="preserve"> </w:t>
      </w:r>
      <w:r>
        <w:t>with</w:t>
      </w:r>
      <w:r>
        <w:rPr>
          <w:spacing w:val="-8"/>
        </w:rPr>
        <w:t xml:space="preserve"> </w:t>
      </w:r>
      <w:r>
        <w:t>chronic</w:t>
      </w:r>
      <w:r>
        <w:rPr>
          <w:spacing w:val="-8"/>
        </w:rPr>
        <w:t xml:space="preserve"> </w:t>
      </w:r>
      <w:r>
        <w:t>diseases),</w:t>
      </w:r>
      <w:r>
        <w:rPr>
          <w:spacing w:val="-8"/>
        </w:rPr>
        <w:t xml:space="preserve"> </w:t>
      </w:r>
      <w:r>
        <w:t>two</w:t>
      </w:r>
      <w:r>
        <w:rPr>
          <w:spacing w:val="-9"/>
        </w:rPr>
        <w:t xml:space="preserve"> </w:t>
      </w:r>
      <w:r>
        <w:t>potential</w:t>
      </w:r>
      <w:r>
        <w:rPr>
          <w:spacing w:val="-9"/>
        </w:rPr>
        <w:t xml:space="preserve"> </w:t>
      </w:r>
      <w:r>
        <w:t>accommodations</w:t>
      </w:r>
      <w:r>
        <w:rPr>
          <w:spacing w:val="-8"/>
        </w:rPr>
        <w:t xml:space="preserve"> </w:t>
      </w:r>
      <w:r w:rsidR="007C38DE">
        <w:rPr>
          <w:spacing w:val="-8"/>
        </w:rPr>
        <w:t xml:space="preserve">allowing </w:t>
      </w:r>
      <w:r w:rsidR="00EE5F6B">
        <w:rPr>
          <w:spacing w:val="-8"/>
        </w:rPr>
        <w:t xml:space="preserve">required </w:t>
      </w:r>
      <w:r w:rsidR="007C38DE">
        <w:rPr>
          <w:spacing w:val="-8"/>
        </w:rPr>
        <w:t>COVID precautions</w:t>
      </w:r>
      <w:r w:rsidR="00F1727C">
        <w:rPr>
          <w:spacing w:val="-8"/>
        </w:rPr>
        <w:t>,</w:t>
      </w:r>
      <w:r w:rsidR="007C38DE">
        <w:rPr>
          <w:spacing w:val="-8"/>
        </w:rPr>
        <w:t xml:space="preserve"> such as wearing masks</w:t>
      </w:r>
      <w:r w:rsidR="00EE5F6B">
        <w:rPr>
          <w:spacing w:val="-8"/>
        </w:rPr>
        <w:t>, hygiene practices,</w:t>
      </w:r>
      <w:r w:rsidR="007C38DE">
        <w:rPr>
          <w:spacing w:val="-8"/>
        </w:rPr>
        <w:t xml:space="preserve"> and social distancing</w:t>
      </w:r>
      <w:r w:rsidR="00F1727C">
        <w:rPr>
          <w:spacing w:val="-8"/>
        </w:rPr>
        <w:t>,</w:t>
      </w:r>
      <w:r w:rsidR="007C38DE">
        <w:rPr>
          <w:spacing w:val="-8"/>
        </w:rPr>
        <w:t xml:space="preserve"> </w:t>
      </w:r>
      <w:r>
        <w:t>may</w:t>
      </w:r>
      <w:r>
        <w:rPr>
          <w:spacing w:val="-8"/>
        </w:rPr>
        <w:t xml:space="preserve"> </w:t>
      </w:r>
      <w:r>
        <w:t>be</w:t>
      </w:r>
      <w:r>
        <w:rPr>
          <w:spacing w:val="-8"/>
        </w:rPr>
        <w:t xml:space="preserve"> </w:t>
      </w:r>
      <w:r w:rsidR="00EE5F6B">
        <w:rPr>
          <w:spacing w:val="-8"/>
        </w:rPr>
        <w:t xml:space="preserve">made </w:t>
      </w:r>
      <w:r>
        <w:t>available</w:t>
      </w:r>
      <w:r w:rsidR="00EE5F6B">
        <w:t xml:space="preserve"> by RTI</w:t>
      </w:r>
      <w:r>
        <w:t>:</w:t>
      </w:r>
      <w:r>
        <w:rPr>
          <w:spacing w:val="39"/>
        </w:rPr>
        <w:t xml:space="preserve"> </w:t>
      </w:r>
      <w:r>
        <w:t>1) reserving</w:t>
      </w:r>
      <w:r>
        <w:rPr>
          <w:spacing w:val="-5"/>
        </w:rPr>
        <w:t xml:space="preserve"> </w:t>
      </w:r>
      <w:r>
        <w:t>a</w:t>
      </w:r>
      <w:r>
        <w:rPr>
          <w:spacing w:val="-5"/>
        </w:rPr>
        <w:t xml:space="preserve"> </w:t>
      </w:r>
      <w:r w:rsidR="00D74A7A">
        <w:rPr>
          <w:spacing w:val="-5"/>
        </w:rPr>
        <w:t xml:space="preserve">private </w:t>
      </w:r>
      <w:r>
        <w:t>meeting</w:t>
      </w:r>
      <w:r>
        <w:rPr>
          <w:spacing w:val="-5"/>
        </w:rPr>
        <w:t xml:space="preserve"> </w:t>
      </w:r>
      <w:r>
        <w:t>room</w:t>
      </w:r>
      <w:r>
        <w:rPr>
          <w:spacing w:val="-5"/>
        </w:rPr>
        <w:t xml:space="preserve"> </w:t>
      </w:r>
      <w:r>
        <w:t>and</w:t>
      </w:r>
      <w:r>
        <w:rPr>
          <w:spacing w:val="-5"/>
        </w:rPr>
        <w:t xml:space="preserve"> </w:t>
      </w:r>
      <w:r>
        <w:t>appropriate</w:t>
      </w:r>
      <w:r>
        <w:rPr>
          <w:spacing w:val="-5"/>
        </w:rPr>
        <w:t xml:space="preserve"> </w:t>
      </w:r>
      <w:r>
        <w:t>equipment</w:t>
      </w:r>
      <w:r>
        <w:rPr>
          <w:spacing w:val="-5"/>
        </w:rPr>
        <w:t xml:space="preserve"> </w:t>
      </w:r>
      <w:r w:rsidR="007C38DE">
        <w:rPr>
          <w:spacing w:val="-5"/>
        </w:rPr>
        <w:t xml:space="preserve">for the participant </w:t>
      </w:r>
      <w:r>
        <w:t>in</w:t>
      </w:r>
      <w:r>
        <w:rPr>
          <w:spacing w:val="-5"/>
        </w:rPr>
        <w:t xml:space="preserve"> </w:t>
      </w:r>
      <w:r>
        <w:t>the</w:t>
      </w:r>
      <w:r>
        <w:rPr>
          <w:spacing w:val="-5"/>
        </w:rPr>
        <w:t xml:space="preserve"> </w:t>
      </w:r>
      <w:r>
        <w:t>area’s</w:t>
      </w:r>
      <w:r>
        <w:rPr>
          <w:spacing w:val="-6"/>
        </w:rPr>
        <w:t xml:space="preserve"> </w:t>
      </w:r>
      <w:r>
        <w:t>local</w:t>
      </w:r>
      <w:r>
        <w:rPr>
          <w:spacing w:val="-6"/>
        </w:rPr>
        <w:t xml:space="preserve"> </w:t>
      </w:r>
      <w:r>
        <w:t>health</w:t>
      </w:r>
      <w:r>
        <w:rPr>
          <w:spacing w:val="-6"/>
        </w:rPr>
        <w:t xml:space="preserve"> </w:t>
      </w:r>
      <w:r>
        <w:t>department</w:t>
      </w:r>
      <w:r>
        <w:rPr>
          <w:spacing w:val="-6"/>
        </w:rPr>
        <w:t xml:space="preserve"> </w:t>
      </w:r>
      <w:r>
        <w:lastRenderedPageBreak/>
        <w:t>(i.e.</w:t>
      </w:r>
      <w:r w:rsidR="005F4FFA">
        <w:t xml:space="preserve">, </w:t>
      </w:r>
      <w:r>
        <w:t xml:space="preserve">the focus group would still be moderated online by study staff); 2) reserving a </w:t>
      </w:r>
      <w:r w:rsidR="00D74A7A">
        <w:t xml:space="preserve">private </w:t>
      </w:r>
      <w:r>
        <w:t>meeting room</w:t>
      </w:r>
      <w:r w:rsidR="007C38DE">
        <w:t xml:space="preserve"> for the participant</w:t>
      </w:r>
      <w:r>
        <w:t xml:space="preserve"> in another facility in the area (e.g., library).</w:t>
      </w:r>
      <w:r w:rsidR="007C38DE">
        <w:t xml:space="preserve"> </w:t>
      </w:r>
      <w:r w:rsidR="00EE5F6B">
        <w:t xml:space="preserve">Local and state </w:t>
      </w:r>
      <w:r w:rsidR="00D74A7A">
        <w:t xml:space="preserve">COVID-19 </w:t>
      </w:r>
      <w:r w:rsidR="00EE5F6B">
        <w:t xml:space="preserve">ordinances and </w:t>
      </w:r>
      <w:r w:rsidR="00D74A7A">
        <w:t xml:space="preserve">health </w:t>
      </w:r>
      <w:r w:rsidR="00EE5F6B">
        <w:t>orders will be followed in these situations.</w:t>
      </w:r>
    </w:p>
    <w:p w:rsidR="003D0257" w:rsidRDefault="003D0257" w14:paraId="74206874" w14:textId="77777777">
      <w:pPr>
        <w:pStyle w:val="BodyText"/>
        <w:spacing w:before="11"/>
        <w:rPr>
          <w:sz w:val="23"/>
        </w:rPr>
      </w:pPr>
    </w:p>
    <w:p w:rsidR="003D0257" w:rsidRDefault="009F7696" w14:paraId="1A5426E6" w14:textId="4A5B72EC">
      <w:pPr>
        <w:pStyle w:val="BodyText"/>
        <w:ind w:left="119"/>
        <w:jc w:val="both"/>
      </w:pPr>
      <w:r>
        <w:rPr>
          <w:b/>
        </w:rPr>
        <w:t xml:space="preserve">Duration.  </w:t>
      </w:r>
      <w:r>
        <w:t>Each focus group will be one and a half to two hours in duration.</w:t>
      </w:r>
    </w:p>
    <w:p w:rsidR="003D0257" w:rsidRDefault="003D0257" w14:paraId="296509AB" w14:textId="77777777">
      <w:pPr>
        <w:pStyle w:val="BodyText"/>
      </w:pPr>
    </w:p>
    <w:p w:rsidR="003D0257" w:rsidRDefault="009F7696" w14:paraId="24309CDF" w14:textId="5D49E27D">
      <w:pPr>
        <w:pStyle w:val="BodyText"/>
        <w:ind w:left="119" w:right="117"/>
        <w:jc w:val="both"/>
      </w:pPr>
      <w:r>
        <w:rPr>
          <w:b/>
        </w:rPr>
        <w:t>Consent.</w:t>
      </w:r>
      <w:r>
        <w:rPr>
          <w:b/>
          <w:spacing w:val="32"/>
        </w:rPr>
        <w:t xml:space="preserve"> </w:t>
      </w:r>
      <w:r>
        <w:t>Consent</w:t>
      </w:r>
      <w:r>
        <w:rPr>
          <w:spacing w:val="-11"/>
        </w:rPr>
        <w:t xml:space="preserve"> </w:t>
      </w:r>
      <w:r>
        <w:t>will</w:t>
      </w:r>
      <w:r>
        <w:rPr>
          <w:spacing w:val="-11"/>
        </w:rPr>
        <w:t xml:space="preserve"> </w:t>
      </w:r>
      <w:r>
        <w:t>be</w:t>
      </w:r>
      <w:r>
        <w:rPr>
          <w:spacing w:val="-11"/>
        </w:rPr>
        <w:t xml:space="preserve"> </w:t>
      </w:r>
      <w:r>
        <w:t>obtained</w:t>
      </w:r>
      <w:r>
        <w:rPr>
          <w:spacing w:val="-12"/>
        </w:rPr>
        <w:t xml:space="preserve"> </w:t>
      </w:r>
      <w:r w:rsidR="000D074B">
        <w:rPr>
          <w:spacing w:val="-12"/>
        </w:rPr>
        <w:t xml:space="preserve">during the week before </w:t>
      </w:r>
      <w:r w:rsidR="000D074B">
        <w:t>a scheduled</w:t>
      </w:r>
      <w:r>
        <w:rPr>
          <w:spacing w:val="-11"/>
        </w:rPr>
        <w:t xml:space="preserve"> </w:t>
      </w:r>
      <w:r>
        <w:t>focus</w:t>
      </w:r>
      <w:r>
        <w:rPr>
          <w:spacing w:val="-11"/>
        </w:rPr>
        <w:t xml:space="preserve"> </w:t>
      </w:r>
      <w:r>
        <w:t>group</w:t>
      </w:r>
      <w:r w:rsidR="00F44A75">
        <w:t xml:space="preserve"> via email</w:t>
      </w:r>
      <w:r w:rsidR="000D074B">
        <w:t>.</w:t>
      </w:r>
      <w:r w:rsidR="0085527A">
        <w:t xml:space="preserve"> The focus group </w:t>
      </w:r>
      <w:r w:rsidR="000D074B">
        <w:t xml:space="preserve">task </w:t>
      </w:r>
      <w:r w:rsidR="0085527A">
        <w:t xml:space="preserve">lead will email </w:t>
      </w:r>
      <w:r w:rsidR="000D074B">
        <w:t xml:space="preserve">a consent form to each potential participant and request that they read, sign, and return the consent form via email. </w:t>
      </w:r>
      <w:r w:rsidR="00F44A75">
        <w:t xml:space="preserve"> </w:t>
      </w:r>
      <w:r w:rsidR="000D074B">
        <w:t xml:space="preserve">Electronic signatures will be acceptable if the participant does not have equipment to print and </w:t>
      </w:r>
      <w:r w:rsidR="00F44A75">
        <w:t>send back</w:t>
      </w:r>
      <w:r w:rsidR="000D074B">
        <w:t xml:space="preserve"> the form. The</w:t>
      </w:r>
      <w:r>
        <w:t xml:space="preserve"> consent form include</w:t>
      </w:r>
      <w:r w:rsidR="00F44A75">
        <w:t>s</w:t>
      </w:r>
      <w:r>
        <w:t xml:space="preserve"> a description of the study purpose, study procedures, benefits and risks, confidentiality, compensation, and study contacts (See Attachment</w:t>
      </w:r>
      <w:r>
        <w:rPr>
          <w:spacing w:val="-1"/>
        </w:rPr>
        <w:t xml:space="preserve"> </w:t>
      </w:r>
      <w:r w:rsidR="00D74A7A">
        <w:rPr>
          <w:spacing w:val="-1"/>
        </w:rPr>
        <w:t>7</w:t>
      </w:r>
      <w:r w:rsidR="00363046">
        <w:rPr>
          <w:spacing w:val="-1"/>
        </w:rPr>
        <w:t>B</w:t>
      </w:r>
      <w:r>
        <w:t>).</w:t>
      </w:r>
    </w:p>
    <w:p w:rsidR="003D0257" w:rsidRDefault="003D0257" w14:paraId="77FECFE1" w14:textId="77777777">
      <w:pPr>
        <w:pStyle w:val="BodyText"/>
      </w:pPr>
    </w:p>
    <w:p w:rsidR="003D0257" w:rsidRDefault="009F7696" w14:paraId="0579E5C6" w14:textId="13D4EE15">
      <w:pPr>
        <w:pStyle w:val="BodyText"/>
        <w:ind w:left="119" w:right="118"/>
        <w:jc w:val="both"/>
      </w:pPr>
      <w:r>
        <w:rPr>
          <w:b/>
        </w:rPr>
        <w:t xml:space="preserve">Data Collection. </w:t>
      </w:r>
      <w:r w:rsidR="003B1582">
        <w:t>During the focus group,</w:t>
      </w:r>
      <w:r>
        <w:t xml:space="preserve"> participants will be asked to voluntarily </w:t>
      </w:r>
      <w:r w:rsidR="006E78AD">
        <w:t>state their</w:t>
      </w:r>
      <w:r>
        <w:t xml:space="preserve"> age,</w:t>
      </w:r>
      <w:r>
        <w:rPr>
          <w:spacing w:val="-9"/>
        </w:rPr>
        <w:t xml:space="preserve"> </w:t>
      </w:r>
      <w:r>
        <w:t>sex,</w:t>
      </w:r>
      <w:r>
        <w:rPr>
          <w:spacing w:val="-9"/>
        </w:rPr>
        <w:t xml:space="preserve"> </w:t>
      </w:r>
      <w:r>
        <w:t>and</w:t>
      </w:r>
      <w:r>
        <w:rPr>
          <w:spacing w:val="-9"/>
        </w:rPr>
        <w:t xml:space="preserve"> </w:t>
      </w:r>
      <w:r>
        <w:t>race/ethnicity.</w:t>
      </w:r>
      <w:r>
        <w:rPr>
          <w:spacing w:val="37"/>
        </w:rPr>
        <w:t xml:space="preserve"> </w:t>
      </w:r>
      <w:r>
        <w:t>Focus</w:t>
      </w:r>
      <w:r>
        <w:rPr>
          <w:spacing w:val="-9"/>
        </w:rPr>
        <w:t xml:space="preserve"> </w:t>
      </w:r>
      <w:r>
        <w:t>groups</w:t>
      </w:r>
      <w:r>
        <w:rPr>
          <w:spacing w:val="-9"/>
        </w:rPr>
        <w:t xml:space="preserve"> </w:t>
      </w:r>
      <w:r>
        <w:t>will</w:t>
      </w:r>
      <w:r>
        <w:rPr>
          <w:spacing w:val="-9"/>
        </w:rPr>
        <w:t xml:space="preserve"> </w:t>
      </w:r>
      <w:r>
        <w:t>be</w:t>
      </w:r>
      <w:r>
        <w:rPr>
          <w:spacing w:val="-9"/>
        </w:rPr>
        <w:t xml:space="preserve"> </w:t>
      </w:r>
      <w:r>
        <w:t xml:space="preserve">recorded and transcribed. Attachment </w:t>
      </w:r>
      <w:r w:rsidR="00D74A7A">
        <w:t>7</w:t>
      </w:r>
      <w:r w:rsidR="00BB0F37">
        <w:t>D</w:t>
      </w:r>
      <w:r>
        <w:t xml:space="preserve"> is the guide that will used during the focus group</w:t>
      </w:r>
      <w:r>
        <w:rPr>
          <w:spacing w:val="-28"/>
        </w:rPr>
        <w:t xml:space="preserve"> </w:t>
      </w:r>
      <w:r>
        <w:t>sessions.</w:t>
      </w:r>
    </w:p>
    <w:p w:rsidR="003D0257" w:rsidRDefault="003D0257" w14:paraId="30709A4C" w14:textId="77777777">
      <w:pPr>
        <w:pStyle w:val="BodyText"/>
        <w:spacing w:before="11"/>
        <w:rPr>
          <w:sz w:val="23"/>
        </w:rPr>
      </w:pPr>
    </w:p>
    <w:p w:rsidR="003D0257" w:rsidRDefault="009F7696" w14:paraId="6ADC2661" w14:textId="77777777">
      <w:pPr>
        <w:pStyle w:val="BodyText"/>
        <w:ind w:left="119" w:right="117"/>
        <w:jc w:val="both"/>
      </w:pPr>
      <w:r>
        <w:rPr>
          <w:b/>
        </w:rPr>
        <w:t>Confidentiality.</w:t>
      </w:r>
      <w:r>
        <w:rPr>
          <w:b/>
          <w:spacing w:val="-14"/>
        </w:rPr>
        <w:t xml:space="preserve"> </w:t>
      </w:r>
      <w:r>
        <w:t>To</w:t>
      </w:r>
      <w:r>
        <w:rPr>
          <w:spacing w:val="-12"/>
        </w:rPr>
        <w:t xml:space="preserve"> </w:t>
      </w:r>
      <w:r>
        <w:t>protect</w:t>
      </w:r>
      <w:r>
        <w:rPr>
          <w:spacing w:val="-12"/>
        </w:rPr>
        <w:t xml:space="preserve"> </w:t>
      </w:r>
      <w:r>
        <w:t>the</w:t>
      </w:r>
      <w:r>
        <w:rPr>
          <w:spacing w:val="-12"/>
        </w:rPr>
        <w:t xml:space="preserve"> </w:t>
      </w:r>
      <w:r>
        <w:t>identities</w:t>
      </w:r>
      <w:r>
        <w:rPr>
          <w:spacing w:val="-12"/>
        </w:rPr>
        <w:t xml:space="preserve"> </w:t>
      </w:r>
      <w:r>
        <w:t>of</w:t>
      </w:r>
      <w:r>
        <w:rPr>
          <w:spacing w:val="-12"/>
        </w:rPr>
        <w:t xml:space="preserve"> </w:t>
      </w:r>
      <w:r>
        <w:t>respondents,</w:t>
      </w:r>
      <w:r>
        <w:rPr>
          <w:spacing w:val="-12"/>
        </w:rPr>
        <w:t xml:space="preserve"> </w:t>
      </w:r>
      <w:r>
        <w:t>the</w:t>
      </w:r>
      <w:r>
        <w:rPr>
          <w:spacing w:val="-11"/>
        </w:rPr>
        <w:t xml:space="preserve"> </w:t>
      </w:r>
      <w:r>
        <w:t>moderator</w:t>
      </w:r>
      <w:r>
        <w:rPr>
          <w:spacing w:val="-14"/>
        </w:rPr>
        <w:t xml:space="preserve"> </w:t>
      </w:r>
      <w:r>
        <w:t>will</w:t>
      </w:r>
      <w:r>
        <w:rPr>
          <w:spacing w:val="-12"/>
        </w:rPr>
        <w:t xml:space="preserve"> </w:t>
      </w:r>
      <w:r>
        <w:t>redact</w:t>
      </w:r>
      <w:r>
        <w:rPr>
          <w:spacing w:val="-12"/>
        </w:rPr>
        <w:t xml:space="preserve"> </w:t>
      </w:r>
      <w:r>
        <w:t>all</w:t>
      </w:r>
      <w:r>
        <w:rPr>
          <w:spacing w:val="-12"/>
        </w:rPr>
        <w:t xml:space="preserve"> </w:t>
      </w:r>
      <w:r>
        <w:t>potentially identifying information from transcripts. If it is necessary to identify participants in reports, they will be identified using unique codes (e.g., “Participant 1”). Participants will be notified of recording and the protection of their identities during the consent process and at the beginning of the focus group discussion. They will be asked not to use their last names during discussion and will be reminded that the information discussed during the focus group needs to remain confidential.</w:t>
      </w:r>
      <w:r>
        <w:rPr>
          <w:spacing w:val="-10"/>
        </w:rPr>
        <w:t xml:space="preserve"> </w:t>
      </w:r>
      <w:r>
        <w:t>After</w:t>
      </w:r>
      <w:r>
        <w:rPr>
          <w:spacing w:val="-10"/>
        </w:rPr>
        <w:t xml:space="preserve"> </w:t>
      </w:r>
      <w:r>
        <w:t>each</w:t>
      </w:r>
      <w:r>
        <w:rPr>
          <w:spacing w:val="-10"/>
        </w:rPr>
        <w:t xml:space="preserve"> </w:t>
      </w:r>
      <w:r>
        <w:t>focus</w:t>
      </w:r>
      <w:r>
        <w:rPr>
          <w:spacing w:val="-10"/>
        </w:rPr>
        <w:t xml:space="preserve"> </w:t>
      </w:r>
      <w:r>
        <w:t>group,</w:t>
      </w:r>
      <w:r>
        <w:rPr>
          <w:spacing w:val="-11"/>
        </w:rPr>
        <w:t xml:space="preserve"> </w:t>
      </w:r>
      <w:r>
        <w:t>recordings</w:t>
      </w:r>
      <w:r>
        <w:rPr>
          <w:spacing w:val="-10"/>
        </w:rPr>
        <w:t xml:space="preserve"> </w:t>
      </w:r>
      <w:r>
        <w:t>will</w:t>
      </w:r>
      <w:r>
        <w:rPr>
          <w:spacing w:val="-10"/>
        </w:rPr>
        <w:t xml:space="preserve"> </w:t>
      </w:r>
      <w:r>
        <w:t>be</w:t>
      </w:r>
      <w:r>
        <w:rPr>
          <w:spacing w:val="-10"/>
        </w:rPr>
        <w:t xml:space="preserve"> </w:t>
      </w:r>
      <w:r>
        <w:t>secured</w:t>
      </w:r>
      <w:r>
        <w:rPr>
          <w:spacing w:val="-10"/>
        </w:rPr>
        <w:t xml:space="preserve"> </w:t>
      </w:r>
      <w:r>
        <w:t>using</w:t>
      </w:r>
      <w:r>
        <w:rPr>
          <w:spacing w:val="-10"/>
        </w:rPr>
        <w:t xml:space="preserve"> </w:t>
      </w:r>
      <w:r>
        <w:t>password‐protected</w:t>
      </w:r>
      <w:r>
        <w:rPr>
          <w:spacing w:val="-10"/>
        </w:rPr>
        <w:t xml:space="preserve"> </w:t>
      </w:r>
      <w:r>
        <w:t>files</w:t>
      </w:r>
      <w:r>
        <w:rPr>
          <w:spacing w:val="-10"/>
        </w:rPr>
        <w:t xml:space="preserve"> </w:t>
      </w:r>
      <w:r>
        <w:t>in a</w:t>
      </w:r>
      <w:r>
        <w:rPr>
          <w:spacing w:val="-7"/>
        </w:rPr>
        <w:t xml:space="preserve"> </w:t>
      </w:r>
      <w:r>
        <w:t>locked</w:t>
      </w:r>
      <w:r>
        <w:rPr>
          <w:spacing w:val="-8"/>
        </w:rPr>
        <w:t xml:space="preserve"> </w:t>
      </w:r>
      <w:r>
        <w:t>area</w:t>
      </w:r>
      <w:r>
        <w:rPr>
          <w:spacing w:val="-7"/>
        </w:rPr>
        <w:t xml:space="preserve"> </w:t>
      </w:r>
      <w:r>
        <w:t>for</w:t>
      </w:r>
      <w:r>
        <w:rPr>
          <w:spacing w:val="-8"/>
        </w:rPr>
        <w:t xml:space="preserve"> </w:t>
      </w:r>
      <w:r>
        <w:t>which</w:t>
      </w:r>
      <w:r>
        <w:rPr>
          <w:spacing w:val="-9"/>
        </w:rPr>
        <w:t xml:space="preserve"> </w:t>
      </w:r>
      <w:r>
        <w:t>only</w:t>
      </w:r>
      <w:r>
        <w:rPr>
          <w:spacing w:val="-7"/>
        </w:rPr>
        <w:t xml:space="preserve"> </w:t>
      </w:r>
      <w:r>
        <w:t>the</w:t>
      </w:r>
      <w:r>
        <w:rPr>
          <w:spacing w:val="-7"/>
        </w:rPr>
        <w:t xml:space="preserve"> </w:t>
      </w:r>
      <w:r>
        <w:t>moderator</w:t>
      </w:r>
      <w:r>
        <w:rPr>
          <w:spacing w:val="-7"/>
        </w:rPr>
        <w:t xml:space="preserve"> </w:t>
      </w:r>
      <w:r>
        <w:t>and</w:t>
      </w:r>
      <w:r>
        <w:rPr>
          <w:spacing w:val="-9"/>
        </w:rPr>
        <w:t xml:space="preserve"> </w:t>
      </w:r>
      <w:r>
        <w:t>RTI</w:t>
      </w:r>
      <w:r>
        <w:rPr>
          <w:spacing w:val="-8"/>
        </w:rPr>
        <w:t xml:space="preserve"> </w:t>
      </w:r>
      <w:r>
        <w:t>Project</w:t>
      </w:r>
      <w:r>
        <w:rPr>
          <w:spacing w:val="-10"/>
        </w:rPr>
        <w:t xml:space="preserve"> </w:t>
      </w:r>
      <w:r>
        <w:t>Director</w:t>
      </w:r>
      <w:r>
        <w:rPr>
          <w:spacing w:val="-7"/>
        </w:rPr>
        <w:t xml:space="preserve"> </w:t>
      </w:r>
      <w:r>
        <w:t>will</w:t>
      </w:r>
      <w:r>
        <w:rPr>
          <w:spacing w:val="-9"/>
        </w:rPr>
        <w:t xml:space="preserve"> </w:t>
      </w:r>
      <w:r>
        <w:t>have</w:t>
      </w:r>
      <w:r>
        <w:rPr>
          <w:spacing w:val="-7"/>
        </w:rPr>
        <w:t xml:space="preserve"> </w:t>
      </w:r>
      <w:r>
        <w:t>access.</w:t>
      </w:r>
      <w:r>
        <w:rPr>
          <w:spacing w:val="40"/>
        </w:rPr>
        <w:t xml:space="preserve"> </w:t>
      </w:r>
      <w:r>
        <w:t>Recordings will be destroyed after transcripts are delivered to</w:t>
      </w:r>
      <w:r>
        <w:rPr>
          <w:spacing w:val="-3"/>
        </w:rPr>
        <w:t xml:space="preserve"> </w:t>
      </w:r>
      <w:r>
        <w:t>CDC.</w:t>
      </w:r>
    </w:p>
    <w:p w:rsidR="003D0257" w:rsidP="00831582" w:rsidRDefault="003D0257" w14:paraId="1AB9501A" w14:textId="405DC20B">
      <w:pPr>
        <w:pStyle w:val="BodyText"/>
        <w:jc w:val="both"/>
      </w:pPr>
    </w:p>
    <w:p w:rsidR="00220269" w:rsidP="00D74A7A" w:rsidRDefault="00220269" w14:paraId="67EA01A0" w14:textId="71C24F18">
      <w:pPr>
        <w:pStyle w:val="BodyText"/>
        <w:ind w:left="180" w:right="150"/>
        <w:jc w:val="both"/>
      </w:pPr>
      <w:r w:rsidRPr="00220269">
        <w:t>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w:t>
      </w:r>
    </w:p>
    <w:p w:rsidR="00220269" w:rsidRDefault="00220269" w14:paraId="0B41B888" w14:textId="77777777">
      <w:pPr>
        <w:pStyle w:val="BodyText"/>
      </w:pPr>
    </w:p>
    <w:p w:rsidR="003D0257" w:rsidRDefault="009F7696" w14:paraId="5242A878" w14:textId="77777777">
      <w:pPr>
        <w:pStyle w:val="BodyText"/>
        <w:ind w:left="119" w:right="116"/>
        <w:jc w:val="both"/>
      </w:pPr>
      <w:r>
        <w:rPr>
          <w:b/>
        </w:rPr>
        <w:t>Benefits</w:t>
      </w:r>
      <w:r>
        <w:rPr>
          <w:b/>
          <w:spacing w:val="-15"/>
        </w:rPr>
        <w:t xml:space="preserve"> </w:t>
      </w:r>
      <w:r>
        <w:rPr>
          <w:b/>
        </w:rPr>
        <w:t>and</w:t>
      </w:r>
      <w:r>
        <w:rPr>
          <w:b/>
          <w:spacing w:val="-15"/>
        </w:rPr>
        <w:t xml:space="preserve"> </w:t>
      </w:r>
      <w:r>
        <w:rPr>
          <w:b/>
        </w:rPr>
        <w:t>Risks.</w:t>
      </w:r>
      <w:r>
        <w:rPr>
          <w:b/>
          <w:spacing w:val="-16"/>
        </w:rPr>
        <w:t xml:space="preserve"> </w:t>
      </w:r>
      <w:r>
        <w:t>Each</w:t>
      </w:r>
      <w:r>
        <w:rPr>
          <w:spacing w:val="-15"/>
        </w:rPr>
        <w:t xml:space="preserve"> </w:t>
      </w:r>
      <w:r>
        <w:t>participant</w:t>
      </w:r>
      <w:r>
        <w:rPr>
          <w:spacing w:val="-15"/>
        </w:rPr>
        <w:t xml:space="preserve"> </w:t>
      </w:r>
      <w:r>
        <w:t>will</w:t>
      </w:r>
      <w:r>
        <w:rPr>
          <w:spacing w:val="-15"/>
        </w:rPr>
        <w:t xml:space="preserve"> </w:t>
      </w:r>
      <w:r>
        <w:t>receive</w:t>
      </w:r>
      <w:r>
        <w:rPr>
          <w:spacing w:val="-15"/>
        </w:rPr>
        <w:t xml:space="preserve"> </w:t>
      </w:r>
      <w:r>
        <w:t>compensation</w:t>
      </w:r>
      <w:r>
        <w:rPr>
          <w:spacing w:val="-15"/>
        </w:rPr>
        <w:t xml:space="preserve"> </w:t>
      </w:r>
      <w:r>
        <w:t>of</w:t>
      </w:r>
      <w:r>
        <w:rPr>
          <w:spacing w:val="-15"/>
        </w:rPr>
        <w:t xml:space="preserve"> </w:t>
      </w:r>
      <w:r>
        <w:t>$40</w:t>
      </w:r>
      <w:r>
        <w:rPr>
          <w:spacing w:val="-15"/>
        </w:rPr>
        <w:t xml:space="preserve"> </w:t>
      </w:r>
      <w:r>
        <w:t>for</w:t>
      </w:r>
      <w:r>
        <w:rPr>
          <w:spacing w:val="-15"/>
        </w:rPr>
        <w:t xml:space="preserve"> </w:t>
      </w:r>
      <w:r>
        <w:t>attending</w:t>
      </w:r>
      <w:r>
        <w:rPr>
          <w:spacing w:val="-13"/>
        </w:rPr>
        <w:t xml:space="preserve"> </w:t>
      </w:r>
      <w:r>
        <w:t>a</w:t>
      </w:r>
      <w:r>
        <w:rPr>
          <w:spacing w:val="-14"/>
        </w:rPr>
        <w:t xml:space="preserve"> </w:t>
      </w:r>
      <w:r>
        <w:t>focus</w:t>
      </w:r>
      <w:r>
        <w:rPr>
          <w:spacing w:val="-15"/>
        </w:rPr>
        <w:t xml:space="preserve"> </w:t>
      </w:r>
      <w:r>
        <w:t>group. There are no known physical risks to participation outside of those that occur in everyday life. However, some participants may find sharing their recent experience with a natural disaster to be sensitive. It is possible that the discussion may elicit an emotional response. To manage this possibility, the moderator will have a crisis hotline number available to participants in case an emotional response</w:t>
      </w:r>
      <w:r>
        <w:rPr>
          <w:spacing w:val="-1"/>
        </w:rPr>
        <w:t xml:space="preserve"> </w:t>
      </w:r>
      <w:r>
        <w:t>occurs.</w:t>
      </w:r>
    </w:p>
    <w:sectPr w:rsidR="003D0257">
      <w:footerReference w:type="default" r:id="rId6"/>
      <w:pgSz w:w="12240" w:h="15840"/>
      <w:pgMar w:top="1400" w:right="1320" w:bottom="960" w:left="1320" w:header="0" w:footer="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9E96D" w14:textId="77777777" w:rsidR="001709EE" w:rsidRDefault="001709EE">
      <w:r>
        <w:separator/>
      </w:r>
    </w:p>
  </w:endnote>
  <w:endnote w:type="continuationSeparator" w:id="0">
    <w:p w14:paraId="51FAF57E" w14:textId="77777777" w:rsidR="001709EE" w:rsidRDefault="0017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61C2" w14:textId="77777777" w:rsidR="003D0257" w:rsidRDefault="00871E4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F8A3331" wp14:editId="4CCEAE6F">
              <wp:simplePos x="0" y="0"/>
              <wp:positionH relativeFrom="page">
                <wp:posOffset>6677660</wp:posOffset>
              </wp:positionH>
              <wp:positionV relativeFrom="page">
                <wp:posOffset>9433560</wp:posOffset>
              </wp:positionV>
              <wp:extent cx="20510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1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AB844" w14:textId="77777777" w:rsidR="003D0257" w:rsidRDefault="009F7696">
                          <w:pPr>
                            <w:pStyle w:val="BodyText"/>
                            <w:spacing w:line="264" w:lineRule="exact"/>
                            <w:ind w:left="40"/>
                          </w:pPr>
                          <w:r>
                            <w:fldChar w:fldCharType="begin"/>
                          </w:r>
                          <w:r>
                            <w:rPr>
                              <w:color w:val="7E7E7E"/>
                            </w:rPr>
                            <w:instrText xml:space="preserve"> PAGE </w:instrText>
                          </w:r>
                          <w:r>
                            <w:fldChar w:fldCharType="separate"/>
                          </w:r>
                          <w: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A3331" id="_x0000_t202" coordsize="21600,21600" o:spt="202" path="m,l,21600r21600,l21600,xe">
              <v:stroke joinstyle="miter"/>
              <v:path gradientshapeok="t" o:connecttype="rect"/>
            </v:shapetype>
            <v:shape id="Text Box 1" o:spid="_x0000_s1026" type="#_x0000_t202" style="position:absolute;margin-left:525.8pt;margin-top:742.8pt;width:16.1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" filled="f" stroked="f">
              <v:path arrowok="t"/>
              <v:textbox inset="0,0,0,0">
                <w:txbxContent>
                  <w:p w14:paraId="53DAB844" w14:textId="77777777" w:rsidR="003D0257" w:rsidRDefault="009F7696">
                    <w:pPr>
                      <w:pStyle w:val="BodyText"/>
                      <w:spacing w:line="264" w:lineRule="exact"/>
                      <w:ind w:left="40"/>
                    </w:pPr>
                    <w:r>
                      <w:fldChar w:fldCharType="begin"/>
                    </w:r>
                    <w:r>
                      <w:rPr>
                        <w:color w:val="7E7E7E"/>
                      </w:rPr>
                      <w:instrText xml:space="preserve"> PAGE </w:instrText>
                    </w:r>
                    <w:r>
                      <w:fldChar w:fldCharType="separate"/>
                    </w:r>
                    <w:r>
                      <w:t>55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2B4E4" w14:textId="77777777" w:rsidR="001709EE" w:rsidRDefault="001709EE">
      <w:r>
        <w:separator/>
      </w:r>
    </w:p>
  </w:footnote>
  <w:footnote w:type="continuationSeparator" w:id="0">
    <w:p w14:paraId="1E9271B8" w14:textId="77777777" w:rsidR="001709EE" w:rsidRDefault="00170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57"/>
    <w:rsid w:val="0001529B"/>
    <w:rsid w:val="000939CD"/>
    <w:rsid w:val="000D074B"/>
    <w:rsid w:val="001709EE"/>
    <w:rsid w:val="00220269"/>
    <w:rsid w:val="00243C0E"/>
    <w:rsid w:val="002D2225"/>
    <w:rsid w:val="003600B3"/>
    <w:rsid w:val="00363046"/>
    <w:rsid w:val="00365C5A"/>
    <w:rsid w:val="003B1499"/>
    <w:rsid w:val="003B1582"/>
    <w:rsid w:val="003D0257"/>
    <w:rsid w:val="003E353E"/>
    <w:rsid w:val="00426EBF"/>
    <w:rsid w:val="004A75A8"/>
    <w:rsid w:val="005F4FFA"/>
    <w:rsid w:val="00634E22"/>
    <w:rsid w:val="00641AD1"/>
    <w:rsid w:val="006E78AD"/>
    <w:rsid w:val="006F6CE1"/>
    <w:rsid w:val="00701EA4"/>
    <w:rsid w:val="0076550B"/>
    <w:rsid w:val="007C38DE"/>
    <w:rsid w:val="00831582"/>
    <w:rsid w:val="0085527A"/>
    <w:rsid w:val="0086532E"/>
    <w:rsid w:val="00871E4A"/>
    <w:rsid w:val="008831D1"/>
    <w:rsid w:val="009F7696"/>
    <w:rsid w:val="00AA57F2"/>
    <w:rsid w:val="00B74760"/>
    <w:rsid w:val="00BB0F37"/>
    <w:rsid w:val="00C01298"/>
    <w:rsid w:val="00C638E8"/>
    <w:rsid w:val="00D16FDC"/>
    <w:rsid w:val="00D3722A"/>
    <w:rsid w:val="00D60964"/>
    <w:rsid w:val="00D74A7A"/>
    <w:rsid w:val="00D87424"/>
    <w:rsid w:val="00DF5A37"/>
    <w:rsid w:val="00E6146C"/>
    <w:rsid w:val="00EE5F6B"/>
    <w:rsid w:val="00F03C75"/>
    <w:rsid w:val="00F1727C"/>
    <w:rsid w:val="00F25265"/>
    <w:rsid w:val="00F44A75"/>
    <w:rsid w:val="00F6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AD3D2"/>
  <w15:docId w15:val="{114F60F0-07C4-4815-AEFD-D97D3B46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1529B"/>
    <w:rPr>
      <w:sz w:val="16"/>
      <w:szCs w:val="16"/>
    </w:rPr>
  </w:style>
  <w:style w:type="paragraph" w:styleId="CommentText">
    <w:name w:val="annotation text"/>
    <w:basedOn w:val="Normal"/>
    <w:link w:val="CommentTextChar"/>
    <w:uiPriority w:val="99"/>
    <w:semiHidden/>
    <w:unhideWhenUsed/>
    <w:rsid w:val="0001529B"/>
    <w:rPr>
      <w:sz w:val="20"/>
      <w:szCs w:val="20"/>
    </w:rPr>
  </w:style>
  <w:style w:type="character" w:customStyle="1" w:styleId="CommentTextChar">
    <w:name w:val="Comment Text Char"/>
    <w:basedOn w:val="DefaultParagraphFont"/>
    <w:link w:val="CommentText"/>
    <w:uiPriority w:val="99"/>
    <w:semiHidden/>
    <w:rsid w:val="0001529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1529B"/>
    <w:rPr>
      <w:b/>
      <w:bCs/>
    </w:rPr>
  </w:style>
  <w:style w:type="character" w:customStyle="1" w:styleId="CommentSubjectChar">
    <w:name w:val="Comment Subject Char"/>
    <w:basedOn w:val="CommentTextChar"/>
    <w:link w:val="CommentSubject"/>
    <w:uiPriority w:val="99"/>
    <w:semiHidden/>
    <w:rsid w:val="0001529B"/>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152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29B"/>
    <w:rPr>
      <w:rFonts w:ascii="Segoe UI" w:eastAsia="Calibri" w:hAnsi="Segoe UI" w:cs="Segoe UI"/>
      <w:sz w:val="18"/>
      <w:szCs w:val="18"/>
    </w:rPr>
  </w:style>
  <w:style w:type="character" w:styleId="Hyperlink">
    <w:name w:val="Hyperlink"/>
    <w:basedOn w:val="DefaultParagraphFont"/>
    <w:uiPriority w:val="99"/>
    <w:unhideWhenUsed/>
    <w:rsid w:val="0001529B"/>
    <w:rPr>
      <w:color w:val="0000FF" w:themeColor="hyperlink"/>
      <w:u w:val="single"/>
    </w:rPr>
  </w:style>
  <w:style w:type="character" w:styleId="UnresolvedMention">
    <w:name w:val="Unresolved Mention"/>
    <w:basedOn w:val="DefaultParagraphFont"/>
    <w:uiPriority w:val="99"/>
    <w:semiHidden/>
    <w:unhideWhenUsed/>
    <w:rsid w:val="0001529B"/>
    <w:rPr>
      <w:color w:val="605E5C"/>
      <w:shd w:val="clear" w:color="auto" w:fill="E1DFDD"/>
    </w:rPr>
  </w:style>
  <w:style w:type="paragraph" w:styleId="Header">
    <w:name w:val="header"/>
    <w:basedOn w:val="Normal"/>
    <w:link w:val="HeaderChar"/>
    <w:uiPriority w:val="99"/>
    <w:unhideWhenUsed/>
    <w:rsid w:val="00D60964"/>
    <w:pPr>
      <w:tabs>
        <w:tab w:val="center" w:pos="4680"/>
        <w:tab w:val="right" w:pos="9360"/>
      </w:tabs>
    </w:pPr>
  </w:style>
  <w:style w:type="character" w:customStyle="1" w:styleId="HeaderChar">
    <w:name w:val="Header Char"/>
    <w:basedOn w:val="DefaultParagraphFont"/>
    <w:link w:val="Header"/>
    <w:uiPriority w:val="99"/>
    <w:rsid w:val="00D60964"/>
    <w:rPr>
      <w:rFonts w:ascii="Calibri" w:eastAsia="Calibri" w:hAnsi="Calibri" w:cs="Calibri"/>
    </w:rPr>
  </w:style>
  <w:style w:type="character" w:styleId="FollowedHyperlink">
    <w:name w:val="FollowedHyperlink"/>
    <w:basedOn w:val="DefaultParagraphFont"/>
    <w:uiPriority w:val="99"/>
    <w:semiHidden/>
    <w:unhideWhenUsed/>
    <w:rsid w:val="00D74A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385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Protocol_ESK_20200903</vt:lpstr>
    </vt:vector>
  </TitlesOfParts>
  <Company>Centers for Disease Control and Prevention</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Protocol_ESK_20200903</dc:title>
  <dc:creator>sgd8</dc:creator>
  <cp:lastModifiedBy>Schnall, Amy (CDC/DDNID/NCEH/DEHSP)</cp:lastModifiedBy>
  <cp:revision>2</cp:revision>
  <dcterms:created xsi:type="dcterms:W3CDTF">2021-01-14T22:05:00Z</dcterms:created>
  <dcterms:modified xsi:type="dcterms:W3CDTF">2021-01-14T22:05:00Z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PScript5.dll Version 5.2.2</vt:lpwstr>
  </property>
  <property fmtid="{D5CDD505-2E9C-101B-9397-08002B2CF9AE}" pid="4" name="LastSaved">
    <vt:filetime>2020-09-11T00:00:00Z</vt:filetime>
  </property>
</Properties>
</file>