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1815" w:rsidP="00831815" w:rsidRDefault="00831815" w14:paraId="6604C972" w14:textId="77777777">
      <w:pPr>
        <w:pStyle w:val="Title"/>
        <w:rPr>
          <w:color w:val="auto"/>
          <w:sz w:val="48"/>
          <w:szCs w:val="48"/>
        </w:rPr>
      </w:pPr>
      <w:bookmarkStart w:name="_Toc337198071" w:id="0"/>
      <w:bookmarkStart w:name="_Toc423335421" w:id="1"/>
    </w:p>
    <w:p w:rsidR="00831815" w:rsidP="00831815" w:rsidRDefault="00543F85" w14:paraId="41CD41DF" w14:textId="103A618F">
      <w:pPr>
        <w:pStyle w:val="Title"/>
        <w:rPr>
          <w:color w:val="auto"/>
          <w:sz w:val="48"/>
          <w:szCs w:val="48"/>
        </w:rPr>
      </w:pPr>
      <w:r>
        <w:rPr>
          <w:color w:val="auto"/>
          <w:sz w:val="48"/>
          <w:szCs w:val="48"/>
        </w:rPr>
        <w:t>Availability</w:t>
      </w:r>
      <w:r w:rsidR="00A32A83">
        <w:rPr>
          <w:color w:val="auto"/>
          <w:sz w:val="48"/>
          <w:szCs w:val="48"/>
        </w:rPr>
        <w:t>, Use, and Public Health Impact of Emergency Supply Kits among Disaster-Affected Populations</w:t>
      </w:r>
    </w:p>
    <w:p w:rsidRPr="00D20211" w:rsidR="00BA2DBE" w:rsidRDefault="00BA2DBE" w14:paraId="12BC4B96" w14:textId="77777777">
      <w:pPr>
        <w:rPr>
          <w:rFonts w:ascii="Arial" w:hAnsi="Arial" w:cs="Arial"/>
        </w:rPr>
      </w:pPr>
    </w:p>
    <w:p w:rsidR="00A32A83" w:rsidP="001626E8" w:rsidRDefault="00A32A83" w14:paraId="06BEFE5E" w14:textId="77777777">
      <w:pPr>
        <w:pStyle w:val="Subtitle"/>
      </w:pPr>
    </w:p>
    <w:p w:rsidRPr="00D20211" w:rsidR="00BA2DBE" w:rsidP="001626E8" w:rsidRDefault="00480FC6" w14:paraId="61EAE914" w14:textId="3F5FAC63">
      <w:pPr>
        <w:pStyle w:val="Subtitle"/>
      </w:pPr>
      <w:r w:rsidRPr="00D20211">
        <w:t>OMB Control N</w:t>
      </w:r>
      <w:r w:rsidRPr="00D20211" w:rsidR="00EA55C0">
        <w:t>o</w:t>
      </w:r>
      <w:r w:rsidR="00A32A83">
        <w:t>.</w:t>
      </w:r>
      <w:r w:rsidR="00EE5683">
        <w:t xml:space="preserve"> </w:t>
      </w:r>
      <w:r w:rsidR="00182D5E">
        <w:rPr>
          <w:rFonts w:cs="ITCFranklinGothicStd-Book"/>
        </w:rPr>
        <w:t>0920-NEW</w:t>
      </w:r>
    </w:p>
    <w:p w:rsidRPr="00D20211" w:rsidR="001626E8" w:rsidRDefault="003C1E9A" w14:paraId="0BFC8620" w14:textId="1378322D">
      <w:pPr>
        <w:spacing w:after="200" w:line="276" w:lineRule="auto"/>
        <w:rPr>
          <w:rFonts w:cs="Arial" w:asciiTheme="majorHAnsi" w:hAnsiTheme="majorHAnsi"/>
          <w:sz w:val="36"/>
          <w:szCs w:val="36"/>
        </w:rPr>
      </w:pPr>
      <w:r>
        <w:rPr>
          <w:rFonts w:cs="Arial" w:asciiTheme="majorHAnsi" w:hAnsiTheme="majorHAnsi"/>
          <w:sz w:val="36"/>
          <w:szCs w:val="36"/>
        </w:rPr>
        <w:t>New</w:t>
      </w:r>
    </w:p>
    <w:p w:rsidR="00A32A83" w:rsidP="001626E8" w:rsidRDefault="00A32A83" w14:paraId="3D0340DE" w14:textId="77777777">
      <w:pPr>
        <w:pStyle w:val="Subtitle"/>
      </w:pPr>
    </w:p>
    <w:p w:rsidRPr="00466999" w:rsidR="00EE5683" w:rsidP="001626E8" w:rsidRDefault="00480FC6" w14:paraId="2B65E88C" w14:textId="77777777">
      <w:pPr>
        <w:pStyle w:val="Subtitle"/>
        <w:rPr>
          <w:b/>
          <w:bCs/>
        </w:rPr>
      </w:pPr>
      <w:r w:rsidRPr="00466999">
        <w:rPr>
          <w:b/>
          <w:bCs/>
        </w:rPr>
        <w:t>Supporting Statement Part A</w:t>
      </w:r>
      <w:r w:rsidRPr="00466999" w:rsidR="00EE5683">
        <w:rPr>
          <w:b/>
          <w:bCs/>
        </w:rPr>
        <w:t xml:space="preserve"> </w:t>
      </w:r>
    </w:p>
    <w:p w:rsidRPr="00D20211" w:rsidR="00BA2DBE" w:rsidP="001626E8" w:rsidRDefault="00BA2DBE" w14:paraId="71B235A4" w14:textId="25E89104">
      <w:pPr>
        <w:pStyle w:val="Subtitle"/>
      </w:pP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00BA2DBE" w:rsidRDefault="00BA2DBE" w14:paraId="69C74FD2" w14:textId="212B6834">
      <w:pPr>
        <w:spacing w:after="200" w:line="276" w:lineRule="auto"/>
        <w:rPr>
          <w:rFonts w:cs="Arial" w:asciiTheme="majorHAnsi" w:hAnsiTheme="majorHAnsi"/>
          <w:sz w:val="36"/>
          <w:szCs w:val="36"/>
        </w:rPr>
      </w:pPr>
    </w:p>
    <w:p w:rsidRPr="00D20211" w:rsidR="00EE5683" w:rsidRDefault="00EE5683" w14:paraId="37C5CAD3" w14:textId="77777777">
      <w:pPr>
        <w:spacing w:after="200" w:line="276" w:lineRule="auto"/>
        <w:rPr>
          <w:rFonts w:cs="Arial" w:asciiTheme="majorHAnsi" w:hAnsiTheme="majorHAnsi"/>
          <w:sz w:val="36"/>
          <w:szCs w:val="36"/>
        </w:rPr>
      </w:pPr>
    </w:p>
    <w:p w:rsidR="00A32A83" w:rsidP="00A32A83" w:rsidRDefault="00A32A83" w14:paraId="5F72867B" w14:textId="77777777">
      <w:pPr>
        <w:pStyle w:val="Subtitle"/>
        <w:spacing w:after="0"/>
      </w:pPr>
    </w:p>
    <w:p w:rsidRPr="00222FE0" w:rsidR="00B9413E" w:rsidP="00B9413E" w:rsidRDefault="00B9413E" w14:paraId="7C346BF2" w14:textId="77777777">
      <w:pPr>
        <w:pStyle w:val="Subtitle"/>
      </w:pPr>
      <w:bookmarkStart w:name="_Hlk40434423" w:id="2"/>
      <w:r w:rsidRPr="00222FE0">
        <w:t>Amy Helene Schnall</w:t>
      </w:r>
    </w:p>
    <w:p w:rsidRPr="00222FE0" w:rsidR="00B9413E" w:rsidP="00B9413E" w:rsidRDefault="00B9413E" w14:paraId="021E115D" w14:textId="77777777">
      <w:pPr>
        <w:pStyle w:val="Subtitle"/>
      </w:pPr>
      <w:r w:rsidRPr="00222FE0">
        <w:t>Title: Epidemiologist</w:t>
      </w:r>
    </w:p>
    <w:p w:rsidRPr="00222FE0" w:rsidR="00B9413E" w:rsidP="00B9413E" w:rsidRDefault="00B9413E" w14:paraId="568CC65F" w14:textId="77777777">
      <w:pPr>
        <w:pStyle w:val="Subtitle"/>
      </w:pPr>
      <w:r w:rsidRPr="00222FE0">
        <w:t>Phone: 770.488.3422</w:t>
      </w:r>
    </w:p>
    <w:p w:rsidRPr="00222FE0" w:rsidR="00B9413E" w:rsidP="00B9413E" w:rsidRDefault="00B9413E" w14:paraId="71A2FD15" w14:textId="77777777">
      <w:pPr>
        <w:pStyle w:val="Subtitle"/>
      </w:pPr>
      <w:r w:rsidRPr="00222FE0">
        <w:t>Email: GHU5@cdc.gov</w:t>
      </w:r>
    </w:p>
    <w:p w:rsidRPr="00B9413E" w:rsidR="00B9413E" w:rsidP="00B9413E" w:rsidRDefault="00B9413E" w14:paraId="14D405EB" w14:textId="77777777">
      <w:pPr>
        <w:pStyle w:val="Subtitle"/>
        <w:rPr>
          <w:highlight w:val="yellow"/>
        </w:rPr>
      </w:pPr>
      <w:r w:rsidRPr="00222FE0">
        <w:t>Fax: 770.488.3450</w:t>
      </w:r>
    </w:p>
    <w:p w:rsidRPr="00D20211" w:rsidR="00965C2A" w:rsidP="008E47E6" w:rsidRDefault="00480FC6" w14:paraId="76D937C3" w14:textId="398D1D5F">
      <w:pPr>
        <w:pStyle w:val="Subtitle"/>
        <w:spacing w:after="0"/>
        <w:rPr>
          <w:rFonts w:ascii="Arial" w:hAnsi="Arial"/>
        </w:rPr>
      </w:pPr>
      <w:r w:rsidRPr="00222FE0">
        <w:t>Date</w:t>
      </w:r>
      <w:bookmarkEnd w:id="2"/>
      <w:r w:rsidR="001958FA">
        <w:t xml:space="preserve">: </w:t>
      </w:r>
      <w:r w:rsidR="00823D8F">
        <w:t>8 January 2021</w:t>
      </w:r>
      <w:r w:rsidRPr="00D20211" w:rsidR="00BA2DBE">
        <w:rPr>
          <w:rFonts w:ascii="Arial" w:hAnsi="Arial"/>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sz w:val="20"/>
          <w:szCs w:val="20"/>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00DF1635" w:rsidRDefault="009B765E" w14:paraId="3D396787" w14:textId="76D9843B">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history="1" w:anchor="_Toc61000929">
            <w:r w:rsidRPr="00056654" w:rsidR="00DF1635">
              <w:rPr>
                <w:rStyle w:val="Hyperlink"/>
                <w:noProof/>
              </w:rPr>
              <w:t>A.1.  Circumstances Making the Collection of Information Necessary</w:t>
            </w:r>
            <w:r w:rsidR="00DF1635">
              <w:rPr>
                <w:noProof/>
                <w:webHidden/>
              </w:rPr>
              <w:tab/>
            </w:r>
            <w:r w:rsidR="00DF1635">
              <w:rPr>
                <w:noProof/>
                <w:webHidden/>
              </w:rPr>
              <w:fldChar w:fldCharType="begin"/>
            </w:r>
            <w:r w:rsidR="00DF1635">
              <w:rPr>
                <w:noProof/>
                <w:webHidden/>
              </w:rPr>
              <w:instrText xml:space="preserve"> PAGEREF _Toc61000929 \h </w:instrText>
            </w:r>
            <w:r w:rsidR="00DF1635">
              <w:rPr>
                <w:noProof/>
                <w:webHidden/>
              </w:rPr>
            </w:r>
            <w:r w:rsidR="00DF1635">
              <w:rPr>
                <w:noProof/>
                <w:webHidden/>
              </w:rPr>
              <w:fldChar w:fldCharType="separate"/>
            </w:r>
            <w:r w:rsidR="00DF1635">
              <w:rPr>
                <w:noProof/>
                <w:webHidden/>
              </w:rPr>
              <w:t>4</w:t>
            </w:r>
            <w:r w:rsidR="00DF1635">
              <w:rPr>
                <w:noProof/>
                <w:webHidden/>
              </w:rPr>
              <w:fldChar w:fldCharType="end"/>
            </w:r>
          </w:hyperlink>
        </w:p>
        <w:p w:rsidR="00DF1635" w:rsidRDefault="00DC0DC0" w14:paraId="5E457C0F" w14:textId="614CC7FE">
          <w:pPr>
            <w:pStyle w:val="TOC1"/>
            <w:tabs>
              <w:tab w:val="right" w:leader="dot" w:pos="9350"/>
            </w:tabs>
            <w:rPr>
              <w:noProof/>
              <w:sz w:val="22"/>
              <w:szCs w:val="22"/>
            </w:rPr>
          </w:pPr>
          <w:hyperlink w:history="1" w:anchor="_Toc61000930">
            <w:r w:rsidRPr="00056654" w:rsidR="00DF1635">
              <w:rPr>
                <w:rStyle w:val="Hyperlink"/>
                <w:noProof/>
              </w:rPr>
              <w:t>A.2.  Purpose and Use of the Information Collection</w:t>
            </w:r>
            <w:r w:rsidR="00DF1635">
              <w:rPr>
                <w:noProof/>
                <w:webHidden/>
              </w:rPr>
              <w:tab/>
            </w:r>
            <w:r w:rsidR="00DF1635">
              <w:rPr>
                <w:noProof/>
                <w:webHidden/>
              </w:rPr>
              <w:fldChar w:fldCharType="begin"/>
            </w:r>
            <w:r w:rsidR="00DF1635">
              <w:rPr>
                <w:noProof/>
                <w:webHidden/>
              </w:rPr>
              <w:instrText xml:space="preserve"> PAGEREF _Toc61000930 \h </w:instrText>
            </w:r>
            <w:r w:rsidR="00DF1635">
              <w:rPr>
                <w:noProof/>
                <w:webHidden/>
              </w:rPr>
            </w:r>
            <w:r w:rsidR="00DF1635">
              <w:rPr>
                <w:noProof/>
                <w:webHidden/>
              </w:rPr>
              <w:fldChar w:fldCharType="separate"/>
            </w:r>
            <w:r w:rsidR="00DF1635">
              <w:rPr>
                <w:noProof/>
                <w:webHidden/>
              </w:rPr>
              <w:t>5</w:t>
            </w:r>
            <w:r w:rsidR="00DF1635">
              <w:rPr>
                <w:noProof/>
                <w:webHidden/>
              </w:rPr>
              <w:fldChar w:fldCharType="end"/>
            </w:r>
          </w:hyperlink>
        </w:p>
        <w:p w:rsidR="00DF1635" w:rsidRDefault="00DC0DC0" w14:paraId="2AB5395F" w14:textId="48761153">
          <w:pPr>
            <w:pStyle w:val="TOC1"/>
            <w:tabs>
              <w:tab w:val="right" w:leader="dot" w:pos="9350"/>
            </w:tabs>
            <w:rPr>
              <w:noProof/>
              <w:sz w:val="22"/>
              <w:szCs w:val="22"/>
            </w:rPr>
          </w:pPr>
          <w:hyperlink w:history="1" w:anchor="_Toc61000931">
            <w:r w:rsidRPr="00056654" w:rsidR="00DF1635">
              <w:rPr>
                <w:rStyle w:val="Hyperlink"/>
                <w:noProof/>
              </w:rPr>
              <w:t>A.3.  Use of Improved Information Technology and Burden Reduction</w:t>
            </w:r>
            <w:r w:rsidR="00DF1635">
              <w:rPr>
                <w:noProof/>
                <w:webHidden/>
              </w:rPr>
              <w:tab/>
            </w:r>
            <w:r w:rsidR="00DF1635">
              <w:rPr>
                <w:noProof/>
                <w:webHidden/>
              </w:rPr>
              <w:fldChar w:fldCharType="begin"/>
            </w:r>
            <w:r w:rsidR="00DF1635">
              <w:rPr>
                <w:noProof/>
                <w:webHidden/>
              </w:rPr>
              <w:instrText xml:space="preserve"> PAGEREF _Toc61000931 \h </w:instrText>
            </w:r>
            <w:r w:rsidR="00DF1635">
              <w:rPr>
                <w:noProof/>
                <w:webHidden/>
              </w:rPr>
            </w:r>
            <w:r w:rsidR="00DF1635">
              <w:rPr>
                <w:noProof/>
                <w:webHidden/>
              </w:rPr>
              <w:fldChar w:fldCharType="separate"/>
            </w:r>
            <w:r w:rsidR="00DF1635">
              <w:rPr>
                <w:noProof/>
                <w:webHidden/>
              </w:rPr>
              <w:t>8</w:t>
            </w:r>
            <w:r w:rsidR="00DF1635">
              <w:rPr>
                <w:noProof/>
                <w:webHidden/>
              </w:rPr>
              <w:fldChar w:fldCharType="end"/>
            </w:r>
          </w:hyperlink>
        </w:p>
        <w:p w:rsidR="00DF1635" w:rsidRDefault="00DC0DC0" w14:paraId="0566B6E6" w14:textId="4985297A">
          <w:pPr>
            <w:pStyle w:val="TOC1"/>
            <w:tabs>
              <w:tab w:val="right" w:leader="dot" w:pos="9350"/>
            </w:tabs>
            <w:rPr>
              <w:noProof/>
              <w:sz w:val="22"/>
              <w:szCs w:val="22"/>
            </w:rPr>
          </w:pPr>
          <w:hyperlink w:history="1" w:anchor="_Toc61000932">
            <w:r w:rsidRPr="00056654" w:rsidR="00DF1635">
              <w:rPr>
                <w:rStyle w:val="Hyperlink"/>
                <w:noProof/>
              </w:rPr>
              <w:t>A.4.  Efforts to Identify Duplication and Use of Similar Information</w:t>
            </w:r>
            <w:r w:rsidR="00DF1635">
              <w:rPr>
                <w:noProof/>
                <w:webHidden/>
              </w:rPr>
              <w:tab/>
            </w:r>
            <w:r w:rsidR="00DF1635">
              <w:rPr>
                <w:noProof/>
                <w:webHidden/>
              </w:rPr>
              <w:fldChar w:fldCharType="begin"/>
            </w:r>
            <w:r w:rsidR="00DF1635">
              <w:rPr>
                <w:noProof/>
                <w:webHidden/>
              </w:rPr>
              <w:instrText xml:space="preserve"> PAGEREF _Toc61000932 \h </w:instrText>
            </w:r>
            <w:r w:rsidR="00DF1635">
              <w:rPr>
                <w:noProof/>
                <w:webHidden/>
              </w:rPr>
            </w:r>
            <w:r w:rsidR="00DF1635">
              <w:rPr>
                <w:noProof/>
                <w:webHidden/>
              </w:rPr>
              <w:fldChar w:fldCharType="separate"/>
            </w:r>
            <w:r w:rsidR="00DF1635">
              <w:rPr>
                <w:noProof/>
                <w:webHidden/>
              </w:rPr>
              <w:t>8</w:t>
            </w:r>
            <w:r w:rsidR="00DF1635">
              <w:rPr>
                <w:noProof/>
                <w:webHidden/>
              </w:rPr>
              <w:fldChar w:fldCharType="end"/>
            </w:r>
          </w:hyperlink>
        </w:p>
        <w:p w:rsidR="00DF1635" w:rsidRDefault="00DC0DC0" w14:paraId="508350AC" w14:textId="1C2BB5E2">
          <w:pPr>
            <w:pStyle w:val="TOC1"/>
            <w:tabs>
              <w:tab w:val="right" w:leader="dot" w:pos="9350"/>
            </w:tabs>
            <w:rPr>
              <w:noProof/>
              <w:sz w:val="22"/>
              <w:szCs w:val="22"/>
            </w:rPr>
          </w:pPr>
          <w:hyperlink w:history="1" w:anchor="_Toc61000933">
            <w:r w:rsidRPr="00056654" w:rsidR="00DF1635">
              <w:rPr>
                <w:rStyle w:val="Hyperlink"/>
                <w:noProof/>
              </w:rPr>
              <w:t>A.5.  Impact on Small Businesses or Other Small Entities</w:t>
            </w:r>
            <w:r w:rsidR="00DF1635">
              <w:rPr>
                <w:noProof/>
                <w:webHidden/>
              </w:rPr>
              <w:tab/>
            </w:r>
            <w:r w:rsidR="00DF1635">
              <w:rPr>
                <w:noProof/>
                <w:webHidden/>
              </w:rPr>
              <w:fldChar w:fldCharType="begin"/>
            </w:r>
            <w:r w:rsidR="00DF1635">
              <w:rPr>
                <w:noProof/>
                <w:webHidden/>
              </w:rPr>
              <w:instrText xml:space="preserve"> PAGEREF _Toc61000933 \h </w:instrText>
            </w:r>
            <w:r w:rsidR="00DF1635">
              <w:rPr>
                <w:noProof/>
                <w:webHidden/>
              </w:rPr>
            </w:r>
            <w:r w:rsidR="00DF1635">
              <w:rPr>
                <w:noProof/>
                <w:webHidden/>
              </w:rPr>
              <w:fldChar w:fldCharType="separate"/>
            </w:r>
            <w:r w:rsidR="00DF1635">
              <w:rPr>
                <w:noProof/>
                <w:webHidden/>
              </w:rPr>
              <w:t>8</w:t>
            </w:r>
            <w:r w:rsidR="00DF1635">
              <w:rPr>
                <w:noProof/>
                <w:webHidden/>
              </w:rPr>
              <w:fldChar w:fldCharType="end"/>
            </w:r>
          </w:hyperlink>
        </w:p>
        <w:p w:rsidR="00DF1635" w:rsidRDefault="00DC0DC0" w14:paraId="58BABC63" w14:textId="0D4E259E">
          <w:pPr>
            <w:pStyle w:val="TOC1"/>
            <w:tabs>
              <w:tab w:val="right" w:leader="dot" w:pos="9350"/>
            </w:tabs>
            <w:rPr>
              <w:noProof/>
              <w:sz w:val="22"/>
              <w:szCs w:val="22"/>
            </w:rPr>
          </w:pPr>
          <w:hyperlink w:history="1" w:anchor="_Toc61000934">
            <w:r w:rsidRPr="00056654" w:rsidR="00DF1635">
              <w:rPr>
                <w:rStyle w:val="Hyperlink"/>
                <w:noProof/>
              </w:rPr>
              <w:t>A.6.  Consequences of Not Collecting the Information or Collecting the Information Less Frequently</w:t>
            </w:r>
            <w:r w:rsidR="00DF1635">
              <w:rPr>
                <w:noProof/>
                <w:webHidden/>
              </w:rPr>
              <w:tab/>
            </w:r>
            <w:r w:rsidR="00DF1635">
              <w:rPr>
                <w:noProof/>
                <w:webHidden/>
              </w:rPr>
              <w:fldChar w:fldCharType="begin"/>
            </w:r>
            <w:r w:rsidR="00DF1635">
              <w:rPr>
                <w:noProof/>
                <w:webHidden/>
              </w:rPr>
              <w:instrText xml:space="preserve"> PAGEREF _Toc61000934 \h </w:instrText>
            </w:r>
            <w:r w:rsidR="00DF1635">
              <w:rPr>
                <w:noProof/>
                <w:webHidden/>
              </w:rPr>
            </w:r>
            <w:r w:rsidR="00DF1635">
              <w:rPr>
                <w:noProof/>
                <w:webHidden/>
              </w:rPr>
              <w:fldChar w:fldCharType="separate"/>
            </w:r>
            <w:r w:rsidR="00DF1635">
              <w:rPr>
                <w:noProof/>
                <w:webHidden/>
              </w:rPr>
              <w:t>9</w:t>
            </w:r>
            <w:r w:rsidR="00DF1635">
              <w:rPr>
                <w:noProof/>
                <w:webHidden/>
              </w:rPr>
              <w:fldChar w:fldCharType="end"/>
            </w:r>
          </w:hyperlink>
        </w:p>
        <w:p w:rsidR="00DF1635" w:rsidRDefault="00DC0DC0" w14:paraId="0ED9FD02" w14:textId="4BE4EF34">
          <w:pPr>
            <w:pStyle w:val="TOC1"/>
            <w:tabs>
              <w:tab w:val="right" w:leader="dot" w:pos="9350"/>
            </w:tabs>
            <w:rPr>
              <w:noProof/>
              <w:sz w:val="22"/>
              <w:szCs w:val="22"/>
            </w:rPr>
          </w:pPr>
          <w:hyperlink w:history="1" w:anchor="_Toc61000935">
            <w:r w:rsidRPr="00056654" w:rsidR="00DF1635">
              <w:rPr>
                <w:rStyle w:val="Hyperlink"/>
                <w:noProof/>
              </w:rPr>
              <w:t>A.7.  Special Circumstances Relating to the Guidelines of 5 CFR 1320.5</w:t>
            </w:r>
            <w:r w:rsidR="00DF1635">
              <w:rPr>
                <w:noProof/>
                <w:webHidden/>
              </w:rPr>
              <w:tab/>
            </w:r>
            <w:r w:rsidR="00DF1635">
              <w:rPr>
                <w:noProof/>
                <w:webHidden/>
              </w:rPr>
              <w:fldChar w:fldCharType="begin"/>
            </w:r>
            <w:r w:rsidR="00DF1635">
              <w:rPr>
                <w:noProof/>
                <w:webHidden/>
              </w:rPr>
              <w:instrText xml:space="preserve"> PAGEREF _Toc61000935 \h </w:instrText>
            </w:r>
            <w:r w:rsidR="00DF1635">
              <w:rPr>
                <w:noProof/>
                <w:webHidden/>
              </w:rPr>
            </w:r>
            <w:r w:rsidR="00DF1635">
              <w:rPr>
                <w:noProof/>
                <w:webHidden/>
              </w:rPr>
              <w:fldChar w:fldCharType="separate"/>
            </w:r>
            <w:r w:rsidR="00DF1635">
              <w:rPr>
                <w:noProof/>
                <w:webHidden/>
              </w:rPr>
              <w:t>9</w:t>
            </w:r>
            <w:r w:rsidR="00DF1635">
              <w:rPr>
                <w:noProof/>
                <w:webHidden/>
              </w:rPr>
              <w:fldChar w:fldCharType="end"/>
            </w:r>
          </w:hyperlink>
        </w:p>
        <w:p w:rsidR="00DC0DC0" w:rsidRDefault="00DC0DC0" w14:paraId="24DA64C7" w14:textId="3B85C83B">
          <w:pPr>
            <w:pStyle w:val="TOC1"/>
            <w:tabs>
              <w:tab w:val="right" w:leader="dot" w:pos="9350"/>
            </w:tabs>
          </w:pPr>
          <w:r w:rsidRPr="00DC0DC0">
            <w:t>A.8.  Comments in Response to the Federal Register Notice and Efforts to Consult Outside the Agency</w:t>
          </w:r>
          <w:r>
            <w:t xml:space="preserve">……………… 10 </w:t>
          </w:r>
        </w:p>
        <w:p w:rsidR="00DF1635" w:rsidRDefault="00DC0DC0" w14:paraId="5BCBDD70" w14:textId="0A136370">
          <w:pPr>
            <w:pStyle w:val="TOC1"/>
            <w:tabs>
              <w:tab w:val="right" w:leader="dot" w:pos="9350"/>
            </w:tabs>
            <w:rPr>
              <w:noProof/>
              <w:sz w:val="22"/>
              <w:szCs w:val="22"/>
            </w:rPr>
          </w:pPr>
          <w:r>
            <w:t xml:space="preserve"> </w:t>
          </w:r>
          <w:hyperlink w:history="1" w:anchor="_Toc61000936">
            <w:r w:rsidRPr="00056654" w:rsidR="00DF1635">
              <w:rPr>
                <w:rStyle w:val="Hyperlink"/>
                <w:noProof/>
              </w:rPr>
              <w:t>A.9.  Explanation of Any Payment or Gift to Respondents</w:t>
            </w:r>
            <w:r w:rsidR="00DF1635">
              <w:rPr>
                <w:noProof/>
                <w:webHidden/>
              </w:rPr>
              <w:tab/>
            </w:r>
            <w:r w:rsidR="00DF1635">
              <w:rPr>
                <w:noProof/>
                <w:webHidden/>
              </w:rPr>
              <w:fldChar w:fldCharType="begin"/>
            </w:r>
            <w:r w:rsidR="00DF1635">
              <w:rPr>
                <w:noProof/>
                <w:webHidden/>
              </w:rPr>
              <w:instrText xml:space="preserve"> PAGEREF _Toc61000936 \h </w:instrText>
            </w:r>
            <w:r w:rsidR="00DF1635">
              <w:rPr>
                <w:noProof/>
                <w:webHidden/>
              </w:rPr>
            </w:r>
            <w:r w:rsidR="00DF1635">
              <w:rPr>
                <w:noProof/>
                <w:webHidden/>
              </w:rPr>
              <w:fldChar w:fldCharType="separate"/>
            </w:r>
            <w:r w:rsidR="00DF1635">
              <w:rPr>
                <w:noProof/>
                <w:webHidden/>
              </w:rPr>
              <w:t>11</w:t>
            </w:r>
            <w:r w:rsidR="00DF1635">
              <w:rPr>
                <w:noProof/>
                <w:webHidden/>
              </w:rPr>
              <w:fldChar w:fldCharType="end"/>
            </w:r>
          </w:hyperlink>
        </w:p>
        <w:p w:rsidR="00DF1635" w:rsidRDefault="00DC0DC0" w14:paraId="36FAF5DE" w14:textId="26413122">
          <w:pPr>
            <w:pStyle w:val="TOC1"/>
            <w:tabs>
              <w:tab w:val="right" w:leader="dot" w:pos="9350"/>
            </w:tabs>
            <w:rPr>
              <w:noProof/>
              <w:sz w:val="22"/>
              <w:szCs w:val="22"/>
            </w:rPr>
          </w:pPr>
          <w:hyperlink w:history="1" w:anchor="_Toc61000937">
            <w:r w:rsidRPr="00056654" w:rsidR="00DF1635">
              <w:rPr>
                <w:rStyle w:val="Hyperlink"/>
                <w:noProof/>
              </w:rPr>
              <w:t>A.10.  Protection of the Privacy and Confidentiality of Information Provided by Respondents</w:t>
            </w:r>
            <w:r w:rsidR="00DF1635">
              <w:rPr>
                <w:noProof/>
                <w:webHidden/>
              </w:rPr>
              <w:tab/>
            </w:r>
            <w:r w:rsidR="00DF1635">
              <w:rPr>
                <w:noProof/>
                <w:webHidden/>
              </w:rPr>
              <w:fldChar w:fldCharType="begin"/>
            </w:r>
            <w:r w:rsidR="00DF1635">
              <w:rPr>
                <w:noProof/>
                <w:webHidden/>
              </w:rPr>
              <w:instrText xml:space="preserve"> PAGEREF _Toc61000937 \h </w:instrText>
            </w:r>
            <w:r w:rsidR="00DF1635">
              <w:rPr>
                <w:noProof/>
                <w:webHidden/>
              </w:rPr>
            </w:r>
            <w:r w:rsidR="00DF1635">
              <w:rPr>
                <w:noProof/>
                <w:webHidden/>
              </w:rPr>
              <w:fldChar w:fldCharType="separate"/>
            </w:r>
            <w:r w:rsidR="00DF1635">
              <w:rPr>
                <w:noProof/>
                <w:webHidden/>
              </w:rPr>
              <w:t>12</w:t>
            </w:r>
            <w:r w:rsidR="00DF1635">
              <w:rPr>
                <w:noProof/>
                <w:webHidden/>
              </w:rPr>
              <w:fldChar w:fldCharType="end"/>
            </w:r>
          </w:hyperlink>
        </w:p>
        <w:p w:rsidR="00DF1635" w:rsidRDefault="00DC0DC0" w14:paraId="54B719DE" w14:textId="34F38081">
          <w:pPr>
            <w:pStyle w:val="TOC1"/>
            <w:tabs>
              <w:tab w:val="right" w:leader="dot" w:pos="9350"/>
            </w:tabs>
            <w:rPr>
              <w:noProof/>
              <w:sz w:val="22"/>
              <w:szCs w:val="22"/>
            </w:rPr>
          </w:pPr>
          <w:hyperlink w:history="1" w:anchor="_Toc61000938">
            <w:r w:rsidRPr="00056654" w:rsidR="00DF1635">
              <w:rPr>
                <w:rStyle w:val="Hyperlink"/>
                <w:noProof/>
              </w:rPr>
              <w:t>A.11.  Institutional Review Board (IRB) and Justification for Sensitive Questions</w:t>
            </w:r>
            <w:r w:rsidR="00DF1635">
              <w:rPr>
                <w:noProof/>
                <w:webHidden/>
              </w:rPr>
              <w:tab/>
            </w:r>
            <w:r w:rsidR="00DF1635">
              <w:rPr>
                <w:noProof/>
                <w:webHidden/>
              </w:rPr>
              <w:fldChar w:fldCharType="begin"/>
            </w:r>
            <w:r w:rsidR="00DF1635">
              <w:rPr>
                <w:noProof/>
                <w:webHidden/>
              </w:rPr>
              <w:instrText xml:space="preserve"> PAGEREF _Toc61000938 \h </w:instrText>
            </w:r>
            <w:r w:rsidR="00DF1635">
              <w:rPr>
                <w:noProof/>
                <w:webHidden/>
              </w:rPr>
            </w:r>
            <w:r w:rsidR="00DF1635">
              <w:rPr>
                <w:noProof/>
                <w:webHidden/>
              </w:rPr>
              <w:fldChar w:fldCharType="separate"/>
            </w:r>
            <w:r w:rsidR="00DF1635">
              <w:rPr>
                <w:noProof/>
                <w:webHidden/>
              </w:rPr>
              <w:t>16</w:t>
            </w:r>
            <w:r w:rsidR="00DF1635">
              <w:rPr>
                <w:noProof/>
                <w:webHidden/>
              </w:rPr>
              <w:fldChar w:fldCharType="end"/>
            </w:r>
          </w:hyperlink>
        </w:p>
        <w:p w:rsidR="00DF1635" w:rsidRDefault="00DC0DC0" w14:paraId="0F6839C9" w14:textId="5BA20E94">
          <w:pPr>
            <w:pStyle w:val="TOC1"/>
            <w:tabs>
              <w:tab w:val="right" w:leader="dot" w:pos="9350"/>
            </w:tabs>
            <w:rPr>
              <w:noProof/>
              <w:sz w:val="22"/>
              <w:szCs w:val="22"/>
            </w:rPr>
          </w:pPr>
          <w:hyperlink w:history="1" w:anchor="_Toc61000939">
            <w:r w:rsidRPr="00056654" w:rsidR="00DF1635">
              <w:rPr>
                <w:rStyle w:val="Hyperlink"/>
                <w:noProof/>
              </w:rPr>
              <w:t>A.12.  Estimates of Annualized Burden Hours and Costs</w:t>
            </w:r>
            <w:r w:rsidR="00DF1635">
              <w:rPr>
                <w:noProof/>
                <w:webHidden/>
              </w:rPr>
              <w:tab/>
            </w:r>
            <w:r w:rsidR="00DF1635">
              <w:rPr>
                <w:noProof/>
                <w:webHidden/>
              </w:rPr>
              <w:fldChar w:fldCharType="begin"/>
            </w:r>
            <w:r w:rsidR="00DF1635">
              <w:rPr>
                <w:noProof/>
                <w:webHidden/>
              </w:rPr>
              <w:instrText xml:space="preserve"> PAGEREF _Toc61000939 \h </w:instrText>
            </w:r>
            <w:r w:rsidR="00DF1635">
              <w:rPr>
                <w:noProof/>
                <w:webHidden/>
              </w:rPr>
            </w:r>
            <w:r w:rsidR="00DF1635">
              <w:rPr>
                <w:noProof/>
                <w:webHidden/>
              </w:rPr>
              <w:fldChar w:fldCharType="separate"/>
            </w:r>
            <w:r w:rsidR="00DF1635">
              <w:rPr>
                <w:noProof/>
                <w:webHidden/>
              </w:rPr>
              <w:t>19</w:t>
            </w:r>
            <w:r w:rsidR="00DF1635">
              <w:rPr>
                <w:noProof/>
                <w:webHidden/>
              </w:rPr>
              <w:fldChar w:fldCharType="end"/>
            </w:r>
          </w:hyperlink>
        </w:p>
        <w:p w:rsidR="00DF1635" w:rsidRDefault="00DC0DC0" w14:paraId="2C7D8938" w14:textId="70D3088B">
          <w:pPr>
            <w:pStyle w:val="TOC1"/>
            <w:tabs>
              <w:tab w:val="right" w:leader="dot" w:pos="9350"/>
            </w:tabs>
            <w:rPr>
              <w:noProof/>
              <w:sz w:val="22"/>
              <w:szCs w:val="22"/>
            </w:rPr>
          </w:pPr>
          <w:hyperlink w:history="1" w:anchor="_Toc61000940">
            <w:r w:rsidRPr="00056654" w:rsidR="00DF1635">
              <w:rPr>
                <w:rStyle w:val="Hyperlink"/>
                <w:noProof/>
              </w:rPr>
              <w:t>A.13.  Estimates of Other Total Annual Cost Burden to Respondents and Record Keepers</w:t>
            </w:r>
            <w:r w:rsidR="00DF1635">
              <w:rPr>
                <w:noProof/>
                <w:webHidden/>
              </w:rPr>
              <w:tab/>
            </w:r>
            <w:r w:rsidR="00DF1635">
              <w:rPr>
                <w:noProof/>
                <w:webHidden/>
              </w:rPr>
              <w:fldChar w:fldCharType="begin"/>
            </w:r>
            <w:r w:rsidR="00DF1635">
              <w:rPr>
                <w:noProof/>
                <w:webHidden/>
              </w:rPr>
              <w:instrText xml:space="preserve"> PAGEREF _Toc61000940 \h </w:instrText>
            </w:r>
            <w:r w:rsidR="00DF1635">
              <w:rPr>
                <w:noProof/>
                <w:webHidden/>
              </w:rPr>
            </w:r>
            <w:r w:rsidR="00DF1635">
              <w:rPr>
                <w:noProof/>
                <w:webHidden/>
              </w:rPr>
              <w:fldChar w:fldCharType="separate"/>
            </w:r>
            <w:r w:rsidR="00DF1635">
              <w:rPr>
                <w:noProof/>
                <w:webHidden/>
              </w:rPr>
              <w:t>20</w:t>
            </w:r>
            <w:r w:rsidR="00DF1635">
              <w:rPr>
                <w:noProof/>
                <w:webHidden/>
              </w:rPr>
              <w:fldChar w:fldCharType="end"/>
            </w:r>
          </w:hyperlink>
        </w:p>
        <w:p w:rsidR="00DF1635" w:rsidRDefault="00DC0DC0" w14:paraId="670601D5" w14:textId="00DA68C9">
          <w:pPr>
            <w:pStyle w:val="TOC1"/>
            <w:tabs>
              <w:tab w:val="right" w:leader="dot" w:pos="9350"/>
            </w:tabs>
            <w:rPr>
              <w:noProof/>
              <w:sz w:val="22"/>
              <w:szCs w:val="22"/>
            </w:rPr>
          </w:pPr>
          <w:hyperlink w:history="1" w:anchor="_Toc61000941">
            <w:r w:rsidRPr="00056654" w:rsidR="00DF1635">
              <w:rPr>
                <w:rStyle w:val="Hyperlink"/>
                <w:noProof/>
              </w:rPr>
              <w:t>A.14.  Annualized Cost to the Federal Government</w:t>
            </w:r>
            <w:r w:rsidR="00DF1635">
              <w:rPr>
                <w:noProof/>
                <w:webHidden/>
              </w:rPr>
              <w:tab/>
            </w:r>
            <w:r w:rsidR="00DF1635">
              <w:rPr>
                <w:noProof/>
                <w:webHidden/>
              </w:rPr>
              <w:fldChar w:fldCharType="begin"/>
            </w:r>
            <w:r w:rsidR="00DF1635">
              <w:rPr>
                <w:noProof/>
                <w:webHidden/>
              </w:rPr>
              <w:instrText xml:space="preserve"> PAGEREF _Toc61000941 \h </w:instrText>
            </w:r>
            <w:r w:rsidR="00DF1635">
              <w:rPr>
                <w:noProof/>
                <w:webHidden/>
              </w:rPr>
            </w:r>
            <w:r w:rsidR="00DF1635">
              <w:rPr>
                <w:noProof/>
                <w:webHidden/>
              </w:rPr>
              <w:fldChar w:fldCharType="separate"/>
            </w:r>
            <w:r w:rsidR="00DF1635">
              <w:rPr>
                <w:noProof/>
                <w:webHidden/>
              </w:rPr>
              <w:t>20</w:t>
            </w:r>
            <w:r w:rsidR="00DF1635">
              <w:rPr>
                <w:noProof/>
                <w:webHidden/>
              </w:rPr>
              <w:fldChar w:fldCharType="end"/>
            </w:r>
          </w:hyperlink>
        </w:p>
        <w:p w:rsidR="00DF1635" w:rsidRDefault="00DC0DC0" w14:paraId="6C813612" w14:textId="3A7EC5B3">
          <w:pPr>
            <w:pStyle w:val="TOC1"/>
            <w:tabs>
              <w:tab w:val="right" w:leader="dot" w:pos="9350"/>
            </w:tabs>
            <w:rPr>
              <w:noProof/>
              <w:sz w:val="22"/>
              <w:szCs w:val="22"/>
            </w:rPr>
          </w:pPr>
          <w:hyperlink w:history="1" w:anchor="_Toc61000942">
            <w:r w:rsidRPr="00056654" w:rsidR="00DF1635">
              <w:rPr>
                <w:rStyle w:val="Hyperlink"/>
                <w:noProof/>
              </w:rPr>
              <w:t>A.15.  Explanation for Program Changes or Adjustments</w:t>
            </w:r>
            <w:r w:rsidR="00DF1635">
              <w:rPr>
                <w:noProof/>
                <w:webHidden/>
              </w:rPr>
              <w:tab/>
            </w:r>
            <w:r w:rsidR="00DF1635">
              <w:rPr>
                <w:noProof/>
                <w:webHidden/>
              </w:rPr>
              <w:fldChar w:fldCharType="begin"/>
            </w:r>
            <w:r w:rsidR="00DF1635">
              <w:rPr>
                <w:noProof/>
                <w:webHidden/>
              </w:rPr>
              <w:instrText xml:space="preserve"> PAGEREF _Toc61000942 \h </w:instrText>
            </w:r>
            <w:r w:rsidR="00DF1635">
              <w:rPr>
                <w:noProof/>
                <w:webHidden/>
              </w:rPr>
            </w:r>
            <w:r w:rsidR="00DF1635">
              <w:rPr>
                <w:noProof/>
                <w:webHidden/>
              </w:rPr>
              <w:fldChar w:fldCharType="separate"/>
            </w:r>
            <w:r w:rsidR="00DF1635">
              <w:rPr>
                <w:noProof/>
                <w:webHidden/>
              </w:rPr>
              <w:t>21</w:t>
            </w:r>
            <w:r w:rsidR="00DF1635">
              <w:rPr>
                <w:noProof/>
                <w:webHidden/>
              </w:rPr>
              <w:fldChar w:fldCharType="end"/>
            </w:r>
          </w:hyperlink>
        </w:p>
        <w:p w:rsidR="00DF1635" w:rsidRDefault="00DC0DC0" w14:paraId="34044DBF" w14:textId="06F5C54C">
          <w:pPr>
            <w:pStyle w:val="TOC1"/>
            <w:tabs>
              <w:tab w:val="right" w:leader="dot" w:pos="9350"/>
            </w:tabs>
            <w:rPr>
              <w:noProof/>
              <w:sz w:val="22"/>
              <w:szCs w:val="22"/>
            </w:rPr>
          </w:pPr>
          <w:hyperlink w:history="1" w:anchor="_Toc61000943">
            <w:r w:rsidRPr="00056654" w:rsidR="00DF1635">
              <w:rPr>
                <w:rStyle w:val="Hyperlink"/>
                <w:noProof/>
              </w:rPr>
              <w:t>A.16.  Plans for Tabulation and Publication and Project Time Schedule</w:t>
            </w:r>
            <w:r w:rsidR="00DF1635">
              <w:rPr>
                <w:noProof/>
                <w:webHidden/>
              </w:rPr>
              <w:tab/>
            </w:r>
            <w:r w:rsidR="00DF1635">
              <w:rPr>
                <w:noProof/>
                <w:webHidden/>
              </w:rPr>
              <w:fldChar w:fldCharType="begin"/>
            </w:r>
            <w:r w:rsidR="00DF1635">
              <w:rPr>
                <w:noProof/>
                <w:webHidden/>
              </w:rPr>
              <w:instrText xml:space="preserve"> PAGEREF _Toc61000943 \h </w:instrText>
            </w:r>
            <w:r w:rsidR="00DF1635">
              <w:rPr>
                <w:noProof/>
                <w:webHidden/>
              </w:rPr>
            </w:r>
            <w:r w:rsidR="00DF1635">
              <w:rPr>
                <w:noProof/>
                <w:webHidden/>
              </w:rPr>
              <w:fldChar w:fldCharType="separate"/>
            </w:r>
            <w:r w:rsidR="00DF1635">
              <w:rPr>
                <w:noProof/>
                <w:webHidden/>
              </w:rPr>
              <w:t>21</w:t>
            </w:r>
            <w:r w:rsidR="00DF1635">
              <w:rPr>
                <w:noProof/>
                <w:webHidden/>
              </w:rPr>
              <w:fldChar w:fldCharType="end"/>
            </w:r>
          </w:hyperlink>
        </w:p>
        <w:p w:rsidR="00DF1635" w:rsidRDefault="00DC0DC0" w14:paraId="24275FF2" w14:textId="32091921">
          <w:pPr>
            <w:pStyle w:val="TOC1"/>
            <w:tabs>
              <w:tab w:val="right" w:leader="dot" w:pos="9350"/>
            </w:tabs>
            <w:rPr>
              <w:noProof/>
              <w:sz w:val="22"/>
              <w:szCs w:val="22"/>
            </w:rPr>
          </w:pPr>
          <w:hyperlink w:history="1" w:anchor="_Toc61000944">
            <w:r w:rsidRPr="00056654" w:rsidR="00DF1635">
              <w:rPr>
                <w:rStyle w:val="Hyperlink"/>
                <w:noProof/>
              </w:rPr>
              <w:t>A.17.  Reason(s) Display of OMB Expiration Date is Inappropriate</w:t>
            </w:r>
            <w:r w:rsidR="00DF1635">
              <w:rPr>
                <w:noProof/>
                <w:webHidden/>
              </w:rPr>
              <w:tab/>
            </w:r>
            <w:r w:rsidR="00DF1635">
              <w:rPr>
                <w:noProof/>
                <w:webHidden/>
              </w:rPr>
              <w:fldChar w:fldCharType="begin"/>
            </w:r>
            <w:r w:rsidR="00DF1635">
              <w:rPr>
                <w:noProof/>
                <w:webHidden/>
              </w:rPr>
              <w:instrText xml:space="preserve"> PAGEREF _Toc61000944 \h </w:instrText>
            </w:r>
            <w:r w:rsidR="00DF1635">
              <w:rPr>
                <w:noProof/>
                <w:webHidden/>
              </w:rPr>
            </w:r>
            <w:r w:rsidR="00DF1635">
              <w:rPr>
                <w:noProof/>
                <w:webHidden/>
              </w:rPr>
              <w:fldChar w:fldCharType="separate"/>
            </w:r>
            <w:r w:rsidR="00DF1635">
              <w:rPr>
                <w:noProof/>
                <w:webHidden/>
              </w:rPr>
              <w:t>22</w:t>
            </w:r>
            <w:r w:rsidR="00DF1635">
              <w:rPr>
                <w:noProof/>
                <w:webHidden/>
              </w:rPr>
              <w:fldChar w:fldCharType="end"/>
            </w:r>
          </w:hyperlink>
        </w:p>
        <w:p w:rsidR="00DF1635" w:rsidRDefault="00DC0DC0" w14:paraId="15988C4D" w14:textId="29D5645B">
          <w:pPr>
            <w:pStyle w:val="TOC1"/>
            <w:tabs>
              <w:tab w:val="right" w:leader="dot" w:pos="9350"/>
            </w:tabs>
            <w:rPr>
              <w:noProof/>
              <w:sz w:val="22"/>
              <w:szCs w:val="22"/>
            </w:rPr>
          </w:pPr>
          <w:hyperlink w:history="1" w:anchor="_Toc61000945">
            <w:r w:rsidRPr="00056654" w:rsidR="00DF1635">
              <w:rPr>
                <w:rStyle w:val="Hyperlink"/>
                <w:noProof/>
              </w:rPr>
              <w:t>A.18.  Exceptions to Certification for Paperwork Reduction Act Submissions</w:t>
            </w:r>
            <w:r w:rsidR="00DF1635">
              <w:rPr>
                <w:noProof/>
                <w:webHidden/>
              </w:rPr>
              <w:tab/>
            </w:r>
            <w:r w:rsidR="00DF1635">
              <w:rPr>
                <w:noProof/>
                <w:webHidden/>
              </w:rPr>
              <w:fldChar w:fldCharType="begin"/>
            </w:r>
            <w:r w:rsidR="00DF1635">
              <w:rPr>
                <w:noProof/>
                <w:webHidden/>
              </w:rPr>
              <w:instrText xml:space="preserve"> PAGEREF _Toc61000945 \h </w:instrText>
            </w:r>
            <w:r w:rsidR="00DF1635">
              <w:rPr>
                <w:noProof/>
                <w:webHidden/>
              </w:rPr>
            </w:r>
            <w:r w:rsidR="00DF1635">
              <w:rPr>
                <w:noProof/>
                <w:webHidden/>
              </w:rPr>
              <w:fldChar w:fldCharType="separate"/>
            </w:r>
            <w:r w:rsidR="00DF1635">
              <w:rPr>
                <w:noProof/>
                <w:webHidden/>
              </w:rPr>
              <w:t>22</w:t>
            </w:r>
            <w:r w:rsidR="00DF1635">
              <w:rPr>
                <w:noProof/>
                <w:webHidden/>
              </w:rPr>
              <w:fldChar w:fldCharType="end"/>
            </w:r>
          </w:hyperlink>
        </w:p>
        <w:p w:rsidR="00DF1635" w:rsidRDefault="00DC0DC0" w14:paraId="184B2118" w14:textId="4840B871">
          <w:pPr>
            <w:pStyle w:val="TOC1"/>
            <w:tabs>
              <w:tab w:val="right" w:leader="dot" w:pos="9350"/>
            </w:tabs>
            <w:rPr>
              <w:noProof/>
              <w:sz w:val="22"/>
              <w:szCs w:val="22"/>
            </w:rPr>
          </w:pPr>
          <w:hyperlink w:history="1" w:anchor="_Toc61000946">
            <w:r w:rsidRPr="00056654" w:rsidR="00DF1635">
              <w:rPr>
                <w:rStyle w:val="Hyperlink"/>
                <w:rFonts w:cstheme="minorHAnsi"/>
                <w:noProof/>
              </w:rPr>
              <w:t>References</w:t>
            </w:r>
            <w:r w:rsidR="00DF1635">
              <w:rPr>
                <w:noProof/>
                <w:webHidden/>
              </w:rPr>
              <w:tab/>
            </w:r>
            <w:r w:rsidR="00DF1635">
              <w:rPr>
                <w:noProof/>
                <w:webHidden/>
              </w:rPr>
              <w:fldChar w:fldCharType="begin"/>
            </w:r>
            <w:r w:rsidR="00DF1635">
              <w:rPr>
                <w:noProof/>
                <w:webHidden/>
              </w:rPr>
              <w:instrText xml:space="preserve"> PAGEREF _Toc61000946 \h </w:instrText>
            </w:r>
            <w:r w:rsidR="00DF1635">
              <w:rPr>
                <w:noProof/>
                <w:webHidden/>
              </w:rPr>
            </w:r>
            <w:r w:rsidR="00DF1635">
              <w:rPr>
                <w:noProof/>
                <w:webHidden/>
              </w:rPr>
              <w:fldChar w:fldCharType="separate"/>
            </w:r>
            <w:r w:rsidR="00DF1635">
              <w:rPr>
                <w:noProof/>
                <w:webHidden/>
              </w:rPr>
              <w:t>23</w:t>
            </w:r>
            <w:r w:rsidR="00DF1635">
              <w:rPr>
                <w:noProof/>
                <w:webHidden/>
              </w:rPr>
              <w:fldChar w:fldCharType="end"/>
            </w:r>
          </w:hyperlink>
        </w:p>
        <w:p w:rsidRPr="00D20211" w:rsidR="009B765E" w:rsidRDefault="009B765E" w14:paraId="032A377A" w14:textId="15415543">
          <w:r w:rsidRPr="00D20211">
            <w:rPr>
              <w:b/>
              <w:bCs/>
              <w:noProof/>
            </w:rPr>
            <w:fldChar w:fldCharType="end"/>
          </w:r>
        </w:p>
      </w:sdtContent>
    </w:sdt>
    <w:bookmarkEnd w:id="0"/>
    <w:bookmarkEnd w:id="1"/>
    <w:p w:rsidR="003A5D90" w:rsidP="003A5D90" w:rsidRDefault="003A5D90" w14:paraId="514D0E22" w14:textId="1F01CE7D">
      <w:pPr>
        <w:spacing w:after="0" w:line="240" w:lineRule="auto"/>
        <w:rPr>
          <w:rFonts w:ascii="Times New Roman" w:hAnsi="Times New Roman"/>
          <w:bCs/>
          <w:sz w:val="24"/>
          <w:szCs w:val="24"/>
        </w:rPr>
      </w:pPr>
    </w:p>
    <w:p w:rsidR="005B638C" w:rsidP="003A5D90" w:rsidRDefault="005B638C" w14:paraId="235B5440" w14:textId="01BBCFA1">
      <w:pPr>
        <w:spacing w:after="0" w:line="240" w:lineRule="auto"/>
        <w:rPr>
          <w:rFonts w:ascii="Times New Roman" w:hAnsi="Times New Roman"/>
          <w:bCs/>
          <w:sz w:val="24"/>
          <w:szCs w:val="24"/>
        </w:rPr>
      </w:pPr>
    </w:p>
    <w:p w:rsidR="00973819" w:rsidP="00973819" w:rsidRDefault="00973819" w14:paraId="17799F45" w14:textId="2FDFE49F">
      <w:pPr>
        <w:tabs>
          <w:tab w:val="left" w:pos="6020"/>
        </w:tabs>
        <w:rPr>
          <w:rFonts w:ascii="Times New Roman" w:hAnsi="Times New Roman"/>
          <w:bCs/>
          <w:sz w:val="24"/>
          <w:szCs w:val="24"/>
        </w:rPr>
      </w:pPr>
      <w:r>
        <w:rPr>
          <w:rFonts w:ascii="Times New Roman" w:hAnsi="Times New Roman"/>
          <w:bCs/>
          <w:sz w:val="24"/>
          <w:szCs w:val="24"/>
        </w:rPr>
        <w:tab/>
      </w:r>
    </w:p>
    <w:p w:rsidR="005B638C" w:rsidP="00973819" w:rsidRDefault="005B638C" w14:paraId="1D1905B1" w14:textId="75AC8B1E">
      <w:pPr>
        <w:tabs>
          <w:tab w:val="left" w:pos="6020"/>
        </w:tabs>
        <w:rPr>
          <w:rFonts w:ascii="Times New Roman" w:hAnsi="Times New Roman"/>
          <w:bCs/>
          <w:sz w:val="24"/>
          <w:szCs w:val="24"/>
        </w:rPr>
      </w:pPr>
      <w:r w:rsidRPr="00973819">
        <w:rPr>
          <w:rFonts w:ascii="Times New Roman" w:hAnsi="Times New Roman"/>
          <w:sz w:val="24"/>
          <w:szCs w:val="24"/>
        </w:rPr>
        <w:br w:type="page"/>
      </w:r>
    </w:p>
    <w:p w:rsidR="00683EFA" w:rsidP="00840F0C" w:rsidRDefault="005B638C" w14:paraId="47EA6736" w14:textId="2D7FBD11">
      <w:pPr>
        <w:spacing w:after="0" w:line="240" w:lineRule="auto"/>
      </w:pPr>
      <w:r w:rsidRPr="00D20211">
        <w:rPr>
          <w:rFonts w:asciiTheme="majorHAnsi" w:hAnsiTheme="majorHAnsi"/>
          <w:noProof/>
          <w:sz w:val="36"/>
          <w:szCs w:val="36"/>
        </w:rPr>
        <w:lastRenderedPageBreak/>
        <mc:AlternateContent>
          <mc:Choice Requires="wps">
            <w:drawing>
              <wp:anchor distT="45720" distB="45720" distL="114300" distR="114300" simplePos="0" relativeHeight="251658240" behindDoc="0" locked="0" layoutInCell="1" allowOverlap="1" wp14:editId="5AD10145" wp14:anchorId="1F2756BD">
                <wp:simplePos x="0" y="0"/>
                <wp:positionH relativeFrom="margin">
                  <wp:align>left</wp:align>
                </wp:positionH>
                <wp:positionV relativeFrom="paragraph">
                  <wp:posOffset>0</wp:posOffset>
                </wp:positionV>
                <wp:extent cx="5740400" cy="84772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8477250"/>
                        </a:xfrm>
                        <a:prstGeom prst="rect">
                          <a:avLst/>
                        </a:prstGeom>
                        <a:solidFill>
                          <a:srgbClr val="FFFFFF"/>
                        </a:solidFill>
                        <a:ln w="9525">
                          <a:solidFill>
                            <a:srgbClr val="000000"/>
                          </a:solidFill>
                          <a:miter lim="800000"/>
                          <a:headEnd/>
                          <a:tailEnd/>
                        </a:ln>
                      </wps:spPr>
                      <wps:txbx>
                        <w:txbxContent>
                          <w:p w:rsidR="00185C3B" w:rsidP="00683EFA" w:rsidRDefault="00185C3B" w14:paraId="573BB940" w14:textId="347E6E25">
                            <w:pPr>
                              <w:spacing w:line="259" w:lineRule="auto"/>
                              <w:jc w:val="both"/>
                              <w:rPr>
                                <w:rFonts w:cs="Times New Roman"/>
                                <w:sz w:val="24"/>
                                <w:szCs w:val="24"/>
                              </w:rPr>
                            </w:pPr>
                            <w:r w:rsidRPr="0020375A">
                              <w:rPr>
                                <w:b/>
                                <w:sz w:val="24"/>
                                <w:szCs w:val="24"/>
                                <w:u w:val="single"/>
                              </w:rPr>
                              <w:t>Goals of the study:</w:t>
                            </w:r>
                            <w:r w:rsidRPr="0020375A">
                              <w:rPr>
                                <w:sz w:val="24"/>
                                <w:szCs w:val="24"/>
                              </w:rPr>
                              <w:t xml:space="preserve"> </w:t>
                            </w:r>
                            <w:r w:rsidRPr="00840F0C">
                              <w:rPr>
                                <w:sz w:val="24"/>
                                <w:szCs w:val="24"/>
                              </w:rPr>
                              <w:t>The goal of this study is to determine the efficacy and public health impact of emergency supply kits among disaster‐affected populations. Specifically, this study will attempt to understand how emergency supply kits are used during and after a natural disaster, if public health outcomes (e.g., self‐sufficiency, decreased disease exacerbation) are associated with access to emergency supply kits, and what the most useful items to include in an emergency supply kit are across different types of disasters.</w:t>
                            </w:r>
                          </w:p>
                          <w:p w:rsidRPr="00626D0A" w:rsidR="00185C3B" w:rsidP="00683EFA" w:rsidRDefault="00185C3B" w14:paraId="668A2E97" w14:textId="74D1186D">
                            <w:pPr>
                              <w:jc w:val="both"/>
                              <w:rPr>
                                <w:rFonts w:cs="Times New Roman"/>
                                <w:sz w:val="24"/>
                                <w:szCs w:val="24"/>
                              </w:rPr>
                            </w:pPr>
                            <w:r w:rsidRPr="0020375A">
                              <w:rPr>
                                <w:b/>
                                <w:sz w:val="24"/>
                                <w:szCs w:val="24"/>
                                <w:u w:val="single"/>
                              </w:rPr>
                              <w:t>Intended use of the resulting data:</w:t>
                            </w:r>
                            <w:r w:rsidRPr="0020375A">
                              <w:rPr>
                                <w:sz w:val="24"/>
                                <w:szCs w:val="24"/>
                              </w:rPr>
                              <w:t xml:space="preserve"> The data will</w:t>
                            </w:r>
                            <w:r>
                              <w:rPr>
                                <w:sz w:val="24"/>
                                <w:szCs w:val="24"/>
                              </w:rPr>
                              <w:t xml:space="preserve"> 1)</w:t>
                            </w:r>
                            <w:r w:rsidRPr="0020375A">
                              <w:rPr>
                                <w:sz w:val="24"/>
                                <w:szCs w:val="24"/>
                              </w:rPr>
                              <w:t xml:space="preserve"> inform </w:t>
                            </w:r>
                            <w:r>
                              <w:rPr>
                                <w:sz w:val="24"/>
                                <w:szCs w:val="24"/>
                              </w:rPr>
                              <w:t>the Centers for Disease Control and Prevention (CDC) and state, tribal, local, and territorial (STLT)</w:t>
                            </w:r>
                            <w:r w:rsidRPr="0020375A">
                              <w:rPr>
                                <w:sz w:val="24"/>
                                <w:szCs w:val="24"/>
                              </w:rPr>
                              <w:t xml:space="preserve"> </w:t>
                            </w:r>
                            <w:r>
                              <w:rPr>
                                <w:sz w:val="24"/>
                                <w:szCs w:val="24"/>
                              </w:rPr>
                              <w:t xml:space="preserve">health agencies </w:t>
                            </w:r>
                            <w:r w:rsidRPr="0020375A">
                              <w:rPr>
                                <w:sz w:val="24"/>
                                <w:szCs w:val="24"/>
                              </w:rPr>
                              <w:t xml:space="preserve">about </w:t>
                            </w:r>
                            <w:r>
                              <w:rPr>
                                <w:sz w:val="24"/>
                                <w:szCs w:val="24"/>
                              </w:rPr>
                              <w:t>public knowledge, preparedness, and use of emergency supply kits;</w:t>
                            </w:r>
                            <w:r w:rsidRPr="0020375A">
                              <w:rPr>
                                <w:sz w:val="24"/>
                                <w:szCs w:val="24"/>
                              </w:rPr>
                              <w:t xml:space="preserve"> </w:t>
                            </w:r>
                            <w:r>
                              <w:rPr>
                                <w:sz w:val="24"/>
                                <w:szCs w:val="24"/>
                              </w:rPr>
                              <w:t>2) contribute to federal and STLT recommendations and public health interventions regarding the availability and composition of emergency supply kits</w:t>
                            </w:r>
                            <w:r>
                              <w:rPr>
                                <w:rFonts w:cs="Times New Roman"/>
                                <w:sz w:val="24"/>
                                <w:szCs w:val="24"/>
                              </w:rPr>
                              <w:t xml:space="preserve">; and 3) </w:t>
                            </w:r>
                            <w:r w:rsidRPr="0020375A">
                              <w:rPr>
                                <w:rFonts w:cs="Times New Roman"/>
                                <w:sz w:val="24"/>
                                <w:szCs w:val="24"/>
                              </w:rPr>
                              <w:t xml:space="preserve">assess </w:t>
                            </w:r>
                            <w:r w:rsidRPr="00626D0A">
                              <w:rPr>
                                <w:rFonts w:cs="Times New Roman"/>
                                <w:sz w:val="24"/>
                                <w:szCs w:val="24"/>
                              </w:rPr>
                              <w:t xml:space="preserve">the </w:t>
                            </w:r>
                            <w:r>
                              <w:rPr>
                                <w:rFonts w:cs="Times New Roman"/>
                                <w:sz w:val="24"/>
                                <w:szCs w:val="24"/>
                              </w:rPr>
                              <w:t>general</w:t>
                            </w:r>
                            <w:r w:rsidRPr="00626D0A">
                              <w:rPr>
                                <w:rFonts w:cs="Times New Roman"/>
                                <w:sz w:val="24"/>
                                <w:szCs w:val="24"/>
                              </w:rPr>
                              <w:t xml:space="preserve"> public health impact of </w:t>
                            </w:r>
                            <w:r>
                              <w:rPr>
                                <w:rFonts w:cs="Times New Roman"/>
                                <w:sz w:val="24"/>
                                <w:szCs w:val="24"/>
                              </w:rPr>
                              <w:t xml:space="preserve">recent </w:t>
                            </w:r>
                            <w:r w:rsidRPr="00626D0A">
                              <w:rPr>
                                <w:rFonts w:cs="Times New Roman"/>
                                <w:sz w:val="24"/>
                                <w:szCs w:val="24"/>
                              </w:rPr>
                              <w:t>disaster</w:t>
                            </w:r>
                            <w:r>
                              <w:rPr>
                                <w:rFonts w:cs="Times New Roman"/>
                                <w:sz w:val="24"/>
                                <w:szCs w:val="24"/>
                              </w:rPr>
                              <w:t>s</w:t>
                            </w:r>
                            <w:r w:rsidRPr="00626D0A">
                              <w:rPr>
                                <w:rFonts w:cs="Times New Roman"/>
                                <w:sz w:val="24"/>
                                <w:szCs w:val="24"/>
                              </w:rPr>
                              <w:t>.</w:t>
                            </w:r>
                          </w:p>
                          <w:p w:rsidRPr="00626D0A" w:rsidR="00185C3B" w:rsidP="00683EFA" w:rsidRDefault="00185C3B" w14:paraId="32645E78" w14:textId="43F1A52F">
                            <w:pPr>
                              <w:spacing w:line="259" w:lineRule="auto"/>
                              <w:jc w:val="both"/>
                              <w:rPr>
                                <w:sz w:val="24"/>
                                <w:szCs w:val="24"/>
                              </w:rPr>
                            </w:pPr>
                            <w:r w:rsidRPr="00626D0A">
                              <w:rPr>
                                <w:b/>
                                <w:sz w:val="24"/>
                                <w:szCs w:val="24"/>
                                <w:u w:val="single"/>
                              </w:rPr>
                              <w:t>Methods to be used to collect data:</w:t>
                            </w:r>
                            <w:r w:rsidRPr="00626D0A">
                              <w:rPr>
                                <w:sz w:val="24"/>
                                <w:szCs w:val="24"/>
                              </w:rPr>
                              <w:t xml:space="preserve"> </w:t>
                            </w:r>
                            <w:r w:rsidRPr="00840F0C">
                              <w:rPr>
                                <w:sz w:val="24"/>
                                <w:szCs w:val="24"/>
                              </w:rPr>
                              <w:t>We will conduct a cross‐sectional study among two disaster‐affected populations. We will select geographic sites (e.g., city, town, region) for inclusion in the study after a disaster (e.g., hurricane, wildfire, flood, tornado) has occurred in the area. Households will be selected via address‐based sampling in the defined areas for participation. We will send households a paper‐based (mailed) survey as well as a link to complete an online web survey; the households can choose either format – paper or online – but not both. As paper‐based surveys are mailed to participants and back from participants, there is no concern regarding COVID‐19. In addition, if available, we will invite members of an existing nonprobability web panel living in the disaster area directed to the online, web‐based instrument to create a larger, more cost‐ effective dataset. Panel availability is not guaranteed because some geographic locations (e.g., rural areas) may not have enough web panel participants from which to draw. We will capture the web‐based data via Voxco and use Teleform for paper‐based data collection. In addition, up to two focus groups per site will be conducted concurrently, or shortly after, the cross‐sectional study data collection to enhance and contextualize survey data. Focus groups are online.</w:t>
                            </w:r>
                          </w:p>
                          <w:p w:rsidRPr="00626D0A" w:rsidR="00185C3B" w:rsidP="00683EFA" w:rsidRDefault="00185C3B" w14:paraId="466A38AA" w14:textId="126BF54C">
                            <w:pPr>
                              <w:spacing w:line="259" w:lineRule="auto"/>
                              <w:jc w:val="both"/>
                              <w:rPr>
                                <w:rFonts w:cstheme="minorHAnsi"/>
                                <w:sz w:val="24"/>
                                <w:szCs w:val="24"/>
                              </w:rPr>
                            </w:pPr>
                            <w:r w:rsidRPr="00626D0A">
                              <w:rPr>
                                <w:b/>
                                <w:sz w:val="24"/>
                                <w:szCs w:val="24"/>
                                <w:u w:val="single"/>
                              </w:rPr>
                              <w:t>The subpopulation to be studied:</w:t>
                            </w:r>
                            <w:r w:rsidRPr="00626D0A">
                              <w:rPr>
                                <w:sz w:val="24"/>
                                <w:szCs w:val="24"/>
                              </w:rPr>
                              <w:t xml:space="preserve"> </w:t>
                            </w:r>
                            <w:r w:rsidRPr="00840F0C">
                              <w:rPr>
                                <w:sz w:val="24"/>
                                <w:szCs w:val="24"/>
                              </w:rPr>
                              <w:t>The subpopulation includes residents of a house that is within the community or geographic area that recently experienced a natural disaster. The respondent can be any member of the household who is over the age of 18 and living in the selected areas at the time of the disaster. Participants will provide survey data that describe disaster‐related experiences among all household members.</w:t>
                            </w:r>
                          </w:p>
                          <w:p w:rsidRPr="0020375A" w:rsidR="00185C3B" w:rsidP="00683EFA" w:rsidRDefault="00185C3B" w14:paraId="3EF44E88" w14:textId="5CCC87B9">
                            <w:pPr>
                              <w:jc w:val="both"/>
                              <w:rPr>
                                <w:sz w:val="24"/>
                                <w:szCs w:val="24"/>
                              </w:rPr>
                            </w:pPr>
                            <w:r w:rsidRPr="00626D0A">
                              <w:rPr>
                                <w:b/>
                                <w:sz w:val="24"/>
                                <w:szCs w:val="24"/>
                                <w:u w:val="single"/>
                              </w:rPr>
                              <w:t>How data will be analyzed</w:t>
                            </w:r>
                            <w:r w:rsidRPr="00626D0A">
                              <w:rPr>
                                <w:sz w:val="24"/>
                                <w:szCs w:val="24"/>
                              </w:rPr>
                              <w:t>: </w:t>
                            </w:r>
                            <w:r w:rsidRPr="00840F0C">
                              <w:rPr>
                                <w:sz w:val="24"/>
                                <w:szCs w:val="24"/>
                              </w:rPr>
                              <w:t>We will use univariate and multivariable regression methods to summarize the survey data. Analyses will determine the knowledge, attitudes, beliefs, and behaviors of households with regards to the preparation and use of emergency supply kits during and shortly after a disaster. We will describe the associations between emergency supply kit use and self‐sufficiency. In addition, we will use regression modeling to describe the extent to which emergency supply kit use has an impact on the health status and needs of household members during and shortly after a natural disaster.</w:t>
                            </w:r>
                          </w:p>
                          <w:p w:rsidRPr="00940AF0" w:rsidR="00185C3B" w:rsidP="005B638C" w:rsidRDefault="00185C3B" w14:paraId="550195A5" w14:textId="77777777">
                            <w:pPr>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2756BD">
                <v:stroke joinstyle="miter"/>
                <v:path gradientshapeok="t" o:connecttype="rect"/>
              </v:shapetype>
              <v:shape id="Text Box 2" style="position:absolute;margin-left:0;margin-top:0;width:452pt;height:66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x5gIwIAAEUEAAAOAAAAZHJzL2Uyb0RvYy54bWysU8GO0zAQvSPxD5bvNGmU0t2o6WrpUoS0&#10;LEi7fIDjOI2F7TG222T5esZOt0TACZGDZXvGL2/em9ncjFqRk3BegqnpcpFTIgyHVppDTb8+7d9c&#10;UeIDMy1TYERNn4WnN9vXrzaDrUQBPahWOIIgxleDrWkfgq2yzPNeaOYXYIXBYAdOs4BHd8haxwZE&#10;1yor8vxtNoBrrQMuvMfbuylItwm/6wQPn7vOi0BUTZFbSKtLaxPXbLth1cEx20t+psH+gYVm0uBP&#10;L1B3LDBydPIPKC25Aw9dWHDQGXSd5CLVgNUs89+qeeyZFakWFMfbi0z+/8Hyh9MXR2SL3lFimEaL&#10;nsQYyDsYSRHVGayvMOnRYloY8Tpmxkq9vQf+zRMDu56Zg7h1DoZesBbZLePLbPZ0wvERpBk+QYu/&#10;YccACWjsnI6AKAZBdHTp+eJMpMLxcrUu8zLHEMfYVbleF6vkXcaql+fW+fBBgCZxU1OH1id4drr3&#10;IdJh1UtKog9KtnupVDq4Q7NTjpwYtsk+fakCrHKepgwZanq9KlaTAvOYn0Pk6fsbhJYB+11JjWVc&#10;klgVdXtv2tSNgUk17ZGyMmcho3aTimFsxrMxDbTPKKmDqa9xDnHTg/tByYA9XVP//cicoER9NGjL&#10;9bIs4xCkQ7laF3hw80gzjzDDEaqmgZJpuwtpcKJgBm7Rvk4mYaPPE5MzV+zVpPd5ruIwzM8p69f0&#10;b38CAAD//wMAUEsDBBQABgAIAAAAIQDhJbwJ3AAAAAYBAAAPAAAAZHJzL2Rvd25yZXYueG1sTI/B&#10;TsMwEETvSPyDtUhcUGtDSmlDnAohgegNWgRXN94mEfY6xG4a/p6FC1xWGs1o9k2xGr0TA/axDaTh&#10;cqpAIFXBtlRreN0+TBYgYjJkjQuEGr4wwqo8PSlMbsORXnDYpFpwCcXcaGhS6nIpY9WgN3EaOiT2&#10;9qH3JrHsa2l7c+Ry7+SVUnPpTUv8oTEd3jdYfWwOXsNi9jS8x3X2/FbN926ZLm6Gx89e6/Oz8e4W&#10;RMIx/YXhB5/RoWSmXTiQjcJp4CHp97K3VDOWOw5l2bUCWRbyP375DQAA//8DAFBLAQItABQABgAI&#10;AAAAIQC2gziS/gAAAOEBAAATAAAAAAAAAAAAAAAAAAAAAABbQ29udGVudF9UeXBlc10ueG1sUEsB&#10;Ai0AFAAGAAgAAAAhADj9If/WAAAAlAEAAAsAAAAAAAAAAAAAAAAALwEAAF9yZWxzLy5yZWxzUEsB&#10;Ai0AFAAGAAgAAAAhACrjHmAjAgAARQQAAA4AAAAAAAAAAAAAAAAALgIAAGRycy9lMm9Eb2MueG1s&#10;UEsBAi0AFAAGAAgAAAAhAOElvAncAAAABgEAAA8AAAAAAAAAAAAAAAAAfQQAAGRycy9kb3ducmV2&#10;LnhtbFBLBQYAAAAABAAEAPMAAACGBQAAAAA=&#10;">
                <v:textbox>
                  <w:txbxContent>
                    <w:p w:rsidR="00185C3B" w:rsidP="00683EFA" w:rsidRDefault="00185C3B" w14:paraId="573BB940" w14:textId="347E6E25">
                      <w:pPr>
                        <w:spacing w:line="259" w:lineRule="auto"/>
                        <w:jc w:val="both"/>
                        <w:rPr>
                          <w:rFonts w:cs="Times New Roman"/>
                          <w:sz w:val="24"/>
                          <w:szCs w:val="24"/>
                        </w:rPr>
                      </w:pPr>
                      <w:r w:rsidRPr="0020375A">
                        <w:rPr>
                          <w:b/>
                          <w:sz w:val="24"/>
                          <w:szCs w:val="24"/>
                          <w:u w:val="single"/>
                        </w:rPr>
                        <w:t>Goals of the study:</w:t>
                      </w:r>
                      <w:r w:rsidRPr="0020375A">
                        <w:rPr>
                          <w:sz w:val="24"/>
                          <w:szCs w:val="24"/>
                        </w:rPr>
                        <w:t xml:space="preserve"> </w:t>
                      </w:r>
                      <w:r w:rsidRPr="00840F0C">
                        <w:rPr>
                          <w:sz w:val="24"/>
                          <w:szCs w:val="24"/>
                        </w:rPr>
                        <w:t>The goal of this study is to determine the efficacy and public health impact of emergency supply kits among disaster‐affected populations. Specifically, this study will attempt to understand how emergency supply kits are used during and after a natural disaster, if public health outcomes (e.g., self‐sufficiency, decreased disease exacerbation) are associated with access to emergency supply kits, and what the most useful items to include in an emergency supply kit are across different types of disasters.</w:t>
                      </w:r>
                    </w:p>
                    <w:p w:rsidRPr="00626D0A" w:rsidR="00185C3B" w:rsidP="00683EFA" w:rsidRDefault="00185C3B" w14:paraId="668A2E97" w14:textId="74D1186D">
                      <w:pPr>
                        <w:jc w:val="both"/>
                        <w:rPr>
                          <w:rFonts w:cs="Times New Roman"/>
                          <w:sz w:val="24"/>
                          <w:szCs w:val="24"/>
                        </w:rPr>
                      </w:pPr>
                      <w:r w:rsidRPr="0020375A">
                        <w:rPr>
                          <w:b/>
                          <w:sz w:val="24"/>
                          <w:szCs w:val="24"/>
                          <w:u w:val="single"/>
                        </w:rPr>
                        <w:t>Intended use of the resulting data:</w:t>
                      </w:r>
                      <w:r w:rsidRPr="0020375A">
                        <w:rPr>
                          <w:sz w:val="24"/>
                          <w:szCs w:val="24"/>
                        </w:rPr>
                        <w:t xml:space="preserve"> The data will</w:t>
                      </w:r>
                      <w:r>
                        <w:rPr>
                          <w:sz w:val="24"/>
                          <w:szCs w:val="24"/>
                        </w:rPr>
                        <w:t xml:space="preserve"> 1)</w:t>
                      </w:r>
                      <w:r w:rsidRPr="0020375A">
                        <w:rPr>
                          <w:sz w:val="24"/>
                          <w:szCs w:val="24"/>
                        </w:rPr>
                        <w:t xml:space="preserve"> inform </w:t>
                      </w:r>
                      <w:r>
                        <w:rPr>
                          <w:sz w:val="24"/>
                          <w:szCs w:val="24"/>
                        </w:rPr>
                        <w:t>the Centers for Disease Control and Prevention (CDC) and state, tribal, local, and territorial (STLT)</w:t>
                      </w:r>
                      <w:r w:rsidRPr="0020375A">
                        <w:rPr>
                          <w:sz w:val="24"/>
                          <w:szCs w:val="24"/>
                        </w:rPr>
                        <w:t xml:space="preserve"> </w:t>
                      </w:r>
                      <w:r>
                        <w:rPr>
                          <w:sz w:val="24"/>
                          <w:szCs w:val="24"/>
                        </w:rPr>
                        <w:t xml:space="preserve">health agencies </w:t>
                      </w:r>
                      <w:r w:rsidRPr="0020375A">
                        <w:rPr>
                          <w:sz w:val="24"/>
                          <w:szCs w:val="24"/>
                        </w:rPr>
                        <w:t xml:space="preserve">about </w:t>
                      </w:r>
                      <w:r>
                        <w:rPr>
                          <w:sz w:val="24"/>
                          <w:szCs w:val="24"/>
                        </w:rPr>
                        <w:t>public knowledge, preparedness, and use of emergency supply kits;</w:t>
                      </w:r>
                      <w:r w:rsidRPr="0020375A">
                        <w:rPr>
                          <w:sz w:val="24"/>
                          <w:szCs w:val="24"/>
                        </w:rPr>
                        <w:t xml:space="preserve"> </w:t>
                      </w:r>
                      <w:r>
                        <w:rPr>
                          <w:sz w:val="24"/>
                          <w:szCs w:val="24"/>
                        </w:rPr>
                        <w:t>2) contribute to federal and STLT recommendations and public health interventions regarding the availability and composition of emergency supply kits</w:t>
                      </w:r>
                      <w:r>
                        <w:rPr>
                          <w:rFonts w:cs="Times New Roman"/>
                          <w:sz w:val="24"/>
                          <w:szCs w:val="24"/>
                        </w:rPr>
                        <w:t xml:space="preserve">; and 3) </w:t>
                      </w:r>
                      <w:r w:rsidRPr="0020375A">
                        <w:rPr>
                          <w:rFonts w:cs="Times New Roman"/>
                          <w:sz w:val="24"/>
                          <w:szCs w:val="24"/>
                        </w:rPr>
                        <w:t xml:space="preserve">assess </w:t>
                      </w:r>
                      <w:r w:rsidRPr="00626D0A">
                        <w:rPr>
                          <w:rFonts w:cs="Times New Roman"/>
                          <w:sz w:val="24"/>
                          <w:szCs w:val="24"/>
                        </w:rPr>
                        <w:t xml:space="preserve">the </w:t>
                      </w:r>
                      <w:r>
                        <w:rPr>
                          <w:rFonts w:cs="Times New Roman"/>
                          <w:sz w:val="24"/>
                          <w:szCs w:val="24"/>
                        </w:rPr>
                        <w:t>general</w:t>
                      </w:r>
                      <w:r w:rsidRPr="00626D0A">
                        <w:rPr>
                          <w:rFonts w:cs="Times New Roman"/>
                          <w:sz w:val="24"/>
                          <w:szCs w:val="24"/>
                        </w:rPr>
                        <w:t xml:space="preserve"> public health impact of </w:t>
                      </w:r>
                      <w:r>
                        <w:rPr>
                          <w:rFonts w:cs="Times New Roman"/>
                          <w:sz w:val="24"/>
                          <w:szCs w:val="24"/>
                        </w:rPr>
                        <w:t xml:space="preserve">recent </w:t>
                      </w:r>
                      <w:r w:rsidRPr="00626D0A">
                        <w:rPr>
                          <w:rFonts w:cs="Times New Roman"/>
                          <w:sz w:val="24"/>
                          <w:szCs w:val="24"/>
                        </w:rPr>
                        <w:t>disaster</w:t>
                      </w:r>
                      <w:r>
                        <w:rPr>
                          <w:rFonts w:cs="Times New Roman"/>
                          <w:sz w:val="24"/>
                          <w:szCs w:val="24"/>
                        </w:rPr>
                        <w:t>s</w:t>
                      </w:r>
                      <w:r w:rsidRPr="00626D0A">
                        <w:rPr>
                          <w:rFonts w:cs="Times New Roman"/>
                          <w:sz w:val="24"/>
                          <w:szCs w:val="24"/>
                        </w:rPr>
                        <w:t>.</w:t>
                      </w:r>
                    </w:p>
                    <w:p w:rsidRPr="00626D0A" w:rsidR="00185C3B" w:rsidP="00683EFA" w:rsidRDefault="00185C3B" w14:paraId="32645E78" w14:textId="43F1A52F">
                      <w:pPr>
                        <w:spacing w:line="259" w:lineRule="auto"/>
                        <w:jc w:val="both"/>
                        <w:rPr>
                          <w:sz w:val="24"/>
                          <w:szCs w:val="24"/>
                        </w:rPr>
                      </w:pPr>
                      <w:r w:rsidRPr="00626D0A">
                        <w:rPr>
                          <w:b/>
                          <w:sz w:val="24"/>
                          <w:szCs w:val="24"/>
                          <w:u w:val="single"/>
                        </w:rPr>
                        <w:t>Methods to be used to collect data:</w:t>
                      </w:r>
                      <w:r w:rsidRPr="00626D0A">
                        <w:rPr>
                          <w:sz w:val="24"/>
                          <w:szCs w:val="24"/>
                        </w:rPr>
                        <w:t xml:space="preserve"> </w:t>
                      </w:r>
                      <w:r w:rsidRPr="00840F0C">
                        <w:rPr>
                          <w:sz w:val="24"/>
                          <w:szCs w:val="24"/>
                        </w:rPr>
                        <w:t>We will conduct a cross‐sectional study among two disaster‐affected populations. We will select geographic sites (e.g., city, town, region) for inclusion in the study after a disaster (e.g., hurricane, wildfire, flood, tornado) has occurred in the area. Households will be selected via address‐based sampling in the defined areas for participation. We will send households a paper‐based (mailed) survey as well as a link to complete an online web survey; the households can choose either format – paper or online – but not both. As paper‐based surveys are mailed to participants and back from participants, there is no concern regarding COVID‐19. In addition, if available, we will invite members of an existing nonprobability web panel living in the disaster area directed to the online, web‐based instrument to create a larger, more cost‐ effective dataset. Panel availability is not guaranteed because some geographic locations (e.g., rural areas) may not have enough web panel participants from which to draw. We will capture the web‐based data via Voxco and use Teleform for paper‐based data collection. In addition, up to two focus groups per site will be conducted concurrently, or shortly after, the cross‐sectional study data collection to enhance and contextualize survey data. Focus groups are online.</w:t>
                      </w:r>
                    </w:p>
                    <w:p w:rsidRPr="00626D0A" w:rsidR="00185C3B" w:rsidP="00683EFA" w:rsidRDefault="00185C3B" w14:paraId="466A38AA" w14:textId="126BF54C">
                      <w:pPr>
                        <w:spacing w:line="259" w:lineRule="auto"/>
                        <w:jc w:val="both"/>
                        <w:rPr>
                          <w:rFonts w:cstheme="minorHAnsi"/>
                          <w:sz w:val="24"/>
                          <w:szCs w:val="24"/>
                        </w:rPr>
                      </w:pPr>
                      <w:r w:rsidRPr="00626D0A">
                        <w:rPr>
                          <w:b/>
                          <w:sz w:val="24"/>
                          <w:szCs w:val="24"/>
                          <w:u w:val="single"/>
                        </w:rPr>
                        <w:t>The subpopulation to be studied:</w:t>
                      </w:r>
                      <w:r w:rsidRPr="00626D0A">
                        <w:rPr>
                          <w:sz w:val="24"/>
                          <w:szCs w:val="24"/>
                        </w:rPr>
                        <w:t xml:space="preserve"> </w:t>
                      </w:r>
                      <w:r w:rsidRPr="00840F0C">
                        <w:rPr>
                          <w:sz w:val="24"/>
                          <w:szCs w:val="24"/>
                        </w:rPr>
                        <w:t>The subpopulation includes residents of a house that is within the community or geographic area that recently experienced a natural disaster. The respondent can be any member of the household who is over the age of 18 and living in the selected areas at the time of the disaster. Participants will provide survey data that describe disaster‐related experiences among all household members.</w:t>
                      </w:r>
                    </w:p>
                    <w:p w:rsidRPr="0020375A" w:rsidR="00185C3B" w:rsidP="00683EFA" w:rsidRDefault="00185C3B" w14:paraId="3EF44E88" w14:textId="5CCC87B9">
                      <w:pPr>
                        <w:jc w:val="both"/>
                        <w:rPr>
                          <w:sz w:val="24"/>
                          <w:szCs w:val="24"/>
                        </w:rPr>
                      </w:pPr>
                      <w:r w:rsidRPr="00626D0A">
                        <w:rPr>
                          <w:b/>
                          <w:sz w:val="24"/>
                          <w:szCs w:val="24"/>
                          <w:u w:val="single"/>
                        </w:rPr>
                        <w:t>How data will be analyzed</w:t>
                      </w:r>
                      <w:r w:rsidRPr="00626D0A">
                        <w:rPr>
                          <w:sz w:val="24"/>
                          <w:szCs w:val="24"/>
                        </w:rPr>
                        <w:t>: </w:t>
                      </w:r>
                      <w:r w:rsidRPr="00840F0C">
                        <w:rPr>
                          <w:sz w:val="24"/>
                          <w:szCs w:val="24"/>
                        </w:rPr>
                        <w:t>We will use univariate and multivariable regression methods to summarize the survey data. Analyses will determine the knowledge, attitudes, beliefs, and behaviors of households with regards to the preparation and use of emergency supply kits during and shortly after a disaster. We will describe the associations between emergency supply kit use and self‐sufficiency. In addition, we will use regression modeling to describe the extent to which emergency supply kit use has an impact on the health status and needs of household members during and shortly after a natural disaster.</w:t>
                      </w:r>
                    </w:p>
                    <w:p w:rsidRPr="00940AF0" w:rsidR="00185C3B" w:rsidP="005B638C" w:rsidRDefault="00185C3B" w14:paraId="550195A5" w14:textId="77777777">
                      <w:pPr>
                        <w:spacing w:before="240"/>
                      </w:pPr>
                    </w:p>
                  </w:txbxContent>
                </v:textbox>
                <w10:wrap type="square" anchorx="margin"/>
              </v:shape>
            </w:pict>
          </mc:Fallback>
        </mc:AlternateContent>
      </w:r>
      <w:r w:rsidR="00683EFA">
        <w:br w:type="page"/>
      </w:r>
    </w:p>
    <w:p w:rsidRPr="00A83CA6" w:rsidR="003A5D90" w:rsidP="001E7F82" w:rsidRDefault="003A5D90" w14:paraId="2D36E0D9" w14:textId="352E2FBE">
      <w:pPr>
        <w:pStyle w:val="Heading1"/>
        <w:spacing w:before="0"/>
        <w:rPr>
          <w:color w:val="auto"/>
        </w:rPr>
      </w:pPr>
      <w:bookmarkStart w:name="_Toc61000929" w:id="3"/>
      <w:r w:rsidRPr="00C83EAD">
        <w:rPr>
          <w:color w:val="auto"/>
        </w:rPr>
        <w:lastRenderedPageBreak/>
        <w:t>A.1.  Circumstances Making the Collection of Information Necessary</w:t>
      </w:r>
      <w:bookmarkEnd w:id="3"/>
    </w:p>
    <w:p w:rsidRPr="00A83CA6" w:rsidR="00FC5B5A" w:rsidP="001E7F82" w:rsidRDefault="00FC5B5A" w14:paraId="19324432" w14:textId="01CC16BF">
      <w:pPr>
        <w:spacing w:after="0"/>
      </w:pPr>
    </w:p>
    <w:p w:rsidR="009B26B0" w:rsidP="00823D8F" w:rsidRDefault="00A83CA6" w14:paraId="5773B2EA" w14:textId="340CD77B">
      <w:pPr>
        <w:spacing w:after="0" w:line="276" w:lineRule="auto"/>
        <w:jc w:val="both"/>
        <w:rPr>
          <w:rFonts w:cstheme="minorHAnsi"/>
          <w:sz w:val="24"/>
          <w:szCs w:val="24"/>
        </w:rPr>
      </w:pPr>
      <w:r w:rsidRPr="00243C5F">
        <w:rPr>
          <w:rFonts w:cstheme="minorHAnsi"/>
          <w:sz w:val="24"/>
          <w:szCs w:val="24"/>
        </w:rPr>
        <w:t>This is a new</w:t>
      </w:r>
      <w:r w:rsidR="00182D5E">
        <w:rPr>
          <w:rFonts w:cstheme="minorHAnsi"/>
          <w:sz w:val="24"/>
          <w:szCs w:val="24"/>
        </w:rPr>
        <w:t xml:space="preserve"> two-year</w:t>
      </w:r>
      <w:r w:rsidRPr="00243C5F">
        <w:rPr>
          <w:rFonts w:cstheme="minorHAnsi"/>
          <w:sz w:val="24"/>
          <w:szCs w:val="24"/>
        </w:rPr>
        <w:t xml:space="preserve"> </w:t>
      </w:r>
      <w:r w:rsidR="00E26EC6">
        <w:rPr>
          <w:rFonts w:cstheme="minorHAnsi"/>
          <w:sz w:val="24"/>
          <w:szCs w:val="24"/>
        </w:rPr>
        <w:t>information collection request (ICR) from the National Center for Environmental Health (NCEH), Centers for Disease Control and Prevention (CDC).</w:t>
      </w:r>
      <w:r w:rsidR="004F5EDA">
        <w:rPr>
          <w:rFonts w:cstheme="minorHAnsi"/>
          <w:sz w:val="24"/>
          <w:szCs w:val="24"/>
        </w:rPr>
        <w:t xml:space="preserve"> </w:t>
      </w:r>
      <w:r w:rsidR="00E26EC6">
        <w:rPr>
          <w:rFonts w:cstheme="minorHAnsi"/>
          <w:sz w:val="24"/>
          <w:szCs w:val="24"/>
        </w:rPr>
        <w:t xml:space="preserve">This data collection is authorized by </w:t>
      </w:r>
      <w:r w:rsidR="00BA6DFC">
        <w:rPr>
          <w:rFonts w:cstheme="minorHAnsi"/>
          <w:sz w:val="24"/>
          <w:szCs w:val="24"/>
        </w:rPr>
        <w:t xml:space="preserve">Section </w:t>
      </w:r>
      <w:r w:rsidR="008D4C36">
        <w:rPr>
          <w:rFonts w:cstheme="minorHAnsi"/>
          <w:sz w:val="24"/>
          <w:szCs w:val="24"/>
        </w:rPr>
        <w:t>301 of the Public Health Service Act (42 U.S.C. 241)</w:t>
      </w:r>
      <w:r w:rsidRPr="00222798" w:rsidR="00BA6DFC">
        <w:rPr>
          <w:rFonts w:cstheme="minorHAnsi"/>
          <w:sz w:val="24"/>
          <w:szCs w:val="24"/>
        </w:rPr>
        <w:t xml:space="preserve"> </w:t>
      </w:r>
      <w:r w:rsidRPr="00222798" w:rsidR="003D60AD">
        <w:rPr>
          <w:rFonts w:cstheme="minorHAnsi"/>
          <w:sz w:val="24"/>
          <w:szCs w:val="24"/>
        </w:rPr>
        <w:t>(A</w:t>
      </w:r>
      <w:r w:rsidR="00674FF4">
        <w:rPr>
          <w:rFonts w:cstheme="minorHAnsi"/>
          <w:sz w:val="24"/>
          <w:szCs w:val="24"/>
        </w:rPr>
        <w:t>ppendix</w:t>
      </w:r>
      <w:r w:rsidRPr="00222798" w:rsidR="003D60AD">
        <w:rPr>
          <w:rFonts w:cstheme="minorHAnsi"/>
          <w:sz w:val="24"/>
          <w:szCs w:val="24"/>
        </w:rPr>
        <w:t xml:space="preserve"> </w:t>
      </w:r>
      <w:r w:rsidR="007D2041">
        <w:rPr>
          <w:rFonts w:cstheme="minorHAnsi"/>
          <w:sz w:val="24"/>
          <w:szCs w:val="24"/>
        </w:rPr>
        <w:t>A</w:t>
      </w:r>
      <w:r w:rsidRPr="00222798" w:rsidR="00E26EC6">
        <w:rPr>
          <w:rFonts w:cstheme="minorHAnsi"/>
          <w:sz w:val="24"/>
          <w:szCs w:val="24"/>
        </w:rPr>
        <w:t>)</w:t>
      </w:r>
      <w:r w:rsidRPr="00222798">
        <w:rPr>
          <w:rFonts w:cstheme="minorHAnsi"/>
          <w:sz w:val="24"/>
          <w:szCs w:val="24"/>
        </w:rPr>
        <w:t>.</w:t>
      </w:r>
      <w:r w:rsidRPr="00222798" w:rsidR="0045732D">
        <w:rPr>
          <w:rFonts w:cstheme="minorHAnsi"/>
          <w:sz w:val="24"/>
          <w:szCs w:val="24"/>
        </w:rPr>
        <w:t xml:space="preserve"> </w:t>
      </w:r>
      <w:r w:rsidR="00813F27">
        <w:rPr>
          <w:rFonts w:cstheme="minorHAnsi"/>
          <w:sz w:val="24"/>
          <w:szCs w:val="24"/>
        </w:rPr>
        <w:t>A</w:t>
      </w:r>
      <w:r w:rsidR="00674FF4">
        <w:rPr>
          <w:rFonts w:cstheme="minorHAnsi"/>
          <w:sz w:val="24"/>
          <w:szCs w:val="24"/>
        </w:rPr>
        <w:t>ppendix</w:t>
      </w:r>
      <w:r w:rsidR="00813F27">
        <w:rPr>
          <w:rFonts w:cstheme="minorHAnsi"/>
          <w:sz w:val="24"/>
          <w:szCs w:val="24"/>
        </w:rPr>
        <w:t xml:space="preserve"> B provides the</w:t>
      </w:r>
      <w:r w:rsidR="00AC3563">
        <w:rPr>
          <w:rFonts w:cstheme="minorHAnsi"/>
          <w:sz w:val="24"/>
          <w:szCs w:val="24"/>
        </w:rPr>
        <w:t xml:space="preserve"> 60</w:t>
      </w:r>
      <w:r w:rsidR="00813F27">
        <w:rPr>
          <w:rFonts w:cstheme="minorHAnsi"/>
          <w:sz w:val="24"/>
          <w:szCs w:val="24"/>
        </w:rPr>
        <w:t>-day Federal Regist</w:t>
      </w:r>
      <w:r w:rsidR="00674FF4">
        <w:rPr>
          <w:rFonts w:cstheme="minorHAnsi"/>
          <w:sz w:val="24"/>
          <w:szCs w:val="24"/>
        </w:rPr>
        <w:t>er</w:t>
      </w:r>
      <w:r w:rsidR="00813F27">
        <w:rPr>
          <w:rFonts w:cstheme="minorHAnsi"/>
          <w:sz w:val="24"/>
          <w:szCs w:val="24"/>
        </w:rPr>
        <w:t xml:space="preserve"> Notice.</w:t>
      </w:r>
    </w:p>
    <w:p w:rsidR="00FB1A70" w:rsidP="00823D8F" w:rsidRDefault="00FB1A70" w14:paraId="3201B898" w14:textId="77777777">
      <w:pPr>
        <w:spacing w:after="0" w:line="276" w:lineRule="auto"/>
        <w:rPr>
          <w:rFonts w:cstheme="minorHAnsi"/>
          <w:b/>
          <w:sz w:val="24"/>
          <w:szCs w:val="24"/>
        </w:rPr>
      </w:pPr>
    </w:p>
    <w:p w:rsidRPr="004F5EDA" w:rsidR="00FB1A70" w:rsidP="00823D8F" w:rsidRDefault="00985826" w14:paraId="5365D4F9" w14:textId="5150ADAA">
      <w:pPr>
        <w:spacing w:after="0" w:line="276" w:lineRule="auto"/>
        <w:jc w:val="both"/>
        <w:rPr>
          <w:rFonts w:ascii="Calibri" w:hAnsi="Calibri" w:cs="Calibri"/>
          <w:sz w:val="24"/>
          <w:szCs w:val="24"/>
        </w:rPr>
      </w:pPr>
      <w:r w:rsidRPr="0048377B">
        <w:rPr>
          <w:rFonts w:cstheme="minorHAnsi"/>
          <w:b/>
          <w:sz w:val="24"/>
          <w:szCs w:val="24"/>
        </w:rPr>
        <w:t>Background</w:t>
      </w:r>
      <w:r w:rsidR="00FB1A70">
        <w:rPr>
          <w:rFonts w:cstheme="minorHAnsi"/>
          <w:b/>
          <w:sz w:val="24"/>
          <w:szCs w:val="24"/>
        </w:rPr>
        <w:t>.</w:t>
      </w:r>
      <w:r w:rsidR="00683EFA">
        <w:rPr>
          <w:rFonts w:cstheme="minorHAnsi"/>
          <w:b/>
          <w:sz w:val="24"/>
          <w:szCs w:val="24"/>
        </w:rPr>
        <w:t xml:space="preserve"> </w:t>
      </w:r>
      <w:r w:rsidRPr="004F5EDA" w:rsidR="00655157">
        <w:rPr>
          <w:rFonts w:ascii="Calibri" w:hAnsi="Calibri" w:cs="Calibri"/>
          <w:sz w:val="24"/>
          <w:szCs w:val="24"/>
        </w:rPr>
        <w:t>An all-of-society approach to disaster risk reduction emphasizes inclusion and engagement in preparedness activities. A common recommendation is to promote household preparedness through the preparation of an emergency supply kit that can be used to shelter-in-place or during evacuation.</w:t>
      </w:r>
      <w:r w:rsidRPr="004F5EDA" w:rsidR="00683EFA">
        <w:rPr>
          <w:rFonts w:ascii="Calibri" w:hAnsi="Calibri" w:cs="Calibri"/>
          <w:sz w:val="24"/>
          <w:szCs w:val="24"/>
        </w:rPr>
        <w:t xml:space="preserve"> </w:t>
      </w:r>
      <w:r w:rsidRPr="004F5EDA" w:rsidR="00655157">
        <w:rPr>
          <w:rFonts w:ascii="Calibri" w:hAnsi="Calibri" w:cs="Calibri"/>
          <w:sz w:val="24"/>
          <w:szCs w:val="24"/>
        </w:rPr>
        <w:t xml:space="preserve">Lack of household preparedness is a public health concern, especially in medically frail populations, because it consumes </w:t>
      </w:r>
      <w:r w:rsidRPr="004F5EDA" w:rsidR="00683EFA">
        <w:rPr>
          <w:rFonts w:ascii="Calibri" w:hAnsi="Calibri" w:cs="Calibri"/>
          <w:sz w:val="24"/>
          <w:szCs w:val="24"/>
        </w:rPr>
        <w:t>first</w:t>
      </w:r>
      <w:r w:rsidRPr="004F5EDA" w:rsidR="00F45409">
        <w:rPr>
          <w:rFonts w:ascii="Calibri" w:hAnsi="Calibri" w:cs="Calibri"/>
          <w:sz w:val="24"/>
          <w:szCs w:val="24"/>
        </w:rPr>
        <w:t xml:space="preserve"> </w:t>
      </w:r>
      <w:r w:rsidRPr="004F5EDA" w:rsidR="00655157">
        <w:rPr>
          <w:rFonts w:ascii="Calibri" w:hAnsi="Calibri" w:cs="Calibri"/>
          <w:sz w:val="24"/>
          <w:szCs w:val="24"/>
        </w:rPr>
        <w:t>responders’ time, taking them away from relief and recovery efforts, and can easily deplete community health resources.</w:t>
      </w:r>
      <w:r w:rsidRPr="004F5EDA" w:rsidR="00655157">
        <w:rPr>
          <w:rFonts w:ascii="Calibri" w:hAnsi="Calibri" w:cs="Calibri"/>
          <w:sz w:val="24"/>
          <w:szCs w:val="24"/>
          <w:vertAlign w:val="superscript"/>
        </w:rPr>
        <w:t>1</w:t>
      </w:r>
      <w:r w:rsidRPr="004F5EDA" w:rsidR="0050477F">
        <w:rPr>
          <w:rFonts w:ascii="Calibri" w:hAnsi="Calibri" w:cs="Calibri"/>
          <w:color w:val="FF0000"/>
          <w:sz w:val="24"/>
          <w:szCs w:val="24"/>
        </w:rPr>
        <w:t xml:space="preserve"> </w:t>
      </w:r>
      <w:r w:rsidRPr="004F5EDA" w:rsidR="00F2598A">
        <w:rPr>
          <w:rFonts w:ascii="Calibri" w:hAnsi="Calibri" w:cs="Calibri"/>
          <w:color w:val="000000" w:themeColor="text1"/>
          <w:sz w:val="24"/>
          <w:szCs w:val="24"/>
        </w:rPr>
        <w:t>The Federal Emergency Management Agency (FEMA) states that individuals or households are prepared for a disaster if they have thought about and planned for the types of disaster for which they are at most risk, have developed a family communication and evacuation plan in the event of a disaster, and have assembled a complete disaster (emergency) supply kit.</w:t>
      </w:r>
      <w:r w:rsidRPr="004F5EDA" w:rsidR="00F2598A">
        <w:rPr>
          <w:rFonts w:ascii="Calibri" w:hAnsi="Calibri" w:cs="Calibri"/>
          <w:color w:val="000000" w:themeColor="text1"/>
          <w:sz w:val="24"/>
          <w:szCs w:val="24"/>
          <w:vertAlign w:val="superscript"/>
        </w:rPr>
        <w:t>2</w:t>
      </w:r>
      <w:r w:rsidRPr="004F5EDA" w:rsidR="00F2598A">
        <w:rPr>
          <w:rFonts w:ascii="Calibri" w:hAnsi="Calibri" w:cs="Calibri"/>
          <w:color w:val="000000" w:themeColor="text1"/>
          <w:sz w:val="24"/>
          <w:szCs w:val="24"/>
        </w:rPr>
        <w:t xml:space="preserve"> </w:t>
      </w:r>
      <w:r w:rsidRPr="004F5EDA" w:rsidR="00E40F36">
        <w:rPr>
          <w:rFonts w:ascii="Calibri" w:hAnsi="Calibri" w:cs="Calibri"/>
          <w:color w:val="000000" w:themeColor="text1"/>
          <w:sz w:val="24"/>
          <w:szCs w:val="24"/>
        </w:rPr>
        <w:t>However, t</w:t>
      </w:r>
      <w:r w:rsidRPr="004F5EDA" w:rsidR="00FB1A70">
        <w:rPr>
          <w:rFonts w:ascii="Calibri" w:hAnsi="Calibri" w:cs="Calibri"/>
          <w:color w:val="000000" w:themeColor="text1"/>
          <w:sz w:val="24"/>
          <w:szCs w:val="24"/>
        </w:rPr>
        <w:t xml:space="preserve">he </w:t>
      </w:r>
      <w:r w:rsidRPr="004F5EDA" w:rsidR="00926317">
        <w:rPr>
          <w:rFonts w:ascii="Calibri" w:hAnsi="Calibri" w:cs="Calibri"/>
          <w:color w:val="000000" w:themeColor="text1"/>
          <w:sz w:val="24"/>
          <w:szCs w:val="24"/>
        </w:rPr>
        <w:t xml:space="preserve">prevalence of emergency supply kits </w:t>
      </w:r>
      <w:r w:rsidRPr="004F5EDA" w:rsidR="00FB1A70">
        <w:rPr>
          <w:rFonts w:ascii="Calibri" w:hAnsi="Calibri" w:cs="Calibri"/>
          <w:color w:val="000000" w:themeColor="text1"/>
          <w:sz w:val="24"/>
          <w:szCs w:val="24"/>
        </w:rPr>
        <w:t>across households in the United States</w:t>
      </w:r>
      <w:r w:rsidRPr="004F5EDA" w:rsidR="00926317">
        <w:rPr>
          <w:rFonts w:ascii="Calibri" w:hAnsi="Calibri" w:cs="Calibri"/>
          <w:color w:val="000000" w:themeColor="text1"/>
          <w:sz w:val="24"/>
          <w:szCs w:val="24"/>
        </w:rPr>
        <w:t xml:space="preserve"> ranges considerably from a community-level low of 10% to a regional high of 68%</w:t>
      </w:r>
      <w:r w:rsidRPr="004F5EDA" w:rsidR="00934521">
        <w:rPr>
          <w:rFonts w:ascii="Calibri" w:hAnsi="Calibri" w:cs="Calibri"/>
          <w:color w:val="000000" w:themeColor="text1"/>
          <w:sz w:val="24"/>
          <w:szCs w:val="24"/>
        </w:rPr>
        <w:t>.</w:t>
      </w:r>
      <w:r w:rsidRPr="004F5EDA" w:rsidR="00934521">
        <w:rPr>
          <w:rFonts w:ascii="Calibri" w:hAnsi="Calibri" w:cs="Calibri"/>
          <w:color w:val="000000" w:themeColor="text1"/>
          <w:sz w:val="24"/>
          <w:szCs w:val="24"/>
          <w:vertAlign w:val="superscript"/>
        </w:rPr>
        <w:t>3</w:t>
      </w:r>
      <w:r w:rsidRPr="004F5EDA" w:rsidR="00E40F36">
        <w:rPr>
          <w:rFonts w:ascii="Calibri" w:hAnsi="Calibri" w:cs="Calibri"/>
          <w:color w:val="000000" w:themeColor="text1"/>
          <w:sz w:val="24"/>
          <w:szCs w:val="24"/>
          <w:vertAlign w:val="superscript"/>
        </w:rPr>
        <w:t>,4</w:t>
      </w:r>
      <w:r w:rsidRPr="004F5EDA" w:rsidR="0050477F">
        <w:rPr>
          <w:rFonts w:ascii="Calibri" w:hAnsi="Calibri" w:cs="Calibri"/>
          <w:color w:val="000000" w:themeColor="text1"/>
          <w:sz w:val="24"/>
          <w:szCs w:val="24"/>
        </w:rPr>
        <w:t xml:space="preserve"> </w:t>
      </w:r>
      <w:r w:rsidRPr="004F5EDA" w:rsidR="003322F5">
        <w:rPr>
          <w:rFonts w:ascii="Calibri" w:hAnsi="Calibri" w:cs="Calibri"/>
          <w:color w:val="000000" w:themeColor="text1"/>
          <w:sz w:val="24"/>
          <w:szCs w:val="24"/>
        </w:rPr>
        <w:t>Th</w:t>
      </w:r>
      <w:r w:rsidRPr="004F5EDA" w:rsidR="00FB1A70">
        <w:rPr>
          <w:rFonts w:ascii="Calibri" w:hAnsi="Calibri" w:cs="Calibri"/>
          <w:color w:val="000000" w:themeColor="text1"/>
          <w:sz w:val="24"/>
          <w:szCs w:val="24"/>
        </w:rPr>
        <w:t>is</w:t>
      </w:r>
      <w:r w:rsidRPr="004F5EDA" w:rsidR="00A86728">
        <w:rPr>
          <w:rFonts w:ascii="Calibri" w:hAnsi="Calibri" w:cs="Calibri"/>
          <w:color w:val="000000" w:themeColor="text1"/>
          <w:sz w:val="24"/>
          <w:szCs w:val="24"/>
        </w:rPr>
        <w:t xml:space="preserve"> </w:t>
      </w:r>
      <w:r w:rsidRPr="004F5EDA" w:rsidR="003322F5">
        <w:rPr>
          <w:rFonts w:ascii="Calibri" w:hAnsi="Calibri" w:cs="Calibri"/>
          <w:color w:val="000000" w:themeColor="text1"/>
          <w:sz w:val="24"/>
          <w:szCs w:val="24"/>
        </w:rPr>
        <w:t xml:space="preserve">lack </w:t>
      </w:r>
      <w:r w:rsidRPr="004F5EDA" w:rsidR="003322F5">
        <w:rPr>
          <w:rFonts w:ascii="Calibri" w:hAnsi="Calibri" w:cs="Calibri"/>
          <w:sz w:val="24"/>
          <w:szCs w:val="24"/>
        </w:rPr>
        <w:t xml:space="preserve">and variation of </w:t>
      </w:r>
      <w:r w:rsidRPr="004F5EDA" w:rsidR="00FB1A70">
        <w:rPr>
          <w:rFonts w:ascii="Calibri" w:hAnsi="Calibri" w:cs="Calibri"/>
          <w:sz w:val="24"/>
          <w:szCs w:val="24"/>
        </w:rPr>
        <w:t xml:space="preserve">emergency supply </w:t>
      </w:r>
      <w:r w:rsidRPr="004F5EDA" w:rsidR="003322F5">
        <w:rPr>
          <w:rFonts w:ascii="Calibri" w:hAnsi="Calibri" w:cs="Calibri"/>
          <w:sz w:val="24"/>
          <w:szCs w:val="24"/>
        </w:rPr>
        <w:t>kits across households</w:t>
      </w:r>
      <w:r w:rsidRPr="004F5EDA" w:rsidR="00F547A3">
        <w:rPr>
          <w:rFonts w:ascii="Calibri" w:hAnsi="Calibri" w:cs="Calibri"/>
          <w:sz w:val="24"/>
          <w:szCs w:val="24"/>
        </w:rPr>
        <w:t xml:space="preserve"> </w:t>
      </w:r>
      <w:r w:rsidRPr="004F5EDA" w:rsidR="003322F5">
        <w:rPr>
          <w:rFonts w:ascii="Calibri" w:hAnsi="Calibri" w:cs="Calibri"/>
          <w:sz w:val="24"/>
          <w:szCs w:val="24"/>
        </w:rPr>
        <w:t xml:space="preserve">makes household disaster preparedness a public health concern.  </w:t>
      </w:r>
    </w:p>
    <w:p w:rsidRPr="004F5EDA" w:rsidR="00FB1A70" w:rsidP="00823D8F" w:rsidRDefault="00FB1A70" w14:paraId="44B417E2" w14:textId="77777777">
      <w:pPr>
        <w:spacing w:after="0" w:line="276" w:lineRule="auto"/>
        <w:rPr>
          <w:rFonts w:ascii="Calibri" w:hAnsi="Calibri" w:cs="Calibri"/>
          <w:sz w:val="24"/>
          <w:szCs w:val="24"/>
        </w:rPr>
      </w:pPr>
    </w:p>
    <w:p w:rsidRPr="004F5EDA" w:rsidR="00790B21" w:rsidP="00823D8F" w:rsidRDefault="008D4A68" w14:paraId="25CF09B2" w14:textId="542D8CF9">
      <w:pPr>
        <w:spacing w:after="0" w:line="276" w:lineRule="auto"/>
        <w:jc w:val="both"/>
        <w:rPr>
          <w:rFonts w:ascii="Calibri" w:hAnsi="Calibri" w:cs="Calibri"/>
          <w:sz w:val="24"/>
          <w:szCs w:val="24"/>
        </w:rPr>
      </w:pPr>
      <w:r w:rsidRPr="004F5EDA">
        <w:rPr>
          <w:rFonts w:ascii="Calibri" w:hAnsi="Calibri" w:cs="Calibri"/>
          <w:sz w:val="24"/>
          <w:szCs w:val="24"/>
        </w:rPr>
        <w:t xml:space="preserve">Self-sufficiency (defined as the ability to shelter-in-place without needing to </w:t>
      </w:r>
      <w:r w:rsidRPr="004F5EDA" w:rsidR="00683EFA">
        <w:rPr>
          <w:rFonts w:ascii="Calibri" w:hAnsi="Calibri" w:cs="Calibri"/>
          <w:sz w:val="24"/>
          <w:szCs w:val="24"/>
        </w:rPr>
        <w:t>l</w:t>
      </w:r>
      <w:r w:rsidRPr="004F5EDA">
        <w:rPr>
          <w:rFonts w:ascii="Calibri" w:hAnsi="Calibri" w:cs="Calibri"/>
          <w:sz w:val="24"/>
          <w:szCs w:val="24"/>
        </w:rPr>
        <w:t xml:space="preserve">eave your home or call for outside assistance for </w:t>
      </w:r>
      <w:r w:rsidRPr="004F5EDA" w:rsidR="00A86728">
        <w:rPr>
          <w:rFonts w:ascii="Calibri" w:hAnsi="Calibri" w:cs="Calibri"/>
          <w:sz w:val="24"/>
          <w:szCs w:val="24"/>
        </w:rPr>
        <w:t>~</w:t>
      </w:r>
      <w:r w:rsidRPr="004F5EDA">
        <w:rPr>
          <w:rFonts w:ascii="Calibri" w:hAnsi="Calibri" w:cs="Calibri"/>
          <w:sz w:val="24"/>
          <w:szCs w:val="24"/>
        </w:rPr>
        <w:t xml:space="preserve">3 days following a disaster) can help reduce the demands placed on first responders during critical times, which has downstream public health impacts. Among persons with an existing physical or mental health condition at the time of the disaster, having an adequate supply of prescription and over-the-counter medications and medical supplies allows people to maintain treatment and prevent worsening or exacerbation of their existing condition or illness. It also </w:t>
      </w:r>
      <w:r w:rsidRPr="004F5EDA" w:rsidR="00C41004">
        <w:rPr>
          <w:rFonts w:ascii="Calibri" w:hAnsi="Calibri" w:cs="Calibri"/>
          <w:sz w:val="24"/>
          <w:szCs w:val="24"/>
        </w:rPr>
        <w:t xml:space="preserve">can </w:t>
      </w:r>
      <w:r w:rsidRPr="004F5EDA">
        <w:rPr>
          <w:rFonts w:ascii="Calibri" w:hAnsi="Calibri" w:cs="Calibri"/>
          <w:sz w:val="24"/>
          <w:szCs w:val="24"/>
        </w:rPr>
        <w:t>reduce their need for emergency medical services following a disaster</w:t>
      </w:r>
      <w:r w:rsidRPr="004F5EDA" w:rsidR="00C41004">
        <w:rPr>
          <w:rFonts w:ascii="Calibri" w:hAnsi="Calibri" w:cs="Calibri"/>
          <w:sz w:val="24"/>
          <w:szCs w:val="24"/>
        </w:rPr>
        <w:t xml:space="preserve">. </w:t>
      </w:r>
      <w:r w:rsidRPr="004F5EDA" w:rsidR="00FB1A70">
        <w:rPr>
          <w:rFonts w:ascii="Calibri" w:hAnsi="Calibri" w:cs="Calibri"/>
          <w:sz w:val="24"/>
          <w:szCs w:val="24"/>
        </w:rPr>
        <w:t xml:space="preserve">The </w:t>
      </w:r>
      <w:r w:rsidRPr="004F5EDA" w:rsidR="00130A2E">
        <w:rPr>
          <w:rFonts w:ascii="Calibri" w:hAnsi="Calibri" w:cs="Calibri"/>
          <w:sz w:val="24"/>
          <w:szCs w:val="24"/>
        </w:rPr>
        <w:t xml:space="preserve">FEMA </w:t>
      </w:r>
      <w:r w:rsidRPr="004F5EDA" w:rsidR="00926317">
        <w:rPr>
          <w:rFonts w:ascii="Calibri" w:hAnsi="Calibri" w:cs="Calibri"/>
          <w:sz w:val="24"/>
          <w:szCs w:val="24"/>
        </w:rPr>
        <w:t xml:space="preserve">definition of an emergency supply kit is one that can sustain each member of </w:t>
      </w:r>
      <w:r w:rsidRPr="004F5EDA" w:rsidR="00FB1A70">
        <w:rPr>
          <w:rFonts w:ascii="Calibri" w:hAnsi="Calibri" w:cs="Calibri"/>
          <w:sz w:val="24"/>
          <w:szCs w:val="24"/>
        </w:rPr>
        <w:t>a</w:t>
      </w:r>
      <w:r w:rsidRPr="004F5EDA" w:rsidR="00926317">
        <w:rPr>
          <w:rFonts w:ascii="Calibri" w:hAnsi="Calibri" w:cs="Calibri"/>
          <w:sz w:val="24"/>
          <w:szCs w:val="24"/>
        </w:rPr>
        <w:t xml:space="preserve"> household with food, water, and medication for up to three days</w:t>
      </w:r>
      <w:r w:rsidRPr="004F5EDA" w:rsidR="00FB1A70">
        <w:rPr>
          <w:rFonts w:ascii="Calibri" w:hAnsi="Calibri" w:cs="Calibri"/>
          <w:sz w:val="24"/>
          <w:szCs w:val="24"/>
        </w:rPr>
        <w:t>.</w:t>
      </w:r>
      <w:r w:rsidRPr="004F5EDA" w:rsidR="00296AEE">
        <w:rPr>
          <w:rFonts w:ascii="Calibri" w:hAnsi="Calibri" w:cs="Calibri"/>
          <w:sz w:val="24"/>
          <w:szCs w:val="24"/>
          <w:vertAlign w:val="superscript"/>
        </w:rPr>
        <w:t>2</w:t>
      </w:r>
      <w:r w:rsidRPr="004F5EDA" w:rsidR="00FB1A70">
        <w:rPr>
          <w:rFonts w:ascii="Calibri" w:hAnsi="Calibri" w:cs="Calibri"/>
          <w:sz w:val="24"/>
          <w:szCs w:val="24"/>
        </w:rPr>
        <w:t xml:space="preserve">  However, there</w:t>
      </w:r>
      <w:r w:rsidRPr="004F5EDA" w:rsidR="00926317">
        <w:rPr>
          <w:rFonts w:ascii="Calibri" w:hAnsi="Calibri" w:cs="Calibri"/>
          <w:sz w:val="24"/>
          <w:szCs w:val="24"/>
        </w:rPr>
        <w:t xml:space="preserve"> are several </w:t>
      </w:r>
      <w:r w:rsidRPr="004F5EDA" w:rsidR="007F5EE1">
        <w:rPr>
          <w:rFonts w:ascii="Calibri" w:hAnsi="Calibri" w:cs="Calibri"/>
          <w:sz w:val="24"/>
          <w:szCs w:val="24"/>
        </w:rPr>
        <w:t xml:space="preserve">knowledge </w:t>
      </w:r>
      <w:r w:rsidRPr="004F5EDA" w:rsidR="00926317">
        <w:rPr>
          <w:rFonts w:ascii="Calibri" w:hAnsi="Calibri" w:cs="Calibri"/>
          <w:sz w:val="24"/>
          <w:szCs w:val="24"/>
        </w:rPr>
        <w:t xml:space="preserve">gaps </w:t>
      </w:r>
      <w:r w:rsidRPr="004F5EDA" w:rsidR="007F5EE1">
        <w:rPr>
          <w:rFonts w:ascii="Calibri" w:hAnsi="Calibri" w:cs="Calibri"/>
          <w:sz w:val="24"/>
          <w:szCs w:val="24"/>
        </w:rPr>
        <w:t xml:space="preserve">and challenges related to emergency supply kit use and effectiveness, including </w:t>
      </w:r>
      <w:r w:rsidRPr="004F5EDA" w:rsidR="00FB1A70">
        <w:rPr>
          <w:rFonts w:ascii="Calibri" w:hAnsi="Calibri" w:cs="Calibri"/>
          <w:sz w:val="24"/>
          <w:szCs w:val="24"/>
        </w:rPr>
        <w:t xml:space="preserve">whether the </w:t>
      </w:r>
      <w:r w:rsidRPr="004F5EDA" w:rsidR="007F5EE1">
        <w:rPr>
          <w:rFonts w:ascii="Calibri" w:hAnsi="Calibri" w:cs="Calibri"/>
          <w:sz w:val="24"/>
          <w:szCs w:val="24"/>
        </w:rPr>
        <w:t xml:space="preserve">current </w:t>
      </w:r>
      <w:r w:rsidRPr="004F5EDA" w:rsidR="00FB1A70">
        <w:rPr>
          <w:rFonts w:ascii="Calibri" w:hAnsi="Calibri" w:cs="Calibri"/>
          <w:sz w:val="24"/>
          <w:szCs w:val="24"/>
        </w:rPr>
        <w:t>recommendation</w:t>
      </w:r>
      <w:r w:rsidRPr="004F5EDA" w:rsidR="007F5EE1">
        <w:rPr>
          <w:rFonts w:ascii="Calibri" w:hAnsi="Calibri" w:cs="Calibri"/>
          <w:sz w:val="24"/>
          <w:szCs w:val="24"/>
        </w:rPr>
        <w:t>s</w:t>
      </w:r>
      <w:r w:rsidRPr="004F5EDA" w:rsidR="00FB1A70">
        <w:rPr>
          <w:rFonts w:ascii="Calibri" w:hAnsi="Calibri" w:cs="Calibri"/>
          <w:sz w:val="24"/>
          <w:szCs w:val="24"/>
        </w:rPr>
        <w:t xml:space="preserve"> </w:t>
      </w:r>
      <w:r w:rsidRPr="004F5EDA" w:rsidR="007F5EE1">
        <w:rPr>
          <w:rFonts w:ascii="Calibri" w:hAnsi="Calibri" w:cs="Calibri"/>
          <w:sz w:val="24"/>
          <w:szCs w:val="24"/>
        </w:rPr>
        <w:t xml:space="preserve">are </w:t>
      </w:r>
      <w:r w:rsidRPr="004F5EDA" w:rsidR="00FB1A70">
        <w:rPr>
          <w:rFonts w:ascii="Calibri" w:hAnsi="Calibri" w:cs="Calibri"/>
          <w:sz w:val="24"/>
          <w:szCs w:val="24"/>
        </w:rPr>
        <w:t xml:space="preserve">adequate or need expansion. </w:t>
      </w:r>
      <w:r w:rsidRPr="004F5EDA" w:rsidR="00790B21">
        <w:rPr>
          <w:rFonts w:ascii="Calibri" w:hAnsi="Calibri" w:cs="Calibri"/>
          <w:sz w:val="24"/>
          <w:szCs w:val="24"/>
        </w:rPr>
        <w:t>We identified the following gaps:</w:t>
      </w:r>
    </w:p>
    <w:p w:rsidRPr="004F5EDA" w:rsidR="00E916AF" w:rsidP="00823D8F" w:rsidRDefault="00790B21" w14:paraId="58A125BD" w14:textId="4F511398">
      <w:pPr>
        <w:pStyle w:val="ListParagraph"/>
        <w:numPr>
          <w:ilvl w:val="0"/>
          <w:numId w:val="12"/>
        </w:numPr>
        <w:spacing w:after="0" w:line="276" w:lineRule="auto"/>
        <w:jc w:val="both"/>
        <w:rPr>
          <w:rFonts w:ascii="Calibri" w:hAnsi="Calibri" w:cs="Calibri"/>
          <w:sz w:val="24"/>
          <w:szCs w:val="24"/>
        </w:rPr>
      </w:pPr>
      <w:r w:rsidRPr="004F5EDA">
        <w:rPr>
          <w:rFonts w:ascii="Calibri" w:hAnsi="Calibri" w:cs="Calibri"/>
          <w:sz w:val="24"/>
          <w:szCs w:val="24"/>
        </w:rPr>
        <w:t>Lack of consistency for what supplies to include in an emergency supply kit:</w:t>
      </w:r>
      <w:r w:rsidRPr="004F5EDA" w:rsidR="00E916AF">
        <w:rPr>
          <w:rFonts w:ascii="Calibri" w:hAnsi="Calibri" w:cs="Calibri"/>
        </w:rPr>
        <w:t xml:space="preserve"> </w:t>
      </w:r>
      <w:r w:rsidRPr="004F5EDA" w:rsidR="00E916AF">
        <w:rPr>
          <w:rFonts w:ascii="Calibri" w:hAnsi="Calibri" w:cs="Calibri"/>
          <w:sz w:val="24"/>
          <w:szCs w:val="24"/>
        </w:rPr>
        <w:t xml:space="preserve">while the public can access information on what contents are likely important to include in </w:t>
      </w:r>
      <w:r w:rsidRPr="004F5EDA" w:rsidR="00E916AF">
        <w:rPr>
          <w:rFonts w:ascii="Calibri" w:hAnsi="Calibri" w:cs="Calibri"/>
          <w:sz w:val="24"/>
          <w:szCs w:val="24"/>
        </w:rPr>
        <w:lastRenderedPageBreak/>
        <w:t>emergency supply kits, there is a lack of information as to whether there is a standard set of supplies that is consistently needed across disaster types</w:t>
      </w:r>
    </w:p>
    <w:p w:rsidRPr="004F5EDA" w:rsidR="00E916AF" w:rsidP="00823D8F" w:rsidRDefault="00E916AF" w14:paraId="085ACB74" w14:textId="310AA06C">
      <w:pPr>
        <w:pStyle w:val="ListParagraph"/>
        <w:numPr>
          <w:ilvl w:val="0"/>
          <w:numId w:val="12"/>
        </w:numPr>
        <w:spacing w:after="0" w:line="276" w:lineRule="auto"/>
        <w:jc w:val="both"/>
        <w:rPr>
          <w:rFonts w:ascii="Calibri" w:hAnsi="Calibri" w:cs="Calibri"/>
          <w:sz w:val="24"/>
          <w:szCs w:val="24"/>
        </w:rPr>
      </w:pPr>
      <w:r w:rsidRPr="004F5EDA">
        <w:rPr>
          <w:rFonts w:ascii="Calibri" w:hAnsi="Calibri" w:cs="Calibri"/>
          <w:sz w:val="24"/>
          <w:szCs w:val="24"/>
        </w:rPr>
        <w:t>Lack of</w:t>
      </w:r>
      <w:r w:rsidRPr="004F5EDA" w:rsidR="004F604F">
        <w:rPr>
          <w:rFonts w:ascii="Calibri" w:hAnsi="Calibri" w:cs="Calibri"/>
          <w:sz w:val="24"/>
          <w:szCs w:val="24"/>
        </w:rPr>
        <w:t xml:space="preserve"> a</w:t>
      </w:r>
      <w:r w:rsidRPr="004F5EDA">
        <w:rPr>
          <w:rFonts w:ascii="Calibri" w:hAnsi="Calibri" w:cs="Calibri"/>
          <w:sz w:val="24"/>
          <w:szCs w:val="24"/>
        </w:rPr>
        <w:t xml:space="preserve"> standard tool for evaluation of emergency supply kit use and effectiveness</w:t>
      </w:r>
    </w:p>
    <w:p w:rsidRPr="004F5EDA" w:rsidR="00E916AF" w:rsidP="00823D8F" w:rsidRDefault="00E916AF" w14:paraId="1E3BCF60" w14:textId="3928DE2F">
      <w:pPr>
        <w:pStyle w:val="ListParagraph"/>
        <w:numPr>
          <w:ilvl w:val="0"/>
          <w:numId w:val="12"/>
        </w:numPr>
        <w:spacing w:after="0" w:line="276" w:lineRule="auto"/>
        <w:jc w:val="both"/>
        <w:rPr>
          <w:rFonts w:ascii="Calibri" w:hAnsi="Calibri" w:cs="Calibri"/>
          <w:sz w:val="24"/>
          <w:szCs w:val="24"/>
        </w:rPr>
      </w:pPr>
      <w:r w:rsidRPr="004F5EDA">
        <w:rPr>
          <w:rFonts w:ascii="Calibri" w:hAnsi="Calibri" w:cs="Calibri"/>
          <w:sz w:val="24"/>
          <w:szCs w:val="24"/>
        </w:rPr>
        <w:t>Lack of information on how emergency supply kit items are used during or following disasters</w:t>
      </w:r>
      <w:r w:rsidRPr="004F5EDA" w:rsidR="00632CFC">
        <w:rPr>
          <w:rFonts w:ascii="Calibri" w:hAnsi="Calibri" w:cs="Calibri"/>
          <w:sz w:val="24"/>
          <w:szCs w:val="24"/>
        </w:rPr>
        <w:t>: currently we lack detailed information on how households use emergency supply kit items during or following disasters a</w:t>
      </w:r>
      <w:r w:rsidRPr="004F5EDA" w:rsidR="00B61DFE">
        <w:rPr>
          <w:rFonts w:ascii="Calibri" w:hAnsi="Calibri" w:cs="Calibri"/>
          <w:sz w:val="24"/>
          <w:szCs w:val="24"/>
        </w:rPr>
        <w:t>nd what, if any, are barriers to their use</w:t>
      </w:r>
    </w:p>
    <w:p w:rsidRPr="004F5EDA" w:rsidR="00E916AF" w:rsidP="00823D8F" w:rsidRDefault="00E916AF" w14:paraId="778F4C1F" w14:textId="6BA59BB5">
      <w:pPr>
        <w:pStyle w:val="ListParagraph"/>
        <w:numPr>
          <w:ilvl w:val="0"/>
          <w:numId w:val="12"/>
        </w:numPr>
        <w:spacing w:after="0" w:line="276" w:lineRule="auto"/>
        <w:jc w:val="both"/>
        <w:rPr>
          <w:rFonts w:ascii="Calibri" w:hAnsi="Calibri" w:cs="Calibri"/>
          <w:sz w:val="24"/>
          <w:szCs w:val="24"/>
        </w:rPr>
      </w:pPr>
      <w:r w:rsidRPr="004F5EDA">
        <w:rPr>
          <w:rFonts w:ascii="Calibri" w:hAnsi="Calibri" w:cs="Calibri"/>
          <w:sz w:val="24"/>
          <w:szCs w:val="24"/>
        </w:rPr>
        <w:t>Lack of information on effectiveness of emergency supply kits in preventing adverse outcomes</w:t>
      </w:r>
      <w:r w:rsidRPr="004F5EDA" w:rsidR="00B61DFE">
        <w:rPr>
          <w:rFonts w:ascii="Calibri" w:hAnsi="Calibri" w:cs="Calibri"/>
          <w:sz w:val="24"/>
          <w:szCs w:val="24"/>
        </w:rPr>
        <w:t>: to our knowledge, there is no information on whether the use of emergency supply items prevents adverse health outcomes</w:t>
      </w:r>
      <w:r w:rsidRPr="004F5EDA" w:rsidR="007B0A69">
        <w:rPr>
          <w:rFonts w:ascii="Calibri" w:hAnsi="Calibri" w:cs="Calibri"/>
          <w:sz w:val="24"/>
          <w:szCs w:val="24"/>
        </w:rPr>
        <w:t>. Among individuals with health conditions, it remains unclear whether preparing an emergency supply kit with adequate medications and medical supplies prevents the worsening of conditions or the need for emergency medical services</w:t>
      </w:r>
    </w:p>
    <w:p w:rsidRPr="004F5EDA" w:rsidR="00790B21" w:rsidP="00823D8F" w:rsidRDefault="00E916AF" w14:paraId="0FF41E40" w14:textId="7FB91A29">
      <w:pPr>
        <w:pStyle w:val="ListParagraph"/>
        <w:numPr>
          <w:ilvl w:val="0"/>
          <w:numId w:val="12"/>
        </w:numPr>
        <w:spacing w:after="0" w:line="276" w:lineRule="auto"/>
        <w:jc w:val="both"/>
        <w:rPr>
          <w:rFonts w:ascii="Calibri" w:hAnsi="Calibri" w:cs="Calibri"/>
          <w:sz w:val="24"/>
          <w:szCs w:val="24"/>
        </w:rPr>
      </w:pPr>
      <w:r w:rsidRPr="004F5EDA">
        <w:rPr>
          <w:rFonts w:ascii="Calibri" w:hAnsi="Calibri" w:cs="Calibri"/>
          <w:sz w:val="24"/>
          <w:szCs w:val="24"/>
        </w:rPr>
        <w:t>Lack of data to support emergency supply kit recommendations</w:t>
      </w:r>
      <w:r w:rsidRPr="004F5EDA" w:rsidR="00F05F0E">
        <w:rPr>
          <w:rFonts w:ascii="Calibri" w:hAnsi="Calibri" w:cs="Calibri"/>
          <w:sz w:val="24"/>
          <w:szCs w:val="24"/>
        </w:rPr>
        <w:t xml:space="preserve">: it is unclear whether having essential supplies improves self-sufficiency </w:t>
      </w:r>
      <w:r w:rsidRPr="004F5EDA" w:rsidR="004F604F">
        <w:rPr>
          <w:rFonts w:ascii="Calibri" w:hAnsi="Calibri" w:cs="Calibri"/>
          <w:sz w:val="24"/>
          <w:szCs w:val="24"/>
        </w:rPr>
        <w:t>and lessens the</w:t>
      </w:r>
      <w:r w:rsidRPr="004F5EDA" w:rsidR="00F05F0E">
        <w:rPr>
          <w:rFonts w:ascii="Calibri" w:hAnsi="Calibri" w:cs="Calibri"/>
          <w:sz w:val="24"/>
          <w:szCs w:val="24"/>
        </w:rPr>
        <w:t xml:space="preserve"> need for outside assistance</w:t>
      </w:r>
    </w:p>
    <w:p w:rsidRPr="004F5EDA" w:rsidR="00790B21" w:rsidP="00823D8F" w:rsidRDefault="00790B21" w14:paraId="42E0B0B2" w14:textId="77777777">
      <w:pPr>
        <w:spacing w:after="0" w:line="276" w:lineRule="auto"/>
        <w:jc w:val="both"/>
        <w:rPr>
          <w:rFonts w:ascii="Calibri" w:hAnsi="Calibri" w:cs="Calibri"/>
          <w:sz w:val="24"/>
          <w:szCs w:val="24"/>
        </w:rPr>
      </w:pPr>
    </w:p>
    <w:p w:rsidRPr="004F5EDA" w:rsidR="007D56FA" w:rsidP="00823D8F" w:rsidRDefault="00821C14" w14:paraId="79CBB115" w14:textId="375C01EA">
      <w:pPr>
        <w:pStyle w:val="ListParagraph"/>
        <w:spacing w:after="0" w:line="276" w:lineRule="auto"/>
        <w:ind w:left="0"/>
        <w:jc w:val="both"/>
        <w:rPr>
          <w:rFonts w:ascii="Calibri" w:hAnsi="Calibri" w:cs="Calibri"/>
          <w:sz w:val="24"/>
          <w:szCs w:val="24"/>
        </w:rPr>
      </w:pPr>
      <w:r w:rsidRPr="004F5EDA">
        <w:rPr>
          <w:rFonts w:ascii="Calibri" w:hAnsi="Calibri" w:cs="Calibri"/>
          <w:sz w:val="24"/>
          <w:szCs w:val="24"/>
        </w:rPr>
        <w:t>This</w:t>
      </w:r>
      <w:r w:rsidRPr="004F5EDA" w:rsidR="002A4614">
        <w:rPr>
          <w:rFonts w:ascii="Calibri" w:hAnsi="Calibri" w:cs="Calibri"/>
          <w:sz w:val="24"/>
          <w:szCs w:val="24"/>
        </w:rPr>
        <w:t xml:space="preserve"> general lack of research on the efficacy</w:t>
      </w:r>
      <w:r w:rsidRPr="004F5EDA">
        <w:rPr>
          <w:rFonts w:ascii="Calibri" w:hAnsi="Calibri" w:cs="Calibri"/>
          <w:sz w:val="24"/>
          <w:szCs w:val="24"/>
        </w:rPr>
        <w:t xml:space="preserve"> and use</w:t>
      </w:r>
      <w:r w:rsidRPr="004F5EDA" w:rsidR="002A4614">
        <w:rPr>
          <w:rFonts w:ascii="Calibri" w:hAnsi="Calibri" w:cs="Calibri"/>
          <w:sz w:val="24"/>
          <w:szCs w:val="24"/>
        </w:rPr>
        <w:t xml:space="preserve"> of emergency supply kits impedes our ability to make data-driven recommendations regarding emergency supply kit promotion</w:t>
      </w:r>
      <w:r w:rsidRPr="004F5EDA" w:rsidR="00565A67">
        <w:rPr>
          <w:rFonts w:ascii="Calibri" w:hAnsi="Calibri" w:cs="Calibri"/>
          <w:sz w:val="24"/>
          <w:szCs w:val="24"/>
        </w:rPr>
        <w:t>.</w:t>
      </w:r>
      <w:r w:rsidRPr="004F5EDA" w:rsidR="00565A67">
        <w:rPr>
          <w:rFonts w:ascii="Calibri" w:hAnsi="Calibri" w:cs="Calibri"/>
          <w:sz w:val="24"/>
          <w:szCs w:val="24"/>
          <w:vertAlign w:val="superscript"/>
        </w:rPr>
        <w:t>5</w:t>
      </w:r>
      <w:r w:rsidRPr="004F5EDA" w:rsidR="0050477F">
        <w:rPr>
          <w:rFonts w:ascii="Calibri" w:hAnsi="Calibri" w:cs="Calibri"/>
          <w:sz w:val="24"/>
          <w:szCs w:val="24"/>
          <w:vertAlign w:val="superscript"/>
        </w:rPr>
        <w:t xml:space="preserve"> </w:t>
      </w:r>
    </w:p>
    <w:p w:rsidRPr="007D56FA" w:rsidR="001E7F82" w:rsidP="001E7F82" w:rsidRDefault="001E7F82" w14:paraId="564A4068" w14:textId="77777777">
      <w:pPr>
        <w:spacing w:after="0"/>
        <w:rPr>
          <w:rFonts w:cstheme="minorHAnsi"/>
          <w:b/>
          <w:sz w:val="24"/>
          <w:szCs w:val="24"/>
        </w:rPr>
      </w:pPr>
    </w:p>
    <w:p w:rsidRPr="007D56FA" w:rsidR="007D56FA" w:rsidP="001E7F82" w:rsidRDefault="00601F1A" w14:paraId="098E1D1A" w14:textId="526354C4">
      <w:pPr>
        <w:pStyle w:val="Heading1"/>
        <w:spacing w:before="0"/>
        <w:rPr>
          <w:color w:val="auto"/>
        </w:rPr>
      </w:pPr>
      <w:bookmarkStart w:name="_Toc61000930" w:id="4"/>
      <w:r w:rsidRPr="003A5D90">
        <w:rPr>
          <w:color w:val="auto"/>
        </w:rPr>
        <w:t>A.</w:t>
      </w:r>
      <w:r w:rsidRPr="003A5D90" w:rsidR="004D21C9">
        <w:rPr>
          <w:color w:val="auto"/>
        </w:rPr>
        <w:t xml:space="preserve">2.  </w:t>
      </w:r>
      <w:r w:rsidRPr="003A5D90" w:rsidR="00B45002">
        <w:rPr>
          <w:color w:val="auto"/>
        </w:rPr>
        <w:t>Purpose and Use of the Information Collection</w:t>
      </w:r>
      <w:bookmarkEnd w:id="4"/>
    </w:p>
    <w:p w:rsidR="007D56FA" w:rsidP="001E7F82" w:rsidRDefault="007D56FA" w14:paraId="75AE2D70" w14:textId="77777777">
      <w:pPr>
        <w:spacing w:after="0"/>
        <w:rPr>
          <w:rFonts w:cstheme="minorHAnsi"/>
          <w:sz w:val="24"/>
          <w:szCs w:val="24"/>
        </w:rPr>
      </w:pPr>
    </w:p>
    <w:p w:rsidRPr="004F5EDA" w:rsidR="004F5EDA" w:rsidP="005A0184" w:rsidRDefault="004F5EDA" w14:paraId="522E38B2" w14:textId="77777777">
      <w:pPr>
        <w:spacing w:after="0" w:line="276" w:lineRule="auto"/>
        <w:jc w:val="both"/>
        <w:rPr>
          <w:rFonts w:cstheme="minorHAnsi"/>
          <w:sz w:val="24"/>
          <w:szCs w:val="24"/>
        </w:rPr>
      </w:pPr>
      <w:r w:rsidRPr="004F5EDA">
        <w:rPr>
          <w:rFonts w:cstheme="minorHAnsi"/>
          <w:sz w:val="24"/>
          <w:szCs w:val="24"/>
        </w:rPr>
        <w:t xml:space="preserve">Data collected is designed to be used by public health department personnel, emergency management officials, federal agencies, and others to establish and promote a gold standard for recommendations on composition of emergency supply kits. The project will take the initial steps to close the existing knowledge gaps in disaster research surrounding how emergency supply kits affect population self‐sufficiency and resiliency to disasters. The cross‐sectional disaster survey and focus group(s) on the public’s knowledge, preparedness, and use of emergency supply kits will identify and inform public health officials about the most useful items to include in an emergency supply kit, ideally across two different types of disasters. This information collection will include two sites affected by recent natural disasters (e.g., hurricane, tornado, flood, wildfire). We anticipate that one site will be a city or county impacted by a hurricane in the Southeastern United States while the other may be a city or county impacted by wildfire in California or a Midwest city/county impacted by a flood or tornadoes. Data collection is anticipated to be between December 2020 and May 2022, depending upon disaster occurrence. Parameters for site selection include a major or state‐level disaster declaration for a natural </w:t>
      </w:r>
      <w:r w:rsidRPr="004F5EDA">
        <w:rPr>
          <w:rFonts w:cstheme="minorHAnsi"/>
          <w:sz w:val="24"/>
          <w:szCs w:val="24"/>
        </w:rPr>
        <w:lastRenderedPageBreak/>
        <w:t>disaster that affects a mid‐ to high‐density area (e.g., population of 100,000 people) within the United States.</w:t>
      </w:r>
    </w:p>
    <w:p w:rsidR="002F7826" w:rsidP="005A0184" w:rsidRDefault="002F7826" w14:paraId="6398F356" w14:textId="77777777">
      <w:pPr>
        <w:spacing w:after="0" w:line="276" w:lineRule="auto"/>
        <w:rPr>
          <w:rFonts w:cstheme="minorHAnsi"/>
          <w:sz w:val="24"/>
          <w:szCs w:val="24"/>
        </w:rPr>
      </w:pPr>
    </w:p>
    <w:p w:rsidR="005D0A9B" w:rsidP="005A0184" w:rsidRDefault="00BD1213" w14:paraId="5372E1CD" w14:textId="2872FBDB">
      <w:pPr>
        <w:spacing w:after="0" w:line="276" w:lineRule="auto"/>
        <w:jc w:val="both"/>
        <w:rPr>
          <w:rFonts w:cstheme="minorHAnsi"/>
          <w:sz w:val="24"/>
          <w:szCs w:val="24"/>
        </w:rPr>
      </w:pPr>
      <w:r>
        <w:rPr>
          <w:rFonts w:cstheme="minorHAnsi"/>
          <w:sz w:val="24"/>
          <w:szCs w:val="24"/>
        </w:rPr>
        <w:t xml:space="preserve">Survey participants </w:t>
      </w:r>
      <w:r w:rsidR="00DB58F6">
        <w:rPr>
          <w:rFonts w:cstheme="minorHAnsi"/>
          <w:sz w:val="24"/>
          <w:szCs w:val="24"/>
        </w:rPr>
        <w:t>will be selected via address-based sampling in the defined</w:t>
      </w:r>
      <w:r>
        <w:rPr>
          <w:rFonts w:cstheme="minorHAnsi"/>
          <w:sz w:val="24"/>
          <w:szCs w:val="24"/>
        </w:rPr>
        <w:t xml:space="preserve"> geographic area impacted by the disaster</w:t>
      </w:r>
      <w:r w:rsidR="00DB58F6">
        <w:rPr>
          <w:rFonts w:cstheme="minorHAnsi"/>
          <w:sz w:val="24"/>
          <w:szCs w:val="24"/>
        </w:rPr>
        <w:t xml:space="preserve"> and given the choice to complete the survey via paper (i.e., </w:t>
      </w:r>
      <w:proofErr w:type="spellStart"/>
      <w:r w:rsidR="00DB58F6">
        <w:rPr>
          <w:rFonts w:cstheme="minorHAnsi"/>
          <w:sz w:val="24"/>
          <w:szCs w:val="24"/>
        </w:rPr>
        <w:t>Teleform</w:t>
      </w:r>
      <w:proofErr w:type="spellEnd"/>
      <w:r w:rsidR="00DB58F6">
        <w:rPr>
          <w:rFonts w:cstheme="minorHAnsi"/>
          <w:sz w:val="24"/>
          <w:szCs w:val="24"/>
        </w:rPr>
        <w:t>) or online via a web-based instrument.</w:t>
      </w:r>
      <w:r w:rsidR="00A86728">
        <w:rPr>
          <w:rFonts w:cstheme="minorHAnsi"/>
          <w:sz w:val="24"/>
          <w:szCs w:val="24"/>
        </w:rPr>
        <w:t xml:space="preserve"> </w:t>
      </w:r>
      <w:r w:rsidR="004F5EDA">
        <w:rPr>
          <w:rFonts w:cstheme="minorHAnsi"/>
          <w:sz w:val="24"/>
          <w:szCs w:val="24"/>
        </w:rPr>
        <w:t xml:space="preserve">Households </w:t>
      </w:r>
      <w:r w:rsidRPr="004F5EDA" w:rsidR="004F5EDA">
        <w:rPr>
          <w:rFonts w:cstheme="minorHAnsi"/>
          <w:sz w:val="24"/>
          <w:szCs w:val="24"/>
        </w:rPr>
        <w:t xml:space="preserve">will be selected via address‐based sampling in the defined areas for participation. We will send households a paper‐based (mailed) survey as well as a link to complete an online web survey; the households can choose either format – paper or online – but not both. As paper‐based surveys are mailed to participants and back from participants, there is no concern regarding COVID‐19. In addition, if available, we will invite members of an existing nonprobability web panel living in the disaster area directed to the online, web‐based instrument to create a larger, more cost‐ effective dataset. Panel availability is not guaranteed because some geographic locations (e.g., rural areas) may not have enough web panel participants from which to draw. We will capture the web‐based data via </w:t>
      </w:r>
      <w:proofErr w:type="spellStart"/>
      <w:r w:rsidRPr="004F5EDA" w:rsidR="004F5EDA">
        <w:rPr>
          <w:rFonts w:cstheme="minorHAnsi"/>
          <w:sz w:val="24"/>
          <w:szCs w:val="24"/>
        </w:rPr>
        <w:t>Voxco</w:t>
      </w:r>
      <w:proofErr w:type="spellEnd"/>
      <w:r w:rsidRPr="004F5EDA" w:rsidR="004F5EDA">
        <w:rPr>
          <w:rFonts w:cstheme="minorHAnsi"/>
          <w:sz w:val="24"/>
          <w:szCs w:val="24"/>
        </w:rPr>
        <w:t xml:space="preserve"> and use </w:t>
      </w:r>
      <w:proofErr w:type="spellStart"/>
      <w:r w:rsidRPr="004F5EDA" w:rsidR="004F5EDA">
        <w:rPr>
          <w:rFonts w:cstheme="minorHAnsi"/>
          <w:sz w:val="24"/>
          <w:szCs w:val="24"/>
        </w:rPr>
        <w:t>Teleform</w:t>
      </w:r>
      <w:proofErr w:type="spellEnd"/>
      <w:r w:rsidRPr="004F5EDA" w:rsidR="004F5EDA">
        <w:rPr>
          <w:rFonts w:cstheme="minorHAnsi"/>
          <w:sz w:val="24"/>
          <w:szCs w:val="24"/>
        </w:rPr>
        <w:t xml:space="preserve"> for paper‐based data collection. In addition, up to two focus groups per site will be conducted concurrently, or shortly after, the cross‐sectional study data collection to enhance and contextualize survey data. Focus groups are online. However, to ensure that participants include individuals from vulnerable populations who may not have access to computer/internet/webcam equipment at home (e.g., low SES; older adults with chronic diseases), potential accommodations may be available such as reserving a meeting location with appropriate equipment at the local Department of Health or library. We do not anticipate COVID-19 being an issue in these circumstances as participants can be in rooms alone or socially distanced and because of our current timeline of activities</w:t>
      </w:r>
      <w:r w:rsidR="004F5EDA">
        <w:rPr>
          <w:rFonts w:cstheme="minorHAnsi"/>
          <w:sz w:val="24"/>
          <w:szCs w:val="24"/>
        </w:rPr>
        <w:t>.</w:t>
      </w:r>
    </w:p>
    <w:p w:rsidR="005D0A9B" w:rsidP="005A0184" w:rsidRDefault="005D0A9B" w14:paraId="261F1F47" w14:textId="77777777">
      <w:pPr>
        <w:spacing w:after="0" w:line="276" w:lineRule="auto"/>
        <w:rPr>
          <w:rFonts w:cstheme="minorHAnsi"/>
          <w:sz w:val="24"/>
          <w:szCs w:val="24"/>
        </w:rPr>
      </w:pPr>
    </w:p>
    <w:p w:rsidR="007042B8" w:rsidP="005A0184" w:rsidRDefault="007E3ED8" w14:paraId="5875EBA1" w14:textId="121FE484">
      <w:pPr>
        <w:spacing w:after="0" w:line="276" w:lineRule="auto"/>
        <w:jc w:val="both"/>
        <w:rPr>
          <w:rFonts w:cstheme="minorHAnsi"/>
          <w:sz w:val="24"/>
          <w:szCs w:val="24"/>
        </w:rPr>
      </w:pPr>
      <w:r>
        <w:rPr>
          <w:rFonts w:cstheme="minorHAnsi"/>
          <w:sz w:val="24"/>
          <w:szCs w:val="24"/>
        </w:rPr>
        <w:t xml:space="preserve">We anticipate the following </w:t>
      </w:r>
      <w:r w:rsidR="007042B8">
        <w:rPr>
          <w:rFonts w:cstheme="minorHAnsi"/>
          <w:sz w:val="24"/>
          <w:szCs w:val="24"/>
        </w:rPr>
        <w:t xml:space="preserve">use of the information collected: </w:t>
      </w:r>
    </w:p>
    <w:p w:rsidR="007042B8" w:rsidP="005A0184" w:rsidRDefault="007042B8" w14:paraId="0DC4739B" w14:textId="77777777">
      <w:pPr>
        <w:pStyle w:val="ListParagraph"/>
        <w:numPr>
          <w:ilvl w:val="0"/>
          <w:numId w:val="13"/>
        </w:numPr>
        <w:spacing w:after="0" w:line="276" w:lineRule="auto"/>
        <w:rPr>
          <w:rFonts w:cstheme="minorHAnsi"/>
          <w:sz w:val="24"/>
          <w:szCs w:val="24"/>
        </w:rPr>
      </w:pPr>
      <w:r>
        <w:rPr>
          <w:rFonts w:cstheme="minorHAnsi"/>
          <w:sz w:val="24"/>
          <w:szCs w:val="24"/>
        </w:rPr>
        <w:t>E</w:t>
      </w:r>
      <w:r w:rsidRPr="00222FE0" w:rsidR="00E95C4F">
        <w:rPr>
          <w:rFonts w:cstheme="minorHAnsi"/>
          <w:sz w:val="24"/>
          <w:szCs w:val="24"/>
        </w:rPr>
        <w:t xml:space="preserve">nhance the body of knowledge </w:t>
      </w:r>
      <w:r w:rsidRPr="00222FE0" w:rsidR="006A0814">
        <w:rPr>
          <w:rFonts w:cstheme="minorHAnsi"/>
          <w:sz w:val="24"/>
          <w:szCs w:val="24"/>
        </w:rPr>
        <w:t>on why and how</w:t>
      </w:r>
      <w:r w:rsidRPr="00222FE0" w:rsidR="007D56FA">
        <w:rPr>
          <w:rFonts w:cstheme="minorHAnsi"/>
          <w:sz w:val="24"/>
          <w:szCs w:val="24"/>
        </w:rPr>
        <w:t xml:space="preserve"> households prepare for emergencies and/or disasters</w:t>
      </w:r>
    </w:p>
    <w:p w:rsidR="007042B8" w:rsidP="005A0184" w:rsidRDefault="007042B8" w14:paraId="42654BC1" w14:textId="2A114611">
      <w:pPr>
        <w:pStyle w:val="ListParagraph"/>
        <w:numPr>
          <w:ilvl w:val="0"/>
          <w:numId w:val="13"/>
        </w:numPr>
        <w:spacing w:after="0" w:line="276" w:lineRule="auto"/>
        <w:rPr>
          <w:rFonts w:cstheme="minorHAnsi"/>
          <w:sz w:val="24"/>
          <w:szCs w:val="24"/>
        </w:rPr>
      </w:pPr>
      <w:r>
        <w:rPr>
          <w:rFonts w:cstheme="minorHAnsi"/>
          <w:sz w:val="24"/>
          <w:szCs w:val="24"/>
        </w:rPr>
        <w:t xml:space="preserve">Understand </w:t>
      </w:r>
      <w:r w:rsidRPr="00222FE0" w:rsidR="007D56FA">
        <w:rPr>
          <w:rFonts w:cstheme="minorHAnsi"/>
          <w:sz w:val="24"/>
          <w:szCs w:val="24"/>
        </w:rPr>
        <w:t xml:space="preserve">what supplies </w:t>
      </w:r>
      <w:r w:rsidRPr="00222FE0" w:rsidR="006A0814">
        <w:rPr>
          <w:rFonts w:cstheme="minorHAnsi"/>
          <w:sz w:val="24"/>
          <w:szCs w:val="24"/>
        </w:rPr>
        <w:t>are included</w:t>
      </w:r>
      <w:r w:rsidRPr="00222FE0" w:rsidR="007D56FA">
        <w:rPr>
          <w:rFonts w:cstheme="minorHAnsi"/>
          <w:sz w:val="24"/>
          <w:szCs w:val="24"/>
        </w:rPr>
        <w:t xml:space="preserve"> in preparation</w:t>
      </w:r>
    </w:p>
    <w:p w:rsidR="007042B8" w:rsidP="005A0184" w:rsidRDefault="003F1864" w14:paraId="13DA53CA" w14:textId="69730B82">
      <w:pPr>
        <w:pStyle w:val="ListParagraph"/>
        <w:numPr>
          <w:ilvl w:val="0"/>
          <w:numId w:val="13"/>
        </w:numPr>
        <w:spacing w:after="0" w:line="276" w:lineRule="auto"/>
        <w:rPr>
          <w:rFonts w:cstheme="minorHAnsi"/>
          <w:sz w:val="24"/>
          <w:szCs w:val="24"/>
        </w:rPr>
      </w:pPr>
      <w:r>
        <w:rPr>
          <w:rFonts w:cstheme="minorHAnsi"/>
          <w:sz w:val="24"/>
          <w:szCs w:val="24"/>
        </w:rPr>
        <w:t xml:space="preserve">Describe </w:t>
      </w:r>
      <w:r w:rsidRPr="00222FE0" w:rsidR="00C94ABB">
        <w:rPr>
          <w:rFonts w:cstheme="minorHAnsi"/>
          <w:sz w:val="24"/>
          <w:szCs w:val="24"/>
        </w:rPr>
        <w:t xml:space="preserve">how </w:t>
      </w:r>
      <w:r>
        <w:rPr>
          <w:rFonts w:cstheme="minorHAnsi"/>
          <w:sz w:val="24"/>
          <w:szCs w:val="24"/>
        </w:rPr>
        <w:t>identified</w:t>
      </w:r>
      <w:r w:rsidRPr="00222FE0">
        <w:rPr>
          <w:rFonts w:cstheme="minorHAnsi"/>
          <w:sz w:val="24"/>
          <w:szCs w:val="24"/>
        </w:rPr>
        <w:t xml:space="preserve"> </w:t>
      </w:r>
      <w:r w:rsidRPr="00222FE0" w:rsidR="00C94ABB">
        <w:rPr>
          <w:rFonts w:cstheme="minorHAnsi"/>
          <w:sz w:val="24"/>
          <w:szCs w:val="24"/>
        </w:rPr>
        <w:t>supplies</w:t>
      </w:r>
      <w:r w:rsidRPr="00222FE0" w:rsidR="006A0814">
        <w:rPr>
          <w:rFonts w:cstheme="minorHAnsi"/>
          <w:sz w:val="24"/>
          <w:szCs w:val="24"/>
        </w:rPr>
        <w:t xml:space="preserve"> </w:t>
      </w:r>
      <w:r w:rsidRPr="00222FE0" w:rsidR="00C94ABB">
        <w:rPr>
          <w:rFonts w:cstheme="minorHAnsi"/>
          <w:sz w:val="24"/>
          <w:szCs w:val="24"/>
        </w:rPr>
        <w:t xml:space="preserve">are used during or </w:t>
      </w:r>
      <w:r>
        <w:rPr>
          <w:rFonts w:cstheme="minorHAnsi"/>
          <w:sz w:val="24"/>
          <w:szCs w:val="24"/>
        </w:rPr>
        <w:t xml:space="preserve">immediately </w:t>
      </w:r>
      <w:r w:rsidRPr="00222FE0" w:rsidR="00C94ABB">
        <w:rPr>
          <w:rFonts w:cstheme="minorHAnsi"/>
          <w:sz w:val="24"/>
          <w:szCs w:val="24"/>
        </w:rPr>
        <w:t>following disaster</w:t>
      </w:r>
      <w:r>
        <w:rPr>
          <w:rFonts w:cstheme="minorHAnsi"/>
          <w:sz w:val="24"/>
          <w:szCs w:val="24"/>
        </w:rPr>
        <w:t xml:space="preserve"> impact</w:t>
      </w:r>
    </w:p>
    <w:p w:rsidR="001D2476" w:rsidP="005A0184" w:rsidRDefault="001D2476" w14:paraId="64B23077" w14:textId="7D8D7747">
      <w:pPr>
        <w:pStyle w:val="ListParagraph"/>
        <w:numPr>
          <w:ilvl w:val="0"/>
          <w:numId w:val="13"/>
        </w:numPr>
        <w:spacing w:after="0" w:line="276" w:lineRule="auto"/>
        <w:rPr>
          <w:rFonts w:cstheme="minorHAnsi"/>
          <w:sz w:val="24"/>
          <w:szCs w:val="24"/>
        </w:rPr>
      </w:pPr>
      <w:r>
        <w:rPr>
          <w:rFonts w:cstheme="minorHAnsi"/>
          <w:sz w:val="24"/>
          <w:szCs w:val="24"/>
        </w:rPr>
        <w:t xml:space="preserve">Detail the </w:t>
      </w:r>
      <w:r w:rsidRPr="00222FE0" w:rsidR="00C94ABB">
        <w:rPr>
          <w:rFonts w:cstheme="minorHAnsi"/>
          <w:sz w:val="24"/>
          <w:szCs w:val="24"/>
        </w:rPr>
        <w:t>effectiveness of use in preventing adverse outcomes</w:t>
      </w:r>
    </w:p>
    <w:p w:rsidRPr="00222FE0" w:rsidR="00740EDF" w:rsidP="005A0184" w:rsidRDefault="007B5569" w14:paraId="101BF482" w14:textId="4B742F01">
      <w:pPr>
        <w:pStyle w:val="ListParagraph"/>
        <w:numPr>
          <w:ilvl w:val="0"/>
          <w:numId w:val="13"/>
        </w:numPr>
        <w:spacing w:after="0" w:line="276" w:lineRule="auto"/>
        <w:rPr>
          <w:rFonts w:cstheme="minorHAnsi"/>
          <w:sz w:val="24"/>
          <w:szCs w:val="24"/>
        </w:rPr>
      </w:pPr>
      <w:r>
        <w:rPr>
          <w:rFonts w:cstheme="minorHAnsi"/>
          <w:sz w:val="24"/>
          <w:szCs w:val="24"/>
        </w:rPr>
        <w:t xml:space="preserve">Provide </w:t>
      </w:r>
      <w:r w:rsidRPr="00222FE0" w:rsidR="006A0814">
        <w:rPr>
          <w:rFonts w:cstheme="minorHAnsi"/>
          <w:sz w:val="24"/>
          <w:szCs w:val="24"/>
        </w:rPr>
        <w:t>several</w:t>
      </w:r>
      <w:r w:rsidRPr="00222FE0" w:rsidR="00E95C4F">
        <w:rPr>
          <w:rFonts w:cstheme="minorHAnsi"/>
          <w:sz w:val="24"/>
          <w:szCs w:val="24"/>
        </w:rPr>
        <w:t xml:space="preserve"> practical public health activities </w:t>
      </w:r>
      <w:r>
        <w:rPr>
          <w:rFonts w:cstheme="minorHAnsi"/>
          <w:sz w:val="24"/>
          <w:szCs w:val="24"/>
        </w:rPr>
        <w:t>(</w:t>
      </w:r>
      <w:r w:rsidRPr="00222FE0" w:rsidR="00E95C4F">
        <w:rPr>
          <w:rFonts w:cstheme="minorHAnsi"/>
          <w:sz w:val="24"/>
          <w:szCs w:val="24"/>
        </w:rPr>
        <w:t>discussed below</w:t>
      </w:r>
      <w:r>
        <w:rPr>
          <w:rFonts w:cstheme="minorHAnsi"/>
          <w:sz w:val="24"/>
          <w:szCs w:val="24"/>
        </w:rPr>
        <w:t>)</w:t>
      </w:r>
    </w:p>
    <w:p w:rsidRPr="00243C5F" w:rsidR="003A5D90" w:rsidP="005A0184" w:rsidRDefault="003A5D90" w14:paraId="7C4B5EE1" w14:textId="77777777">
      <w:pPr>
        <w:spacing w:after="0" w:line="276" w:lineRule="auto"/>
        <w:rPr>
          <w:rFonts w:cstheme="minorHAnsi"/>
          <w:sz w:val="24"/>
          <w:szCs w:val="24"/>
        </w:rPr>
      </w:pPr>
    </w:p>
    <w:p w:rsidRPr="00243C5F" w:rsidR="003A5D90" w:rsidP="005A0184" w:rsidRDefault="003A5D90" w14:paraId="79057DBF" w14:textId="6277A35E">
      <w:pPr>
        <w:spacing w:after="0" w:line="276" w:lineRule="auto"/>
        <w:jc w:val="both"/>
        <w:rPr>
          <w:rFonts w:cstheme="minorHAnsi"/>
          <w:sz w:val="24"/>
          <w:szCs w:val="24"/>
        </w:rPr>
      </w:pPr>
      <w:r w:rsidRPr="00243C5F">
        <w:rPr>
          <w:rFonts w:cstheme="minorHAnsi"/>
          <w:sz w:val="24"/>
          <w:szCs w:val="24"/>
        </w:rPr>
        <w:t xml:space="preserve">The primary audience for the results from this study are </w:t>
      </w:r>
      <w:r w:rsidR="00C94ABB">
        <w:rPr>
          <w:rFonts w:cstheme="minorHAnsi"/>
          <w:sz w:val="24"/>
          <w:szCs w:val="24"/>
        </w:rPr>
        <w:t>federal</w:t>
      </w:r>
      <w:r w:rsidR="007B5569">
        <w:rPr>
          <w:rFonts w:cstheme="minorHAnsi"/>
          <w:sz w:val="24"/>
          <w:szCs w:val="24"/>
        </w:rPr>
        <w:t xml:space="preserve"> and STLT </w:t>
      </w:r>
      <w:r w:rsidRPr="00243C5F">
        <w:rPr>
          <w:rFonts w:cstheme="minorHAnsi"/>
          <w:sz w:val="24"/>
          <w:szCs w:val="24"/>
        </w:rPr>
        <w:t>public health officials</w:t>
      </w:r>
      <w:r w:rsidR="007B5569">
        <w:rPr>
          <w:rFonts w:cstheme="minorHAnsi"/>
          <w:sz w:val="24"/>
          <w:szCs w:val="24"/>
        </w:rPr>
        <w:t>, emergency managers,</w:t>
      </w:r>
      <w:r w:rsidRPr="00243C5F">
        <w:rPr>
          <w:rFonts w:cstheme="minorHAnsi"/>
          <w:sz w:val="24"/>
          <w:szCs w:val="24"/>
        </w:rPr>
        <w:t xml:space="preserve"> </w:t>
      </w:r>
      <w:r w:rsidR="00C94ABB">
        <w:rPr>
          <w:rFonts w:cstheme="minorHAnsi"/>
          <w:sz w:val="24"/>
          <w:szCs w:val="24"/>
        </w:rPr>
        <w:t xml:space="preserve">and other </w:t>
      </w:r>
      <w:r w:rsidR="006A0814">
        <w:rPr>
          <w:rFonts w:cstheme="minorHAnsi"/>
          <w:sz w:val="24"/>
          <w:szCs w:val="24"/>
        </w:rPr>
        <w:t xml:space="preserve">agencies and </w:t>
      </w:r>
      <w:r w:rsidR="00C94ABB">
        <w:rPr>
          <w:rFonts w:cstheme="minorHAnsi"/>
          <w:sz w:val="24"/>
          <w:szCs w:val="24"/>
        </w:rPr>
        <w:t>organizations involved in disaster preparedness</w:t>
      </w:r>
      <w:r w:rsidR="006A0814">
        <w:rPr>
          <w:rFonts w:cstheme="minorHAnsi"/>
          <w:sz w:val="24"/>
          <w:szCs w:val="24"/>
        </w:rPr>
        <w:t xml:space="preserve"> </w:t>
      </w:r>
      <w:r w:rsidR="006A0814">
        <w:rPr>
          <w:rFonts w:cstheme="minorHAnsi"/>
          <w:sz w:val="24"/>
          <w:szCs w:val="24"/>
        </w:rPr>
        <w:lastRenderedPageBreak/>
        <w:t>and response (e.g., FEMA, Red Cross, fire/police departments)</w:t>
      </w:r>
      <w:r w:rsidR="00C94ABB">
        <w:rPr>
          <w:rFonts w:cstheme="minorHAnsi"/>
          <w:sz w:val="24"/>
          <w:szCs w:val="24"/>
        </w:rPr>
        <w:t xml:space="preserve">. </w:t>
      </w:r>
      <w:r w:rsidRPr="00243C5F">
        <w:rPr>
          <w:rFonts w:cstheme="minorHAnsi"/>
          <w:sz w:val="24"/>
          <w:szCs w:val="24"/>
        </w:rPr>
        <w:t>Specifically, data will inform</w:t>
      </w:r>
      <w:r w:rsidR="00A86728">
        <w:rPr>
          <w:rFonts w:cstheme="minorHAnsi"/>
          <w:sz w:val="24"/>
          <w:szCs w:val="24"/>
        </w:rPr>
        <w:t xml:space="preserve"> </w:t>
      </w:r>
      <w:r w:rsidR="000B3D65">
        <w:rPr>
          <w:rFonts w:cstheme="minorHAnsi"/>
          <w:sz w:val="24"/>
          <w:szCs w:val="24"/>
        </w:rPr>
        <w:t xml:space="preserve">guidance from </w:t>
      </w:r>
      <w:r w:rsidR="00C94ABB">
        <w:rPr>
          <w:rFonts w:cstheme="minorHAnsi"/>
          <w:sz w:val="24"/>
          <w:szCs w:val="24"/>
        </w:rPr>
        <w:t xml:space="preserve">health departments and </w:t>
      </w:r>
      <w:r w:rsidR="006A0814">
        <w:rPr>
          <w:rFonts w:cstheme="minorHAnsi"/>
          <w:sz w:val="24"/>
          <w:szCs w:val="24"/>
        </w:rPr>
        <w:t xml:space="preserve">these </w:t>
      </w:r>
      <w:r w:rsidR="00C94ABB">
        <w:rPr>
          <w:rFonts w:cstheme="minorHAnsi"/>
          <w:sz w:val="24"/>
          <w:szCs w:val="24"/>
        </w:rPr>
        <w:t>other organizations</w:t>
      </w:r>
      <w:r w:rsidR="000B3D65">
        <w:rPr>
          <w:rFonts w:cstheme="minorHAnsi"/>
          <w:sz w:val="24"/>
          <w:szCs w:val="24"/>
        </w:rPr>
        <w:t xml:space="preserve"> </w:t>
      </w:r>
      <w:r w:rsidR="002C4F09">
        <w:rPr>
          <w:rFonts w:cstheme="minorHAnsi"/>
          <w:sz w:val="24"/>
          <w:szCs w:val="24"/>
        </w:rPr>
        <w:t>on emergency supply kit use, items to include, and public perception</w:t>
      </w:r>
      <w:r w:rsidR="00C94ABB">
        <w:rPr>
          <w:rFonts w:cstheme="minorHAnsi"/>
          <w:sz w:val="24"/>
          <w:szCs w:val="24"/>
        </w:rPr>
        <w:t>. Information gathered on what may prevent households from creating emergency supply kits, the lack of supplies</w:t>
      </w:r>
      <w:r w:rsidR="006A0814">
        <w:rPr>
          <w:rFonts w:cstheme="minorHAnsi"/>
          <w:sz w:val="24"/>
          <w:szCs w:val="24"/>
        </w:rPr>
        <w:t xml:space="preserve"> that were needed</w:t>
      </w:r>
      <w:r w:rsidR="00C94ABB">
        <w:rPr>
          <w:rFonts w:cstheme="minorHAnsi"/>
          <w:sz w:val="24"/>
          <w:szCs w:val="24"/>
        </w:rPr>
        <w:t xml:space="preserve"> during and shortly after a disaster</w:t>
      </w:r>
      <w:r w:rsidR="002C4F09">
        <w:rPr>
          <w:rFonts w:cstheme="minorHAnsi"/>
          <w:sz w:val="24"/>
          <w:szCs w:val="24"/>
        </w:rPr>
        <w:t>’s impact</w:t>
      </w:r>
      <w:r w:rsidR="00C94ABB">
        <w:rPr>
          <w:rFonts w:cstheme="minorHAnsi"/>
          <w:sz w:val="24"/>
          <w:szCs w:val="24"/>
        </w:rPr>
        <w:t xml:space="preserve">, and the effects </w:t>
      </w:r>
      <w:r w:rsidR="006A0814">
        <w:rPr>
          <w:rFonts w:cstheme="minorHAnsi"/>
          <w:sz w:val="24"/>
          <w:szCs w:val="24"/>
        </w:rPr>
        <w:t xml:space="preserve">these deficiencies have </w:t>
      </w:r>
      <w:r w:rsidR="00C94ABB">
        <w:rPr>
          <w:rFonts w:cstheme="minorHAnsi"/>
          <w:sz w:val="24"/>
          <w:szCs w:val="24"/>
        </w:rPr>
        <w:t>on adverse outcomes will</w:t>
      </w:r>
      <w:r w:rsidR="006A0814">
        <w:rPr>
          <w:rFonts w:cstheme="minorHAnsi"/>
          <w:sz w:val="24"/>
          <w:szCs w:val="24"/>
        </w:rPr>
        <w:t xml:space="preserve"> collectively</w:t>
      </w:r>
      <w:r w:rsidR="00C94ABB">
        <w:rPr>
          <w:rFonts w:cstheme="minorHAnsi"/>
          <w:sz w:val="24"/>
          <w:szCs w:val="24"/>
        </w:rPr>
        <w:t xml:space="preserve"> inform whether there is a need for public health</w:t>
      </w:r>
      <w:r w:rsidR="006A0814">
        <w:rPr>
          <w:rFonts w:cstheme="minorHAnsi"/>
          <w:sz w:val="24"/>
          <w:szCs w:val="24"/>
        </w:rPr>
        <w:t xml:space="preserve"> education and</w:t>
      </w:r>
      <w:r w:rsidR="00C94ABB">
        <w:rPr>
          <w:rFonts w:cstheme="minorHAnsi"/>
          <w:sz w:val="24"/>
          <w:szCs w:val="24"/>
        </w:rPr>
        <w:t xml:space="preserve"> intervention activities.  </w:t>
      </w:r>
    </w:p>
    <w:p w:rsidRPr="00243C5F" w:rsidR="003A5D90" w:rsidP="005A0184" w:rsidRDefault="003A5D90" w14:paraId="496D26B6" w14:textId="77777777">
      <w:pPr>
        <w:spacing w:after="0" w:line="276" w:lineRule="auto"/>
        <w:jc w:val="both"/>
        <w:rPr>
          <w:rFonts w:cstheme="minorHAnsi"/>
          <w:sz w:val="24"/>
          <w:szCs w:val="24"/>
        </w:rPr>
      </w:pPr>
    </w:p>
    <w:p w:rsidR="008E6FF4" w:rsidP="005A0184" w:rsidRDefault="003A5D90" w14:paraId="1DDA782B" w14:textId="0D43CD96">
      <w:pPr>
        <w:spacing w:after="0" w:line="276" w:lineRule="auto"/>
        <w:jc w:val="both"/>
        <w:rPr>
          <w:rFonts w:cstheme="minorHAnsi"/>
          <w:sz w:val="24"/>
          <w:szCs w:val="24"/>
        </w:rPr>
      </w:pPr>
      <w:r w:rsidRPr="00243C5F">
        <w:rPr>
          <w:rFonts w:cstheme="minorHAnsi"/>
          <w:sz w:val="24"/>
          <w:szCs w:val="24"/>
        </w:rPr>
        <w:t xml:space="preserve">The results will </w:t>
      </w:r>
      <w:r w:rsidR="006A0814">
        <w:rPr>
          <w:rFonts w:cstheme="minorHAnsi"/>
          <w:sz w:val="24"/>
          <w:szCs w:val="24"/>
        </w:rPr>
        <w:t xml:space="preserve">also </w:t>
      </w:r>
      <w:r w:rsidRPr="00243C5F">
        <w:rPr>
          <w:rFonts w:cstheme="minorHAnsi"/>
          <w:sz w:val="24"/>
          <w:szCs w:val="24"/>
        </w:rPr>
        <w:t xml:space="preserve">be valuable in helping </w:t>
      </w:r>
      <w:r w:rsidR="00074EC7">
        <w:rPr>
          <w:rFonts w:cstheme="minorHAnsi"/>
          <w:sz w:val="24"/>
          <w:szCs w:val="24"/>
        </w:rPr>
        <w:t>those</w:t>
      </w:r>
      <w:r w:rsidR="006A0814">
        <w:rPr>
          <w:rFonts w:cstheme="minorHAnsi"/>
          <w:sz w:val="24"/>
          <w:szCs w:val="24"/>
        </w:rPr>
        <w:t xml:space="preserve"> living in</w:t>
      </w:r>
      <w:r w:rsidR="00C94ABB">
        <w:rPr>
          <w:rFonts w:cstheme="minorHAnsi"/>
          <w:sz w:val="24"/>
          <w:szCs w:val="24"/>
        </w:rPr>
        <w:t xml:space="preserve"> areas prone to disasters</w:t>
      </w:r>
      <w:r w:rsidRPr="00243C5F">
        <w:rPr>
          <w:rFonts w:cstheme="minorHAnsi"/>
          <w:sz w:val="24"/>
          <w:szCs w:val="24"/>
        </w:rPr>
        <w:t xml:space="preserve"> protect themselves </w:t>
      </w:r>
      <w:r w:rsidR="00C94ABB">
        <w:rPr>
          <w:rFonts w:cstheme="minorHAnsi"/>
          <w:sz w:val="24"/>
          <w:szCs w:val="24"/>
        </w:rPr>
        <w:t>by creating self-sufficiency</w:t>
      </w:r>
      <w:r w:rsidR="006A0814">
        <w:rPr>
          <w:rFonts w:cstheme="minorHAnsi"/>
          <w:sz w:val="24"/>
          <w:szCs w:val="24"/>
        </w:rPr>
        <w:t>.  Shortly after a disaster</w:t>
      </w:r>
      <w:r w:rsidR="00074EC7">
        <w:rPr>
          <w:rFonts w:cstheme="minorHAnsi"/>
          <w:sz w:val="24"/>
          <w:szCs w:val="24"/>
        </w:rPr>
        <w:t>’s impact</w:t>
      </w:r>
      <w:r w:rsidR="006A0814">
        <w:rPr>
          <w:rFonts w:cstheme="minorHAnsi"/>
          <w:sz w:val="24"/>
          <w:szCs w:val="24"/>
        </w:rPr>
        <w:t>,</w:t>
      </w:r>
      <w:r w:rsidR="00C94ABB">
        <w:rPr>
          <w:rFonts w:cstheme="minorHAnsi"/>
          <w:sz w:val="24"/>
          <w:szCs w:val="24"/>
        </w:rPr>
        <w:t xml:space="preserve"> government resources are </w:t>
      </w:r>
      <w:r w:rsidR="006A0814">
        <w:rPr>
          <w:rFonts w:cstheme="minorHAnsi"/>
          <w:sz w:val="24"/>
          <w:szCs w:val="24"/>
        </w:rPr>
        <w:t xml:space="preserve">often </w:t>
      </w:r>
      <w:r w:rsidR="00C94ABB">
        <w:rPr>
          <w:rFonts w:cstheme="minorHAnsi"/>
          <w:sz w:val="24"/>
          <w:szCs w:val="24"/>
        </w:rPr>
        <w:t>limited and focused on response and recovery operations</w:t>
      </w:r>
      <w:r w:rsidRPr="00243C5F">
        <w:rPr>
          <w:rFonts w:cstheme="minorHAnsi"/>
          <w:sz w:val="24"/>
          <w:szCs w:val="24"/>
        </w:rPr>
        <w:t xml:space="preserve">. If we find that </w:t>
      </w:r>
      <w:r w:rsidR="006A0814">
        <w:rPr>
          <w:rFonts w:cstheme="minorHAnsi"/>
          <w:sz w:val="24"/>
          <w:szCs w:val="24"/>
        </w:rPr>
        <w:t>households lacking</w:t>
      </w:r>
      <w:r w:rsidR="00C94ABB">
        <w:rPr>
          <w:rFonts w:cstheme="minorHAnsi"/>
          <w:sz w:val="24"/>
          <w:szCs w:val="24"/>
        </w:rPr>
        <w:t xml:space="preserve"> emergency supply kits </w:t>
      </w:r>
      <w:r w:rsidR="00FA06AF">
        <w:rPr>
          <w:rFonts w:cstheme="minorHAnsi"/>
          <w:sz w:val="24"/>
          <w:szCs w:val="24"/>
        </w:rPr>
        <w:t xml:space="preserve">leads to </w:t>
      </w:r>
      <w:r w:rsidR="00C94ABB">
        <w:rPr>
          <w:rFonts w:cstheme="minorHAnsi"/>
          <w:sz w:val="24"/>
          <w:szCs w:val="24"/>
        </w:rPr>
        <w:t xml:space="preserve">exacerbation </w:t>
      </w:r>
      <w:r w:rsidR="00FA06AF">
        <w:rPr>
          <w:rFonts w:cstheme="minorHAnsi"/>
          <w:sz w:val="24"/>
          <w:szCs w:val="24"/>
        </w:rPr>
        <w:t xml:space="preserve">of </w:t>
      </w:r>
      <w:r w:rsidR="006A0814">
        <w:rPr>
          <w:rFonts w:cstheme="minorHAnsi"/>
          <w:sz w:val="24"/>
          <w:szCs w:val="24"/>
        </w:rPr>
        <w:t xml:space="preserve">health issues and creates a </w:t>
      </w:r>
      <w:r w:rsidR="006F0695">
        <w:rPr>
          <w:rFonts w:cstheme="minorHAnsi"/>
          <w:sz w:val="24"/>
          <w:szCs w:val="24"/>
        </w:rPr>
        <w:t>need</w:t>
      </w:r>
      <w:r w:rsidR="006A0814">
        <w:rPr>
          <w:rFonts w:cstheme="minorHAnsi"/>
          <w:sz w:val="24"/>
          <w:szCs w:val="24"/>
        </w:rPr>
        <w:t xml:space="preserve"> to rely on these resources, then the public health and disaster preparedness community</w:t>
      </w:r>
      <w:r w:rsidRPr="00243C5F">
        <w:rPr>
          <w:rFonts w:cstheme="minorHAnsi"/>
          <w:sz w:val="24"/>
          <w:szCs w:val="24"/>
        </w:rPr>
        <w:t xml:space="preserve"> will be able to add that information to existing and newly dev</w:t>
      </w:r>
      <w:r w:rsidR="00EF58AF">
        <w:rPr>
          <w:rFonts w:cstheme="minorHAnsi"/>
          <w:sz w:val="24"/>
          <w:szCs w:val="24"/>
        </w:rPr>
        <w:t>eloped messaging</w:t>
      </w:r>
      <w:r w:rsidR="000B3D65">
        <w:rPr>
          <w:rFonts w:cstheme="minorHAnsi"/>
          <w:sz w:val="24"/>
          <w:szCs w:val="24"/>
        </w:rPr>
        <w:t>.</w:t>
      </w:r>
    </w:p>
    <w:p w:rsidR="00CA253E" w:rsidP="005A0184" w:rsidRDefault="00CA253E" w14:paraId="7D32A6D1" w14:textId="77777777">
      <w:pPr>
        <w:spacing w:after="0" w:line="276" w:lineRule="auto"/>
        <w:rPr>
          <w:rFonts w:cstheme="minorHAnsi"/>
          <w:sz w:val="24"/>
          <w:szCs w:val="24"/>
        </w:rPr>
      </w:pPr>
    </w:p>
    <w:p w:rsidRPr="00D95802" w:rsidR="00D95802" w:rsidP="005A0184" w:rsidRDefault="008E6FF4" w14:paraId="5EF2FCF3" w14:textId="77777777">
      <w:pPr>
        <w:spacing w:after="0" w:line="276" w:lineRule="auto"/>
        <w:jc w:val="both"/>
        <w:rPr>
          <w:rFonts w:cstheme="minorHAnsi"/>
          <w:sz w:val="24"/>
          <w:szCs w:val="24"/>
        </w:rPr>
      </w:pPr>
      <w:r w:rsidRPr="00D95802">
        <w:rPr>
          <w:rFonts w:cstheme="minorHAnsi"/>
          <w:sz w:val="24"/>
          <w:szCs w:val="24"/>
        </w:rPr>
        <w:t>CDC</w:t>
      </w:r>
      <w:r w:rsidRPr="00D95802" w:rsidR="006E3501">
        <w:rPr>
          <w:rFonts w:cstheme="minorHAnsi"/>
          <w:sz w:val="24"/>
          <w:szCs w:val="24"/>
        </w:rPr>
        <w:t>’s National Center for Environmental Health</w:t>
      </w:r>
      <w:r w:rsidRPr="00D95802">
        <w:rPr>
          <w:rFonts w:cstheme="minorHAnsi"/>
          <w:sz w:val="24"/>
          <w:szCs w:val="24"/>
        </w:rPr>
        <w:t xml:space="preserve"> </w:t>
      </w:r>
      <w:r w:rsidRPr="00D95802" w:rsidR="006E3501">
        <w:rPr>
          <w:rFonts w:cstheme="minorHAnsi"/>
          <w:sz w:val="24"/>
          <w:szCs w:val="24"/>
        </w:rPr>
        <w:t>(</w:t>
      </w:r>
      <w:r w:rsidRPr="00D95802" w:rsidR="007E1632">
        <w:rPr>
          <w:rFonts w:cstheme="minorHAnsi"/>
          <w:sz w:val="24"/>
          <w:szCs w:val="24"/>
        </w:rPr>
        <w:t>NCEH</w:t>
      </w:r>
      <w:r w:rsidRPr="00D95802" w:rsidR="006E3501">
        <w:rPr>
          <w:rFonts w:cstheme="minorHAnsi"/>
          <w:sz w:val="24"/>
          <w:szCs w:val="24"/>
        </w:rPr>
        <w:t>)</w:t>
      </w:r>
      <w:r w:rsidRPr="00D95802" w:rsidR="007E1632">
        <w:rPr>
          <w:rFonts w:cstheme="minorHAnsi"/>
          <w:sz w:val="24"/>
          <w:szCs w:val="24"/>
        </w:rPr>
        <w:t xml:space="preserve"> </w:t>
      </w:r>
      <w:r w:rsidRPr="00D95802" w:rsidR="00D95802">
        <w:rPr>
          <w:rFonts w:cstheme="minorHAnsi"/>
          <w:sz w:val="24"/>
          <w:szCs w:val="24"/>
        </w:rPr>
        <w:t>will use univariate and multivariable regression methods to summarize the survey data. Analyses will determine the knowledge, attitudes, beliefs, and behaviors of households with regards to the preparation and use of emergency supply kits during and shortly after a disaster. We will describe the associations between emergency supply kit use and self‐sufficiency. In addition, we will use regression modeling to describe the extent to which emergency supply kit use has an impact on the health status and needs of household members during and shortly after a natural disaster.</w:t>
      </w:r>
    </w:p>
    <w:p w:rsidRPr="00D95802" w:rsidR="00D95802" w:rsidP="005A0184" w:rsidRDefault="00D95802" w14:paraId="2ADED391" w14:textId="77777777">
      <w:pPr>
        <w:spacing w:after="0" w:line="276" w:lineRule="auto"/>
        <w:jc w:val="both"/>
        <w:rPr>
          <w:rFonts w:cstheme="minorHAnsi"/>
          <w:sz w:val="24"/>
          <w:szCs w:val="24"/>
        </w:rPr>
      </w:pPr>
    </w:p>
    <w:p w:rsidRPr="00D95802" w:rsidR="00D95802" w:rsidP="005A0184" w:rsidRDefault="00D95802" w14:paraId="41671A9F" w14:textId="77777777">
      <w:pPr>
        <w:spacing w:after="0" w:line="276" w:lineRule="auto"/>
        <w:jc w:val="both"/>
        <w:rPr>
          <w:rFonts w:cstheme="minorHAnsi"/>
          <w:sz w:val="24"/>
          <w:szCs w:val="24"/>
        </w:rPr>
      </w:pPr>
      <w:r w:rsidRPr="00D95802">
        <w:rPr>
          <w:rFonts w:cstheme="minorHAnsi"/>
          <w:sz w:val="24"/>
          <w:szCs w:val="24"/>
        </w:rPr>
        <w:t>We will also employ bivariate and multivariable regression models determine if there are associations for the following:</w:t>
      </w:r>
    </w:p>
    <w:p w:rsidRPr="00D95802" w:rsidR="00D95802" w:rsidP="005A0184" w:rsidRDefault="00D95802" w14:paraId="2B752167" w14:textId="77777777">
      <w:pPr>
        <w:numPr>
          <w:ilvl w:val="0"/>
          <w:numId w:val="19"/>
        </w:numPr>
        <w:spacing w:after="0" w:line="276" w:lineRule="auto"/>
        <w:jc w:val="both"/>
        <w:rPr>
          <w:rFonts w:cstheme="minorHAnsi"/>
          <w:sz w:val="24"/>
          <w:szCs w:val="24"/>
        </w:rPr>
      </w:pPr>
      <w:r w:rsidRPr="00D95802">
        <w:rPr>
          <w:rFonts w:cstheme="minorHAnsi"/>
          <w:sz w:val="24"/>
          <w:szCs w:val="24"/>
        </w:rPr>
        <w:t>Knowledge, attitudes, beliefs, behaviors related to emergency supply kit preparation/use and household demographics</w:t>
      </w:r>
    </w:p>
    <w:p w:rsidRPr="00D95802" w:rsidR="00D95802" w:rsidP="005A0184" w:rsidRDefault="00D95802" w14:paraId="478F2583" w14:textId="77777777">
      <w:pPr>
        <w:numPr>
          <w:ilvl w:val="0"/>
          <w:numId w:val="19"/>
        </w:numPr>
        <w:spacing w:after="0" w:line="276" w:lineRule="auto"/>
        <w:jc w:val="both"/>
        <w:rPr>
          <w:rFonts w:cstheme="minorHAnsi"/>
          <w:sz w:val="24"/>
          <w:szCs w:val="24"/>
        </w:rPr>
      </w:pPr>
      <w:r w:rsidRPr="00D95802">
        <w:rPr>
          <w:rFonts w:cstheme="minorHAnsi"/>
          <w:sz w:val="24"/>
          <w:szCs w:val="24"/>
        </w:rPr>
        <w:t>Knowledge, attitudes, beliefs, behaviors related to emergency supply kit preparation/use and the degree of disaster exposure (e.g., damage, injury)</w:t>
      </w:r>
    </w:p>
    <w:p w:rsidRPr="00D95802" w:rsidR="00D95802" w:rsidP="005A0184" w:rsidRDefault="00D95802" w14:paraId="599EFC2A" w14:textId="77777777">
      <w:pPr>
        <w:numPr>
          <w:ilvl w:val="0"/>
          <w:numId w:val="19"/>
        </w:numPr>
        <w:spacing w:after="0" w:line="276" w:lineRule="auto"/>
        <w:jc w:val="both"/>
        <w:rPr>
          <w:rFonts w:cstheme="minorHAnsi"/>
          <w:sz w:val="24"/>
          <w:szCs w:val="24"/>
        </w:rPr>
      </w:pPr>
      <w:r w:rsidRPr="00D95802">
        <w:rPr>
          <w:rFonts w:cstheme="minorHAnsi"/>
          <w:sz w:val="24"/>
          <w:szCs w:val="24"/>
        </w:rPr>
        <w:t>Emergency supply kit contents/use (or lack thereof) and self‐sufficiency during and shortly after a disaster</w:t>
      </w:r>
    </w:p>
    <w:p w:rsidRPr="00D95802" w:rsidR="00D95802" w:rsidP="005A0184" w:rsidRDefault="00D95802" w14:paraId="433CAE79" w14:textId="77777777">
      <w:pPr>
        <w:numPr>
          <w:ilvl w:val="0"/>
          <w:numId w:val="19"/>
        </w:numPr>
        <w:spacing w:after="0" w:line="276" w:lineRule="auto"/>
        <w:jc w:val="both"/>
        <w:rPr>
          <w:rFonts w:cstheme="minorHAnsi"/>
          <w:sz w:val="24"/>
          <w:szCs w:val="24"/>
        </w:rPr>
      </w:pPr>
      <w:r w:rsidRPr="00D95802">
        <w:rPr>
          <w:rFonts w:cstheme="minorHAnsi"/>
          <w:sz w:val="24"/>
          <w:szCs w:val="24"/>
        </w:rPr>
        <w:t>Emergency supply kit contents/use (or lack thereof) and exacerbation of health issues during and shortly after a disaster.</w:t>
      </w:r>
    </w:p>
    <w:p w:rsidRPr="00D95802" w:rsidR="00D95802" w:rsidP="005A0184" w:rsidRDefault="00D95802" w14:paraId="09FE4249" w14:textId="77777777">
      <w:pPr>
        <w:spacing w:after="0" w:line="276" w:lineRule="auto"/>
        <w:jc w:val="both"/>
        <w:rPr>
          <w:rFonts w:cstheme="minorHAnsi"/>
          <w:sz w:val="24"/>
          <w:szCs w:val="24"/>
        </w:rPr>
      </w:pPr>
    </w:p>
    <w:p w:rsidR="001E7F82" w:rsidP="005A0184" w:rsidRDefault="00D95802" w14:paraId="0275EAC9" w14:textId="4F33B1CF">
      <w:pPr>
        <w:spacing w:after="0" w:line="276" w:lineRule="auto"/>
        <w:jc w:val="both"/>
        <w:rPr>
          <w:rFonts w:cstheme="minorHAnsi"/>
          <w:sz w:val="24"/>
          <w:szCs w:val="24"/>
        </w:rPr>
      </w:pPr>
      <w:r w:rsidRPr="00D95802">
        <w:rPr>
          <w:rFonts w:cstheme="minorHAnsi"/>
          <w:sz w:val="24"/>
          <w:szCs w:val="24"/>
        </w:rPr>
        <w:t>Results from the focus group will contextualize findings from the survey and provide guidance on how the public may respond to future recommendations and areas for future research.</w:t>
      </w:r>
    </w:p>
    <w:p w:rsidRPr="00243C5F" w:rsidR="00FD4C7D" w:rsidP="005A0184" w:rsidRDefault="00FD4C7D" w14:paraId="50FAC49F" w14:textId="77777777">
      <w:pPr>
        <w:spacing w:after="0" w:line="276" w:lineRule="auto"/>
        <w:jc w:val="both"/>
        <w:rPr>
          <w:rFonts w:cstheme="minorHAnsi"/>
          <w:sz w:val="24"/>
          <w:szCs w:val="24"/>
        </w:rPr>
      </w:pPr>
      <w:r w:rsidRPr="00243C5F">
        <w:rPr>
          <w:rFonts w:cstheme="minorHAnsi"/>
          <w:sz w:val="24"/>
          <w:szCs w:val="24"/>
        </w:rPr>
        <w:lastRenderedPageBreak/>
        <w:t xml:space="preserve">If NCEH does not collect the information described for this study, </w:t>
      </w:r>
      <w:r>
        <w:rPr>
          <w:rFonts w:cstheme="minorHAnsi"/>
          <w:sz w:val="24"/>
          <w:szCs w:val="24"/>
        </w:rPr>
        <w:t xml:space="preserve">health departments and other organizations involved in disaster preparedness </w:t>
      </w:r>
      <w:r w:rsidRPr="00243C5F">
        <w:rPr>
          <w:rFonts w:cstheme="minorHAnsi"/>
          <w:sz w:val="24"/>
          <w:szCs w:val="24"/>
        </w:rPr>
        <w:t xml:space="preserve">will be unable to refine guidance </w:t>
      </w:r>
      <w:r>
        <w:rPr>
          <w:rFonts w:cstheme="minorHAnsi"/>
          <w:sz w:val="24"/>
          <w:szCs w:val="24"/>
        </w:rPr>
        <w:t xml:space="preserve">for the public on how to best prepare their households for disasters.  </w:t>
      </w:r>
      <w:r w:rsidRPr="00243C5F">
        <w:rPr>
          <w:rFonts w:cstheme="minorHAnsi"/>
          <w:sz w:val="24"/>
          <w:szCs w:val="24"/>
        </w:rPr>
        <w:t xml:space="preserve"> </w:t>
      </w:r>
    </w:p>
    <w:p w:rsidRPr="008E6FF4" w:rsidR="006E3501" w:rsidP="001E7F82" w:rsidRDefault="006E3501" w14:paraId="30B2E2CE" w14:textId="77777777">
      <w:pPr>
        <w:spacing w:after="0" w:line="240" w:lineRule="auto"/>
        <w:rPr>
          <w:rFonts w:cstheme="minorHAnsi"/>
          <w:sz w:val="24"/>
          <w:szCs w:val="24"/>
        </w:rPr>
      </w:pPr>
    </w:p>
    <w:p w:rsidRPr="00B82D1C" w:rsidR="00C13959" w:rsidP="001E7F82" w:rsidRDefault="00601F1A" w14:paraId="28BB1B60" w14:textId="75E714FD">
      <w:pPr>
        <w:pStyle w:val="Heading1"/>
        <w:spacing w:before="0"/>
        <w:rPr>
          <w:color w:val="auto"/>
        </w:rPr>
      </w:pPr>
      <w:bookmarkStart w:name="_Toc61000931" w:id="5"/>
      <w:r w:rsidRPr="00B82D1C">
        <w:rPr>
          <w:color w:val="auto"/>
        </w:rPr>
        <w:t>A.</w:t>
      </w:r>
      <w:r w:rsidRPr="00B82D1C" w:rsidR="004D21C9">
        <w:rPr>
          <w:color w:val="auto"/>
        </w:rPr>
        <w:t xml:space="preserve">3.  </w:t>
      </w:r>
      <w:r w:rsidRPr="00B82D1C" w:rsidR="00B45002">
        <w:rPr>
          <w:color w:val="auto"/>
        </w:rPr>
        <w:t>Use of Improved Information Technology and Burden Reduction</w:t>
      </w:r>
      <w:bookmarkEnd w:id="5"/>
    </w:p>
    <w:p w:rsidRPr="00B82D1C" w:rsidR="004976CC" w:rsidP="005A0184" w:rsidRDefault="004976CC" w14:paraId="31BA5F3D" w14:textId="496799FA">
      <w:pPr>
        <w:spacing w:after="0" w:line="276" w:lineRule="auto"/>
      </w:pPr>
    </w:p>
    <w:p w:rsidR="00B82D1C" w:rsidP="005A0184" w:rsidRDefault="00B82D1C" w14:paraId="1310249D" w14:textId="41B3E6BD">
      <w:pPr>
        <w:spacing w:after="0" w:line="276" w:lineRule="auto"/>
        <w:jc w:val="both"/>
        <w:rPr>
          <w:sz w:val="24"/>
          <w:szCs w:val="24"/>
        </w:rPr>
      </w:pPr>
      <w:r w:rsidRPr="00B82D1C">
        <w:rPr>
          <w:sz w:val="24"/>
          <w:szCs w:val="24"/>
        </w:rPr>
        <w:t>To reduce the burden on study part</w:t>
      </w:r>
      <w:r>
        <w:rPr>
          <w:sz w:val="24"/>
          <w:szCs w:val="24"/>
        </w:rPr>
        <w:t>i</w:t>
      </w:r>
      <w:r w:rsidRPr="00B82D1C">
        <w:rPr>
          <w:sz w:val="24"/>
          <w:szCs w:val="24"/>
        </w:rPr>
        <w:t xml:space="preserve">cipants, </w:t>
      </w:r>
      <w:r w:rsidR="00CB7B9A">
        <w:rPr>
          <w:sz w:val="24"/>
          <w:szCs w:val="24"/>
        </w:rPr>
        <w:t xml:space="preserve">CDC will </w:t>
      </w:r>
      <w:r w:rsidR="00940CFA">
        <w:rPr>
          <w:sz w:val="24"/>
          <w:szCs w:val="24"/>
        </w:rPr>
        <w:t xml:space="preserve">give participants the choice to use </w:t>
      </w:r>
      <w:r>
        <w:rPr>
          <w:sz w:val="24"/>
          <w:szCs w:val="24"/>
        </w:rPr>
        <w:t xml:space="preserve">electronic data entry for the survey. </w:t>
      </w:r>
      <w:r w:rsidR="00586DDD">
        <w:rPr>
          <w:sz w:val="24"/>
          <w:szCs w:val="24"/>
        </w:rPr>
        <w:t xml:space="preserve">We </w:t>
      </w:r>
      <w:r w:rsidR="00CB7B9A">
        <w:rPr>
          <w:sz w:val="24"/>
          <w:szCs w:val="24"/>
        </w:rPr>
        <w:t xml:space="preserve">will </w:t>
      </w:r>
      <w:r w:rsidR="00D6281A">
        <w:rPr>
          <w:sz w:val="24"/>
          <w:szCs w:val="24"/>
        </w:rPr>
        <w:t>collect survey responses</w:t>
      </w:r>
      <w:r w:rsidR="00940CFA">
        <w:rPr>
          <w:sz w:val="24"/>
          <w:szCs w:val="24"/>
        </w:rPr>
        <w:t xml:space="preserve">, depending on the preference of study participants, using a </w:t>
      </w:r>
      <w:proofErr w:type="spellStart"/>
      <w:r w:rsidR="004B3E06">
        <w:rPr>
          <w:sz w:val="24"/>
          <w:szCs w:val="24"/>
        </w:rPr>
        <w:t>Teleform</w:t>
      </w:r>
      <w:proofErr w:type="spellEnd"/>
      <w:r w:rsidR="004B3E06">
        <w:rPr>
          <w:sz w:val="24"/>
          <w:szCs w:val="24"/>
        </w:rPr>
        <w:t xml:space="preserve"> </w:t>
      </w:r>
      <w:r w:rsidR="00940CFA">
        <w:rPr>
          <w:sz w:val="24"/>
          <w:szCs w:val="24"/>
        </w:rPr>
        <w:t>scannable paper questionnaire or</w:t>
      </w:r>
      <w:r w:rsidR="00D6281A">
        <w:rPr>
          <w:sz w:val="24"/>
          <w:szCs w:val="24"/>
        </w:rPr>
        <w:t xml:space="preserve"> directly into </w:t>
      </w:r>
      <w:r w:rsidR="00CB7B9A">
        <w:rPr>
          <w:sz w:val="24"/>
          <w:szCs w:val="24"/>
        </w:rPr>
        <w:t>the</w:t>
      </w:r>
      <w:r w:rsidR="006B2C4F">
        <w:rPr>
          <w:sz w:val="24"/>
          <w:szCs w:val="24"/>
        </w:rPr>
        <w:t xml:space="preserve"> </w:t>
      </w:r>
      <w:r w:rsidR="00940CFA">
        <w:rPr>
          <w:sz w:val="24"/>
          <w:szCs w:val="24"/>
        </w:rPr>
        <w:t>survey platform</w:t>
      </w:r>
      <w:r w:rsidR="00D6281A">
        <w:rPr>
          <w:sz w:val="24"/>
          <w:szCs w:val="24"/>
        </w:rPr>
        <w:t>.</w:t>
      </w:r>
      <w:r>
        <w:rPr>
          <w:sz w:val="24"/>
          <w:szCs w:val="24"/>
        </w:rPr>
        <w:t xml:space="preserve"> To en</w:t>
      </w:r>
      <w:r w:rsidR="00D6281A">
        <w:rPr>
          <w:sz w:val="24"/>
          <w:szCs w:val="24"/>
        </w:rPr>
        <w:t>hance ease of data recording</w:t>
      </w:r>
      <w:r>
        <w:rPr>
          <w:sz w:val="24"/>
          <w:szCs w:val="24"/>
        </w:rPr>
        <w:t xml:space="preserve">, the </w:t>
      </w:r>
      <w:r w:rsidR="00D0140E">
        <w:rPr>
          <w:sz w:val="24"/>
          <w:szCs w:val="24"/>
        </w:rPr>
        <w:t xml:space="preserve">online </w:t>
      </w:r>
      <w:r>
        <w:rPr>
          <w:sz w:val="24"/>
          <w:szCs w:val="24"/>
        </w:rPr>
        <w:t>survey will include automatic skip patterns.</w:t>
      </w:r>
      <w:r w:rsidR="00497DD5">
        <w:rPr>
          <w:sz w:val="24"/>
          <w:szCs w:val="24"/>
        </w:rPr>
        <w:t xml:space="preserve"> </w:t>
      </w:r>
      <w:r w:rsidR="00D0140E">
        <w:rPr>
          <w:sz w:val="24"/>
          <w:szCs w:val="24"/>
        </w:rPr>
        <w:t xml:space="preserve">The paper questionnaire </w:t>
      </w:r>
      <w:r w:rsidR="00654349">
        <w:rPr>
          <w:sz w:val="24"/>
          <w:szCs w:val="24"/>
        </w:rPr>
        <w:t xml:space="preserve">uses clear instructions, maximization of white space, and </w:t>
      </w:r>
      <w:r w:rsidR="00B12649">
        <w:rPr>
          <w:sz w:val="24"/>
          <w:szCs w:val="24"/>
        </w:rPr>
        <w:t>well-defined skip patters to enhance ease of those who chose to</w:t>
      </w:r>
      <w:r w:rsidR="00CF1590">
        <w:rPr>
          <w:sz w:val="24"/>
          <w:szCs w:val="24"/>
        </w:rPr>
        <w:t xml:space="preserve"> complete the scannable version. </w:t>
      </w:r>
    </w:p>
    <w:p w:rsidRPr="00B82D1C" w:rsidR="001E7F82" w:rsidP="001E7F82" w:rsidRDefault="001E7F82" w14:paraId="67985927" w14:textId="77777777">
      <w:pPr>
        <w:spacing w:after="0"/>
        <w:rPr>
          <w:sz w:val="24"/>
          <w:szCs w:val="24"/>
        </w:rPr>
      </w:pPr>
    </w:p>
    <w:p w:rsidR="00352A05" w:rsidP="001E7F82" w:rsidRDefault="00601F1A" w14:paraId="55731797" w14:textId="0B62B95B">
      <w:pPr>
        <w:pStyle w:val="Heading1"/>
        <w:spacing w:before="0"/>
        <w:rPr>
          <w:color w:val="auto"/>
        </w:rPr>
      </w:pPr>
      <w:bookmarkStart w:name="_Toc61000932" w:id="6"/>
      <w:r w:rsidRPr="00352A05">
        <w:rPr>
          <w:color w:val="auto"/>
        </w:rPr>
        <w:t>A.</w:t>
      </w:r>
      <w:r w:rsidRPr="00352A05" w:rsidR="004D21C9">
        <w:rPr>
          <w:color w:val="auto"/>
        </w:rPr>
        <w:t xml:space="preserve">4.  </w:t>
      </w:r>
      <w:r w:rsidRPr="00352A05" w:rsidR="00B45002">
        <w:rPr>
          <w:color w:val="auto"/>
        </w:rPr>
        <w:t>Efforts to Identify Duplication and Use of Similar Information</w:t>
      </w:r>
      <w:bookmarkEnd w:id="6"/>
    </w:p>
    <w:p w:rsidR="002D4750" w:rsidP="001E7F82" w:rsidRDefault="002D4750" w14:paraId="69025083" w14:textId="77777777">
      <w:pPr>
        <w:spacing w:after="0"/>
      </w:pPr>
    </w:p>
    <w:p w:rsidR="00352A05" w:rsidP="005A0184" w:rsidRDefault="007A7D82" w14:paraId="5E05FE7D" w14:textId="1AA55F19">
      <w:pPr>
        <w:spacing w:after="0" w:line="276" w:lineRule="auto"/>
        <w:jc w:val="both"/>
        <w:rPr>
          <w:sz w:val="24"/>
          <w:szCs w:val="24"/>
        </w:rPr>
      </w:pPr>
      <w:r>
        <w:rPr>
          <w:sz w:val="24"/>
          <w:szCs w:val="24"/>
        </w:rPr>
        <w:t>CDC</w:t>
      </w:r>
      <w:r w:rsidRPr="00352A05">
        <w:rPr>
          <w:sz w:val="24"/>
          <w:szCs w:val="24"/>
        </w:rPr>
        <w:t xml:space="preserve"> </w:t>
      </w:r>
      <w:r w:rsidR="00352A05">
        <w:rPr>
          <w:sz w:val="24"/>
          <w:szCs w:val="24"/>
        </w:rPr>
        <w:t>consulted with</w:t>
      </w:r>
      <w:r w:rsidRPr="00352A05" w:rsidR="00352A05">
        <w:rPr>
          <w:sz w:val="24"/>
          <w:szCs w:val="24"/>
        </w:rPr>
        <w:t xml:space="preserve"> </w:t>
      </w:r>
      <w:r w:rsidR="00FC3618">
        <w:rPr>
          <w:sz w:val="24"/>
          <w:szCs w:val="24"/>
        </w:rPr>
        <w:t xml:space="preserve">partners </w:t>
      </w:r>
      <w:r w:rsidR="00C52339">
        <w:rPr>
          <w:sz w:val="24"/>
          <w:szCs w:val="24"/>
        </w:rPr>
        <w:t xml:space="preserve">at </w:t>
      </w:r>
      <w:r w:rsidR="00FC3618">
        <w:rPr>
          <w:sz w:val="24"/>
          <w:szCs w:val="24"/>
        </w:rPr>
        <w:t xml:space="preserve">FEMA and </w:t>
      </w:r>
      <w:r w:rsidR="002D3FBE">
        <w:rPr>
          <w:sz w:val="24"/>
          <w:szCs w:val="24"/>
        </w:rPr>
        <w:t>STLT health departments</w:t>
      </w:r>
      <w:r w:rsidR="00FC3618">
        <w:rPr>
          <w:sz w:val="24"/>
          <w:szCs w:val="24"/>
        </w:rPr>
        <w:t xml:space="preserve"> </w:t>
      </w:r>
      <w:r w:rsidR="002D3FBE">
        <w:rPr>
          <w:sz w:val="24"/>
          <w:szCs w:val="24"/>
        </w:rPr>
        <w:t xml:space="preserve">to help determine need for this study. </w:t>
      </w:r>
      <w:r w:rsidR="00580427">
        <w:rPr>
          <w:sz w:val="24"/>
          <w:szCs w:val="24"/>
        </w:rPr>
        <w:t>To our knowledge, the</w:t>
      </w:r>
      <w:r w:rsidR="002D3FBE">
        <w:rPr>
          <w:sz w:val="24"/>
          <w:szCs w:val="24"/>
        </w:rPr>
        <w:t xml:space="preserve"> </w:t>
      </w:r>
      <w:r w:rsidR="00352A05">
        <w:rPr>
          <w:sz w:val="24"/>
          <w:szCs w:val="24"/>
        </w:rPr>
        <w:t xml:space="preserve">information collections proposed are not being </w:t>
      </w:r>
      <w:r w:rsidR="00580427">
        <w:rPr>
          <w:sz w:val="24"/>
          <w:szCs w:val="24"/>
        </w:rPr>
        <w:t xml:space="preserve">conducted </w:t>
      </w:r>
      <w:r w:rsidR="00352A05">
        <w:rPr>
          <w:sz w:val="24"/>
          <w:szCs w:val="24"/>
        </w:rPr>
        <w:t>elsewhere</w:t>
      </w:r>
      <w:r w:rsidR="00580427">
        <w:rPr>
          <w:sz w:val="24"/>
          <w:szCs w:val="24"/>
        </w:rPr>
        <w:t xml:space="preserve"> and </w:t>
      </w:r>
      <w:r w:rsidR="00C52339">
        <w:rPr>
          <w:sz w:val="24"/>
          <w:szCs w:val="24"/>
        </w:rPr>
        <w:t xml:space="preserve">CDC is not aware of any other studies </w:t>
      </w:r>
      <w:r w:rsidR="00580427">
        <w:rPr>
          <w:sz w:val="24"/>
          <w:szCs w:val="24"/>
        </w:rPr>
        <w:t xml:space="preserve">using </w:t>
      </w:r>
      <w:r w:rsidR="00C52339">
        <w:rPr>
          <w:sz w:val="24"/>
          <w:szCs w:val="24"/>
        </w:rPr>
        <w:t>this protocol.</w:t>
      </w:r>
      <w:r w:rsidR="00580427">
        <w:rPr>
          <w:sz w:val="24"/>
          <w:szCs w:val="24"/>
        </w:rPr>
        <w:t xml:space="preserve"> </w:t>
      </w:r>
      <w:r>
        <w:rPr>
          <w:sz w:val="24"/>
          <w:szCs w:val="24"/>
        </w:rPr>
        <w:t xml:space="preserve">CDC </w:t>
      </w:r>
      <w:r w:rsidR="00352A05">
        <w:rPr>
          <w:sz w:val="24"/>
          <w:szCs w:val="24"/>
        </w:rPr>
        <w:t xml:space="preserve">conducted literature and </w:t>
      </w:r>
      <w:r w:rsidR="005D56D7">
        <w:rPr>
          <w:sz w:val="24"/>
          <w:szCs w:val="24"/>
        </w:rPr>
        <w:t>World Wide Web</w:t>
      </w:r>
      <w:r w:rsidR="00352A05">
        <w:rPr>
          <w:sz w:val="24"/>
          <w:szCs w:val="24"/>
        </w:rPr>
        <w:t xml:space="preserve"> searches and did not identify studies collecting the information proposed here.</w:t>
      </w:r>
    </w:p>
    <w:p w:rsidR="001E7F82" w:rsidP="005A0184" w:rsidRDefault="001E7F82" w14:paraId="114D64F2" w14:textId="77777777">
      <w:pPr>
        <w:spacing w:after="0" w:line="276" w:lineRule="auto"/>
        <w:rPr>
          <w:sz w:val="24"/>
          <w:szCs w:val="24"/>
        </w:rPr>
      </w:pPr>
    </w:p>
    <w:p w:rsidRPr="0050477F" w:rsidR="00547106" w:rsidP="005A0184" w:rsidRDefault="00352A05" w14:paraId="485053AF" w14:textId="45A33961">
      <w:pPr>
        <w:spacing w:after="0" w:line="276" w:lineRule="auto"/>
        <w:jc w:val="both"/>
        <w:rPr>
          <w:sz w:val="24"/>
          <w:szCs w:val="24"/>
        </w:rPr>
      </w:pPr>
      <w:r>
        <w:rPr>
          <w:sz w:val="24"/>
          <w:szCs w:val="24"/>
        </w:rPr>
        <w:t>Environmental public health</w:t>
      </w:r>
      <w:r w:rsidR="00FC3618">
        <w:rPr>
          <w:sz w:val="24"/>
          <w:szCs w:val="24"/>
        </w:rPr>
        <w:t xml:space="preserve"> and disaster preparedness</w:t>
      </w:r>
      <w:r>
        <w:rPr>
          <w:sz w:val="24"/>
          <w:szCs w:val="24"/>
        </w:rPr>
        <w:t xml:space="preserve"> stakeholders, including public health officials, </w:t>
      </w:r>
      <w:r w:rsidR="00FC3618">
        <w:rPr>
          <w:sz w:val="24"/>
          <w:szCs w:val="24"/>
        </w:rPr>
        <w:t xml:space="preserve">emergency </w:t>
      </w:r>
      <w:r w:rsidR="00543F85">
        <w:rPr>
          <w:sz w:val="24"/>
          <w:szCs w:val="24"/>
        </w:rPr>
        <w:t>management</w:t>
      </w:r>
      <w:r w:rsidR="00FC3618">
        <w:rPr>
          <w:sz w:val="24"/>
          <w:szCs w:val="24"/>
        </w:rPr>
        <w:t xml:space="preserve"> officials, </w:t>
      </w:r>
      <w:r>
        <w:rPr>
          <w:sz w:val="24"/>
          <w:szCs w:val="24"/>
        </w:rPr>
        <w:t xml:space="preserve">the medical community, local elected officials, and the public pose many questions about </w:t>
      </w:r>
      <w:r w:rsidR="00FC3618">
        <w:rPr>
          <w:sz w:val="24"/>
          <w:szCs w:val="24"/>
        </w:rPr>
        <w:t xml:space="preserve">a standard set of supplies that should be recommended in emergency supply kits and/or </w:t>
      </w:r>
      <w:r>
        <w:rPr>
          <w:sz w:val="24"/>
          <w:szCs w:val="24"/>
        </w:rPr>
        <w:t xml:space="preserve">the associations between </w:t>
      </w:r>
      <w:r w:rsidR="00FC3618">
        <w:rPr>
          <w:sz w:val="24"/>
          <w:szCs w:val="24"/>
        </w:rPr>
        <w:t>emergency supply kit preparation/use</w:t>
      </w:r>
      <w:r>
        <w:rPr>
          <w:sz w:val="24"/>
          <w:szCs w:val="24"/>
        </w:rPr>
        <w:t xml:space="preserve"> and </w:t>
      </w:r>
      <w:r w:rsidR="00FC3618">
        <w:rPr>
          <w:sz w:val="24"/>
          <w:szCs w:val="24"/>
        </w:rPr>
        <w:t>adverse outcomes during or after disasters</w:t>
      </w:r>
      <w:r>
        <w:rPr>
          <w:sz w:val="24"/>
          <w:szCs w:val="24"/>
        </w:rPr>
        <w:t xml:space="preserve">. There is scant available </w:t>
      </w:r>
      <w:r w:rsidR="00FC3618">
        <w:rPr>
          <w:sz w:val="24"/>
          <w:szCs w:val="24"/>
        </w:rPr>
        <w:t xml:space="preserve">peer-reviewed </w:t>
      </w:r>
      <w:r>
        <w:rPr>
          <w:sz w:val="24"/>
          <w:szCs w:val="24"/>
        </w:rPr>
        <w:t>literature</w:t>
      </w:r>
      <w:r w:rsidR="00F275E3">
        <w:rPr>
          <w:sz w:val="24"/>
          <w:szCs w:val="24"/>
        </w:rPr>
        <w:t>,</w:t>
      </w:r>
      <w:r w:rsidR="00547106">
        <w:rPr>
          <w:sz w:val="24"/>
          <w:szCs w:val="24"/>
        </w:rPr>
        <w:t xml:space="preserve"> aside from </w:t>
      </w:r>
      <w:r w:rsidR="00FC3618">
        <w:rPr>
          <w:sz w:val="24"/>
          <w:szCs w:val="24"/>
        </w:rPr>
        <w:t>a publication</w:t>
      </w:r>
      <w:r w:rsidR="00547106">
        <w:rPr>
          <w:sz w:val="24"/>
          <w:szCs w:val="24"/>
        </w:rPr>
        <w:t xml:space="preserve"> </w:t>
      </w:r>
      <w:r w:rsidRPr="0050477F" w:rsidR="00547106">
        <w:rPr>
          <w:sz w:val="24"/>
          <w:szCs w:val="24"/>
        </w:rPr>
        <w:t xml:space="preserve">by </w:t>
      </w:r>
      <w:proofErr w:type="spellStart"/>
      <w:r w:rsidRPr="0050477F" w:rsidR="00FC3618">
        <w:rPr>
          <w:sz w:val="24"/>
          <w:szCs w:val="24"/>
        </w:rPr>
        <w:t>Heagle</w:t>
      </w:r>
      <w:proofErr w:type="spellEnd"/>
      <w:r w:rsidRPr="0050477F" w:rsidR="00FC3618">
        <w:rPr>
          <w:sz w:val="24"/>
          <w:szCs w:val="24"/>
        </w:rPr>
        <w:t xml:space="preserve"> </w:t>
      </w:r>
      <w:r w:rsidR="004F358B">
        <w:rPr>
          <w:sz w:val="24"/>
          <w:szCs w:val="24"/>
        </w:rPr>
        <w:t xml:space="preserve">in </w:t>
      </w:r>
      <w:r w:rsidRPr="0050477F" w:rsidR="00FC3618">
        <w:rPr>
          <w:sz w:val="24"/>
          <w:szCs w:val="24"/>
        </w:rPr>
        <w:t xml:space="preserve">2016 </w:t>
      </w:r>
      <w:r w:rsidRPr="0050477F" w:rsidR="00547106">
        <w:rPr>
          <w:sz w:val="24"/>
          <w:szCs w:val="24"/>
        </w:rPr>
        <w:t xml:space="preserve">that </w:t>
      </w:r>
      <w:r w:rsidRPr="0050477F" w:rsidR="00FC3618">
        <w:rPr>
          <w:sz w:val="24"/>
          <w:szCs w:val="24"/>
        </w:rPr>
        <w:t xml:space="preserve">frames methods by which these </w:t>
      </w:r>
      <w:r w:rsidRPr="0050477F" w:rsidR="00547106">
        <w:rPr>
          <w:sz w:val="24"/>
          <w:szCs w:val="24"/>
        </w:rPr>
        <w:t>associations</w:t>
      </w:r>
      <w:r w:rsidRPr="0050477F" w:rsidR="00FC3618">
        <w:rPr>
          <w:sz w:val="24"/>
          <w:szCs w:val="24"/>
        </w:rPr>
        <w:t xml:space="preserve"> can be studied</w:t>
      </w:r>
      <w:r w:rsidRPr="0050477F" w:rsidR="00547106">
        <w:rPr>
          <w:sz w:val="24"/>
          <w:szCs w:val="24"/>
        </w:rPr>
        <w:t>.</w:t>
      </w:r>
      <w:r w:rsidRPr="00222FE0" w:rsidR="004F358B">
        <w:rPr>
          <w:sz w:val="24"/>
          <w:szCs w:val="24"/>
          <w:vertAlign w:val="superscript"/>
        </w:rPr>
        <w:t>1</w:t>
      </w:r>
      <w:r w:rsidRPr="0050477F" w:rsidR="00547106">
        <w:rPr>
          <w:sz w:val="24"/>
          <w:szCs w:val="24"/>
        </w:rPr>
        <w:t xml:space="preserve"> </w:t>
      </w:r>
    </w:p>
    <w:p w:rsidRPr="00547106" w:rsidR="001E7F82" w:rsidP="001E7F82" w:rsidRDefault="001E7F82" w14:paraId="237A4766" w14:textId="77777777">
      <w:pPr>
        <w:spacing w:after="0"/>
        <w:rPr>
          <w:sz w:val="24"/>
          <w:szCs w:val="24"/>
        </w:rPr>
      </w:pPr>
    </w:p>
    <w:p w:rsidR="00683EFA" w:rsidP="001E7F82" w:rsidRDefault="00683EFA" w14:paraId="33B73AAA" w14:textId="77777777">
      <w:pPr>
        <w:pStyle w:val="Heading1"/>
        <w:spacing w:before="0"/>
        <w:rPr>
          <w:color w:val="auto"/>
        </w:rPr>
      </w:pPr>
    </w:p>
    <w:p w:rsidRPr="00547106" w:rsidR="00B45002" w:rsidP="001E7F82" w:rsidRDefault="00601F1A" w14:paraId="5500B6CD" w14:textId="15B74AA4">
      <w:pPr>
        <w:pStyle w:val="Heading1"/>
        <w:spacing w:before="0"/>
        <w:rPr>
          <w:color w:val="auto"/>
        </w:rPr>
      </w:pPr>
      <w:bookmarkStart w:name="_Toc61000933" w:id="7"/>
      <w:r w:rsidRPr="00547106">
        <w:rPr>
          <w:color w:val="auto"/>
        </w:rPr>
        <w:t>A.</w:t>
      </w:r>
      <w:r w:rsidRPr="00547106" w:rsidR="004D21C9">
        <w:rPr>
          <w:color w:val="auto"/>
        </w:rPr>
        <w:t xml:space="preserve">5.  </w:t>
      </w:r>
      <w:r w:rsidRPr="00547106" w:rsidR="00B45002">
        <w:rPr>
          <w:color w:val="auto"/>
        </w:rPr>
        <w:t>Impact on Small Businesses or Other Small Entities</w:t>
      </w:r>
      <w:bookmarkEnd w:id="7"/>
    </w:p>
    <w:p w:rsidRPr="00547106" w:rsidR="00F16DA0" w:rsidP="001E7F82" w:rsidRDefault="00F16DA0" w14:paraId="0CCAAA5D" w14:textId="6DFB3D3A">
      <w:pPr>
        <w:autoSpaceDE w:val="0"/>
        <w:autoSpaceDN w:val="0"/>
        <w:adjustRightInd w:val="0"/>
        <w:spacing w:after="0" w:line="240" w:lineRule="auto"/>
        <w:rPr>
          <w:rFonts w:cs="ITCFranklinGothicStd-Book"/>
          <w:sz w:val="24"/>
          <w:szCs w:val="24"/>
        </w:rPr>
      </w:pPr>
    </w:p>
    <w:p w:rsidR="00547106" w:rsidP="005A0184" w:rsidRDefault="0046790B" w14:paraId="5A68D57A" w14:textId="39C94AC0">
      <w:pPr>
        <w:autoSpaceDE w:val="0"/>
        <w:autoSpaceDN w:val="0"/>
        <w:adjustRightInd w:val="0"/>
        <w:spacing w:after="0" w:line="276" w:lineRule="auto"/>
        <w:rPr>
          <w:rFonts w:cs="ITCFranklinGothicStd-Book"/>
          <w:sz w:val="24"/>
          <w:szCs w:val="24"/>
        </w:rPr>
      </w:pPr>
      <w:r>
        <w:rPr>
          <w:rFonts w:cs="ITCFranklinGothicStd-Book"/>
          <w:sz w:val="24"/>
          <w:szCs w:val="24"/>
        </w:rPr>
        <w:t>No</w:t>
      </w:r>
      <w:r w:rsidRPr="00547106" w:rsidR="00547106">
        <w:rPr>
          <w:rFonts w:cs="ITCFranklinGothicStd-Book"/>
          <w:sz w:val="24"/>
          <w:szCs w:val="24"/>
        </w:rPr>
        <w:t xml:space="preserve"> small businesses</w:t>
      </w:r>
      <w:r>
        <w:rPr>
          <w:rFonts w:cs="ITCFranklinGothicStd-Book"/>
          <w:sz w:val="24"/>
          <w:szCs w:val="24"/>
        </w:rPr>
        <w:t xml:space="preserve"> will be involved in data collection</w:t>
      </w:r>
    </w:p>
    <w:p w:rsidRPr="00547106" w:rsidR="001E7F82" w:rsidP="001E7F82" w:rsidRDefault="001E7F82" w14:paraId="425CC018" w14:textId="77777777">
      <w:pPr>
        <w:autoSpaceDE w:val="0"/>
        <w:autoSpaceDN w:val="0"/>
        <w:adjustRightInd w:val="0"/>
        <w:spacing w:after="0" w:line="240" w:lineRule="auto"/>
        <w:rPr>
          <w:rFonts w:cs="ITCFranklinGothicStd-Book"/>
          <w:sz w:val="24"/>
          <w:szCs w:val="24"/>
        </w:rPr>
      </w:pPr>
    </w:p>
    <w:p w:rsidRPr="00547106" w:rsidR="00B45002" w:rsidP="001E7F82" w:rsidRDefault="00601F1A" w14:paraId="1771BB1B" w14:textId="0792CF09">
      <w:pPr>
        <w:pStyle w:val="Heading1"/>
        <w:spacing w:before="0"/>
        <w:rPr>
          <w:color w:val="auto"/>
        </w:rPr>
      </w:pPr>
      <w:bookmarkStart w:name="_Toc61000934" w:id="8"/>
      <w:r w:rsidRPr="00547106">
        <w:rPr>
          <w:color w:val="auto"/>
        </w:rPr>
        <w:lastRenderedPageBreak/>
        <w:t>A.</w:t>
      </w:r>
      <w:r w:rsidRPr="00547106" w:rsidR="004D21C9">
        <w:rPr>
          <w:color w:val="auto"/>
        </w:rPr>
        <w:t xml:space="preserve">6.  </w:t>
      </w:r>
      <w:r w:rsidRPr="00547106" w:rsidR="00B45002">
        <w:rPr>
          <w:color w:val="auto"/>
        </w:rPr>
        <w:t xml:space="preserve">Consequences of </w:t>
      </w:r>
      <w:r w:rsidR="00047498">
        <w:rPr>
          <w:color w:val="auto"/>
        </w:rPr>
        <w:t xml:space="preserve">Not Collecting the Information or </w:t>
      </w:r>
      <w:r w:rsidRPr="00547106" w:rsidR="00B45002">
        <w:rPr>
          <w:color w:val="auto"/>
        </w:rPr>
        <w:t>Collecting the Information Less Frequently</w:t>
      </w:r>
      <w:bookmarkEnd w:id="8"/>
    </w:p>
    <w:p w:rsidRPr="00547106" w:rsidR="00F82AF2" w:rsidP="001E7F82" w:rsidRDefault="00F82AF2" w14:paraId="4B9CAA11" w14:textId="1A26B7C2">
      <w:pPr>
        <w:spacing w:after="0" w:line="240" w:lineRule="auto"/>
        <w:rPr>
          <w:sz w:val="24"/>
          <w:szCs w:val="24"/>
        </w:rPr>
      </w:pPr>
    </w:p>
    <w:p w:rsidR="001E7F82" w:rsidP="005A0184" w:rsidRDefault="001A528C" w14:paraId="634A1A20" w14:textId="1B4B3000">
      <w:pPr>
        <w:autoSpaceDE w:val="0"/>
        <w:autoSpaceDN w:val="0"/>
        <w:adjustRightInd w:val="0"/>
        <w:spacing w:after="0" w:line="276" w:lineRule="auto"/>
        <w:jc w:val="both"/>
        <w:rPr>
          <w:rFonts w:cs="ITCFranklinGothicStd-Book"/>
          <w:sz w:val="24"/>
          <w:szCs w:val="24"/>
        </w:rPr>
      </w:pPr>
      <w:r>
        <w:rPr>
          <w:rFonts w:cs="ITCFranklinGothicStd-Book"/>
          <w:sz w:val="24"/>
          <w:szCs w:val="24"/>
        </w:rPr>
        <w:t xml:space="preserve">To ensure </w:t>
      </w:r>
      <w:r w:rsidR="00CE631D">
        <w:rPr>
          <w:rFonts w:cs="ITCFranklinGothicStd-Book"/>
          <w:sz w:val="24"/>
          <w:szCs w:val="24"/>
        </w:rPr>
        <w:t>an accurate assessment of the impact of the disaster, r</w:t>
      </w:r>
      <w:r w:rsidR="00047498">
        <w:rPr>
          <w:rFonts w:cs="ITCFranklinGothicStd-Book"/>
          <w:sz w:val="24"/>
          <w:szCs w:val="24"/>
        </w:rPr>
        <w:t>espondents</w:t>
      </w:r>
      <w:r w:rsidRPr="00547106" w:rsidR="00104051">
        <w:rPr>
          <w:rFonts w:cs="ITCFranklinGothicStd-Book"/>
          <w:sz w:val="24"/>
          <w:szCs w:val="24"/>
        </w:rPr>
        <w:t xml:space="preserve"> will </w:t>
      </w:r>
      <w:r w:rsidR="00CE631D">
        <w:rPr>
          <w:rFonts w:cs="ITCFranklinGothicStd-Book"/>
          <w:sz w:val="24"/>
          <w:szCs w:val="24"/>
        </w:rPr>
        <w:t>complete</w:t>
      </w:r>
      <w:r w:rsidR="00C07453">
        <w:rPr>
          <w:rFonts w:cs="ITCFranklinGothicStd-Book"/>
          <w:sz w:val="24"/>
          <w:szCs w:val="24"/>
        </w:rPr>
        <w:t xml:space="preserve"> study activities </w:t>
      </w:r>
      <w:r w:rsidR="002D4750">
        <w:rPr>
          <w:rFonts w:cs="ITCFranklinGothicStd-Book"/>
          <w:sz w:val="24"/>
          <w:szCs w:val="24"/>
        </w:rPr>
        <w:t xml:space="preserve">during </w:t>
      </w:r>
      <w:r w:rsidR="00C52339">
        <w:rPr>
          <w:rFonts w:cs="ITCFranklinGothicStd-Book"/>
          <w:sz w:val="24"/>
          <w:szCs w:val="24"/>
        </w:rPr>
        <w:t xml:space="preserve">the period </w:t>
      </w:r>
      <w:r w:rsidR="00CE631D">
        <w:rPr>
          <w:rFonts w:cs="ITCFranklinGothicStd-Book"/>
          <w:sz w:val="24"/>
          <w:szCs w:val="24"/>
        </w:rPr>
        <w:t>immediately after</w:t>
      </w:r>
      <w:r w:rsidR="00047498">
        <w:rPr>
          <w:rFonts w:cs="ITCFranklinGothicStd-Book"/>
          <w:sz w:val="24"/>
          <w:szCs w:val="24"/>
        </w:rPr>
        <w:t xml:space="preserve"> disaster </w:t>
      </w:r>
      <w:r w:rsidR="00CE631D">
        <w:rPr>
          <w:rFonts w:cs="ITCFranklinGothicStd-Book"/>
          <w:sz w:val="24"/>
          <w:szCs w:val="24"/>
        </w:rPr>
        <w:t>impact</w:t>
      </w:r>
      <w:r w:rsidR="00047498">
        <w:rPr>
          <w:rFonts w:cs="ITCFranklinGothicStd-Book"/>
          <w:sz w:val="24"/>
          <w:szCs w:val="24"/>
        </w:rPr>
        <w:t xml:space="preserve">. That period is defined as within the first </w:t>
      </w:r>
      <w:r w:rsidR="001E7F82">
        <w:rPr>
          <w:rFonts w:cs="ITCFranklinGothicStd-Book"/>
          <w:sz w:val="24"/>
          <w:szCs w:val="24"/>
        </w:rPr>
        <w:t>four</w:t>
      </w:r>
      <w:r w:rsidR="00047498">
        <w:rPr>
          <w:rFonts w:cs="ITCFranklinGothicStd-Book"/>
          <w:sz w:val="24"/>
          <w:szCs w:val="24"/>
        </w:rPr>
        <w:t xml:space="preserve"> months after a disaster hits </w:t>
      </w:r>
      <w:r w:rsidR="001E7F82">
        <w:rPr>
          <w:rFonts w:cs="ITCFranklinGothicStd-Book"/>
          <w:sz w:val="24"/>
          <w:szCs w:val="24"/>
        </w:rPr>
        <w:t>(e.g., data collection begins 2 to 3 weeks post-disaster and continues for 10 weeks)</w:t>
      </w:r>
      <w:r w:rsidR="00047498">
        <w:rPr>
          <w:rFonts w:cs="ITCFranklinGothicStd-Book"/>
          <w:sz w:val="24"/>
          <w:szCs w:val="24"/>
        </w:rPr>
        <w:t xml:space="preserve">. The consequences of not collecting information within this timeframe are largely related to recall bias. As time progresses, </w:t>
      </w:r>
      <w:r w:rsidR="00543F85">
        <w:rPr>
          <w:rFonts w:cs="ITCFranklinGothicStd-Book"/>
          <w:sz w:val="24"/>
          <w:szCs w:val="24"/>
        </w:rPr>
        <w:t>participants</w:t>
      </w:r>
      <w:r w:rsidR="00047498">
        <w:rPr>
          <w:rFonts w:cs="ITCFranklinGothicStd-Book"/>
          <w:sz w:val="24"/>
          <w:szCs w:val="24"/>
        </w:rPr>
        <w:t xml:space="preserve"> may not </w:t>
      </w:r>
      <w:r w:rsidR="009F4B5F">
        <w:rPr>
          <w:rFonts w:cs="ITCFranklinGothicStd-Book"/>
          <w:sz w:val="24"/>
          <w:szCs w:val="24"/>
        </w:rPr>
        <w:t xml:space="preserve">as readily </w:t>
      </w:r>
      <w:r w:rsidR="00047498">
        <w:rPr>
          <w:rFonts w:cs="ITCFranklinGothicStd-Book"/>
          <w:sz w:val="24"/>
          <w:szCs w:val="24"/>
        </w:rPr>
        <w:t xml:space="preserve">remember details </w:t>
      </w:r>
      <w:r w:rsidR="009F4B5F">
        <w:rPr>
          <w:rFonts w:cs="ITCFranklinGothicStd-Book"/>
          <w:sz w:val="24"/>
          <w:szCs w:val="24"/>
        </w:rPr>
        <w:t>related to the disaster experience</w:t>
      </w:r>
      <w:r w:rsidR="00EB0FCB">
        <w:rPr>
          <w:rFonts w:cs="ITCFranklinGothicStd-Book"/>
          <w:sz w:val="24"/>
          <w:szCs w:val="24"/>
        </w:rPr>
        <w:t xml:space="preserve">, </w:t>
      </w:r>
      <w:r w:rsidR="009F4B5F">
        <w:rPr>
          <w:rFonts w:cs="ITCFranklinGothicStd-Book"/>
          <w:sz w:val="24"/>
          <w:szCs w:val="24"/>
        </w:rPr>
        <w:t xml:space="preserve">what their household did to prepare, </w:t>
      </w:r>
      <w:r w:rsidR="00EB0FCB">
        <w:rPr>
          <w:rFonts w:cs="ITCFranklinGothicStd-Book"/>
          <w:sz w:val="24"/>
          <w:szCs w:val="24"/>
        </w:rPr>
        <w:t xml:space="preserve">the specifics of emergency supply kit items used and needed, and </w:t>
      </w:r>
      <w:r w:rsidR="00F938D9">
        <w:rPr>
          <w:rFonts w:cs="ITCFranklinGothicStd-Book"/>
          <w:sz w:val="24"/>
          <w:szCs w:val="24"/>
        </w:rPr>
        <w:t>any</w:t>
      </w:r>
      <w:r w:rsidR="00EB0FCB">
        <w:rPr>
          <w:rFonts w:cs="ITCFranklinGothicStd-Book"/>
          <w:sz w:val="24"/>
          <w:szCs w:val="24"/>
        </w:rPr>
        <w:t xml:space="preserve"> consequences of</w:t>
      </w:r>
      <w:r w:rsidR="00F938D9">
        <w:rPr>
          <w:rFonts w:cs="ITCFranklinGothicStd-Book"/>
          <w:sz w:val="24"/>
          <w:szCs w:val="24"/>
        </w:rPr>
        <w:t xml:space="preserve"> potential missing emergency supply kit items. </w:t>
      </w:r>
    </w:p>
    <w:p w:rsidR="001E7F82" w:rsidP="005A0184" w:rsidRDefault="001E7F82" w14:paraId="7F130E9A" w14:textId="77777777">
      <w:pPr>
        <w:autoSpaceDE w:val="0"/>
        <w:autoSpaceDN w:val="0"/>
        <w:adjustRightInd w:val="0"/>
        <w:spacing w:after="0" w:line="276" w:lineRule="auto"/>
        <w:rPr>
          <w:rFonts w:cs="ITCFranklinGothicStd-Book"/>
          <w:sz w:val="24"/>
          <w:szCs w:val="24"/>
        </w:rPr>
      </w:pPr>
    </w:p>
    <w:p w:rsidR="00047498" w:rsidP="005A0184" w:rsidRDefault="007A7D82" w14:paraId="00C93D7A" w14:textId="6EC81BA8">
      <w:pPr>
        <w:autoSpaceDE w:val="0"/>
        <w:autoSpaceDN w:val="0"/>
        <w:adjustRightInd w:val="0"/>
        <w:spacing w:after="0" w:line="276" w:lineRule="auto"/>
        <w:jc w:val="both"/>
        <w:rPr>
          <w:rFonts w:cs="ITCFranklinGothicStd-Book"/>
          <w:sz w:val="24"/>
          <w:szCs w:val="24"/>
        </w:rPr>
      </w:pPr>
      <w:r>
        <w:rPr>
          <w:rFonts w:cs="ITCFranklinGothicStd-Book"/>
          <w:sz w:val="24"/>
          <w:szCs w:val="24"/>
        </w:rPr>
        <w:t xml:space="preserve">CDC </w:t>
      </w:r>
      <w:r w:rsidR="00001A03">
        <w:rPr>
          <w:rFonts w:cs="ITCFranklinGothicStd-Book"/>
          <w:sz w:val="24"/>
          <w:szCs w:val="24"/>
        </w:rPr>
        <w:t>cannot predict wh</w:t>
      </w:r>
      <w:r w:rsidR="00993D30">
        <w:rPr>
          <w:rFonts w:cs="ITCFranklinGothicStd-Book"/>
          <w:sz w:val="24"/>
          <w:szCs w:val="24"/>
        </w:rPr>
        <w:t xml:space="preserve">en </w:t>
      </w:r>
      <w:r w:rsidR="00047498">
        <w:rPr>
          <w:rFonts w:cs="ITCFranklinGothicStd-Book"/>
          <w:sz w:val="24"/>
          <w:szCs w:val="24"/>
        </w:rPr>
        <w:t>disasters will occur</w:t>
      </w:r>
      <w:r w:rsidR="000B3D65">
        <w:rPr>
          <w:rFonts w:cs="ITCFranklinGothicStd-Book"/>
          <w:sz w:val="24"/>
          <w:szCs w:val="24"/>
        </w:rPr>
        <w:t xml:space="preserve">; </w:t>
      </w:r>
      <w:r w:rsidR="00DA01D4">
        <w:rPr>
          <w:rFonts w:cs="ITCFranklinGothicStd-Book"/>
          <w:sz w:val="24"/>
          <w:szCs w:val="24"/>
        </w:rPr>
        <w:t>t</w:t>
      </w:r>
      <w:r w:rsidR="00993D30">
        <w:rPr>
          <w:rFonts w:cs="ITCFranklinGothicStd-Book"/>
          <w:sz w:val="24"/>
          <w:szCs w:val="24"/>
        </w:rPr>
        <w:t>hus</w:t>
      </w:r>
      <w:r w:rsidR="000B3D65">
        <w:rPr>
          <w:rFonts w:cs="ITCFranklinGothicStd-Book"/>
          <w:sz w:val="24"/>
          <w:szCs w:val="24"/>
        </w:rPr>
        <w:t>,</w:t>
      </w:r>
      <w:r w:rsidR="00993D30">
        <w:rPr>
          <w:rFonts w:cs="ITCFranklinGothicStd-Book"/>
          <w:sz w:val="24"/>
          <w:szCs w:val="24"/>
        </w:rPr>
        <w:t xml:space="preserve"> we </w:t>
      </w:r>
      <w:r w:rsidR="00047498">
        <w:rPr>
          <w:rFonts w:cs="ITCFranklinGothicStd-Book"/>
          <w:sz w:val="24"/>
          <w:szCs w:val="24"/>
        </w:rPr>
        <w:t>aim to collect information</w:t>
      </w:r>
      <w:r w:rsidR="00993D30">
        <w:rPr>
          <w:rFonts w:cs="ITCFranklinGothicStd-Book"/>
          <w:sz w:val="24"/>
          <w:szCs w:val="24"/>
        </w:rPr>
        <w:t xml:space="preserve"> </w:t>
      </w:r>
      <w:r w:rsidR="00047498">
        <w:rPr>
          <w:rFonts w:cs="ITCFranklinGothicStd-Book"/>
          <w:sz w:val="24"/>
          <w:szCs w:val="24"/>
        </w:rPr>
        <w:t xml:space="preserve">in two locations over the course of </w:t>
      </w:r>
      <w:r w:rsidR="006B73E1">
        <w:rPr>
          <w:rFonts w:cs="ITCFranklinGothicStd-Book"/>
          <w:sz w:val="24"/>
          <w:szCs w:val="24"/>
        </w:rPr>
        <w:t xml:space="preserve">approximately </w:t>
      </w:r>
      <w:r w:rsidR="00047498">
        <w:rPr>
          <w:rFonts w:cs="ITCFranklinGothicStd-Book"/>
          <w:sz w:val="24"/>
          <w:szCs w:val="24"/>
        </w:rPr>
        <w:t>12 months from OMB approval</w:t>
      </w:r>
      <w:r w:rsidR="00993D30">
        <w:rPr>
          <w:rFonts w:cs="ITCFranklinGothicStd-Book"/>
          <w:sz w:val="24"/>
          <w:szCs w:val="24"/>
        </w:rPr>
        <w:t xml:space="preserve">. </w:t>
      </w:r>
      <w:r w:rsidR="009F4B5F">
        <w:rPr>
          <w:rFonts w:cs="ITCFranklinGothicStd-Book"/>
          <w:sz w:val="24"/>
          <w:szCs w:val="24"/>
        </w:rPr>
        <w:t xml:space="preserve">The consequence of collecting the information less frequently (i.e., one site only) is that results will be reported for only one type of disaster, limiting the </w:t>
      </w:r>
      <w:r w:rsidR="00543F85">
        <w:rPr>
          <w:rFonts w:cs="ITCFranklinGothicStd-Book"/>
          <w:sz w:val="24"/>
          <w:szCs w:val="24"/>
        </w:rPr>
        <w:t>ability</w:t>
      </w:r>
      <w:r w:rsidR="009F4B5F">
        <w:rPr>
          <w:rFonts w:cs="ITCFranklinGothicStd-Book"/>
          <w:sz w:val="24"/>
          <w:szCs w:val="24"/>
        </w:rPr>
        <w:t xml:space="preserve"> to look at results across disaster types</w:t>
      </w:r>
      <w:r w:rsidR="006B73E1">
        <w:rPr>
          <w:rFonts w:cs="ITCFranklinGothicStd-Book"/>
          <w:sz w:val="24"/>
          <w:szCs w:val="24"/>
        </w:rPr>
        <w:t xml:space="preserve"> and region</w:t>
      </w:r>
      <w:r w:rsidR="009F4B5F">
        <w:rPr>
          <w:rFonts w:cs="ITCFranklinGothicStd-Book"/>
          <w:sz w:val="24"/>
          <w:szCs w:val="24"/>
        </w:rPr>
        <w:t xml:space="preserve">.  </w:t>
      </w:r>
    </w:p>
    <w:p w:rsidR="001E7F82" w:rsidP="005A0184" w:rsidRDefault="001E7F82" w14:paraId="1B5506D9" w14:textId="77777777">
      <w:pPr>
        <w:autoSpaceDE w:val="0"/>
        <w:autoSpaceDN w:val="0"/>
        <w:adjustRightInd w:val="0"/>
        <w:spacing w:after="0" w:line="276" w:lineRule="auto"/>
        <w:rPr>
          <w:rFonts w:cs="ITCFranklinGothicStd-Book"/>
          <w:sz w:val="24"/>
          <w:szCs w:val="24"/>
        </w:rPr>
      </w:pPr>
    </w:p>
    <w:p w:rsidR="00DA6118" w:rsidP="005A0184" w:rsidRDefault="00455158" w14:paraId="5429A3AD" w14:textId="560F6848">
      <w:pPr>
        <w:autoSpaceDE w:val="0"/>
        <w:autoSpaceDN w:val="0"/>
        <w:adjustRightInd w:val="0"/>
        <w:spacing w:after="0" w:line="276" w:lineRule="auto"/>
        <w:rPr>
          <w:rFonts w:cs="ITCFranklinGothicStd-Book"/>
          <w:sz w:val="24"/>
          <w:szCs w:val="24"/>
        </w:rPr>
      </w:pPr>
      <w:r w:rsidRPr="00993D30">
        <w:rPr>
          <w:rFonts w:cs="ITCFranklinGothicStd-Book"/>
          <w:sz w:val="24"/>
          <w:szCs w:val="24"/>
        </w:rPr>
        <w:t>There are no technical or lega</w:t>
      </w:r>
      <w:r w:rsidRPr="00993D30" w:rsidR="00993D30">
        <w:rPr>
          <w:rFonts w:cs="ITCFranklinGothicStd-Book"/>
          <w:sz w:val="24"/>
          <w:szCs w:val="24"/>
        </w:rPr>
        <w:t>l obstacles to reducing burden.</w:t>
      </w:r>
    </w:p>
    <w:p w:rsidRPr="00993D30" w:rsidR="001E7F82" w:rsidP="001E7F82" w:rsidRDefault="001E7F82" w14:paraId="28206CAC" w14:textId="77777777">
      <w:pPr>
        <w:autoSpaceDE w:val="0"/>
        <w:autoSpaceDN w:val="0"/>
        <w:adjustRightInd w:val="0"/>
        <w:spacing w:after="0" w:line="240" w:lineRule="auto"/>
        <w:rPr>
          <w:rFonts w:cs="ITCFranklinGothicStd-Book"/>
          <w:sz w:val="24"/>
          <w:szCs w:val="24"/>
        </w:rPr>
      </w:pPr>
    </w:p>
    <w:p w:rsidRPr="00993D30" w:rsidR="00B45002" w:rsidP="001E7F82" w:rsidRDefault="00601F1A" w14:paraId="0123AC1E" w14:textId="25EB32E8">
      <w:pPr>
        <w:pStyle w:val="Heading1"/>
        <w:spacing w:before="0"/>
        <w:rPr>
          <w:color w:val="auto"/>
        </w:rPr>
      </w:pPr>
      <w:bookmarkStart w:name="_Toc61000935" w:id="9"/>
      <w:r w:rsidRPr="00993D30">
        <w:rPr>
          <w:color w:val="auto"/>
        </w:rPr>
        <w:t>A.</w:t>
      </w:r>
      <w:r w:rsidRPr="00993D30" w:rsidR="00B45002">
        <w:rPr>
          <w:color w:val="auto"/>
        </w:rPr>
        <w:t>7.</w:t>
      </w:r>
      <w:r w:rsidRPr="00993D30" w:rsidR="004D21C9">
        <w:rPr>
          <w:color w:val="auto"/>
        </w:rPr>
        <w:t xml:space="preserve">  </w:t>
      </w:r>
      <w:r w:rsidRPr="00993D30" w:rsidR="00B45002">
        <w:rPr>
          <w:color w:val="auto"/>
        </w:rPr>
        <w:t>Special Circumstances Relating to the Guidelines of 5 CFR 1320.5</w:t>
      </w:r>
      <w:bookmarkEnd w:id="9"/>
    </w:p>
    <w:p w:rsidRPr="00993D30" w:rsidR="0014151A" w:rsidP="001E7F82" w:rsidRDefault="0014151A" w14:paraId="2A9759C6" w14:textId="77777777">
      <w:pPr>
        <w:autoSpaceDE w:val="0"/>
        <w:autoSpaceDN w:val="0"/>
        <w:adjustRightInd w:val="0"/>
        <w:spacing w:after="0" w:line="240" w:lineRule="auto"/>
        <w:rPr>
          <w:sz w:val="24"/>
          <w:szCs w:val="24"/>
        </w:rPr>
      </w:pPr>
    </w:p>
    <w:p w:rsidR="00E21FB2" w:rsidP="005A0184" w:rsidRDefault="009E7B1B" w14:paraId="2ED19A68" w14:textId="17B6D571">
      <w:pPr>
        <w:autoSpaceDE w:val="0"/>
        <w:autoSpaceDN w:val="0"/>
        <w:adjustRightInd w:val="0"/>
        <w:spacing w:after="0" w:line="276" w:lineRule="auto"/>
        <w:jc w:val="both"/>
        <w:rPr>
          <w:rFonts w:cs="ITCFranklinGothicStd-Book"/>
          <w:sz w:val="24"/>
          <w:szCs w:val="24"/>
        </w:rPr>
      </w:pPr>
      <w:r w:rsidRPr="00993D30">
        <w:rPr>
          <w:rFonts w:cs="ITCFranklinGothicStd-Book"/>
          <w:sz w:val="24"/>
          <w:szCs w:val="24"/>
        </w:rPr>
        <w:t>The</w:t>
      </w:r>
      <w:r w:rsidR="00E21FB2">
        <w:rPr>
          <w:rFonts w:cs="ITCFranklinGothicStd-Book"/>
          <w:sz w:val="24"/>
          <w:szCs w:val="24"/>
        </w:rPr>
        <w:t xml:space="preserve">re are no special circumstances </w:t>
      </w:r>
      <w:r w:rsidR="00CC767F">
        <w:rPr>
          <w:rFonts w:cs="ITCFranklinGothicStd-Book"/>
          <w:sz w:val="24"/>
          <w:szCs w:val="24"/>
        </w:rPr>
        <w:t xml:space="preserve">with this information collection package. </w:t>
      </w:r>
      <w:r w:rsidR="008B796D">
        <w:rPr>
          <w:rFonts w:cs="ITCFranklinGothicStd-Book"/>
          <w:sz w:val="24"/>
          <w:szCs w:val="24"/>
        </w:rPr>
        <w:t xml:space="preserve">Specifically, no special circumstances </w:t>
      </w:r>
      <w:r w:rsidR="00E21FB2">
        <w:rPr>
          <w:rFonts w:cs="ITCFranklinGothicStd-Book"/>
          <w:sz w:val="24"/>
          <w:szCs w:val="24"/>
        </w:rPr>
        <w:t>that would cause an information collection to be conducted in a manner</w:t>
      </w:r>
    </w:p>
    <w:p w:rsidR="00E21FB2" w:rsidP="005A0184" w:rsidRDefault="00E21FB2" w14:paraId="0AF8570E" w14:textId="77777777">
      <w:pPr>
        <w:pStyle w:val="ListParagraph"/>
        <w:numPr>
          <w:ilvl w:val="0"/>
          <w:numId w:val="8"/>
        </w:numPr>
        <w:autoSpaceDE w:val="0"/>
        <w:autoSpaceDN w:val="0"/>
        <w:adjustRightInd w:val="0"/>
        <w:spacing w:after="0" w:line="276" w:lineRule="auto"/>
        <w:ind w:left="810"/>
        <w:jc w:val="both"/>
        <w:rPr>
          <w:rFonts w:cs="ITCFranklinGothicStd-Book"/>
          <w:sz w:val="24"/>
          <w:szCs w:val="24"/>
        </w:rPr>
      </w:pPr>
      <w:r w:rsidRPr="00E21FB2">
        <w:rPr>
          <w:rFonts w:cs="ITCFranklinGothicStd-Book"/>
          <w:sz w:val="24"/>
          <w:szCs w:val="24"/>
        </w:rPr>
        <w:t>requiring respondents to report information to the agency more often than quarterly;</w:t>
      </w:r>
    </w:p>
    <w:p w:rsidR="00E21FB2" w:rsidP="005A0184" w:rsidRDefault="00E21FB2" w14:paraId="13712EDC" w14:textId="77777777">
      <w:pPr>
        <w:pStyle w:val="ListParagraph"/>
        <w:numPr>
          <w:ilvl w:val="0"/>
          <w:numId w:val="8"/>
        </w:numPr>
        <w:autoSpaceDE w:val="0"/>
        <w:autoSpaceDN w:val="0"/>
        <w:adjustRightInd w:val="0"/>
        <w:spacing w:after="0" w:line="276" w:lineRule="auto"/>
        <w:ind w:left="810"/>
        <w:jc w:val="both"/>
        <w:rPr>
          <w:rFonts w:cs="ITCFranklinGothicStd-Book"/>
          <w:sz w:val="24"/>
          <w:szCs w:val="24"/>
        </w:rPr>
      </w:pPr>
      <w:r w:rsidRPr="00E21FB2">
        <w:rPr>
          <w:rFonts w:cs="ITCFranklinGothicStd-Book"/>
          <w:sz w:val="24"/>
          <w:szCs w:val="24"/>
        </w:rPr>
        <w:t>requiring respondents to prepare a written response to a collection of information in</w:t>
      </w:r>
      <w:r>
        <w:rPr>
          <w:rFonts w:cs="ITCFranklinGothicStd-Book"/>
          <w:sz w:val="24"/>
          <w:szCs w:val="24"/>
        </w:rPr>
        <w:t xml:space="preserve"> </w:t>
      </w:r>
      <w:r w:rsidRPr="00E21FB2">
        <w:rPr>
          <w:rFonts w:cs="ITCFranklinGothicStd-Book"/>
          <w:sz w:val="24"/>
          <w:szCs w:val="24"/>
        </w:rPr>
        <w:t>fewer than 30 days after receipt of it;</w:t>
      </w:r>
    </w:p>
    <w:p w:rsidR="00E21FB2" w:rsidP="005A0184" w:rsidRDefault="00E21FB2" w14:paraId="70CE4398" w14:textId="77777777">
      <w:pPr>
        <w:pStyle w:val="ListParagraph"/>
        <w:numPr>
          <w:ilvl w:val="0"/>
          <w:numId w:val="8"/>
        </w:numPr>
        <w:autoSpaceDE w:val="0"/>
        <w:autoSpaceDN w:val="0"/>
        <w:adjustRightInd w:val="0"/>
        <w:spacing w:after="0" w:line="276" w:lineRule="auto"/>
        <w:ind w:left="810"/>
        <w:jc w:val="both"/>
        <w:rPr>
          <w:rFonts w:cs="ITCFranklinGothicStd-Book"/>
          <w:sz w:val="24"/>
          <w:szCs w:val="24"/>
        </w:rPr>
      </w:pPr>
      <w:r w:rsidRPr="00E21FB2">
        <w:rPr>
          <w:rFonts w:cs="ITCFranklinGothicStd-Book"/>
          <w:sz w:val="24"/>
          <w:szCs w:val="24"/>
        </w:rPr>
        <w:t>requiring respondents to submit more than an original and two copies of any document;</w:t>
      </w:r>
    </w:p>
    <w:p w:rsidR="00E21FB2" w:rsidP="005A0184" w:rsidRDefault="00E21FB2" w14:paraId="43D77B13" w14:textId="77777777">
      <w:pPr>
        <w:pStyle w:val="ListParagraph"/>
        <w:numPr>
          <w:ilvl w:val="0"/>
          <w:numId w:val="8"/>
        </w:numPr>
        <w:autoSpaceDE w:val="0"/>
        <w:autoSpaceDN w:val="0"/>
        <w:adjustRightInd w:val="0"/>
        <w:spacing w:after="0" w:line="276" w:lineRule="auto"/>
        <w:ind w:left="810"/>
        <w:jc w:val="both"/>
        <w:rPr>
          <w:rFonts w:cs="ITCFranklinGothicStd-Book"/>
          <w:sz w:val="24"/>
          <w:szCs w:val="24"/>
        </w:rPr>
      </w:pPr>
      <w:r w:rsidRPr="00E21FB2">
        <w:rPr>
          <w:rFonts w:cs="ITCFranklinGothicStd-Book"/>
          <w:sz w:val="24"/>
          <w:szCs w:val="24"/>
        </w:rPr>
        <w:t>requiring respondents to retain records, other than health, medical, government contract,</w:t>
      </w:r>
      <w:r>
        <w:rPr>
          <w:rFonts w:cs="ITCFranklinGothicStd-Book"/>
          <w:sz w:val="24"/>
          <w:szCs w:val="24"/>
        </w:rPr>
        <w:t xml:space="preserve"> </w:t>
      </w:r>
      <w:r w:rsidRPr="00E21FB2">
        <w:rPr>
          <w:rFonts w:cs="ITCFranklinGothicStd-Book"/>
          <w:sz w:val="24"/>
          <w:szCs w:val="24"/>
        </w:rPr>
        <w:t>grant-in-aid, or tax records, for more than three years;</w:t>
      </w:r>
      <w:r>
        <w:rPr>
          <w:rFonts w:cs="ITCFranklinGothicStd-Book"/>
          <w:sz w:val="24"/>
          <w:szCs w:val="24"/>
        </w:rPr>
        <w:t xml:space="preserve"> </w:t>
      </w:r>
    </w:p>
    <w:p w:rsidR="00E21FB2" w:rsidP="005A0184" w:rsidRDefault="00E21FB2" w14:paraId="764145D1" w14:textId="77777777">
      <w:pPr>
        <w:pStyle w:val="ListParagraph"/>
        <w:numPr>
          <w:ilvl w:val="0"/>
          <w:numId w:val="8"/>
        </w:numPr>
        <w:autoSpaceDE w:val="0"/>
        <w:autoSpaceDN w:val="0"/>
        <w:adjustRightInd w:val="0"/>
        <w:spacing w:after="0" w:line="276" w:lineRule="auto"/>
        <w:ind w:left="810"/>
        <w:jc w:val="both"/>
        <w:rPr>
          <w:rFonts w:cs="ITCFranklinGothicStd-Book"/>
          <w:sz w:val="24"/>
          <w:szCs w:val="24"/>
        </w:rPr>
      </w:pPr>
      <w:r w:rsidRPr="00E21FB2">
        <w:rPr>
          <w:rFonts w:cs="ITCFranklinGothicStd-Book"/>
          <w:sz w:val="24"/>
          <w:szCs w:val="24"/>
        </w:rPr>
        <w:t>in connection with a statistical survey, that is not designed to produce valid and reliable</w:t>
      </w:r>
      <w:r>
        <w:rPr>
          <w:rFonts w:cs="ITCFranklinGothicStd-Book"/>
          <w:sz w:val="24"/>
          <w:szCs w:val="24"/>
        </w:rPr>
        <w:t xml:space="preserve"> </w:t>
      </w:r>
      <w:r w:rsidRPr="00E21FB2">
        <w:rPr>
          <w:rFonts w:cs="ITCFranklinGothicStd-Book"/>
          <w:sz w:val="24"/>
          <w:szCs w:val="24"/>
        </w:rPr>
        <w:t>results that can be generalized to the universe of study;</w:t>
      </w:r>
    </w:p>
    <w:p w:rsidR="00E21FB2" w:rsidP="005A0184" w:rsidRDefault="00E21FB2" w14:paraId="22A0FA25" w14:textId="77777777">
      <w:pPr>
        <w:pStyle w:val="ListParagraph"/>
        <w:numPr>
          <w:ilvl w:val="0"/>
          <w:numId w:val="8"/>
        </w:numPr>
        <w:autoSpaceDE w:val="0"/>
        <w:autoSpaceDN w:val="0"/>
        <w:adjustRightInd w:val="0"/>
        <w:spacing w:after="0" w:line="276" w:lineRule="auto"/>
        <w:ind w:left="810"/>
        <w:jc w:val="both"/>
        <w:rPr>
          <w:rFonts w:cs="ITCFranklinGothicStd-Book"/>
          <w:sz w:val="24"/>
          <w:szCs w:val="24"/>
        </w:rPr>
      </w:pPr>
      <w:r w:rsidRPr="00E21FB2">
        <w:rPr>
          <w:rFonts w:cs="ITCFranklinGothicStd-Book"/>
          <w:sz w:val="24"/>
          <w:szCs w:val="24"/>
        </w:rPr>
        <w:t>requiring the use of a statistical data classification that has not been reviewed and</w:t>
      </w:r>
      <w:r>
        <w:rPr>
          <w:rFonts w:cs="ITCFranklinGothicStd-Book"/>
          <w:sz w:val="24"/>
          <w:szCs w:val="24"/>
        </w:rPr>
        <w:t xml:space="preserve"> </w:t>
      </w:r>
      <w:r w:rsidRPr="00E21FB2">
        <w:rPr>
          <w:rFonts w:cs="ITCFranklinGothicStd-Book"/>
          <w:sz w:val="24"/>
          <w:szCs w:val="24"/>
        </w:rPr>
        <w:t>approved by OMB;</w:t>
      </w:r>
    </w:p>
    <w:p w:rsidR="00DA01D4" w:rsidP="005A0184" w:rsidRDefault="00E21FB2" w14:paraId="5726A848" w14:textId="54DD24CE">
      <w:pPr>
        <w:pStyle w:val="ListParagraph"/>
        <w:numPr>
          <w:ilvl w:val="0"/>
          <w:numId w:val="8"/>
        </w:numPr>
        <w:autoSpaceDE w:val="0"/>
        <w:autoSpaceDN w:val="0"/>
        <w:adjustRightInd w:val="0"/>
        <w:spacing w:after="0" w:line="276" w:lineRule="auto"/>
        <w:ind w:left="810"/>
        <w:jc w:val="both"/>
        <w:rPr>
          <w:rFonts w:cs="ITCFranklinGothicStd-Book"/>
          <w:sz w:val="24"/>
          <w:szCs w:val="24"/>
        </w:rPr>
      </w:pPr>
      <w:r w:rsidRPr="00E21FB2">
        <w:rPr>
          <w:rFonts w:cs="ITCFranklinGothicStd-Book"/>
          <w:sz w:val="24"/>
          <w:szCs w:val="24"/>
        </w:rPr>
        <w:lastRenderedPageBreak/>
        <w:t>that includes a pledge of confidentiality that is not supported by authority established in</w:t>
      </w:r>
      <w:r>
        <w:rPr>
          <w:rFonts w:cs="ITCFranklinGothicStd-Book"/>
          <w:sz w:val="24"/>
          <w:szCs w:val="24"/>
        </w:rPr>
        <w:t xml:space="preserve"> </w:t>
      </w:r>
      <w:r w:rsidRPr="00E21FB2">
        <w:rPr>
          <w:rFonts w:cs="ITCFranklinGothicStd-Book"/>
          <w:sz w:val="24"/>
          <w:szCs w:val="24"/>
        </w:rPr>
        <w:t>statute or regulation, that is not supported by disclosure and data security policies that are</w:t>
      </w:r>
      <w:r>
        <w:rPr>
          <w:rFonts w:cs="ITCFranklinGothicStd-Book"/>
          <w:sz w:val="24"/>
          <w:szCs w:val="24"/>
        </w:rPr>
        <w:t xml:space="preserve"> </w:t>
      </w:r>
      <w:r w:rsidRPr="00E21FB2">
        <w:rPr>
          <w:rFonts w:cs="ITCFranklinGothicStd-Book"/>
          <w:sz w:val="24"/>
          <w:szCs w:val="24"/>
        </w:rPr>
        <w:t>consistent with the pledge, or which unnecessarily impedes sharing of data with other</w:t>
      </w:r>
      <w:r>
        <w:rPr>
          <w:rFonts w:cs="ITCFranklinGothicStd-Book"/>
          <w:sz w:val="24"/>
          <w:szCs w:val="24"/>
        </w:rPr>
        <w:t xml:space="preserve"> </w:t>
      </w:r>
      <w:r w:rsidRPr="00E21FB2">
        <w:rPr>
          <w:rFonts w:cs="ITCFranklinGothicStd-Book"/>
          <w:sz w:val="24"/>
          <w:szCs w:val="24"/>
        </w:rPr>
        <w:t>agencies for compatible confidential use; or</w:t>
      </w:r>
      <w:r>
        <w:rPr>
          <w:rFonts w:cs="ITCFranklinGothicStd-Book"/>
          <w:sz w:val="24"/>
          <w:szCs w:val="24"/>
        </w:rPr>
        <w:t xml:space="preserve"> </w:t>
      </w:r>
      <w:r w:rsidRPr="00E21FB2">
        <w:rPr>
          <w:rFonts w:cs="ITCFranklinGothicStd-Book"/>
          <w:sz w:val="24"/>
          <w:szCs w:val="24"/>
        </w:rPr>
        <w:t>requiring respondents to submit proprietary trade secrets, or other confidential</w:t>
      </w:r>
      <w:r>
        <w:rPr>
          <w:rFonts w:cs="ITCFranklinGothicStd-Book"/>
          <w:sz w:val="24"/>
          <w:szCs w:val="24"/>
        </w:rPr>
        <w:t xml:space="preserve"> </w:t>
      </w:r>
      <w:r w:rsidRPr="00E21FB2">
        <w:rPr>
          <w:rFonts w:cs="ITCFranklinGothicStd-Book"/>
          <w:sz w:val="24"/>
          <w:szCs w:val="24"/>
        </w:rPr>
        <w:t>information unless the agency can demonstrate that it has instituted procedures to protect</w:t>
      </w:r>
      <w:r>
        <w:rPr>
          <w:rFonts w:cs="ITCFranklinGothicStd-Book"/>
          <w:sz w:val="24"/>
          <w:szCs w:val="24"/>
        </w:rPr>
        <w:t xml:space="preserve"> </w:t>
      </w:r>
      <w:r w:rsidRPr="00E21FB2">
        <w:rPr>
          <w:rFonts w:cs="ITCFranklinGothicStd-Book"/>
          <w:sz w:val="24"/>
          <w:szCs w:val="24"/>
        </w:rPr>
        <w:t>the information's confidentiality to the extent permitted by law.</w:t>
      </w:r>
    </w:p>
    <w:p w:rsidRPr="00E21FB2" w:rsidR="008B796D" w:rsidP="005A0184" w:rsidRDefault="008B796D" w14:paraId="778A2992" w14:textId="77777777">
      <w:pPr>
        <w:pStyle w:val="ListParagraph"/>
        <w:autoSpaceDE w:val="0"/>
        <w:autoSpaceDN w:val="0"/>
        <w:adjustRightInd w:val="0"/>
        <w:spacing w:after="0" w:line="276" w:lineRule="auto"/>
        <w:ind w:left="360"/>
        <w:rPr>
          <w:rFonts w:cs="ITCFranklinGothicStd-Book"/>
          <w:sz w:val="24"/>
          <w:szCs w:val="24"/>
        </w:rPr>
      </w:pPr>
    </w:p>
    <w:p w:rsidR="00EE5683" w:rsidP="005A0184" w:rsidRDefault="008B796D" w14:paraId="3DBAFEB1" w14:textId="4E5E32F3">
      <w:pPr>
        <w:autoSpaceDE w:val="0"/>
        <w:autoSpaceDN w:val="0"/>
        <w:adjustRightInd w:val="0"/>
        <w:spacing w:after="0" w:line="276" w:lineRule="auto"/>
        <w:rPr>
          <w:rFonts w:cs="ITCFranklinGothicStd-Book"/>
          <w:sz w:val="24"/>
          <w:szCs w:val="24"/>
        </w:rPr>
      </w:pPr>
      <w:r>
        <w:rPr>
          <w:rFonts w:cs="ITCFranklinGothicStd-Book"/>
          <w:sz w:val="24"/>
          <w:szCs w:val="24"/>
        </w:rPr>
        <w:t>This request fully complies with the regulation 5 CFR 1320.5.</w:t>
      </w:r>
    </w:p>
    <w:p w:rsidR="008B796D" w:rsidP="001E7F82" w:rsidRDefault="008B796D" w14:paraId="52388593" w14:textId="77777777">
      <w:pPr>
        <w:autoSpaceDE w:val="0"/>
        <w:autoSpaceDN w:val="0"/>
        <w:adjustRightInd w:val="0"/>
        <w:spacing w:after="0" w:line="240" w:lineRule="auto"/>
        <w:rPr>
          <w:rFonts w:asciiTheme="majorHAnsi" w:hAnsiTheme="majorHAnsi"/>
          <w:sz w:val="36"/>
          <w:szCs w:val="36"/>
        </w:rPr>
      </w:pPr>
    </w:p>
    <w:p w:rsidRPr="00DA01D4" w:rsidR="00B45002" w:rsidP="001E7F82" w:rsidRDefault="00601F1A" w14:paraId="508E9BF1" w14:textId="24BB3A5E">
      <w:pPr>
        <w:autoSpaceDE w:val="0"/>
        <w:autoSpaceDN w:val="0"/>
        <w:adjustRightInd w:val="0"/>
        <w:spacing w:after="0" w:line="240" w:lineRule="auto"/>
        <w:rPr>
          <w:rFonts w:asciiTheme="majorHAnsi" w:hAnsiTheme="majorHAnsi"/>
          <w:sz w:val="36"/>
          <w:szCs w:val="36"/>
        </w:rPr>
      </w:pPr>
      <w:r w:rsidRPr="00DA01D4">
        <w:rPr>
          <w:rFonts w:asciiTheme="majorHAnsi" w:hAnsiTheme="majorHAnsi"/>
          <w:sz w:val="36"/>
          <w:szCs w:val="36"/>
        </w:rPr>
        <w:t>A.</w:t>
      </w:r>
      <w:r w:rsidRPr="00DA01D4" w:rsidR="004D21C9">
        <w:rPr>
          <w:rFonts w:asciiTheme="majorHAnsi" w:hAnsiTheme="majorHAnsi"/>
          <w:sz w:val="36"/>
          <w:szCs w:val="36"/>
        </w:rPr>
        <w:t xml:space="preserve">8.  </w:t>
      </w:r>
      <w:r w:rsidRPr="00DA01D4" w:rsidR="00B45002">
        <w:rPr>
          <w:rFonts w:asciiTheme="majorHAnsi" w:hAnsiTheme="majorHAnsi"/>
          <w:sz w:val="36"/>
          <w:szCs w:val="36"/>
        </w:rPr>
        <w:t>Comments in Response to the Federal Register Notice and Efforts to Consult Outside the Agency</w:t>
      </w:r>
    </w:p>
    <w:p w:rsidRPr="00DA01D4" w:rsidR="00D62EE3" w:rsidP="001E7F82" w:rsidRDefault="00D62EE3" w14:paraId="1633E94E" w14:textId="77777777">
      <w:pPr>
        <w:autoSpaceDE w:val="0"/>
        <w:autoSpaceDN w:val="0"/>
        <w:adjustRightInd w:val="0"/>
        <w:spacing w:after="0" w:line="240" w:lineRule="auto"/>
        <w:rPr>
          <w:rFonts w:cs="ITCFranklinGothicStd-Demi" w:asciiTheme="majorHAnsi" w:hAnsiTheme="majorHAnsi"/>
          <w:sz w:val="36"/>
          <w:szCs w:val="36"/>
        </w:rPr>
      </w:pPr>
    </w:p>
    <w:p w:rsidRPr="00222FE0" w:rsidR="00335DD0" w:rsidP="005A0184" w:rsidRDefault="00335DD0" w14:paraId="2E052C4F" w14:textId="262B2D4E">
      <w:pPr>
        <w:autoSpaceDE w:val="0"/>
        <w:autoSpaceDN w:val="0"/>
        <w:adjustRightInd w:val="0"/>
        <w:spacing w:after="0" w:line="276" w:lineRule="auto"/>
        <w:jc w:val="both"/>
        <w:rPr>
          <w:rFonts w:cs="ITCFranklinGothicStd-Book"/>
          <w:sz w:val="24"/>
          <w:szCs w:val="24"/>
        </w:rPr>
      </w:pPr>
      <w:r w:rsidRPr="00222FE0">
        <w:rPr>
          <w:rFonts w:cs="ITCFranklinGothicStd-Book"/>
          <w:sz w:val="24"/>
          <w:szCs w:val="24"/>
        </w:rPr>
        <w:t xml:space="preserve">A 60-day Federal Register Notice was published in the </w:t>
      </w:r>
      <w:r w:rsidRPr="00222FE0">
        <w:rPr>
          <w:rFonts w:cs="ITCFranklinGothicStd-BookIt"/>
          <w:i/>
          <w:iCs/>
          <w:sz w:val="24"/>
          <w:szCs w:val="24"/>
        </w:rPr>
        <w:t xml:space="preserve">Federal Register </w:t>
      </w:r>
      <w:r w:rsidRPr="00222FE0">
        <w:rPr>
          <w:rFonts w:cs="ITCFranklinGothicStd-Book"/>
          <w:sz w:val="24"/>
          <w:szCs w:val="24"/>
        </w:rPr>
        <w:t>on</w:t>
      </w:r>
      <w:r w:rsidRPr="00222FE0" w:rsidR="00D07AC4">
        <w:rPr>
          <w:rFonts w:cs="ITCFranklinGothicStd-Book"/>
          <w:sz w:val="24"/>
          <w:szCs w:val="24"/>
        </w:rPr>
        <w:t xml:space="preserve"> </w:t>
      </w:r>
      <w:r w:rsidR="006769C8">
        <w:rPr>
          <w:rFonts w:cs="ITCFranklinGothicStd-Book"/>
          <w:sz w:val="24"/>
          <w:szCs w:val="24"/>
        </w:rPr>
        <w:t>28 August 2020</w:t>
      </w:r>
      <w:r w:rsidRPr="00222FE0">
        <w:rPr>
          <w:rFonts w:cs="ITCFranklinGothicStd-Book"/>
          <w:sz w:val="24"/>
          <w:szCs w:val="24"/>
        </w:rPr>
        <w:t xml:space="preserve">, </w:t>
      </w:r>
      <w:r w:rsidRPr="00222FE0" w:rsidR="00CD47A3">
        <w:rPr>
          <w:rFonts w:cs="ITCFranklinGothicStd-Book"/>
          <w:sz w:val="24"/>
          <w:szCs w:val="24"/>
        </w:rPr>
        <w:t>V</w:t>
      </w:r>
      <w:r w:rsidRPr="00222FE0">
        <w:rPr>
          <w:rFonts w:cs="ITCFranklinGothicStd-Book"/>
          <w:sz w:val="24"/>
          <w:szCs w:val="24"/>
        </w:rPr>
        <w:t>ol.</w:t>
      </w:r>
      <w:r w:rsidRPr="00222FE0" w:rsidR="00671A02">
        <w:rPr>
          <w:rFonts w:cs="ITCFranklinGothicStd-Book"/>
          <w:sz w:val="24"/>
          <w:szCs w:val="24"/>
        </w:rPr>
        <w:t xml:space="preserve"> </w:t>
      </w:r>
      <w:r w:rsidR="006769C8">
        <w:rPr>
          <w:rFonts w:cs="ITCFranklinGothicStd-Book"/>
          <w:sz w:val="24"/>
          <w:szCs w:val="24"/>
        </w:rPr>
        <w:t>85</w:t>
      </w:r>
      <w:r w:rsidRPr="00222FE0">
        <w:rPr>
          <w:rFonts w:cs="ITCFranklinGothicStd-Book"/>
          <w:sz w:val="24"/>
          <w:szCs w:val="24"/>
        </w:rPr>
        <w:t xml:space="preserve">, No. </w:t>
      </w:r>
      <w:r w:rsidR="006769C8">
        <w:rPr>
          <w:rFonts w:cs="ITCFranklinGothicStd-Book"/>
          <w:sz w:val="24"/>
          <w:szCs w:val="24"/>
        </w:rPr>
        <w:t>168</w:t>
      </w:r>
      <w:r w:rsidRPr="00222FE0">
        <w:rPr>
          <w:rFonts w:cs="ITCFranklinGothicStd-Book"/>
          <w:sz w:val="24"/>
          <w:szCs w:val="24"/>
        </w:rPr>
        <w:t>, pp.</w:t>
      </w:r>
      <w:r w:rsidRPr="00222FE0" w:rsidR="0092441F">
        <w:rPr>
          <w:rFonts w:cs="ITCFranklinGothicStd-Book"/>
          <w:sz w:val="24"/>
          <w:szCs w:val="24"/>
        </w:rPr>
        <w:t xml:space="preserve"> </w:t>
      </w:r>
      <w:r w:rsidR="006769C8">
        <w:rPr>
          <w:rFonts w:cs="ITCFranklinGothicStd-Book"/>
          <w:sz w:val="24"/>
          <w:szCs w:val="24"/>
        </w:rPr>
        <w:t>53377</w:t>
      </w:r>
      <w:r w:rsidRPr="00222FE0" w:rsidR="00CD47A3">
        <w:rPr>
          <w:rFonts w:cs="ITCFranklinGothicStd-Book"/>
          <w:sz w:val="24"/>
          <w:szCs w:val="24"/>
        </w:rPr>
        <w:t>-</w:t>
      </w:r>
      <w:r w:rsidR="006769C8">
        <w:rPr>
          <w:rFonts w:cs="ITCFranklinGothicStd-Book"/>
          <w:sz w:val="24"/>
          <w:szCs w:val="24"/>
        </w:rPr>
        <w:t>79</w:t>
      </w:r>
      <w:r w:rsidRPr="00222FE0">
        <w:rPr>
          <w:rFonts w:cs="ITCFranklinGothicStd-Book"/>
          <w:sz w:val="24"/>
          <w:szCs w:val="24"/>
        </w:rPr>
        <w:t xml:space="preserve"> (</w:t>
      </w:r>
      <w:r w:rsidRPr="00222FE0" w:rsidR="00CD47A3">
        <w:rPr>
          <w:rFonts w:cs="ITCFranklinGothicStd-Book"/>
          <w:sz w:val="24"/>
          <w:szCs w:val="24"/>
        </w:rPr>
        <w:t xml:space="preserve">See </w:t>
      </w:r>
      <w:r w:rsidRPr="00222FE0">
        <w:rPr>
          <w:rFonts w:cs="ITCFranklinGothicStd-Book"/>
          <w:sz w:val="24"/>
          <w:szCs w:val="24"/>
        </w:rPr>
        <w:t>A</w:t>
      </w:r>
      <w:r w:rsidR="00674FF4">
        <w:rPr>
          <w:rFonts w:cs="ITCFranklinGothicStd-Book"/>
          <w:sz w:val="24"/>
          <w:szCs w:val="24"/>
        </w:rPr>
        <w:t>ppendix</w:t>
      </w:r>
      <w:r w:rsidRPr="00222FE0">
        <w:rPr>
          <w:rFonts w:cs="ITCFranklinGothicStd-Book"/>
          <w:sz w:val="24"/>
          <w:szCs w:val="24"/>
        </w:rPr>
        <w:t xml:space="preserve"> </w:t>
      </w:r>
      <w:r w:rsidRPr="00222FE0" w:rsidR="00CD47A3">
        <w:rPr>
          <w:rFonts w:cs="ITCFranklinGothicStd-Book"/>
          <w:sz w:val="24"/>
          <w:szCs w:val="24"/>
        </w:rPr>
        <w:t>B</w:t>
      </w:r>
      <w:r w:rsidRPr="00222FE0">
        <w:rPr>
          <w:rFonts w:cs="ITCFranklinGothicStd-Book"/>
          <w:sz w:val="24"/>
          <w:szCs w:val="24"/>
        </w:rPr>
        <w:t xml:space="preserve">). </w:t>
      </w:r>
      <w:r w:rsidRPr="00384597">
        <w:rPr>
          <w:rFonts w:cs="ITCFranklinGothicStd-Book"/>
          <w:sz w:val="24"/>
          <w:szCs w:val="24"/>
        </w:rPr>
        <w:t xml:space="preserve">CDC received </w:t>
      </w:r>
      <w:r w:rsidRPr="00384597" w:rsidR="00C07453">
        <w:rPr>
          <w:rFonts w:cs="ITCFranklinGothicStd-Book"/>
          <w:sz w:val="24"/>
          <w:szCs w:val="24"/>
        </w:rPr>
        <w:t>a total of</w:t>
      </w:r>
      <w:r w:rsidRPr="00384597" w:rsidR="00646424">
        <w:rPr>
          <w:rFonts w:cs="ITCFranklinGothicStd-Book"/>
          <w:sz w:val="24"/>
          <w:szCs w:val="24"/>
        </w:rPr>
        <w:t xml:space="preserve"> one</w:t>
      </w:r>
      <w:r w:rsidRPr="00384597" w:rsidR="00C07453">
        <w:rPr>
          <w:rFonts w:cs="ITCFranklinGothicStd-Book"/>
          <w:sz w:val="24"/>
          <w:szCs w:val="24"/>
        </w:rPr>
        <w:t xml:space="preserve"> public comment</w:t>
      </w:r>
      <w:r w:rsidRPr="00384597" w:rsidR="00F6391D">
        <w:rPr>
          <w:rFonts w:cs="ITCFranklinGothicStd-Book"/>
          <w:sz w:val="24"/>
          <w:szCs w:val="24"/>
        </w:rPr>
        <w:t xml:space="preserve"> related to this notice</w:t>
      </w:r>
      <w:r w:rsidRPr="00384597" w:rsidR="007D2041">
        <w:rPr>
          <w:rFonts w:cs="ITCFranklinGothicStd-Book"/>
          <w:sz w:val="24"/>
          <w:szCs w:val="24"/>
        </w:rPr>
        <w:t xml:space="preserve"> (A</w:t>
      </w:r>
      <w:r w:rsidR="00674FF4">
        <w:rPr>
          <w:rFonts w:cs="ITCFranklinGothicStd-Book"/>
          <w:sz w:val="24"/>
          <w:szCs w:val="24"/>
        </w:rPr>
        <w:t>ppendix</w:t>
      </w:r>
      <w:r w:rsidRPr="00384597" w:rsidR="007D2041">
        <w:rPr>
          <w:rFonts w:cs="ITCFranklinGothicStd-Book"/>
          <w:sz w:val="24"/>
          <w:szCs w:val="24"/>
        </w:rPr>
        <w:t xml:space="preserve"> B1)</w:t>
      </w:r>
      <w:r w:rsidRPr="00384597">
        <w:rPr>
          <w:rFonts w:cs="ITCFranklinGothicStd-Book"/>
          <w:sz w:val="24"/>
          <w:szCs w:val="24"/>
        </w:rPr>
        <w:t>.</w:t>
      </w:r>
      <w:r w:rsidR="00384597">
        <w:rPr>
          <w:rFonts w:cs="ITCFranklinGothicStd-Book"/>
          <w:sz w:val="24"/>
          <w:szCs w:val="24"/>
        </w:rPr>
        <w:t xml:space="preserve"> The comment was not considered substantive and no changes to the ICR were required. </w:t>
      </w:r>
    </w:p>
    <w:p w:rsidRPr="00C07453" w:rsidR="001E7F82" w:rsidP="005A0184" w:rsidRDefault="001E7F82" w14:paraId="77C81E53" w14:textId="77777777">
      <w:pPr>
        <w:pStyle w:val="ListParagraph"/>
        <w:autoSpaceDE w:val="0"/>
        <w:autoSpaceDN w:val="0"/>
        <w:adjustRightInd w:val="0"/>
        <w:spacing w:after="0" w:line="276" w:lineRule="auto"/>
        <w:ind w:left="360"/>
        <w:contextualSpacing w:val="0"/>
        <w:rPr>
          <w:rFonts w:cs="ITCFranklinGothicStd-Book"/>
          <w:sz w:val="24"/>
          <w:szCs w:val="24"/>
        </w:rPr>
      </w:pPr>
    </w:p>
    <w:p w:rsidRPr="00222FE0" w:rsidR="00B04C37" w:rsidP="005A0184" w:rsidRDefault="00590057" w14:paraId="5E14C678" w14:textId="37926463">
      <w:pPr>
        <w:autoSpaceDE w:val="0"/>
        <w:autoSpaceDN w:val="0"/>
        <w:adjustRightInd w:val="0"/>
        <w:spacing w:after="0" w:line="276" w:lineRule="auto"/>
        <w:jc w:val="both"/>
        <w:rPr>
          <w:rFonts w:cs="ITCFranklinGothicStd-Book"/>
          <w:sz w:val="24"/>
          <w:szCs w:val="24"/>
        </w:rPr>
      </w:pPr>
      <w:r>
        <w:rPr>
          <w:rFonts w:cs="ITCFranklinGothicStd-Book"/>
          <w:sz w:val="24"/>
          <w:szCs w:val="24"/>
        </w:rPr>
        <w:t>CDC partners with professional STLT organizations such as the Council for State and Territorial Epidemiologists (CSTE) and</w:t>
      </w:r>
      <w:r w:rsidR="009D2B6D">
        <w:rPr>
          <w:rFonts w:cs="ITCFranklinGothicStd-Book"/>
          <w:sz w:val="24"/>
          <w:szCs w:val="24"/>
        </w:rPr>
        <w:t xml:space="preserve"> federal groups such as the CDC Disaster Epidemiology Community of Practice (</w:t>
      </w:r>
      <w:proofErr w:type="spellStart"/>
      <w:r w:rsidR="009D2B6D">
        <w:rPr>
          <w:rFonts w:cs="ITCFranklinGothicStd-Book"/>
          <w:sz w:val="24"/>
          <w:szCs w:val="24"/>
        </w:rPr>
        <w:t>DECoP</w:t>
      </w:r>
      <w:proofErr w:type="spellEnd"/>
      <w:r w:rsidR="009D2B6D">
        <w:rPr>
          <w:rFonts w:cs="ITCFranklinGothicStd-Book"/>
          <w:sz w:val="24"/>
          <w:szCs w:val="24"/>
        </w:rPr>
        <w:t xml:space="preserve">). The CDC </w:t>
      </w:r>
      <w:proofErr w:type="spellStart"/>
      <w:r w:rsidR="009D2B6D">
        <w:rPr>
          <w:rFonts w:cs="ITCFranklinGothicStd-Book"/>
          <w:sz w:val="24"/>
          <w:szCs w:val="24"/>
        </w:rPr>
        <w:t>DECoP</w:t>
      </w:r>
      <w:proofErr w:type="spellEnd"/>
      <w:r w:rsidR="009D2B6D">
        <w:rPr>
          <w:rFonts w:cs="ITCFranklinGothicStd-Book"/>
          <w:sz w:val="24"/>
          <w:szCs w:val="24"/>
        </w:rPr>
        <w:t xml:space="preserve"> includes internal and external partners, including STLT health agencies, emergency managers, and academia. </w:t>
      </w:r>
      <w:r w:rsidRPr="00222FE0" w:rsidR="00AF164C">
        <w:rPr>
          <w:rFonts w:cs="ITCFranklinGothicStd-Book"/>
          <w:sz w:val="24"/>
          <w:szCs w:val="24"/>
        </w:rPr>
        <w:t>The</w:t>
      </w:r>
      <w:r w:rsidRPr="00222FE0" w:rsidR="00993D30">
        <w:rPr>
          <w:rFonts w:cs="ITCFranklinGothicStd-Book"/>
          <w:sz w:val="24"/>
          <w:szCs w:val="24"/>
        </w:rPr>
        <w:t xml:space="preserve"> following people </w:t>
      </w:r>
      <w:r w:rsidRPr="00222FE0" w:rsidR="00D62EE3">
        <w:rPr>
          <w:rFonts w:cs="ITCFranklinGothicStd-Demi"/>
          <w:sz w:val="24"/>
          <w:szCs w:val="24"/>
        </w:rPr>
        <w:t>outside</w:t>
      </w:r>
      <w:r w:rsidRPr="00222FE0" w:rsidR="0051660A">
        <w:rPr>
          <w:rFonts w:cs="ITCFranklinGothicStd-Demi"/>
          <w:sz w:val="24"/>
          <w:szCs w:val="24"/>
        </w:rPr>
        <w:t xml:space="preserve"> and inside</w:t>
      </w:r>
      <w:r w:rsidRPr="00222FE0" w:rsidR="003A0349">
        <w:rPr>
          <w:rFonts w:cs="ITCFranklinGothicStd-Demi"/>
          <w:sz w:val="24"/>
          <w:szCs w:val="24"/>
        </w:rPr>
        <w:t xml:space="preserve"> </w:t>
      </w:r>
      <w:r w:rsidRPr="00222FE0" w:rsidR="00D62EE3">
        <w:rPr>
          <w:rFonts w:cs="ITCFranklinGothicStd-Demi"/>
          <w:sz w:val="24"/>
          <w:szCs w:val="24"/>
        </w:rPr>
        <w:t xml:space="preserve">the agency </w:t>
      </w:r>
      <w:r w:rsidRPr="00222FE0" w:rsidR="00AF164C">
        <w:rPr>
          <w:rFonts w:cs="ITCFranklinGothicStd-Demi"/>
          <w:sz w:val="24"/>
          <w:szCs w:val="24"/>
        </w:rPr>
        <w:t xml:space="preserve">were consulted </w:t>
      </w:r>
      <w:r w:rsidRPr="00222FE0" w:rsidR="00D62EE3">
        <w:rPr>
          <w:rFonts w:cs="ITCFranklinGothicStd-Book"/>
          <w:sz w:val="24"/>
          <w:szCs w:val="24"/>
        </w:rPr>
        <w:t xml:space="preserve">to obtain their views on the availability of data, frequency of collection, the clarity of instructions, and on the data elements to be reported. </w:t>
      </w:r>
    </w:p>
    <w:p w:rsidRPr="00993D30" w:rsidR="001E7F82" w:rsidP="001E7F82" w:rsidRDefault="001E7F82" w14:paraId="227225F8" w14:textId="77777777">
      <w:pPr>
        <w:pStyle w:val="ListParagraph"/>
        <w:autoSpaceDE w:val="0"/>
        <w:autoSpaceDN w:val="0"/>
        <w:adjustRightInd w:val="0"/>
        <w:spacing w:after="0" w:line="240" w:lineRule="auto"/>
        <w:ind w:left="360"/>
        <w:contextualSpacing w:val="0"/>
        <w:rPr>
          <w:rFonts w:cs="ITCFranklinGothicStd-Book"/>
          <w:sz w:val="24"/>
          <w:szCs w:val="24"/>
        </w:rPr>
      </w:pPr>
    </w:p>
    <w:p w:rsidRPr="00A50A99" w:rsidR="0051660A" w:rsidP="001E7F82" w:rsidRDefault="00993D30" w14:paraId="720E8416" w14:textId="6CC29D18">
      <w:pPr>
        <w:pStyle w:val="ListParagraph"/>
        <w:autoSpaceDE w:val="0"/>
        <w:autoSpaceDN w:val="0"/>
        <w:adjustRightInd w:val="0"/>
        <w:spacing w:after="0" w:line="240" w:lineRule="auto"/>
        <w:ind w:left="90"/>
        <w:contextualSpacing w:val="0"/>
        <w:rPr>
          <w:rFonts w:cs="ITCFranklinGothicStd-Book"/>
          <w:bCs/>
          <w:sz w:val="24"/>
          <w:szCs w:val="24"/>
        </w:rPr>
      </w:pPr>
      <w:r w:rsidRPr="00A50A99">
        <w:rPr>
          <w:rFonts w:cs="ITCFranklinGothicStd-Book"/>
          <w:bCs/>
          <w:sz w:val="24"/>
          <w:szCs w:val="24"/>
        </w:rPr>
        <w:t xml:space="preserve">Table </w:t>
      </w:r>
      <w:r w:rsidRPr="00A50A99" w:rsidR="00C0745D">
        <w:rPr>
          <w:rFonts w:cs="ITCFranklinGothicStd-Book"/>
          <w:bCs/>
          <w:sz w:val="24"/>
          <w:szCs w:val="24"/>
        </w:rPr>
        <w:t>A.8.1 External and internal</w:t>
      </w:r>
      <w:r w:rsidRPr="00A50A99">
        <w:rPr>
          <w:rFonts w:cs="ITCFranklinGothicStd-Book"/>
          <w:bCs/>
          <w:sz w:val="24"/>
          <w:szCs w:val="24"/>
        </w:rPr>
        <w:t xml:space="preserve"> consultations</w:t>
      </w:r>
      <w:r w:rsidRPr="00A50A99" w:rsidR="00C0745D">
        <w:rPr>
          <w:rFonts w:cs="ITCFranklinGothicStd-Book"/>
          <w:bCs/>
          <w:sz w:val="24"/>
          <w:szCs w:val="24"/>
        </w:rPr>
        <w:t xml:space="preserve"> for this data collection</w:t>
      </w:r>
      <w:r w:rsidRPr="00A50A99">
        <w:rPr>
          <w:rFonts w:cs="ITCFranklinGothicStd-Book"/>
          <w:bCs/>
          <w:sz w:val="24"/>
          <w:szCs w:val="24"/>
        </w:rPr>
        <w:t>.</w:t>
      </w:r>
    </w:p>
    <w:tbl>
      <w:tblPr>
        <w:tblStyle w:val="TableGrid"/>
        <w:tblW w:w="9360" w:type="dxa"/>
        <w:tblInd w:w="-5" w:type="dxa"/>
        <w:tblLook w:val="04A0" w:firstRow="1" w:lastRow="0" w:firstColumn="1" w:lastColumn="0" w:noHBand="0" w:noVBand="1"/>
      </w:tblPr>
      <w:tblGrid>
        <w:gridCol w:w="1474"/>
        <w:gridCol w:w="1658"/>
        <w:gridCol w:w="1752"/>
        <w:gridCol w:w="1554"/>
        <w:gridCol w:w="3467"/>
      </w:tblGrid>
      <w:tr w:rsidR="00CC6196" w:rsidTr="007A6D70" w14:paraId="063FF4B7" w14:textId="77777777">
        <w:tc>
          <w:tcPr>
            <w:tcW w:w="2060" w:type="dxa"/>
            <w:shd w:val="clear" w:color="auto" w:fill="4F81BD" w:themeFill="accent1"/>
          </w:tcPr>
          <w:p w:rsidR="0051660A" w:rsidP="001E7F82" w:rsidRDefault="0051660A" w14:paraId="0B0BD1B1" w14:textId="29E068A5">
            <w:pPr>
              <w:autoSpaceDE w:val="0"/>
              <w:autoSpaceDN w:val="0"/>
              <w:adjustRightInd w:val="0"/>
              <w:jc w:val="both"/>
              <w:rPr>
                <w:rFonts w:cstheme="minorHAnsi"/>
                <w:sz w:val="24"/>
                <w:szCs w:val="24"/>
              </w:rPr>
            </w:pPr>
            <w:r>
              <w:rPr>
                <w:rFonts w:cstheme="minorHAnsi"/>
                <w:sz w:val="24"/>
                <w:szCs w:val="24"/>
              </w:rPr>
              <w:t>Name</w:t>
            </w:r>
          </w:p>
        </w:tc>
        <w:tc>
          <w:tcPr>
            <w:tcW w:w="1750" w:type="dxa"/>
            <w:shd w:val="clear" w:color="auto" w:fill="4F81BD" w:themeFill="accent1"/>
          </w:tcPr>
          <w:p w:rsidR="0051660A" w:rsidP="001E7F82" w:rsidRDefault="0051660A" w14:paraId="5F783756" w14:textId="0E2E93D6">
            <w:pPr>
              <w:autoSpaceDE w:val="0"/>
              <w:autoSpaceDN w:val="0"/>
              <w:adjustRightInd w:val="0"/>
              <w:jc w:val="both"/>
              <w:rPr>
                <w:rFonts w:cstheme="minorHAnsi"/>
                <w:sz w:val="24"/>
                <w:szCs w:val="24"/>
              </w:rPr>
            </w:pPr>
            <w:r>
              <w:rPr>
                <w:rFonts w:cstheme="minorHAnsi"/>
                <w:sz w:val="24"/>
                <w:szCs w:val="24"/>
              </w:rPr>
              <w:t>Title</w:t>
            </w:r>
          </w:p>
        </w:tc>
        <w:tc>
          <w:tcPr>
            <w:tcW w:w="1843" w:type="dxa"/>
            <w:shd w:val="clear" w:color="auto" w:fill="4F81BD" w:themeFill="accent1"/>
          </w:tcPr>
          <w:p w:rsidR="0051660A" w:rsidP="001E7F82" w:rsidRDefault="0051660A" w14:paraId="21EFB563" w14:textId="58B66155">
            <w:pPr>
              <w:autoSpaceDE w:val="0"/>
              <w:autoSpaceDN w:val="0"/>
              <w:adjustRightInd w:val="0"/>
              <w:jc w:val="both"/>
              <w:rPr>
                <w:rFonts w:cstheme="minorHAnsi"/>
                <w:sz w:val="24"/>
                <w:szCs w:val="24"/>
              </w:rPr>
            </w:pPr>
            <w:r>
              <w:rPr>
                <w:rFonts w:cstheme="minorHAnsi"/>
                <w:sz w:val="24"/>
                <w:szCs w:val="24"/>
              </w:rPr>
              <w:t>Affiliation</w:t>
            </w:r>
          </w:p>
        </w:tc>
        <w:tc>
          <w:tcPr>
            <w:tcW w:w="1637" w:type="dxa"/>
            <w:shd w:val="clear" w:color="auto" w:fill="4F81BD" w:themeFill="accent1"/>
          </w:tcPr>
          <w:p w:rsidR="0051660A" w:rsidP="001E7F82" w:rsidRDefault="0051660A" w14:paraId="040E53F6" w14:textId="2108DF6D">
            <w:pPr>
              <w:autoSpaceDE w:val="0"/>
              <w:autoSpaceDN w:val="0"/>
              <w:adjustRightInd w:val="0"/>
              <w:jc w:val="both"/>
              <w:rPr>
                <w:rFonts w:cstheme="minorHAnsi"/>
                <w:sz w:val="24"/>
                <w:szCs w:val="24"/>
              </w:rPr>
            </w:pPr>
            <w:r>
              <w:rPr>
                <w:rFonts w:cstheme="minorHAnsi"/>
                <w:sz w:val="24"/>
                <w:szCs w:val="24"/>
              </w:rPr>
              <w:t>Phone</w:t>
            </w:r>
          </w:p>
        </w:tc>
        <w:tc>
          <w:tcPr>
            <w:tcW w:w="2070" w:type="dxa"/>
            <w:shd w:val="clear" w:color="auto" w:fill="4F81BD" w:themeFill="accent1"/>
          </w:tcPr>
          <w:p w:rsidR="0051660A" w:rsidP="001E7F82" w:rsidRDefault="0051660A" w14:paraId="34B7B24D" w14:textId="3F6163EF">
            <w:pPr>
              <w:autoSpaceDE w:val="0"/>
              <w:autoSpaceDN w:val="0"/>
              <w:adjustRightInd w:val="0"/>
              <w:jc w:val="both"/>
              <w:rPr>
                <w:rFonts w:cstheme="minorHAnsi"/>
                <w:sz w:val="24"/>
                <w:szCs w:val="24"/>
              </w:rPr>
            </w:pPr>
            <w:r>
              <w:rPr>
                <w:rFonts w:cstheme="minorHAnsi"/>
                <w:sz w:val="24"/>
                <w:szCs w:val="24"/>
              </w:rPr>
              <w:t>Email</w:t>
            </w:r>
          </w:p>
        </w:tc>
      </w:tr>
      <w:tr w:rsidR="0051660A" w:rsidTr="007A6D70" w14:paraId="387BC4AC" w14:textId="77777777">
        <w:tc>
          <w:tcPr>
            <w:tcW w:w="9360" w:type="dxa"/>
            <w:gridSpan w:val="5"/>
            <w:shd w:val="clear" w:color="auto" w:fill="DBE5F1" w:themeFill="accent1" w:themeFillTint="33"/>
          </w:tcPr>
          <w:p w:rsidRPr="001E7F82" w:rsidR="0051660A" w:rsidP="001E7F82" w:rsidRDefault="0051660A" w14:paraId="077F44B7" w14:textId="253439B7">
            <w:pPr>
              <w:autoSpaceDE w:val="0"/>
              <w:autoSpaceDN w:val="0"/>
              <w:adjustRightInd w:val="0"/>
              <w:rPr>
                <w:rFonts w:cstheme="minorHAnsi"/>
                <w:bCs/>
                <w:sz w:val="24"/>
                <w:szCs w:val="24"/>
              </w:rPr>
            </w:pPr>
            <w:r w:rsidRPr="001E7F82">
              <w:rPr>
                <w:rFonts w:cstheme="minorHAnsi"/>
                <w:bCs/>
                <w:sz w:val="24"/>
                <w:szCs w:val="24"/>
              </w:rPr>
              <w:t>Consultation</w:t>
            </w:r>
            <w:r w:rsidRPr="001E7F82" w:rsidR="00335DD0">
              <w:rPr>
                <w:rFonts w:cstheme="minorHAnsi"/>
                <w:bCs/>
                <w:sz w:val="24"/>
                <w:szCs w:val="24"/>
              </w:rPr>
              <w:t>s</w:t>
            </w:r>
            <w:r w:rsidRPr="001E7F82">
              <w:rPr>
                <w:rFonts w:cstheme="minorHAnsi"/>
                <w:bCs/>
                <w:sz w:val="24"/>
                <w:szCs w:val="24"/>
              </w:rPr>
              <w:t xml:space="preserve"> outside the agency</w:t>
            </w:r>
          </w:p>
        </w:tc>
      </w:tr>
      <w:tr w:rsidR="005F1FF4" w:rsidTr="00671A02" w14:paraId="3D069AC3" w14:textId="77777777">
        <w:tc>
          <w:tcPr>
            <w:tcW w:w="2060" w:type="dxa"/>
          </w:tcPr>
          <w:p w:rsidRPr="00CC6196" w:rsidR="00671A02" w:rsidP="001E7F82" w:rsidRDefault="00266643" w14:paraId="1FF4161A" w14:textId="1FA32018">
            <w:pPr>
              <w:autoSpaceDE w:val="0"/>
              <w:autoSpaceDN w:val="0"/>
              <w:adjustRightInd w:val="0"/>
              <w:rPr>
                <w:rFonts w:cstheme="minorHAnsi"/>
                <w:bCs/>
                <w:sz w:val="24"/>
                <w:szCs w:val="24"/>
              </w:rPr>
            </w:pPr>
            <w:r>
              <w:rPr>
                <w:rFonts w:cs="ITCFranklinGothicStd-Book"/>
                <w:bCs/>
                <w:sz w:val="24"/>
                <w:szCs w:val="24"/>
              </w:rPr>
              <w:t>Herminia Alva</w:t>
            </w:r>
          </w:p>
        </w:tc>
        <w:tc>
          <w:tcPr>
            <w:tcW w:w="1750" w:type="dxa"/>
          </w:tcPr>
          <w:p w:rsidRPr="00CC6196" w:rsidR="00671A02" w:rsidP="001E7F82" w:rsidRDefault="00266643" w14:paraId="7200A7DA" w14:textId="5012F017">
            <w:pPr>
              <w:autoSpaceDE w:val="0"/>
              <w:autoSpaceDN w:val="0"/>
              <w:adjustRightInd w:val="0"/>
              <w:rPr>
                <w:rFonts w:cstheme="minorHAnsi"/>
                <w:bCs/>
                <w:sz w:val="24"/>
                <w:szCs w:val="24"/>
              </w:rPr>
            </w:pPr>
            <w:r>
              <w:rPr>
                <w:rFonts w:cs="ITCFranklinGothicStd-Book"/>
                <w:bCs/>
                <w:sz w:val="24"/>
                <w:szCs w:val="24"/>
              </w:rPr>
              <w:t>Disaster Epidemiologist</w:t>
            </w:r>
          </w:p>
        </w:tc>
        <w:tc>
          <w:tcPr>
            <w:tcW w:w="1843" w:type="dxa"/>
          </w:tcPr>
          <w:p w:rsidRPr="00CC6196" w:rsidR="00671A02" w:rsidP="001E7F82" w:rsidRDefault="00266643" w14:paraId="1E34502E" w14:textId="0191851D">
            <w:pPr>
              <w:autoSpaceDE w:val="0"/>
              <w:autoSpaceDN w:val="0"/>
              <w:adjustRightInd w:val="0"/>
              <w:rPr>
                <w:rFonts w:cstheme="minorHAnsi"/>
                <w:bCs/>
                <w:sz w:val="24"/>
                <w:szCs w:val="24"/>
              </w:rPr>
            </w:pPr>
            <w:r>
              <w:rPr>
                <w:rFonts w:cs="ITCFranklinGothicStd-Book"/>
                <w:bCs/>
                <w:sz w:val="24"/>
                <w:szCs w:val="24"/>
              </w:rPr>
              <w:t>Texas Department of State Health Services</w:t>
            </w:r>
          </w:p>
        </w:tc>
        <w:tc>
          <w:tcPr>
            <w:tcW w:w="1637" w:type="dxa"/>
          </w:tcPr>
          <w:p w:rsidRPr="00CC6196" w:rsidR="00671A02" w:rsidP="001E7F82" w:rsidRDefault="00D46F5F" w14:paraId="57F4C376" w14:textId="46AC6C72">
            <w:pPr>
              <w:autoSpaceDE w:val="0"/>
              <w:autoSpaceDN w:val="0"/>
              <w:adjustRightInd w:val="0"/>
              <w:rPr>
                <w:rFonts w:cstheme="minorHAnsi"/>
                <w:bCs/>
                <w:sz w:val="24"/>
                <w:szCs w:val="24"/>
              </w:rPr>
            </w:pPr>
            <w:r>
              <w:rPr>
                <w:rFonts w:cs="ITCFranklinGothicStd-Book"/>
                <w:bCs/>
                <w:sz w:val="24"/>
                <w:szCs w:val="24"/>
              </w:rPr>
              <w:t>512.776.6422</w:t>
            </w:r>
          </w:p>
        </w:tc>
        <w:tc>
          <w:tcPr>
            <w:tcW w:w="2070" w:type="dxa"/>
          </w:tcPr>
          <w:p w:rsidRPr="00CC6196" w:rsidR="00671A02" w:rsidP="001E7F82" w:rsidRDefault="008428A8" w14:paraId="63FB5C08" w14:textId="5FC9331F">
            <w:pPr>
              <w:autoSpaceDE w:val="0"/>
              <w:autoSpaceDN w:val="0"/>
              <w:adjustRightInd w:val="0"/>
              <w:rPr>
                <w:rFonts w:cstheme="minorHAnsi"/>
                <w:bCs/>
                <w:sz w:val="24"/>
                <w:szCs w:val="24"/>
              </w:rPr>
            </w:pPr>
            <w:r>
              <w:rPr>
                <w:rFonts w:cs="ITCFranklinGothicStd-Book"/>
                <w:bCs/>
                <w:sz w:val="24"/>
                <w:szCs w:val="24"/>
              </w:rPr>
              <w:t>Herminia.Alva@dshs.texas.gov</w:t>
            </w:r>
          </w:p>
        </w:tc>
      </w:tr>
      <w:tr w:rsidR="008428A8" w:rsidTr="00671A02" w14:paraId="0067E5A7" w14:textId="77777777">
        <w:tc>
          <w:tcPr>
            <w:tcW w:w="2060" w:type="dxa"/>
          </w:tcPr>
          <w:p w:rsidRPr="008428A8" w:rsidR="008428A8" w:rsidDel="00266643" w:rsidP="001E7F82" w:rsidRDefault="008428A8" w14:paraId="09317DEF" w14:textId="2379A575">
            <w:pPr>
              <w:autoSpaceDE w:val="0"/>
              <w:autoSpaceDN w:val="0"/>
              <w:adjustRightInd w:val="0"/>
              <w:rPr>
                <w:rFonts w:cs="ITCFranklinGothicStd-Book"/>
                <w:bCs/>
                <w:sz w:val="24"/>
                <w:szCs w:val="24"/>
              </w:rPr>
            </w:pPr>
            <w:r>
              <w:rPr>
                <w:rFonts w:cs="ITCFranklinGothicStd-Book"/>
                <w:bCs/>
                <w:sz w:val="24"/>
                <w:szCs w:val="24"/>
              </w:rPr>
              <w:t xml:space="preserve">Tess </w:t>
            </w:r>
            <w:proofErr w:type="spellStart"/>
            <w:r>
              <w:rPr>
                <w:rFonts w:cs="ITCFranklinGothicStd-Book"/>
                <w:bCs/>
                <w:sz w:val="24"/>
                <w:szCs w:val="24"/>
              </w:rPr>
              <w:t>Konen</w:t>
            </w:r>
            <w:proofErr w:type="spellEnd"/>
          </w:p>
        </w:tc>
        <w:tc>
          <w:tcPr>
            <w:tcW w:w="1750" w:type="dxa"/>
          </w:tcPr>
          <w:p w:rsidRPr="008428A8" w:rsidR="008428A8" w:rsidDel="00266643" w:rsidP="001E7F82" w:rsidRDefault="00D52BF8" w14:paraId="4AB8F8B0" w14:textId="581548B8">
            <w:pPr>
              <w:autoSpaceDE w:val="0"/>
              <w:autoSpaceDN w:val="0"/>
              <w:adjustRightInd w:val="0"/>
              <w:rPr>
                <w:rFonts w:cs="ITCFranklinGothicStd-Book"/>
                <w:bCs/>
                <w:sz w:val="24"/>
                <w:szCs w:val="24"/>
              </w:rPr>
            </w:pPr>
            <w:r>
              <w:rPr>
                <w:rFonts w:cs="ITCFranklinGothicStd-Book"/>
                <w:bCs/>
                <w:sz w:val="24"/>
                <w:szCs w:val="24"/>
              </w:rPr>
              <w:t>Senior Epidemiologist</w:t>
            </w:r>
          </w:p>
        </w:tc>
        <w:tc>
          <w:tcPr>
            <w:tcW w:w="1843" w:type="dxa"/>
          </w:tcPr>
          <w:p w:rsidRPr="008428A8" w:rsidR="008428A8" w:rsidDel="00266643" w:rsidP="001E7F82" w:rsidRDefault="006F654E" w14:paraId="352960FD" w14:textId="0C444385">
            <w:pPr>
              <w:autoSpaceDE w:val="0"/>
              <w:autoSpaceDN w:val="0"/>
              <w:adjustRightInd w:val="0"/>
              <w:rPr>
                <w:rFonts w:cs="ITCFranklinGothicStd-Book"/>
                <w:bCs/>
                <w:sz w:val="24"/>
                <w:szCs w:val="24"/>
              </w:rPr>
            </w:pPr>
            <w:r>
              <w:rPr>
                <w:rFonts w:cs="ITCFranklinGothicStd-Book"/>
                <w:bCs/>
                <w:sz w:val="24"/>
                <w:szCs w:val="24"/>
              </w:rPr>
              <w:t>MN Department of Health</w:t>
            </w:r>
          </w:p>
        </w:tc>
        <w:tc>
          <w:tcPr>
            <w:tcW w:w="1637" w:type="dxa"/>
          </w:tcPr>
          <w:p w:rsidRPr="008428A8" w:rsidR="008428A8" w:rsidDel="008428A8" w:rsidP="001E7F82" w:rsidRDefault="00D52BF8" w14:paraId="0F7A96B7" w14:textId="22142BE2">
            <w:pPr>
              <w:autoSpaceDE w:val="0"/>
              <w:autoSpaceDN w:val="0"/>
              <w:adjustRightInd w:val="0"/>
              <w:rPr>
                <w:rFonts w:cs="ITCFranklinGothicStd-Book"/>
                <w:bCs/>
                <w:sz w:val="24"/>
                <w:szCs w:val="24"/>
              </w:rPr>
            </w:pPr>
            <w:r>
              <w:rPr>
                <w:rFonts w:cs="ITCFranklinGothicStd-Book"/>
                <w:bCs/>
                <w:sz w:val="24"/>
                <w:szCs w:val="24"/>
              </w:rPr>
              <w:t>651.201.5606</w:t>
            </w:r>
          </w:p>
        </w:tc>
        <w:tc>
          <w:tcPr>
            <w:tcW w:w="2070" w:type="dxa"/>
          </w:tcPr>
          <w:p w:rsidRPr="008428A8" w:rsidR="008428A8" w:rsidDel="008428A8" w:rsidP="001E7F82" w:rsidRDefault="00D52BF8" w14:paraId="6CF4A4EC" w14:textId="637BC3DA">
            <w:pPr>
              <w:autoSpaceDE w:val="0"/>
              <w:autoSpaceDN w:val="0"/>
              <w:adjustRightInd w:val="0"/>
              <w:rPr>
                <w:rFonts w:cs="ITCFranklinGothicStd-Book"/>
                <w:bCs/>
                <w:sz w:val="24"/>
                <w:szCs w:val="24"/>
              </w:rPr>
            </w:pPr>
            <w:r>
              <w:rPr>
                <w:rFonts w:cs="ITCFranklinGothicStd-Book"/>
                <w:bCs/>
                <w:sz w:val="24"/>
                <w:szCs w:val="24"/>
              </w:rPr>
              <w:t>Tess</w:t>
            </w:r>
            <w:r w:rsidR="00D46F5F">
              <w:rPr>
                <w:rFonts w:cs="ITCFranklinGothicStd-Book"/>
                <w:bCs/>
                <w:sz w:val="24"/>
                <w:szCs w:val="24"/>
              </w:rPr>
              <w:t>.Konen@state.mn.us</w:t>
            </w:r>
          </w:p>
        </w:tc>
      </w:tr>
      <w:tr w:rsidR="008428A8" w:rsidTr="00671A02" w14:paraId="63E766E2" w14:textId="77777777">
        <w:tc>
          <w:tcPr>
            <w:tcW w:w="2060" w:type="dxa"/>
          </w:tcPr>
          <w:p w:rsidRPr="008428A8" w:rsidR="008428A8" w:rsidDel="00266643" w:rsidP="001E7F82" w:rsidRDefault="008428A8" w14:paraId="33104EB6" w14:textId="7863BDBD">
            <w:pPr>
              <w:autoSpaceDE w:val="0"/>
              <w:autoSpaceDN w:val="0"/>
              <w:adjustRightInd w:val="0"/>
              <w:rPr>
                <w:rFonts w:cs="ITCFranklinGothicStd-Book"/>
                <w:bCs/>
                <w:sz w:val="24"/>
                <w:szCs w:val="24"/>
              </w:rPr>
            </w:pPr>
            <w:r>
              <w:rPr>
                <w:rFonts w:cs="ITCFranklinGothicStd-Book"/>
                <w:bCs/>
                <w:sz w:val="24"/>
                <w:szCs w:val="24"/>
              </w:rPr>
              <w:lastRenderedPageBreak/>
              <w:t xml:space="preserve">Svetlana </w:t>
            </w:r>
            <w:proofErr w:type="spellStart"/>
            <w:r>
              <w:rPr>
                <w:rFonts w:cs="ITCFranklinGothicStd-Book"/>
                <w:bCs/>
                <w:sz w:val="24"/>
                <w:szCs w:val="24"/>
              </w:rPr>
              <w:t>Smorodinsky</w:t>
            </w:r>
            <w:proofErr w:type="spellEnd"/>
          </w:p>
        </w:tc>
        <w:tc>
          <w:tcPr>
            <w:tcW w:w="1750" w:type="dxa"/>
          </w:tcPr>
          <w:p w:rsidRPr="008428A8" w:rsidR="008428A8" w:rsidDel="00266643" w:rsidP="001E7F82" w:rsidRDefault="006F654E" w14:paraId="13A866C0" w14:textId="17D986AB">
            <w:pPr>
              <w:autoSpaceDE w:val="0"/>
              <w:autoSpaceDN w:val="0"/>
              <w:adjustRightInd w:val="0"/>
              <w:rPr>
                <w:rFonts w:cs="ITCFranklinGothicStd-Book"/>
                <w:bCs/>
                <w:sz w:val="24"/>
                <w:szCs w:val="24"/>
              </w:rPr>
            </w:pPr>
            <w:r>
              <w:rPr>
                <w:rFonts w:cs="ITCFranklinGothicStd-Book"/>
                <w:bCs/>
                <w:sz w:val="24"/>
                <w:szCs w:val="24"/>
              </w:rPr>
              <w:t>Disaster Epidemiologist</w:t>
            </w:r>
          </w:p>
        </w:tc>
        <w:tc>
          <w:tcPr>
            <w:tcW w:w="1843" w:type="dxa"/>
          </w:tcPr>
          <w:p w:rsidRPr="008428A8" w:rsidR="008428A8" w:rsidDel="00266643" w:rsidP="001E7F82" w:rsidRDefault="006F654E" w14:paraId="3E7A83EE" w14:textId="0CE6B157">
            <w:pPr>
              <w:autoSpaceDE w:val="0"/>
              <w:autoSpaceDN w:val="0"/>
              <w:adjustRightInd w:val="0"/>
              <w:rPr>
                <w:rFonts w:cs="ITCFranklinGothicStd-Book"/>
                <w:bCs/>
                <w:sz w:val="24"/>
                <w:szCs w:val="24"/>
              </w:rPr>
            </w:pPr>
            <w:r>
              <w:rPr>
                <w:rFonts w:cs="ITCFranklinGothicStd-Book"/>
                <w:bCs/>
                <w:sz w:val="24"/>
                <w:szCs w:val="24"/>
              </w:rPr>
              <w:t xml:space="preserve">CA Department of </w:t>
            </w:r>
            <w:proofErr w:type="spellStart"/>
            <w:r>
              <w:rPr>
                <w:rFonts w:cs="ITCFranklinGothicStd-Book"/>
                <w:bCs/>
                <w:sz w:val="24"/>
                <w:szCs w:val="24"/>
              </w:rPr>
              <w:t>Pubic</w:t>
            </w:r>
            <w:proofErr w:type="spellEnd"/>
            <w:r>
              <w:rPr>
                <w:rFonts w:cs="ITCFranklinGothicStd-Book"/>
                <w:bCs/>
                <w:sz w:val="24"/>
                <w:szCs w:val="24"/>
              </w:rPr>
              <w:t xml:space="preserve"> Health</w:t>
            </w:r>
          </w:p>
        </w:tc>
        <w:tc>
          <w:tcPr>
            <w:tcW w:w="1637" w:type="dxa"/>
          </w:tcPr>
          <w:p w:rsidRPr="008428A8" w:rsidR="008428A8" w:rsidDel="008428A8" w:rsidP="001E7F82" w:rsidRDefault="00C83027" w14:paraId="7D24136E" w14:textId="279DE485">
            <w:pPr>
              <w:autoSpaceDE w:val="0"/>
              <w:autoSpaceDN w:val="0"/>
              <w:adjustRightInd w:val="0"/>
              <w:rPr>
                <w:rFonts w:cs="ITCFranklinGothicStd-Book"/>
                <w:bCs/>
                <w:sz w:val="24"/>
                <w:szCs w:val="24"/>
              </w:rPr>
            </w:pPr>
            <w:r>
              <w:rPr>
                <w:rFonts w:cs="ITCFranklinGothicStd-Book"/>
                <w:bCs/>
                <w:sz w:val="24"/>
                <w:szCs w:val="24"/>
              </w:rPr>
              <w:t>510.620.3642</w:t>
            </w:r>
          </w:p>
        </w:tc>
        <w:tc>
          <w:tcPr>
            <w:tcW w:w="2070" w:type="dxa"/>
          </w:tcPr>
          <w:p w:rsidRPr="008428A8" w:rsidR="008428A8" w:rsidDel="008428A8" w:rsidP="001E7F82" w:rsidRDefault="00C83027" w14:paraId="6C0A5839" w14:textId="5A97032E">
            <w:pPr>
              <w:autoSpaceDE w:val="0"/>
              <w:autoSpaceDN w:val="0"/>
              <w:adjustRightInd w:val="0"/>
              <w:rPr>
                <w:rFonts w:cs="ITCFranklinGothicStd-Book"/>
                <w:bCs/>
                <w:sz w:val="24"/>
                <w:szCs w:val="24"/>
              </w:rPr>
            </w:pPr>
            <w:r>
              <w:rPr>
                <w:rFonts w:cs="ITCFranklinGothicStd-Book"/>
                <w:bCs/>
                <w:sz w:val="24"/>
                <w:szCs w:val="24"/>
              </w:rPr>
              <w:t>Svetlana.Smorodinsky@cdph.gov</w:t>
            </w:r>
          </w:p>
        </w:tc>
      </w:tr>
      <w:tr w:rsidR="005F1FF4" w:rsidTr="00671A02" w14:paraId="40954B15" w14:textId="77777777">
        <w:tc>
          <w:tcPr>
            <w:tcW w:w="2060" w:type="dxa"/>
          </w:tcPr>
          <w:p w:rsidR="005F1FF4" w:rsidP="001E7F82" w:rsidRDefault="005F1FF4" w14:paraId="51E50145" w14:textId="110B7F8B">
            <w:pPr>
              <w:autoSpaceDE w:val="0"/>
              <w:autoSpaceDN w:val="0"/>
              <w:adjustRightInd w:val="0"/>
              <w:rPr>
                <w:rFonts w:cs="ITCFranklinGothicStd-Book"/>
                <w:bCs/>
                <w:sz w:val="24"/>
                <w:szCs w:val="24"/>
              </w:rPr>
            </w:pPr>
            <w:r>
              <w:rPr>
                <w:rFonts w:cs="ITCFranklinGothicStd-Book"/>
                <w:bCs/>
                <w:sz w:val="24"/>
                <w:szCs w:val="24"/>
              </w:rPr>
              <w:t>Alesha Thompson</w:t>
            </w:r>
          </w:p>
        </w:tc>
        <w:tc>
          <w:tcPr>
            <w:tcW w:w="1750" w:type="dxa"/>
          </w:tcPr>
          <w:p w:rsidR="005F1FF4" w:rsidP="001E7F82" w:rsidRDefault="005F1FF4" w14:paraId="596E915A" w14:textId="4CF81815">
            <w:pPr>
              <w:autoSpaceDE w:val="0"/>
              <w:autoSpaceDN w:val="0"/>
              <w:adjustRightInd w:val="0"/>
              <w:rPr>
                <w:rFonts w:cs="ITCFranklinGothicStd-Book"/>
                <w:bCs/>
                <w:sz w:val="24"/>
                <w:szCs w:val="24"/>
              </w:rPr>
            </w:pPr>
            <w:r>
              <w:rPr>
                <w:rFonts w:cs="ITCFranklinGothicStd-Book"/>
                <w:bCs/>
                <w:sz w:val="24"/>
                <w:szCs w:val="24"/>
              </w:rPr>
              <w:t>Program Analyst</w:t>
            </w:r>
          </w:p>
        </w:tc>
        <w:tc>
          <w:tcPr>
            <w:tcW w:w="1843" w:type="dxa"/>
          </w:tcPr>
          <w:p w:rsidR="005F1FF4" w:rsidP="001E7F82" w:rsidRDefault="005F1FF4" w14:paraId="01CB0902" w14:textId="4568C4BB">
            <w:pPr>
              <w:autoSpaceDE w:val="0"/>
              <w:autoSpaceDN w:val="0"/>
              <w:adjustRightInd w:val="0"/>
              <w:rPr>
                <w:rFonts w:cs="ITCFranklinGothicStd-Book"/>
                <w:bCs/>
                <w:sz w:val="24"/>
                <w:szCs w:val="24"/>
              </w:rPr>
            </w:pPr>
            <w:r>
              <w:rPr>
                <w:rFonts w:cs="ITCFranklinGothicStd-Book"/>
                <w:bCs/>
                <w:sz w:val="24"/>
                <w:szCs w:val="24"/>
              </w:rPr>
              <w:t>Council of State and Territorial Epidemiologists (CSTE)</w:t>
            </w:r>
          </w:p>
        </w:tc>
        <w:tc>
          <w:tcPr>
            <w:tcW w:w="1637" w:type="dxa"/>
          </w:tcPr>
          <w:p w:rsidR="005F1FF4" w:rsidP="001E7F82" w:rsidRDefault="00D52BF8" w14:paraId="65254700" w14:textId="6F05F67A">
            <w:pPr>
              <w:autoSpaceDE w:val="0"/>
              <w:autoSpaceDN w:val="0"/>
              <w:adjustRightInd w:val="0"/>
              <w:rPr>
                <w:rFonts w:cs="ITCFranklinGothicStd-Book"/>
                <w:bCs/>
                <w:sz w:val="24"/>
                <w:szCs w:val="24"/>
              </w:rPr>
            </w:pPr>
            <w:r>
              <w:rPr>
                <w:rFonts w:cs="ITCFranklinGothicStd-Book"/>
                <w:bCs/>
                <w:sz w:val="24"/>
                <w:szCs w:val="24"/>
              </w:rPr>
              <w:t>770.458.3811</w:t>
            </w:r>
          </w:p>
        </w:tc>
        <w:tc>
          <w:tcPr>
            <w:tcW w:w="2070" w:type="dxa"/>
          </w:tcPr>
          <w:p w:rsidR="005F1FF4" w:rsidP="001E7F82" w:rsidRDefault="00D52BF8" w14:paraId="6221AA76" w14:textId="43C036AB">
            <w:pPr>
              <w:autoSpaceDE w:val="0"/>
              <w:autoSpaceDN w:val="0"/>
              <w:adjustRightInd w:val="0"/>
              <w:rPr>
                <w:rFonts w:cs="ITCFranklinGothicStd-Book"/>
                <w:bCs/>
                <w:sz w:val="24"/>
                <w:szCs w:val="24"/>
              </w:rPr>
            </w:pPr>
            <w:r>
              <w:rPr>
                <w:rFonts w:cs="ITCFranklinGothicStd-Book"/>
                <w:bCs/>
                <w:sz w:val="24"/>
                <w:szCs w:val="24"/>
              </w:rPr>
              <w:t>athompson@cste.org</w:t>
            </w:r>
          </w:p>
        </w:tc>
      </w:tr>
      <w:tr w:rsidR="00671A02" w:rsidTr="007A6D70" w14:paraId="1997C906" w14:textId="77777777">
        <w:tc>
          <w:tcPr>
            <w:tcW w:w="9360" w:type="dxa"/>
            <w:gridSpan w:val="5"/>
            <w:shd w:val="clear" w:color="auto" w:fill="DBE5F1" w:themeFill="accent1" w:themeFillTint="33"/>
          </w:tcPr>
          <w:p w:rsidRPr="001E7F82" w:rsidR="00671A02" w:rsidP="001E7F82" w:rsidRDefault="00671A02" w14:paraId="1332A95B" w14:textId="7EDF3144">
            <w:pPr>
              <w:autoSpaceDE w:val="0"/>
              <w:autoSpaceDN w:val="0"/>
              <w:adjustRightInd w:val="0"/>
              <w:rPr>
                <w:rFonts w:cstheme="minorHAnsi"/>
                <w:bCs/>
                <w:sz w:val="24"/>
                <w:szCs w:val="24"/>
              </w:rPr>
            </w:pPr>
            <w:r w:rsidRPr="001E7F82">
              <w:rPr>
                <w:rFonts w:cstheme="minorHAnsi"/>
                <w:bCs/>
                <w:sz w:val="24"/>
                <w:szCs w:val="24"/>
              </w:rPr>
              <w:t>Consultations inside the agency</w:t>
            </w:r>
          </w:p>
        </w:tc>
      </w:tr>
      <w:tr w:rsidR="005F1FF4" w:rsidTr="00671A02" w14:paraId="1375FB4D" w14:textId="77777777">
        <w:tc>
          <w:tcPr>
            <w:tcW w:w="2060" w:type="dxa"/>
          </w:tcPr>
          <w:p w:rsidRPr="001E7F82" w:rsidR="00671A02" w:rsidP="001E7F82" w:rsidRDefault="00BE7390" w14:paraId="75FB182E" w14:textId="44BB0C2C">
            <w:pPr>
              <w:autoSpaceDE w:val="0"/>
              <w:autoSpaceDN w:val="0"/>
              <w:adjustRightInd w:val="0"/>
              <w:rPr>
                <w:rFonts w:cstheme="minorHAnsi"/>
                <w:bCs/>
                <w:sz w:val="24"/>
                <w:szCs w:val="24"/>
              </w:rPr>
            </w:pPr>
            <w:r>
              <w:rPr>
                <w:rFonts w:cs="ITCFranklinGothicStd-Book"/>
                <w:bCs/>
                <w:sz w:val="24"/>
                <w:szCs w:val="24"/>
              </w:rPr>
              <w:t xml:space="preserve">Robin Soler </w:t>
            </w:r>
          </w:p>
        </w:tc>
        <w:tc>
          <w:tcPr>
            <w:tcW w:w="1750" w:type="dxa"/>
          </w:tcPr>
          <w:p w:rsidRPr="001E7F82" w:rsidR="00671A02" w:rsidP="001E7F82" w:rsidRDefault="00ED0A20" w14:paraId="3CDB9C8A" w14:textId="56CEBAA4">
            <w:pPr>
              <w:autoSpaceDE w:val="0"/>
              <w:autoSpaceDN w:val="0"/>
              <w:adjustRightInd w:val="0"/>
              <w:rPr>
                <w:rFonts w:cstheme="minorHAnsi"/>
                <w:bCs/>
                <w:sz w:val="24"/>
                <w:szCs w:val="24"/>
              </w:rPr>
            </w:pPr>
            <w:r>
              <w:rPr>
                <w:rFonts w:cs="ITCFranklinGothicStd-Book"/>
                <w:bCs/>
                <w:sz w:val="24"/>
                <w:szCs w:val="24"/>
              </w:rPr>
              <w:t>Director (Acting) Office of Applied Research</w:t>
            </w:r>
          </w:p>
        </w:tc>
        <w:tc>
          <w:tcPr>
            <w:tcW w:w="1843" w:type="dxa"/>
          </w:tcPr>
          <w:p w:rsidRPr="001E7F82" w:rsidR="00671A02" w:rsidP="001E7F82" w:rsidRDefault="00B05ECC" w14:paraId="50112F7A" w14:textId="53DB0A6E">
            <w:pPr>
              <w:autoSpaceDE w:val="0"/>
              <w:autoSpaceDN w:val="0"/>
              <w:adjustRightInd w:val="0"/>
              <w:rPr>
                <w:rFonts w:cstheme="minorHAnsi"/>
                <w:bCs/>
                <w:sz w:val="24"/>
                <w:szCs w:val="24"/>
              </w:rPr>
            </w:pPr>
            <w:r>
              <w:rPr>
                <w:rFonts w:cs="ITCFranklinGothicStd-Book"/>
                <w:bCs/>
                <w:sz w:val="24"/>
                <w:szCs w:val="24"/>
              </w:rPr>
              <w:t>Center for Preparedness and Response</w:t>
            </w:r>
          </w:p>
        </w:tc>
        <w:tc>
          <w:tcPr>
            <w:tcW w:w="1637" w:type="dxa"/>
          </w:tcPr>
          <w:p w:rsidRPr="001E7F82" w:rsidR="00671A02" w:rsidP="001E7F82" w:rsidRDefault="00ED0A20" w14:paraId="3E5730E4" w14:textId="152C0A89">
            <w:pPr>
              <w:autoSpaceDE w:val="0"/>
              <w:autoSpaceDN w:val="0"/>
              <w:adjustRightInd w:val="0"/>
              <w:rPr>
                <w:rFonts w:cstheme="minorHAnsi"/>
                <w:bCs/>
                <w:sz w:val="24"/>
                <w:szCs w:val="24"/>
              </w:rPr>
            </w:pPr>
            <w:r>
              <w:rPr>
                <w:rFonts w:cs="ITCFranklinGothicStd-Book"/>
                <w:bCs/>
                <w:sz w:val="24"/>
                <w:szCs w:val="24"/>
              </w:rPr>
              <w:t>770.488.5103</w:t>
            </w:r>
          </w:p>
        </w:tc>
        <w:tc>
          <w:tcPr>
            <w:tcW w:w="2070" w:type="dxa"/>
          </w:tcPr>
          <w:p w:rsidRPr="001E7F82" w:rsidR="00671A02" w:rsidP="001E7F82" w:rsidRDefault="00ED0A20" w14:paraId="31FB5EF0" w14:textId="559CE4D0">
            <w:pPr>
              <w:autoSpaceDE w:val="0"/>
              <w:autoSpaceDN w:val="0"/>
              <w:adjustRightInd w:val="0"/>
              <w:rPr>
                <w:rFonts w:cstheme="minorHAnsi"/>
                <w:bCs/>
                <w:sz w:val="24"/>
                <w:szCs w:val="24"/>
              </w:rPr>
            </w:pPr>
            <w:r>
              <w:rPr>
                <w:rFonts w:cs="ITCFranklinGothicStd-Book"/>
                <w:bCs/>
                <w:sz w:val="24"/>
                <w:szCs w:val="24"/>
              </w:rPr>
              <w:t>rsoler@cdc.gov</w:t>
            </w:r>
          </w:p>
        </w:tc>
      </w:tr>
      <w:tr w:rsidR="005F1FF4" w:rsidTr="00671A02" w14:paraId="00F3EF64" w14:textId="77777777">
        <w:tc>
          <w:tcPr>
            <w:tcW w:w="2060" w:type="dxa"/>
          </w:tcPr>
          <w:p w:rsidRPr="00222FE0" w:rsidR="00E80BF9" w:rsidDel="00BE7390" w:rsidP="001E7F82" w:rsidRDefault="00E80BF9" w14:paraId="4A1A5E4A" w14:textId="01D147EF">
            <w:pPr>
              <w:autoSpaceDE w:val="0"/>
              <w:autoSpaceDN w:val="0"/>
              <w:adjustRightInd w:val="0"/>
              <w:rPr>
                <w:rFonts w:cs="ITCFranklinGothicStd-Book"/>
                <w:bCs/>
                <w:sz w:val="24"/>
                <w:szCs w:val="24"/>
              </w:rPr>
            </w:pPr>
            <w:r w:rsidRPr="00222FE0">
              <w:rPr>
                <w:rFonts w:cs="ITCFranklinGothicStd-Book"/>
                <w:bCs/>
                <w:sz w:val="24"/>
                <w:szCs w:val="24"/>
              </w:rPr>
              <w:t xml:space="preserve">Amy </w:t>
            </w:r>
            <w:proofErr w:type="spellStart"/>
            <w:r w:rsidRPr="00222FE0">
              <w:rPr>
                <w:rFonts w:cs="ITCFranklinGothicStd-Book"/>
                <w:bCs/>
                <w:sz w:val="24"/>
                <w:szCs w:val="24"/>
              </w:rPr>
              <w:t>Wolkin</w:t>
            </w:r>
            <w:proofErr w:type="spellEnd"/>
            <w:r w:rsidRPr="00222FE0" w:rsidR="00942C26">
              <w:rPr>
                <w:rFonts w:cs="ITCFranklinGothicStd-Book"/>
                <w:bCs/>
                <w:sz w:val="24"/>
                <w:szCs w:val="24"/>
              </w:rPr>
              <w:t>, DrPH</w:t>
            </w:r>
          </w:p>
        </w:tc>
        <w:tc>
          <w:tcPr>
            <w:tcW w:w="1750" w:type="dxa"/>
          </w:tcPr>
          <w:p w:rsidRPr="00222FE0" w:rsidR="00E80BF9" w:rsidP="001E7F82" w:rsidRDefault="006D2CAF" w14:paraId="70A01AC4" w14:textId="095E8706">
            <w:pPr>
              <w:autoSpaceDE w:val="0"/>
              <w:autoSpaceDN w:val="0"/>
              <w:adjustRightInd w:val="0"/>
              <w:rPr>
                <w:rFonts w:cs="ITCFranklinGothicStd-Book"/>
                <w:bCs/>
                <w:sz w:val="24"/>
                <w:szCs w:val="24"/>
              </w:rPr>
            </w:pPr>
            <w:r w:rsidRPr="00222FE0">
              <w:rPr>
                <w:rFonts w:cs="ITCFranklinGothicStd-Book"/>
                <w:bCs/>
                <w:sz w:val="24"/>
                <w:szCs w:val="24"/>
              </w:rPr>
              <w:t>Chief</w:t>
            </w:r>
            <w:r w:rsidRPr="00222FE0" w:rsidR="00EF6FC8">
              <w:rPr>
                <w:rFonts w:cs="ITCFranklinGothicStd-Book"/>
                <w:bCs/>
                <w:sz w:val="24"/>
                <w:szCs w:val="24"/>
              </w:rPr>
              <w:t>, Data Analytics Branch</w:t>
            </w:r>
          </w:p>
        </w:tc>
        <w:tc>
          <w:tcPr>
            <w:tcW w:w="1843" w:type="dxa"/>
          </w:tcPr>
          <w:p w:rsidRPr="00222FE0" w:rsidR="00E80BF9" w:rsidP="001E7F82" w:rsidRDefault="00E80BF9" w14:paraId="492FC1E5" w14:textId="5A97FC77">
            <w:pPr>
              <w:autoSpaceDE w:val="0"/>
              <w:autoSpaceDN w:val="0"/>
              <w:adjustRightInd w:val="0"/>
              <w:rPr>
                <w:rFonts w:cs="ITCFranklinGothicStd-Book"/>
                <w:bCs/>
                <w:sz w:val="24"/>
                <w:szCs w:val="24"/>
              </w:rPr>
            </w:pPr>
            <w:r w:rsidRPr="00222FE0">
              <w:rPr>
                <w:rFonts w:cs="ITCFranklinGothicStd-Book"/>
                <w:bCs/>
                <w:sz w:val="24"/>
                <w:szCs w:val="24"/>
              </w:rPr>
              <w:t>National Center for Injury Prevention and</w:t>
            </w:r>
            <w:r w:rsidRPr="00222FE0" w:rsidR="00F26AD6">
              <w:rPr>
                <w:rFonts w:cs="ITCFranklinGothicStd-Book"/>
                <w:bCs/>
                <w:sz w:val="24"/>
                <w:szCs w:val="24"/>
              </w:rPr>
              <w:t xml:space="preserve"> Control </w:t>
            </w:r>
            <w:r w:rsidRPr="00222FE0">
              <w:rPr>
                <w:rFonts w:cs="ITCFranklinGothicStd-Book"/>
                <w:bCs/>
                <w:sz w:val="24"/>
                <w:szCs w:val="24"/>
              </w:rPr>
              <w:t xml:space="preserve"> </w:t>
            </w:r>
          </w:p>
        </w:tc>
        <w:tc>
          <w:tcPr>
            <w:tcW w:w="1637" w:type="dxa"/>
          </w:tcPr>
          <w:p w:rsidRPr="00222FE0" w:rsidR="00E80BF9" w:rsidP="001E7F82" w:rsidRDefault="00F26AD6" w14:paraId="482E4F39" w14:textId="4700215D">
            <w:pPr>
              <w:autoSpaceDE w:val="0"/>
              <w:autoSpaceDN w:val="0"/>
              <w:adjustRightInd w:val="0"/>
              <w:rPr>
                <w:rFonts w:cs="ITCFranklinGothicStd-Book"/>
                <w:bCs/>
                <w:sz w:val="24"/>
                <w:szCs w:val="24"/>
              </w:rPr>
            </w:pPr>
            <w:r w:rsidRPr="00222FE0">
              <w:rPr>
                <w:rFonts w:cs="ITCFranklinGothicStd-Book"/>
                <w:bCs/>
                <w:sz w:val="24"/>
                <w:szCs w:val="24"/>
              </w:rPr>
              <w:t>770.488.3402</w:t>
            </w:r>
          </w:p>
        </w:tc>
        <w:tc>
          <w:tcPr>
            <w:tcW w:w="2070" w:type="dxa"/>
          </w:tcPr>
          <w:p w:rsidRPr="00222FE0" w:rsidR="00E80BF9" w:rsidP="001E7F82" w:rsidRDefault="00F26AD6" w14:paraId="33A2202A" w14:textId="386014B9">
            <w:pPr>
              <w:autoSpaceDE w:val="0"/>
              <w:autoSpaceDN w:val="0"/>
              <w:adjustRightInd w:val="0"/>
              <w:rPr>
                <w:rFonts w:cs="ITCFranklinGothicStd-Book"/>
                <w:bCs/>
                <w:sz w:val="24"/>
                <w:szCs w:val="24"/>
              </w:rPr>
            </w:pPr>
            <w:r w:rsidRPr="00222FE0">
              <w:rPr>
                <w:rFonts w:cs="ITCFranklinGothicStd-Book"/>
                <w:bCs/>
                <w:sz w:val="24"/>
                <w:szCs w:val="24"/>
              </w:rPr>
              <w:t>AJF9@cdc.gov</w:t>
            </w:r>
          </w:p>
        </w:tc>
      </w:tr>
      <w:tr w:rsidR="00A76329" w:rsidTr="00671A02" w14:paraId="52AF0AAE" w14:textId="77777777">
        <w:tc>
          <w:tcPr>
            <w:tcW w:w="2060" w:type="dxa"/>
          </w:tcPr>
          <w:p w:rsidRPr="00222FE0" w:rsidR="00A76329" w:rsidP="001E7F82" w:rsidRDefault="00A76329" w14:paraId="503D61C6" w14:textId="283142D7">
            <w:pPr>
              <w:autoSpaceDE w:val="0"/>
              <w:autoSpaceDN w:val="0"/>
              <w:adjustRightInd w:val="0"/>
              <w:rPr>
                <w:rFonts w:cs="ITCFranklinGothicStd-Book"/>
                <w:bCs/>
                <w:sz w:val="24"/>
                <w:szCs w:val="24"/>
              </w:rPr>
            </w:pPr>
            <w:r w:rsidRPr="00222FE0">
              <w:rPr>
                <w:rFonts w:cs="ITCFranklinGothicStd-Book"/>
                <w:bCs/>
                <w:sz w:val="24"/>
                <w:szCs w:val="24"/>
              </w:rPr>
              <w:t>CAPT Joseph Roth</w:t>
            </w:r>
          </w:p>
        </w:tc>
        <w:tc>
          <w:tcPr>
            <w:tcW w:w="1750" w:type="dxa"/>
          </w:tcPr>
          <w:p w:rsidRPr="00222FE0" w:rsidR="00A76329" w:rsidP="001E7F82" w:rsidRDefault="00A76329" w14:paraId="5DDCC8B0" w14:textId="1B5341F8">
            <w:pPr>
              <w:autoSpaceDE w:val="0"/>
              <w:autoSpaceDN w:val="0"/>
              <w:adjustRightInd w:val="0"/>
              <w:rPr>
                <w:rFonts w:cs="ITCFranklinGothicStd-Book"/>
                <w:bCs/>
                <w:sz w:val="24"/>
                <w:szCs w:val="24"/>
              </w:rPr>
            </w:pPr>
            <w:r w:rsidRPr="00222FE0">
              <w:rPr>
                <w:rFonts w:cs="ITCFranklinGothicStd-Book"/>
                <w:bCs/>
                <w:sz w:val="24"/>
                <w:szCs w:val="24"/>
              </w:rPr>
              <w:t>Career Epidemiology Field Officer, US Virgin Islands</w:t>
            </w:r>
          </w:p>
        </w:tc>
        <w:tc>
          <w:tcPr>
            <w:tcW w:w="1843" w:type="dxa"/>
          </w:tcPr>
          <w:p w:rsidRPr="00222FE0" w:rsidR="00A76329" w:rsidP="001E7F82" w:rsidRDefault="00A76329" w14:paraId="7A0BE705" w14:textId="4AA07404">
            <w:pPr>
              <w:autoSpaceDE w:val="0"/>
              <w:autoSpaceDN w:val="0"/>
              <w:adjustRightInd w:val="0"/>
              <w:rPr>
                <w:rFonts w:cs="ITCFranklinGothicStd-Book"/>
                <w:bCs/>
                <w:sz w:val="24"/>
                <w:szCs w:val="24"/>
              </w:rPr>
            </w:pPr>
            <w:r w:rsidRPr="00222FE0">
              <w:rPr>
                <w:rFonts w:cs="ITCFranklinGothicStd-Book"/>
                <w:bCs/>
                <w:sz w:val="24"/>
                <w:szCs w:val="24"/>
              </w:rPr>
              <w:t>Center for Preparedness and Response (assigned to US Virgin Islands Department of Health)</w:t>
            </w:r>
          </w:p>
        </w:tc>
        <w:tc>
          <w:tcPr>
            <w:tcW w:w="1637" w:type="dxa"/>
          </w:tcPr>
          <w:p w:rsidRPr="00222FE0" w:rsidR="00A76329" w:rsidP="001E7F82" w:rsidRDefault="00A76329" w14:paraId="35AA97EA" w14:textId="3AB5829D">
            <w:pPr>
              <w:autoSpaceDE w:val="0"/>
              <w:autoSpaceDN w:val="0"/>
              <w:adjustRightInd w:val="0"/>
              <w:rPr>
                <w:rFonts w:cs="ITCFranklinGothicStd-Book"/>
                <w:bCs/>
                <w:sz w:val="24"/>
                <w:szCs w:val="24"/>
              </w:rPr>
            </w:pPr>
            <w:r>
              <w:rPr>
                <w:rFonts w:cs="ITCFranklinGothicStd-Book"/>
                <w:bCs/>
                <w:sz w:val="24"/>
                <w:szCs w:val="24"/>
              </w:rPr>
              <w:t>404.</w:t>
            </w:r>
            <w:r w:rsidR="00CC6196">
              <w:rPr>
                <w:rFonts w:cs="ITCFranklinGothicStd-Book"/>
                <w:bCs/>
                <w:sz w:val="24"/>
                <w:szCs w:val="24"/>
              </w:rPr>
              <w:t>960.0762</w:t>
            </w:r>
          </w:p>
        </w:tc>
        <w:tc>
          <w:tcPr>
            <w:tcW w:w="2070" w:type="dxa"/>
          </w:tcPr>
          <w:p w:rsidRPr="00222FE0" w:rsidR="00A76329" w:rsidP="001E7F82" w:rsidRDefault="00CC6196" w14:paraId="6C92B177" w14:textId="2C74BE6D">
            <w:pPr>
              <w:autoSpaceDE w:val="0"/>
              <w:autoSpaceDN w:val="0"/>
              <w:adjustRightInd w:val="0"/>
              <w:rPr>
                <w:rFonts w:cs="ITCFranklinGothicStd-Book"/>
                <w:bCs/>
                <w:sz w:val="24"/>
                <w:szCs w:val="24"/>
              </w:rPr>
            </w:pPr>
            <w:r>
              <w:rPr>
                <w:rFonts w:cs="ITCFranklinGothicStd-Book"/>
                <w:bCs/>
                <w:sz w:val="24"/>
                <w:szCs w:val="24"/>
              </w:rPr>
              <w:t>Jay.Roth@doh.vi.gov</w:t>
            </w:r>
          </w:p>
        </w:tc>
      </w:tr>
    </w:tbl>
    <w:p w:rsidRPr="00993D30" w:rsidR="0051660A" w:rsidP="001E7F82" w:rsidRDefault="0051660A" w14:paraId="38D5C4DC" w14:textId="753A7D31">
      <w:pPr>
        <w:autoSpaceDE w:val="0"/>
        <w:autoSpaceDN w:val="0"/>
        <w:adjustRightInd w:val="0"/>
        <w:spacing w:after="0" w:line="240" w:lineRule="auto"/>
        <w:jc w:val="both"/>
        <w:rPr>
          <w:rFonts w:cstheme="minorHAnsi"/>
          <w:sz w:val="24"/>
          <w:szCs w:val="24"/>
        </w:rPr>
      </w:pPr>
    </w:p>
    <w:p w:rsidR="00C52339" w:rsidP="001E7F82" w:rsidRDefault="00601F1A" w14:paraId="08BBE365" w14:textId="31A4668C">
      <w:pPr>
        <w:pStyle w:val="Heading1"/>
        <w:spacing w:before="0"/>
        <w:rPr>
          <w:color w:val="auto"/>
        </w:rPr>
      </w:pPr>
      <w:bookmarkStart w:name="_Toc61000936" w:id="10"/>
      <w:r w:rsidRPr="00C0745D">
        <w:rPr>
          <w:color w:val="auto"/>
        </w:rPr>
        <w:t>A.</w:t>
      </w:r>
      <w:r w:rsidRPr="00C0745D" w:rsidR="004D21C9">
        <w:rPr>
          <w:color w:val="auto"/>
        </w:rPr>
        <w:t xml:space="preserve">9.  </w:t>
      </w:r>
      <w:r w:rsidRPr="00C0745D" w:rsidR="00B45002">
        <w:rPr>
          <w:color w:val="auto"/>
        </w:rPr>
        <w:t>Explanation of Any Payment or Gift to Resp</w:t>
      </w:r>
      <w:r w:rsidR="00557688">
        <w:rPr>
          <w:color w:val="auto"/>
        </w:rPr>
        <w:t>ondents</w:t>
      </w:r>
      <w:bookmarkEnd w:id="10"/>
    </w:p>
    <w:p w:rsidR="00557688" w:rsidP="001E7F82" w:rsidRDefault="00557688" w14:paraId="0AFEC3AF" w14:textId="6AA5B43D">
      <w:pPr>
        <w:spacing w:after="0"/>
      </w:pPr>
    </w:p>
    <w:p w:rsidR="00A50A99" w:rsidP="005A0184" w:rsidRDefault="006E1B77" w14:paraId="1EC4F9B8" w14:textId="45883BF5">
      <w:pPr>
        <w:spacing w:after="0" w:line="276" w:lineRule="auto"/>
        <w:jc w:val="both"/>
        <w:rPr>
          <w:rFonts w:cstheme="minorHAnsi"/>
          <w:sz w:val="24"/>
          <w:szCs w:val="24"/>
        </w:rPr>
      </w:pPr>
      <w:r w:rsidRPr="006E1B77">
        <w:rPr>
          <w:rFonts w:cstheme="minorHAnsi"/>
          <w:sz w:val="24"/>
          <w:szCs w:val="24"/>
        </w:rPr>
        <w:t>Payment will be provided to participants in the form of different monetary incentives. The rationale for including incentives are to achieve a representative sample and compensate respondents for their time and effort. Survey research has shown that respondent incentives can improve a survey’s quality and efficiency. Incentives can improve the response rate, improve response from hard‐to‐reach groups, and increase efficiency. Several federal surveys have used incentives for many decades including the National Health and Nutrition Examination Survey, Bureau of Labor Statistics’ National Longitudinal Survey, and the National Survey of Drug Use and Health.</w:t>
      </w:r>
    </w:p>
    <w:p w:rsidR="006E1B77" w:rsidP="005A0184" w:rsidRDefault="006E1B77" w14:paraId="1670F475" w14:textId="77777777">
      <w:pPr>
        <w:spacing w:after="0" w:line="276" w:lineRule="auto"/>
        <w:rPr>
          <w:rFonts w:cstheme="minorHAnsi"/>
          <w:sz w:val="24"/>
          <w:szCs w:val="24"/>
        </w:rPr>
      </w:pPr>
    </w:p>
    <w:p w:rsidR="00B32CBA" w:rsidP="005A0184" w:rsidRDefault="00A50A99" w14:paraId="3DC20011" w14:textId="5D8E70B8">
      <w:pPr>
        <w:spacing w:after="0" w:line="276" w:lineRule="auto"/>
        <w:jc w:val="both"/>
        <w:rPr>
          <w:sz w:val="24"/>
          <w:szCs w:val="24"/>
        </w:rPr>
      </w:pPr>
      <w:r>
        <w:rPr>
          <w:sz w:val="24"/>
          <w:szCs w:val="24"/>
        </w:rPr>
        <w:t>I</w:t>
      </w:r>
      <w:r w:rsidRPr="002F2C47" w:rsidR="00B13117">
        <w:rPr>
          <w:sz w:val="24"/>
          <w:szCs w:val="24"/>
        </w:rPr>
        <w:t xml:space="preserve">ncentives </w:t>
      </w:r>
      <w:r w:rsidR="00296196">
        <w:rPr>
          <w:sz w:val="24"/>
          <w:szCs w:val="24"/>
        </w:rPr>
        <w:t xml:space="preserve">for this information collection are </w:t>
      </w:r>
      <w:r w:rsidRPr="002F2C47" w:rsidR="00B13117">
        <w:rPr>
          <w:sz w:val="24"/>
          <w:szCs w:val="24"/>
        </w:rPr>
        <w:t xml:space="preserve">shown in Table </w:t>
      </w:r>
      <w:r w:rsidR="00296196">
        <w:rPr>
          <w:sz w:val="24"/>
          <w:szCs w:val="24"/>
        </w:rPr>
        <w:t>A.9.1</w:t>
      </w:r>
      <w:r w:rsidRPr="002F2C47" w:rsidR="00C0745D">
        <w:rPr>
          <w:sz w:val="24"/>
          <w:szCs w:val="24"/>
        </w:rPr>
        <w:t>.</w:t>
      </w:r>
      <w:r w:rsidR="006E1B77">
        <w:rPr>
          <w:sz w:val="24"/>
          <w:szCs w:val="24"/>
        </w:rPr>
        <w:t xml:space="preserve"> </w:t>
      </w:r>
      <w:r w:rsidRPr="006E1B77" w:rsidR="006E1B77">
        <w:rPr>
          <w:sz w:val="24"/>
          <w:szCs w:val="24"/>
        </w:rPr>
        <w:t xml:space="preserve">There will be a pre‐paid </w:t>
      </w:r>
      <w:r w:rsidR="00194E66">
        <w:rPr>
          <w:sz w:val="24"/>
          <w:szCs w:val="24"/>
        </w:rPr>
        <w:t xml:space="preserve">$2 </w:t>
      </w:r>
      <w:r w:rsidRPr="006E1B77" w:rsidR="006E1B77">
        <w:rPr>
          <w:sz w:val="24"/>
          <w:szCs w:val="24"/>
        </w:rPr>
        <w:t xml:space="preserve">incentive sent with the first survey packet. A promise of $10 for completing the paper survey in the packet or $20 for completing the survey via an online web‐based instrument will be included </w:t>
      </w:r>
      <w:r w:rsidRPr="006E1B77" w:rsidR="006E1B77">
        <w:rPr>
          <w:sz w:val="24"/>
          <w:szCs w:val="24"/>
        </w:rPr>
        <w:lastRenderedPageBreak/>
        <w:t>in the cover letter of the packet. The rationale for offering a larger incentive for web survey completes is to encourage use of electronic data collection and reduce participant burden. Focus group participants will receive $40 for their participation. Incentives given will be in the form of check mailed to participants upon completion of survey, and cash given to participants at the end of a focus group.</w:t>
      </w:r>
    </w:p>
    <w:p w:rsidR="007201B7" w:rsidP="00A50A99" w:rsidRDefault="007201B7" w14:paraId="5518828F" w14:textId="77777777">
      <w:pPr>
        <w:autoSpaceDE w:val="0"/>
        <w:autoSpaceDN w:val="0"/>
        <w:adjustRightInd w:val="0"/>
        <w:spacing w:after="0" w:line="240" w:lineRule="auto"/>
        <w:rPr>
          <w:bCs/>
          <w:sz w:val="24"/>
          <w:szCs w:val="24"/>
        </w:rPr>
      </w:pPr>
    </w:p>
    <w:p w:rsidR="007201B7" w:rsidP="00A50A99" w:rsidRDefault="007201B7" w14:paraId="75C258A2" w14:textId="77777777">
      <w:pPr>
        <w:autoSpaceDE w:val="0"/>
        <w:autoSpaceDN w:val="0"/>
        <w:adjustRightInd w:val="0"/>
        <w:spacing w:after="0" w:line="240" w:lineRule="auto"/>
        <w:rPr>
          <w:bCs/>
          <w:sz w:val="24"/>
          <w:szCs w:val="24"/>
        </w:rPr>
      </w:pPr>
    </w:p>
    <w:p w:rsidR="007201B7" w:rsidP="00A50A99" w:rsidRDefault="007201B7" w14:paraId="19EEFF9C" w14:textId="77777777">
      <w:pPr>
        <w:autoSpaceDE w:val="0"/>
        <w:autoSpaceDN w:val="0"/>
        <w:adjustRightInd w:val="0"/>
        <w:spacing w:after="0" w:line="240" w:lineRule="auto"/>
        <w:rPr>
          <w:bCs/>
          <w:sz w:val="24"/>
          <w:szCs w:val="24"/>
        </w:rPr>
      </w:pPr>
    </w:p>
    <w:p w:rsidRPr="00A50A99" w:rsidR="00CF104A" w:rsidP="00A50A99" w:rsidRDefault="00C0745D" w14:paraId="29FB8D02" w14:textId="7D9A30DE">
      <w:pPr>
        <w:autoSpaceDE w:val="0"/>
        <w:autoSpaceDN w:val="0"/>
        <w:adjustRightInd w:val="0"/>
        <w:spacing w:after="0" w:line="240" w:lineRule="auto"/>
        <w:rPr>
          <w:bCs/>
          <w:sz w:val="24"/>
          <w:szCs w:val="24"/>
        </w:rPr>
      </w:pPr>
      <w:r w:rsidRPr="00A50A99">
        <w:rPr>
          <w:bCs/>
          <w:sz w:val="24"/>
          <w:szCs w:val="24"/>
        </w:rPr>
        <w:t>Table A.9.1. Study participant incentives.</w:t>
      </w:r>
    </w:p>
    <w:tbl>
      <w:tblPr>
        <w:tblStyle w:val="TableGrid1"/>
        <w:tblW w:w="9180" w:type="dxa"/>
        <w:tblInd w:w="-5" w:type="dxa"/>
        <w:tblLook w:val="04A0" w:firstRow="1" w:lastRow="0" w:firstColumn="1" w:lastColumn="0" w:noHBand="0" w:noVBand="1"/>
      </w:tblPr>
      <w:tblGrid>
        <w:gridCol w:w="2790"/>
        <w:gridCol w:w="2160"/>
        <w:gridCol w:w="2250"/>
        <w:gridCol w:w="1980"/>
      </w:tblGrid>
      <w:tr w:rsidR="00CF104A" w:rsidTr="007A6D70" w14:paraId="1DEDE2AE" w14:textId="77777777">
        <w:tc>
          <w:tcPr>
            <w:tcW w:w="2790" w:type="dxa"/>
            <w:tcBorders>
              <w:top w:val="single" w:color="auto" w:sz="4" w:space="0"/>
              <w:left w:val="single" w:color="auto" w:sz="4" w:space="0"/>
              <w:bottom w:val="single" w:color="auto" w:sz="4" w:space="0"/>
              <w:right w:val="single" w:color="auto" w:sz="4" w:space="0"/>
            </w:tcBorders>
            <w:shd w:val="clear" w:color="auto" w:fill="4F81BD" w:themeFill="accent1"/>
            <w:hideMark/>
          </w:tcPr>
          <w:p w:rsidRPr="00630492" w:rsidR="00CF104A" w:rsidP="001E7F82" w:rsidRDefault="00CF104A" w14:paraId="325D46EA" w14:textId="77777777">
            <w:pPr>
              <w:keepNext/>
              <w:widowControl w:val="0"/>
              <w:autoSpaceDE w:val="0"/>
              <w:autoSpaceDN w:val="0"/>
              <w:adjustRightInd w:val="0"/>
              <w:rPr>
                <w:rFonts w:asciiTheme="minorHAnsi" w:hAnsiTheme="minorHAnsi" w:cstheme="minorHAnsi"/>
                <w:bCs/>
                <w:sz w:val="24"/>
                <w:szCs w:val="24"/>
              </w:rPr>
            </w:pPr>
            <w:r w:rsidRPr="00630492">
              <w:rPr>
                <w:rFonts w:asciiTheme="minorHAnsi" w:hAnsiTheme="minorHAnsi" w:cstheme="minorHAnsi"/>
                <w:bCs/>
                <w:sz w:val="24"/>
                <w:szCs w:val="24"/>
              </w:rPr>
              <w:t>Study Activity</w:t>
            </w:r>
          </w:p>
        </w:tc>
        <w:tc>
          <w:tcPr>
            <w:tcW w:w="2160" w:type="dxa"/>
            <w:tcBorders>
              <w:top w:val="single" w:color="auto" w:sz="4" w:space="0"/>
              <w:left w:val="single" w:color="auto" w:sz="4" w:space="0"/>
              <w:bottom w:val="single" w:color="auto" w:sz="4" w:space="0"/>
              <w:right w:val="single" w:color="auto" w:sz="4" w:space="0"/>
            </w:tcBorders>
            <w:shd w:val="clear" w:color="auto" w:fill="4F81BD" w:themeFill="accent1"/>
            <w:hideMark/>
          </w:tcPr>
          <w:p w:rsidRPr="00630492" w:rsidR="00CF104A" w:rsidP="001E7F82" w:rsidRDefault="00CF104A" w14:paraId="3F7659E5" w14:textId="22830803">
            <w:pPr>
              <w:keepNext/>
              <w:widowControl w:val="0"/>
              <w:autoSpaceDE w:val="0"/>
              <w:autoSpaceDN w:val="0"/>
              <w:adjustRightInd w:val="0"/>
              <w:rPr>
                <w:rFonts w:asciiTheme="minorHAnsi" w:hAnsiTheme="minorHAnsi" w:cstheme="minorHAnsi"/>
                <w:bCs/>
                <w:sz w:val="24"/>
                <w:szCs w:val="24"/>
              </w:rPr>
            </w:pPr>
            <w:r w:rsidRPr="00630492">
              <w:rPr>
                <w:rFonts w:asciiTheme="minorHAnsi" w:hAnsiTheme="minorHAnsi" w:cstheme="minorHAnsi"/>
                <w:bCs/>
                <w:sz w:val="24"/>
                <w:szCs w:val="24"/>
              </w:rPr>
              <w:t>Number of times participant does activity</w:t>
            </w:r>
          </w:p>
        </w:tc>
        <w:tc>
          <w:tcPr>
            <w:tcW w:w="2250" w:type="dxa"/>
            <w:tcBorders>
              <w:top w:val="single" w:color="auto" w:sz="4" w:space="0"/>
              <w:left w:val="single" w:color="auto" w:sz="4" w:space="0"/>
              <w:bottom w:val="single" w:color="auto" w:sz="4" w:space="0"/>
              <w:right w:val="single" w:color="auto" w:sz="4" w:space="0"/>
            </w:tcBorders>
            <w:shd w:val="clear" w:color="auto" w:fill="4F81BD" w:themeFill="accent1"/>
            <w:hideMark/>
          </w:tcPr>
          <w:p w:rsidRPr="00630492" w:rsidR="00CF104A" w:rsidP="001E7F82" w:rsidRDefault="00CF104A" w14:paraId="3A638CB2" w14:textId="3053C27A">
            <w:pPr>
              <w:keepNext/>
              <w:widowControl w:val="0"/>
              <w:autoSpaceDE w:val="0"/>
              <w:autoSpaceDN w:val="0"/>
              <w:adjustRightInd w:val="0"/>
              <w:rPr>
                <w:rFonts w:asciiTheme="minorHAnsi" w:hAnsiTheme="minorHAnsi" w:cstheme="minorHAnsi"/>
                <w:bCs/>
                <w:sz w:val="24"/>
                <w:szCs w:val="24"/>
              </w:rPr>
            </w:pPr>
            <w:r w:rsidRPr="00630492">
              <w:rPr>
                <w:rFonts w:asciiTheme="minorHAnsi" w:hAnsiTheme="minorHAnsi" w:cstheme="minorHAnsi"/>
                <w:bCs/>
                <w:sz w:val="24"/>
                <w:szCs w:val="24"/>
              </w:rPr>
              <w:t>Incentive for each time participant does activity</w:t>
            </w:r>
          </w:p>
        </w:tc>
        <w:tc>
          <w:tcPr>
            <w:tcW w:w="1980" w:type="dxa"/>
            <w:tcBorders>
              <w:top w:val="single" w:color="auto" w:sz="4" w:space="0"/>
              <w:left w:val="single" w:color="auto" w:sz="4" w:space="0"/>
              <w:bottom w:val="single" w:color="auto" w:sz="4" w:space="0"/>
              <w:right w:val="single" w:color="auto" w:sz="4" w:space="0"/>
            </w:tcBorders>
            <w:shd w:val="clear" w:color="auto" w:fill="4F81BD" w:themeFill="accent1"/>
            <w:hideMark/>
          </w:tcPr>
          <w:p w:rsidRPr="00630492" w:rsidR="00CF104A" w:rsidP="001E7F82" w:rsidRDefault="00CF104A" w14:paraId="18194EBA" w14:textId="77777777">
            <w:pPr>
              <w:keepNext/>
              <w:widowControl w:val="0"/>
              <w:autoSpaceDE w:val="0"/>
              <w:autoSpaceDN w:val="0"/>
              <w:adjustRightInd w:val="0"/>
              <w:rPr>
                <w:rFonts w:asciiTheme="minorHAnsi" w:hAnsiTheme="minorHAnsi" w:cstheme="minorHAnsi"/>
                <w:bCs/>
                <w:sz w:val="24"/>
                <w:szCs w:val="24"/>
              </w:rPr>
            </w:pPr>
            <w:r w:rsidRPr="00630492">
              <w:rPr>
                <w:rFonts w:asciiTheme="minorHAnsi" w:hAnsiTheme="minorHAnsi" w:cstheme="minorHAnsi"/>
                <w:bCs/>
                <w:sz w:val="24"/>
                <w:szCs w:val="24"/>
              </w:rPr>
              <w:t>Total incentive for activity</w:t>
            </w:r>
          </w:p>
        </w:tc>
      </w:tr>
      <w:tr w:rsidR="00A50A99" w:rsidTr="005A0184" w14:paraId="2DAE2265" w14:textId="77777777">
        <w:tc>
          <w:tcPr>
            <w:tcW w:w="2790" w:type="dxa"/>
            <w:tcBorders>
              <w:top w:val="single" w:color="auto" w:sz="4" w:space="0"/>
              <w:left w:val="single" w:color="auto" w:sz="4" w:space="0"/>
              <w:bottom w:val="single" w:color="auto" w:sz="4" w:space="0"/>
              <w:right w:val="single" w:color="auto" w:sz="4" w:space="0"/>
            </w:tcBorders>
          </w:tcPr>
          <w:p w:rsidRPr="00630492" w:rsidR="00A50A99" w:rsidP="001E7F82" w:rsidRDefault="00630492" w14:paraId="5E4D395F" w14:textId="3028B0B5">
            <w:pPr>
              <w:keepNext/>
              <w:widowControl w:val="0"/>
              <w:autoSpaceDE w:val="0"/>
              <w:autoSpaceDN w:val="0"/>
              <w:adjustRightInd w:val="0"/>
              <w:rPr>
                <w:rFonts w:asciiTheme="minorHAnsi" w:hAnsiTheme="minorHAnsi" w:cstheme="minorHAnsi"/>
                <w:sz w:val="24"/>
                <w:szCs w:val="24"/>
              </w:rPr>
            </w:pPr>
            <w:r w:rsidRPr="00630492">
              <w:rPr>
                <w:rFonts w:asciiTheme="minorHAnsi" w:hAnsiTheme="minorHAnsi" w:cstheme="minorHAnsi"/>
                <w:sz w:val="24"/>
                <w:szCs w:val="24"/>
              </w:rPr>
              <w:t>Open study packet</w:t>
            </w:r>
          </w:p>
        </w:tc>
        <w:tc>
          <w:tcPr>
            <w:tcW w:w="2160" w:type="dxa"/>
            <w:tcBorders>
              <w:top w:val="single" w:color="auto" w:sz="4" w:space="0"/>
              <w:left w:val="single" w:color="auto" w:sz="4" w:space="0"/>
              <w:bottom w:val="single" w:color="auto" w:sz="4" w:space="0"/>
              <w:right w:val="single" w:color="auto" w:sz="4" w:space="0"/>
            </w:tcBorders>
            <w:vAlign w:val="center"/>
          </w:tcPr>
          <w:p w:rsidRPr="00630492" w:rsidR="00A50A99" w:rsidP="005A0184" w:rsidRDefault="00630492" w14:paraId="539EDF48" w14:textId="541AD6DD">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1</w:t>
            </w:r>
          </w:p>
        </w:tc>
        <w:tc>
          <w:tcPr>
            <w:tcW w:w="2250" w:type="dxa"/>
            <w:tcBorders>
              <w:top w:val="single" w:color="auto" w:sz="4" w:space="0"/>
              <w:left w:val="single" w:color="auto" w:sz="4" w:space="0"/>
              <w:bottom w:val="single" w:color="auto" w:sz="4" w:space="0"/>
              <w:right w:val="single" w:color="auto" w:sz="4" w:space="0"/>
            </w:tcBorders>
            <w:vAlign w:val="center"/>
          </w:tcPr>
          <w:p w:rsidRPr="00630492" w:rsidR="00A50A99" w:rsidP="005A0184" w:rsidRDefault="00630492" w14:paraId="10E8B89B" w14:textId="3D0E9170">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$2</w:t>
            </w:r>
          </w:p>
        </w:tc>
        <w:tc>
          <w:tcPr>
            <w:tcW w:w="1980" w:type="dxa"/>
            <w:tcBorders>
              <w:top w:val="single" w:color="auto" w:sz="4" w:space="0"/>
              <w:left w:val="single" w:color="auto" w:sz="4" w:space="0"/>
              <w:bottom w:val="single" w:color="auto" w:sz="4" w:space="0"/>
              <w:right w:val="single" w:color="auto" w:sz="4" w:space="0"/>
            </w:tcBorders>
            <w:vAlign w:val="center"/>
          </w:tcPr>
          <w:p w:rsidRPr="00630492" w:rsidR="00A50A99" w:rsidP="005A0184" w:rsidRDefault="00630492" w14:paraId="4AFED7EB" w14:textId="38152641">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$2</w:t>
            </w:r>
          </w:p>
        </w:tc>
      </w:tr>
      <w:tr w:rsidR="00CF104A" w:rsidTr="005A0184" w14:paraId="31F82DF0" w14:textId="77777777">
        <w:tc>
          <w:tcPr>
            <w:tcW w:w="2790" w:type="dxa"/>
            <w:tcBorders>
              <w:top w:val="single" w:color="auto" w:sz="4" w:space="0"/>
              <w:left w:val="single" w:color="auto" w:sz="4" w:space="0"/>
              <w:bottom w:val="single" w:color="auto" w:sz="4" w:space="0"/>
              <w:right w:val="single" w:color="auto" w:sz="4" w:space="0"/>
            </w:tcBorders>
            <w:hideMark/>
          </w:tcPr>
          <w:p w:rsidRPr="00630492" w:rsidR="00CF104A" w:rsidP="001E7F82" w:rsidRDefault="00CF104A" w14:paraId="4A1DEE06" w14:textId="04858D70">
            <w:pPr>
              <w:keepNext/>
              <w:widowControl w:val="0"/>
              <w:autoSpaceDE w:val="0"/>
              <w:autoSpaceDN w:val="0"/>
              <w:adjustRightInd w:val="0"/>
              <w:rPr>
                <w:rFonts w:asciiTheme="minorHAnsi" w:hAnsiTheme="minorHAnsi" w:cstheme="minorHAnsi"/>
                <w:sz w:val="24"/>
                <w:szCs w:val="24"/>
              </w:rPr>
            </w:pPr>
            <w:r w:rsidRPr="00630492">
              <w:rPr>
                <w:rFonts w:asciiTheme="minorHAnsi" w:hAnsiTheme="minorHAnsi" w:cstheme="minorHAnsi"/>
                <w:sz w:val="24"/>
                <w:szCs w:val="24"/>
              </w:rPr>
              <w:t xml:space="preserve">Complete </w:t>
            </w:r>
            <w:r w:rsidRPr="00630492" w:rsidR="00630492">
              <w:rPr>
                <w:rFonts w:asciiTheme="minorHAnsi" w:hAnsiTheme="minorHAnsi" w:cstheme="minorHAnsi"/>
                <w:sz w:val="24"/>
                <w:szCs w:val="24"/>
              </w:rPr>
              <w:t>survey</w:t>
            </w:r>
          </w:p>
        </w:tc>
        <w:tc>
          <w:tcPr>
            <w:tcW w:w="2160" w:type="dxa"/>
            <w:tcBorders>
              <w:top w:val="single" w:color="auto" w:sz="4" w:space="0"/>
              <w:left w:val="single" w:color="auto" w:sz="4" w:space="0"/>
              <w:bottom w:val="single" w:color="auto" w:sz="4" w:space="0"/>
              <w:right w:val="single" w:color="auto" w:sz="4" w:space="0"/>
            </w:tcBorders>
            <w:vAlign w:val="center"/>
            <w:hideMark/>
          </w:tcPr>
          <w:p w:rsidRPr="00630492" w:rsidR="00CF104A" w:rsidP="005A0184" w:rsidRDefault="00630492" w14:paraId="43ED3C89" w14:textId="683546E1">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1 paper instrument</w:t>
            </w:r>
          </w:p>
          <w:p w:rsidRPr="00630492" w:rsidR="00630492" w:rsidP="005A0184" w:rsidRDefault="00630492" w14:paraId="5490B956" w14:textId="77777777">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&lt; OR &gt;</w:t>
            </w:r>
          </w:p>
          <w:p w:rsidRPr="00630492" w:rsidR="00630492" w:rsidP="005A0184" w:rsidRDefault="00630492" w14:paraId="79413A96" w14:textId="0EE317EF">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1 web instrument</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630492" w:rsidR="00CF104A" w:rsidP="005A0184" w:rsidRDefault="00CF104A" w14:paraId="066AF080" w14:textId="77777777">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w:t>
            </w:r>
            <w:r w:rsidRPr="00630492" w:rsidR="00630492">
              <w:rPr>
                <w:rFonts w:asciiTheme="minorHAnsi" w:hAnsiTheme="minorHAnsi" w:cstheme="minorHAnsi"/>
                <w:sz w:val="24"/>
                <w:szCs w:val="24"/>
              </w:rPr>
              <w:t>10</w:t>
            </w:r>
          </w:p>
          <w:p w:rsidRPr="00630492" w:rsidR="00630492" w:rsidP="005A0184" w:rsidRDefault="00630492" w14:paraId="3C1D2EF8" w14:textId="36322C1D">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&lt; OR &gt;</w:t>
            </w:r>
          </w:p>
          <w:p w:rsidRPr="00630492" w:rsidR="00630492" w:rsidP="005A0184" w:rsidRDefault="00630492" w14:paraId="56718799" w14:textId="4501D61B">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$20</w:t>
            </w:r>
          </w:p>
        </w:tc>
        <w:tc>
          <w:tcPr>
            <w:tcW w:w="1980" w:type="dxa"/>
            <w:tcBorders>
              <w:top w:val="single" w:color="auto" w:sz="4" w:space="0"/>
              <w:left w:val="single" w:color="auto" w:sz="4" w:space="0"/>
              <w:bottom w:val="single" w:color="auto" w:sz="4" w:space="0"/>
              <w:right w:val="single" w:color="auto" w:sz="4" w:space="0"/>
            </w:tcBorders>
            <w:vAlign w:val="center"/>
            <w:hideMark/>
          </w:tcPr>
          <w:p w:rsidRPr="00630492" w:rsidR="00CF104A" w:rsidP="005A0184" w:rsidRDefault="00CF104A" w14:paraId="6728C741" w14:textId="77777777">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w:t>
            </w:r>
            <w:r w:rsidRPr="00630492" w:rsidR="00630492">
              <w:rPr>
                <w:rFonts w:asciiTheme="minorHAnsi" w:hAnsiTheme="minorHAnsi" w:cstheme="minorHAnsi"/>
                <w:sz w:val="24"/>
                <w:szCs w:val="24"/>
              </w:rPr>
              <w:t>10</w:t>
            </w:r>
          </w:p>
          <w:p w:rsidRPr="00630492" w:rsidR="00630492" w:rsidP="005A0184" w:rsidRDefault="00630492" w14:paraId="186E8F9E" w14:textId="77777777">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&lt; OR &gt;</w:t>
            </w:r>
          </w:p>
          <w:p w:rsidRPr="00630492" w:rsidR="00630492" w:rsidP="005A0184" w:rsidRDefault="00630492" w14:paraId="5C6BE334" w14:textId="00962D04">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$20</w:t>
            </w:r>
          </w:p>
        </w:tc>
      </w:tr>
      <w:tr w:rsidR="00630492" w:rsidTr="005A0184" w14:paraId="578E96D8" w14:textId="77777777">
        <w:tc>
          <w:tcPr>
            <w:tcW w:w="2790" w:type="dxa"/>
            <w:tcBorders>
              <w:top w:val="single" w:color="auto" w:sz="4" w:space="0"/>
              <w:left w:val="single" w:color="auto" w:sz="4" w:space="0"/>
              <w:bottom w:val="single" w:color="auto" w:sz="4" w:space="0"/>
              <w:right w:val="single" w:color="auto" w:sz="4" w:space="0"/>
            </w:tcBorders>
          </w:tcPr>
          <w:p w:rsidRPr="00630492" w:rsidR="00630492" w:rsidP="001E7F82" w:rsidRDefault="00630492" w14:paraId="1EB8CDA3" w14:textId="088EA849">
            <w:pPr>
              <w:keepNext/>
              <w:widowControl w:val="0"/>
              <w:autoSpaceDE w:val="0"/>
              <w:autoSpaceDN w:val="0"/>
              <w:adjustRightInd w:val="0"/>
              <w:rPr>
                <w:rFonts w:asciiTheme="minorHAnsi" w:hAnsiTheme="minorHAnsi" w:cstheme="minorHAnsi"/>
                <w:sz w:val="24"/>
                <w:szCs w:val="24"/>
              </w:rPr>
            </w:pPr>
            <w:r w:rsidRPr="00630492">
              <w:rPr>
                <w:rFonts w:asciiTheme="minorHAnsi" w:hAnsiTheme="minorHAnsi" w:cstheme="minorHAnsi"/>
                <w:sz w:val="24"/>
                <w:szCs w:val="24"/>
              </w:rPr>
              <w:t>Participate in focus group</w:t>
            </w:r>
          </w:p>
        </w:tc>
        <w:tc>
          <w:tcPr>
            <w:tcW w:w="2160" w:type="dxa"/>
            <w:tcBorders>
              <w:top w:val="single" w:color="auto" w:sz="4" w:space="0"/>
              <w:left w:val="single" w:color="auto" w:sz="4" w:space="0"/>
              <w:bottom w:val="single" w:color="auto" w:sz="4" w:space="0"/>
              <w:right w:val="single" w:color="auto" w:sz="4" w:space="0"/>
            </w:tcBorders>
            <w:vAlign w:val="center"/>
          </w:tcPr>
          <w:p w:rsidRPr="00630492" w:rsidR="00630492" w:rsidP="005A0184" w:rsidRDefault="00630492" w14:paraId="32B59AAA" w14:textId="596C4BA2">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1</w:t>
            </w:r>
          </w:p>
        </w:tc>
        <w:tc>
          <w:tcPr>
            <w:tcW w:w="2250" w:type="dxa"/>
            <w:tcBorders>
              <w:top w:val="single" w:color="auto" w:sz="4" w:space="0"/>
              <w:left w:val="single" w:color="auto" w:sz="4" w:space="0"/>
              <w:bottom w:val="single" w:color="auto" w:sz="4" w:space="0"/>
              <w:right w:val="single" w:color="auto" w:sz="4" w:space="0"/>
            </w:tcBorders>
            <w:vAlign w:val="center"/>
          </w:tcPr>
          <w:p w:rsidRPr="00630492" w:rsidR="00630492" w:rsidP="005A0184" w:rsidRDefault="00630492" w14:paraId="7BFB4B4A" w14:textId="10EA620F">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$40</w:t>
            </w:r>
          </w:p>
        </w:tc>
        <w:tc>
          <w:tcPr>
            <w:tcW w:w="1980" w:type="dxa"/>
            <w:tcBorders>
              <w:top w:val="single" w:color="auto" w:sz="4" w:space="0"/>
              <w:left w:val="single" w:color="auto" w:sz="4" w:space="0"/>
              <w:bottom w:val="single" w:color="auto" w:sz="4" w:space="0"/>
              <w:right w:val="single" w:color="auto" w:sz="4" w:space="0"/>
            </w:tcBorders>
            <w:vAlign w:val="center"/>
          </w:tcPr>
          <w:p w:rsidRPr="00630492" w:rsidR="00630492" w:rsidP="005A0184" w:rsidRDefault="00630492" w14:paraId="7284466C" w14:textId="4E453B84">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$40</w:t>
            </w:r>
          </w:p>
        </w:tc>
      </w:tr>
      <w:tr w:rsidR="00630492" w:rsidTr="005A0184" w14:paraId="377EA807" w14:textId="77777777">
        <w:tc>
          <w:tcPr>
            <w:tcW w:w="2790" w:type="dxa"/>
            <w:tcBorders>
              <w:top w:val="single" w:color="auto" w:sz="4" w:space="0"/>
              <w:left w:val="single" w:color="auto" w:sz="4" w:space="0"/>
              <w:bottom w:val="single" w:color="auto" w:sz="4" w:space="0"/>
              <w:right w:val="single" w:color="auto" w:sz="4" w:space="0"/>
            </w:tcBorders>
            <w:hideMark/>
          </w:tcPr>
          <w:p w:rsidRPr="00630492" w:rsidR="00630492" w:rsidP="001E7F82" w:rsidRDefault="004E3554" w14:paraId="646F130A" w14:textId="30D77974">
            <w:pPr>
              <w:keepNext/>
              <w:widowControl w:val="0"/>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Total</w:t>
            </w:r>
          </w:p>
        </w:tc>
        <w:tc>
          <w:tcPr>
            <w:tcW w:w="2160" w:type="dxa"/>
            <w:tcBorders>
              <w:top w:val="single" w:color="auto" w:sz="4" w:space="0"/>
              <w:left w:val="single" w:color="auto" w:sz="4" w:space="0"/>
              <w:bottom w:val="single" w:color="auto" w:sz="4" w:space="0"/>
              <w:right w:val="single" w:color="auto" w:sz="4" w:space="0"/>
            </w:tcBorders>
            <w:hideMark/>
          </w:tcPr>
          <w:p w:rsidRPr="00630492" w:rsidR="00630492" w:rsidP="001E7F82" w:rsidRDefault="00630492" w14:paraId="143A4D10" w14:textId="3EFD89AB">
            <w:pPr>
              <w:keepNext/>
              <w:widowControl w:val="0"/>
              <w:autoSpaceDE w:val="0"/>
              <w:autoSpaceDN w:val="0"/>
              <w:adjustRightInd w:val="0"/>
              <w:rPr>
                <w:rFonts w:asciiTheme="minorHAnsi" w:hAnsiTheme="minorHAnsi" w:cstheme="minorHAnsi"/>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hideMark/>
          </w:tcPr>
          <w:p w:rsidRPr="00630492" w:rsidR="00630492" w:rsidP="005A0184" w:rsidRDefault="00630492" w14:paraId="1BAB1DE8" w14:textId="1F97317A">
            <w:pPr>
              <w:keepNext/>
              <w:widowControl w:val="0"/>
              <w:autoSpaceDE w:val="0"/>
              <w:autoSpaceDN w:val="0"/>
              <w:adjustRightInd w:val="0"/>
              <w:jc w:val="center"/>
              <w:rPr>
                <w:rFonts w:asciiTheme="minorHAnsi" w:hAnsiTheme="minorHAnsi" w:cstheme="minorHAnsi"/>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hideMark/>
          </w:tcPr>
          <w:p w:rsidR="006C44B8" w:rsidP="005A0184" w:rsidRDefault="00630492" w14:paraId="0C4B3D1E" w14:textId="74D37089">
            <w:pPr>
              <w:keepNext/>
              <w:widowControl w:val="0"/>
              <w:autoSpaceDE w:val="0"/>
              <w:autoSpaceDN w:val="0"/>
              <w:adjustRightInd w:val="0"/>
              <w:jc w:val="center"/>
              <w:rPr>
                <w:rFonts w:asciiTheme="minorHAnsi" w:hAnsiTheme="minorHAnsi" w:cstheme="minorHAnsi"/>
                <w:sz w:val="24"/>
                <w:szCs w:val="24"/>
              </w:rPr>
            </w:pPr>
            <w:r w:rsidRPr="00630492">
              <w:rPr>
                <w:rFonts w:asciiTheme="minorHAnsi" w:hAnsiTheme="minorHAnsi" w:cstheme="minorHAnsi"/>
                <w:sz w:val="24"/>
                <w:szCs w:val="24"/>
              </w:rPr>
              <w:t>$</w:t>
            </w:r>
            <w:r w:rsidR="006C44B8">
              <w:rPr>
                <w:rFonts w:asciiTheme="minorHAnsi" w:hAnsiTheme="minorHAnsi" w:cstheme="minorHAnsi"/>
                <w:sz w:val="24"/>
                <w:szCs w:val="24"/>
              </w:rPr>
              <w:t>52</w:t>
            </w:r>
          </w:p>
          <w:p w:rsidR="006C44B8" w:rsidP="005A0184" w:rsidRDefault="006C44B8" w14:paraId="24033A3B" w14:textId="77777777">
            <w:pPr>
              <w:keepNext/>
              <w:widowControl w:val="0"/>
              <w:autoSpaceDE w:val="0"/>
              <w:autoSpaceDN w:val="0"/>
              <w:adjustRightInd w:val="0"/>
              <w:jc w:val="center"/>
              <w:rPr>
                <w:rFonts w:asciiTheme="minorHAnsi" w:hAnsiTheme="minorHAnsi" w:cstheme="minorHAnsi"/>
                <w:sz w:val="24"/>
                <w:szCs w:val="24"/>
              </w:rPr>
            </w:pPr>
            <w:r>
              <w:rPr>
                <w:rFonts w:asciiTheme="minorHAnsi" w:hAnsiTheme="minorHAnsi" w:cstheme="minorHAnsi"/>
                <w:sz w:val="24"/>
                <w:szCs w:val="24"/>
              </w:rPr>
              <w:t>&lt; OR &gt;</w:t>
            </w:r>
          </w:p>
          <w:p w:rsidRPr="00630492" w:rsidR="00630492" w:rsidP="005A0184" w:rsidRDefault="006C44B8" w14:paraId="0EA6FE83" w14:textId="3352A432">
            <w:pPr>
              <w:keepNext/>
              <w:widowControl w:val="0"/>
              <w:autoSpaceDE w:val="0"/>
              <w:autoSpaceDN w:val="0"/>
              <w:adjustRightInd w:val="0"/>
              <w:jc w:val="center"/>
              <w:rPr>
                <w:rFonts w:asciiTheme="minorHAnsi" w:hAnsiTheme="minorHAnsi" w:cstheme="minorHAnsi"/>
                <w:sz w:val="24"/>
                <w:szCs w:val="24"/>
              </w:rPr>
            </w:pPr>
            <w:r>
              <w:rPr>
                <w:rFonts w:asciiTheme="minorHAnsi" w:hAnsiTheme="minorHAnsi" w:cstheme="minorHAnsi"/>
                <w:sz w:val="24"/>
                <w:szCs w:val="24"/>
              </w:rPr>
              <w:t>$</w:t>
            </w:r>
            <w:r w:rsidRPr="00630492" w:rsidR="00630492">
              <w:rPr>
                <w:rFonts w:asciiTheme="minorHAnsi" w:hAnsiTheme="minorHAnsi" w:cstheme="minorHAnsi"/>
                <w:sz w:val="24"/>
                <w:szCs w:val="24"/>
              </w:rPr>
              <w:t>62</w:t>
            </w:r>
          </w:p>
        </w:tc>
      </w:tr>
    </w:tbl>
    <w:p w:rsidRPr="003C679C" w:rsidR="006E1B77" w:rsidP="005A0184" w:rsidRDefault="006E1B77" w14:paraId="7D75B8D2" w14:textId="77777777">
      <w:pPr>
        <w:spacing w:before="240" w:line="276" w:lineRule="auto"/>
        <w:rPr>
          <w:sz w:val="24"/>
          <w:szCs w:val="24"/>
        </w:rPr>
      </w:pPr>
      <w:r w:rsidRPr="003C679C">
        <w:rPr>
          <w:sz w:val="24"/>
          <w:szCs w:val="24"/>
        </w:rPr>
        <w:t>If all parts of the study are completed, participants will receive a total of $52 if a paper survey is completed or $62 if an online, web survey is completed. Confirmation of funds will vary depending on mechanism. For online surveys and virtual focus groups, verification will be obtained via email receipt and for mail surveys, a check will be sent and a list of cashed checks received.</w:t>
      </w:r>
    </w:p>
    <w:p w:rsidR="00B45002" w:rsidP="00601F1A" w:rsidRDefault="00601F1A" w14:paraId="6E8EA09B" w14:textId="10613D34">
      <w:pPr>
        <w:pStyle w:val="Heading1"/>
        <w:rPr>
          <w:color w:val="auto"/>
        </w:rPr>
      </w:pPr>
      <w:bookmarkStart w:name="_Toc61000937" w:id="11"/>
      <w:r w:rsidRPr="00374B14">
        <w:rPr>
          <w:color w:val="auto"/>
        </w:rPr>
        <w:t>A.</w:t>
      </w:r>
      <w:r w:rsidRPr="00374B14" w:rsidR="004D21C9">
        <w:rPr>
          <w:color w:val="auto"/>
        </w:rPr>
        <w:t xml:space="preserve">10.  </w:t>
      </w:r>
      <w:r w:rsidRPr="00374B14" w:rsidR="00B45002">
        <w:rPr>
          <w:color w:val="auto"/>
        </w:rPr>
        <w:t>Protection of the Privacy and Confidentiality of Information Provided by Respondents</w:t>
      </w:r>
      <w:bookmarkEnd w:id="11"/>
    </w:p>
    <w:p w:rsidR="00BD1213" w:rsidP="00BD1213" w:rsidRDefault="00BD1213" w14:paraId="36DE167C" w14:textId="77777777">
      <w:pPr>
        <w:autoSpaceDE w:val="0"/>
        <w:autoSpaceDN w:val="0"/>
        <w:adjustRightInd w:val="0"/>
        <w:spacing w:after="0" w:line="240" w:lineRule="auto"/>
      </w:pPr>
    </w:p>
    <w:p w:rsidR="0005589C" w:rsidP="00C14FF0" w:rsidRDefault="002703A9" w14:paraId="4C6C1CE3" w14:textId="2606D6D6">
      <w:pPr>
        <w:spacing w:line="276" w:lineRule="auto"/>
        <w:jc w:val="both"/>
        <w:rPr>
          <w:rFonts w:cstheme="minorHAnsi"/>
          <w:sz w:val="24"/>
          <w:szCs w:val="24"/>
        </w:rPr>
      </w:pPr>
      <w:r>
        <w:rPr>
          <w:rFonts w:cstheme="minorHAnsi"/>
          <w:sz w:val="24"/>
          <w:szCs w:val="24"/>
        </w:rPr>
        <w:t xml:space="preserve">On </w:t>
      </w:r>
      <w:r w:rsidR="00C14FF0">
        <w:rPr>
          <w:rFonts w:cstheme="minorHAnsi"/>
          <w:sz w:val="24"/>
          <w:szCs w:val="24"/>
        </w:rPr>
        <w:t>31 August 2020</w:t>
      </w:r>
      <w:r>
        <w:rPr>
          <w:rFonts w:cstheme="minorHAnsi"/>
          <w:sz w:val="24"/>
          <w:szCs w:val="24"/>
        </w:rPr>
        <w:t>, t</w:t>
      </w:r>
      <w:r w:rsidRPr="00AA563C" w:rsidR="00AA563C">
        <w:rPr>
          <w:rFonts w:cstheme="minorHAnsi"/>
          <w:sz w:val="24"/>
          <w:szCs w:val="24"/>
        </w:rPr>
        <w:t>his project was reviewed by the NCEH Information Security Systems Office</w:t>
      </w:r>
      <w:r>
        <w:rPr>
          <w:rFonts w:cstheme="minorHAnsi"/>
          <w:sz w:val="24"/>
          <w:szCs w:val="24"/>
        </w:rPr>
        <w:t>r (ISSO)</w:t>
      </w:r>
      <w:r w:rsidR="0005589C">
        <w:rPr>
          <w:rFonts w:cstheme="minorHAnsi"/>
          <w:sz w:val="24"/>
          <w:szCs w:val="24"/>
        </w:rPr>
        <w:t xml:space="preserve"> who determined that </w:t>
      </w:r>
      <w:r w:rsidRPr="00AA563C" w:rsidR="0005589C">
        <w:rPr>
          <w:rFonts w:cstheme="minorHAnsi"/>
          <w:sz w:val="24"/>
          <w:szCs w:val="24"/>
        </w:rPr>
        <w:t>the Privacy Act does not apply</w:t>
      </w:r>
      <w:r w:rsidR="0005589C">
        <w:rPr>
          <w:rFonts w:cstheme="minorHAnsi"/>
          <w:sz w:val="24"/>
          <w:szCs w:val="24"/>
        </w:rPr>
        <w:t xml:space="preserve"> and t</w:t>
      </w:r>
      <w:r w:rsidRPr="00AA563C" w:rsidR="00AA563C">
        <w:rPr>
          <w:rFonts w:cstheme="minorHAnsi"/>
          <w:sz w:val="24"/>
          <w:szCs w:val="24"/>
        </w:rPr>
        <w:t xml:space="preserve">his data collection does not require a systems of records notice (SORN). </w:t>
      </w:r>
    </w:p>
    <w:p w:rsidRPr="00AA563C" w:rsidR="00AA563C" w:rsidP="00DF4610" w:rsidRDefault="00AA563C" w14:paraId="66B10093" w14:textId="0E626854">
      <w:pPr>
        <w:spacing w:line="276" w:lineRule="auto"/>
        <w:jc w:val="both"/>
        <w:rPr>
          <w:rFonts w:ascii="Calibri" w:hAnsi="Calibri" w:cstheme="minorHAnsi"/>
          <w:color w:val="000000"/>
          <w:sz w:val="24"/>
          <w:szCs w:val="24"/>
        </w:rPr>
      </w:pPr>
      <w:r w:rsidRPr="00AA563C">
        <w:rPr>
          <w:rFonts w:cstheme="minorHAnsi"/>
          <w:sz w:val="24"/>
          <w:szCs w:val="24"/>
        </w:rPr>
        <w:t>PII is never stored or retained by the CDC.</w:t>
      </w:r>
      <w:r w:rsidR="0005589C">
        <w:rPr>
          <w:rFonts w:ascii="Calibri" w:hAnsi="Calibri" w:cstheme="minorHAnsi"/>
          <w:color w:val="000000"/>
          <w:sz w:val="24"/>
          <w:szCs w:val="24"/>
        </w:rPr>
        <w:t xml:space="preserve"> </w:t>
      </w:r>
      <w:r w:rsidRPr="00AA563C">
        <w:rPr>
          <w:rFonts w:ascii="Calibri" w:hAnsi="Calibri" w:cstheme="minorHAnsi"/>
          <w:color w:val="000000"/>
          <w:sz w:val="24"/>
          <w:szCs w:val="24"/>
        </w:rPr>
        <w:t>The following PII will be potentially collected by RTI. However, this information will not be transferred to CDC hosted servers:</w:t>
      </w:r>
    </w:p>
    <w:p w:rsidRPr="00AA563C" w:rsidR="00AA563C" w:rsidP="00DF4610" w:rsidRDefault="00AA563C" w14:paraId="2F6FF5FF" w14:textId="77777777">
      <w:pPr>
        <w:pStyle w:val="ListParagraph"/>
        <w:numPr>
          <w:ilvl w:val="1"/>
          <w:numId w:val="20"/>
        </w:numPr>
        <w:autoSpaceDE w:val="0"/>
        <w:autoSpaceDN w:val="0"/>
        <w:spacing w:after="0" w:line="276" w:lineRule="auto"/>
        <w:ind w:left="1080" w:hanging="450"/>
        <w:rPr>
          <w:rFonts w:ascii="Calibri" w:hAnsi="Calibri" w:cstheme="minorHAnsi"/>
          <w:color w:val="000000"/>
          <w:sz w:val="24"/>
          <w:szCs w:val="24"/>
        </w:rPr>
      </w:pPr>
      <w:r w:rsidRPr="00AA563C">
        <w:rPr>
          <w:rFonts w:ascii="Calibri" w:hAnsi="Calibri" w:cstheme="minorHAnsi"/>
          <w:color w:val="000000"/>
          <w:sz w:val="24"/>
          <w:szCs w:val="24"/>
        </w:rPr>
        <w:t>Current Address</w:t>
      </w:r>
    </w:p>
    <w:p w:rsidRPr="00AA563C" w:rsidR="00AA563C" w:rsidP="00DF4610" w:rsidRDefault="00AA563C" w14:paraId="753D155E" w14:textId="77777777">
      <w:pPr>
        <w:pStyle w:val="ListParagraph"/>
        <w:numPr>
          <w:ilvl w:val="1"/>
          <w:numId w:val="20"/>
        </w:numPr>
        <w:autoSpaceDE w:val="0"/>
        <w:autoSpaceDN w:val="0"/>
        <w:spacing w:after="0" w:line="276" w:lineRule="auto"/>
        <w:ind w:left="1080" w:hanging="450"/>
        <w:rPr>
          <w:rFonts w:ascii="Calibri" w:hAnsi="Calibri" w:cstheme="minorHAnsi"/>
          <w:color w:val="000000"/>
          <w:sz w:val="24"/>
          <w:szCs w:val="24"/>
        </w:rPr>
      </w:pPr>
      <w:r w:rsidRPr="00AA563C">
        <w:rPr>
          <w:rFonts w:ascii="Calibri" w:hAnsi="Calibri" w:cstheme="minorHAnsi"/>
          <w:color w:val="000000"/>
          <w:sz w:val="24"/>
          <w:szCs w:val="24"/>
        </w:rPr>
        <w:t>Name (if providing for incentive purposes, see below)</w:t>
      </w:r>
    </w:p>
    <w:p w:rsidR="00AA563C" w:rsidP="00DF4610" w:rsidRDefault="00AA563C" w14:paraId="4B01DA20" w14:textId="4969958D">
      <w:pPr>
        <w:pStyle w:val="ListParagraph"/>
        <w:numPr>
          <w:ilvl w:val="1"/>
          <w:numId w:val="20"/>
        </w:numPr>
        <w:autoSpaceDE w:val="0"/>
        <w:autoSpaceDN w:val="0"/>
        <w:spacing w:after="0" w:line="276" w:lineRule="auto"/>
        <w:ind w:left="1080" w:hanging="450"/>
        <w:rPr>
          <w:rFonts w:ascii="Calibri" w:hAnsi="Calibri" w:cstheme="minorHAnsi"/>
          <w:color w:val="000000"/>
          <w:sz w:val="24"/>
          <w:szCs w:val="24"/>
        </w:rPr>
      </w:pPr>
      <w:r w:rsidRPr="00AA563C">
        <w:rPr>
          <w:rFonts w:ascii="Calibri" w:hAnsi="Calibri" w:cstheme="minorHAnsi"/>
          <w:color w:val="000000"/>
          <w:sz w:val="24"/>
          <w:szCs w:val="24"/>
        </w:rPr>
        <w:lastRenderedPageBreak/>
        <w:t>Email (if providing for incentive purposes, see below)</w:t>
      </w:r>
    </w:p>
    <w:p w:rsidRPr="00AA563C" w:rsidR="00AA563C" w:rsidP="00AA563C" w:rsidRDefault="00AA563C" w14:paraId="729B2C3E" w14:textId="77777777">
      <w:pPr>
        <w:pStyle w:val="ListParagraph"/>
        <w:autoSpaceDE w:val="0"/>
        <w:autoSpaceDN w:val="0"/>
        <w:spacing w:after="0" w:line="240" w:lineRule="auto"/>
        <w:ind w:left="1080"/>
        <w:rPr>
          <w:rFonts w:ascii="Calibri" w:hAnsi="Calibri" w:cstheme="minorHAnsi"/>
          <w:color w:val="000000"/>
          <w:sz w:val="24"/>
          <w:szCs w:val="24"/>
        </w:rPr>
      </w:pPr>
    </w:p>
    <w:p w:rsidRPr="00AA563C" w:rsidR="00AA563C" w:rsidP="00AA563C" w:rsidRDefault="00AA563C" w14:paraId="2119ED45" w14:textId="77777777">
      <w:pPr>
        <w:autoSpaceDE w:val="0"/>
        <w:autoSpaceDN w:val="0"/>
        <w:rPr>
          <w:rFonts w:ascii="Calibri" w:hAnsi="Calibri" w:cstheme="minorHAnsi"/>
          <w:bCs/>
          <w:i/>
          <w:iCs/>
          <w:sz w:val="24"/>
          <w:szCs w:val="24"/>
        </w:rPr>
      </w:pPr>
      <w:r w:rsidRPr="00AA563C">
        <w:rPr>
          <w:rFonts w:ascii="Calibri" w:hAnsi="Calibri" w:cstheme="minorHAnsi"/>
          <w:bCs/>
          <w:i/>
          <w:iCs/>
          <w:sz w:val="24"/>
          <w:szCs w:val="24"/>
        </w:rPr>
        <w:t>Table 7.1.1.1.  PII categories and justification for their collection.</w:t>
      </w:r>
    </w:p>
    <w:tbl>
      <w:tblPr>
        <w:tblStyle w:val="TableGrid"/>
        <w:tblW w:w="0" w:type="auto"/>
        <w:tblLook w:val="04A0" w:firstRow="1" w:lastRow="0" w:firstColumn="1" w:lastColumn="0" w:noHBand="0" w:noVBand="1"/>
      </w:tblPr>
      <w:tblGrid>
        <w:gridCol w:w="3055"/>
        <w:gridCol w:w="6295"/>
      </w:tblGrid>
      <w:tr w:rsidRPr="00AA563C" w:rsidR="00AA563C" w:rsidTr="00A951B7" w14:paraId="16D793EF" w14:textId="77777777">
        <w:tc>
          <w:tcPr>
            <w:tcW w:w="3055" w:type="dxa"/>
          </w:tcPr>
          <w:p w:rsidRPr="00AA563C" w:rsidR="00AA563C" w:rsidP="00A951B7" w:rsidRDefault="00AA563C" w14:paraId="7AB03C44" w14:textId="77777777">
            <w:pPr>
              <w:autoSpaceDE w:val="0"/>
              <w:autoSpaceDN w:val="0"/>
              <w:rPr>
                <w:rFonts w:ascii="Calibri" w:hAnsi="Calibri" w:cstheme="minorHAnsi"/>
                <w:b/>
                <w:sz w:val="24"/>
                <w:szCs w:val="24"/>
              </w:rPr>
            </w:pPr>
            <w:r w:rsidRPr="00AA563C">
              <w:rPr>
                <w:rFonts w:ascii="Calibri" w:hAnsi="Calibri" w:cstheme="minorHAnsi"/>
                <w:b/>
                <w:sz w:val="24"/>
                <w:szCs w:val="24"/>
              </w:rPr>
              <w:t>IFF category</w:t>
            </w:r>
          </w:p>
        </w:tc>
        <w:tc>
          <w:tcPr>
            <w:tcW w:w="6295" w:type="dxa"/>
          </w:tcPr>
          <w:p w:rsidRPr="00AA563C" w:rsidR="00AA563C" w:rsidP="00A951B7" w:rsidRDefault="00AA563C" w14:paraId="5604F27D" w14:textId="77777777">
            <w:pPr>
              <w:autoSpaceDE w:val="0"/>
              <w:autoSpaceDN w:val="0"/>
              <w:rPr>
                <w:rFonts w:ascii="Calibri" w:hAnsi="Calibri" w:cstheme="minorHAnsi"/>
                <w:b/>
                <w:sz w:val="24"/>
                <w:szCs w:val="24"/>
              </w:rPr>
            </w:pPr>
            <w:r w:rsidRPr="00AA563C">
              <w:rPr>
                <w:rFonts w:ascii="Calibri" w:hAnsi="Calibri" w:cstheme="minorHAnsi"/>
                <w:b/>
                <w:sz w:val="24"/>
                <w:szCs w:val="24"/>
              </w:rPr>
              <w:t>Justification</w:t>
            </w:r>
          </w:p>
        </w:tc>
      </w:tr>
      <w:tr w:rsidRPr="00AA563C" w:rsidR="00AA563C" w:rsidTr="00A951B7" w14:paraId="13D32FD1" w14:textId="77777777">
        <w:tc>
          <w:tcPr>
            <w:tcW w:w="3055" w:type="dxa"/>
          </w:tcPr>
          <w:p w:rsidRPr="00AA563C" w:rsidR="00AA563C" w:rsidP="00A951B7" w:rsidRDefault="00AA563C" w14:paraId="6752E83A" w14:textId="77777777">
            <w:pPr>
              <w:autoSpaceDE w:val="0"/>
              <w:autoSpaceDN w:val="0"/>
              <w:rPr>
                <w:rFonts w:ascii="Calibri" w:hAnsi="Calibri" w:cstheme="minorHAnsi"/>
                <w:sz w:val="24"/>
                <w:szCs w:val="24"/>
              </w:rPr>
            </w:pPr>
            <w:r w:rsidRPr="00AA563C">
              <w:rPr>
                <w:rFonts w:ascii="Calibri" w:hAnsi="Calibri" w:cstheme="minorHAnsi"/>
                <w:sz w:val="24"/>
                <w:szCs w:val="24"/>
              </w:rPr>
              <w:t>Current address</w:t>
            </w:r>
          </w:p>
        </w:tc>
        <w:tc>
          <w:tcPr>
            <w:tcW w:w="6295" w:type="dxa"/>
          </w:tcPr>
          <w:p w:rsidRPr="00AA563C" w:rsidR="00AA563C" w:rsidP="00A951B7" w:rsidRDefault="00AA563C" w14:paraId="72A3DFF2" w14:textId="77777777">
            <w:pPr>
              <w:autoSpaceDE w:val="0"/>
              <w:autoSpaceDN w:val="0"/>
              <w:rPr>
                <w:rFonts w:ascii="Calibri" w:hAnsi="Calibri" w:cstheme="minorHAnsi"/>
                <w:sz w:val="24"/>
                <w:szCs w:val="24"/>
              </w:rPr>
            </w:pPr>
            <w:r w:rsidRPr="00AA563C">
              <w:rPr>
                <w:rFonts w:ascii="Calibri" w:hAnsi="Calibri" w:cstheme="minorHAnsi"/>
                <w:sz w:val="24"/>
                <w:szCs w:val="24"/>
              </w:rPr>
              <w:t>To confirm location during disaster</w:t>
            </w:r>
          </w:p>
        </w:tc>
      </w:tr>
      <w:tr w:rsidRPr="00AA563C" w:rsidR="00AA563C" w:rsidTr="00A951B7" w14:paraId="4CE1A020" w14:textId="77777777">
        <w:tc>
          <w:tcPr>
            <w:tcW w:w="3055" w:type="dxa"/>
          </w:tcPr>
          <w:p w:rsidRPr="00AA563C" w:rsidR="00AA563C" w:rsidP="00A951B7" w:rsidRDefault="00AA563C" w14:paraId="27DE23CB" w14:textId="77777777">
            <w:pPr>
              <w:autoSpaceDE w:val="0"/>
              <w:autoSpaceDN w:val="0"/>
              <w:rPr>
                <w:rFonts w:ascii="Calibri" w:hAnsi="Calibri" w:cstheme="minorHAnsi"/>
                <w:sz w:val="24"/>
                <w:szCs w:val="24"/>
              </w:rPr>
            </w:pPr>
            <w:r w:rsidRPr="00AA563C">
              <w:rPr>
                <w:rFonts w:ascii="Calibri" w:hAnsi="Calibri" w:cstheme="minorHAnsi"/>
                <w:sz w:val="24"/>
                <w:szCs w:val="24"/>
              </w:rPr>
              <w:t>Name</w:t>
            </w:r>
          </w:p>
        </w:tc>
        <w:tc>
          <w:tcPr>
            <w:tcW w:w="6295" w:type="dxa"/>
          </w:tcPr>
          <w:p w:rsidRPr="00AA563C" w:rsidR="00AA563C" w:rsidP="00A951B7" w:rsidRDefault="00AA563C" w14:paraId="100FE56F" w14:textId="77777777">
            <w:pPr>
              <w:autoSpaceDE w:val="0"/>
              <w:autoSpaceDN w:val="0"/>
              <w:rPr>
                <w:rFonts w:ascii="Calibri" w:hAnsi="Calibri" w:cstheme="minorHAnsi"/>
                <w:sz w:val="24"/>
                <w:szCs w:val="24"/>
              </w:rPr>
            </w:pPr>
            <w:r w:rsidRPr="00AA563C">
              <w:rPr>
                <w:rFonts w:ascii="Calibri" w:hAnsi="Calibri" w:cstheme="minorHAnsi"/>
                <w:sz w:val="24"/>
                <w:szCs w:val="24"/>
              </w:rPr>
              <w:t>Participants may provide for incentive purposes</w:t>
            </w:r>
          </w:p>
        </w:tc>
      </w:tr>
      <w:tr w:rsidRPr="00AA563C" w:rsidR="00AA563C" w:rsidTr="00A951B7" w14:paraId="199DEA24" w14:textId="77777777">
        <w:tc>
          <w:tcPr>
            <w:tcW w:w="3055" w:type="dxa"/>
          </w:tcPr>
          <w:p w:rsidRPr="00AA563C" w:rsidR="00AA563C" w:rsidP="00A951B7" w:rsidRDefault="00AA563C" w14:paraId="06C8CC70" w14:textId="77777777">
            <w:pPr>
              <w:autoSpaceDE w:val="0"/>
              <w:autoSpaceDN w:val="0"/>
              <w:rPr>
                <w:rFonts w:ascii="Calibri" w:hAnsi="Calibri" w:cstheme="minorHAnsi"/>
                <w:sz w:val="24"/>
                <w:szCs w:val="24"/>
              </w:rPr>
            </w:pPr>
            <w:r w:rsidRPr="00AA563C">
              <w:rPr>
                <w:rFonts w:ascii="Calibri" w:hAnsi="Calibri" w:cstheme="minorHAnsi"/>
                <w:sz w:val="24"/>
                <w:szCs w:val="24"/>
              </w:rPr>
              <w:t>Email</w:t>
            </w:r>
          </w:p>
        </w:tc>
        <w:tc>
          <w:tcPr>
            <w:tcW w:w="6295" w:type="dxa"/>
          </w:tcPr>
          <w:p w:rsidRPr="00AA563C" w:rsidR="00AA563C" w:rsidP="00A951B7" w:rsidRDefault="00AA563C" w14:paraId="60578BE0" w14:textId="77777777">
            <w:pPr>
              <w:autoSpaceDE w:val="0"/>
              <w:autoSpaceDN w:val="0"/>
              <w:rPr>
                <w:rFonts w:ascii="Calibri" w:hAnsi="Calibri" w:cstheme="minorHAnsi"/>
                <w:sz w:val="24"/>
                <w:szCs w:val="24"/>
              </w:rPr>
            </w:pPr>
            <w:r w:rsidRPr="00AA563C">
              <w:rPr>
                <w:rFonts w:ascii="Calibri" w:hAnsi="Calibri" w:cstheme="minorHAnsi"/>
                <w:sz w:val="24"/>
                <w:szCs w:val="24"/>
              </w:rPr>
              <w:t>Participants may provide for incentive purposes</w:t>
            </w:r>
          </w:p>
        </w:tc>
      </w:tr>
    </w:tbl>
    <w:p w:rsidR="00AA563C" w:rsidP="00AA563C" w:rsidRDefault="00AA563C" w14:paraId="0083D548" w14:textId="77777777">
      <w:pPr>
        <w:jc w:val="both"/>
        <w:rPr>
          <w:rFonts w:ascii="Calibri" w:hAnsi="Calibri"/>
          <w:sz w:val="24"/>
          <w:szCs w:val="24"/>
        </w:rPr>
      </w:pPr>
    </w:p>
    <w:p w:rsidRPr="00DF4610" w:rsidR="00027316" w:rsidP="00DF4610" w:rsidRDefault="00AA563C" w14:paraId="2686391B" w14:textId="7B7E9627">
      <w:pPr>
        <w:spacing w:line="276" w:lineRule="auto"/>
        <w:jc w:val="both"/>
        <w:rPr>
          <w:rFonts w:cstheme="minorHAnsi"/>
          <w:sz w:val="24"/>
          <w:szCs w:val="24"/>
        </w:rPr>
      </w:pPr>
      <w:r w:rsidRPr="00DF4610">
        <w:rPr>
          <w:rFonts w:cstheme="minorHAnsi"/>
          <w:sz w:val="24"/>
          <w:szCs w:val="24"/>
        </w:rPr>
        <w:t>RTI study staff will make every effort to keep the data secure by a variety of methods. Data are entered into a password-protected database and a unique CaseID is assigned as a key identifier. All paper files are received and processed at the contractor’s research operations center, in a badge-only accessed room exclusive to paper survey data collection and are stored in locked cabinets. Electronic files are stored on secured servers (i.e., ESN) with password protection and access only to project team members tasked with systems management and data monitoring. Encrypted data files are sent electronically to investigators at CDC. Data are stored on secure CDC servers in Atlanta, GA. The servers are housed in a secure computer room complete with climate control, emergency power, and an uninterruptible power supply (UPS). Daily back-ups and integrated security are implemented through the CDC computer services infrastructure. All data access is password-protected, and all network communications use encryption. All servers and PCs that are part of the CDC infrastructure are protected by both host-based firewalls and software to prevent the undetected installation of "spyware." At CDC, only our investigators are given access to read the encrypted data files.</w:t>
      </w:r>
    </w:p>
    <w:p w:rsidRPr="00DF4610" w:rsidR="00643259" w:rsidP="00DF4610" w:rsidRDefault="00EC1F98" w14:paraId="22B14F50" w14:textId="3DFC322E">
      <w:pPr>
        <w:autoSpaceDE w:val="0"/>
        <w:autoSpaceDN w:val="0"/>
        <w:adjustRightInd w:val="0"/>
        <w:spacing w:after="0" w:line="276" w:lineRule="auto"/>
        <w:jc w:val="both"/>
        <w:rPr>
          <w:rFonts w:cstheme="minorHAnsi"/>
          <w:bCs/>
          <w:sz w:val="24"/>
          <w:szCs w:val="24"/>
        </w:rPr>
      </w:pPr>
      <w:r w:rsidRPr="00DF4610">
        <w:rPr>
          <w:rFonts w:cstheme="minorHAnsi"/>
          <w:bCs/>
          <w:sz w:val="24"/>
          <w:szCs w:val="24"/>
        </w:rPr>
        <w:t xml:space="preserve">Survey participation is voluntary. Survey participants will read information on privacy and consent in the letter that accompanies, or is on the first webpage, of the questionnaire (Attachment </w:t>
      </w:r>
      <w:r w:rsidRPr="00DF4610" w:rsidR="00674FF4">
        <w:rPr>
          <w:rFonts w:cstheme="minorHAnsi"/>
          <w:bCs/>
          <w:sz w:val="24"/>
          <w:szCs w:val="24"/>
        </w:rPr>
        <w:t>4</w:t>
      </w:r>
      <w:r w:rsidRPr="00DF4610">
        <w:rPr>
          <w:rFonts w:cstheme="minorHAnsi"/>
          <w:bCs/>
          <w:sz w:val="24"/>
          <w:szCs w:val="24"/>
        </w:rPr>
        <w:t xml:space="preserve">). For the paper-based survey, participants will sign the consent form (Attachment </w:t>
      </w:r>
      <w:r w:rsidRPr="00DF4610" w:rsidR="00674FF4">
        <w:rPr>
          <w:rFonts w:cstheme="minorHAnsi"/>
          <w:bCs/>
          <w:sz w:val="24"/>
          <w:szCs w:val="24"/>
        </w:rPr>
        <w:t>5</w:t>
      </w:r>
      <w:r w:rsidRPr="00DF4610">
        <w:rPr>
          <w:rFonts w:cstheme="minorHAnsi"/>
          <w:bCs/>
          <w:sz w:val="24"/>
          <w:szCs w:val="24"/>
        </w:rPr>
        <w:t>), complete the paper survey and return both documents in the mail. They will be provided an extra copy of the consent form in the package to keep for their own records.</w:t>
      </w:r>
    </w:p>
    <w:p w:rsidRPr="00B15A6D" w:rsidR="00EC1F98" w:rsidP="00DF4610" w:rsidRDefault="00EC1F98" w14:paraId="11DFE587" w14:textId="42534E6E">
      <w:pPr>
        <w:autoSpaceDE w:val="0"/>
        <w:autoSpaceDN w:val="0"/>
        <w:adjustRightInd w:val="0"/>
        <w:spacing w:after="0" w:line="276" w:lineRule="auto"/>
        <w:rPr>
          <w:rFonts w:cstheme="minorHAnsi"/>
          <w:bCs/>
          <w:sz w:val="24"/>
          <w:szCs w:val="24"/>
        </w:rPr>
      </w:pPr>
    </w:p>
    <w:p w:rsidRPr="00B15A6D" w:rsidR="00EC1F98" w:rsidP="00DF4610" w:rsidRDefault="00EC1F98" w14:paraId="0788B683" w14:textId="0F1DDC1D">
      <w:pPr>
        <w:autoSpaceDE w:val="0"/>
        <w:autoSpaceDN w:val="0"/>
        <w:adjustRightInd w:val="0"/>
        <w:spacing w:after="0" w:line="276" w:lineRule="auto"/>
        <w:jc w:val="both"/>
        <w:rPr>
          <w:rFonts w:cstheme="minorHAnsi"/>
          <w:bCs/>
          <w:sz w:val="24"/>
          <w:szCs w:val="24"/>
        </w:rPr>
      </w:pPr>
      <w:r w:rsidRPr="00B15A6D">
        <w:rPr>
          <w:rFonts w:cstheme="minorHAnsi"/>
          <w:bCs/>
          <w:sz w:val="24"/>
          <w:szCs w:val="24"/>
        </w:rPr>
        <w:t xml:space="preserve">Participants who choose to complete the survey online will actively consent by signing the online consent form (Attachment </w:t>
      </w:r>
      <w:r w:rsidRPr="00FA0331" w:rsidR="00674FF4">
        <w:rPr>
          <w:rFonts w:cstheme="minorHAnsi"/>
          <w:bCs/>
          <w:sz w:val="24"/>
          <w:szCs w:val="24"/>
        </w:rPr>
        <w:t>5A</w:t>
      </w:r>
      <w:r w:rsidRPr="00FA0331">
        <w:rPr>
          <w:rFonts w:cstheme="minorHAnsi"/>
          <w:bCs/>
          <w:sz w:val="24"/>
          <w:szCs w:val="24"/>
        </w:rPr>
        <w:t>) and continuing to survey questions. The online consent has the same wording as the paper-based consent; yet, rather than a signat</w:t>
      </w:r>
      <w:r w:rsidRPr="00B15A6D">
        <w:rPr>
          <w:rFonts w:cstheme="minorHAnsi"/>
          <w:bCs/>
          <w:sz w:val="24"/>
          <w:szCs w:val="24"/>
        </w:rPr>
        <w:t xml:space="preserve">ure, acknowledges that by typing their name and submitting they are consenting to the survey. Participants have the option to immediately print the online consent to maintain a copy for their records. A copy of the consent will also be sent to participants along with their incentive. The online consent and </w:t>
      </w:r>
      <w:r w:rsidRPr="00B15A6D">
        <w:rPr>
          <w:rFonts w:cstheme="minorHAnsi"/>
          <w:bCs/>
          <w:sz w:val="24"/>
          <w:szCs w:val="24"/>
        </w:rPr>
        <w:lastRenderedPageBreak/>
        <w:t xml:space="preserve">questionnaire are available in English and Spanish; Spanish translation and back‐translation will be conducted to ensure accuracy. </w:t>
      </w:r>
    </w:p>
    <w:p w:rsidRPr="00B15A6D" w:rsidR="00EC1F98" w:rsidP="00DF4610" w:rsidRDefault="00EC1F98" w14:paraId="39EDE0CC" w14:textId="77777777">
      <w:pPr>
        <w:autoSpaceDE w:val="0"/>
        <w:autoSpaceDN w:val="0"/>
        <w:adjustRightInd w:val="0"/>
        <w:spacing w:after="0" w:line="276" w:lineRule="auto"/>
        <w:jc w:val="both"/>
        <w:rPr>
          <w:rFonts w:cstheme="minorHAnsi"/>
          <w:bCs/>
          <w:sz w:val="24"/>
          <w:szCs w:val="24"/>
        </w:rPr>
      </w:pPr>
    </w:p>
    <w:p w:rsidRPr="00B15A6D" w:rsidR="00EC1F98" w:rsidP="00DF4610" w:rsidRDefault="00EC1F98" w14:paraId="10F499F8" w14:textId="098A92BC">
      <w:pPr>
        <w:autoSpaceDE w:val="0"/>
        <w:autoSpaceDN w:val="0"/>
        <w:adjustRightInd w:val="0"/>
        <w:spacing w:after="0" w:line="276" w:lineRule="auto"/>
        <w:jc w:val="both"/>
        <w:rPr>
          <w:rFonts w:cstheme="minorHAnsi"/>
          <w:bCs/>
          <w:sz w:val="24"/>
          <w:szCs w:val="24"/>
        </w:rPr>
      </w:pPr>
      <w:r w:rsidRPr="00B15A6D">
        <w:rPr>
          <w:rFonts w:cstheme="minorHAnsi"/>
          <w:bCs/>
          <w:sz w:val="24"/>
          <w:szCs w:val="24"/>
        </w:rPr>
        <w:t>Consent for the focus groups will be obtained during the week before a scheduled focus group via email. The focus group task lead will email a consent form to each potential participant and request that they read, sign, and return the consent form via email. Mail (USPS) paper copy will be acceptable if the participant does not have equipment to scan/photo and send back the form. The consent form includes a description of the study purpose, study procedures, benefits and risks, confidentiality, compensation, and study contacts (See Attachment</w:t>
      </w:r>
      <w:r w:rsidRPr="00B15A6D" w:rsidR="00674FF4">
        <w:rPr>
          <w:rFonts w:cstheme="minorHAnsi"/>
          <w:bCs/>
          <w:sz w:val="24"/>
          <w:szCs w:val="24"/>
        </w:rPr>
        <w:t xml:space="preserve"> 7B</w:t>
      </w:r>
      <w:r w:rsidRPr="00B15A6D">
        <w:rPr>
          <w:rFonts w:cstheme="minorHAnsi"/>
          <w:bCs/>
          <w:sz w:val="24"/>
          <w:szCs w:val="24"/>
        </w:rPr>
        <w:t>).</w:t>
      </w:r>
    </w:p>
    <w:p w:rsidRPr="00B15A6D" w:rsidR="002B7A43" w:rsidP="00DF4610" w:rsidRDefault="002B7A43" w14:paraId="69F4845C" w14:textId="6486B229">
      <w:pPr>
        <w:autoSpaceDE w:val="0"/>
        <w:autoSpaceDN w:val="0"/>
        <w:adjustRightInd w:val="0"/>
        <w:spacing w:after="0" w:line="276" w:lineRule="auto"/>
        <w:jc w:val="both"/>
        <w:rPr>
          <w:rFonts w:cstheme="minorHAnsi"/>
          <w:bCs/>
          <w:sz w:val="24"/>
          <w:szCs w:val="24"/>
        </w:rPr>
      </w:pPr>
    </w:p>
    <w:p w:rsidRPr="00A26009" w:rsidR="002B7A43" w:rsidP="00B15A6D" w:rsidRDefault="002B7A43" w14:paraId="6FE9463A" w14:textId="400F0454">
      <w:pPr>
        <w:pStyle w:val="BodyText"/>
        <w:ind w:right="117"/>
        <w:jc w:val="both"/>
        <w:rPr>
          <w:rFonts w:asciiTheme="minorHAnsi" w:hAnsiTheme="minorHAnsi" w:cstheme="minorHAnsi"/>
        </w:rPr>
      </w:pPr>
      <w:r w:rsidRPr="00A26009">
        <w:rPr>
          <w:rFonts w:asciiTheme="minorHAnsi" w:hAnsiTheme="minorHAnsi" w:cstheme="minorHAnsi"/>
        </w:rPr>
        <w:t>Consistent</w:t>
      </w:r>
      <w:r w:rsidRPr="00A26009" w:rsidR="002703A9">
        <w:rPr>
          <w:rFonts w:asciiTheme="minorHAnsi" w:hAnsiTheme="minorHAnsi" w:cstheme="minorHAnsi"/>
        </w:rPr>
        <w:t>ly</w:t>
      </w:r>
      <w:r w:rsidRPr="00A26009">
        <w:rPr>
          <w:rFonts w:asciiTheme="minorHAnsi" w:hAnsiTheme="minorHAnsi" w:cstheme="minorHAnsi"/>
        </w:rPr>
        <w:t xml:space="preserve"> with Section 301(d) of the Public Health Service Act, a Certificate of Confidentiality (</w:t>
      </w:r>
      <w:proofErr w:type="spellStart"/>
      <w:r w:rsidRPr="00A26009">
        <w:rPr>
          <w:rFonts w:asciiTheme="minorHAnsi" w:hAnsiTheme="minorHAnsi" w:cstheme="minorHAnsi"/>
        </w:rPr>
        <w:t>CoC</w:t>
      </w:r>
      <w:proofErr w:type="spellEnd"/>
      <w:r w:rsidRPr="00A26009">
        <w:rPr>
          <w:rFonts w:asciiTheme="minorHAnsi" w:hAnsiTheme="minorHAnsi" w:cstheme="minorHAnsi"/>
        </w:rPr>
        <w:t>) applies to this research because this research is funded, conducted, or supported by CDC, involves human subjects as defined by 45 CFR Part 46, and involves information about an individual for which there is at least a very small risk, that some combination of the</w:t>
      </w:r>
      <w:r w:rsidRPr="00A26009">
        <w:rPr>
          <w:rFonts w:asciiTheme="minorHAnsi" w:hAnsiTheme="minorHAnsi" w:cstheme="minorHAnsi"/>
          <w:spacing w:val="-35"/>
        </w:rPr>
        <w:t xml:space="preserve"> </w:t>
      </w:r>
      <w:r w:rsidRPr="00A26009">
        <w:rPr>
          <w:rFonts w:asciiTheme="minorHAnsi" w:hAnsiTheme="minorHAnsi" w:cstheme="minorHAnsi"/>
        </w:rPr>
        <w:t>information, a request for the information, and other available data sources could be used to deduce the identity of an individual. Therefore, CDC and any of its collaborators, contractors, grantees, investigators or collaborating institutions that receive “identifiable, sensitive Information” as defined by subsection 301(d) of the Public Health Service Act shall</w:t>
      </w:r>
      <w:r w:rsidRPr="00A26009">
        <w:rPr>
          <w:rFonts w:asciiTheme="minorHAnsi" w:hAnsiTheme="minorHAnsi" w:cstheme="minorHAnsi"/>
          <w:spacing w:val="-8"/>
        </w:rPr>
        <w:t xml:space="preserve"> </w:t>
      </w:r>
      <w:r w:rsidRPr="00A26009">
        <w:rPr>
          <w:rFonts w:asciiTheme="minorHAnsi" w:hAnsiTheme="minorHAnsi" w:cstheme="minorHAnsi"/>
        </w:rPr>
        <w:t>not</w:t>
      </w:r>
    </w:p>
    <w:p w:rsidRPr="00A26009" w:rsidR="002B7A43" w:rsidP="00A26009" w:rsidRDefault="002B7A43" w14:paraId="633800B3" w14:textId="77777777">
      <w:pPr>
        <w:pStyle w:val="ListParagraph"/>
        <w:widowControl w:val="0"/>
        <w:numPr>
          <w:ilvl w:val="0"/>
          <w:numId w:val="24"/>
        </w:numPr>
        <w:tabs>
          <w:tab w:val="left" w:pos="840"/>
        </w:tabs>
        <w:autoSpaceDE w:val="0"/>
        <w:autoSpaceDN w:val="0"/>
        <w:spacing w:before="1" w:after="0" w:line="276" w:lineRule="auto"/>
        <w:ind w:left="810" w:right="450"/>
        <w:contextualSpacing w:val="0"/>
        <w:jc w:val="both"/>
        <w:rPr>
          <w:rFonts w:cstheme="minorHAnsi"/>
          <w:sz w:val="24"/>
        </w:rPr>
      </w:pPr>
      <w:r w:rsidRPr="00A26009">
        <w:rPr>
          <w:rFonts w:cstheme="minorHAnsi"/>
          <w:sz w:val="24"/>
        </w:rPr>
        <w:t>disclose</w:t>
      </w:r>
      <w:r w:rsidRPr="00A26009">
        <w:rPr>
          <w:rFonts w:cstheme="minorHAnsi"/>
          <w:spacing w:val="-15"/>
          <w:sz w:val="24"/>
        </w:rPr>
        <w:t xml:space="preserve"> </w:t>
      </w:r>
      <w:r w:rsidRPr="00A26009">
        <w:rPr>
          <w:rFonts w:cstheme="minorHAnsi"/>
          <w:sz w:val="24"/>
        </w:rPr>
        <w:t>or</w:t>
      </w:r>
      <w:r w:rsidRPr="00A26009">
        <w:rPr>
          <w:rFonts w:cstheme="minorHAnsi"/>
          <w:spacing w:val="-14"/>
          <w:sz w:val="24"/>
        </w:rPr>
        <w:t xml:space="preserve"> </w:t>
      </w:r>
      <w:r w:rsidRPr="00A26009">
        <w:rPr>
          <w:rFonts w:cstheme="minorHAnsi"/>
          <w:sz w:val="24"/>
        </w:rPr>
        <w:t>provide,</w:t>
      </w:r>
      <w:r w:rsidRPr="00A26009">
        <w:rPr>
          <w:rFonts w:cstheme="minorHAnsi"/>
          <w:spacing w:val="-14"/>
          <w:sz w:val="24"/>
        </w:rPr>
        <w:t xml:space="preserve"> </w:t>
      </w:r>
      <w:r w:rsidRPr="00A26009">
        <w:rPr>
          <w:rFonts w:cstheme="minorHAnsi"/>
          <w:sz w:val="24"/>
        </w:rPr>
        <w:t>in</w:t>
      </w:r>
      <w:r w:rsidRPr="00A26009">
        <w:rPr>
          <w:rFonts w:cstheme="minorHAnsi"/>
          <w:spacing w:val="-14"/>
          <w:sz w:val="24"/>
        </w:rPr>
        <w:t xml:space="preserve"> </w:t>
      </w:r>
      <w:r w:rsidRPr="00A26009">
        <w:rPr>
          <w:rFonts w:cstheme="minorHAnsi"/>
          <w:sz w:val="24"/>
        </w:rPr>
        <w:t>any</w:t>
      </w:r>
      <w:r w:rsidRPr="00A26009">
        <w:rPr>
          <w:rFonts w:cstheme="minorHAnsi"/>
          <w:spacing w:val="-14"/>
          <w:sz w:val="24"/>
        </w:rPr>
        <w:t xml:space="preserve"> </w:t>
      </w:r>
      <w:r w:rsidRPr="00A26009">
        <w:rPr>
          <w:rFonts w:cstheme="minorHAnsi"/>
          <w:sz w:val="24"/>
        </w:rPr>
        <w:t>Federal,</w:t>
      </w:r>
      <w:r w:rsidRPr="00A26009">
        <w:rPr>
          <w:rFonts w:cstheme="minorHAnsi"/>
          <w:spacing w:val="-14"/>
          <w:sz w:val="24"/>
        </w:rPr>
        <w:t xml:space="preserve"> </w:t>
      </w:r>
      <w:r w:rsidRPr="00A26009">
        <w:rPr>
          <w:rFonts w:cstheme="minorHAnsi"/>
          <w:sz w:val="24"/>
        </w:rPr>
        <w:t>State,</w:t>
      </w:r>
      <w:r w:rsidRPr="00A26009">
        <w:rPr>
          <w:rFonts w:cstheme="minorHAnsi"/>
          <w:spacing w:val="-14"/>
          <w:sz w:val="24"/>
        </w:rPr>
        <w:t xml:space="preserve"> </w:t>
      </w:r>
      <w:r w:rsidRPr="00A26009">
        <w:rPr>
          <w:rFonts w:cstheme="minorHAnsi"/>
          <w:sz w:val="24"/>
        </w:rPr>
        <w:t>or</w:t>
      </w:r>
      <w:r w:rsidRPr="00A26009">
        <w:rPr>
          <w:rFonts w:cstheme="minorHAnsi"/>
          <w:spacing w:val="-14"/>
          <w:sz w:val="24"/>
        </w:rPr>
        <w:t xml:space="preserve"> </w:t>
      </w:r>
      <w:r w:rsidRPr="00A26009">
        <w:rPr>
          <w:rFonts w:cstheme="minorHAnsi"/>
          <w:sz w:val="24"/>
        </w:rPr>
        <w:t>local</w:t>
      </w:r>
      <w:r w:rsidRPr="00A26009">
        <w:rPr>
          <w:rFonts w:cstheme="minorHAnsi"/>
          <w:spacing w:val="-15"/>
          <w:sz w:val="24"/>
        </w:rPr>
        <w:t xml:space="preserve"> </w:t>
      </w:r>
      <w:r w:rsidRPr="00A26009">
        <w:rPr>
          <w:rFonts w:cstheme="minorHAnsi"/>
          <w:sz w:val="24"/>
        </w:rPr>
        <w:t>civil,</w:t>
      </w:r>
      <w:r w:rsidRPr="00A26009">
        <w:rPr>
          <w:rFonts w:cstheme="minorHAnsi"/>
          <w:spacing w:val="-14"/>
          <w:sz w:val="24"/>
        </w:rPr>
        <w:t xml:space="preserve"> </w:t>
      </w:r>
      <w:r w:rsidRPr="00A26009">
        <w:rPr>
          <w:rFonts w:cstheme="minorHAnsi"/>
          <w:sz w:val="24"/>
        </w:rPr>
        <w:t>criminal,</w:t>
      </w:r>
      <w:r w:rsidRPr="00A26009">
        <w:rPr>
          <w:rFonts w:cstheme="minorHAnsi"/>
          <w:spacing w:val="-14"/>
          <w:sz w:val="24"/>
        </w:rPr>
        <w:t xml:space="preserve"> </w:t>
      </w:r>
      <w:r w:rsidRPr="00A26009">
        <w:rPr>
          <w:rFonts w:cstheme="minorHAnsi"/>
          <w:sz w:val="24"/>
        </w:rPr>
        <w:t>administrative,</w:t>
      </w:r>
      <w:r w:rsidRPr="00A26009">
        <w:rPr>
          <w:rFonts w:cstheme="minorHAnsi"/>
          <w:spacing w:val="-14"/>
          <w:sz w:val="24"/>
        </w:rPr>
        <w:t xml:space="preserve"> </w:t>
      </w:r>
      <w:r w:rsidRPr="00A26009">
        <w:rPr>
          <w:rFonts w:cstheme="minorHAnsi"/>
          <w:sz w:val="24"/>
        </w:rPr>
        <w:t>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w:t>
      </w:r>
      <w:r w:rsidRPr="00A26009">
        <w:rPr>
          <w:rFonts w:cstheme="minorHAnsi"/>
          <w:spacing w:val="-1"/>
          <w:sz w:val="24"/>
        </w:rPr>
        <w:t xml:space="preserve"> </w:t>
      </w:r>
      <w:r w:rsidRPr="00A26009">
        <w:rPr>
          <w:rFonts w:cstheme="minorHAnsi"/>
          <w:sz w:val="24"/>
        </w:rPr>
        <w:t>or</w:t>
      </w:r>
    </w:p>
    <w:p w:rsidRPr="00A26009" w:rsidR="002B7A43" w:rsidP="00A26009" w:rsidRDefault="002B7A43" w14:paraId="1EFFE551" w14:textId="281C112B">
      <w:pPr>
        <w:pStyle w:val="ListParagraph"/>
        <w:widowControl w:val="0"/>
        <w:numPr>
          <w:ilvl w:val="0"/>
          <w:numId w:val="24"/>
        </w:numPr>
        <w:tabs>
          <w:tab w:val="left" w:pos="840"/>
        </w:tabs>
        <w:autoSpaceDE w:val="0"/>
        <w:autoSpaceDN w:val="0"/>
        <w:spacing w:after="0" w:line="276" w:lineRule="auto"/>
        <w:ind w:left="810" w:right="450"/>
        <w:contextualSpacing w:val="0"/>
        <w:jc w:val="both"/>
        <w:rPr>
          <w:rFonts w:cstheme="minorHAnsi"/>
          <w:sz w:val="24"/>
        </w:rPr>
      </w:pPr>
      <w:r w:rsidRPr="00A26009">
        <w:rPr>
          <w:rFonts w:cstheme="minorHAnsi"/>
          <w:sz w:val="24"/>
        </w:rPr>
        <w:t>disclose</w:t>
      </w:r>
      <w:r w:rsidRPr="00A26009">
        <w:rPr>
          <w:rFonts w:cstheme="minorHAnsi"/>
          <w:spacing w:val="-13"/>
          <w:sz w:val="24"/>
        </w:rPr>
        <w:t xml:space="preserve"> </w:t>
      </w:r>
      <w:r w:rsidRPr="00A26009">
        <w:rPr>
          <w:rFonts w:cstheme="minorHAnsi"/>
          <w:sz w:val="24"/>
        </w:rPr>
        <w:t>or</w:t>
      </w:r>
      <w:r w:rsidRPr="00A26009">
        <w:rPr>
          <w:rFonts w:cstheme="minorHAnsi"/>
          <w:spacing w:val="-13"/>
          <w:sz w:val="24"/>
        </w:rPr>
        <w:t xml:space="preserve"> </w:t>
      </w:r>
      <w:r w:rsidRPr="00A26009">
        <w:rPr>
          <w:rFonts w:cstheme="minorHAnsi"/>
          <w:sz w:val="24"/>
        </w:rPr>
        <w:t>provide</w:t>
      </w:r>
      <w:r w:rsidRPr="00A26009">
        <w:rPr>
          <w:rFonts w:cstheme="minorHAnsi"/>
          <w:spacing w:val="-13"/>
          <w:sz w:val="24"/>
        </w:rPr>
        <w:t xml:space="preserve"> </w:t>
      </w:r>
      <w:r w:rsidRPr="00A26009">
        <w:rPr>
          <w:rFonts w:cstheme="minorHAnsi"/>
          <w:sz w:val="24"/>
        </w:rPr>
        <w:t>to</w:t>
      </w:r>
      <w:r w:rsidRPr="00A26009">
        <w:rPr>
          <w:rFonts w:cstheme="minorHAnsi"/>
          <w:spacing w:val="-13"/>
          <w:sz w:val="24"/>
        </w:rPr>
        <w:t xml:space="preserve"> </w:t>
      </w:r>
      <w:r w:rsidRPr="00A26009">
        <w:rPr>
          <w:rFonts w:cstheme="minorHAnsi"/>
          <w:sz w:val="24"/>
        </w:rPr>
        <w:t>any</w:t>
      </w:r>
      <w:r w:rsidRPr="00A26009">
        <w:rPr>
          <w:rFonts w:cstheme="minorHAnsi"/>
          <w:spacing w:val="-13"/>
          <w:sz w:val="24"/>
        </w:rPr>
        <w:t xml:space="preserve"> </w:t>
      </w:r>
      <w:r w:rsidRPr="00A26009">
        <w:rPr>
          <w:rFonts w:cstheme="minorHAnsi"/>
          <w:sz w:val="24"/>
        </w:rPr>
        <w:t>other</w:t>
      </w:r>
      <w:r w:rsidRPr="00A26009">
        <w:rPr>
          <w:rFonts w:cstheme="minorHAnsi"/>
          <w:spacing w:val="-13"/>
          <w:sz w:val="24"/>
        </w:rPr>
        <w:t xml:space="preserve"> </w:t>
      </w:r>
      <w:r w:rsidRPr="00A26009">
        <w:rPr>
          <w:rFonts w:cstheme="minorHAnsi"/>
          <w:sz w:val="24"/>
        </w:rPr>
        <w:t>person</w:t>
      </w:r>
      <w:r w:rsidRPr="00A26009">
        <w:rPr>
          <w:rFonts w:cstheme="minorHAnsi"/>
          <w:spacing w:val="-13"/>
          <w:sz w:val="24"/>
        </w:rPr>
        <w:t xml:space="preserve"> </w:t>
      </w:r>
      <w:r w:rsidRPr="00A26009">
        <w:rPr>
          <w:rFonts w:cstheme="minorHAnsi"/>
          <w:sz w:val="24"/>
        </w:rPr>
        <w:t>not</w:t>
      </w:r>
      <w:r w:rsidRPr="00A26009">
        <w:rPr>
          <w:rFonts w:cstheme="minorHAnsi"/>
          <w:spacing w:val="-13"/>
          <w:sz w:val="24"/>
        </w:rPr>
        <w:t xml:space="preserve"> </w:t>
      </w:r>
      <w:r w:rsidRPr="00A26009">
        <w:rPr>
          <w:rFonts w:cstheme="minorHAnsi"/>
          <w:sz w:val="24"/>
        </w:rPr>
        <w:t>connected</w:t>
      </w:r>
      <w:r w:rsidRPr="00A26009">
        <w:rPr>
          <w:rFonts w:cstheme="minorHAnsi"/>
          <w:spacing w:val="-13"/>
          <w:sz w:val="24"/>
        </w:rPr>
        <w:t xml:space="preserve"> </w:t>
      </w:r>
      <w:r w:rsidRPr="00A26009">
        <w:rPr>
          <w:rFonts w:cstheme="minorHAnsi"/>
          <w:sz w:val="24"/>
        </w:rPr>
        <w:t>with</w:t>
      </w:r>
      <w:r w:rsidRPr="00A26009">
        <w:rPr>
          <w:rFonts w:cstheme="minorHAnsi"/>
          <w:spacing w:val="-13"/>
          <w:sz w:val="24"/>
        </w:rPr>
        <w:t xml:space="preserve"> </w:t>
      </w:r>
      <w:r w:rsidRPr="00A26009">
        <w:rPr>
          <w:rFonts w:cstheme="minorHAnsi"/>
          <w:sz w:val="24"/>
        </w:rPr>
        <w:t>the</w:t>
      </w:r>
      <w:r w:rsidRPr="00A26009">
        <w:rPr>
          <w:rFonts w:cstheme="minorHAnsi"/>
          <w:spacing w:val="-12"/>
          <w:sz w:val="24"/>
        </w:rPr>
        <w:t xml:space="preserve"> </w:t>
      </w:r>
      <w:r w:rsidRPr="00A26009">
        <w:rPr>
          <w:rFonts w:cstheme="minorHAnsi"/>
          <w:sz w:val="24"/>
        </w:rPr>
        <w:t>research</w:t>
      </w:r>
      <w:r w:rsidRPr="00A26009">
        <w:rPr>
          <w:rFonts w:cstheme="minorHAnsi"/>
          <w:spacing w:val="-14"/>
          <w:sz w:val="24"/>
        </w:rPr>
        <w:t xml:space="preserve"> </w:t>
      </w:r>
      <w:r w:rsidRPr="00A26009">
        <w:rPr>
          <w:rFonts w:cstheme="minorHAnsi"/>
          <w:sz w:val="24"/>
        </w:rPr>
        <w:t>the</w:t>
      </w:r>
      <w:r w:rsidRPr="00A26009">
        <w:rPr>
          <w:rFonts w:cstheme="minorHAnsi"/>
          <w:spacing w:val="-13"/>
          <w:sz w:val="24"/>
        </w:rPr>
        <w:t xml:space="preserve"> </w:t>
      </w:r>
      <w:r w:rsidRPr="00A26009">
        <w:rPr>
          <w:rFonts w:cstheme="minorHAnsi"/>
          <w:sz w:val="24"/>
        </w:rPr>
        <w:t>name</w:t>
      </w:r>
      <w:r w:rsidRPr="00A26009">
        <w:rPr>
          <w:rFonts w:cstheme="minorHAnsi"/>
          <w:spacing w:val="-13"/>
          <w:sz w:val="24"/>
        </w:rPr>
        <w:t xml:space="preserve"> </w:t>
      </w:r>
      <w:r w:rsidRPr="00A26009">
        <w:rPr>
          <w:rFonts w:cstheme="minorHAnsi"/>
          <w:sz w:val="24"/>
        </w:rPr>
        <w:t>of</w:t>
      </w:r>
      <w:r w:rsidRPr="00A26009">
        <w:rPr>
          <w:rFonts w:cstheme="minorHAnsi"/>
          <w:spacing w:val="-14"/>
          <w:sz w:val="24"/>
        </w:rPr>
        <w:t xml:space="preserve"> </w:t>
      </w:r>
      <w:r w:rsidRPr="00A26009">
        <w:rPr>
          <w:rFonts w:cstheme="minorHAnsi"/>
          <w:sz w:val="24"/>
        </w:rPr>
        <w:t>such an individual or any information, document, or biospecimen that contains identifiable, sensitive information about such an individual and that was created or compiled for purposes of the</w:t>
      </w:r>
      <w:r w:rsidRPr="00A26009">
        <w:rPr>
          <w:rFonts w:cstheme="minorHAnsi"/>
          <w:spacing w:val="-23"/>
          <w:sz w:val="24"/>
        </w:rPr>
        <w:t xml:space="preserve"> </w:t>
      </w:r>
      <w:r w:rsidRPr="00A26009">
        <w:rPr>
          <w:rFonts w:cstheme="minorHAnsi"/>
          <w:sz w:val="24"/>
        </w:rPr>
        <w:t>research.</w:t>
      </w:r>
    </w:p>
    <w:p w:rsidRPr="00A26009" w:rsidR="002B7A43" w:rsidP="00B15A6D" w:rsidRDefault="002B7A43" w14:paraId="5A0D1F47" w14:textId="77777777">
      <w:pPr>
        <w:pStyle w:val="BodyText"/>
        <w:jc w:val="both"/>
        <w:rPr>
          <w:rFonts w:asciiTheme="minorHAnsi" w:hAnsiTheme="minorHAnsi" w:cstheme="minorHAnsi"/>
        </w:rPr>
      </w:pPr>
      <w:r w:rsidRPr="00A26009">
        <w:rPr>
          <w:rFonts w:asciiTheme="minorHAnsi" w:hAnsiTheme="minorHAnsi" w:cstheme="minorHAnsi"/>
        </w:rPr>
        <w:t>Disclosure is permitted only when</w:t>
      </w:r>
    </w:p>
    <w:p w:rsidRPr="00A26009" w:rsidR="002B7A43" w:rsidP="00A26009" w:rsidRDefault="002B7A43" w14:paraId="4475D23D" w14:textId="77777777">
      <w:pPr>
        <w:pStyle w:val="ListParagraph"/>
        <w:widowControl w:val="0"/>
        <w:numPr>
          <w:ilvl w:val="0"/>
          <w:numId w:val="24"/>
        </w:numPr>
        <w:tabs>
          <w:tab w:val="left" w:pos="840"/>
        </w:tabs>
        <w:autoSpaceDE w:val="0"/>
        <w:autoSpaceDN w:val="0"/>
        <w:spacing w:after="0" w:line="276" w:lineRule="auto"/>
        <w:ind w:left="810" w:right="450"/>
        <w:contextualSpacing w:val="0"/>
        <w:jc w:val="both"/>
        <w:rPr>
          <w:rFonts w:cstheme="minorHAnsi"/>
          <w:sz w:val="24"/>
        </w:rPr>
      </w:pPr>
      <w:r w:rsidRPr="00A26009">
        <w:rPr>
          <w:rFonts w:cstheme="minorHAnsi"/>
          <w:sz w:val="24"/>
        </w:rPr>
        <w:t>required by Federal, State, or local laws (e.g., as required by the Federal Food, Drug, and Cosmetic</w:t>
      </w:r>
      <w:r w:rsidRPr="00A26009">
        <w:rPr>
          <w:rFonts w:cstheme="minorHAnsi"/>
          <w:spacing w:val="-13"/>
          <w:sz w:val="24"/>
        </w:rPr>
        <w:t xml:space="preserve"> </w:t>
      </w:r>
      <w:r w:rsidRPr="00A26009">
        <w:rPr>
          <w:rFonts w:cstheme="minorHAnsi"/>
          <w:sz w:val="24"/>
        </w:rPr>
        <w:t>Act,</w:t>
      </w:r>
      <w:r w:rsidRPr="00A26009">
        <w:rPr>
          <w:rFonts w:cstheme="minorHAnsi"/>
          <w:spacing w:val="-13"/>
          <w:sz w:val="24"/>
        </w:rPr>
        <w:t xml:space="preserve"> </w:t>
      </w:r>
      <w:r w:rsidRPr="00A26009">
        <w:rPr>
          <w:rFonts w:cstheme="minorHAnsi"/>
          <w:sz w:val="24"/>
        </w:rPr>
        <w:t>or</w:t>
      </w:r>
      <w:r w:rsidRPr="00A26009">
        <w:rPr>
          <w:rFonts w:cstheme="minorHAnsi"/>
          <w:spacing w:val="-13"/>
          <w:sz w:val="24"/>
        </w:rPr>
        <w:t xml:space="preserve"> </w:t>
      </w:r>
      <w:r w:rsidRPr="00A26009">
        <w:rPr>
          <w:rFonts w:cstheme="minorHAnsi"/>
          <w:sz w:val="24"/>
        </w:rPr>
        <w:t>state</w:t>
      </w:r>
      <w:r w:rsidRPr="00A26009">
        <w:rPr>
          <w:rFonts w:cstheme="minorHAnsi"/>
          <w:spacing w:val="-13"/>
          <w:sz w:val="24"/>
        </w:rPr>
        <w:t xml:space="preserve"> </w:t>
      </w:r>
      <w:r w:rsidRPr="00A26009">
        <w:rPr>
          <w:rFonts w:cstheme="minorHAnsi"/>
          <w:sz w:val="24"/>
        </w:rPr>
        <w:t>laws</w:t>
      </w:r>
      <w:r w:rsidRPr="00A26009">
        <w:rPr>
          <w:rFonts w:cstheme="minorHAnsi"/>
          <w:spacing w:val="-14"/>
          <w:sz w:val="24"/>
        </w:rPr>
        <w:t xml:space="preserve"> </w:t>
      </w:r>
      <w:r w:rsidRPr="00A26009">
        <w:rPr>
          <w:rFonts w:cstheme="minorHAnsi"/>
          <w:sz w:val="24"/>
        </w:rPr>
        <w:t>requiring</w:t>
      </w:r>
      <w:r w:rsidRPr="00A26009">
        <w:rPr>
          <w:rFonts w:cstheme="minorHAnsi"/>
          <w:spacing w:val="-14"/>
          <w:sz w:val="24"/>
        </w:rPr>
        <w:t xml:space="preserve"> </w:t>
      </w:r>
      <w:r w:rsidRPr="00A26009">
        <w:rPr>
          <w:rFonts w:cstheme="minorHAnsi"/>
          <w:sz w:val="24"/>
        </w:rPr>
        <w:t>the</w:t>
      </w:r>
      <w:r w:rsidRPr="00A26009">
        <w:rPr>
          <w:rFonts w:cstheme="minorHAnsi"/>
          <w:spacing w:val="-13"/>
          <w:sz w:val="24"/>
        </w:rPr>
        <w:t xml:space="preserve"> </w:t>
      </w:r>
      <w:r w:rsidRPr="00A26009">
        <w:rPr>
          <w:rFonts w:cstheme="minorHAnsi"/>
          <w:sz w:val="24"/>
        </w:rPr>
        <w:t>reporting</w:t>
      </w:r>
      <w:r w:rsidRPr="00A26009">
        <w:rPr>
          <w:rFonts w:cstheme="minorHAnsi"/>
          <w:spacing w:val="-14"/>
          <w:sz w:val="24"/>
        </w:rPr>
        <w:t xml:space="preserve"> </w:t>
      </w:r>
      <w:r w:rsidRPr="00A26009">
        <w:rPr>
          <w:rFonts w:cstheme="minorHAnsi"/>
          <w:sz w:val="24"/>
        </w:rPr>
        <w:t>of</w:t>
      </w:r>
      <w:r w:rsidRPr="00A26009">
        <w:rPr>
          <w:rFonts w:cstheme="minorHAnsi"/>
          <w:spacing w:val="-14"/>
          <w:sz w:val="24"/>
        </w:rPr>
        <w:t xml:space="preserve"> </w:t>
      </w:r>
      <w:r w:rsidRPr="00A26009">
        <w:rPr>
          <w:rFonts w:cstheme="minorHAnsi"/>
          <w:sz w:val="24"/>
        </w:rPr>
        <w:t>communicable</w:t>
      </w:r>
      <w:r w:rsidRPr="00A26009">
        <w:rPr>
          <w:rFonts w:cstheme="minorHAnsi"/>
          <w:spacing w:val="-14"/>
          <w:sz w:val="24"/>
        </w:rPr>
        <w:t xml:space="preserve"> </w:t>
      </w:r>
      <w:r w:rsidRPr="00A26009">
        <w:rPr>
          <w:rFonts w:cstheme="minorHAnsi"/>
          <w:sz w:val="24"/>
        </w:rPr>
        <w:t>diseases</w:t>
      </w:r>
      <w:r w:rsidRPr="00A26009">
        <w:rPr>
          <w:rFonts w:cstheme="minorHAnsi"/>
          <w:spacing w:val="-14"/>
          <w:sz w:val="24"/>
        </w:rPr>
        <w:t xml:space="preserve"> </w:t>
      </w:r>
      <w:r w:rsidRPr="00A26009">
        <w:rPr>
          <w:rFonts w:cstheme="minorHAnsi"/>
          <w:sz w:val="24"/>
        </w:rPr>
        <w:t>to</w:t>
      </w:r>
      <w:r w:rsidRPr="00A26009">
        <w:rPr>
          <w:rFonts w:cstheme="minorHAnsi"/>
          <w:spacing w:val="-14"/>
          <w:sz w:val="24"/>
        </w:rPr>
        <w:t xml:space="preserve"> </w:t>
      </w:r>
      <w:r w:rsidRPr="00A26009">
        <w:rPr>
          <w:rFonts w:cstheme="minorHAnsi"/>
          <w:sz w:val="24"/>
        </w:rPr>
        <w:t>State</w:t>
      </w:r>
      <w:r w:rsidRPr="00A26009">
        <w:rPr>
          <w:rFonts w:cstheme="minorHAnsi"/>
          <w:spacing w:val="-14"/>
          <w:sz w:val="24"/>
        </w:rPr>
        <w:t xml:space="preserve"> </w:t>
      </w:r>
      <w:r w:rsidRPr="00A26009">
        <w:rPr>
          <w:rFonts w:cstheme="minorHAnsi"/>
          <w:sz w:val="24"/>
        </w:rPr>
        <w:t>and local</w:t>
      </w:r>
      <w:r w:rsidRPr="00A26009">
        <w:rPr>
          <w:rFonts w:cstheme="minorHAnsi"/>
          <w:spacing w:val="-7"/>
          <w:sz w:val="24"/>
        </w:rPr>
        <w:t xml:space="preserve"> </w:t>
      </w:r>
      <w:r w:rsidRPr="00A26009">
        <w:rPr>
          <w:rFonts w:cstheme="minorHAnsi"/>
          <w:sz w:val="24"/>
        </w:rPr>
        <w:t>health</w:t>
      </w:r>
      <w:r w:rsidRPr="00A26009">
        <w:rPr>
          <w:rFonts w:cstheme="minorHAnsi"/>
          <w:spacing w:val="-8"/>
          <w:sz w:val="24"/>
        </w:rPr>
        <w:t xml:space="preserve"> </w:t>
      </w:r>
      <w:r w:rsidRPr="00A26009">
        <w:rPr>
          <w:rFonts w:cstheme="minorHAnsi"/>
          <w:sz w:val="24"/>
        </w:rPr>
        <w:t>departments),</w:t>
      </w:r>
      <w:r w:rsidRPr="00A26009">
        <w:rPr>
          <w:rFonts w:cstheme="minorHAnsi"/>
          <w:spacing w:val="-7"/>
          <w:sz w:val="24"/>
        </w:rPr>
        <w:t xml:space="preserve"> </w:t>
      </w:r>
      <w:r w:rsidRPr="00A26009">
        <w:rPr>
          <w:rFonts w:cstheme="minorHAnsi"/>
          <w:sz w:val="24"/>
        </w:rPr>
        <w:t>excluding</w:t>
      </w:r>
      <w:r w:rsidRPr="00A26009">
        <w:rPr>
          <w:rFonts w:cstheme="minorHAnsi"/>
          <w:spacing w:val="-9"/>
          <w:sz w:val="24"/>
        </w:rPr>
        <w:t xml:space="preserve"> </w:t>
      </w:r>
      <w:r w:rsidRPr="00A26009">
        <w:rPr>
          <w:rFonts w:cstheme="minorHAnsi"/>
          <w:sz w:val="24"/>
        </w:rPr>
        <w:t>instances</w:t>
      </w:r>
      <w:r w:rsidRPr="00A26009">
        <w:rPr>
          <w:rFonts w:cstheme="minorHAnsi"/>
          <w:spacing w:val="-7"/>
          <w:sz w:val="24"/>
        </w:rPr>
        <w:t xml:space="preserve"> </w:t>
      </w:r>
      <w:r w:rsidRPr="00A26009">
        <w:rPr>
          <w:rFonts w:cstheme="minorHAnsi"/>
          <w:sz w:val="24"/>
        </w:rPr>
        <w:t>of</w:t>
      </w:r>
      <w:r w:rsidRPr="00A26009">
        <w:rPr>
          <w:rFonts w:cstheme="minorHAnsi"/>
          <w:spacing w:val="-7"/>
          <w:sz w:val="24"/>
        </w:rPr>
        <w:t xml:space="preserve"> </w:t>
      </w:r>
      <w:r w:rsidRPr="00A26009">
        <w:rPr>
          <w:rFonts w:cstheme="minorHAnsi"/>
          <w:sz w:val="24"/>
        </w:rPr>
        <w:t>disclosure</w:t>
      </w:r>
      <w:r w:rsidRPr="00A26009">
        <w:rPr>
          <w:rFonts w:cstheme="minorHAnsi"/>
          <w:spacing w:val="-7"/>
          <w:sz w:val="24"/>
        </w:rPr>
        <w:t xml:space="preserve"> </w:t>
      </w:r>
      <w:r w:rsidRPr="00A26009">
        <w:rPr>
          <w:rFonts w:cstheme="minorHAnsi"/>
          <w:sz w:val="24"/>
        </w:rPr>
        <w:t>in</w:t>
      </w:r>
      <w:r w:rsidRPr="00A26009">
        <w:rPr>
          <w:rFonts w:cstheme="minorHAnsi"/>
          <w:spacing w:val="-5"/>
          <w:sz w:val="24"/>
        </w:rPr>
        <w:t xml:space="preserve"> </w:t>
      </w:r>
      <w:r w:rsidRPr="00A26009">
        <w:rPr>
          <w:rFonts w:cstheme="minorHAnsi"/>
          <w:sz w:val="24"/>
        </w:rPr>
        <w:t>any</w:t>
      </w:r>
      <w:r w:rsidRPr="00A26009">
        <w:rPr>
          <w:rFonts w:cstheme="minorHAnsi"/>
          <w:spacing w:val="-7"/>
          <w:sz w:val="24"/>
        </w:rPr>
        <w:t xml:space="preserve"> </w:t>
      </w:r>
      <w:r w:rsidRPr="00A26009">
        <w:rPr>
          <w:rFonts w:cstheme="minorHAnsi"/>
          <w:sz w:val="24"/>
        </w:rPr>
        <w:t>Federal,</w:t>
      </w:r>
      <w:r w:rsidRPr="00A26009">
        <w:rPr>
          <w:rFonts w:cstheme="minorHAnsi"/>
          <w:spacing w:val="-7"/>
          <w:sz w:val="24"/>
        </w:rPr>
        <w:t xml:space="preserve"> </w:t>
      </w:r>
      <w:r w:rsidRPr="00A26009">
        <w:rPr>
          <w:rFonts w:cstheme="minorHAnsi"/>
          <w:sz w:val="24"/>
        </w:rPr>
        <w:t>State,</w:t>
      </w:r>
      <w:r w:rsidRPr="00A26009">
        <w:rPr>
          <w:rFonts w:cstheme="minorHAnsi"/>
          <w:spacing w:val="-7"/>
          <w:sz w:val="24"/>
        </w:rPr>
        <w:t xml:space="preserve"> </w:t>
      </w:r>
      <w:r w:rsidRPr="00A26009">
        <w:rPr>
          <w:rFonts w:cstheme="minorHAnsi"/>
          <w:sz w:val="24"/>
        </w:rPr>
        <w:t>or</w:t>
      </w:r>
      <w:r w:rsidRPr="00A26009">
        <w:rPr>
          <w:rFonts w:cstheme="minorHAnsi"/>
          <w:spacing w:val="-8"/>
          <w:sz w:val="24"/>
        </w:rPr>
        <w:t xml:space="preserve"> </w:t>
      </w:r>
      <w:r w:rsidRPr="00A26009">
        <w:rPr>
          <w:rFonts w:cstheme="minorHAnsi"/>
          <w:sz w:val="24"/>
        </w:rPr>
        <w:t>local civil, criminal, administrative, legislative, or other</w:t>
      </w:r>
      <w:r w:rsidRPr="00A26009">
        <w:rPr>
          <w:rFonts w:cstheme="minorHAnsi"/>
          <w:spacing w:val="-11"/>
          <w:sz w:val="24"/>
        </w:rPr>
        <w:t xml:space="preserve"> </w:t>
      </w:r>
      <w:r w:rsidRPr="00A26009">
        <w:rPr>
          <w:rFonts w:cstheme="minorHAnsi"/>
          <w:sz w:val="24"/>
        </w:rPr>
        <w:t>proceeding;</w:t>
      </w:r>
    </w:p>
    <w:p w:rsidRPr="00A26009" w:rsidR="002B7A43" w:rsidP="00A26009" w:rsidRDefault="002B7A43" w14:paraId="770F5A21" w14:textId="77777777">
      <w:pPr>
        <w:pStyle w:val="ListParagraph"/>
        <w:widowControl w:val="0"/>
        <w:numPr>
          <w:ilvl w:val="0"/>
          <w:numId w:val="24"/>
        </w:numPr>
        <w:tabs>
          <w:tab w:val="left" w:pos="840"/>
        </w:tabs>
        <w:autoSpaceDE w:val="0"/>
        <w:autoSpaceDN w:val="0"/>
        <w:spacing w:after="0" w:line="276" w:lineRule="auto"/>
        <w:ind w:left="810" w:right="450"/>
        <w:contextualSpacing w:val="0"/>
        <w:jc w:val="both"/>
        <w:rPr>
          <w:rFonts w:cstheme="minorHAnsi"/>
          <w:sz w:val="24"/>
        </w:rPr>
      </w:pPr>
      <w:r w:rsidRPr="00A26009">
        <w:rPr>
          <w:rFonts w:cstheme="minorHAnsi"/>
          <w:sz w:val="24"/>
        </w:rPr>
        <w:t xml:space="preserve">made with the consent of the individual to whom the information, document, or </w:t>
      </w:r>
      <w:r w:rsidRPr="00A26009">
        <w:rPr>
          <w:rFonts w:cstheme="minorHAnsi"/>
          <w:sz w:val="24"/>
        </w:rPr>
        <w:lastRenderedPageBreak/>
        <w:t>biospecimen pertains;</w:t>
      </w:r>
      <w:r w:rsidRPr="00A26009">
        <w:rPr>
          <w:rFonts w:cstheme="minorHAnsi"/>
          <w:spacing w:val="-1"/>
          <w:sz w:val="24"/>
        </w:rPr>
        <w:t xml:space="preserve"> </w:t>
      </w:r>
      <w:r w:rsidRPr="00A26009">
        <w:rPr>
          <w:rFonts w:cstheme="minorHAnsi"/>
          <w:sz w:val="24"/>
        </w:rPr>
        <w:t>or</w:t>
      </w:r>
    </w:p>
    <w:p w:rsidRPr="00A26009" w:rsidR="002B7A43" w:rsidP="00A26009" w:rsidRDefault="002B7A43" w14:paraId="23019A61" w14:textId="77777777">
      <w:pPr>
        <w:pStyle w:val="ListParagraph"/>
        <w:widowControl w:val="0"/>
        <w:numPr>
          <w:ilvl w:val="0"/>
          <w:numId w:val="24"/>
        </w:numPr>
        <w:tabs>
          <w:tab w:val="left" w:pos="840"/>
        </w:tabs>
        <w:autoSpaceDE w:val="0"/>
        <w:autoSpaceDN w:val="0"/>
        <w:spacing w:before="1" w:after="0" w:line="276" w:lineRule="auto"/>
        <w:ind w:left="810" w:right="450"/>
        <w:contextualSpacing w:val="0"/>
        <w:jc w:val="both"/>
        <w:rPr>
          <w:rFonts w:cstheme="minorHAnsi"/>
          <w:sz w:val="24"/>
        </w:rPr>
      </w:pPr>
      <w:r w:rsidRPr="00A26009">
        <w:rPr>
          <w:rFonts w:cstheme="minorHAnsi"/>
          <w:sz w:val="24"/>
        </w:rPr>
        <w:t>made for the purposes of other scientific research that is in compliance with applicable Federal</w:t>
      </w:r>
      <w:r w:rsidRPr="00A26009">
        <w:rPr>
          <w:rFonts w:cstheme="minorHAnsi"/>
          <w:spacing w:val="-6"/>
          <w:sz w:val="24"/>
        </w:rPr>
        <w:t xml:space="preserve"> </w:t>
      </w:r>
      <w:r w:rsidRPr="00A26009">
        <w:rPr>
          <w:rFonts w:cstheme="minorHAnsi"/>
          <w:sz w:val="24"/>
        </w:rPr>
        <w:t>regulations</w:t>
      </w:r>
      <w:r w:rsidRPr="00A26009">
        <w:rPr>
          <w:rFonts w:cstheme="minorHAnsi"/>
          <w:spacing w:val="-6"/>
          <w:sz w:val="24"/>
        </w:rPr>
        <w:t xml:space="preserve"> </w:t>
      </w:r>
      <w:r w:rsidRPr="00A26009">
        <w:rPr>
          <w:rFonts w:cstheme="minorHAnsi"/>
          <w:sz w:val="24"/>
        </w:rPr>
        <w:t>governing</w:t>
      </w:r>
      <w:r w:rsidRPr="00A26009">
        <w:rPr>
          <w:rFonts w:cstheme="minorHAnsi"/>
          <w:spacing w:val="-6"/>
          <w:sz w:val="24"/>
        </w:rPr>
        <w:t xml:space="preserve"> </w:t>
      </w:r>
      <w:r w:rsidRPr="00A26009">
        <w:rPr>
          <w:rFonts w:cstheme="minorHAnsi"/>
          <w:sz w:val="24"/>
        </w:rPr>
        <w:t>the</w:t>
      </w:r>
      <w:r w:rsidRPr="00A26009">
        <w:rPr>
          <w:rFonts w:cstheme="minorHAnsi"/>
          <w:spacing w:val="-4"/>
          <w:sz w:val="24"/>
        </w:rPr>
        <w:t xml:space="preserve"> </w:t>
      </w:r>
      <w:r w:rsidRPr="00A26009">
        <w:rPr>
          <w:rFonts w:cstheme="minorHAnsi"/>
          <w:sz w:val="24"/>
        </w:rPr>
        <w:t>protection</w:t>
      </w:r>
      <w:r w:rsidRPr="00A26009">
        <w:rPr>
          <w:rFonts w:cstheme="minorHAnsi"/>
          <w:spacing w:val="-5"/>
          <w:sz w:val="24"/>
        </w:rPr>
        <w:t xml:space="preserve"> </w:t>
      </w:r>
      <w:r w:rsidRPr="00A26009">
        <w:rPr>
          <w:rFonts w:cstheme="minorHAnsi"/>
          <w:sz w:val="24"/>
        </w:rPr>
        <w:t>of</w:t>
      </w:r>
      <w:r w:rsidRPr="00A26009">
        <w:rPr>
          <w:rFonts w:cstheme="minorHAnsi"/>
          <w:spacing w:val="-6"/>
          <w:sz w:val="24"/>
        </w:rPr>
        <w:t xml:space="preserve"> </w:t>
      </w:r>
      <w:r w:rsidRPr="00A26009">
        <w:rPr>
          <w:rFonts w:cstheme="minorHAnsi"/>
          <w:sz w:val="24"/>
        </w:rPr>
        <w:t>human</w:t>
      </w:r>
      <w:r w:rsidRPr="00A26009">
        <w:rPr>
          <w:rFonts w:cstheme="minorHAnsi"/>
          <w:spacing w:val="-5"/>
          <w:sz w:val="24"/>
        </w:rPr>
        <w:t xml:space="preserve"> </w:t>
      </w:r>
      <w:r w:rsidRPr="00A26009">
        <w:rPr>
          <w:rFonts w:cstheme="minorHAnsi"/>
          <w:sz w:val="24"/>
        </w:rPr>
        <w:t>subjects</w:t>
      </w:r>
      <w:r w:rsidRPr="00A26009">
        <w:rPr>
          <w:rFonts w:cstheme="minorHAnsi"/>
          <w:spacing w:val="-5"/>
          <w:sz w:val="24"/>
        </w:rPr>
        <w:t xml:space="preserve"> </w:t>
      </w:r>
      <w:r w:rsidRPr="00A26009">
        <w:rPr>
          <w:rFonts w:cstheme="minorHAnsi"/>
          <w:sz w:val="24"/>
        </w:rPr>
        <w:t>in</w:t>
      </w:r>
      <w:r w:rsidRPr="00A26009">
        <w:rPr>
          <w:rFonts w:cstheme="minorHAnsi"/>
          <w:spacing w:val="-6"/>
          <w:sz w:val="24"/>
        </w:rPr>
        <w:t xml:space="preserve"> </w:t>
      </w:r>
      <w:r w:rsidRPr="00A26009">
        <w:rPr>
          <w:rFonts w:cstheme="minorHAnsi"/>
          <w:sz w:val="24"/>
        </w:rPr>
        <w:t>research.</w:t>
      </w:r>
    </w:p>
    <w:p w:rsidRPr="00A26009" w:rsidR="002B7A43" w:rsidP="00A26009" w:rsidRDefault="002B7A43" w14:paraId="0F8C2E6B" w14:textId="77777777">
      <w:pPr>
        <w:spacing w:line="276" w:lineRule="auto"/>
        <w:jc w:val="both"/>
        <w:rPr>
          <w:rFonts w:cstheme="minorHAnsi"/>
          <w:sz w:val="24"/>
        </w:rPr>
      </w:pPr>
    </w:p>
    <w:p w:rsidRPr="00A26009" w:rsidR="002B7A43" w:rsidP="00B15A6D" w:rsidRDefault="002B7A43" w14:paraId="3DD1ADFF" w14:textId="57CB6CD8">
      <w:pPr>
        <w:pStyle w:val="BodyText"/>
        <w:spacing w:before="39"/>
        <w:ind w:right="116"/>
        <w:jc w:val="both"/>
        <w:rPr>
          <w:rFonts w:asciiTheme="minorHAnsi" w:hAnsiTheme="minorHAnsi" w:cstheme="minorHAnsi"/>
        </w:rPr>
      </w:pPr>
      <w:r w:rsidRPr="00A26009">
        <w:rPr>
          <w:rFonts w:asciiTheme="minorHAnsi" w:hAnsiTheme="minorHAnsi" w:cstheme="minorHAnsi"/>
        </w:rPr>
        <w:t>CDC and its collaborators and contractors conducting this research will establish and maintain effective internal controls (e.g., policies and procedures) that provide reasonable assurance</w:t>
      </w:r>
      <w:r w:rsidRPr="00A26009">
        <w:rPr>
          <w:rFonts w:asciiTheme="minorHAnsi" w:hAnsiTheme="minorHAnsi" w:cstheme="minorHAnsi"/>
          <w:spacing w:val="-28"/>
        </w:rPr>
        <w:t xml:space="preserve"> </w:t>
      </w:r>
      <w:r w:rsidRPr="00A26009">
        <w:rPr>
          <w:rFonts w:asciiTheme="minorHAnsi" w:hAnsiTheme="minorHAnsi" w:cstheme="minorHAnsi"/>
        </w:rPr>
        <w:t>that the research is managed in compliance with subsection 301(d) of the Public Health Service</w:t>
      </w:r>
      <w:r w:rsidRPr="00A26009">
        <w:rPr>
          <w:rFonts w:asciiTheme="minorHAnsi" w:hAnsiTheme="minorHAnsi" w:cstheme="minorHAnsi"/>
          <w:spacing w:val="-27"/>
        </w:rPr>
        <w:t xml:space="preserve"> </w:t>
      </w:r>
      <w:r w:rsidRPr="00A26009">
        <w:rPr>
          <w:rFonts w:asciiTheme="minorHAnsi" w:hAnsiTheme="minorHAnsi" w:cstheme="minorHAnsi"/>
        </w:rPr>
        <w:t>Act.</w:t>
      </w:r>
    </w:p>
    <w:p w:rsidRPr="00A26009" w:rsidR="002B7A43" w:rsidP="00FA0331" w:rsidRDefault="002B7A43" w14:paraId="300CDC5D" w14:textId="77777777">
      <w:pPr>
        <w:pStyle w:val="BodyText"/>
        <w:jc w:val="both"/>
        <w:rPr>
          <w:rFonts w:asciiTheme="minorHAnsi" w:hAnsiTheme="minorHAnsi" w:cstheme="minorHAnsi"/>
        </w:rPr>
      </w:pPr>
      <w:r w:rsidRPr="00A26009">
        <w:rPr>
          <w:rFonts w:asciiTheme="minorHAnsi" w:hAnsiTheme="minorHAnsi" w:cstheme="minorHAnsi"/>
        </w:rPr>
        <w:t>CDC will ensure the following:</w:t>
      </w:r>
    </w:p>
    <w:p w:rsidRPr="00A26009" w:rsidR="002B7A43" w:rsidP="00A26009" w:rsidRDefault="002B7A43" w14:paraId="786EB59F" w14:textId="77777777">
      <w:pPr>
        <w:pStyle w:val="ListParagraph"/>
        <w:widowControl w:val="0"/>
        <w:numPr>
          <w:ilvl w:val="0"/>
          <w:numId w:val="23"/>
        </w:numPr>
        <w:tabs>
          <w:tab w:val="left" w:pos="840"/>
        </w:tabs>
        <w:autoSpaceDE w:val="0"/>
        <w:autoSpaceDN w:val="0"/>
        <w:spacing w:before="1" w:after="0" w:line="276" w:lineRule="auto"/>
        <w:ind w:left="810" w:right="630"/>
        <w:contextualSpacing w:val="0"/>
        <w:jc w:val="both"/>
        <w:rPr>
          <w:rFonts w:cstheme="minorHAnsi"/>
          <w:sz w:val="24"/>
        </w:rPr>
      </w:pPr>
      <w:r w:rsidRPr="00A26009">
        <w:rPr>
          <w:rFonts w:cstheme="minorHAnsi"/>
          <w:sz w:val="24"/>
        </w:rPr>
        <w:t>That</w:t>
      </w:r>
      <w:r w:rsidRPr="00A26009">
        <w:rPr>
          <w:rFonts w:cstheme="minorHAnsi"/>
          <w:spacing w:val="-10"/>
          <w:sz w:val="24"/>
        </w:rPr>
        <w:t xml:space="preserve"> </w:t>
      </w:r>
      <w:r w:rsidRPr="00A26009">
        <w:rPr>
          <w:rFonts w:cstheme="minorHAnsi"/>
          <w:sz w:val="24"/>
        </w:rPr>
        <w:t>any</w:t>
      </w:r>
      <w:r w:rsidRPr="00A26009">
        <w:rPr>
          <w:rFonts w:cstheme="minorHAnsi"/>
          <w:spacing w:val="-10"/>
          <w:sz w:val="24"/>
        </w:rPr>
        <w:t xml:space="preserve"> </w:t>
      </w:r>
      <w:r w:rsidRPr="00A26009">
        <w:rPr>
          <w:rFonts w:cstheme="minorHAnsi"/>
          <w:sz w:val="24"/>
        </w:rPr>
        <w:t>investigator</w:t>
      </w:r>
      <w:r w:rsidRPr="00A26009">
        <w:rPr>
          <w:rFonts w:cstheme="minorHAnsi"/>
          <w:spacing w:val="-11"/>
          <w:sz w:val="24"/>
        </w:rPr>
        <w:t xml:space="preserve"> </w:t>
      </w:r>
      <w:r w:rsidRPr="00A26009">
        <w:rPr>
          <w:rFonts w:cstheme="minorHAnsi"/>
          <w:sz w:val="24"/>
        </w:rPr>
        <w:t>or</w:t>
      </w:r>
      <w:r w:rsidRPr="00A26009">
        <w:rPr>
          <w:rFonts w:cstheme="minorHAnsi"/>
          <w:spacing w:val="-10"/>
          <w:sz w:val="24"/>
        </w:rPr>
        <w:t xml:space="preserve"> </w:t>
      </w:r>
      <w:r w:rsidRPr="00A26009">
        <w:rPr>
          <w:rFonts w:cstheme="minorHAnsi"/>
          <w:sz w:val="24"/>
        </w:rPr>
        <w:t>institution</w:t>
      </w:r>
      <w:r w:rsidRPr="00A26009">
        <w:rPr>
          <w:rFonts w:cstheme="minorHAnsi"/>
          <w:spacing w:val="-10"/>
          <w:sz w:val="24"/>
        </w:rPr>
        <w:t xml:space="preserve"> </w:t>
      </w:r>
      <w:r w:rsidRPr="00A26009">
        <w:rPr>
          <w:rFonts w:cstheme="minorHAnsi"/>
          <w:sz w:val="24"/>
        </w:rPr>
        <w:t>not</w:t>
      </w:r>
      <w:r w:rsidRPr="00A26009">
        <w:rPr>
          <w:rFonts w:cstheme="minorHAnsi"/>
          <w:spacing w:val="-10"/>
          <w:sz w:val="24"/>
        </w:rPr>
        <w:t xml:space="preserve"> </w:t>
      </w:r>
      <w:r w:rsidRPr="00A26009">
        <w:rPr>
          <w:rFonts w:cstheme="minorHAnsi"/>
          <w:sz w:val="24"/>
        </w:rPr>
        <w:t>funded</w:t>
      </w:r>
      <w:r w:rsidRPr="00A26009">
        <w:rPr>
          <w:rFonts w:cstheme="minorHAnsi"/>
          <w:spacing w:val="-10"/>
          <w:sz w:val="24"/>
        </w:rPr>
        <w:t xml:space="preserve"> </w:t>
      </w:r>
      <w:r w:rsidRPr="00A26009">
        <w:rPr>
          <w:rFonts w:cstheme="minorHAnsi"/>
          <w:sz w:val="24"/>
        </w:rPr>
        <w:t>by</w:t>
      </w:r>
      <w:r w:rsidRPr="00A26009">
        <w:rPr>
          <w:rFonts w:cstheme="minorHAnsi"/>
          <w:spacing w:val="-10"/>
          <w:sz w:val="24"/>
        </w:rPr>
        <w:t xml:space="preserve"> </w:t>
      </w:r>
      <w:r w:rsidRPr="00A26009">
        <w:rPr>
          <w:rFonts w:cstheme="minorHAnsi"/>
          <w:sz w:val="24"/>
        </w:rPr>
        <w:t>CDC</w:t>
      </w:r>
      <w:r w:rsidRPr="00A26009">
        <w:rPr>
          <w:rFonts w:cstheme="minorHAnsi"/>
          <w:spacing w:val="-10"/>
          <w:sz w:val="24"/>
        </w:rPr>
        <w:t xml:space="preserve"> </w:t>
      </w:r>
      <w:r w:rsidRPr="00A26009">
        <w:rPr>
          <w:rFonts w:cstheme="minorHAnsi"/>
          <w:sz w:val="24"/>
        </w:rPr>
        <w:t>who</w:t>
      </w:r>
      <w:r w:rsidRPr="00A26009">
        <w:rPr>
          <w:rFonts w:cstheme="minorHAnsi"/>
          <w:spacing w:val="-10"/>
          <w:sz w:val="24"/>
        </w:rPr>
        <w:t xml:space="preserve"> </w:t>
      </w:r>
      <w:r w:rsidRPr="00A26009">
        <w:rPr>
          <w:rFonts w:cstheme="minorHAnsi"/>
          <w:sz w:val="24"/>
        </w:rPr>
        <w:t>receives</w:t>
      </w:r>
      <w:r w:rsidRPr="00A26009">
        <w:rPr>
          <w:rFonts w:cstheme="minorHAnsi"/>
          <w:spacing w:val="-10"/>
          <w:sz w:val="24"/>
        </w:rPr>
        <w:t xml:space="preserve"> </w:t>
      </w:r>
      <w:r w:rsidRPr="00A26009">
        <w:rPr>
          <w:rFonts w:cstheme="minorHAnsi"/>
          <w:sz w:val="24"/>
        </w:rPr>
        <w:t>a</w:t>
      </w:r>
      <w:r w:rsidRPr="00A26009">
        <w:rPr>
          <w:rFonts w:cstheme="minorHAnsi"/>
          <w:spacing w:val="-10"/>
          <w:sz w:val="24"/>
        </w:rPr>
        <w:t xml:space="preserve"> </w:t>
      </w:r>
      <w:r w:rsidRPr="00A26009">
        <w:rPr>
          <w:rFonts w:cstheme="minorHAnsi"/>
          <w:sz w:val="24"/>
        </w:rPr>
        <w:t>copy</w:t>
      </w:r>
      <w:r w:rsidRPr="00A26009">
        <w:rPr>
          <w:rFonts w:cstheme="minorHAnsi"/>
          <w:spacing w:val="-10"/>
          <w:sz w:val="24"/>
        </w:rPr>
        <w:t xml:space="preserve"> </w:t>
      </w:r>
      <w:r w:rsidRPr="00A26009">
        <w:rPr>
          <w:rFonts w:cstheme="minorHAnsi"/>
          <w:sz w:val="24"/>
        </w:rPr>
        <w:t>of</w:t>
      </w:r>
      <w:r w:rsidRPr="00A26009">
        <w:rPr>
          <w:rFonts w:cstheme="minorHAnsi"/>
          <w:spacing w:val="-10"/>
          <w:sz w:val="24"/>
        </w:rPr>
        <w:t xml:space="preserve"> </w:t>
      </w:r>
      <w:r w:rsidRPr="00A26009">
        <w:rPr>
          <w:rFonts w:cstheme="minorHAnsi"/>
          <w:sz w:val="24"/>
        </w:rPr>
        <w:t>identifiable, sensitive information protected by this Certificate, understands that it is also subject to the requirements of the</w:t>
      </w:r>
      <w:r w:rsidRPr="00A26009">
        <w:rPr>
          <w:rFonts w:cstheme="minorHAnsi"/>
          <w:spacing w:val="-31"/>
          <w:sz w:val="24"/>
        </w:rPr>
        <w:t xml:space="preserve"> </w:t>
      </w:r>
      <w:r w:rsidRPr="00A26009">
        <w:rPr>
          <w:rFonts w:cstheme="minorHAnsi"/>
          <w:sz w:val="24"/>
        </w:rPr>
        <w:t>Certificate</w:t>
      </w:r>
    </w:p>
    <w:p w:rsidRPr="00A26009" w:rsidR="002B7A43" w:rsidP="00A26009" w:rsidRDefault="002B7A43" w14:paraId="433847A6" w14:textId="284F53D5">
      <w:pPr>
        <w:pStyle w:val="ListParagraph"/>
        <w:widowControl w:val="0"/>
        <w:numPr>
          <w:ilvl w:val="0"/>
          <w:numId w:val="23"/>
        </w:numPr>
        <w:tabs>
          <w:tab w:val="left" w:pos="840"/>
        </w:tabs>
        <w:autoSpaceDE w:val="0"/>
        <w:autoSpaceDN w:val="0"/>
        <w:spacing w:after="0" w:line="276" w:lineRule="auto"/>
        <w:ind w:left="810" w:right="630"/>
        <w:contextualSpacing w:val="0"/>
        <w:jc w:val="both"/>
        <w:rPr>
          <w:rFonts w:cstheme="minorHAnsi"/>
          <w:sz w:val="24"/>
        </w:rPr>
      </w:pPr>
      <w:r w:rsidRPr="00A26009">
        <w:rPr>
          <w:rFonts w:cstheme="minorHAnsi"/>
          <w:sz w:val="24"/>
        </w:rPr>
        <w:t>That any subrecipient that receives CDC funds to carry out part of this research involving a</w:t>
      </w:r>
      <w:r w:rsidRPr="00A26009">
        <w:rPr>
          <w:rFonts w:cstheme="minorHAnsi"/>
          <w:spacing w:val="-5"/>
          <w:sz w:val="24"/>
        </w:rPr>
        <w:t xml:space="preserve"> </w:t>
      </w:r>
      <w:r w:rsidRPr="00A26009">
        <w:rPr>
          <w:rFonts w:cstheme="minorHAnsi"/>
          <w:sz w:val="24"/>
        </w:rPr>
        <w:t>copy</w:t>
      </w:r>
      <w:r w:rsidRPr="00A26009">
        <w:rPr>
          <w:rFonts w:cstheme="minorHAnsi"/>
          <w:spacing w:val="-6"/>
          <w:sz w:val="24"/>
        </w:rPr>
        <w:t xml:space="preserve"> </w:t>
      </w:r>
      <w:r w:rsidRPr="00A26009">
        <w:rPr>
          <w:rFonts w:cstheme="minorHAnsi"/>
          <w:sz w:val="24"/>
        </w:rPr>
        <w:t>of</w:t>
      </w:r>
      <w:r w:rsidRPr="00A26009">
        <w:rPr>
          <w:rFonts w:cstheme="minorHAnsi"/>
          <w:spacing w:val="-5"/>
          <w:sz w:val="24"/>
        </w:rPr>
        <w:t xml:space="preserve"> </w:t>
      </w:r>
      <w:r w:rsidRPr="00A26009">
        <w:rPr>
          <w:rFonts w:cstheme="minorHAnsi"/>
          <w:sz w:val="24"/>
        </w:rPr>
        <w:t>identifiable,</w:t>
      </w:r>
      <w:r w:rsidRPr="00A26009">
        <w:rPr>
          <w:rFonts w:cstheme="minorHAnsi"/>
          <w:spacing w:val="-5"/>
          <w:sz w:val="24"/>
        </w:rPr>
        <w:t xml:space="preserve"> </w:t>
      </w:r>
      <w:r w:rsidRPr="00A26009">
        <w:rPr>
          <w:rFonts w:cstheme="minorHAnsi"/>
          <w:sz w:val="24"/>
        </w:rPr>
        <w:t>sensitive</w:t>
      </w:r>
      <w:r w:rsidRPr="00A26009">
        <w:rPr>
          <w:rFonts w:cstheme="minorHAnsi"/>
          <w:spacing w:val="-5"/>
          <w:sz w:val="24"/>
        </w:rPr>
        <w:t xml:space="preserve"> </w:t>
      </w:r>
      <w:r w:rsidRPr="00A26009">
        <w:rPr>
          <w:rFonts w:cstheme="minorHAnsi"/>
          <w:sz w:val="24"/>
        </w:rPr>
        <w:t>information</w:t>
      </w:r>
      <w:r w:rsidRPr="00A26009">
        <w:rPr>
          <w:rFonts w:cstheme="minorHAnsi"/>
          <w:spacing w:val="-5"/>
          <w:sz w:val="24"/>
        </w:rPr>
        <w:t xml:space="preserve"> </w:t>
      </w:r>
      <w:r w:rsidRPr="00A26009">
        <w:rPr>
          <w:rFonts w:cstheme="minorHAnsi"/>
          <w:sz w:val="24"/>
        </w:rPr>
        <w:t>protected</w:t>
      </w:r>
      <w:r w:rsidRPr="00A26009">
        <w:rPr>
          <w:rFonts w:cstheme="minorHAnsi"/>
          <w:spacing w:val="-5"/>
          <w:sz w:val="24"/>
        </w:rPr>
        <w:t xml:space="preserve"> </w:t>
      </w:r>
      <w:r w:rsidRPr="00A26009">
        <w:rPr>
          <w:rFonts w:cstheme="minorHAnsi"/>
          <w:sz w:val="24"/>
        </w:rPr>
        <w:t>by</w:t>
      </w:r>
      <w:r w:rsidRPr="00A26009">
        <w:rPr>
          <w:rFonts w:cstheme="minorHAnsi"/>
          <w:spacing w:val="-5"/>
          <w:sz w:val="24"/>
        </w:rPr>
        <w:t xml:space="preserve"> </w:t>
      </w:r>
      <w:r w:rsidRPr="00A26009">
        <w:rPr>
          <w:rFonts w:cstheme="minorHAnsi"/>
          <w:sz w:val="24"/>
        </w:rPr>
        <w:t>a</w:t>
      </w:r>
      <w:r w:rsidRPr="00A26009">
        <w:rPr>
          <w:rFonts w:cstheme="minorHAnsi"/>
          <w:spacing w:val="-5"/>
          <w:sz w:val="24"/>
        </w:rPr>
        <w:t xml:space="preserve"> </w:t>
      </w:r>
      <w:r w:rsidRPr="00A26009">
        <w:rPr>
          <w:rFonts w:cstheme="minorHAnsi"/>
          <w:sz w:val="24"/>
        </w:rPr>
        <w:t>Certificate</w:t>
      </w:r>
      <w:r w:rsidRPr="00A26009">
        <w:rPr>
          <w:rFonts w:cstheme="minorHAnsi"/>
          <w:spacing w:val="-5"/>
          <w:sz w:val="24"/>
        </w:rPr>
        <w:t xml:space="preserve"> </w:t>
      </w:r>
      <w:r w:rsidRPr="00A26009">
        <w:rPr>
          <w:rFonts w:cstheme="minorHAnsi"/>
          <w:sz w:val="24"/>
        </w:rPr>
        <w:t>understands</w:t>
      </w:r>
      <w:r w:rsidRPr="00A26009">
        <w:rPr>
          <w:rFonts w:cstheme="minorHAnsi"/>
          <w:spacing w:val="-5"/>
          <w:sz w:val="24"/>
        </w:rPr>
        <w:t xml:space="preserve"> </w:t>
      </w:r>
      <w:r w:rsidRPr="00A26009">
        <w:rPr>
          <w:rFonts w:cstheme="minorHAnsi"/>
          <w:sz w:val="24"/>
        </w:rPr>
        <w:t>that</w:t>
      </w:r>
      <w:r w:rsidRPr="00A26009">
        <w:rPr>
          <w:rFonts w:cstheme="minorHAnsi"/>
          <w:spacing w:val="-5"/>
          <w:sz w:val="24"/>
        </w:rPr>
        <w:t xml:space="preserve"> </w:t>
      </w:r>
      <w:r w:rsidRPr="00A26009">
        <w:rPr>
          <w:rFonts w:cstheme="minorHAnsi"/>
          <w:sz w:val="24"/>
        </w:rPr>
        <w:t>it is subject to subsection 301(d) of the PHS Act. Therefore, all study staff will receive training on the importance of protecting the confidentiality of human research subjects and of personal information acquired, including the collection of biological</w:t>
      </w:r>
      <w:r w:rsidRPr="00A26009">
        <w:rPr>
          <w:rFonts w:cstheme="minorHAnsi"/>
          <w:spacing w:val="-27"/>
          <w:sz w:val="24"/>
        </w:rPr>
        <w:t xml:space="preserve"> </w:t>
      </w:r>
      <w:r w:rsidRPr="00A26009">
        <w:rPr>
          <w:rFonts w:cstheme="minorHAnsi"/>
          <w:sz w:val="24"/>
        </w:rPr>
        <w:t>specimens.</w:t>
      </w:r>
    </w:p>
    <w:p w:rsidRPr="00A26009" w:rsidR="002B7A43" w:rsidP="00B15A6D" w:rsidRDefault="002B7A43" w14:paraId="5E56CA1A" w14:textId="064FD183">
      <w:pPr>
        <w:pStyle w:val="BodyText"/>
        <w:ind w:right="116"/>
        <w:jc w:val="both"/>
        <w:rPr>
          <w:rFonts w:asciiTheme="minorHAnsi" w:hAnsiTheme="minorHAnsi" w:cstheme="minorHAnsi"/>
        </w:rPr>
      </w:pPr>
      <w:r w:rsidRPr="00A26009">
        <w:rPr>
          <w:rFonts w:asciiTheme="minorHAnsi" w:hAnsiTheme="minorHAnsi" w:cstheme="minorHAnsi"/>
        </w:rPr>
        <w:t>All research subjects will be informed of the protections and the limits to protections provided by</w:t>
      </w:r>
      <w:r w:rsidRPr="00A26009">
        <w:rPr>
          <w:rFonts w:asciiTheme="minorHAnsi" w:hAnsiTheme="minorHAnsi" w:cstheme="minorHAnsi"/>
          <w:spacing w:val="-10"/>
        </w:rPr>
        <w:t xml:space="preserve"> </w:t>
      </w:r>
      <w:r w:rsidRPr="00A26009">
        <w:rPr>
          <w:rFonts w:asciiTheme="minorHAnsi" w:hAnsiTheme="minorHAnsi" w:cstheme="minorHAnsi"/>
        </w:rPr>
        <w:t>this</w:t>
      </w:r>
      <w:r w:rsidRPr="00A26009">
        <w:rPr>
          <w:rFonts w:asciiTheme="minorHAnsi" w:hAnsiTheme="minorHAnsi" w:cstheme="minorHAnsi"/>
          <w:spacing w:val="-10"/>
        </w:rPr>
        <w:t xml:space="preserve"> </w:t>
      </w:r>
      <w:r w:rsidRPr="00A26009">
        <w:rPr>
          <w:rFonts w:asciiTheme="minorHAnsi" w:hAnsiTheme="minorHAnsi" w:cstheme="minorHAnsi"/>
        </w:rPr>
        <w:t>Certificate</w:t>
      </w:r>
      <w:r w:rsidRPr="00A26009">
        <w:rPr>
          <w:rFonts w:asciiTheme="minorHAnsi" w:hAnsiTheme="minorHAnsi" w:cstheme="minorHAnsi"/>
          <w:spacing w:val="-10"/>
        </w:rPr>
        <w:t xml:space="preserve"> </w:t>
      </w:r>
      <w:r w:rsidRPr="00A26009">
        <w:rPr>
          <w:rFonts w:asciiTheme="minorHAnsi" w:hAnsiTheme="minorHAnsi" w:cstheme="minorHAnsi"/>
        </w:rPr>
        <w:t>through</w:t>
      </w:r>
      <w:r w:rsidRPr="00A26009">
        <w:rPr>
          <w:rFonts w:asciiTheme="minorHAnsi" w:hAnsiTheme="minorHAnsi" w:cstheme="minorHAnsi"/>
          <w:spacing w:val="-10"/>
        </w:rPr>
        <w:t xml:space="preserve"> </w:t>
      </w:r>
      <w:r w:rsidRPr="00A26009">
        <w:rPr>
          <w:rFonts w:asciiTheme="minorHAnsi" w:hAnsiTheme="minorHAnsi" w:cstheme="minorHAnsi"/>
        </w:rPr>
        <w:t>the</w:t>
      </w:r>
      <w:r w:rsidRPr="00A26009">
        <w:rPr>
          <w:rFonts w:asciiTheme="minorHAnsi" w:hAnsiTheme="minorHAnsi" w:cstheme="minorHAnsi"/>
          <w:spacing w:val="-10"/>
        </w:rPr>
        <w:t xml:space="preserve"> </w:t>
      </w:r>
      <w:r w:rsidRPr="00A26009">
        <w:rPr>
          <w:rFonts w:asciiTheme="minorHAnsi" w:hAnsiTheme="minorHAnsi" w:cstheme="minorHAnsi"/>
        </w:rPr>
        <w:t>informed</w:t>
      </w:r>
      <w:r w:rsidRPr="00A26009">
        <w:rPr>
          <w:rFonts w:asciiTheme="minorHAnsi" w:hAnsiTheme="minorHAnsi" w:cstheme="minorHAnsi"/>
          <w:spacing w:val="-10"/>
        </w:rPr>
        <w:t xml:space="preserve"> </w:t>
      </w:r>
      <w:r w:rsidRPr="00A26009">
        <w:rPr>
          <w:rFonts w:asciiTheme="minorHAnsi" w:hAnsiTheme="minorHAnsi" w:cstheme="minorHAnsi"/>
        </w:rPr>
        <w:t>consent</w:t>
      </w:r>
      <w:r w:rsidRPr="00A26009">
        <w:rPr>
          <w:rFonts w:asciiTheme="minorHAnsi" w:hAnsiTheme="minorHAnsi" w:cstheme="minorHAnsi"/>
          <w:spacing w:val="-10"/>
        </w:rPr>
        <w:t xml:space="preserve"> </w:t>
      </w:r>
      <w:r w:rsidRPr="00A26009">
        <w:rPr>
          <w:rFonts w:asciiTheme="minorHAnsi" w:hAnsiTheme="minorHAnsi" w:cstheme="minorHAnsi"/>
        </w:rPr>
        <w:t>process.</w:t>
      </w:r>
      <w:r w:rsidRPr="00A26009">
        <w:rPr>
          <w:rFonts w:asciiTheme="minorHAnsi" w:hAnsiTheme="minorHAnsi" w:cstheme="minorHAnsi"/>
          <w:spacing w:val="-10"/>
        </w:rPr>
        <w:t xml:space="preserve"> </w:t>
      </w:r>
      <w:r w:rsidRPr="00A26009">
        <w:rPr>
          <w:rFonts w:asciiTheme="minorHAnsi" w:hAnsiTheme="minorHAnsi" w:cstheme="minorHAnsi"/>
        </w:rPr>
        <w:t>All</w:t>
      </w:r>
      <w:r w:rsidRPr="00A26009">
        <w:rPr>
          <w:rFonts w:asciiTheme="minorHAnsi" w:hAnsiTheme="minorHAnsi" w:cstheme="minorHAnsi"/>
          <w:spacing w:val="-10"/>
        </w:rPr>
        <w:t xml:space="preserve"> </w:t>
      </w:r>
      <w:r w:rsidRPr="00A26009">
        <w:rPr>
          <w:rFonts w:asciiTheme="minorHAnsi" w:hAnsiTheme="minorHAnsi" w:cstheme="minorHAnsi"/>
        </w:rPr>
        <w:t>study</w:t>
      </w:r>
      <w:r w:rsidRPr="00A26009">
        <w:rPr>
          <w:rFonts w:asciiTheme="minorHAnsi" w:hAnsiTheme="minorHAnsi" w:cstheme="minorHAnsi"/>
          <w:spacing w:val="-10"/>
        </w:rPr>
        <w:t xml:space="preserve"> </w:t>
      </w:r>
      <w:r w:rsidRPr="00A26009">
        <w:rPr>
          <w:rFonts w:asciiTheme="minorHAnsi" w:hAnsiTheme="minorHAnsi" w:cstheme="minorHAnsi"/>
        </w:rPr>
        <w:t>staff</w:t>
      </w:r>
      <w:r w:rsidRPr="00A26009">
        <w:rPr>
          <w:rFonts w:asciiTheme="minorHAnsi" w:hAnsiTheme="minorHAnsi" w:cstheme="minorHAnsi"/>
          <w:spacing w:val="-9"/>
        </w:rPr>
        <w:t xml:space="preserve"> </w:t>
      </w:r>
      <w:r w:rsidRPr="00A26009">
        <w:rPr>
          <w:rFonts w:asciiTheme="minorHAnsi" w:hAnsiTheme="minorHAnsi" w:cstheme="minorHAnsi"/>
        </w:rPr>
        <w:t>who</w:t>
      </w:r>
      <w:r w:rsidRPr="00A26009">
        <w:rPr>
          <w:rFonts w:asciiTheme="minorHAnsi" w:hAnsiTheme="minorHAnsi" w:cstheme="minorHAnsi"/>
          <w:spacing w:val="-10"/>
        </w:rPr>
        <w:t xml:space="preserve"> </w:t>
      </w:r>
      <w:r w:rsidRPr="00A26009">
        <w:rPr>
          <w:rFonts w:asciiTheme="minorHAnsi" w:hAnsiTheme="minorHAnsi" w:cstheme="minorHAnsi"/>
        </w:rPr>
        <w:t>obtain</w:t>
      </w:r>
      <w:r w:rsidRPr="00A26009">
        <w:rPr>
          <w:rFonts w:asciiTheme="minorHAnsi" w:hAnsiTheme="minorHAnsi" w:cstheme="minorHAnsi"/>
          <w:spacing w:val="-10"/>
        </w:rPr>
        <w:t xml:space="preserve"> </w:t>
      </w:r>
      <w:r w:rsidRPr="00A26009">
        <w:rPr>
          <w:rFonts w:asciiTheme="minorHAnsi" w:hAnsiTheme="minorHAnsi" w:cstheme="minorHAnsi"/>
        </w:rPr>
        <w:t>consent</w:t>
      </w:r>
      <w:r w:rsidRPr="00A26009">
        <w:rPr>
          <w:rFonts w:asciiTheme="minorHAnsi" w:hAnsiTheme="minorHAnsi" w:cstheme="minorHAnsi"/>
          <w:spacing w:val="-10"/>
        </w:rPr>
        <w:t xml:space="preserve"> </w:t>
      </w:r>
      <w:r w:rsidRPr="00A26009">
        <w:rPr>
          <w:rFonts w:asciiTheme="minorHAnsi" w:hAnsiTheme="minorHAnsi" w:cstheme="minorHAnsi"/>
        </w:rPr>
        <w:t>from study subjects will be trained on how the Certificate protects the information collected and the limitations of the Certificate’s</w:t>
      </w:r>
      <w:r w:rsidRPr="00A26009">
        <w:rPr>
          <w:rFonts w:asciiTheme="minorHAnsi" w:hAnsiTheme="minorHAnsi" w:cstheme="minorHAnsi"/>
          <w:spacing w:val="-4"/>
        </w:rPr>
        <w:t xml:space="preserve"> </w:t>
      </w:r>
      <w:r w:rsidRPr="00A26009">
        <w:rPr>
          <w:rFonts w:asciiTheme="minorHAnsi" w:hAnsiTheme="minorHAnsi" w:cstheme="minorHAnsi"/>
        </w:rPr>
        <w:t>protections.</w:t>
      </w:r>
    </w:p>
    <w:p w:rsidRPr="00A26009" w:rsidR="0072524C" w:rsidP="00FA0331" w:rsidRDefault="002B7A43" w14:paraId="40D6AB5F" w14:textId="25AD6B61">
      <w:pPr>
        <w:pStyle w:val="BodyText"/>
        <w:ind w:right="117"/>
        <w:jc w:val="both"/>
        <w:rPr>
          <w:rFonts w:asciiTheme="minorHAnsi" w:hAnsiTheme="minorHAnsi" w:cstheme="minorHAnsi"/>
        </w:rPr>
      </w:pPr>
      <w:r w:rsidRPr="00A26009">
        <w:rPr>
          <w:rFonts w:asciiTheme="minorHAnsi" w:hAnsiTheme="minorHAnsi" w:cstheme="minorHAnsi"/>
        </w:rPr>
        <w:t>Unless a participant chooses to provide their first and last name with their current address for the</w:t>
      </w:r>
      <w:r w:rsidRPr="00A26009">
        <w:rPr>
          <w:rFonts w:asciiTheme="minorHAnsi" w:hAnsiTheme="minorHAnsi" w:cstheme="minorHAnsi"/>
          <w:spacing w:val="-10"/>
        </w:rPr>
        <w:t xml:space="preserve"> </w:t>
      </w:r>
      <w:r w:rsidRPr="00A26009">
        <w:rPr>
          <w:rFonts w:asciiTheme="minorHAnsi" w:hAnsiTheme="minorHAnsi" w:cstheme="minorHAnsi"/>
        </w:rPr>
        <w:t>purposes</w:t>
      </w:r>
      <w:r w:rsidRPr="00A26009">
        <w:rPr>
          <w:rFonts w:asciiTheme="minorHAnsi" w:hAnsiTheme="minorHAnsi" w:cstheme="minorHAnsi"/>
          <w:spacing w:val="-10"/>
        </w:rPr>
        <w:t xml:space="preserve"> </w:t>
      </w:r>
      <w:r w:rsidRPr="00A26009">
        <w:rPr>
          <w:rFonts w:asciiTheme="minorHAnsi" w:hAnsiTheme="minorHAnsi" w:cstheme="minorHAnsi"/>
        </w:rPr>
        <w:t>of</w:t>
      </w:r>
      <w:r w:rsidRPr="00A26009">
        <w:rPr>
          <w:rFonts w:asciiTheme="minorHAnsi" w:hAnsiTheme="minorHAnsi" w:cstheme="minorHAnsi"/>
          <w:spacing w:val="-10"/>
        </w:rPr>
        <w:t xml:space="preserve"> </w:t>
      </w:r>
      <w:r w:rsidRPr="00A26009">
        <w:rPr>
          <w:rFonts w:asciiTheme="minorHAnsi" w:hAnsiTheme="minorHAnsi" w:cstheme="minorHAnsi"/>
        </w:rPr>
        <w:t>receiving</w:t>
      </w:r>
      <w:r w:rsidRPr="00A26009">
        <w:rPr>
          <w:rFonts w:asciiTheme="minorHAnsi" w:hAnsiTheme="minorHAnsi" w:cstheme="minorHAnsi"/>
          <w:spacing w:val="-10"/>
        </w:rPr>
        <w:t xml:space="preserve"> </w:t>
      </w:r>
      <w:r w:rsidRPr="00A26009">
        <w:rPr>
          <w:rFonts w:asciiTheme="minorHAnsi" w:hAnsiTheme="minorHAnsi" w:cstheme="minorHAnsi"/>
        </w:rPr>
        <w:t>the</w:t>
      </w:r>
      <w:r w:rsidRPr="00A26009">
        <w:rPr>
          <w:rFonts w:asciiTheme="minorHAnsi" w:hAnsiTheme="minorHAnsi" w:cstheme="minorHAnsi"/>
          <w:spacing w:val="-10"/>
        </w:rPr>
        <w:t xml:space="preserve"> </w:t>
      </w:r>
      <w:r w:rsidRPr="00A26009">
        <w:rPr>
          <w:rFonts w:asciiTheme="minorHAnsi" w:hAnsiTheme="minorHAnsi" w:cstheme="minorHAnsi"/>
        </w:rPr>
        <w:t>incentive</w:t>
      </w:r>
      <w:r w:rsidRPr="00A26009">
        <w:rPr>
          <w:rFonts w:asciiTheme="minorHAnsi" w:hAnsiTheme="minorHAnsi" w:cstheme="minorHAnsi"/>
          <w:spacing w:val="-10"/>
        </w:rPr>
        <w:t xml:space="preserve"> </w:t>
      </w:r>
      <w:r w:rsidRPr="00A26009">
        <w:rPr>
          <w:rFonts w:asciiTheme="minorHAnsi" w:hAnsiTheme="minorHAnsi" w:cstheme="minorHAnsi"/>
        </w:rPr>
        <w:t>for</w:t>
      </w:r>
      <w:r w:rsidRPr="00A26009">
        <w:rPr>
          <w:rFonts w:asciiTheme="minorHAnsi" w:hAnsiTheme="minorHAnsi" w:cstheme="minorHAnsi"/>
          <w:spacing w:val="-10"/>
        </w:rPr>
        <w:t xml:space="preserve"> </w:t>
      </w:r>
      <w:r w:rsidRPr="00A26009">
        <w:rPr>
          <w:rFonts w:asciiTheme="minorHAnsi" w:hAnsiTheme="minorHAnsi" w:cstheme="minorHAnsi"/>
        </w:rPr>
        <w:t>participation,</w:t>
      </w:r>
      <w:r w:rsidRPr="00A26009">
        <w:rPr>
          <w:rFonts w:asciiTheme="minorHAnsi" w:hAnsiTheme="minorHAnsi" w:cstheme="minorHAnsi"/>
          <w:spacing w:val="-10"/>
        </w:rPr>
        <w:t xml:space="preserve"> </w:t>
      </w:r>
      <w:r w:rsidRPr="00A26009">
        <w:rPr>
          <w:rFonts w:asciiTheme="minorHAnsi" w:hAnsiTheme="minorHAnsi" w:cstheme="minorHAnsi"/>
        </w:rPr>
        <w:t>no</w:t>
      </w:r>
      <w:r w:rsidRPr="00A26009">
        <w:rPr>
          <w:rFonts w:asciiTheme="minorHAnsi" w:hAnsiTheme="minorHAnsi" w:cstheme="minorHAnsi"/>
          <w:spacing w:val="-10"/>
        </w:rPr>
        <w:t xml:space="preserve"> </w:t>
      </w:r>
      <w:r w:rsidRPr="00A26009">
        <w:rPr>
          <w:rFonts w:asciiTheme="minorHAnsi" w:hAnsiTheme="minorHAnsi" w:cstheme="minorHAnsi"/>
        </w:rPr>
        <w:t>name</w:t>
      </w:r>
      <w:r w:rsidRPr="00A26009">
        <w:rPr>
          <w:rFonts w:asciiTheme="minorHAnsi" w:hAnsiTheme="minorHAnsi" w:cstheme="minorHAnsi"/>
          <w:spacing w:val="-10"/>
        </w:rPr>
        <w:t xml:space="preserve"> </w:t>
      </w:r>
      <w:r w:rsidRPr="00A26009">
        <w:rPr>
          <w:rFonts w:asciiTheme="minorHAnsi" w:hAnsiTheme="minorHAnsi" w:cstheme="minorHAnsi"/>
        </w:rPr>
        <w:t>will</w:t>
      </w:r>
      <w:r w:rsidRPr="00A26009">
        <w:rPr>
          <w:rFonts w:asciiTheme="minorHAnsi" w:hAnsiTheme="minorHAnsi" w:cstheme="minorHAnsi"/>
          <w:spacing w:val="-10"/>
        </w:rPr>
        <w:t xml:space="preserve"> </w:t>
      </w:r>
      <w:r w:rsidRPr="00A26009">
        <w:rPr>
          <w:rFonts w:asciiTheme="minorHAnsi" w:hAnsiTheme="minorHAnsi" w:cstheme="minorHAnsi"/>
        </w:rPr>
        <w:t>be</w:t>
      </w:r>
      <w:r w:rsidRPr="00A26009">
        <w:rPr>
          <w:rFonts w:asciiTheme="minorHAnsi" w:hAnsiTheme="minorHAnsi" w:cstheme="minorHAnsi"/>
          <w:spacing w:val="-11"/>
        </w:rPr>
        <w:t xml:space="preserve"> </w:t>
      </w:r>
      <w:r w:rsidRPr="00A26009">
        <w:rPr>
          <w:rFonts w:asciiTheme="minorHAnsi" w:hAnsiTheme="minorHAnsi" w:cstheme="minorHAnsi"/>
        </w:rPr>
        <w:t>recorded,</w:t>
      </w:r>
      <w:r w:rsidRPr="00A26009">
        <w:rPr>
          <w:rFonts w:asciiTheme="minorHAnsi" w:hAnsiTheme="minorHAnsi" w:cstheme="minorHAnsi"/>
          <w:spacing w:val="-11"/>
        </w:rPr>
        <w:t xml:space="preserve"> </w:t>
      </w:r>
      <w:r w:rsidRPr="00A26009">
        <w:rPr>
          <w:rFonts w:asciiTheme="minorHAnsi" w:hAnsiTheme="minorHAnsi" w:cstheme="minorHAnsi"/>
        </w:rPr>
        <w:t>rendering</w:t>
      </w:r>
      <w:r w:rsidRPr="00A26009">
        <w:rPr>
          <w:rFonts w:asciiTheme="minorHAnsi" w:hAnsiTheme="minorHAnsi" w:cstheme="minorHAnsi"/>
          <w:spacing w:val="-10"/>
        </w:rPr>
        <w:t xml:space="preserve"> </w:t>
      </w:r>
      <w:r w:rsidRPr="00A26009">
        <w:rPr>
          <w:rFonts w:asciiTheme="minorHAnsi" w:hAnsiTheme="minorHAnsi" w:cstheme="minorHAnsi"/>
        </w:rPr>
        <w:t>the survey anonymous. Specifically, addressed‐based sampling assures that potential participants will</w:t>
      </w:r>
      <w:r w:rsidRPr="00A26009">
        <w:rPr>
          <w:rFonts w:asciiTheme="minorHAnsi" w:hAnsiTheme="minorHAnsi" w:cstheme="minorHAnsi"/>
          <w:spacing w:val="-4"/>
        </w:rPr>
        <w:t xml:space="preserve"> </w:t>
      </w:r>
      <w:r w:rsidRPr="00A26009">
        <w:rPr>
          <w:rFonts w:asciiTheme="minorHAnsi" w:hAnsiTheme="minorHAnsi" w:cstheme="minorHAnsi"/>
        </w:rPr>
        <w:t>be</w:t>
      </w:r>
      <w:r w:rsidRPr="00A26009">
        <w:rPr>
          <w:rFonts w:asciiTheme="minorHAnsi" w:hAnsiTheme="minorHAnsi" w:cstheme="minorHAnsi"/>
          <w:spacing w:val="-4"/>
        </w:rPr>
        <w:t xml:space="preserve"> </w:t>
      </w:r>
      <w:r w:rsidRPr="00A26009">
        <w:rPr>
          <w:rFonts w:asciiTheme="minorHAnsi" w:hAnsiTheme="minorHAnsi" w:cstheme="minorHAnsi"/>
        </w:rPr>
        <w:t>selected</w:t>
      </w:r>
      <w:r w:rsidRPr="00A26009">
        <w:rPr>
          <w:rFonts w:asciiTheme="minorHAnsi" w:hAnsiTheme="minorHAnsi" w:cstheme="minorHAnsi"/>
          <w:spacing w:val="-4"/>
        </w:rPr>
        <w:t xml:space="preserve"> </w:t>
      </w:r>
      <w:r w:rsidRPr="00A26009">
        <w:rPr>
          <w:rFonts w:asciiTheme="minorHAnsi" w:hAnsiTheme="minorHAnsi" w:cstheme="minorHAnsi"/>
        </w:rPr>
        <w:t>from</w:t>
      </w:r>
      <w:r w:rsidRPr="00A26009">
        <w:rPr>
          <w:rFonts w:asciiTheme="minorHAnsi" w:hAnsiTheme="minorHAnsi" w:cstheme="minorHAnsi"/>
          <w:spacing w:val="-4"/>
        </w:rPr>
        <w:t xml:space="preserve"> </w:t>
      </w:r>
      <w:r w:rsidRPr="00A26009">
        <w:rPr>
          <w:rFonts w:asciiTheme="minorHAnsi" w:hAnsiTheme="minorHAnsi" w:cstheme="minorHAnsi"/>
        </w:rPr>
        <w:t>addresses</w:t>
      </w:r>
      <w:r w:rsidRPr="00A26009">
        <w:rPr>
          <w:rFonts w:asciiTheme="minorHAnsi" w:hAnsiTheme="minorHAnsi" w:cstheme="minorHAnsi"/>
          <w:spacing w:val="-4"/>
        </w:rPr>
        <w:t xml:space="preserve"> </w:t>
      </w:r>
      <w:r w:rsidRPr="00A26009">
        <w:rPr>
          <w:rFonts w:asciiTheme="minorHAnsi" w:hAnsiTheme="minorHAnsi" w:cstheme="minorHAnsi"/>
        </w:rPr>
        <w:t>maintained</w:t>
      </w:r>
      <w:r w:rsidRPr="00A26009">
        <w:rPr>
          <w:rFonts w:asciiTheme="minorHAnsi" w:hAnsiTheme="minorHAnsi" w:cstheme="minorHAnsi"/>
          <w:spacing w:val="-4"/>
        </w:rPr>
        <w:t xml:space="preserve"> </w:t>
      </w:r>
      <w:r w:rsidRPr="00A26009">
        <w:rPr>
          <w:rFonts w:asciiTheme="minorHAnsi" w:hAnsiTheme="minorHAnsi" w:cstheme="minorHAnsi"/>
        </w:rPr>
        <w:t>by</w:t>
      </w:r>
      <w:r w:rsidRPr="00A26009">
        <w:rPr>
          <w:rFonts w:asciiTheme="minorHAnsi" w:hAnsiTheme="minorHAnsi" w:cstheme="minorHAnsi"/>
          <w:spacing w:val="-4"/>
        </w:rPr>
        <w:t xml:space="preserve"> </w:t>
      </w:r>
      <w:r w:rsidRPr="00A26009">
        <w:rPr>
          <w:rFonts w:asciiTheme="minorHAnsi" w:hAnsiTheme="minorHAnsi" w:cstheme="minorHAnsi"/>
        </w:rPr>
        <w:t>the</w:t>
      </w:r>
      <w:r w:rsidRPr="00A26009">
        <w:rPr>
          <w:rFonts w:asciiTheme="minorHAnsi" w:hAnsiTheme="minorHAnsi" w:cstheme="minorHAnsi"/>
          <w:spacing w:val="-4"/>
        </w:rPr>
        <w:t xml:space="preserve"> </w:t>
      </w:r>
      <w:r w:rsidRPr="00A26009">
        <w:rPr>
          <w:rFonts w:asciiTheme="minorHAnsi" w:hAnsiTheme="minorHAnsi" w:cstheme="minorHAnsi"/>
        </w:rPr>
        <w:t>United</w:t>
      </w:r>
      <w:r w:rsidRPr="00A26009">
        <w:rPr>
          <w:rFonts w:asciiTheme="minorHAnsi" w:hAnsiTheme="minorHAnsi" w:cstheme="minorHAnsi"/>
          <w:spacing w:val="-4"/>
        </w:rPr>
        <w:t xml:space="preserve"> </w:t>
      </w:r>
      <w:r w:rsidRPr="00A26009">
        <w:rPr>
          <w:rFonts w:asciiTheme="minorHAnsi" w:hAnsiTheme="minorHAnsi" w:cstheme="minorHAnsi"/>
        </w:rPr>
        <w:t>States</w:t>
      </w:r>
      <w:r w:rsidRPr="00A26009">
        <w:rPr>
          <w:rFonts w:asciiTheme="minorHAnsi" w:hAnsiTheme="minorHAnsi" w:cstheme="minorHAnsi"/>
          <w:spacing w:val="-4"/>
        </w:rPr>
        <w:t xml:space="preserve"> </w:t>
      </w:r>
      <w:r w:rsidRPr="00A26009">
        <w:rPr>
          <w:rFonts w:asciiTheme="minorHAnsi" w:hAnsiTheme="minorHAnsi" w:cstheme="minorHAnsi"/>
        </w:rPr>
        <w:t>Postal</w:t>
      </w:r>
      <w:r w:rsidRPr="00A26009">
        <w:rPr>
          <w:rFonts w:asciiTheme="minorHAnsi" w:hAnsiTheme="minorHAnsi" w:cstheme="minorHAnsi"/>
          <w:spacing w:val="-4"/>
        </w:rPr>
        <w:t xml:space="preserve"> </w:t>
      </w:r>
      <w:r w:rsidRPr="00A26009">
        <w:rPr>
          <w:rFonts w:asciiTheme="minorHAnsi" w:hAnsiTheme="minorHAnsi" w:cstheme="minorHAnsi"/>
        </w:rPr>
        <w:t>Service.</w:t>
      </w:r>
      <w:r w:rsidRPr="00A26009">
        <w:rPr>
          <w:rFonts w:asciiTheme="minorHAnsi" w:hAnsiTheme="minorHAnsi" w:cstheme="minorHAnsi"/>
          <w:spacing w:val="-4"/>
        </w:rPr>
        <w:t xml:space="preserve"> </w:t>
      </w:r>
      <w:r w:rsidRPr="00A26009">
        <w:rPr>
          <w:rFonts w:asciiTheme="minorHAnsi" w:hAnsiTheme="minorHAnsi" w:cstheme="minorHAnsi"/>
        </w:rPr>
        <w:t>This</w:t>
      </w:r>
      <w:r w:rsidRPr="00A26009">
        <w:rPr>
          <w:rFonts w:asciiTheme="minorHAnsi" w:hAnsiTheme="minorHAnsi" w:cstheme="minorHAnsi"/>
          <w:spacing w:val="-4"/>
        </w:rPr>
        <w:t xml:space="preserve"> </w:t>
      </w:r>
      <w:r w:rsidRPr="00A26009">
        <w:rPr>
          <w:rFonts w:asciiTheme="minorHAnsi" w:hAnsiTheme="minorHAnsi" w:cstheme="minorHAnsi"/>
        </w:rPr>
        <w:t>information is available to the CDC contractor and the process to obtain the addressed has been used in previous studies. This sampling approach will create an anonymous sampling</w:t>
      </w:r>
      <w:r w:rsidRPr="00A26009">
        <w:rPr>
          <w:rFonts w:asciiTheme="minorHAnsi" w:hAnsiTheme="minorHAnsi" w:cstheme="minorHAnsi"/>
          <w:spacing w:val="-20"/>
        </w:rPr>
        <w:t xml:space="preserve"> </w:t>
      </w:r>
      <w:r w:rsidRPr="00A26009">
        <w:rPr>
          <w:rFonts w:asciiTheme="minorHAnsi" w:hAnsiTheme="minorHAnsi" w:cstheme="minorHAnsi"/>
        </w:rPr>
        <w:t>frame.</w:t>
      </w:r>
    </w:p>
    <w:p w:rsidRPr="00A26009" w:rsidR="00805849" w:rsidRDefault="00805849" w14:paraId="08FD3950" w14:textId="77777777">
      <w:pPr>
        <w:pStyle w:val="BodyText"/>
        <w:ind w:right="117"/>
        <w:jc w:val="both"/>
        <w:rPr>
          <w:rFonts w:asciiTheme="minorHAnsi" w:hAnsiTheme="minorHAnsi" w:cstheme="minorHAnsi"/>
        </w:rPr>
      </w:pPr>
    </w:p>
    <w:p w:rsidRPr="00A26009" w:rsidR="00EC1F98" w:rsidP="00A26009" w:rsidRDefault="00656AFC" w14:paraId="56F923DC" w14:textId="77777777">
      <w:pPr>
        <w:spacing w:line="276" w:lineRule="auto"/>
        <w:jc w:val="both"/>
        <w:rPr>
          <w:rFonts w:cstheme="minorHAnsi"/>
          <w:szCs w:val="24"/>
        </w:rPr>
      </w:pPr>
      <w:r w:rsidRPr="00B15A6D">
        <w:rPr>
          <w:rFonts w:cstheme="minorHAnsi"/>
          <w:b/>
          <w:sz w:val="24"/>
          <w:szCs w:val="24"/>
        </w:rPr>
        <w:t>Data Security.</w:t>
      </w:r>
      <w:r w:rsidRPr="00B15A6D">
        <w:rPr>
          <w:rFonts w:cstheme="minorHAnsi"/>
          <w:bCs/>
          <w:sz w:val="24"/>
          <w:szCs w:val="24"/>
        </w:rPr>
        <w:t xml:space="preserve"> </w:t>
      </w:r>
      <w:r w:rsidRPr="00FA0331" w:rsidR="00EC1F98">
        <w:rPr>
          <w:rFonts w:cstheme="minorHAnsi"/>
          <w:sz w:val="24"/>
          <w:szCs w:val="24"/>
        </w:rPr>
        <w:t>Procedures to ensure the proper and secure handling, storage, and transfer of data will be as follows:</w:t>
      </w:r>
      <w:r w:rsidRPr="002D432A" w:rsidR="00EC1F98">
        <w:rPr>
          <w:rFonts w:cstheme="minorHAnsi"/>
          <w:sz w:val="24"/>
          <w:szCs w:val="24"/>
        </w:rPr>
        <w:t xml:space="preserve"> For qualitative data from focus groups, recordings and redacted interview transcripts will be stored and analyzed on password‐protected workstations or servers accessible only to members of the project team. All workstations have encrypted hard drives, an</w:t>
      </w:r>
      <w:r w:rsidRPr="00194E66" w:rsidR="00EC1F98">
        <w:rPr>
          <w:rFonts w:cstheme="minorHAnsi"/>
          <w:sz w:val="24"/>
          <w:szCs w:val="24"/>
        </w:rPr>
        <w:t xml:space="preserve">d access to </w:t>
      </w:r>
      <w:r w:rsidRPr="00194E66" w:rsidR="00EC1F98">
        <w:rPr>
          <w:rFonts w:cstheme="minorHAnsi"/>
          <w:sz w:val="24"/>
          <w:szCs w:val="24"/>
        </w:rPr>
        <w:lastRenderedPageBreak/>
        <w:t xml:space="preserve">network resources (e.g., project share drives) requires two‐factor authentication. For quantitative data from the paper and online survey, </w:t>
      </w:r>
      <w:proofErr w:type="spellStart"/>
      <w:r w:rsidRPr="00194E66" w:rsidR="00EC1F98">
        <w:rPr>
          <w:rFonts w:cstheme="minorHAnsi"/>
          <w:sz w:val="24"/>
          <w:szCs w:val="24"/>
        </w:rPr>
        <w:t>Teleform</w:t>
      </w:r>
      <w:proofErr w:type="spellEnd"/>
      <w:r w:rsidRPr="00194E66" w:rsidR="00EC1F98">
        <w:rPr>
          <w:rFonts w:cstheme="minorHAnsi"/>
          <w:sz w:val="24"/>
          <w:szCs w:val="24"/>
        </w:rPr>
        <w:t xml:space="preserve"> and </w:t>
      </w:r>
      <w:proofErr w:type="spellStart"/>
      <w:r w:rsidRPr="00194E66" w:rsidR="00EC1F98">
        <w:rPr>
          <w:rFonts w:cstheme="minorHAnsi"/>
          <w:sz w:val="24"/>
          <w:szCs w:val="24"/>
        </w:rPr>
        <w:t>Voxco</w:t>
      </w:r>
      <w:proofErr w:type="spellEnd"/>
      <w:r w:rsidRPr="00194E66" w:rsidR="00EC1F98">
        <w:rPr>
          <w:rFonts w:cstheme="minorHAnsi"/>
          <w:sz w:val="24"/>
          <w:szCs w:val="24"/>
        </w:rPr>
        <w:t xml:space="preserve"> applications will be used to capture data, respectively. Data will be stored in an enh</w:t>
      </w:r>
      <w:r w:rsidRPr="00823D8F" w:rsidR="00EC1F98">
        <w:rPr>
          <w:rFonts w:cstheme="minorHAnsi"/>
          <w:sz w:val="24"/>
          <w:szCs w:val="24"/>
        </w:rPr>
        <w:t>anced security network (ESN), which complies with both FIPS Moderate security control and HIPAA security requirements. Staff with access to any study data (including sampling and recruitment lists, analytic datasets) will receive data security and HIPAA tr</w:t>
      </w:r>
      <w:r w:rsidRPr="00A26009" w:rsidR="00EC1F98">
        <w:rPr>
          <w:rFonts w:cstheme="minorHAnsi"/>
          <w:sz w:val="24"/>
          <w:szCs w:val="24"/>
        </w:rPr>
        <w:t>aining as needed. Access to study data will be restricted to only those individuals who need to work with the data based on their role in the study. Data transfers from data collection contractors and CDC will be done via a secure SFTP and will follow encryption standards. CDC's security assessment and authorization procedures (i.e., valid authority to operate—ATO) will be applied.</w:t>
      </w:r>
    </w:p>
    <w:p w:rsidRPr="00A26009" w:rsidR="00643259" w:rsidP="00A26009" w:rsidRDefault="00643259" w14:paraId="51C8A07C" w14:textId="77777777">
      <w:pPr>
        <w:widowControl w:val="0"/>
        <w:autoSpaceDE w:val="0"/>
        <w:autoSpaceDN w:val="0"/>
        <w:adjustRightInd w:val="0"/>
        <w:spacing w:after="0" w:line="276" w:lineRule="auto"/>
        <w:rPr>
          <w:rFonts w:cstheme="minorHAnsi"/>
          <w:sz w:val="24"/>
          <w:szCs w:val="24"/>
        </w:rPr>
      </w:pPr>
    </w:p>
    <w:p w:rsidRPr="002D432A" w:rsidR="003567CC" w:rsidP="00A26009" w:rsidRDefault="003E2460" w14:paraId="50CA5EF9" w14:textId="2CA6D69C">
      <w:pPr>
        <w:widowControl w:val="0"/>
        <w:autoSpaceDE w:val="0"/>
        <w:autoSpaceDN w:val="0"/>
        <w:adjustRightInd w:val="0"/>
        <w:spacing w:after="0" w:line="276" w:lineRule="auto"/>
        <w:jc w:val="both"/>
        <w:rPr>
          <w:rFonts w:cstheme="minorHAnsi"/>
          <w:sz w:val="24"/>
          <w:szCs w:val="24"/>
        </w:rPr>
      </w:pPr>
      <w:r w:rsidRPr="00B15A6D">
        <w:rPr>
          <w:rFonts w:cstheme="minorHAnsi"/>
          <w:b/>
          <w:bCs/>
          <w:sz w:val="24"/>
          <w:szCs w:val="24"/>
        </w:rPr>
        <w:t xml:space="preserve">Data Use, Dissemination, and Privacy. </w:t>
      </w:r>
      <w:r w:rsidRPr="00B15A6D">
        <w:rPr>
          <w:rFonts w:cstheme="minorHAnsi"/>
          <w:sz w:val="24"/>
          <w:szCs w:val="24"/>
        </w:rPr>
        <w:t xml:space="preserve">CDC scientists with access to survey and focus group data will use </w:t>
      </w:r>
      <w:proofErr w:type="spellStart"/>
      <w:r w:rsidRPr="00B15A6D">
        <w:rPr>
          <w:rFonts w:cstheme="minorHAnsi"/>
          <w:sz w:val="24"/>
          <w:szCs w:val="24"/>
        </w:rPr>
        <w:t>caseIDs</w:t>
      </w:r>
      <w:proofErr w:type="spellEnd"/>
      <w:r w:rsidRPr="00B15A6D">
        <w:rPr>
          <w:rFonts w:cstheme="minorHAnsi"/>
          <w:sz w:val="24"/>
          <w:szCs w:val="24"/>
        </w:rPr>
        <w:t xml:space="preserve"> and not have access to names of study participants.</w:t>
      </w:r>
      <w:r w:rsidRPr="00B15A6D">
        <w:rPr>
          <w:rFonts w:cstheme="minorHAnsi"/>
          <w:b/>
          <w:bCs/>
          <w:sz w:val="24"/>
          <w:szCs w:val="24"/>
        </w:rPr>
        <w:t xml:space="preserve"> </w:t>
      </w:r>
      <w:r w:rsidRPr="00B15A6D" w:rsidR="00BD1213">
        <w:rPr>
          <w:rFonts w:cstheme="minorHAnsi"/>
          <w:sz w:val="24"/>
          <w:szCs w:val="24"/>
        </w:rPr>
        <w:t xml:space="preserve">Dissemination of </w:t>
      </w:r>
      <w:r w:rsidRPr="00B15A6D" w:rsidR="00656AFC">
        <w:rPr>
          <w:rFonts w:cstheme="minorHAnsi"/>
          <w:sz w:val="24"/>
          <w:szCs w:val="24"/>
        </w:rPr>
        <w:t xml:space="preserve">results in the form of CDC reports, fact sheets, presentations, or peer-reviewed articles will present data in aggregate form only so that individual households and study participants cannot be </w:t>
      </w:r>
      <w:r w:rsidRPr="00B15A6D" w:rsidR="00543F85">
        <w:rPr>
          <w:rFonts w:cstheme="minorHAnsi"/>
          <w:sz w:val="24"/>
          <w:szCs w:val="24"/>
        </w:rPr>
        <w:t>identified</w:t>
      </w:r>
      <w:r w:rsidRPr="00B15A6D" w:rsidR="00656AFC">
        <w:rPr>
          <w:rFonts w:cstheme="minorHAnsi"/>
          <w:sz w:val="24"/>
          <w:szCs w:val="24"/>
        </w:rPr>
        <w:t xml:space="preserve"> from reported information. Cross-tabulations of demographic data that could potentially identify a household or </w:t>
      </w:r>
      <w:r w:rsidRPr="00B15A6D" w:rsidR="00543F85">
        <w:rPr>
          <w:rFonts w:cstheme="minorHAnsi"/>
          <w:sz w:val="24"/>
          <w:szCs w:val="24"/>
        </w:rPr>
        <w:t>individual</w:t>
      </w:r>
      <w:r w:rsidRPr="00B15A6D" w:rsidR="00656AFC">
        <w:rPr>
          <w:rFonts w:cstheme="minorHAnsi"/>
          <w:sz w:val="24"/>
          <w:szCs w:val="24"/>
        </w:rPr>
        <w:t xml:space="preserve"> will be assessed for small cell sizes and data will be </w:t>
      </w:r>
      <w:r w:rsidRPr="00B15A6D" w:rsidR="00543F85">
        <w:rPr>
          <w:rFonts w:cstheme="minorHAnsi"/>
          <w:sz w:val="24"/>
          <w:szCs w:val="24"/>
        </w:rPr>
        <w:t>suppressed</w:t>
      </w:r>
      <w:r w:rsidRPr="00B15A6D" w:rsidR="00656AFC">
        <w:rPr>
          <w:rFonts w:cstheme="minorHAnsi"/>
          <w:sz w:val="24"/>
          <w:szCs w:val="24"/>
        </w:rPr>
        <w:t xml:space="preserve"> as needed (i.e., n&lt;5).</w:t>
      </w:r>
    </w:p>
    <w:p w:rsidRPr="00374B14" w:rsidR="00B45002" w:rsidP="00601F1A" w:rsidRDefault="00601F1A" w14:paraId="70B45DCE" w14:textId="5D584105">
      <w:pPr>
        <w:pStyle w:val="Heading1"/>
        <w:rPr>
          <w:color w:val="auto"/>
        </w:rPr>
      </w:pPr>
      <w:bookmarkStart w:name="_Toc61000938" w:id="12"/>
      <w:r w:rsidRPr="00374B14">
        <w:rPr>
          <w:color w:val="auto"/>
        </w:rPr>
        <w:t>A.</w:t>
      </w:r>
      <w:r w:rsidRPr="00374B14" w:rsidR="004D21C9">
        <w:rPr>
          <w:color w:val="auto"/>
        </w:rPr>
        <w:t xml:space="preserve">11.  </w:t>
      </w:r>
      <w:r w:rsidRPr="00374B14" w:rsidR="00B45002">
        <w:rPr>
          <w:color w:val="auto"/>
        </w:rPr>
        <w:t>Institutional Review Board (IRB) and Justification for Sensitive Questions</w:t>
      </w:r>
      <w:bookmarkEnd w:id="12"/>
    </w:p>
    <w:p w:rsidRPr="00805849" w:rsidR="00153EC5" w:rsidP="00805849" w:rsidRDefault="00153EC5" w14:paraId="78FBD750" w14:textId="77777777">
      <w:pPr>
        <w:spacing w:line="240" w:lineRule="auto"/>
        <w:jc w:val="both"/>
        <w:rPr>
          <w:rFonts w:ascii="Calibri" w:hAnsi="Calibri" w:cs="Calibri"/>
        </w:rPr>
      </w:pPr>
    </w:p>
    <w:p w:rsidRPr="00805849" w:rsidR="008A541E" w:rsidP="00805849" w:rsidRDefault="00544591" w14:paraId="0C8E39FE" w14:textId="793DC966">
      <w:pPr>
        <w:spacing w:after="0" w:line="276" w:lineRule="auto"/>
        <w:jc w:val="both"/>
        <w:rPr>
          <w:rFonts w:ascii="Calibri" w:hAnsi="Calibri" w:cs="Calibri"/>
          <w:sz w:val="24"/>
          <w:szCs w:val="24"/>
        </w:rPr>
      </w:pPr>
      <w:r w:rsidRPr="00805849">
        <w:rPr>
          <w:rFonts w:ascii="Calibri" w:hAnsi="Calibri" w:cs="Calibri"/>
          <w:sz w:val="24"/>
          <w:szCs w:val="24"/>
        </w:rPr>
        <w:t xml:space="preserve">This study </w:t>
      </w:r>
      <w:r w:rsidRPr="00805849" w:rsidR="004F5A3B">
        <w:rPr>
          <w:rFonts w:ascii="Calibri" w:hAnsi="Calibri" w:cs="Calibri"/>
          <w:sz w:val="24"/>
          <w:szCs w:val="24"/>
        </w:rPr>
        <w:t xml:space="preserve">was submitted to </w:t>
      </w:r>
      <w:r w:rsidRPr="00805849">
        <w:rPr>
          <w:rFonts w:ascii="Calibri" w:hAnsi="Calibri" w:cs="Calibri"/>
          <w:sz w:val="24"/>
          <w:szCs w:val="24"/>
        </w:rPr>
        <w:t xml:space="preserve">the NCEH human </w:t>
      </w:r>
      <w:r w:rsidRPr="00805849" w:rsidR="00990990">
        <w:rPr>
          <w:rFonts w:ascii="Calibri" w:hAnsi="Calibri" w:cs="Calibri"/>
          <w:sz w:val="24"/>
          <w:szCs w:val="24"/>
        </w:rPr>
        <w:t>subjects</w:t>
      </w:r>
      <w:r w:rsidRPr="00805849">
        <w:rPr>
          <w:rFonts w:ascii="Calibri" w:hAnsi="Calibri" w:cs="Calibri"/>
          <w:sz w:val="24"/>
          <w:szCs w:val="24"/>
        </w:rPr>
        <w:t xml:space="preserve"> advisor</w:t>
      </w:r>
      <w:r w:rsidRPr="00805849" w:rsidR="00153EC5">
        <w:rPr>
          <w:rFonts w:ascii="Calibri" w:hAnsi="Calibri" w:cs="Calibri"/>
          <w:sz w:val="24"/>
          <w:szCs w:val="24"/>
        </w:rPr>
        <w:t xml:space="preserve"> </w:t>
      </w:r>
      <w:r w:rsidRPr="00805849">
        <w:rPr>
          <w:rFonts w:ascii="Calibri" w:hAnsi="Calibri" w:cs="Calibri"/>
          <w:sz w:val="24"/>
          <w:szCs w:val="24"/>
        </w:rPr>
        <w:t xml:space="preserve">and </w:t>
      </w:r>
      <w:r w:rsidR="00B15A6D">
        <w:rPr>
          <w:rFonts w:ascii="Calibri" w:hAnsi="Calibri" w:cs="Calibri"/>
          <w:sz w:val="24"/>
          <w:szCs w:val="24"/>
        </w:rPr>
        <w:t xml:space="preserve">was </w:t>
      </w:r>
      <w:r w:rsidRPr="00805849">
        <w:rPr>
          <w:rFonts w:ascii="Calibri" w:hAnsi="Calibri" w:cs="Calibri"/>
          <w:sz w:val="24"/>
          <w:szCs w:val="24"/>
        </w:rPr>
        <w:t xml:space="preserve">determined to </w:t>
      </w:r>
      <w:r w:rsidR="00744E6F">
        <w:rPr>
          <w:rFonts w:ascii="Calibri" w:hAnsi="Calibri" w:cs="Calibri"/>
          <w:sz w:val="24"/>
          <w:szCs w:val="24"/>
        </w:rPr>
        <w:t>be</w:t>
      </w:r>
      <w:r w:rsidRPr="00805849">
        <w:rPr>
          <w:rFonts w:ascii="Calibri" w:hAnsi="Calibri" w:cs="Calibri"/>
          <w:sz w:val="24"/>
          <w:szCs w:val="24"/>
        </w:rPr>
        <w:t xml:space="preserve"> human subjects research under 45 CFR 46. The CDC</w:t>
      </w:r>
      <w:r w:rsidRPr="00805849" w:rsidR="00B15A6D">
        <w:rPr>
          <w:rFonts w:ascii="Calibri" w:hAnsi="Calibri" w:cs="Calibri"/>
          <w:sz w:val="24"/>
          <w:szCs w:val="24"/>
        </w:rPr>
        <w:t xml:space="preserve"> </w:t>
      </w:r>
      <w:r w:rsidR="00B15A6D">
        <w:rPr>
          <w:rFonts w:ascii="Calibri" w:hAnsi="Calibri" w:cs="Calibri"/>
          <w:sz w:val="24"/>
          <w:szCs w:val="24"/>
        </w:rPr>
        <w:t>Institutional</w:t>
      </w:r>
      <w:r w:rsidRPr="00805849" w:rsidR="00B15A6D">
        <w:rPr>
          <w:rFonts w:ascii="Calibri" w:hAnsi="Calibri" w:cs="Calibri"/>
          <w:sz w:val="24"/>
          <w:szCs w:val="24"/>
        </w:rPr>
        <w:t xml:space="preserve"> Review Board (</w:t>
      </w:r>
      <w:r w:rsidR="00B15A6D">
        <w:rPr>
          <w:rFonts w:ascii="Calibri" w:hAnsi="Calibri" w:cs="Calibri"/>
          <w:sz w:val="24"/>
          <w:szCs w:val="24"/>
        </w:rPr>
        <w:t>I</w:t>
      </w:r>
      <w:r w:rsidRPr="00805849" w:rsidR="00B15A6D">
        <w:rPr>
          <w:rFonts w:ascii="Calibri" w:hAnsi="Calibri" w:cs="Calibri"/>
          <w:sz w:val="24"/>
          <w:szCs w:val="24"/>
        </w:rPr>
        <w:t>RB</w:t>
      </w:r>
      <w:r w:rsidR="00B15A6D">
        <w:rPr>
          <w:rFonts w:ascii="Calibri" w:hAnsi="Calibri" w:cs="Calibri"/>
          <w:sz w:val="24"/>
          <w:szCs w:val="24"/>
        </w:rPr>
        <w:t>)</w:t>
      </w:r>
      <w:r w:rsidRPr="00805849">
        <w:rPr>
          <w:rFonts w:ascii="Calibri" w:hAnsi="Calibri" w:cs="Calibri"/>
          <w:sz w:val="24"/>
          <w:szCs w:val="24"/>
        </w:rPr>
        <w:t xml:space="preserve"> approva</w:t>
      </w:r>
      <w:r w:rsidRPr="00805849" w:rsidR="003D60AD">
        <w:rPr>
          <w:rFonts w:ascii="Calibri" w:hAnsi="Calibri" w:cs="Calibri"/>
          <w:sz w:val="24"/>
          <w:szCs w:val="24"/>
        </w:rPr>
        <w:t>l memo is found in A</w:t>
      </w:r>
      <w:r w:rsidR="00674FF4">
        <w:rPr>
          <w:rFonts w:ascii="Calibri" w:hAnsi="Calibri" w:cs="Calibri"/>
          <w:sz w:val="24"/>
          <w:szCs w:val="24"/>
        </w:rPr>
        <w:t>ppendix C</w:t>
      </w:r>
      <w:r w:rsidRPr="00805849" w:rsidR="008A541E">
        <w:rPr>
          <w:rFonts w:ascii="Calibri" w:hAnsi="Calibri" w:cs="Calibri"/>
          <w:sz w:val="24"/>
          <w:szCs w:val="24"/>
        </w:rPr>
        <w:t>.</w:t>
      </w:r>
    </w:p>
    <w:p w:rsidRPr="00805849" w:rsidR="00876288" w:rsidP="00805849" w:rsidRDefault="00876288" w14:paraId="7DF15D43" w14:textId="77777777">
      <w:pPr>
        <w:spacing w:after="0" w:line="276" w:lineRule="auto"/>
        <w:jc w:val="both"/>
        <w:rPr>
          <w:rFonts w:ascii="Calibri" w:hAnsi="Calibri" w:cs="Calibri"/>
          <w:sz w:val="24"/>
          <w:szCs w:val="24"/>
        </w:rPr>
      </w:pPr>
    </w:p>
    <w:p w:rsidRPr="00E62B8B" w:rsidR="00A951B7" w:rsidP="00805849" w:rsidRDefault="00A951B7" w14:paraId="56F32DEA" w14:textId="1A570F3A">
      <w:pPr>
        <w:pStyle w:val="BodyText"/>
        <w:spacing w:before="157"/>
        <w:ind w:right="118"/>
        <w:jc w:val="both"/>
        <w:rPr>
          <w:rFonts w:ascii="Calibri" w:hAnsi="Calibri" w:cs="Calibri"/>
        </w:rPr>
      </w:pPr>
      <w:r w:rsidRPr="00805849">
        <w:rPr>
          <w:rFonts w:ascii="Calibri" w:hAnsi="Calibri" w:cs="Calibri"/>
        </w:rPr>
        <w:t>CDC will collect basic demographic information including sex, race/</w:t>
      </w:r>
      <w:r w:rsidRPr="00A951B7">
        <w:rPr>
          <w:rFonts w:ascii="Calibri" w:hAnsi="Calibri" w:cs="Calibri"/>
        </w:rPr>
        <w:t xml:space="preserve">ethnicity, and household income by strata because these data are needed to describe the study sample and assess generalizability to the population of interest. This research study’s subject matter (i.e., emergency supply kit preparedness and use) is framed within the context of the disaster experience. The study will collect potentially sensitive and identifiable information about individual participants that could place them at risk if inadvertently disclosed outside the research. The study will collect a 4‐item mental health screener to help show a relationship between disaster exposure and mental health status. It will also include a series of questions </w:t>
      </w:r>
      <w:r w:rsidRPr="00A951B7">
        <w:rPr>
          <w:rFonts w:ascii="Calibri" w:hAnsi="Calibri" w:cs="Calibri"/>
        </w:rPr>
        <w:lastRenderedPageBreak/>
        <w:t xml:space="preserve">regarding </w:t>
      </w:r>
      <w:r w:rsidRPr="00A951B7">
        <w:rPr>
          <w:rFonts w:ascii="Calibri" w:hAnsi="Calibri" w:cs="Calibri"/>
          <w:i/>
        </w:rPr>
        <w:t xml:space="preserve">any </w:t>
      </w:r>
      <w:r w:rsidRPr="00A951B7">
        <w:rPr>
          <w:rFonts w:ascii="Calibri" w:hAnsi="Calibri" w:cs="Calibri"/>
        </w:rPr>
        <w:t>household member’s prior health condition. The data are necessary for the purpose of evaluating whether the preparation and use of emergency supply kits is associated with less reporting of adverse events. These questions are commonly asked immediately after a disaster and therefore we do not anticipate any additional risk. The benefit of this information will outweigh any potential risk as they will help guide emergency plans and help better</w:t>
      </w:r>
      <w:r w:rsidRPr="00A951B7">
        <w:rPr>
          <w:rFonts w:ascii="Calibri" w:hAnsi="Calibri" w:cs="Calibri"/>
          <w:spacing w:val="-37"/>
        </w:rPr>
        <w:t xml:space="preserve"> </w:t>
      </w:r>
      <w:r w:rsidRPr="00A951B7">
        <w:rPr>
          <w:rFonts w:ascii="Calibri" w:hAnsi="Calibri" w:cs="Calibri"/>
        </w:rPr>
        <w:t>prepare communities for future disasters. If we do not collect these data, health departments and other organizations involved in disaster preparedness will be unable to refine guidance for the public on how to best prepare their households for</w:t>
      </w:r>
      <w:r w:rsidRPr="00A951B7">
        <w:rPr>
          <w:rFonts w:ascii="Calibri" w:hAnsi="Calibri" w:cs="Calibri"/>
          <w:spacing w:val="-2"/>
        </w:rPr>
        <w:t xml:space="preserve"> </w:t>
      </w:r>
      <w:r w:rsidRPr="00A951B7">
        <w:rPr>
          <w:rFonts w:ascii="Calibri" w:hAnsi="Calibri" w:cs="Calibri"/>
        </w:rPr>
        <w:t>disasters.</w:t>
      </w:r>
    </w:p>
    <w:p w:rsidR="00876288" w:rsidP="00A26009" w:rsidRDefault="00E62B8B" w14:paraId="57711526" w14:textId="3BF2F61A">
      <w:pPr>
        <w:spacing w:after="0" w:line="276" w:lineRule="auto"/>
        <w:jc w:val="both"/>
        <w:rPr>
          <w:sz w:val="24"/>
          <w:szCs w:val="24"/>
        </w:rPr>
      </w:pPr>
      <w:r w:rsidRPr="00E62B8B">
        <w:rPr>
          <w:sz w:val="24"/>
          <w:szCs w:val="24"/>
        </w:rPr>
        <w:t>Questions about sensitive information associated with a participant’s illegal activity, genetic information, sexual behaviors, employers/coworkers, or any other topics that could put the participant at risk for criminal liability or social stigmatization are not included in the instrument.</w:t>
      </w:r>
      <w:r w:rsidR="00EA42B7">
        <w:rPr>
          <w:sz w:val="24"/>
          <w:szCs w:val="24"/>
        </w:rPr>
        <w:t xml:space="preserve"> The survey instrument includes the following sensitive information related to</w:t>
      </w:r>
      <w:r w:rsidR="004938BC">
        <w:rPr>
          <w:sz w:val="24"/>
          <w:szCs w:val="24"/>
        </w:rPr>
        <w:t xml:space="preserve"> </w:t>
      </w:r>
      <w:r w:rsidR="0066146A">
        <w:rPr>
          <w:sz w:val="24"/>
          <w:szCs w:val="24"/>
        </w:rPr>
        <w:t>medical information</w:t>
      </w:r>
      <w:r w:rsidR="004938BC">
        <w:rPr>
          <w:sz w:val="24"/>
          <w:szCs w:val="24"/>
        </w:rPr>
        <w:t>:</w:t>
      </w:r>
    </w:p>
    <w:p w:rsidR="00E62B8B" w:rsidP="00A26009" w:rsidRDefault="00E62B8B" w14:paraId="1B97D9B7" w14:textId="19A77BAA">
      <w:pPr>
        <w:pStyle w:val="ListParagraph"/>
        <w:numPr>
          <w:ilvl w:val="0"/>
          <w:numId w:val="21"/>
        </w:numPr>
        <w:spacing w:after="0" w:line="276" w:lineRule="auto"/>
        <w:ind w:right="450"/>
        <w:rPr>
          <w:sz w:val="24"/>
          <w:szCs w:val="24"/>
        </w:rPr>
      </w:pPr>
      <w:r w:rsidRPr="00E62B8B">
        <w:rPr>
          <w:sz w:val="24"/>
          <w:szCs w:val="24"/>
        </w:rPr>
        <w:t>The survey includes a 4‐item mental health screener. Inclusion of these items is predicated on research that show a relationship between disaster exposure and mental health status.</w:t>
      </w:r>
    </w:p>
    <w:p w:rsidR="00E62B8B" w:rsidP="00A26009" w:rsidRDefault="00E62B8B" w14:paraId="2B880571" w14:textId="327FF7CD">
      <w:pPr>
        <w:pStyle w:val="ListParagraph"/>
        <w:numPr>
          <w:ilvl w:val="0"/>
          <w:numId w:val="21"/>
        </w:numPr>
        <w:spacing w:after="0" w:line="276" w:lineRule="auto"/>
        <w:ind w:right="450"/>
        <w:jc w:val="both"/>
        <w:rPr>
          <w:sz w:val="24"/>
          <w:szCs w:val="24"/>
        </w:rPr>
      </w:pPr>
      <w:r w:rsidRPr="00E62B8B">
        <w:rPr>
          <w:sz w:val="24"/>
          <w:szCs w:val="24"/>
        </w:rPr>
        <w:t xml:space="preserve">The survey includes a series of questions on whether any household member had a health condition prior to the disaster and whether health‐related issues were experienced by any household members during or shortly after the disaster (e.g., worsening of symptoms, need to call 911, need to receive medical care). </w:t>
      </w:r>
    </w:p>
    <w:p w:rsidRPr="00E62B8B" w:rsidR="00E62B8B" w:rsidP="00A26009" w:rsidRDefault="00E62B8B" w14:paraId="2973A244" w14:textId="599A24C1">
      <w:pPr>
        <w:spacing w:after="0" w:line="276" w:lineRule="auto"/>
        <w:jc w:val="both"/>
        <w:rPr>
          <w:sz w:val="24"/>
          <w:szCs w:val="24"/>
        </w:rPr>
      </w:pPr>
      <w:r>
        <w:rPr>
          <w:sz w:val="24"/>
          <w:szCs w:val="24"/>
        </w:rPr>
        <w:t xml:space="preserve">Again, these data </w:t>
      </w:r>
      <w:r w:rsidRPr="00E62B8B">
        <w:rPr>
          <w:sz w:val="24"/>
          <w:szCs w:val="24"/>
        </w:rPr>
        <w:t>are necessary for the purpose of evaluating whether the preparation and use of emergency supply kits is associated with less reporting of adverse events.</w:t>
      </w:r>
    </w:p>
    <w:p w:rsidRPr="00E62B8B" w:rsidR="00876288" w:rsidP="00A26009" w:rsidRDefault="00876288" w14:paraId="36285245" w14:textId="77777777">
      <w:pPr>
        <w:spacing w:after="0" w:line="276" w:lineRule="auto"/>
        <w:rPr>
          <w:sz w:val="24"/>
          <w:szCs w:val="24"/>
        </w:rPr>
      </w:pPr>
    </w:p>
    <w:p w:rsidR="008A541E" w:rsidP="00A26009" w:rsidRDefault="008A541E" w14:paraId="6AA4F464" w14:textId="479BF9E5">
      <w:pPr>
        <w:spacing w:after="0" w:line="276" w:lineRule="auto"/>
        <w:jc w:val="both"/>
        <w:rPr>
          <w:sz w:val="24"/>
          <w:szCs w:val="24"/>
        </w:rPr>
      </w:pPr>
      <w:r>
        <w:rPr>
          <w:sz w:val="24"/>
          <w:szCs w:val="24"/>
        </w:rPr>
        <w:t>Survey content areas are summarized in Table A.11.1.</w:t>
      </w:r>
      <w:r w:rsidR="00E62B8B">
        <w:rPr>
          <w:sz w:val="24"/>
          <w:szCs w:val="24"/>
        </w:rPr>
        <w:t xml:space="preserve"> </w:t>
      </w:r>
      <w:r>
        <w:rPr>
          <w:sz w:val="24"/>
          <w:szCs w:val="24"/>
        </w:rPr>
        <w:t xml:space="preserve">Attachment </w:t>
      </w:r>
      <w:r w:rsidR="00FA0331">
        <w:rPr>
          <w:sz w:val="24"/>
          <w:szCs w:val="24"/>
        </w:rPr>
        <w:t>1</w:t>
      </w:r>
      <w:r>
        <w:rPr>
          <w:sz w:val="24"/>
          <w:szCs w:val="24"/>
        </w:rPr>
        <w:t xml:space="preserve"> is the </w:t>
      </w:r>
      <w:r w:rsidR="00876288">
        <w:rPr>
          <w:sz w:val="24"/>
          <w:szCs w:val="24"/>
        </w:rPr>
        <w:t>paper survey instrument</w:t>
      </w:r>
      <w:r w:rsidR="007D2041">
        <w:rPr>
          <w:sz w:val="24"/>
          <w:szCs w:val="24"/>
        </w:rPr>
        <w:t xml:space="preserve"> and </w:t>
      </w:r>
      <w:r w:rsidR="00CF4444">
        <w:rPr>
          <w:sz w:val="24"/>
          <w:szCs w:val="24"/>
        </w:rPr>
        <w:t xml:space="preserve">Attachment </w:t>
      </w:r>
      <w:r w:rsidR="00FA0331">
        <w:rPr>
          <w:sz w:val="24"/>
          <w:szCs w:val="24"/>
        </w:rPr>
        <w:t>2</w:t>
      </w:r>
      <w:r w:rsidR="007D2041">
        <w:rPr>
          <w:sz w:val="24"/>
          <w:szCs w:val="24"/>
        </w:rPr>
        <w:t xml:space="preserve"> is the web-based survey</w:t>
      </w:r>
      <w:r w:rsidR="00876288">
        <w:rPr>
          <w:sz w:val="24"/>
          <w:szCs w:val="24"/>
        </w:rPr>
        <w:t xml:space="preserve">. </w:t>
      </w:r>
      <w:r w:rsidR="00222798">
        <w:rPr>
          <w:sz w:val="24"/>
          <w:szCs w:val="24"/>
        </w:rPr>
        <w:t xml:space="preserve">The focus group protocol with question content areas is included in Attachment </w:t>
      </w:r>
      <w:r w:rsidR="00FA0331">
        <w:rPr>
          <w:sz w:val="24"/>
          <w:szCs w:val="24"/>
        </w:rPr>
        <w:t>7</w:t>
      </w:r>
      <w:r w:rsidR="00CF4444">
        <w:rPr>
          <w:sz w:val="24"/>
          <w:szCs w:val="24"/>
        </w:rPr>
        <w:t xml:space="preserve"> and Attachment </w:t>
      </w:r>
      <w:r w:rsidR="00FA0331">
        <w:rPr>
          <w:sz w:val="24"/>
          <w:szCs w:val="24"/>
        </w:rPr>
        <w:t>7D</w:t>
      </w:r>
      <w:r w:rsidR="00CF4444">
        <w:rPr>
          <w:sz w:val="24"/>
          <w:szCs w:val="24"/>
        </w:rPr>
        <w:t xml:space="preserve"> provides the focus group discussion guide</w:t>
      </w:r>
      <w:r w:rsidR="007D2041">
        <w:rPr>
          <w:sz w:val="24"/>
          <w:szCs w:val="24"/>
        </w:rPr>
        <w:t>.</w:t>
      </w:r>
    </w:p>
    <w:p w:rsidR="00142B73" w:rsidP="00876288" w:rsidRDefault="00142B73" w14:paraId="08685EE2" w14:textId="270CB8DA">
      <w:pPr>
        <w:spacing w:after="0" w:line="240" w:lineRule="auto"/>
        <w:rPr>
          <w:sz w:val="24"/>
          <w:szCs w:val="24"/>
        </w:rPr>
      </w:pPr>
    </w:p>
    <w:p w:rsidR="00142B73" w:rsidP="00876288" w:rsidRDefault="00142B73" w14:paraId="2E1C583E" w14:textId="35EA08CB">
      <w:pPr>
        <w:spacing w:after="0" w:line="240" w:lineRule="auto"/>
        <w:rPr>
          <w:sz w:val="24"/>
          <w:szCs w:val="24"/>
        </w:rPr>
      </w:pPr>
      <w:r>
        <w:rPr>
          <w:sz w:val="24"/>
          <w:szCs w:val="24"/>
        </w:rPr>
        <w:t>Table A.11.1.  Survey Content Areas</w:t>
      </w:r>
    </w:p>
    <w:tbl>
      <w:tblPr>
        <w:tblStyle w:val="TableGrid"/>
        <w:tblW w:w="9270" w:type="dxa"/>
        <w:tblInd w:w="-5" w:type="dxa"/>
        <w:tblLayout w:type="fixed"/>
        <w:tblLook w:val="04A0" w:firstRow="1" w:lastRow="0" w:firstColumn="1" w:lastColumn="0" w:noHBand="0" w:noVBand="1"/>
      </w:tblPr>
      <w:tblGrid>
        <w:gridCol w:w="2160"/>
        <w:gridCol w:w="1710"/>
        <w:gridCol w:w="1710"/>
        <w:gridCol w:w="3690"/>
      </w:tblGrid>
      <w:tr w:rsidR="00D75BC3" w:rsidTr="00744E6F" w14:paraId="5CB09572" w14:textId="77777777">
        <w:tc>
          <w:tcPr>
            <w:tcW w:w="2160" w:type="dxa"/>
            <w:tcBorders>
              <w:top w:val="single" w:color="auto" w:sz="4" w:space="0"/>
              <w:left w:val="single" w:color="auto" w:sz="4" w:space="0"/>
              <w:bottom w:val="single" w:color="auto" w:sz="4" w:space="0"/>
              <w:right w:val="single" w:color="auto" w:sz="4" w:space="0"/>
            </w:tcBorders>
            <w:shd w:val="clear" w:color="auto" w:fill="4F81BD" w:themeFill="accent1"/>
            <w:vAlign w:val="center"/>
            <w:hideMark/>
          </w:tcPr>
          <w:p w:rsidR="00D75BC3" w:rsidP="0066146A" w:rsidRDefault="00D75BC3" w14:paraId="0F6A5B9D" w14:textId="6DB3DFF7">
            <w:pPr>
              <w:autoSpaceDE w:val="0"/>
              <w:autoSpaceDN w:val="0"/>
              <w:adjustRightInd w:val="0"/>
              <w:rPr>
                <w:rFonts w:cstheme="minorHAnsi"/>
                <w:sz w:val="24"/>
                <w:szCs w:val="24"/>
              </w:rPr>
            </w:pPr>
            <w:r>
              <w:rPr>
                <w:rFonts w:cstheme="minorHAnsi"/>
                <w:sz w:val="24"/>
                <w:szCs w:val="24"/>
              </w:rPr>
              <w:t>Content Area</w:t>
            </w:r>
          </w:p>
        </w:tc>
        <w:tc>
          <w:tcPr>
            <w:tcW w:w="1710" w:type="dxa"/>
            <w:tcBorders>
              <w:top w:val="single" w:color="auto" w:sz="4" w:space="0"/>
              <w:left w:val="single" w:color="auto" w:sz="4" w:space="0"/>
              <w:bottom w:val="single" w:color="auto" w:sz="4" w:space="0"/>
              <w:right w:val="single" w:color="auto" w:sz="4" w:space="0"/>
            </w:tcBorders>
            <w:shd w:val="clear" w:color="auto" w:fill="4F81BD" w:themeFill="accent1"/>
            <w:vAlign w:val="center"/>
            <w:hideMark/>
          </w:tcPr>
          <w:p w:rsidR="00D75BC3" w:rsidP="0066146A" w:rsidRDefault="00D75BC3" w14:paraId="7E495366" w14:textId="71EF843C">
            <w:pPr>
              <w:autoSpaceDE w:val="0"/>
              <w:autoSpaceDN w:val="0"/>
              <w:adjustRightInd w:val="0"/>
              <w:rPr>
                <w:rFonts w:cstheme="minorHAnsi"/>
                <w:sz w:val="24"/>
                <w:szCs w:val="24"/>
              </w:rPr>
            </w:pPr>
            <w:r>
              <w:rPr>
                <w:rFonts w:cstheme="minorHAnsi"/>
                <w:sz w:val="24"/>
                <w:szCs w:val="24"/>
              </w:rPr>
              <w:t># of Questions</w:t>
            </w:r>
          </w:p>
        </w:tc>
        <w:tc>
          <w:tcPr>
            <w:tcW w:w="1710" w:type="dxa"/>
            <w:tcBorders>
              <w:top w:val="single" w:color="auto" w:sz="4" w:space="0"/>
              <w:left w:val="single" w:color="auto" w:sz="4" w:space="0"/>
              <w:bottom w:val="single" w:color="auto" w:sz="4" w:space="0"/>
              <w:right w:val="single" w:color="auto" w:sz="4" w:space="0"/>
            </w:tcBorders>
            <w:shd w:val="clear" w:color="auto" w:fill="4F81BD" w:themeFill="accent1"/>
          </w:tcPr>
          <w:p w:rsidR="00D75BC3" w:rsidP="0066146A" w:rsidRDefault="006E4417" w14:paraId="0D2CACC4" w14:textId="213AB402">
            <w:pPr>
              <w:autoSpaceDE w:val="0"/>
              <w:autoSpaceDN w:val="0"/>
              <w:adjustRightInd w:val="0"/>
              <w:rPr>
                <w:rFonts w:cstheme="minorHAnsi"/>
                <w:sz w:val="24"/>
                <w:szCs w:val="24"/>
              </w:rPr>
            </w:pPr>
            <w:r>
              <w:rPr>
                <w:rFonts w:cstheme="minorHAnsi"/>
                <w:sz w:val="24"/>
                <w:szCs w:val="24"/>
              </w:rPr>
              <w:t>Question Type</w:t>
            </w:r>
          </w:p>
        </w:tc>
        <w:tc>
          <w:tcPr>
            <w:tcW w:w="3690" w:type="dxa"/>
            <w:tcBorders>
              <w:top w:val="single" w:color="auto" w:sz="4" w:space="0"/>
              <w:left w:val="single" w:color="auto" w:sz="4" w:space="0"/>
              <w:bottom w:val="single" w:color="auto" w:sz="4" w:space="0"/>
              <w:right w:val="single" w:color="auto" w:sz="4" w:space="0"/>
            </w:tcBorders>
            <w:shd w:val="clear" w:color="auto" w:fill="4F81BD" w:themeFill="accent1"/>
            <w:vAlign w:val="center"/>
            <w:hideMark/>
          </w:tcPr>
          <w:p w:rsidR="00D75BC3" w:rsidP="0066146A" w:rsidRDefault="00D75BC3" w14:paraId="5E116730" w14:textId="1AF03BA3">
            <w:pPr>
              <w:autoSpaceDE w:val="0"/>
              <w:autoSpaceDN w:val="0"/>
              <w:adjustRightInd w:val="0"/>
              <w:rPr>
                <w:rFonts w:cstheme="minorHAnsi"/>
                <w:sz w:val="24"/>
                <w:szCs w:val="24"/>
              </w:rPr>
            </w:pPr>
            <w:r>
              <w:rPr>
                <w:rFonts w:cstheme="minorHAnsi"/>
                <w:sz w:val="24"/>
                <w:szCs w:val="24"/>
              </w:rPr>
              <w:t>Analytical Purpose</w:t>
            </w:r>
          </w:p>
        </w:tc>
      </w:tr>
      <w:tr w:rsidR="00D75BC3" w:rsidTr="00744E6F" w14:paraId="6B83A19C" w14:textId="77777777">
        <w:tc>
          <w:tcPr>
            <w:tcW w:w="2160" w:type="dxa"/>
            <w:tcBorders>
              <w:top w:val="single" w:color="auto" w:sz="4" w:space="0"/>
              <w:left w:val="single" w:color="auto" w:sz="4" w:space="0"/>
              <w:bottom w:val="single" w:color="auto" w:sz="4" w:space="0"/>
              <w:right w:val="single" w:color="auto" w:sz="4" w:space="0"/>
            </w:tcBorders>
          </w:tcPr>
          <w:p w:rsidRPr="0066146A" w:rsidR="00D75BC3" w:rsidP="0066146A" w:rsidRDefault="00D75BC3" w14:paraId="3818E823" w14:textId="55997A87">
            <w:pPr>
              <w:autoSpaceDE w:val="0"/>
              <w:autoSpaceDN w:val="0"/>
              <w:adjustRightInd w:val="0"/>
              <w:rPr>
                <w:rFonts w:cstheme="minorHAnsi"/>
                <w:sz w:val="24"/>
                <w:szCs w:val="24"/>
              </w:rPr>
            </w:pPr>
            <w:r w:rsidRPr="0066146A">
              <w:rPr>
                <w:rFonts w:cstheme="minorHAnsi"/>
                <w:sz w:val="24"/>
                <w:szCs w:val="24"/>
              </w:rPr>
              <w:t>Screener</w:t>
            </w:r>
          </w:p>
        </w:tc>
        <w:tc>
          <w:tcPr>
            <w:tcW w:w="1710" w:type="dxa"/>
            <w:tcBorders>
              <w:top w:val="single" w:color="auto" w:sz="4" w:space="0"/>
              <w:left w:val="single" w:color="auto" w:sz="4" w:space="0"/>
              <w:bottom w:val="single" w:color="auto" w:sz="4" w:space="0"/>
              <w:right w:val="single" w:color="auto" w:sz="4" w:space="0"/>
            </w:tcBorders>
          </w:tcPr>
          <w:p w:rsidRPr="0066146A" w:rsidR="00D75BC3" w:rsidP="00C67D68" w:rsidRDefault="00D75BC3" w14:paraId="25BC490A" w14:textId="133C04F4">
            <w:pPr>
              <w:autoSpaceDE w:val="0"/>
              <w:autoSpaceDN w:val="0"/>
              <w:adjustRightInd w:val="0"/>
              <w:rPr>
                <w:rFonts w:cstheme="minorHAnsi"/>
                <w:sz w:val="24"/>
                <w:szCs w:val="24"/>
              </w:rPr>
            </w:pPr>
            <w:r>
              <w:rPr>
                <w:rFonts w:cstheme="minorHAnsi"/>
                <w:sz w:val="24"/>
                <w:szCs w:val="24"/>
              </w:rPr>
              <w:t>4</w:t>
            </w:r>
          </w:p>
        </w:tc>
        <w:tc>
          <w:tcPr>
            <w:tcW w:w="1710" w:type="dxa"/>
            <w:tcBorders>
              <w:top w:val="single" w:color="auto" w:sz="4" w:space="0"/>
              <w:left w:val="single" w:color="auto" w:sz="4" w:space="0"/>
              <w:bottom w:val="single" w:color="auto" w:sz="4" w:space="0"/>
              <w:right w:val="single" w:color="auto" w:sz="4" w:space="0"/>
            </w:tcBorders>
          </w:tcPr>
          <w:p w:rsidRPr="0066146A" w:rsidR="00D75BC3" w:rsidP="0066146A" w:rsidRDefault="006E4417" w14:paraId="60AE896C" w14:textId="213C3D13">
            <w:pPr>
              <w:autoSpaceDE w:val="0"/>
              <w:autoSpaceDN w:val="0"/>
              <w:adjustRightInd w:val="0"/>
              <w:rPr>
                <w:rFonts w:cstheme="minorHAnsi"/>
                <w:sz w:val="24"/>
                <w:szCs w:val="24"/>
              </w:rPr>
            </w:pPr>
            <w:r>
              <w:rPr>
                <w:rFonts w:cstheme="minorHAnsi"/>
                <w:sz w:val="24"/>
                <w:szCs w:val="24"/>
              </w:rPr>
              <w:t>Multiple choice</w:t>
            </w:r>
          </w:p>
        </w:tc>
        <w:tc>
          <w:tcPr>
            <w:tcW w:w="3690" w:type="dxa"/>
            <w:tcBorders>
              <w:top w:val="single" w:color="auto" w:sz="4" w:space="0"/>
              <w:left w:val="single" w:color="auto" w:sz="4" w:space="0"/>
              <w:bottom w:val="single" w:color="auto" w:sz="4" w:space="0"/>
              <w:right w:val="single" w:color="auto" w:sz="4" w:space="0"/>
            </w:tcBorders>
          </w:tcPr>
          <w:p w:rsidRPr="0066146A" w:rsidR="00D75BC3" w:rsidP="0066146A" w:rsidRDefault="00D75BC3" w14:paraId="250FD5A3" w14:textId="05EC98CC">
            <w:pPr>
              <w:autoSpaceDE w:val="0"/>
              <w:autoSpaceDN w:val="0"/>
              <w:adjustRightInd w:val="0"/>
              <w:rPr>
                <w:rFonts w:cstheme="minorHAnsi"/>
                <w:sz w:val="24"/>
                <w:szCs w:val="24"/>
              </w:rPr>
            </w:pPr>
            <w:r w:rsidRPr="0066146A">
              <w:rPr>
                <w:rFonts w:cstheme="minorHAnsi"/>
                <w:sz w:val="24"/>
                <w:szCs w:val="24"/>
              </w:rPr>
              <w:t>Ensures adult with knowledge of household experience completes survey and that selected household was exposed to disaster</w:t>
            </w:r>
          </w:p>
        </w:tc>
      </w:tr>
      <w:tr w:rsidR="00D75BC3" w:rsidTr="00744E6F" w14:paraId="5004BE05" w14:textId="77777777">
        <w:tc>
          <w:tcPr>
            <w:tcW w:w="2160" w:type="dxa"/>
            <w:tcBorders>
              <w:top w:val="single" w:color="auto" w:sz="4" w:space="0"/>
              <w:left w:val="single" w:color="auto" w:sz="4" w:space="0"/>
              <w:bottom w:val="single" w:color="auto" w:sz="4" w:space="0"/>
              <w:right w:val="single" w:color="auto" w:sz="4" w:space="0"/>
            </w:tcBorders>
          </w:tcPr>
          <w:p w:rsidRPr="00C67D68" w:rsidR="00D75BC3" w:rsidP="00C67D68" w:rsidRDefault="00D75BC3" w14:paraId="769E6415" w14:textId="433516EC">
            <w:pPr>
              <w:autoSpaceDE w:val="0"/>
              <w:autoSpaceDN w:val="0"/>
              <w:adjustRightInd w:val="0"/>
              <w:rPr>
                <w:rFonts w:cstheme="minorHAnsi"/>
                <w:sz w:val="24"/>
                <w:szCs w:val="24"/>
              </w:rPr>
            </w:pPr>
            <w:r w:rsidRPr="00C67D68">
              <w:rPr>
                <w:rFonts w:cstheme="minorHAnsi"/>
                <w:sz w:val="24"/>
                <w:szCs w:val="24"/>
              </w:rPr>
              <w:t>Household type</w:t>
            </w:r>
          </w:p>
        </w:tc>
        <w:tc>
          <w:tcPr>
            <w:tcW w:w="1710" w:type="dxa"/>
            <w:tcBorders>
              <w:top w:val="single" w:color="auto" w:sz="4" w:space="0"/>
              <w:left w:val="single" w:color="auto" w:sz="4" w:space="0"/>
              <w:bottom w:val="single" w:color="auto" w:sz="4" w:space="0"/>
              <w:right w:val="single" w:color="auto" w:sz="4" w:space="0"/>
            </w:tcBorders>
          </w:tcPr>
          <w:p w:rsidR="00D75BC3" w:rsidP="00C67D68" w:rsidRDefault="00D75BC3" w14:paraId="357272DD" w14:textId="7EF59618">
            <w:pPr>
              <w:autoSpaceDE w:val="0"/>
              <w:autoSpaceDN w:val="0"/>
              <w:adjustRightInd w:val="0"/>
              <w:rPr>
                <w:rFonts w:cstheme="minorHAnsi"/>
                <w:sz w:val="24"/>
                <w:szCs w:val="24"/>
                <w:highlight w:val="yellow"/>
              </w:rPr>
            </w:pPr>
            <w:r w:rsidRPr="00BC3E68">
              <w:rPr>
                <w:rFonts w:cstheme="minorHAnsi"/>
                <w:sz w:val="24"/>
                <w:szCs w:val="24"/>
              </w:rPr>
              <w:t>4</w:t>
            </w:r>
          </w:p>
        </w:tc>
        <w:tc>
          <w:tcPr>
            <w:tcW w:w="1710" w:type="dxa"/>
            <w:tcBorders>
              <w:top w:val="single" w:color="auto" w:sz="4" w:space="0"/>
              <w:left w:val="single" w:color="auto" w:sz="4" w:space="0"/>
              <w:bottom w:val="single" w:color="auto" w:sz="4" w:space="0"/>
              <w:right w:val="single" w:color="auto" w:sz="4" w:space="0"/>
            </w:tcBorders>
          </w:tcPr>
          <w:p w:rsidRPr="00C67D68" w:rsidR="00D75BC3" w:rsidP="00C67D68" w:rsidRDefault="006E4417" w14:paraId="41EC405F" w14:textId="58D13266">
            <w:pPr>
              <w:autoSpaceDE w:val="0"/>
              <w:autoSpaceDN w:val="0"/>
              <w:adjustRightInd w:val="0"/>
              <w:rPr>
                <w:rFonts w:cstheme="minorHAnsi"/>
                <w:sz w:val="24"/>
                <w:szCs w:val="24"/>
              </w:rPr>
            </w:pPr>
            <w:r>
              <w:rPr>
                <w:rFonts w:cstheme="minorHAnsi"/>
                <w:sz w:val="24"/>
                <w:szCs w:val="24"/>
              </w:rPr>
              <w:t>Multiple choice</w:t>
            </w:r>
          </w:p>
        </w:tc>
        <w:tc>
          <w:tcPr>
            <w:tcW w:w="3690" w:type="dxa"/>
            <w:tcBorders>
              <w:top w:val="single" w:color="auto" w:sz="4" w:space="0"/>
              <w:left w:val="single" w:color="auto" w:sz="4" w:space="0"/>
              <w:bottom w:val="single" w:color="auto" w:sz="4" w:space="0"/>
              <w:right w:val="single" w:color="auto" w:sz="4" w:space="0"/>
            </w:tcBorders>
          </w:tcPr>
          <w:p w:rsidRPr="00C67D68" w:rsidR="00D75BC3" w:rsidP="00C67D68" w:rsidRDefault="00D75BC3" w14:paraId="02AD5E3B" w14:textId="22DAE0BC">
            <w:pPr>
              <w:autoSpaceDE w:val="0"/>
              <w:autoSpaceDN w:val="0"/>
              <w:adjustRightInd w:val="0"/>
              <w:rPr>
                <w:rFonts w:cstheme="minorHAnsi"/>
                <w:sz w:val="24"/>
                <w:szCs w:val="24"/>
              </w:rPr>
            </w:pPr>
            <w:r w:rsidRPr="00C67D68">
              <w:rPr>
                <w:rFonts w:cstheme="minorHAnsi"/>
                <w:sz w:val="24"/>
                <w:szCs w:val="24"/>
              </w:rPr>
              <w:t>Characterizes household size and housing type</w:t>
            </w:r>
          </w:p>
        </w:tc>
      </w:tr>
      <w:tr w:rsidR="00D75BC3" w:rsidTr="00744E6F" w14:paraId="0202FADD" w14:textId="77777777">
        <w:tc>
          <w:tcPr>
            <w:tcW w:w="2160" w:type="dxa"/>
            <w:tcBorders>
              <w:top w:val="single" w:color="auto" w:sz="4" w:space="0"/>
              <w:left w:val="single" w:color="auto" w:sz="4" w:space="0"/>
              <w:bottom w:val="single" w:color="auto" w:sz="4" w:space="0"/>
              <w:right w:val="single" w:color="auto" w:sz="4" w:space="0"/>
            </w:tcBorders>
          </w:tcPr>
          <w:p w:rsidRPr="00C67D68" w:rsidR="00D75BC3" w:rsidP="00C67D68" w:rsidRDefault="00D75BC3" w14:paraId="50E5D900" w14:textId="7DD9B961">
            <w:pPr>
              <w:autoSpaceDE w:val="0"/>
              <w:autoSpaceDN w:val="0"/>
              <w:adjustRightInd w:val="0"/>
              <w:rPr>
                <w:rFonts w:cstheme="minorHAnsi"/>
                <w:sz w:val="24"/>
                <w:szCs w:val="24"/>
              </w:rPr>
            </w:pPr>
            <w:r w:rsidRPr="00C67D68">
              <w:rPr>
                <w:rFonts w:cstheme="minorHAnsi"/>
                <w:sz w:val="24"/>
                <w:szCs w:val="24"/>
              </w:rPr>
              <w:lastRenderedPageBreak/>
              <w:t>Disaster impact on home</w:t>
            </w:r>
          </w:p>
        </w:tc>
        <w:tc>
          <w:tcPr>
            <w:tcW w:w="1710" w:type="dxa"/>
            <w:tcBorders>
              <w:top w:val="single" w:color="auto" w:sz="4" w:space="0"/>
              <w:left w:val="single" w:color="auto" w:sz="4" w:space="0"/>
              <w:bottom w:val="single" w:color="auto" w:sz="4" w:space="0"/>
              <w:right w:val="single" w:color="auto" w:sz="4" w:space="0"/>
            </w:tcBorders>
          </w:tcPr>
          <w:p w:rsidRPr="00BC3E68" w:rsidR="00D75BC3" w:rsidP="00C67D68" w:rsidRDefault="00D75BC3" w14:paraId="1CC2BB0E" w14:textId="72177333">
            <w:pPr>
              <w:autoSpaceDE w:val="0"/>
              <w:autoSpaceDN w:val="0"/>
              <w:adjustRightInd w:val="0"/>
              <w:rPr>
                <w:rFonts w:cstheme="minorHAnsi"/>
                <w:sz w:val="24"/>
                <w:szCs w:val="24"/>
              </w:rPr>
            </w:pPr>
            <w:r w:rsidRPr="00BC3E68">
              <w:rPr>
                <w:rFonts w:cstheme="minorHAnsi"/>
                <w:sz w:val="24"/>
                <w:szCs w:val="24"/>
              </w:rPr>
              <w:t>6</w:t>
            </w:r>
          </w:p>
        </w:tc>
        <w:tc>
          <w:tcPr>
            <w:tcW w:w="1710" w:type="dxa"/>
            <w:tcBorders>
              <w:top w:val="single" w:color="auto" w:sz="4" w:space="0"/>
              <w:left w:val="single" w:color="auto" w:sz="4" w:space="0"/>
              <w:bottom w:val="single" w:color="auto" w:sz="4" w:space="0"/>
              <w:right w:val="single" w:color="auto" w:sz="4" w:space="0"/>
            </w:tcBorders>
          </w:tcPr>
          <w:p w:rsidR="00D75BC3" w:rsidP="00BD0FD6" w:rsidRDefault="006E4417" w14:paraId="68551C75" w14:textId="6C876877">
            <w:pPr>
              <w:autoSpaceDE w:val="0"/>
              <w:autoSpaceDN w:val="0"/>
              <w:adjustRightInd w:val="0"/>
              <w:rPr>
                <w:rFonts w:cstheme="minorHAnsi"/>
                <w:sz w:val="24"/>
                <w:szCs w:val="24"/>
              </w:rPr>
            </w:pPr>
            <w:r>
              <w:rPr>
                <w:rFonts w:cstheme="minorHAnsi"/>
                <w:sz w:val="24"/>
                <w:szCs w:val="24"/>
              </w:rPr>
              <w:t>Multiple choice</w:t>
            </w:r>
          </w:p>
        </w:tc>
        <w:tc>
          <w:tcPr>
            <w:tcW w:w="3690" w:type="dxa"/>
            <w:tcBorders>
              <w:top w:val="single" w:color="auto" w:sz="4" w:space="0"/>
              <w:left w:val="single" w:color="auto" w:sz="4" w:space="0"/>
              <w:bottom w:val="single" w:color="auto" w:sz="4" w:space="0"/>
              <w:right w:val="single" w:color="auto" w:sz="4" w:space="0"/>
            </w:tcBorders>
          </w:tcPr>
          <w:p w:rsidRPr="00C67D68" w:rsidR="00D75BC3" w:rsidP="00BD0FD6" w:rsidRDefault="00D75BC3" w14:paraId="758ECAB2" w14:textId="1F6E5F92">
            <w:pPr>
              <w:autoSpaceDE w:val="0"/>
              <w:autoSpaceDN w:val="0"/>
              <w:adjustRightInd w:val="0"/>
              <w:rPr>
                <w:rFonts w:cstheme="minorHAnsi"/>
                <w:sz w:val="24"/>
                <w:szCs w:val="24"/>
              </w:rPr>
            </w:pPr>
            <w:r>
              <w:rPr>
                <w:rFonts w:cstheme="minorHAnsi"/>
                <w:sz w:val="24"/>
                <w:szCs w:val="24"/>
              </w:rPr>
              <w:t>Determines level of damage and loss of services to household during and shortly after disaster</w:t>
            </w:r>
          </w:p>
        </w:tc>
      </w:tr>
      <w:tr w:rsidR="00D75BC3" w:rsidTr="00744E6F" w14:paraId="0A963D53" w14:textId="77777777">
        <w:tc>
          <w:tcPr>
            <w:tcW w:w="2160" w:type="dxa"/>
            <w:tcBorders>
              <w:top w:val="single" w:color="auto" w:sz="4" w:space="0"/>
              <w:left w:val="single" w:color="auto" w:sz="4" w:space="0"/>
              <w:bottom w:val="single" w:color="auto" w:sz="4" w:space="0"/>
              <w:right w:val="single" w:color="auto" w:sz="4" w:space="0"/>
            </w:tcBorders>
          </w:tcPr>
          <w:p w:rsidRPr="00C67D68" w:rsidR="00D75BC3" w:rsidP="00C67D68" w:rsidRDefault="00D75BC3" w14:paraId="34409CB7" w14:textId="3B687ADF">
            <w:pPr>
              <w:autoSpaceDE w:val="0"/>
              <w:autoSpaceDN w:val="0"/>
              <w:adjustRightInd w:val="0"/>
              <w:rPr>
                <w:rFonts w:cstheme="minorHAnsi"/>
                <w:sz w:val="24"/>
                <w:szCs w:val="24"/>
              </w:rPr>
            </w:pPr>
            <w:r w:rsidRPr="00C67D68">
              <w:rPr>
                <w:rFonts w:cstheme="minorHAnsi"/>
                <w:sz w:val="24"/>
                <w:szCs w:val="24"/>
              </w:rPr>
              <w:t>Household needs</w:t>
            </w:r>
          </w:p>
        </w:tc>
        <w:tc>
          <w:tcPr>
            <w:tcW w:w="1710" w:type="dxa"/>
            <w:tcBorders>
              <w:top w:val="single" w:color="auto" w:sz="4" w:space="0"/>
              <w:left w:val="single" w:color="auto" w:sz="4" w:space="0"/>
              <w:bottom w:val="single" w:color="auto" w:sz="4" w:space="0"/>
              <w:right w:val="single" w:color="auto" w:sz="4" w:space="0"/>
            </w:tcBorders>
          </w:tcPr>
          <w:p w:rsidR="00D75BC3" w:rsidP="00C67D68" w:rsidRDefault="00D75BC3" w14:paraId="2DC8F505" w14:textId="7168ECE6">
            <w:pPr>
              <w:autoSpaceDE w:val="0"/>
              <w:autoSpaceDN w:val="0"/>
              <w:adjustRightInd w:val="0"/>
              <w:rPr>
                <w:rFonts w:cstheme="minorHAnsi"/>
                <w:sz w:val="24"/>
                <w:szCs w:val="24"/>
                <w:highlight w:val="yellow"/>
              </w:rPr>
            </w:pPr>
            <w:r w:rsidRPr="00017D2C">
              <w:rPr>
                <w:rFonts w:cstheme="minorHAnsi"/>
                <w:sz w:val="24"/>
                <w:szCs w:val="24"/>
              </w:rPr>
              <w:t>5</w:t>
            </w:r>
          </w:p>
        </w:tc>
        <w:tc>
          <w:tcPr>
            <w:tcW w:w="1710" w:type="dxa"/>
            <w:tcBorders>
              <w:top w:val="single" w:color="auto" w:sz="4" w:space="0"/>
              <w:left w:val="single" w:color="auto" w:sz="4" w:space="0"/>
              <w:bottom w:val="single" w:color="auto" w:sz="4" w:space="0"/>
              <w:right w:val="single" w:color="auto" w:sz="4" w:space="0"/>
            </w:tcBorders>
          </w:tcPr>
          <w:p w:rsidR="00D75BC3" w:rsidP="00BD0FD6" w:rsidRDefault="006E4417" w14:paraId="20A3C44D" w14:textId="21BF8F46">
            <w:pPr>
              <w:autoSpaceDE w:val="0"/>
              <w:autoSpaceDN w:val="0"/>
              <w:adjustRightInd w:val="0"/>
              <w:rPr>
                <w:rFonts w:cstheme="minorHAnsi"/>
                <w:sz w:val="24"/>
                <w:szCs w:val="24"/>
              </w:rPr>
            </w:pPr>
            <w:r>
              <w:rPr>
                <w:rFonts w:cstheme="minorHAnsi"/>
                <w:sz w:val="24"/>
                <w:szCs w:val="24"/>
              </w:rPr>
              <w:t>Multiple choice</w:t>
            </w:r>
          </w:p>
        </w:tc>
        <w:tc>
          <w:tcPr>
            <w:tcW w:w="3690" w:type="dxa"/>
            <w:tcBorders>
              <w:top w:val="single" w:color="auto" w:sz="4" w:space="0"/>
              <w:left w:val="single" w:color="auto" w:sz="4" w:space="0"/>
              <w:bottom w:val="single" w:color="auto" w:sz="4" w:space="0"/>
              <w:right w:val="single" w:color="auto" w:sz="4" w:space="0"/>
            </w:tcBorders>
          </w:tcPr>
          <w:p w:rsidRPr="00C67D68" w:rsidR="00D75BC3" w:rsidP="00BD0FD6" w:rsidRDefault="00D75BC3" w14:paraId="116C80CF" w14:textId="2431AC17">
            <w:pPr>
              <w:autoSpaceDE w:val="0"/>
              <w:autoSpaceDN w:val="0"/>
              <w:adjustRightInd w:val="0"/>
              <w:rPr>
                <w:rFonts w:cstheme="minorHAnsi"/>
                <w:sz w:val="24"/>
                <w:szCs w:val="24"/>
              </w:rPr>
            </w:pPr>
            <w:r>
              <w:rPr>
                <w:rFonts w:cstheme="minorHAnsi"/>
                <w:sz w:val="24"/>
                <w:szCs w:val="24"/>
              </w:rPr>
              <w:t>Collects information on items that were needed and/or available to household members at the time of the disaster</w:t>
            </w:r>
          </w:p>
        </w:tc>
      </w:tr>
      <w:tr w:rsidR="00D75BC3" w:rsidTr="00744E6F" w14:paraId="74DA57F6" w14:textId="77777777">
        <w:tc>
          <w:tcPr>
            <w:tcW w:w="2160" w:type="dxa"/>
            <w:tcBorders>
              <w:top w:val="single" w:color="auto" w:sz="4" w:space="0"/>
              <w:left w:val="single" w:color="auto" w:sz="4" w:space="0"/>
              <w:bottom w:val="single" w:color="auto" w:sz="4" w:space="0"/>
              <w:right w:val="single" w:color="auto" w:sz="4" w:space="0"/>
            </w:tcBorders>
          </w:tcPr>
          <w:p w:rsidRPr="00C67D68" w:rsidR="00D75BC3" w:rsidP="00C67D68" w:rsidRDefault="00D75BC3" w14:paraId="40BB4E80" w14:textId="35182B8D">
            <w:pPr>
              <w:autoSpaceDE w:val="0"/>
              <w:autoSpaceDN w:val="0"/>
              <w:adjustRightInd w:val="0"/>
              <w:rPr>
                <w:rFonts w:cstheme="minorHAnsi"/>
                <w:sz w:val="24"/>
                <w:szCs w:val="24"/>
              </w:rPr>
            </w:pPr>
            <w:r w:rsidRPr="00C67D68">
              <w:rPr>
                <w:rFonts w:cstheme="minorHAnsi"/>
                <w:sz w:val="24"/>
                <w:szCs w:val="24"/>
              </w:rPr>
              <w:t>Evacuation</w:t>
            </w:r>
          </w:p>
        </w:tc>
        <w:tc>
          <w:tcPr>
            <w:tcW w:w="1710" w:type="dxa"/>
            <w:tcBorders>
              <w:top w:val="single" w:color="auto" w:sz="4" w:space="0"/>
              <w:left w:val="single" w:color="auto" w:sz="4" w:space="0"/>
              <w:bottom w:val="single" w:color="auto" w:sz="4" w:space="0"/>
              <w:right w:val="single" w:color="auto" w:sz="4" w:space="0"/>
            </w:tcBorders>
          </w:tcPr>
          <w:p w:rsidR="00D75BC3" w:rsidP="00C67D68" w:rsidRDefault="00D75BC3" w14:paraId="6CBF6AED" w14:textId="34EA062E">
            <w:pPr>
              <w:autoSpaceDE w:val="0"/>
              <w:autoSpaceDN w:val="0"/>
              <w:adjustRightInd w:val="0"/>
              <w:rPr>
                <w:rFonts w:cstheme="minorHAnsi"/>
                <w:sz w:val="24"/>
                <w:szCs w:val="24"/>
                <w:highlight w:val="yellow"/>
              </w:rPr>
            </w:pPr>
            <w:r w:rsidRPr="00017D2C">
              <w:rPr>
                <w:rFonts w:cstheme="minorHAnsi"/>
                <w:sz w:val="24"/>
                <w:szCs w:val="24"/>
              </w:rPr>
              <w:t>3</w:t>
            </w:r>
          </w:p>
        </w:tc>
        <w:tc>
          <w:tcPr>
            <w:tcW w:w="1710" w:type="dxa"/>
            <w:tcBorders>
              <w:top w:val="single" w:color="auto" w:sz="4" w:space="0"/>
              <w:left w:val="single" w:color="auto" w:sz="4" w:space="0"/>
              <w:bottom w:val="single" w:color="auto" w:sz="4" w:space="0"/>
              <w:right w:val="single" w:color="auto" w:sz="4" w:space="0"/>
            </w:tcBorders>
          </w:tcPr>
          <w:p w:rsidR="00D75BC3" w:rsidP="00BD0FD6" w:rsidRDefault="006E4417" w14:paraId="523A23D1" w14:textId="4CE83597">
            <w:pPr>
              <w:autoSpaceDE w:val="0"/>
              <w:autoSpaceDN w:val="0"/>
              <w:adjustRightInd w:val="0"/>
              <w:rPr>
                <w:rFonts w:cstheme="minorHAnsi"/>
                <w:sz w:val="24"/>
                <w:szCs w:val="24"/>
              </w:rPr>
            </w:pPr>
            <w:r>
              <w:rPr>
                <w:rFonts w:cstheme="minorHAnsi"/>
                <w:sz w:val="24"/>
                <w:szCs w:val="24"/>
              </w:rPr>
              <w:t>Multiple choice</w:t>
            </w:r>
          </w:p>
        </w:tc>
        <w:tc>
          <w:tcPr>
            <w:tcW w:w="3690" w:type="dxa"/>
            <w:tcBorders>
              <w:top w:val="single" w:color="auto" w:sz="4" w:space="0"/>
              <w:left w:val="single" w:color="auto" w:sz="4" w:space="0"/>
              <w:bottom w:val="single" w:color="auto" w:sz="4" w:space="0"/>
              <w:right w:val="single" w:color="auto" w:sz="4" w:space="0"/>
            </w:tcBorders>
          </w:tcPr>
          <w:p w:rsidRPr="00C67D68" w:rsidR="00D75BC3" w:rsidP="00BD0FD6" w:rsidRDefault="00D75BC3" w14:paraId="0675EB8E" w14:textId="45AE7E90">
            <w:pPr>
              <w:autoSpaceDE w:val="0"/>
              <w:autoSpaceDN w:val="0"/>
              <w:adjustRightInd w:val="0"/>
              <w:rPr>
                <w:rFonts w:cstheme="minorHAnsi"/>
                <w:sz w:val="24"/>
                <w:szCs w:val="24"/>
              </w:rPr>
            </w:pPr>
            <w:r>
              <w:rPr>
                <w:rFonts w:cstheme="minorHAnsi"/>
                <w:sz w:val="24"/>
                <w:szCs w:val="24"/>
              </w:rPr>
              <w:t>Collects information on whether household members needed to leave the home during the disaster and where they went</w:t>
            </w:r>
          </w:p>
        </w:tc>
      </w:tr>
      <w:tr w:rsidR="00D75BC3" w:rsidTr="00744E6F" w14:paraId="4B5AF40E" w14:textId="77777777">
        <w:tc>
          <w:tcPr>
            <w:tcW w:w="2160" w:type="dxa"/>
            <w:tcBorders>
              <w:top w:val="single" w:color="auto" w:sz="4" w:space="0"/>
              <w:left w:val="single" w:color="auto" w:sz="4" w:space="0"/>
              <w:bottom w:val="single" w:color="auto" w:sz="4" w:space="0"/>
              <w:right w:val="single" w:color="auto" w:sz="4" w:space="0"/>
            </w:tcBorders>
          </w:tcPr>
          <w:p w:rsidRPr="00C67D68" w:rsidR="00D75BC3" w:rsidP="00C67D68" w:rsidRDefault="00D75BC3" w14:paraId="4DCC6B14" w14:textId="454207EC">
            <w:pPr>
              <w:autoSpaceDE w:val="0"/>
              <w:autoSpaceDN w:val="0"/>
              <w:adjustRightInd w:val="0"/>
              <w:rPr>
                <w:rFonts w:cstheme="minorHAnsi"/>
                <w:sz w:val="24"/>
                <w:szCs w:val="24"/>
              </w:rPr>
            </w:pPr>
            <w:r w:rsidRPr="00C67D68">
              <w:rPr>
                <w:rFonts w:cstheme="minorHAnsi"/>
                <w:sz w:val="24"/>
                <w:szCs w:val="24"/>
              </w:rPr>
              <w:t>Health needs</w:t>
            </w:r>
          </w:p>
        </w:tc>
        <w:tc>
          <w:tcPr>
            <w:tcW w:w="1710" w:type="dxa"/>
            <w:tcBorders>
              <w:top w:val="single" w:color="auto" w:sz="4" w:space="0"/>
              <w:left w:val="single" w:color="auto" w:sz="4" w:space="0"/>
              <w:bottom w:val="single" w:color="auto" w:sz="4" w:space="0"/>
              <w:right w:val="single" w:color="auto" w:sz="4" w:space="0"/>
            </w:tcBorders>
          </w:tcPr>
          <w:p w:rsidR="00D75BC3" w:rsidP="00C67D68" w:rsidRDefault="00D75BC3" w14:paraId="3634CEBC" w14:textId="585C4EF2">
            <w:pPr>
              <w:autoSpaceDE w:val="0"/>
              <w:autoSpaceDN w:val="0"/>
              <w:adjustRightInd w:val="0"/>
              <w:rPr>
                <w:rFonts w:cstheme="minorHAnsi"/>
                <w:sz w:val="24"/>
                <w:szCs w:val="24"/>
                <w:highlight w:val="yellow"/>
              </w:rPr>
            </w:pPr>
            <w:r w:rsidRPr="00017D2C">
              <w:rPr>
                <w:rFonts w:cstheme="minorHAnsi"/>
                <w:sz w:val="24"/>
                <w:szCs w:val="24"/>
              </w:rPr>
              <w:t>35</w:t>
            </w:r>
          </w:p>
        </w:tc>
        <w:tc>
          <w:tcPr>
            <w:tcW w:w="1710" w:type="dxa"/>
            <w:tcBorders>
              <w:top w:val="single" w:color="auto" w:sz="4" w:space="0"/>
              <w:left w:val="single" w:color="auto" w:sz="4" w:space="0"/>
              <w:bottom w:val="single" w:color="auto" w:sz="4" w:space="0"/>
              <w:right w:val="single" w:color="auto" w:sz="4" w:space="0"/>
            </w:tcBorders>
          </w:tcPr>
          <w:p w:rsidR="00D75BC3" w:rsidP="00BD0FD6" w:rsidRDefault="006E4417" w14:paraId="222B1E55" w14:textId="035CAE70">
            <w:pPr>
              <w:autoSpaceDE w:val="0"/>
              <w:autoSpaceDN w:val="0"/>
              <w:adjustRightInd w:val="0"/>
              <w:rPr>
                <w:rFonts w:cstheme="minorHAnsi"/>
                <w:sz w:val="24"/>
                <w:szCs w:val="24"/>
              </w:rPr>
            </w:pPr>
            <w:r>
              <w:rPr>
                <w:rFonts w:cstheme="minorHAnsi"/>
                <w:sz w:val="24"/>
                <w:szCs w:val="24"/>
              </w:rPr>
              <w:t>Multiple choice</w:t>
            </w:r>
          </w:p>
        </w:tc>
        <w:tc>
          <w:tcPr>
            <w:tcW w:w="3690" w:type="dxa"/>
            <w:tcBorders>
              <w:top w:val="single" w:color="auto" w:sz="4" w:space="0"/>
              <w:left w:val="single" w:color="auto" w:sz="4" w:space="0"/>
              <w:bottom w:val="single" w:color="auto" w:sz="4" w:space="0"/>
              <w:right w:val="single" w:color="auto" w:sz="4" w:space="0"/>
            </w:tcBorders>
          </w:tcPr>
          <w:p w:rsidRPr="00C67D68" w:rsidR="00D75BC3" w:rsidP="00BD0FD6" w:rsidRDefault="00D75BC3" w14:paraId="22EBCE6D" w14:textId="2E259C4D">
            <w:pPr>
              <w:autoSpaceDE w:val="0"/>
              <w:autoSpaceDN w:val="0"/>
              <w:adjustRightInd w:val="0"/>
              <w:rPr>
                <w:rFonts w:cstheme="minorHAnsi"/>
                <w:sz w:val="24"/>
                <w:szCs w:val="24"/>
              </w:rPr>
            </w:pPr>
            <w:r>
              <w:rPr>
                <w:rFonts w:cstheme="minorHAnsi"/>
                <w:sz w:val="24"/>
                <w:szCs w:val="24"/>
              </w:rPr>
              <w:t xml:space="preserve">Collects information at the household level (i.e., any household member, not just the participant) on symptoms of illness or injury during the first two weeks after the disaster;  </w:t>
            </w:r>
            <w:r w:rsidR="001F510E">
              <w:rPr>
                <w:rFonts w:cstheme="minorHAnsi"/>
                <w:sz w:val="24"/>
                <w:szCs w:val="24"/>
              </w:rPr>
              <w:t>a</w:t>
            </w:r>
            <w:r>
              <w:rPr>
                <w:rFonts w:cstheme="minorHAnsi"/>
                <w:sz w:val="24"/>
                <w:szCs w:val="24"/>
              </w:rPr>
              <w:t>lso collect</w:t>
            </w:r>
            <w:r w:rsidR="001F510E">
              <w:rPr>
                <w:rFonts w:cstheme="minorHAnsi"/>
                <w:sz w:val="24"/>
                <w:szCs w:val="24"/>
              </w:rPr>
              <w:t>s</w:t>
            </w:r>
            <w:r>
              <w:rPr>
                <w:rFonts w:cstheme="minorHAnsi"/>
                <w:sz w:val="24"/>
                <w:szCs w:val="24"/>
              </w:rPr>
              <w:t xml:space="preserve"> health status at the household level by type of chronic condition (e.g., heart disease in any household member) to determine whether medically-frail individuals lived in the household</w:t>
            </w:r>
          </w:p>
        </w:tc>
      </w:tr>
      <w:tr w:rsidR="00D75BC3" w:rsidTr="00744E6F" w14:paraId="29138167" w14:textId="77777777">
        <w:tc>
          <w:tcPr>
            <w:tcW w:w="2160" w:type="dxa"/>
            <w:tcBorders>
              <w:top w:val="single" w:color="auto" w:sz="4" w:space="0"/>
              <w:left w:val="single" w:color="auto" w:sz="4" w:space="0"/>
              <w:bottom w:val="single" w:color="auto" w:sz="4" w:space="0"/>
              <w:right w:val="single" w:color="auto" w:sz="4" w:space="0"/>
            </w:tcBorders>
          </w:tcPr>
          <w:p w:rsidRPr="00C67D68" w:rsidR="00D75BC3" w:rsidP="00C67D68" w:rsidRDefault="00D75BC3" w14:paraId="7B51895C" w14:textId="5B0C0841">
            <w:pPr>
              <w:autoSpaceDE w:val="0"/>
              <w:autoSpaceDN w:val="0"/>
              <w:adjustRightInd w:val="0"/>
              <w:rPr>
                <w:rFonts w:cstheme="minorHAnsi"/>
                <w:sz w:val="24"/>
                <w:szCs w:val="24"/>
              </w:rPr>
            </w:pPr>
            <w:r w:rsidRPr="00C67D68">
              <w:rPr>
                <w:rFonts w:cstheme="minorHAnsi"/>
                <w:sz w:val="24"/>
                <w:szCs w:val="24"/>
              </w:rPr>
              <w:t>Preparedness</w:t>
            </w:r>
          </w:p>
        </w:tc>
        <w:tc>
          <w:tcPr>
            <w:tcW w:w="1710" w:type="dxa"/>
            <w:tcBorders>
              <w:top w:val="single" w:color="auto" w:sz="4" w:space="0"/>
              <w:left w:val="single" w:color="auto" w:sz="4" w:space="0"/>
              <w:bottom w:val="single" w:color="auto" w:sz="4" w:space="0"/>
              <w:right w:val="single" w:color="auto" w:sz="4" w:space="0"/>
            </w:tcBorders>
          </w:tcPr>
          <w:p w:rsidR="00D75BC3" w:rsidP="00C67D68" w:rsidRDefault="00D75BC3" w14:paraId="020F8B2E" w14:textId="4CBD4B24">
            <w:pPr>
              <w:autoSpaceDE w:val="0"/>
              <w:autoSpaceDN w:val="0"/>
              <w:adjustRightInd w:val="0"/>
              <w:rPr>
                <w:rFonts w:cstheme="minorHAnsi"/>
                <w:sz w:val="24"/>
                <w:szCs w:val="24"/>
                <w:highlight w:val="yellow"/>
              </w:rPr>
            </w:pPr>
            <w:r w:rsidRPr="00017D2C">
              <w:rPr>
                <w:rFonts w:cstheme="minorHAnsi"/>
                <w:sz w:val="24"/>
                <w:szCs w:val="24"/>
              </w:rPr>
              <w:t>12</w:t>
            </w:r>
          </w:p>
        </w:tc>
        <w:tc>
          <w:tcPr>
            <w:tcW w:w="1710" w:type="dxa"/>
            <w:tcBorders>
              <w:top w:val="single" w:color="auto" w:sz="4" w:space="0"/>
              <w:left w:val="single" w:color="auto" w:sz="4" w:space="0"/>
              <w:bottom w:val="single" w:color="auto" w:sz="4" w:space="0"/>
              <w:right w:val="single" w:color="auto" w:sz="4" w:space="0"/>
            </w:tcBorders>
          </w:tcPr>
          <w:p w:rsidR="00D75BC3" w:rsidP="00BD0FD6" w:rsidRDefault="006E4417" w14:paraId="483D2D19" w14:textId="159CA43B">
            <w:pPr>
              <w:autoSpaceDE w:val="0"/>
              <w:autoSpaceDN w:val="0"/>
              <w:adjustRightInd w:val="0"/>
              <w:rPr>
                <w:rFonts w:cstheme="minorHAnsi"/>
                <w:sz w:val="24"/>
                <w:szCs w:val="24"/>
              </w:rPr>
            </w:pPr>
            <w:r>
              <w:rPr>
                <w:rFonts w:cstheme="minorHAnsi"/>
                <w:sz w:val="24"/>
                <w:szCs w:val="24"/>
              </w:rPr>
              <w:t>Multiple choice</w:t>
            </w:r>
          </w:p>
        </w:tc>
        <w:tc>
          <w:tcPr>
            <w:tcW w:w="3690" w:type="dxa"/>
            <w:tcBorders>
              <w:top w:val="single" w:color="auto" w:sz="4" w:space="0"/>
              <w:left w:val="single" w:color="auto" w:sz="4" w:space="0"/>
              <w:bottom w:val="single" w:color="auto" w:sz="4" w:space="0"/>
              <w:right w:val="single" w:color="auto" w:sz="4" w:space="0"/>
            </w:tcBorders>
          </w:tcPr>
          <w:p w:rsidRPr="00C67D68" w:rsidR="00D75BC3" w:rsidP="00BD0FD6" w:rsidRDefault="00D75BC3" w14:paraId="295B27D3" w14:textId="6B376C28">
            <w:pPr>
              <w:autoSpaceDE w:val="0"/>
              <w:autoSpaceDN w:val="0"/>
              <w:adjustRightInd w:val="0"/>
              <w:rPr>
                <w:rFonts w:cstheme="minorHAnsi"/>
                <w:sz w:val="24"/>
                <w:szCs w:val="24"/>
              </w:rPr>
            </w:pPr>
            <w:r>
              <w:rPr>
                <w:rFonts w:cstheme="minorHAnsi"/>
                <w:sz w:val="24"/>
                <w:szCs w:val="24"/>
              </w:rPr>
              <w:t>Determines whether the household had ever discussed and/or implemented preparedness plans before disaster impact.   Determines whether household created an emergency supply kit and what specific items were included in the kit.  Collects additional information on knowledge, attitudes, and beliefs related to the importance of disaster preparedness and emergency supply kits as a method of self-sufficiency during disasters</w:t>
            </w:r>
          </w:p>
        </w:tc>
      </w:tr>
      <w:tr w:rsidR="00D75BC3" w:rsidTr="00744E6F" w14:paraId="3B8CBFCB" w14:textId="77777777">
        <w:tc>
          <w:tcPr>
            <w:tcW w:w="2160" w:type="dxa"/>
            <w:tcBorders>
              <w:top w:val="single" w:color="auto" w:sz="4" w:space="0"/>
              <w:left w:val="single" w:color="auto" w:sz="4" w:space="0"/>
              <w:bottom w:val="single" w:color="auto" w:sz="4" w:space="0"/>
              <w:right w:val="single" w:color="auto" w:sz="4" w:space="0"/>
            </w:tcBorders>
          </w:tcPr>
          <w:p w:rsidRPr="00C67D68" w:rsidR="00D75BC3" w:rsidP="00C67D68" w:rsidRDefault="00D75BC3" w14:paraId="6C581C4A" w14:textId="1CCF95B3">
            <w:pPr>
              <w:autoSpaceDE w:val="0"/>
              <w:autoSpaceDN w:val="0"/>
              <w:adjustRightInd w:val="0"/>
              <w:rPr>
                <w:rFonts w:cstheme="minorHAnsi"/>
                <w:sz w:val="24"/>
                <w:szCs w:val="24"/>
              </w:rPr>
            </w:pPr>
            <w:r w:rsidRPr="00C67D68">
              <w:rPr>
                <w:rFonts w:cstheme="minorHAnsi"/>
                <w:sz w:val="24"/>
                <w:szCs w:val="24"/>
              </w:rPr>
              <w:t>Prior exposure to natural disasters</w:t>
            </w:r>
          </w:p>
        </w:tc>
        <w:tc>
          <w:tcPr>
            <w:tcW w:w="1710" w:type="dxa"/>
            <w:tcBorders>
              <w:top w:val="single" w:color="auto" w:sz="4" w:space="0"/>
              <w:left w:val="single" w:color="auto" w:sz="4" w:space="0"/>
              <w:bottom w:val="single" w:color="auto" w:sz="4" w:space="0"/>
              <w:right w:val="single" w:color="auto" w:sz="4" w:space="0"/>
            </w:tcBorders>
          </w:tcPr>
          <w:p w:rsidR="00D75BC3" w:rsidP="00C67D68" w:rsidRDefault="00D75BC3" w14:paraId="0B4234DA" w14:textId="14CFE451">
            <w:pPr>
              <w:autoSpaceDE w:val="0"/>
              <w:autoSpaceDN w:val="0"/>
              <w:adjustRightInd w:val="0"/>
              <w:rPr>
                <w:rFonts w:cstheme="minorHAnsi"/>
                <w:sz w:val="24"/>
                <w:szCs w:val="24"/>
                <w:highlight w:val="yellow"/>
              </w:rPr>
            </w:pPr>
            <w:r w:rsidRPr="00017D2C">
              <w:rPr>
                <w:rFonts w:cstheme="minorHAnsi"/>
                <w:sz w:val="24"/>
                <w:szCs w:val="24"/>
              </w:rPr>
              <w:t>3</w:t>
            </w:r>
          </w:p>
        </w:tc>
        <w:tc>
          <w:tcPr>
            <w:tcW w:w="1710" w:type="dxa"/>
            <w:tcBorders>
              <w:top w:val="single" w:color="auto" w:sz="4" w:space="0"/>
              <w:left w:val="single" w:color="auto" w:sz="4" w:space="0"/>
              <w:bottom w:val="single" w:color="auto" w:sz="4" w:space="0"/>
              <w:right w:val="single" w:color="auto" w:sz="4" w:space="0"/>
            </w:tcBorders>
          </w:tcPr>
          <w:p w:rsidR="00D75BC3" w:rsidP="00BD0FD6" w:rsidRDefault="006E4417" w14:paraId="5A7C0E40" w14:textId="35551EFC">
            <w:pPr>
              <w:autoSpaceDE w:val="0"/>
              <w:autoSpaceDN w:val="0"/>
              <w:adjustRightInd w:val="0"/>
              <w:rPr>
                <w:rFonts w:cstheme="minorHAnsi"/>
                <w:sz w:val="24"/>
                <w:szCs w:val="24"/>
              </w:rPr>
            </w:pPr>
            <w:r>
              <w:rPr>
                <w:rFonts w:cstheme="minorHAnsi"/>
                <w:sz w:val="24"/>
                <w:szCs w:val="24"/>
              </w:rPr>
              <w:t>Multiple choice</w:t>
            </w:r>
          </w:p>
        </w:tc>
        <w:tc>
          <w:tcPr>
            <w:tcW w:w="3690" w:type="dxa"/>
            <w:tcBorders>
              <w:top w:val="single" w:color="auto" w:sz="4" w:space="0"/>
              <w:left w:val="single" w:color="auto" w:sz="4" w:space="0"/>
              <w:bottom w:val="single" w:color="auto" w:sz="4" w:space="0"/>
              <w:right w:val="single" w:color="auto" w:sz="4" w:space="0"/>
            </w:tcBorders>
          </w:tcPr>
          <w:p w:rsidRPr="00C67D68" w:rsidR="00D75BC3" w:rsidP="00BD0FD6" w:rsidRDefault="00D75BC3" w14:paraId="05F24D51" w14:textId="6DF7E794">
            <w:pPr>
              <w:autoSpaceDE w:val="0"/>
              <w:autoSpaceDN w:val="0"/>
              <w:adjustRightInd w:val="0"/>
              <w:rPr>
                <w:rFonts w:cstheme="minorHAnsi"/>
                <w:sz w:val="24"/>
                <w:szCs w:val="24"/>
              </w:rPr>
            </w:pPr>
            <w:r>
              <w:rPr>
                <w:rFonts w:cstheme="minorHAnsi"/>
                <w:sz w:val="24"/>
                <w:szCs w:val="24"/>
              </w:rPr>
              <w:t xml:space="preserve">Collects information on whether household members ever experienced other disasters to </w:t>
            </w:r>
            <w:r>
              <w:rPr>
                <w:rFonts w:cstheme="minorHAnsi"/>
                <w:sz w:val="24"/>
                <w:szCs w:val="24"/>
              </w:rPr>
              <w:lastRenderedPageBreak/>
              <w:t>determine whether this experience is associated with preparedness</w:t>
            </w:r>
          </w:p>
        </w:tc>
      </w:tr>
      <w:tr w:rsidR="00D75BC3" w:rsidTr="00744E6F" w14:paraId="6D3B1AF3" w14:textId="77777777">
        <w:tc>
          <w:tcPr>
            <w:tcW w:w="2160" w:type="dxa"/>
            <w:tcBorders>
              <w:top w:val="single" w:color="auto" w:sz="4" w:space="0"/>
              <w:left w:val="single" w:color="auto" w:sz="4" w:space="0"/>
              <w:bottom w:val="single" w:color="auto" w:sz="4" w:space="0"/>
              <w:right w:val="single" w:color="auto" w:sz="4" w:space="0"/>
            </w:tcBorders>
          </w:tcPr>
          <w:p w:rsidRPr="00C67D68" w:rsidR="00D75BC3" w:rsidP="00C67D68" w:rsidRDefault="00D75BC3" w14:paraId="21A69E66" w14:textId="56D891F3">
            <w:pPr>
              <w:autoSpaceDE w:val="0"/>
              <w:autoSpaceDN w:val="0"/>
              <w:adjustRightInd w:val="0"/>
              <w:rPr>
                <w:rFonts w:cstheme="minorHAnsi"/>
                <w:sz w:val="24"/>
                <w:szCs w:val="24"/>
              </w:rPr>
            </w:pPr>
            <w:r w:rsidRPr="00C67D68">
              <w:rPr>
                <w:rFonts w:cstheme="minorHAnsi"/>
                <w:sz w:val="24"/>
                <w:szCs w:val="24"/>
              </w:rPr>
              <w:lastRenderedPageBreak/>
              <w:t>Demographics</w:t>
            </w:r>
          </w:p>
        </w:tc>
        <w:tc>
          <w:tcPr>
            <w:tcW w:w="1710" w:type="dxa"/>
            <w:tcBorders>
              <w:top w:val="single" w:color="auto" w:sz="4" w:space="0"/>
              <w:left w:val="single" w:color="auto" w:sz="4" w:space="0"/>
              <w:bottom w:val="single" w:color="auto" w:sz="4" w:space="0"/>
              <w:right w:val="single" w:color="auto" w:sz="4" w:space="0"/>
            </w:tcBorders>
          </w:tcPr>
          <w:p w:rsidR="00D75BC3" w:rsidP="00C67D68" w:rsidRDefault="00D75BC3" w14:paraId="101765C1" w14:textId="4E9D309F">
            <w:pPr>
              <w:autoSpaceDE w:val="0"/>
              <w:autoSpaceDN w:val="0"/>
              <w:adjustRightInd w:val="0"/>
              <w:rPr>
                <w:rFonts w:cstheme="minorHAnsi"/>
                <w:sz w:val="24"/>
                <w:szCs w:val="24"/>
                <w:highlight w:val="yellow"/>
              </w:rPr>
            </w:pPr>
            <w:r w:rsidRPr="00017D2C">
              <w:rPr>
                <w:rFonts w:cstheme="minorHAnsi"/>
                <w:sz w:val="24"/>
                <w:szCs w:val="24"/>
              </w:rPr>
              <w:t>8</w:t>
            </w:r>
          </w:p>
        </w:tc>
        <w:tc>
          <w:tcPr>
            <w:tcW w:w="1710" w:type="dxa"/>
            <w:tcBorders>
              <w:top w:val="single" w:color="auto" w:sz="4" w:space="0"/>
              <w:left w:val="single" w:color="auto" w:sz="4" w:space="0"/>
              <w:bottom w:val="single" w:color="auto" w:sz="4" w:space="0"/>
              <w:right w:val="single" w:color="auto" w:sz="4" w:space="0"/>
            </w:tcBorders>
          </w:tcPr>
          <w:p w:rsidR="00D75BC3" w:rsidP="00BD0FD6" w:rsidRDefault="006E4417" w14:paraId="5F66193A" w14:textId="1D928231">
            <w:pPr>
              <w:autoSpaceDE w:val="0"/>
              <w:autoSpaceDN w:val="0"/>
              <w:adjustRightInd w:val="0"/>
              <w:rPr>
                <w:rFonts w:cstheme="minorHAnsi"/>
                <w:sz w:val="24"/>
                <w:szCs w:val="24"/>
              </w:rPr>
            </w:pPr>
            <w:r>
              <w:rPr>
                <w:rFonts w:cstheme="minorHAnsi"/>
                <w:sz w:val="24"/>
                <w:szCs w:val="24"/>
              </w:rPr>
              <w:t>Multiple choice</w:t>
            </w:r>
          </w:p>
        </w:tc>
        <w:tc>
          <w:tcPr>
            <w:tcW w:w="3690" w:type="dxa"/>
            <w:tcBorders>
              <w:top w:val="single" w:color="auto" w:sz="4" w:space="0"/>
              <w:left w:val="single" w:color="auto" w:sz="4" w:space="0"/>
              <w:bottom w:val="single" w:color="auto" w:sz="4" w:space="0"/>
              <w:right w:val="single" w:color="auto" w:sz="4" w:space="0"/>
            </w:tcBorders>
          </w:tcPr>
          <w:p w:rsidRPr="00C67D68" w:rsidR="00D75BC3" w:rsidP="00BD0FD6" w:rsidRDefault="00D75BC3" w14:paraId="6CA76784" w14:textId="643BA642">
            <w:pPr>
              <w:autoSpaceDE w:val="0"/>
              <w:autoSpaceDN w:val="0"/>
              <w:adjustRightInd w:val="0"/>
              <w:rPr>
                <w:rFonts w:cstheme="minorHAnsi"/>
                <w:sz w:val="24"/>
                <w:szCs w:val="24"/>
              </w:rPr>
            </w:pPr>
            <w:r>
              <w:rPr>
                <w:rFonts w:cstheme="minorHAnsi"/>
                <w:sz w:val="24"/>
                <w:szCs w:val="24"/>
              </w:rPr>
              <w:t>Collections information to assess generalizability and to use as potential confounders in tests of association</w:t>
            </w:r>
          </w:p>
        </w:tc>
      </w:tr>
    </w:tbl>
    <w:p w:rsidRPr="008A541E" w:rsidR="00142B73" w:rsidP="00876288" w:rsidRDefault="00142B73" w14:paraId="6E602F15" w14:textId="77777777">
      <w:pPr>
        <w:spacing w:after="0" w:line="240" w:lineRule="auto"/>
        <w:rPr>
          <w:sz w:val="24"/>
          <w:szCs w:val="24"/>
        </w:rPr>
      </w:pPr>
    </w:p>
    <w:p w:rsidRPr="00930B57" w:rsidR="00B45002" w:rsidP="00601F1A" w:rsidRDefault="00601F1A" w14:paraId="527F9FA5" w14:textId="007962E3">
      <w:pPr>
        <w:pStyle w:val="Heading1"/>
        <w:rPr>
          <w:color w:val="auto"/>
          <w:highlight w:val="yellow"/>
        </w:rPr>
      </w:pPr>
      <w:bookmarkStart w:name="_Toc61000939" w:id="13"/>
      <w:r w:rsidRPr="00135A21">
        <w:rPr>
          <w:color w:val="auto"/>
        </w:rPr>
        <w:t>A.</w:t>
      </w:r>
      <w:r w:rsidRPr="00135A21" w:rsidR="004D21C9">
        <w:rPr>
          <w:color w:val="auto"/>
        </w:rPr>
        <w:t>12</w:t>
      </w:r>
      <w:r w:rsidRPr="007316B7" w:rsidR="004D21C9">
        <w:rPr>
          <w:color w:val="auto"/>
        </w:rPr>
        <w:t xml:space="preserve">.  </w:t>
      </w:r>
      <w:r w:rsidRPr="007316B7" w:rsidR="00B45002">
        <w:rPr>
          <w:color w:val="auto"/>
        </w:rPr>
        <w:t>Estimates of Annualized Burden Hours and Costs</w:t>
      </w:r>
      <w:bookmarkEnd w:id="13"/>
    </w:p>
    <w:p w:rsidRPr="0022516E" w:rsidR="00ED72E9" w:rsidP="00ED72E9" w:rsidRDefault="00ED72E9" w14:paraId="1C20FEA3" w14:textId="77777777">
      <w:pPr>
        <w:spacing w:line="240" w:lineRule="auto"/>
        <w:rPr>
          <w:sz w:val="24"/>
          <w:szCs w:val="24"/>
        </w:rPr>
      </w:pPr>
    </w:p>
    <w:p w:rsidR="00805849" w:rsidP="00A26009" w:rsidRDefault="007316B7" w14:paraId="052DE507" w14:textId="77777777">
      <w:pPr>
        <w:autoSpaceDE w:val="0"/>
        <w:autoSpaceDN w:val="0"/>
        <w:adjustRightInd w:val="0"/>
        <w:spacing w:after="0" w:line="276" w:lineRule="auto"/>
        <w:jc w:val="both"/>
        <w:rPr>
          <w:rFonts w:cs="ITCFranklinGothicStd-Book"/>
          <w:sz w:val="24"/>
          <w:szCs w:val="24"/>
        </w:rPr>
      </w:pPr>
      <w:r w:rsidRPr="0022516E">
        <w:rPr>
          <w:rFonts w:cs="ITCFranklinGothicStd-Book"/>
          <w:sz w:val="24"/>
          <w:szCs w:val="24"/>
        </w:rPr>
        <w:t xml:space="preserve">The </w:t>
      </w:r>
      <w:r w:rsidRPr="0022516E" w:rsidR="00ED72E9">
        <w:rPr>
          <w:rFonts w:cs="ITCFranklinGothicStd-Book"/>
          <w:sz w:val="24"/>
          <w:szCs w:val="24"/>
        </w:rPr>
        <w:t>estimate of the burden of the inform</w:t>
      </w:r>
      <w:r w:rsidRPr="0022516E" w:rsidR="0022516E">
        <w:rPr>
          <w:rFonts w:cs="ITCFranklinGothicStd-Book"/>
          <w:sz w:val="24"/>
          <w:szCs w:val="24"/>
        </w:rPr>
        <w:t xml:space="preserve">ation collection on respondents is </w:t>
      </w:r>
      <w:r w:rsidR="0022702A">
        <w:rPr>
          <w:rFonts w:cs="ITCFranklinGothicStd-Book"/>
          <w:sz w:val="24"/>
          <w:szCs w:val="24"/>
        </w:rPr>
        <w:t xml:space="preserve">displayed </w:t>
      </w:r>
      <w:r w:rsidRPr="0022516E" w:rsidR="0022516E">
        <w:rPr>
          <w:rFonts w:cs="ITCFranklinGothicStd-Book"/>
          <w:sz w:val="24"/>
          <w:szCs w:val="24"/>
        </w:rPr>
        <w:t xml:space="preserve">in Table A.12.1. </w:t>
      </w:r>
      <w:r w:rsidR="00B9723E">
        <w:rPr>
          <w:rFonts w:cs="ITCFranklinGothicStd-Book"/>
          <w:sz w:val="24"/>
          <w:szCs w:val="24"/>
        </w:rPr>
        <w:t xml:space="preserve"> </w:t>
      </w:r>
    </w:p>
    <w:p w:rsidR="00805849" w:rsidP="00A26009" w:rsidRDefault="00805849" w14:paraId="2C4ECBCC" w14:textId="77777777">
      <w:pPr>
        <w:autoSpaceDE w:val="0"/>
        <w:autoSpaceDN w:val="0"/>
        <w:adjustRightInd w:val="0"/>
        <w:spacing w:after="0" w:line="276" w:lineRule="auto"/>
        <w:jc w:val="both"/>
        <w:rPr>
          <w:rFonts w:cs="ITCFranklinGothicStd-Book"/>
          <w:sz w:val="24"/>
          <w:szCs w:val="24"/>
        </w:rPr>
      </w:pPr>
    </w:p>
    <w:p w:rsidR="00B9723E" w:rsidP="00A26009" w:rsidRDefault="000D043A" w14:paraId="4E858C63" w14:textId="06AFA950">
      <w:pPr>
        <w:autoSpaceDE w:val="0"/>
        <w:autoSpaceDN w:val="0"/>
        <w:adjustRightInd w:val="0"/>
        <w:spacing w:after="0" w:line="276" w:lineRule="auto"/>
        <w:jc w:val="both"/>
        <w:rPr>
          <w:rFonts w:cs="ITCFranklinGothicStd-Book"/>
          <w:sz w:val="24"/>
          <w:szCs w:val="24"/>
        </w:rPr>
      </w:pPr>
      <w:r>
        <w:rPr>
          <w:rFonts w:cs="ITCFranklinGothicStd-Book"/>
          <w:sz w:val="24"/>
          <w:szCs w:val="24"/>
        </w:rPr>
        <w:t xml:space="preserve">It is anticipated that two sites </w:t>
      </w:r>
      <w:r w:rsidR="00805849">
        <w:rPr>
          <w:rFonts w:cs="ITCFranklinGothicStd-Book"/>
          <w:sz w:val="24"/>
          <w:szCs w:val="24"/>
        </w:rPr>
        <w:t>will</w:t>
      </w:r>
      <w:r>
        <w:rPr>
          <w:rFonts w:cs="ITCFranklinGothicStd-Book"/>
          <w:sz w:val="24"/>
          <w:szCs w:val="24"/>
        </w:rPr>
        <w:t xml:space="preserve"> be selected during </w:t>
      </w:r>
      <w:r w:rsidR="00805849">
        <w:rPr>
          <w:rFonts w:cs="ITCFranklinGothicStd-Book"/>
          <w:sz w:val="24"/>
          <w:szCs w:val="24"/>
        </w:rPr>
        <w:t>the study</w:t>
      </w:r>
      <w:r>
        <w:rPr>
          <w:rFonts w:cs="ITCFranklinGothicStd-Book"/>
          <w:sz w:val="24"/>
          <w:szCs w:val="24"/>
        </w:rPr>
        <w:t xml:space="preserve"> period</w:t>
      </w:r>
      <w:r w:rsidR="00B15A6D">
        <w:rPr>
          <w:rFonts w:cs="ITCFranklinGothicStd-Book"/>
          <w:sz w:val="24"/>
          <w:szCs w:val="24"/>
        </w:rPr>
        <w:t xml:space="preserve"> (</w:t>
      </w:r>
      <w:r w:rsidR="00FA0331">
        <w:rPr>
          <w:rFonts w:cs="ITCFranklinGothicStd-Book"/>
          <w:sz w:val="24"/>
          <w:szCs w:val="24"/>
        </w:rPr>
        <w:t>1,000 participants per</w:t>
      </w:r>
      <w:r w:rsidR="00B15A6D">
        <w:rPr>
          <w:rFonts w:cs="ITCFranklinGothicStd-Book"/>
          <w:sz w:val="24"/>
          <w:szCs w:val="24"/>
        </w:rPr>
        <w:t xml:space="preserve"> site per year)</w:t>
      </w:r>
      <w:r>
        <w:rPr>
          <w:rFonts w:cs="ITCFranklinGothicStd-Book"/>
          <w:sz w:val="24"/>
          <w:szCs w:val="24"/>
        </w:rPr>
        <w:t>. For each site, a portion of survey respondents will complete the instrument via a web-based instrument wh</w:t>
      </w:r>
      <w:r w:rsidR="004E3554">
        <w:rPr>
          <w:rFonts w:cs="ITCFranklinGothicStd-Book"/>
          <w:sz w:val="24"/>
          <w:szCs w:val="24"/>
        </w:rPr>
        <w:t>ile</w:t>
      </w:r>
      <w:r>
        <w:rPr>
          <w:rFonts w:cs="ITCFranklinGothicStd-Book"/>
          <w:sz w:val="24"/>
          <w:szCs w:val="24"/>
        </w:rPr>
        <w:t xml:space="preserve"> another will </w:t>
      </w:r>
      <w:r w:rsidR="00805849">
        <w:rPr>
          <w:rFonts w:cs="ITCFranklinGothicStd-Book"/>
          <w:sz w:val="24"/>
          <w:szCs w:val="24"/>
        </w:rPr>
        <w:t>use</w:t>
      </w:r>
      <w:r>
        <w:rPr>
          <w:rFonts w:cs="ITCFranklinGothicStd-Book"/>
          <w:sz w:val="24"/>
          <w:szCs w:val="24"/>
        </w:rPr>
        <w:t xml:space="preserve"> the paper survey. Survey research data indicate that we should expect approximately two</w:t>
      </w:r>
      <w:r w:rsidR="00805849">
        <w:rPr>
          <w:rFonts w:cs="ITCFranklinGothicStd-Book"/>
          <w:sz w:val="24"/>
          <w:szCs w:val="24"/>
        </w:rPr>
        <w:t>-</w:t>
      </w:r>
      <w:r>
        <w:rPr>
          <w:rFonts w:cs="ITCFranklinGothicStd-Book"/>
          <w:sz w:val="24"/>
          <w:szCs w:val="24"/>
        </w:rPr>
        <w:t xml:space="preserve">thirds of the sample to complete the survey by web and the other third by paper. This distribution is considered along with experience that web instruments take shorter time to complete than paper surveys. </w:t>
      </w:r>
      <w:r w:rsidR="004E3554">
        <w:rPr>
          <w:rFonts w:cs="ITCFranklinGothicStd-Book"/>
          <w:sz w:val="24"/>
          <w:szCs w:val="24"/>
        </w:rPr>
        <w:t xml:space="preserve">It is estimated that the web instrument will take 15 minutes to complete compared to </w:t>
      </w:r>
      <w:r w:rsidR="00805849">
        <w:rPr>
          <w:rFonts w:cs="ITCFranklinGothicStd-Book"/>
          <w:sz w:val="24"/>
          <w:szCs w:val="24"/>
        </w:rPr>
        <w:t>30</w:t>
      </w:r>
      <w:r w:rsidR="004E3554">
        <w:rPr>
          <w:rFonts w:cs="ITCFranklinGothicStd-Book"/>
          <w:sz w:val="24"/>
          <w:szCs w:val="24"/>
        </w:rPr>
        <w:t xml:space="preserve"> minutes for the paper instrument.</w:t>
      </w:r>
      <w:r w:rsidR="00805849">
        <w:rPr>
          <w:rFonts w:cs="ITCFranklinGothicStd-Book"/>
          <w:sz w:val="24"/>
          <w:szCs w:val="24"/>
        </w:rPr>
        <w:t xml:space="preserve"> </w:t>
      </w:r>
      <w:r w:rsidRPr="00805849" w:rsidR="00805849">
        <w:rPr>
          <w:rFonts w:cs="ITCFranklinGothicStd-Book"/>
          <w:sz w:val="24"/>
          <w:szCs w:val="24"/>
        </w:rPr>
        <w:t>In addition to the surveys, we aim to complete 24 focus group interviews per site. In total, we estimate the following annualized burden hours assuming 1 site per year over a two‐year period.</w:t>
      </w:r>
    </w:p>
    <w:p w:rsidR="00305041" w:rsidRDefault="00305041" w14:paraId="5E5D5BB3" w14:textId="7A0F89AC">
      <w:pPr>
        <w:rPr>
          <w:rFonts w:cstheme="minorHAnsi"/>
          <w:sz w:val="24"/>
          <w:szCs w:val="24"/>
        </w:rPr>
      </w:pPr>
    </w:p>
    <w:p w:rsidRPr="00052664" w:rsidR="00954252" w:rsidP="00780685" w:rsidRDefault="00954252" w14:paraId="6F92886E" w14:textId="2F86B869">
      <w:pPr>
        <w:spacing w:after="0" w:line="256" w:lineRule="auto"/>
        <w:rPr>
          <w:rFonts w:cstheme="minorHAnsi"/>
          <w:sz w:val="24"/>
          <w:szCs w:val="24"/>
        </w:rPr>
      </w:pPr>
      <w:r w:rsidRPr="00052664">
        <w:rPr>
          <w:rFonts w:cstheme="minorHAnsi"/>
          <w:sz w:val="24"/>
          <w:szCs w:val="24"/>
        </w:rPr>
        <w:t xml:space="preserve">Table A.12.1 Estimates </w:t>
      </w:r>
      <w:r w:rsidRPr="00595D76">
        <w:rPr>
          <w:rFonts w:cstheme="minorHAnsi"/>
          <w:sz w:val="24"/>
          <w:szCs w:val="24"/>
        </w:rPr>
        <w:t>of annualized burden hours</w:t>
      </w: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3"/>
        <w:gridCol w:w="1761"/>
        <w:gridCol w:w="1911"/>
        <w:gridCol w:w="2160"/>
        <w:gridCol w:w="1440"/>
      </w:tblGrid>
      <w:tr w:rsidR="000D043A" w:rsidTr="00305041" w14:paraId="2A180A24" w14:textId="77777777">
        <w:tc>
          <w:tcPr>
            <w:tcW w:w="1723"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0D043A" w:rsidP="00305041" w:rsidRDefault="000D043A" w14:paraId="1272B5F1" w14:textId="3AFF8452">
            <w:pPr>
              <w:widowControl w:val="0"/>
              <w:tabs>
                <w:tab w:val="left" w:pos="0"/>
              </w:tabs>
              <w:autoSpaceDE w:val="0"/>
              <w:autoSpaceDN w:val="0"/>
              <w:adjustRightInd w:val="0"/>
              <w:spacing w:after="0"/>
              <w:jc w:val="center"/>
              <w:rPr>
                <w:rFonts w:cstheme="minorHAnsi"/>
                <w:color w:val="000000"/>
                <w:sz w:val="24"/>
                <w:szCs w:val="24"/>
              </w:rPr>
            </w:pPr>
            <w:r>
              <w:rPr>
                <w:rFonts w:cstheme="minorHAnsi"/>
                <w:color w:val="000000"/>
                <w:sz w:val="24"/>
                <w:szCs w:val="24"/>
              </w:rPr>
              <w:t>Type of Data Collection</w:t>
            </w:r>
          </w:p>
        </w:tc>
        <w:tc>
          <w:tcPr>
            <w:tcW w:w="1761"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0D043A" w:rsidP="00305041" w:rsidRDefault="000D043A" w14:paraId="55BA90C0" w14:textId="36F9FDB4">
            <w:pPr>
              <w:widowControl w:val="0"/>
              <w:tabs>
                <w:tab w:val="left" w:pos="0"/>
              </w:tabs>
              <w:autoSpaceDE w:val="0"/>
              <w:autoSpaceDN w:val="0"/>
              <w:adjustRightInd w:val="0"/>
              <w:spacing w:after="0"/>
              <w:jc w:val="center"/>
              <w:rPr>
                <w:rFonts w:cstheme="minorHAnsi"/>
                <w:color w:val="000000"/>
                <w:sz w:val="24"/>
                <w:szCs w:val="24"/>
              </w:rPr>
            </w:pPr>
            <w:r>
              <w:rPr>
                <w:rFonts w:cstheme="minorHAnsi"/>
                <w:color w:val="000000"/>
                <w:sz w:val="24"/>
                <w:szCs w:val="24"/>
              </w:rPr>
              <w:t>Number of Respondents</w:t>
            </w:r>
          </w:p>
        </w:tc>
        <w:tc>
          <w:tcPr>
            <w:tcW w:w="1911"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0D043A" w:rsidP="00305041" w:rsidRDefault="000D043A" w14:paraId="71500A69" w14:textId="77777777">
            <w:pPr>
              <w:widowControl w:val="0"/>
              <w:tabs>
                <w:tab w:val="left" w:pos="0"/>
              </w:tabs>
              <w:autoSpaceDE w:val="0"/>
              <w:autoSpaceDN w:val="0"/>
              <w:adjustRightInd w:val="0"/>
              <w:spacing w:after="0"/>
              <w:jc w:val="center"/>
              <w:rPr>
                <w:rFonts w:cstheme="minorHAnsi"/>
                <w:color w:val="000000"/>
                <w:sz w:val="24"/>
                <w:szCs w:val="24"/>
              </w:rPr>
            </w:pPr>
            <w:r>
              <w:rPr>
                <w:rFonts w:cstheme="minorHAnsi"/>
                <w:color w:val="000000"/>
                <w:sz w:val="24"/>
                <w:szCs w:val="24"/>
              </w:rPr>
              <w:t>Number of Responses per Respondent</w:t>
            </w:r>
          </w:p>
        </w:tc>
        <w:tc>
          <w:tcPr>
            <w:tcW w:w="2160"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0D043A" w:rsidP="00305041" w:rsidRDefault="000D043A" w14:paraId="26AC573B" w14:textId="77777777">
            <w:pPr>
              <w:widowControl w:val="0"/>
              <w:tabs>
                <w:tab w:val="left" w:pos="0"/>
              </w:tabs>
              <w:autoSpaceDE w:val="0"/>
              <w:autoSpaceDN w:val="0"/>
              <w:adjustRightInd w:val="0"/>
              <w:spacing w:after="0"/>
              <w:jc w:val="center"/>
              <w:rPr>
                <w:rFonts w:cstheme="minorHAnsi"/>
                <w:color w:val="000000"/>
                <w:sz w:val="24"/>
                <w:szCs w:val="24"/>
              </w:rPr>
            </w:pPr>
            <w:r>
              <w:rPr>
                <w:rFonts w:cstheme="minorHAnsi"/>
                <w:color w:val="000000"/>
                <w:sz w:val="24"/>
                <w:szCs w:val="24"/>
              </w:rPr>
              <w:t>Average Burden per Response (in hours)</w:t>
            </w:r>
          </w:p>
        </w:tc>
        <w:tc>
          <w:tcPr>
            <w:tcW w:w="1440"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0D043A" w:rsidP="00305041" w:rsidRDefault="000D043A" w14:paraId="3C9B3A4A" w14:textId="689C6AC1">
            <w:pPr>
              <w:widowControl w:val="0"/>
              <w:tabs>
                <w:tab w:val="left" w:pos="0"/>
              </w:tabs>
              <w:autoSpaceDE w:val="0"/>
              <w:autoSpaceDN w:val="0"/>
              <w:adjustRightInd w:val="0"/>
              <w:spacing w:after="0"/>
              <w:jc w:val="center"/>
              <w:rPr>
                <w:rFonts w:cstheme="minorHAnsi"/>
                <w:color w:val="000000"/>
                <w:sz w:val="24"/>
                <w:szCs w:val="24"/>
              </w:rPr>
            </w:pPr>
            <w:r>
              <w:rPr>
                <w:rFonts w:cstheme="minorHAnsi"/>
                <w:color w:val="000000"/>
                <w:sz w:val="24"/>
                <w:szCs w:val="24"/>
              </w:rPr>
              <w:t xml:space="preserve">Total </w:t>
            </w:r>
            <w:r w:rsidR="00BA325E">
              <w:rPr>
                <w:rFonts w:cstheme="minorHAnsi"/>
                <w:color w:val="000000"/>
                <w:sz w:val="24"/>
                <w:szCs w:val="24"/>
              </w:rPr>
              <w:t xml:space="preserve">Annualized </w:t>
            </w:r>
            <w:r>
              <w:rPr>
                <w:rFonts w:cstheme="minorHAnsi"/>
                <w:color w:val="000000"/>
                <w:sz w:val="24"/>
                <w:szCs w:val="24"/>
              </w:rPr>
              <w:t>Burden (in hours)</w:t>
            </w:r>
          </w:p>
        </w:tc>
      </w:tr>
      <w:tr w:rsidR="002D6123" w:rsidTr="007A6D70" w14:paraId="68E32C7E" w14:textId="77777777">
        <w:tc>
          <w:tcPr>
            <w:tcW w:w="8995" w:type="dxa"/>
            <w:gridSpan w:val="5"/>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4E3554" w:rsidR="002D6123" w:rsidP="00780685" w:rsidRDefault="00805849" w14:paraId="43066F28" w14:textId="02D85F01">
            <w:pPr>
              <w:spacing w:after="0"/>
              <w:rPr>
                <w:rFonts w:cstheme="minorHAnsi"/>
                <w:sz w:val="24"/>
                <w:szCs w:val="24"/>
              </w:rPr>
            </w:pPr>
            <w:r>
              <w:rPr>
                <w:sz w:val="24"/>
              </w:rPr>
              <w:t>Two sites during total data collection period of 2 years</w:t>
            </w:r>
          </w:p>
        </w:tc>
      </w:tr>
      <w:tr w:rsidR="000D043A" w:rsidTr="00305041" w14:paraId="5B701A98" w14:textId="77777777">
        <w:tc>
          <w:tcPr>
            <w:tcW w:w="1723" w:type="dxa"/>
            <w:tcBorders>
              <w:top w:val="single" w:color="auto" w:sz="4" w:space="0"/>
              <w:left w:val="single" w:color="auto" w:sz="4" w:space="0"/>
              <w:bottom w:val="single" w:color="auto" w:sz="4" w:space="0"/>
              <w:right w:val="single" w:color="auto" w:sz="4" w:space="0"/>
            </w:tcBorders>
          </w:tcPr>
          <w:p w:rsidR="000D043A" w:rsidP="00780685" w:rsidRDefault="002D6123" w14:paraId="0F4F3D1E" w14:textId="078C5FF8">
            <w:pPr>
              <w:spacing w:after="0"/>
              <w:rPr>
                <w:rFonts w:cstheme="minorHAnsi"/>
                <w:sz w:val="24"/>
                <w:szCs w:val="24"/>
              </w:rPr>
            </w:pPr>
            <w:r>
              <w:rPr>
                <w:rFonts w:cstheme="minorHAnsi"/>
                <w:sz w:val="24"/>
                <w:szCs w:val="24"/>
              </w:rPr>
              <w:t>Web survey</w:t>
            </w:r>
          </w:p>
        </w:tc>
        <w:tc>
          <w:tcPr>
            <w:tcW w:w="1761" w:type="dxa"/>
            <w:vAlign w:val="center"/>
          </w:tcPr>
          <w:p w:rsidR="000D043A" w:rsidP="00305041" w:rsidRDefault="006D186A" w14:paraId="6DE85B4C" w14:textId="40DF63AB">
            <w:pPr>
              <w:spacing w:after="0"/>
              <w:jc w:val="center"/>
              <w:rPr>
                <w:rFonts w:cstheme="minorHAnsi"/>
                <w:sz w:val="24"/>
                <w:szCs w:val="24"/>
              </w:rPr>
            </w:pPr>
            <w:r>
              <w:rPr>
                <w:rFonts w:cstheme="minorHAnsi"/>
                <w:sz w:val="24"/>
                <w:szCs w:val="24"/>
              </w:rPr>
              <w:t>667</w:t>
            </w:r>
          </w:p>
        </w:tc>
        <w:tc>
          <w:tcPr>
            <w:tcW w:w="1911" w:type="dxa"/>
            <w:tcBorders>
              <w:top w:val="single" w:color="auto" w:sz="4" w:space="0"/>
              <w:left w:val="single" w:color="auto" w:sz="4" w:space="0"/>
              <w:bottom w:val="single" w:color="auto" w:sz="4" w:space="0"/>
              <w:right w:val="single" w:color="auto" w:sz="4" w:space="0"/>
            </w:tcBorders>
            <w:vAlign w:val="center"/>
          </w:tcPr>
          <w:p w:rsidR="000D043A" w:rsidP="00305041" w:rsidRDefault="002D6123" w14:paraId="060363AE" w14:textId="0320CABA">
            <w:pPr>
              <w:spacing w:after="0"/>
              <w:jc w:val="center"/>
              <w:rPr>
                <w:rFonts w:cstheme="minorHAnsi"/>
                <w:sz w:val="24"/>
                <w:szCs w:val="24"/>
              </w:rPr>
            </w:pPr>
            <w:r>
              <w:rPr>
                <w:rFonts w:cstheme="minorHAnsi"/>
                <w:sz w:val="24"/>
                <w:szCs w:val="24"/>
              </w:rPr>
              <w:t>1</w:t>
            </w:r>
          </w:p>
        </w:tc>
        <w:tc>
          <w:tcPr>
            <w:tcW w:w="2160" w:type="dxa"/>
            <w:tcBorders>
              <w:top w:val="single" w:color="auto" w:sz="4" w:space="0"/>
              <w:left w:val="single" w:color="auto" w:sz="4" w:space="0"/>
              <w:bottom w:val="single" w:color="auto" w:sz="4" w:space="0"/>
              <w:right w:val="single" w:color="auto" w:sz="4" w:space="0"/>
            </w:tcBorders>
            <w:vAlign w:val="center"/>
          </w:tcPr>
          <w:p w:rsidR="000D043A" w:rsidP="00305041" w:rsidRDefault="002D6123" w14:paraId="4B13C16F" w14:textId="5305EBD6">
            <w:pPr>
              <w:spacing w:after="0"/>
              <w:jc w:val="center"/>
              <w:rPr>
                <w:rFonts w:cstheme="minorHAnsi"/>
                <w:sz w:val="24"/>
                <w:szCs w:val="24"/>
              </w:rPr>
            </w:pPr>
            <w:r>
              <w:rPr>
                <w:rFonts w:cstheme="minorHAnsi"/>
                <w:sz w:val="24"/>
                <w:szCs w:val="24"/>
              </w:rPr>
              <w:t>15/60</w:t>
            </w:r>
          </w:p>
        </w:tc>
        <w:tc>
          <w:tcPr>
            <w:tcW w:w="1440" w:type="dxa"/>
            <w:tcBorders>
              <w:top w:val="single" w:color="auto" w:sz="4" w:space="0"/>
              <w:left w:val="single" w:color="auto" w:sz="4" w:space="0"/>
              <w:bottom w:val="single" w:color="auto" w:sz="4" w:space="0"/>
              <w:right w:val="single" w:color="auto" w:sz="4" w:space="0"/>
            </w:tcBorders>
            <w:vAlign w:val="center"/>
          </w:tcPr>
          <w:p w:rsidR="000D043A" w:rsidP="00305041" w:rsidRDefault="00595D76" w14:paraId="4FF09424" w14:textId="22A27AE5">
            <w:pPr>
              <w:spacing w:after="0"/>
              <w:jc w:val="center"/>
              <w:rPr>
                <w:rFonts w:cstheme="minorHAnsi"/>
                <w:sz w:val="24"/>
                <w:szCs w:val="24"/>
              </w:rPr>
            </w:pPr>
            <w:r>
              <w:rPr>
                <w:rFonts w:cstheme="minorHAnsi"/>
                <w:sz w:val="24"/>
                <w:szCs w:val="24"/>
              </w:rPr>
              <w:t>16</w:t>
            </w:r>
            <w:r w:rsidR="00F13448">
              <w:rPr>
                <w:rFonts w:cstheme="minorHAnsi"/>
                <w:sz w:val="24"/>
                <w:szCs w:val="24"/>
              </w:rPr>
              <w:t>7</w:t>
            </w:r>
          </w:p>
        </w:tc>
      </w:tr>
      <w:tr w:rsidR="000D043A" w:rsidTr="00305041" w14:paraId="5522C234" w14:textId="77777777">
        <w:tc>
          <w:tcPr>
            <w:tcW w:w="1723" w:type="dxa"/>
            <w:tcBorders>
              <w:top w:val="single" w:color="auto" w:sz="4" w:space="0"/>
              <w:left w:val="single" w:color="auto" w:sz="4" w:space="0"/>
              <w:bottom w:val="single" w:color="auto" w:sz="4" w:space="0"/>
              <w:right w:val="single" w:color="auto" w:sz="4" w:space="0"/>
            </w:tcBorders>
          </w:tcPr>
          <w:p w:rsidR="000D043A" w:rsidP="00780685" w:rsidRDefault="002D6123" w14:paraId="76B91A2C" w14:textId="12B77EEA">
            <w:pPr>
              <w:spacing w:after="0"/>
              <w:rPr>
                <w:rFonts w:cstheme="minorHAnsi"/>
                <w:sz w:val="24"/>
                <w:szCs w:val="24"/>
              </w:rPr>
            </w:pPr>
            <w:r>
              <w:rPr>
                <w:rFonts w:cstheme="minorHAnsi"/>
                <w:sz w:val="24"/>
                <w:szCs w:val="24"/>
              </w:rPr>
              <w:t>Paper survey</w:t>
            </w:r>
          </w:p>
        </w:tc>
        <w:tc>
          <w:tcPr>
            <w:tcW w:w="1761" w:type="dxa"/>
            <w:vAlign w:val="center"/>
          </w:tcPr>
          <w:p w:rsidR="000D043A" w:rsidP="00305041" w:rsidRDefault="006D186A" w14:paraId="362E0BD6" w14:textId="647297FF">
            <w:pPr>
              <w:spacing w:after="0"/>
              <w:jc w:val="center"/>
              <w:rPr>
                <w:rFonts w:cstheme="minorHAnsi"/>
                <w:sz w:val="24"/>
                <w:szCs w:val="24"/>
              </w:rPr>
            </w:pPr>
            <w:r>
              <w:rPr>
                <w:rFonts w:cstheme="minorHAnsi"/>
                <w:sz w:val="24"/>
                <w:szCs w:val="24"/>
              </w:rPr>
              <w:t>333</w:t>
            </w:r>
          </w:p>
        </w:tc>
        <w:tc>
          <w:tcPr>
            <w:tcW w:w="1911" w:type="dxa"/>
            <w:tcBorders>
              <w:top w:val="single" w:color="auto" w:sz="4" w:space="0"/>
              <w:left w:val="single" w:color="auto" w:sz="4" w:space="0"/>
              <w:bottom w:val="single" w:color="auto" w:sz="4" w:space="0"/>
              <w:right w:val="single" w:color="auto" w:sz="4" w:space="0"/>
            </w:tcBorders>
            <w:vAlign w:val="center"/>
          </w:tcPr>
          <w:p w:rsidR="000D043A" w:rsidP="00305041" w:rsidRDefault="002D6123" w14:paraId="1F88E257" w14:textId="1C0DE3D1">
            <w:pPr>
              <w:spacing w:after="0"/>
              <w:jc w:val="center"/>
              <w:rPr>
                <w:rFonts w:cstheme="minorHAnsi"/>
                <w:sz w:val="24"/>
                <w:szCs w:val="24"/>
              </w:rPr>
            </w:pPr>
            <w:r>
              <w:rPr>
                <w:rFonts w:cstheme="minorHAnsi"/>
                <w:sz w:val="24"/>
                <w:szCs w:val="24"/>
              </w:rPr>
              <w:t>1</w:t>
            </w:r>
          </w:p>
        </w:tc>
        <w:tc>
          <w:tcPr>
            <w:tcW w:w="2160" w:type="dxa"/>
            <w:tcBorders>
              <w:top w:val="single" w:color="auto" w:sz="4" w:space="0"/>
              <w:left w:val="single" w:color="auto" w:sz="4" w:space="0"/>
              <w:bottom w:val="single" w:color="auto" w:sz="4" w:space="0"/>
              <w:right w:val="single" w:color="auto" w:sz="4" w:space="0"/>
            </w:tcBorders>
            <w:vAlign w:val="center"/>
          </w:tcPr>
          <w:p w:rsidR="000D043A" w:rsidP="00305041" w:rsidRDefault="00805849" w14:paraId="615FF606" w14:textId="3570190A">
            <w:pPr>
              <w:spacing w:after="0"/>
              <w:jc w:val="center"/>
              <w:rPr>
                <w:rFonts w:cstheme="minorHAnsi"/>
                <w:sz w:val="24"/>
                <w:szCs w:val="24"/>
              </w:rPr>
            </w:pPr>
            <w:r>
              <w:rPr>
                <w:rFonts w:cstheme="minorHAnsi"/>
                <w:sz w:val="24"/>
                <w:szCs w:val="24"/>
              </w:rPr>
              <w:t>30</w:t>
            </w:r>
            <w:r w:rsidR="002D6123">
              <w:rPr>
                <w:rFonts w:cstheme="minorHAnsi"/>
                <w:sz w:val="24"/>
                <w:szCs w:val="24"/>
              </w:rPr>
              <w:t>/60</w:t>
            </w:r>
          </w:p>
        </w:tc>
        <w:tc>
          <w:tcPr>
            <w:tcW w:w="1440" w:type="dxa"/>
            <w:tcBorders>
              <w:top w:val="single" w:color="auto" w:sz="4" w:space="0"/>
              <w:left w:val="single" w:color="auto" w:sz="4" w:space="0"/>
              <w:bottom w:val="single" w:color="auto" w:sz="4" w:space="0"/>
              <w:right w:val="single" w:color="auto" w:sz="4" w:space="0"/>
            </w:tcBorders>
            <w:vAlign w:val="center"/>
          </w:tcPr>
          <w:p w:rsidR="000D043A" w:rsidP="00305041" w:rsidRDefault="00805849" w14:paraId="396E3CE4" w14:textId="289BFC31">
            <w:pPr>
              <w:spacing w:after="0"/>
              <w:jc w:val="center"/>
              <w:rPr>
                <w:rFonts w:cstheme="minorHAnsi"/>
                <w:sz w:val="24"/>
                <w:szCs w:val="24"/>
              </w:rPr>
            </w:pPr>
            <w:r>
              <w:rPr>
                <w:rFonts w:cstheme="minorHAnsi"/>
                <w:sz w:val="24"/>
                <w:szCs w:val="24"/>
              </w:rPr>
              <w:t>16</w:t>
            </w:r>
            <w:r w:rsidR="009C42B5">
              <w:rPr>
                <w:rFonts w:cstheme="minorHAnsi"/>
                <w:sz w:val="24"/>
                <w:szCs w:val="24"/>
              </w:rPr>
              <w:t>7</w:t>
            </w:r>
          </w:p>
        </w:tc>
      </w:tr>
      <w:tr w:rsidR="00805849" w:rsidTr="00305041" w14:paraId="4BCE509A" w14:textId="77777777">
        <w:tc>
          <w:tcPr>
            <w:tcW w:w="1723" w:type="dxa"/>
            <w:tcBorders>
              <w:top w:val="single" w:color="auto" w:sz="4" w:space="0"/>
              <w:left w:val="single" w:color="auto" w:sz="4" w:space="0"/>
              <w:bottom w:val="single" w:color="auto" w:sz="4" w:space="0"/>
              <w:right w:val="single" w:color="auto" w:sz="4" w:space="0"/>
            </w:tcBorders>
          </w:tcPr>
          <w:p w:rsidR="00805849" w:rsidP="00780685" w:rsidRDefault="00805849" w14:paraId="613E5C91" w14:textId="393F13E5">
            <w:pPr>
              <w:spacing w:after="0"/>
              <w:rPr>
                <w:rFonts w:cstheme="minorHAnsi"/>
                <w:sz w:val="24"/>
                <w:szCs w:val="24"/>
              </w:rPr>
            </w:pPr>
            <w:r>
              <w:rPr>
                <w:rFonts w:cstheme="minorHAnsi"/>
                <w:sz w:val="24"/>
                <w:szCs w:val="24"/>
              </w:rPr>
              <w:t>Focus group screener</w:t>
            </w:r>
          </w:p>
        </w:tc>
        <w:tc>
          <w:tcPr>
            <w:tcW w:w="1761" w:type="dxa"/>
            <w:vAlign w:val="center"/>
          </w:tcPr>
          <w:p w:rsidR="00805849" w:rsidP="00305041" w:rsidRDefault="0068620D" w14:paraId="30720503" w14:textId="2B650044">
            <w:pPr>
              <w:spacing w:after="0"/>
              <w:jc w:val="center"/>
              <w:rPr>
                <w:rFonts w:cstheme="minorHAnsi"/>
                <w:sz w:val="24"/>
                <w:szCs w:val="24"/>
              </w:rPr>
            </w:pPr>
            <w:r>
              <w:rPr>
                <w:rFonts w:cstheme="minorHAnsi"/>
                <w:sz w:val="24"/>
                <w:szCs w:val="24"/>
              </w:rPr>
              <w:t>24</w:t>
            </w:r>
          </w:p>
        </w:tc>
        <w:tc>
          <w:tcPr>
            <w:tcW w:w="1911" w:type="dxa"/>
            <w:tcBorders>
              <w:top w:val="single" w:color="auto" w:sz="4" w:space="0"/>
              <w:left w:val="single" w:color="auto" w:sz="4" w:space="0"/>
              <w:bottom w:val="single" w:color="auto" w:sz="4" w:space="0"/>
              <w:right w:val="single" w:color="auto" w:sz="4" w:space="0"/>
            </w:tcBorders>
            <w:vAlign w:val="center"/>
          </w:tcPr>
          <w:p w:rsidR="00805849" w:rsidP="00305041" w:rsidRDefault="00805849" w14:paraId="213711DE" w14:textId="43EAF7BB">
            <w:pPr>
              <w:spacing w:after="0"/>
              <w:jc w:val="center"/>
              <w:rPr>
                <w:rFonts w:cstheme="minorHAnsi"/>
                <w:sz w:val="24"/>
                <w:szCs w:val="24"/>
              </w:rPr>
            </w:pPr>
            <w:r>
              <w:rPr>
                <w:rFonts w:cstheme="minorHAnsi"/>
                <w:sz w:val="24"/>
                <w:szCs w:val="24"/>
              </w:rPr>
              <w:t>1</w:t>
            </w:r>
          </w:p>
        </w:tc>
        <w:tc>
          <w:tcPr>
            <w:tcW w:w="2160" w:type="dxa"/>
            <w:tcBorders>
              <w:top w:val="single" w:color="auto" w:sz="4" w:space="0"/>
              <w:left w:val="single" w:color="auto" w:sz="4" w:space="0"/>
              <w:bottom w:val="single" w:color="auto" w:sz="4" w:space="0"/>
              <w:right w:val="single" w:color="auto" w:sz="4" w:space="0"/>
            </w:tcBorders>
            <w:vAlign w:val="center"/>
          </w:tcPr>
          <w:p w:rsidR="00805849" w:rsidP="00305041" w:rsidRDefault="00805849" w14:paraId="58B539F4" w14:textId="15F7F4B7">
            <w:pPr>
              <w:spacing w:after="0"/>
              <w:jc w:val="center"/>
              <w:rPr>
                <w:rFonts w:cstheme="minorHAnsi"/>
                <w:sz w:val="24"/>
                <w:szCs w:val="24"/>
              </w:rPr>
            </w:pPr>
            <w:r>
              <w:rPr>
                <w:rFonts w:cstheme="minorHAnsi"/>
                <w:sz w:val="24"/>
                <w:szCs w:val="24"/>
              </w:rPr>
              <w:t>5/60</w:t>
            </w:r>
          </w:p>
        </w:tc>
        <w:tc>
          <w:tcPr>
            <w:tcW w:w="1440" w:type="dxa"/>
            <w:tcBorders>
              <w:top w:val="single" w:color="auto" w:sz="4" w:space="0"/>
              <w:left w:val="single" w:color="auto" w:sz="4" w:space="0"/>
              <w:bottom w:val="single" w:color="auto" w:sz="4" w:space="0"/>
              <w:right w:val="single" w:color="auto" w:sz="4" w:space="0"/>
            </w:tcBorders>
            <w:vAlign w:val="center"/>
          </w:tcPr>
          <w:p w:rsidR="00805849" w:rsidP="00305041" w:rsidRDefault="0068620D" w14:paraId="3B7D2A58" w14:textId="5CC80406">
            <w:pPr>
              <w:spacing w:after="0"/>
              <w:jc w:val="center"/>
              <w:rPr>
                <w:rFonts w:cstheme="minorHAnsi"/>
                <w:sz w:val="24"/>
                <w:szCs w:val="24"/>
              </w:rPr>
            </w:pPr>
            <w:r>
              <w:rPr>
                <w:rFonts w:cstheme="minorHAnsi"/>
                <w:sz w:val="24"/>
                <w:szCs w:val="24"/>
              </w:rPr>
              <w:t>2</w:t>
            </w:r>
          </w:p>
        </w:tc>
      </w:tr>
      <w:tr w:rsidR="000D043A" w:rsidTr="00305041" w14:paraId="27F67B23" w14:textId="77777777">
        <w:tc>
          <w:tcPr>
            <w:tcW w:w="1723" w:type="dxa"/>
            <w:tcBorders>
              <w:top w:val="single" w:color="auto" w:sz="4" w:space="0"/>
              <w:left w:val="single" w:color="auto" w:sz="4" w:space="0"/>
              <w:bottom w:val="single" w:color="auto" w:sz="4" w:space="0"/>
              <w:right w:val="single" w:color="auto" w:sz="4" w:space="0"/>
            </w:tcBorders>
          </w:tcPr>
          <w:p w:rsidR="000D043A" w:rsidP="00780685" w:rsidRDefault="002D6123" w14:paraId="31813AC1" w14:textId="13E3C482">
            <w:pPr>
              <w:spacing w:after="0"/>
              <w:rPr>
                <w:rFonts w:cstheme="minorHAnsi"/>
                <w:sz w:val="24"/>
                <w:szCs w:val="24"/>
              </w:rPr>
            </w:pPr>
            <w:r>
              <w:rPr>
                <w:rFonts w:cstheme="minorHAnsi"/>
                <w:sz w:val="24"/>
                <w:szCs w:val="24"/>
              </w:rPr>
              <w:t>Focus group</w:t>
            </w:r>
          </w:p>
        </w:tc>
        <w:tc>
          <w:tcPr>
            <w:tcW w:w="1761" w:type="dxa"/>
            <w:vAlign w:val="center"/>
          </w:tcPr>
          <w:p w:rsidR="000D043A" w:rsidP="00305041" w:rsidRDefault="006D186A" w14:paraId="45B7CD3D" w14:textId="1B3E0720">
            <w:pPr>
              <w:spacing w:after="0"/>
              <w:jc w:val="center"/>
              <w:rPr>
                <w:rFonts w:cstheme="minorHAnsi"/>
                <w:sz w:val="24"/>
                <w:szCs w:val="24"/>
              </w:rPr>
            </w:pPr>
            <w:r>
              <w:rPr>
                <w:rFonts w:cstheme="minorHAnsi"/>
                <w:sz w:val="24"/>
                <w:szCs w:val="24"/>
              </w:rPr>
              <w:t>24</w:t>
            </w:r>
          </w:p>
        </w:tc>
        <w:tc>
          <w:tcPr>
            <w:tcW w:w="1911" w:type="dxa"/>
            <w:tcBorders>
              <w:top w:val="single" w:color="auto" w:sz="4" w:space="0"/>
              <w:left w:val="single" w:color="auto" w:sz="4" w:space="0"/>
              <w:bottom w:val="single" w:color="auto" w:sz="4" w:space="0"/>
              <w:right w:val="single" w:color="auto" w:sz="4" w:space="0"/>
            </w:tcBorders>
            <w:vAlign w:val="center"/>
          </w:tcPr>
          <w:p w:rsidR="000D043A" w:rsidP="00305041" w:rsidRDefault="002D6123" w14:paraId="37496FCF" w14:textId="5BE97CC7">
            <w:pPr>
              <w:spacing w:after="0"/>
              <w:jc w:val="center"/>
              <w:rPr>
                <w:rFonts w:cstheme="minorHAnsi"/>
                <w:sz w:val="24"/>
                <w:szCs w:val="24"/>
              </w:rPr>
            </w:pPr>
            <w:r>
              <w:rPr>
                <w:rFonts w:cstheme="minorHAnsi"/>
                <w:sz w:val="24"/>
                <w:szCs w:val="24"/>
              </w:rPr>
              <w:t>1</w:t>
            </w:r>
          </w:p>
        </w:tc>
        <w:tc>
          <w:tcPr>
            <w:tcW w:w="2160" w:type="dxa"/>
            <w:tcBorders>
              <w:top w:val="single" w:color="auto" w:sz="4" w:space="0"/>
              <w:left w:val="single" w:color="auto" w:sz="4" w:space="0"/>
              <w:bottom w:val="single" w:color="auto" w:sz="4" w:space="0"/>
              <w:right w:val="single" w:color="auto" w:sz="4" w:space="0"/>
            </w:tcBorders>
            <w:vAlign w:val="center"/>
          </w:tcPr>
          <w:p w:rsidR="002D6123" w:rsidP="00305041" w:rsidRDefault="00F13448" w14:paraId="17531917" w14:textId="4E516401">
            <w:pPr>
              <w:spacing w:after="0"/>
              <w:jc w:val="center"/>
              <w:rPr>
                <w:rFonts w:cstheme="minorHAnsi"/>
                <w:sz w:val="24"/>
                <w:szCs w:val="24"/>
              </w:rPr>
            </w:pPr>
            <w:r>
              <w:rPr>
                <w:rFonts w:cstheme="minorHAnsi"/>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rsidR="000D043A" w:rsidP="00305041" w:rsidRDefault="00595D76" w14:paraId="69F6465E" w14:textId="441BE49E">
            <w:pPr>
              <w:spacing w:after="0"/>
              <w:jc w:val="center"/>
              <w:rPr>
                <w:rFonts w:cstheme="minorHAnsi"/>
                <w:sz w:val="24"/>
                <w:szCs w:val="24"/>
              </w:rPr>
            </w:pPr>
            <w:r>
              <w:rPr>
                <w:rFonts w:cstheme="minorHAnsi"/>
                <w:sz w:val="24"/>
                <w:szCs w:val="24"/>
              </w:rPr>
              <w:t>48</w:t>
            </w:r>
          </w:p>
        </w:tc>
      </w:tr>
      <w:tr w:rsidR="004E3554" w:rsidTr="00305041" w14:paraId="5202C769" w14:textId="77777777">
        <w:tc>
          <w:tcPr>
            <w:tcW w:w="1723" w:type="dxa"/>
            <w:tcBorders>
              <w:top w:val="single" w:color="auto" w:sz="4" w:space="0"/>
              <w:left w:val="single" w:color="auto" w:sz="4" w:space="0"/>
              <w:bottom w:val="single" w:color="auto" w:sz="4" w:space="0"/>
              <w:right w:val="single" w:color="auto" w:sz="4" w:space="0"/>
            </w:tcBorders>
          </w:tcPr>
          <w:p w:rsidR="004E3554" w:rsidP="00780685" w:rsidRDefault="004E3554" w14:paraId="6C4F4320" w14:textId="1DC38278">
            <w:pPr>
              <w:spacing w:after="0"/>
              <w:rPr>
                <w:rFonts w:cstheme="minorHAnsi"/>
                <w:sz w:val="24"/>
                <w:szCs w:val="24"/>
              </w:rPr>
            </w:pPr>
            <w:r>
              <w:rPr>
                <w:rFonts w:cstheme="minorHAnsi"/>
                <w:sz w:val="24"/>
                <w:szCs w:val="24"/>
              </w:rPr>
              <w:t>Total</w:t>
            </w:r>
          </w:p>
        </w:tc>
        <w:tc>
          <w:tcPr>
            <w:tcW w:w="1761" w:type="dxa"/>
            <w:vAlign w:val="center"/>
          </w:tcPr>
          <w:p w:rsidR="004E3554" w:rsidP="00305041" w:rsidRDefault="004E3554" w14:paraId="37CF1D6F" w14:textId="77777777">
            <w:pPr>
              <w:spacing w:after="0"/>
              <w:jc w:val="center"/>
              <w:rPr>
                <w:rFonts w:cstheme="minorHAnsi"/>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rsidR="004E3554" w:rsidP="00305041" w:rsidRDefault="004E3554" w14:paraId="1FA8FA13" w14:textId="77777777">
            <w:pPr>
              <w:spacing w:after="0"/>
              <w:jc w:val="center"/>
              <w:rPr>
                <w:rFonts w:cstheme="minorHAnsi"/>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rsidR="004E3554" w:rsidP="00305041" w:rsidRDefault="004E3554" w14:paraId="308E8112" w14:textId="77777777">
            <w:pPr>
              <w:spacing w:after="0"/>
              <w:jc w:val="center"/>
              <w:rPr>
                <w:rFonts w:cstheme="minorHAnsi"/>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rsidR="004E3554" w:rsidP="00305041" w:rsidRDefault="00805849" w14:paraId="65FA6508" w14:textId="257DE13D">
            <w:pPr>
              <w:spacing w:after="0"/>
              <w:jc w:val="center"/>
              <w:rPr>
                <w:rFonts w:cstheme="minorHAnsi"/>
                <w:sz w:val="24"/>
                <w:szCs w:val="24"/>
              </w:rPr>
            </w:pPr>
            <w:r>
              <w:rPr>
                <w:rFonts w:cstheme="minorHAnsi"/>
                <w:sz w:val="24"/>
                <w:szCs w:val="24"/>
              </w:rPr>
              <w:t>38</w:t>
            </w:r>
            <w:r w:rsidR="009C42B5">
              <w:rPr>
                <w:rFonts w:cstheme="minorHAnsi"/>
                <w:sz w:val="24"/>
                <w:szCs w:val="24"/>
              </w:rPr>
              <w:t>4</w:t>
            </w:r>
          </w:p>
        </w:tc>
      </w:tr>
    </w:tbl>
    <w:p w:rsidR="00954252" w:rsidP="00780685" w:rsidRDefault="00954252" w14:paraId="4828091E" w14:textId="77777777">
      <w:pPr>
        <w:spacing w:after="0"/>
        <w:rPr>
          <w:rFonts w:cstheme="minorHAnsi"/>
          <w:sz w:val="24"/>
          <w:szCs w:val="24"/>
        </w:rPr>
      </w:pPr>
    </w:p>
    <w:p w:rsidR="00954252" w:rsidP="00902608" w:rsidRDefault="00954252" w14:paraId="719A01D2" w14:textId="60002872">
      <w:pPr>
        <w:spacing w:after="0"/>
        <w:jc w:val="both"/>
        <w:rPr>
          <w:rFonts w:cstheme="minorHAnsi"/>
          <w:sz w:val="24"/>
          <w:szCs w:val="24"/>
        </w:rPr>
      </w:pPr>
      <w:r>
        <w:rPr>
          <w:rFonts w:cstheme="minorHAnsi"/>
          <w:sz w:val="24"/>
          <w:szCs w:val="24"/>
        </w:rPr>
        <w:lastRenderedPageBreak/>
        <w:t>Annualized cost to respondents for the burden hours for the collection of information is</w:t>
      </w:r>
      <w:r w:rsidR="00156B96">
        <w:rPr>
          <w:rFonts w:cstheme="minorHAnsi"/>
          <w:sz w:val="24"/>
          <w:szCs w:val="24"/>
        </w:rPr>
        <w:t xml:space="preserve"> </w:t>
      </w:r>
      <w:r w:rsidRPr="009C3078" w:rsidR="002D432A">
        <w:rPr>
          <w:rFonts w:ascii="Calibri" w:hAnsi="Calibri" w:cs="Calibri"/>
          <w:color w:val="000000"/>
          <w:sz w:val="24"/>
          <w:szCs w:val="24"/>
        </w:rPr>
        <w:t>$</w:t>
      </w:r>
      <w:r w:rsidRPr="009E3122" w:rsidR="00B62B49">
        <w:rPr>
          <w:rFonts w:ascii="Calibri" w:hAnsi="Calibri" w:cs="Calibri"/>
          <w:color w:val="000000"/>
          <w:sz w:val="24"/>
          <w:szCs w:val="24"/>
        </w:rPr>
        <w:t>9,</w:t>
      </w:r>
      <w:r w:rsidR="00B62B49">
        <w:rPr>
          <w:rFonts w:ascii="Calibri" w:hAnsi="Calibri" w:cs="Calibri"/>
          <w:color w:val="000000"/>
          <w:sz w:val="24"/>
          <w:szCs w:val="24"/>
        </w:rPr>
        <w:t>876.48</w:t>
      </w:r>
      <w:r w:rsidR="00E04349">
        <w:rPr>
          <w:rFonts w:cstheme="minorHAnsi"/>
          <w:sz w:val="24"/>
          <w:szCs w:val="24"/>
        </w:rPr>
        <w:t xml:space="preserve">.  </w:t>
      </w:r>
      <w:r w:rsidR="00543F85">
        <w:rPr>
          <w:rFonts w:cstheme="minorHAnsi"/>
          <w:sz w:val="24"/>
          <w:szCs w:val="24"/>
        </w:rPr>
        <w:t>Calculations</w:t>
      </w:r>
      <w:r w:rsidR="00E04349">
        <w:rPr>
          <w:rFonts w:cstheme="minorHAnsi"/>
          <w:sz w:val="24"/>
          <w:szCs w:val="24"/>
        </w:rPr>
        <w:t xml:space="preserve"> are </w:t>
      </w:r>
      <w:r>
        <w:rPr>
          <w:rFonts w:cstheme="minorHAnsi"/>
          <w:sz w:val="24"/>
          <w:szCs w:val="24"/>
        </w:rPr>
        <w:t xml:space="preserve">provided in Table A.12.2. The mean hourly wage rate was obtained </w:t>
      </w:r>
      <w:r w:rsidR="00780685">
        <w:rPr>
          <w:rFonts w:cstheme="minorHAnsi"/>
          <w:sz w:val="24"/>
          <w:szCs w:val="24"/>
        </w:rPr>
        <w:t>using</w:t>
      </w:r>
      <w:r w:rsidR="007547D3">
        <w:rPr>
          <w:rFonts w:cstheme="minorHAnsi"/>
          <w:sz w:val="24"/>
          <w:szCs w:val="24"/>
        </w:rPr>
        <w:t xml:space="preserve"> the U.S. Bureau of Labor Statistics May 2019 National Occupational Employment and Wage Estimates</w:t>
      </w:r>
      <w:r w:rsidR="00697E44">
        <w:rPr>
          <w:rFonts w:cstheme="minorHAnsi"/>
          <w:sz w:val="24"/>
          <w:szCs w:val="24"/>
        </w:rPr>
        <w:t xml:space="preserve"> (</w:t>
      </w:r>
      <w:hyperlink w:history="1" w:anchor="00-0000" r:id="rId11">
        <w:r w:rsidRPr="00724B0D" w:rsidR="00697E44">
          <w:rPr>
            <w:rStyle w:val="Hyperlink"/>
            <w:rFonts w:cstheme="minorHAnsi"/>
            <w:sz w:val="24"/>
            <w:szCs w:val="24"/>
          </w:rPr>
          <w:t>https://www.bls.gov/oes/current/oes_nat.htm#00-0000</w:t>
        </w:r>
      </w:hyperlink>
      <w:r w:rsidR="00697E44">
        <w:rPr>
          <w:rFonts w:cstheme="minorHAnsi"/>
          <w:sz w:val="24"/>
          <w:szCs w:val="24"/>
        </w:rPr>
        <w:t>)</w:t>
      </w:r>
      <w:r w:rsidR="007547D3">
        <w:rPr>
          <w:rFonts w:cstheme="minorHAnsi"/>
          <w:sz w:val="24"/>
          <w:szCs w:val="24"/>
        </w:rPr>
        <w:t>.</w:t>
      </w:r>
      <w:r w:rsidR="00780685">
        <w:rPr>
          <w:rFonts w:cstheme="minorHAnsi"/>
          <w:sz w:val="24"/>
          <w:szCs w:val="24"/>
        </w:rPr>
        <w:t xml:space="preserve"> </w:t>
      </w:r>
      <w:r w:rsidRPr="000E5B0F" w:rsidR="000E5B0F">
        <w:rPr>
          <w:rFonts w:cstheme="minorHAnsi"/>
          <w:sz w:val="24"/>
          <w:szCs w:val="24"/>
        </w:rPr>
        <w:t>The average national hourly salary</w:t>
      </w:r>
      <w:r w:rsidR="00B15A6D">
        <w:rPr>
          <w:rFonts w:cstheme="minorHAnsi"/>
          <w:sz w:val="24"/>
          <w:szCs w:val="24"/>
        </w:rPr>
        <w:t xml:space="preserve"> for all occupations</w:t>
      </w:r>
      <w:r w:rsidRPr="000E5B0F" w:rsidR="000E5B0F">
        <w:rPr>
          <w:rFonts w:cstheme="minorHAnsi"/>
          <w:sz w:val="24"/>
          <w:szCs w:val="24"/>
        </w:rPr>
        <w:t xml:space="preserve"> is assumed for all respondents</w:t>
      </w:r>
      <w:r w:rsidR="000E5B0F">
        <w:rPr>
          <w:rFonts w:cstheme="minorHAnsi"/>
          <w:sz w:val="24"/>
          <w:szCs w:val="24"/>
        </w:rPr>
        <w:t>.</w:t>
      </w:r>
    </w:p>
    <w:p w:rsidR="00780685" w:rsidP="00780685" w:rsidRDefault="00780685" w14:paraId="3A621963" w14:textId="77777777">
      <w:pPr>
        <w:autoSpaceDE w:val="0"/>
        <w:autoSpaceDN w:val="0"/>
        <w:adjustRightInd w:val="0"/>
        <w:spacing w:after="0"/>
        <w:rPr>
          <w:rFonts w:cstheme="minorHAnsi"/>
          <w:b/>
          <w:sz w:val="24"/>
          <w:szCs w:val="24"/>
        </w:rPr>
      </w:pPr>
    </w:p>
    <w:p w:rsidRPr="00780685" w:rsidR="00954252" w:rsidP="00780685" w:rsidRDefault="00954252" w14:paraId="3C44BF8A" w14:textId="2CCC09E2">
      <w:pPr>
        <w:autoSpaceDE w:val="0"/>
        <w:autoSpaceDN w:val="0"/>
        <w:adjustRightInd w:val="0"/>
        <w:spacing w:after="0"/>
        <w:rPr>
          <w:rFonts w:cstheme="minorHAnsi"/>
          <w:bCs/>
          <w:sz w:val="24"/>
          <w:szCs w:val="24"/>
        </w:rPr>
      </w:pPr>
      <w:r w:rsidRPr="00780685">
        <w:rPr>
          <w:rFonts w:cstheme="minorHAnsi"/>
          <w:bCs/>
          <w:sz w:val="24"/>
          <w:szCs w:val="24"/>
        </w:rPr>
        <w:t xml:space="preserve">Table A.12.2. </w:t>
      </w:r>
      <w:r w:rsidRPr="00F628C5">
        <w:rPr>
          <w:rFonts w:cstheme="minorHAnsi"/>
          <w:bCs/>
          <w:sz w:val="24"/>
          <w:szCs w:val="24"/>
        </w:rPr>
        <w:t>Estimated Annualized Burden Costs</w:t>
      </w:r>
    </w:p>
    <w:tbl>
      <w:tblPr>
        <w:tblStyle w:val="TableGrid"/>
        <w:tblW w:w="9180" w:type="dxa"/>
        <w:tblInd w:w="-5" w:type="dxa"/>
        <w:tblLayout w:type="fixed"/>
        <w:tblLook w:val="04A0" w:firstRow="1" w:lastRow="0" w:firstColumn="1" w:lastColumn="0" w:noHBand="0" w:noVBand="1"/>
      </w:tblPr>
      <w:tblGrid>
        <w:gridCol w:w="1311"/>
        <w:gridCol w:w="1267"/>
        <w:gridCol w:w="1268"/>
        <w:gridCol w:w="1268"/>
        <w:gridCol w:w="1268"/>
        <w:gridCol w:w="1268"/>
        <w:gridCol w:w="1530"/>
      </w:tblGrid>
      <w:tr w:rsidR="00780685" w:rsidTr="00020BB7" w14:paraId="0036BC27" w14:textId="77777777">
        <w:tc>
          <w:tcPr>
            <w:tcW w:w="1311"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780685" w:rsidP="00305041" w:rsidRDefault="00780685" w14:paraId="01EEC096" w14:textId="20C818C5">
            <w:pPr>
              <w:autoSpaceDE w:val="0"/>
              <w:autoSpaceDN w:val="0"/>
              <w:adjustRightInd w:val="0"/>
              <w:jc w:val="center"/>
              <w:rPr>
                <w:rFonts w:cstheme="minorHAnsi"/>
                <w:sz w:val="24"/>
                <w:szCs w:val="24"/>
              </w:rPr>
            </w:pPr>
            <w:r>
              <w:rPr>
                <w:rFonts w:cstheme="minorHAnsi"/>
                <w:sz w:val="24"/>
                <w:szCs w:val="24"/>
              </w:rPr>
              <w:t>Type of Data Collection</w:t>
            </w:r>
          </w:p>
        </w:tc>
        <w:tc>
          <w:tcPr>
            <w:tcW w:w="1267"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780685" w:rsidP="00305041" w:rsidRDefault="00780685" w14:paraId="3F5EDF6F" w14:textId="39017A94">
            <w:pPr>
              <w:autoSpaceDE w:val="0"/>
              <w:autoSpaceDN w:val="0"/>
              <w:adjustRightInd w:val="0"/>
              <w:jc w:val="center"/>
              <w:rPr>
                <w:rFonts w:cstheme="minorHAnsi"/>
                <w:sz w:val="24"/>
                <w:szCs w:val="24"/>
              </w:rPr>
            </w:pPr>
            <w:r>
              <w:rPr>
                <w:rFonts w:cstheme="minorHAnsi"/>
                <w:sz w:val="24"/>
                <w:szCs w:val="24"/>
              </w:rPr>
              <w:t>Number of Respondents</w:t>
            </w:r>
          </w:p>
        </w:tc>
        <w:tc>
          <w:tcPr>
            <w:tcW w:w="1268"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780685" w:rsidP="00305041" w:rsidRDefault="00780685" w14:paraId="35AE6DDC" w14:textId="50734C68">
            <w:pPr>
              <w:autoSpaceDE w:val="0"/>
              <w:autoSpaceDN w:val="0"/>
              <w:adjustRightInd w:val="0"/>
              <w:jc w:val="center"/>
              <w:rPr>
                <w:rFonts w:cstheme="minorHAnsi"/>
                <w:sz w:val="24"/>
                <w:szCs w:val="24"/>
              </w:rPr>
            </w:pPr>
            <w:r>
              <w:rPr>
                <w:rFonts w:cstheme="minorHAnsi"/>
                <w:sz w:val="24"/>
                <w:szCs w:val="24"/>
              </w:rPr>
              <w:t>Number of Responses per Respondent</w:t>
            </w:r>
          </w:p>
        </w:tc>
        <w:tc>
          <w:tcPr>
            <w:tcW w:w="1268"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780685" w:rsidP="00305041" w:rsidRDefault="00780685" w14:paraId="7FB954CE" w14:textId="77777777">
            <w:pPr>
              <w:autoSpaceDE w:val="0"/>
              <w:autoSpaceDN w:val="0"/>
              <w:adjustRightInd w:val="0"/>
              <w:jc w:val="center"/>
              <w:rPr>
                <w:rFonts w:cstheme="minorHAnsi"/>
                <w:sz w:val="24"/>
                <w:szCs w:val="24"/>
              </w:rPr>
            </w:pPr>
            <w:r>
              <w:rPr>
                <w:rFonts w:cstheme="minorHAnsi"/>
                <w:sz w:val="24"/>
                <w:szCs w:val="24"/>
              </w:rPr>
              <w:t>Average Burden per Response</w:t>
            </w:r>
          </w:p>
          <w:p w:rsidR="00780685" w:rsidP="00305041" w:rsidRDefault="00780685" w14:paraId="03F75268" w14:textId="77777777">
            <w:pPr>
              <w:autoSpaceDE w:val="0"/>
              <w:autoSpaceDN w:val="0"/>
              <w:adjustRightInd w:val="0"/>
              <w:jc w:val="center"/>
              <w:rPr>
                <w:rFonts w:cstheme="minorHAnsi"/>
                <w:sz w:val="24"/>
                <w:szCs w:val="24"/>
              </w:rPr>
            </w:pPr>
            <w:r>
              <w:rPr>
                <w:rFonts w:cstheme="minorHAnsi"/>
                <w:sz w:val="24"/>
                <w:szCs w:val="24"/>
              </w:rPr>
              <w:t>(in hours)</w:t>
            </w:r>
          </w:p>
        </w:tc>
        <w:tc>
          <w:tcPr>
            <w:tcW w:w="1268"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780685" w:rsidP="00305041" w:rsidRDefault="00780685" w14:paraId="42212517" w14:textId="5E743A52">
            <w:pPr>
              <w:autoSpaceDE w:val="0"/>
              <w:autoSpaceDN w:val="0"/>
              <w:adjustRightInd w:val="0"/>
              <w:jc w:val="center"/>
              <w:rPr>
                <w:rFonts w:cstheme="minorHAnsi"/>
                <w:sz w:val="24"/>
                <w:szCs w:val="24"/>
              </w:rPr>
            </w:pPr>
            <w:r>
              <w:rPr>
                <w:rFonts w:cstheme="minorHAnsi"/>
                <w:sz w:val="24"/>
                <w:szCs w:val="24"/>
              </w:rPr>
              <w:t>Total Burden Hours (in hours)</w:t>
            </w:r>
          </w:p>
        </w:tc>
        <w:tc>
          <w:tcPr>
            <w:tcW w:w="1268"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780685" w:rsidP="00305041" w:rsidRDefault="00780685" w14:paraId="0C98BDDF" w14:textId="77777777">
            <w:pPr>
              <w:autoSpaceDE w:val="0"/>
              <w:autoSpaceDN w:val="0"/>
              <w:adjustRightInd w:val="0"/>
              <w:jc w:val="center"/>
              <w:rPr>
                <w:rFonts w:cstheme="minorHAnsi"/>
                <w:sz w:val="24"/>
                <w:szCs w:val="24"/>
              </w:rPr>
            </w:pPr>
            <w:r>
              <w:rPr>
                <w:rFonts w:cstheme="minorHAnsi"/>
                <w:sz w:val="24"/>
                <w:szCs w:val="24"/>
              </w:rPr>
              <w:t>Hourly Wage Rate</w:t>
            </w:r>
          </w:p>
        </w:tc>
        <w:tc>
          <w:tcPr>
            <w:tcW w:w="1530" w:type="dxa"/>
            <w:tcBorders>
              <w:top w:val="single" w:color="auto" w:sz="4" w:space="0"/>
              <w:left w:val="single" w:color="auto" w:sz="4" w:space="0"/>
              <w:bottom w:val="single" w:color="auto" w:sz="4" w:space="0"/>
              <w:right w:val="single" w:color="auto" w:sz="4" w:space="0"/>
            </w:tcBorders>
            <w:shd w:val="clear" w:color="auto" w:fill="4F81BD" w:themeFill="accent1"/>
            <w:hideMark/>
          </w:tcPr>
          <w:p w:rsidR="00780685" w:rsidP="00305041" w:rsidRDefault="00780685" w14:paraId="5AB8D7AC" w14:textId="77777777">
            <w:pPr>
              <w:autoSpaceDE w:val="0"/>
              <w:autoSpaceDN w:val="0"/>
              <w:adjustRightInd w:val="0"/>
              <w:jc w:val="center"/>
              <w:rPr>
                <w:rFonts w:cstheme="minorHAnsi"/>
                <w:sz w:val="24"/>
                <w:szCs w:val="24"/>
              </w:rPr>
            </w:pPr>
            <w:r>
              <w:rPr>
                <w:rFonts w:cstheme="minorHAnsi"/>
                <w:sz w:val="24"/>
                <w:szCs w:val="24"/>
              </w:rPr>
              <w:t>Total Respondent Costs</w:t>
            </w:r>
          </w:p>
        </w:tc>
      </w:tr>
      <w:tr w:rsidR="00780685" w:rsidTr="00020BB7" w14:paraId="7E3EDC9B" w14:textId="77777777">
        <w:tc>
          <w:tcPr>
            <w:tcW w:w="9180" w:type="dxa"/>
            <w:gridSpan w:val="7"/>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780685" w:rsidR="00780685" w:rsidP="00780685" w:rsidRDefault="00780685" w14:paraId="69946DA2" w14:textId="5EA1F225">
            <w:pPr>
              <w:autoSpaceDE w:val="0"/>
              <w:autoSpaceDN w:val="0"/>
              <w:adjustRightInd w:val="0"/>
              <w:rPr>
                <w:rFonts w:cstheme="minorHAnsi"/>
                <w:sz w:val="24"/>
                <w:szCs w:val="24"/>
                <w:highlight w:val="yellow"/>
              </w:rPr>
            </w:pPr>
          </w:p>
        </w:tc>
      </w:tr>
      <w:tr w:rsidR="002D432A" w:rsidTr="009E3122" w14:paraId="100A5977" w14:textId="77777777">
        <w:tc>
          <w:tcPr>
            <w:tcW w:w="1311" w:type="dxa"/>
            <w:tcBorders>
              <w:top w:val="single" w:color="auto" w:sz="4" w:space="0"/>
              <w:left w:val="single" w:color="auto" w:sz="4" w:space="0"/>
              <w:bottom w:val="single" w:color="auto" w:sz="4" w:space="0"/>
              <w:right w:val="single" w:color="auto" w:sz="4" w:space="0"/>
            </w:tcBorders>
          </w:tcPr>
          <w:p w:rsidR="002D432A" w:rsidP="002D432A" w:rsidRDefault="002D432A" w14:paraId="4CA210B5" w14:textId="45131133">
            <w:pPr>
              <w:rPr>
                <w:rFonts w:cstheme="minorHAnsi"/>
                <w:sz w:val="24"/>
                <w:szCs w:val="24"/>
              </w:rPr>
            </w:pPr>
            <w:r>
              <w:rPr>
                <w:rFonts w:cstheme="minorHAnsi"/>
                <w:bCs/>
                <w:sz w:val="24"/>
                <w:szCs w:val="24"/>
              </w:rPr>
              <w:t>Web survey</w:t>
            </w:r>
          </w:p>
        </w:tc>
        <w:tc>
          <w:tcPr>
            <w:tcW w:w="1267"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0067C6E6" w14:textId="05D35B1F">
            <w:pPr>
              <w:jc w:val="center"/>
              <w:rPr>
                <w:rFonts w:cstheme="minorHAnsi"/>
                <w:sz w:val="24"/>
                <w:szCs w:val="24"/>
              </w:rPr>
            </w:pPr>
            <w:r>
              <w:rPr>
                <w:rFonts w:cstheme="minorHAnsi"/>
                <w:sz w:val="24"/>
                <w:szCs w:val="24"/>
              </w:rPr>
              <w:t>667</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2846228C" w14:textId="0EE602EE">
            <w:pPr>
              <w:jc w:val="center"/>
              <w:rPr>
                <w:rFonts w:cstheme="minorHAnsi"/>
                <w:sz w:val="24"/>
                <w:szCs w:val="24"/>
              </w:rPr>
            </w:pPr>
            <w:r>
              <w:rPr>
                <w:rFonts w:cstheme="minorHAnsi"/>
                <w:sz w:val="24"/>
                <w:szCs w:val="24"/>
              </w:rPr>
              <w:t>1</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25A82928" w14:textId="29E440E3">
            <w:pPr>
              <w:jc w:val="center"/>
              <w:rPr>
                <w:rFonts w:cstheme="minorHAnsi"/>
                <w:sz w:val="24"/>
                <w:szCs w:val="24"/>
              </w:rPr>
            </w:pPr>
            <w:r>
              <w:rPr>
                <w:rFonts w:cstheme="minorHAnsi"/>
                <w:sz w:val="24"/>
                <w:szCs w:val="24"/>
              </w:rPr>
              <w:t>15/60</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3F3FB2A8" w14:textId="0908ECE2">
            <w:pPr>
              <w:jc w:val="center"/>
              <w:rPr>
                <w:rFonts w:cstheme="minorHAnsi"/>
                <w:sz w:val="24"/>
                <w:szCs w:val="24"/>
              </w:rPr>
            </w:pPr>
            <w:r>
              <w:rPr>
                <w:rFonts w:cstheme="minorHAnsi"/>
                <w:sz w:val="24"/>
                <w:szCs w:val="24"/>
              </w:rPr>
              <w:t>167</w:t>
            </w:r>
          </w:p>
        </w:tc>
        <w:tc>
          <w:tcPr>
            <w:tcW w:w="1268" w:type="dxa"/>
            <w:tcBorders>
              <w:top w:val="single" w:color="auto" w:sz="4" w:space="0"/>
              <w:left w:val="single" w:color="auto" w:sz="4" w:space="0"/>
              <w:bottom w:val="single" w:color="auto" w:sz="4" w:space="0"/>
              <w:right w:val="single" w:color="auto" w:sz="4" w:space="0"/>
            </w:tcBorders>
            <w:vAlign w:val="center"/>
          </w:tcPr>
          <w:p w:rsidRPr="00780685" w:rsidR="002D432A" w:rsidP="002D432A" w:rsidRDefault="002D432A" w14:paraId="09B5A9AE" w14:textId="50CA6B19">
            <w:pPr>
              <w:autoSpaceDE w:val="0"/>
              <w:autoSpaceDN w:val="0"/>
              <w:adjustRightInd w:val="0"/>
              <w:jc w:val="center"/>
              <w:rPr>
                <w:rFonts w:cstheme="minorHAnsi"/>
                <w:sz w:val="24"/>
                <w:szCs w:val="24"/>
                <w:highlight w:val="yellow"/>
              </w:rPr>
            </w:pPr>
            <w:r w:rsidRPr="00EA6C9C">
              <w:rPr>
                <w:rFonts w:cstheme="minorHAnsi"/>
                <w:sz w:val="24"/>
                <w:szCs w:val="24"/>
              </w:rPr>
              <w:t>$25.72</w:t>
            </w:r>
          </w:p>
        </w:tc>
        <w:tc>
          <w:tcPr>
            <w:tcW w:w="1530" w:type="dxa"/>
            <w:tcBorders>
              <w:top w:val="single" w:color="auto" w:sz="4" w:space="0"/>
              <w:left w:val="single" w:color="auto" w:sz="4" w:space="0"/>
              <w:bottom w:val="single" w:color="auto" w:sz="4" w:space="0"/>
              <w:right w:val="single" w:color="auto" w:sz="4" w:space="0"/>
            </w:tcBorders>
            <w:vAlign w:val="center"/>
          </w:tcPr>
          <w:p w:rsidRPr="002D432A" w:rsidR="002D432A" w:rsidP="009E3122" w:rsidRDefault="002D432A" w14:paraId="193B391A" w14:textId="0342F5D9">
            <w:pPr>
              <w:autoSpaceDE w:val="0"/>
              <w:autoSpaceDN w:val="0"/>
              <w:adjustRightInd w:val="0"/>
              <w:ind w:right="250"/>
              <w:jc w:val="right"/>
              <w:rPr>
                <w:rFonts w:cstheme="minorHAnsi"/>
                <w:sz w:val="24"/>
                <w:szCs w:val="24"/>
              </w:rPr>
            </w:pPr>
            <w:r w:rsidRPr="009E3122">
              <w:rPr>
                <w:rFonts w:ascii="Calibri" w:hAnsi="Calibri" w:cs="Calibri"/>
                <w:color w:val="000000"/>
                <w:sz w:val="24"/>
                <w:szCs w:val="24"/>
              </w:rPr>
              <w:t>$4,</w:t>
            </w:r>
            <w:r w:rsidR="008F39AB">
              <w:rPr>
                <w:rFonts w:ascii="Calibri" w:hAnsi="Calibri" w:cs="Calibri"/>
                <w:color w:val="000000"/>
                <w:sz w:val="24"/>
                <w:szCs w:val="24"/>
              </w:rPr>
              <w:t>295.24</w:t>
            </w:r>
          </w:p>
        </w:tc>
      </w:tr>
      <w:tr w:rsidR="002D432A" w:rsidTr="009E3122" w14:paraId="58320606" w14:textId="77777777">
        <w:tc>
          <w:tcPr>
            <w:tcW w:w="1311" w:type="dxa"/>
            <w:tcBorders>
              <w:top w:val="single" w:color="auto" w:sz="4" w:space="0"/>
              <w:left w:val="single" w:color="auto" w:sz="4" w:space="0"/>
              <w:bottom w:val="single" w:color="auto" w:sz="4" w:space="0"/>
              <w:right w:val="single" w:color="auto" w:sz="4" w:space="0"/>
            </w:tcBorders>
          </w:tcPr>
          <w:p w:rsidR="002D432A" w:rsidP="002D432A" w:rsidRDefault="002D432A" w14:paraId="7816D47D" w14:textId="6FE8A23C">
            <w:pPr>
              <w:rPr>
                <w:rFonts w:cstheme="minorHAnsi"/>
                <w:sz w:val="24"/>
                <w:szCs w:val="24"/>
              </w:rPr>
            </w:pPr>
            <w:r>
              <w:rPr>
                <w:rFonts w:cstheme="minorHAnsi"/>
                <w:bCs/>
                <w:sz w:val="24"/>
                <w:szCs w:val="24"/>
              </w:rPr>
              <w:t>Paper survey</w:t>
            </w:r>
          </w:p>
        </w:tc>
        <w:tc>
          <w:tcPr>
            <w:tcW w:w="1267"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1EE2AA56" w14:textId="4B02ECC8">
            <w:pPr>
              <w:jc w:val="center"/>
              <w:rPr>
                <w:rFonts w:cstheme="minorHAnsi"/>
                <w:sz w:val="24"/>
                <w:szCs w:val="24"/>
              </w:rPr>
            </w:pPr>
            <w:r>
              <w:rPr>
                <w:rFonts w:cstheme="minorHAnsi"/>
                <w:sz w:val="24"/>
                <w:szCs w:val="24"/>
              </w:rPr>
              <w:t>333</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78AD6082" w14:textId="46C1D58D">
            <w:pPr>
              <w:jc w:val="center"/>
              <w:rPr>
                <w:rFonts w:cstheme="minorHAnsi"/>
                <w:sz w:val="24"/>
                <w:szCs w:val="24"/>
              </w:rPr>
            </w:pPr>
            <w:r>
              <w:rPr>
                <w:rFonts w:cstheme="minorHAnsi"/>
                <w:sz w:val="24"/>
                <w:szCs w:val="24"/>
              </w:rPr>
              <w:t>1</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2E5C4F11" w14:textId="1EB08B64">
            <w:pPr>
              <w:jc w:val="center"/>
              <w:rPr>
                <w:rFonts w:cstheme="minorHAnsi"/>
                <w:sz w:val="24"/>
                <w:szCs w:val="24"/>
              </w:rPr>
            </w:pPr>
            <w:r>
              <w:rPr>
                <w:rFonts w:cstheme="minorHAnsi"/>
                <w:sz w:val="24"/>
                <w:szCs w:val="24"/>
              </w:rPr>
              <w:t>30/60</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F45F10" w14:paraId="26521220" w14:textId="2436E413">
            <w:pPr>
              <w:jc w:val="center"/>
              <w:rPr>
                <w:rFonts w:cstheme="minorHAnsi"/>
                <w:sz w:val="24"/>
                <w:szCs w:val="24"/>
              </w:rPr>
            </w:pPr>
            <w:r>
              <w:rPr>
                <w:rFonts w:cstheme="minorHAnsi"/>
                <w:sz w:val="24"/>
                <w:szCs w:val="24"/>
              </w:rPr>
              <w:t>167</w:t>
            </w:r>
          </w:p>
        </w:tc>
        <w:tc>
          <w:tcPr>
            <w:tcW w:w="1268" w:type="dxa"/>
            <w:tcBorders>
              <w:top w:val="single" w:color="auto" w:sz="4" w:space="0"/>
              <w:left w:val="single" w:color="auto" w:sz="4" w:space="0"/>
              <w:bottom w:val="single" w:color="auto" w:sz="4" w:space="0"/>
              <w:right w:val="single" w:color="auto" w:sz="4" w:space="0"/>
            </w:tcBorders>
            <w:vAlign w:val="center"/>
          </w:tcPr>
          <w:p w:rsidRPr="00780685" w:rsidR="002D432A" w:rsidP="002D432A" w:rsidRDefault="002D432A" w14:paraId="358E0C06" w14:textId="1CB15F07">
            <w:pPr>
              <w:autoSpaceDE w:val="0"/>
              <w:autoSpaceDN w:val="0"/>
              <w:adjustRightInd w:val="0"/>
              <w:jc w:val="center"/>
              <w:rPr>
                <w:rFonts w:cstheme="minorHAnsi"/>
                <w:sz w:val="24"/>
                <w:szCs w:val="24"/>
                <w:highlight w:val="yellow"/>
              </w:rPr>
            </w:pPr>
            <w:r w:rsidRPr="00EA6C9C">
              <w:rPr>
                <w:rFonts w:cstheme="minorHAnsi"/>
                <w:sz w:val="24"/>
                <w:szCs w:val="24"/>
              </w:rPr>
              <w:t>$25.72</w:t>
            </w:r>
          </w:p>
        </w:tc>
        <w:tc>
          <w:tcPr>
            <w:tcW w:w="1530" w:type="dxa"/>
            <w:tcBorders>
              <w:top w:val="single" w:color="auto" w:sz="4" w:space="0"/>
              <w:left w:val="single" w:color="auto" w:sz="4" w:space="0"/>
              <w:bottom w:val="single" w:color="auto" w:sz="4" w:space="0"/>
              <w:right w:val="single" w:color="auto" w:sz="4" w:space="0"/>
            </w:tcBorders>
            <w:vAlign w:val="center"/>
          </w:tcPr>
          <w:p w:rsidRPr="002D432A" w:rsidR="002D432A" w:rsidP="009E3122" w:rsidRDefault="002D432A" w14:paraId="25701713" w14:textId="0DBF5818">
            <w:pPr>
              <w:autoSpaceDE w:val="0"/>
              <w:autoSpaceDN w:val="0"/>
              <w:adjustRightInd w:val="0"/>
              <w:ind w:right="250"/>
              <w:jc w:val="right"/>
              <w:rPr>
                <w:rFonts w:cstheme="minorHAnsi"/>
                <w:sz w:val="24"/>
                <w:szCs w:val="24"/>
              </w:rPr>
            </w:pPr>
            <w:r w:rsidRPr="009E3122">
              <w:rPr>
                <w:rFonts w:ascii="Calibri" w:hAnsi="Calibri" w:cs="Calibri"/>
                <w:color w:val="000000"/>
                <w:sz w:val="24"/>
                <w:szCs w:val="24"/>
              </w:rPr>
              <w:t>$</w:t>
            </w:r>
            <w:r w:rsidR="00697B58">
              <w:rPr>
                <w:rFonts w:ascii="Calibri" w:hAnsi="Calibri" w:cs="Calibri"/>
                <w:color w:val="000000"/>
                <w:sz w:val="24"/>
                <w:szCs w:val="24"/>
              </w:rPr>
              <w:t>4,295.24</w:t>
            </w:r>
          </w:p>
        </w:tc>
      </w:tr>
      <w:tr w:rsidR="002D432A" w:rsidTr="009E3122" w14:paraId="775DA789" w14:textId="77777777">
        <w:tc>
          <w:tcPr>
            <w:tcW w:w="1311" w:type="dxa"/>
            <w:tcBorders>
              <w:top w:val="single" w:color="auto" w:sz="4" w:space="0"/>
              <w:left w:val="single" w:color="auto" w:sz="4" w:space="0"/>
              <w:bottom w:val="single" w:color="auto" w:sz="4" w:space="0"/>
              <w:right w:val="single" w:color="auto" w:sz="4" w:space="0"/>
            </w:tcBorders>
          </w:tcPr>
          <w:p w:rsidR="002D432A" w:rsidP="002D432A" w:rsidRDefault="002D432A" w14:paraId="2B77F8DA" w14:textId="67DD992A">
            <w:pPr>
              <w:rPr>
                <w:rFonts w:cstheme="minorHAnsi"/>
                <w:bCs/>
                <w:sz w:val="24"/>
                <w:szCs w:val="24"/>
              </w:rPr>
            </w:pPr>
            <w:r>
              <w:rPr>
                <w:rFonts w:cstheme="minorHAnsi"/>
                <w:sz w:val="24"/>
                <w:szCs w:val="24"/>
              </w:rPr>
              <w:t>Focus group screener</w:t>
            </w:r>
          </w:p>
        </w:tc>
        <w:tc>
          <w:tcPr>
            <w:tcW w:w="1267"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34927ACB" w14:textId="3B49C317">
            <w:pPr>
              <w:jc w:val="center"/>
              <w:rPr>
                <w:rFonts w:cstheme="minorHAnsi"/>
                <w:sz w:val="24"/>
                <w:szCs w:val="24"/>
              </w:rPr>
            </w:pPr>
            <w:r>
              <w:rPr>
                <w:rFonts w:cstheme="minorHAnsi"/>
                <w:sz w:val="24"/>
                <w:szCs w:val="24"/>
              </w:rPr>
              <w:t>24</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727D8F0A" w14:textId="17CE133D">
            <w:pPr>
              <w:jc w:val="center"/>
              <w:rPr>
                <w:rFonts w:cstheme="minorHAnsi"/>
                <w:sz w:val="24"/>
                <w:szCs w:val="24"/>
              </w:rPr>
            </w:pPr>
            <w:r>
              <w:rPr>
                <w:rFonts w:cstheme="minorHAnsi"/>
                <w:sz w:val="24"/>
                <w:szCs w:val="24"/>
              </w:rPr>
              <w:t>1</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55E575E8" w14:textId="57C4C262">
            <w:pPr>
              <w:jc w:val="center"/>
              <w:rPr>
                <w:rFonts w:cstheme="minorHAnsi"/>
                <w:sz w:val="24"/>
                <w:szCs w:val="24"/>
              </w:rPr>
            </w:pPr>
            <w:r>
              <w:rPr>
                <w:rFonts w:cstheme="minorHAnsi"/>
                <w:sz w:val="24"/>
                <w:szCs w:val="24"/>
              </w:rPr>
              <w:t>5/60</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5EE9281C" w14:textId="7A127A54">
            <w:pPr>
              <w:jc w:val="center"/>
              <w:rPr>
                <w:rFonts w:cstheme="minorHAnsi"/>
                <w:sz w:val="24"/>
                <w:szCs w:val="24"/>
              </w:rPr>
            </w:pPr>
            <w:r>
              <w:rPr>
                <w:rFonts w:cstheme="minorHAnsi"/>
                <w:sz w:val="24"/>
                <w:szCs w:val="24"/>
              </w:rPr>
              <w:t>2</w:t>
            </w:r>
          </w:p>
        </w:tc>
        <w:tc>
          <w:tcPr>
            <w:tcW w:w="1268" w:type="dxa"/>
            <w:tcBorders>
              <w:top w:val="single" w:color="auto" w:sz="4" w:space="0"/>
              <w:left w:val="single" w:color="auto" w:sz="4" w:space="0"/>
              <w:bottom w:val="single" w:color="auto" w:sz="4" w:space="0"/>
              <w:right w:val="single" w:color="auto" w:sz="4" w:space="0"/>
            </w:tcBorders>
            <w:vAlign w:val="center"/>
          </w:tcPr>
          <w:p w:rsidRPr="00EA6C9C" w:rsidR="002D432A" w:rsidP="002D432A" w:rsidRDefault="002D432A" w14:paraId="31B4AA6A" w14:textId="474B615C">
            <w:pPr>
              <w:autoSpaceDE w:val="0"/>
              <w:autoSpaceDN w:val="0"/>
              <w:adjustRightInd w:val="0"/>
              <w:jc w:val="center"/>
              <w:rPr>
                <w:rFonts w:cstheme="minorHAnsi"/>
                <w:sz w:val="24"/>
                <w:szCs w:val="24"/>
              </w:rPr>
            </w:pPr>
            <w:r w:rsidRPr="00EA6C9C">
              <w:rPr>
                <w:rFonts w:cstheme="minorHAnsi"/>
                <w:sz w:val="24"/>
                <w:szCs w:val="24"/>
              </w:rPr>
              <w:t>$25.72</w:t>
            </w:r>
          </w:p>
        </w:tc>
        <w:tc>
          <w:tcPr>
            <w:tcW w:w="1530" w:type="dxa"/>
            <w:tcBorders>
              <w:top w:val="single" w:color="auto" w:sz="4" w:space="0"/>
              <w:left w:val="single" w:color="auto" w:sz="4" w:space="0"/>
              <w:bottom w:val="single" w:color="auto" w:sz="4" w:space="0"/>
              <w:right w:val="single" w:color="auto" w:sz="4" w:space="0"/>
            </w:tcBorders>
            <w:vAlign w:val="center"/>
          </w:tcPr>
          <w:p w:rsidRPr="002D432A" w:rsidR="002D432A" w:rsidP="009E3122" w:rsidRDefault="002D432A" w14:paraId="7AFA8217" w14:textId="7924CC85">
            <w:pPr>
              <w:autoSpaceDE w:val="0"/>
              <w:autoSpaceDN w:val="0"/>
              <w:adjustRightInd w:val="0"/>
              <w:ind w:right="250"/>
              <w:jc w:val="right"/>
              <w:rPr>
                <w:rFonts w:cstheme="minorHAnsi"/>
                <w:sz w:val="24"/>
                <w:szCs w:val="24"/>
              </w:rPr>
            </w:pPr>
            <w:r w:rsidRPr="009E3122">
              <w:rPr>
                <w:rFonts w:ascii="Calibri" w:hAnsi="Calibri" w:cs="Calibri"/>
                <w:color w:val="000000"/>
                <w:sz w:val="24"/>
                <w:szCs w:val="24"/>
              </w:rPr>
              <w:t>$51.44</w:t>
            </w:r>
          </w:p>
        </w:tc>
      </w:tr>
      <w:tr w:rsidR="002D432A" w:rsidTr="009E3122" w14:paraId="1E83101B" w14:textId="77777777">
        <w:tc>
          <w:tcPr>
            <w:tcW w:w="1311" w:type="dxa"/>
            <w:tcBorders>
              <w:top w:val="single" w:color="auto" w:sz="4" w:space="0"/>
              <w:left w:val="single" w:color="auto" w:sz="4" w:space="0"/>
              <w:bottom w:val="single" w:color="auto" w:sz="4" w:space="0"/>
              <w:right w:val="single" w:color="auto" w:sz="4" w:space="0"/>
            </w:tcBorders>
          </w:tcPr>
          <w:p w:rsidR="002D432A" w:rsidP="002D432A" w:rsidRDefault="002D432A" w14:paraId="121DF105" w14:textId="2B4075EE">
            <w:pPr>
              <w:rPr>
                <w:rFonts w:cstheme="minorHAnsi"/>
                <w:sz w:val="24"/>
                <w:szCs w:val="24"/>
              </w:rPr>
            </w:pPr>
            <w:r>
              <w:rPr>
                <w:rFonts w:cstheme="minorHAnsi"/>
                <w:sz w:val="24"/>
                <w:szCs w:val="24"/>
              </w:rPr>
              <w:t>Focus group</w:t>
            </w:r>
          </w:p>
        </w:tc>
        <w:tc>
          <w:tcPr>
            <w:tcW w:w="1267"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21B40251" w14:textId="225B8845">
            <w:pPr>
              <w:jc w:val="center"/>
              <w:rPr>
                <w:rFonts w:cstheme="minorHAnsi"/>
                <w:sz w:val="24"/>
                <w:szCs w:val="24"/>
              </w:rPr>
            </w:pPr>
            <w:r>
              <w:rPr>
                <w:rFonts w:cstheme="minorHAnsi"/>
                <w:sz w:val="24"/>
                <w:szCs w:val="24"/>
              </w:rPr>
              <w:t>24</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11C9AB6E" w14:textId="12FB5BEE">
            <w:pPr>
              <w:jc w:val="center"/>
              <w:rPr>
                <w:rFonts w:cstheme="minorHAnsi"/>
                <w:sz w:val="24"/>
                <w:szCs w:val="24"/>
              </w:rPr>
            </w:pPr>
            <w:r>
              <w:rPr>
                <w:rFonts w:cstheme="minorHAnsi"/>
                <w:sz w:val="24"/>
                <w:szCs w:val="24"/>
              </w:rPr>
              <w:t>1</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00C251D0" w14:textId="2CBD47E0">
            <w:pPr>
              <w:jc w:val="center"/>
              <w:rPr>
                <w:rFonts w:cstheme="minorHAnsi"/>
                <w:sz w:val="24"/>
                <w:szCs w:val="24"/>
              </w:rPr>
            </w:pPr>
            <w:r>
              <w:rPr>
                <w:rFonts w:cstheme="minorHAnsi"/>
                <w:sz w:val="24"/>
                <w:szCs w:val="24"/>
              </w:rPr>
              <w:t>2</w:t>
            </w: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39C94A8A" w14:textId="0969A02B">
            <w:pPr>
              <w:jc w:val="center"/>
              <w:rPr>
                <w:rFonts w:cstheme="minorHAnsi"/>
                <w:sz w:val="24"/>
                <w:szCs w:val="24"/>
              </w:rPr>
            </w:pPr>
            <w:r>
              <w:rPr>
                <w:rFonts w:cstheme="minorHAnsi"/>
                <w:sz w:val="24"/>
                <w:szCs w:val="24"/>
              </w:rPr>
              <w:t>48</w:t>
            </w:r>
          </w:p>
        </w:tc>
        <w:tc>
          <w:tcPr>
            <w:tcW w:w="1268" w:type="dxa"/>
            <w:tcBorders>
              <w:top w:val="single" w:color="auto" w:sz="4" w:space="0"/>
              <w:left w:val="single" w:color="auto" w:sz="4" w:space="0"/>
              <w:bottom w:val="single" w:color="auto" w:sz="4" w:space="0"/>
              <w:right w:val="single" w:color="auto" w:sz="4" w:space="0"/>
            </w:tcBorders>
            <w:vAlign w:val="center"/>
          </w:tcPr>
          <w:p w:rsidRPr="00780685" w:rsidR="002D432A" w:rsidP="002D432A" w:rsidRDefault="002D432A" w14:paraId="7A3D6FE4" w14:textId="5806908E">
            <w:pPr>
              <w:autoSpaceDE w:val="0"/>
              <w:autoSpaceDN w:val="0"/>
              <w:adjustRightInd w:val="0"/>
              <w:jc w:val="center"/>
              <w:rPr>
                <w:rFonts w:cstheme="minorHAnsi"/>
                <w:sz w:val="24"/>
                <w:szCs w:val="24"/>
                <w:highlight w:val="yellow"/>
              </w:rPr>
            </w:pPr>
            <w:r w:rsidRPr="00EA6C9C">
              <w:rPr>
                <w:rFonts w:cstheme="minorHAnsi"/>
                <w:sz w:val="24"/>
                <w:szCs w:val="24"/>
              </w:rPr>
              <w:t>$25.72</w:t>
            </w:r>
          </w:p>
        </w:tc>
        <w:tc>
          <w:tcPr>
            <w:tcW w:w="1530" w:type="dxa"/>
            <w:tcBorders>
              <w:top w:val="single" w:color="auto" w:sz="4" w:space="0"/>
              <w:left w:val="single" w:color="auto" w:sz="4" w:space="0"/>
              <w:bottom w:val="single" w:color="auto" w:sz="4" w:space="0"/>
              <w:right w:val="single" w:color="auto" w:sz="4" w:space="0"/>
            </w:tcBorders>
            <w:vAlign w:val="center"/>
          </w:tcPr>
          <w:p w:rsidRPr="002D432A" w:rsidR="002D432A" w:rsidP="009E3122" w:rsidRDefault="002D432A" w14:paraId="21FA6861" w14:textId="15A7323F">
            <w:pPr>
              <w:autoSpaceDE w:val="0"/>
              <w:autoSpaceDN w:val="0"/>
              <w:adjustRightInd w:val="0"/>
              <w:ind w:right="250"/>
              <w:jc w:val="right"/>
              <w:rPr>
                <w:rFonts w:cstheme="minorHAnsi"/>
                <w:sz w:val="24"/>
                <w:szCs w:val="24"/>
                <w:highlight w:val="yellow"/>
              </w:rPr>
            </w:pPr>
            <w:r w:rsidRPr="009E3122">
              <w:rPr>
                <w:rFonts w:ascii="Calibri" w:hAnsi="Calibri" w:cs="Calibri"/>
                <w:color w:val="000000"/>
                <w:sz w:val="24"/>
                <w:szCs w:val="24"/>
              </w:rPr>
              <w:t>$1,234.56</w:t>
            </w:r>
          </w:p>
        </w:tc>
      </w:tr>
      <w:tr w:rsidR="002D432A" w:rsidTr="009E3122" w14:paraId="6E3574BA" w14:textId="77777777">
        <w:tc>
          <w:tcPr>
            <w:tcW w:w="1311" w:type="dxa"/>
            <w:tcBorders>
              <w:top w:val="single" w:color="auto" w:sz="4" w:space="0"/>
              <w:left w:val="single" w:color="auto" w:sz="4" w:space="0"/>
              <w:bottom w:val="single" w:color="auto" w:sz="4" w:space="0"/>
              <w:right w:val="single" w:color="auto" w:sz="4" w:space="0"/>
            </w:tcBorders>
          </w:tcPr>
          <w:p w:rsidR="002D432A" w:rsidP="002D432A" w:rsidRDefault="002D432A" w14:paraId="250D9E7F" w14:textId="4925DACC">
            <w:pPr>
              <w:rPr>
                <w:rFonts w:cstheme="minorHAnsi"/>
                <w:sz w:val="24"/>
                <w:szCs w:val="24"/>
              </w:rPr>
            </w:pPr>
            <w:r>
              <w:rPr>
                <w:rFonts w:cstheme="minorHAnsi"/>
                <w:sz w:val="24"/>
                <w:szCs w:val="24"/>
              </w:rPr>
              <w:t>Total</w:t>
            </w:r>
          </w:p>
        </w:tc>
        <w:tc>
          <w:tcPr>
            <w:tcW w:w="1267"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16863AF1" w14:textId="77777777">
            <w:pPr>
              <w:jc w:val="center"/>
              <w:rPr>
                <w:rFonts w:cstheme="minorHAnsi"/>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368FE9FF" w14:textId="77777777">
            <w:pPr>
              <w:jc w:val="center"/>
              <w:rPr>
                <w:rFonts w:cstheme="minorHAnsi"/>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4A10A930" w14:textId="77777777">
            <w:pPr>
              <w:jc w:val="center"/>
              <w:rPr>
                <w:rFonts w:cstheme="minorHAnsi"/>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rsidR="002D432A" w:rsidP="002D432A" w:rsidRDefault="002D432A" w14:paraId="7C377033" w14:textId="77777777">
            <w:pPr>
              <w:jc w:val="center"/>
              <w:rPr>
                <w:rFonts w:cstheme="minorHAnsi"/>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rsidRPr="00780685" w:rsidR="002D432A" w:rsidP="002D432A" w:rsidRDefault="002D432A" w14:paraId="75D84597" w14:textId="77777777">
            <w:pPr>
              <w:autoSpaceDE w:val="0"/>
              <w:autoSpaceDN w:val="0"/>
              <w:adjustRightInd w:val="0"/>
              <w:jc w:val="center"/>
              <w:rPr>
                <w:rFonts w:cstheme="minorHAnsi"/>
                <w:sz w:val="24"/>
                <w:szCs w:val="24"/>
                <w:highlight w:val="yellow"/>
              </w:rPr>
            </w:pPr>
          </w:p>
        </w:tc>
        <w:tc>
          <w:tcPr>
            <w:tcW w:w="1530" w:type="dxa"/>
            <w:tcBorders>
              <w:top w:val="single" w:color="auto" w:sz="4" w:space="0"/>
              <w:left w:val="single" w:color="auto" w:sz="4" w:space="0"/>
              <w:bottom w:val="single" w:color="auto" w:sz="4" w:space="0"/>
              <w:right w:val="single" w:color="auto" w:sz="4" w:space="0"/>
            </w:tcBorders>
            <w:vAlign w:val="center"/>
          </w:tcPr>
          <w:p w:rsidRPr="002D432A" w:rsidR="002D432A" w:rsidP="009E3122" w:rsidRDefault="002D432A" w14:paraId="04F2B5CF" w14:textId="3CAED8A9">
            <w:pPr>
              <w:autoSpaceDE w:val="0"/>
              <w:autoSpaceDN w:val="0"/>
              <w:adjustRightInd w:val="0"/>
              <w:ind w:right="250"/>
              <w:jc w:val="right"/>
              <w:rPr>
                <w:rFonts w:cstheme="minorHAnsi"/>
                <w:sz w:val="24"/>
                <w:szCs w:val="24"/>
                <w:highlight w:val="yellow"/>
              </w:rPr>
            </w:pPr>
            <w:r w:rsidRPr="009E3122">
              <w:rPr>
                <w:rFonts w:ascii="Calibri" w:hAnsi="Calibri" w:cs="Calibri"/>
                <w:color w:val="000000"/>
                <w:sz w:val="24"/>
                <w:szCs w:val="24"/>
              </w:rPr>
              <w:t>$9,</w:t>
            </w:r>
            <w:r w:rsidR="00B62B49">
              <w:rPr>
                <w:rFonts w:ascii="Calibri" w:hAnsi="Calibri" w:cs="Calibri"/>
                <w:color w:val="000000"/>
                <w:sz w:val="24"/>
                <w:szCs w:val="24"/>
              </w:rPr>
              <w:t>876.48</w:t>
            </w:r>
          </w:p>
        </w:tc>
      </w:tr>
    </w:tbl>
    <w:p w:rsidRPr="00954252" w:rsidR="0070648C" w:rsidP="003A6521" w:rsidRDefault="0070648C" w14:paraId="63F7F08F" w14:textId="30D941B7">
      <w:pPr>
        <w:spacing w:after="160" w:line="259" w:lineRule="auto"/>
      </w:pPr>
    </w:p>
    <w:p w:rsidRPr="00AA1BC9" w:rsidR="00F1279E" w:rsidP="00947112" w:rsidRDefault="00601F1A" w14:paraId="3887E2D4" w14:textId="58A6F82A">
      <w:pPr>
        <w:pStyle w:val="Heading1"/>
        <w:rPr>
          <w:color w:val="auto"/>
        </w:rPr>
      </w:pPr>
      <w:bookmarkStart w:name="_Toc61000940" w:id="14"/>
      <w:r w:rsidRPr="00AA1BC9">
        <w:rPr>
          <w:color w:val="auto"/>
        </w:rPr>
        <w:t>A.</w:t>
      </w:r>
      <w:r w:rsidRPr="00AA1BC9" w:rsidR="00AC62CC">
        <w:rPr>
          <w:color w:val="auto"/>
        </w:rPr>
        <w:t xml:space="preserve">13.  </w:t>
      </w:r>
      <w:r w:rsidRPr="00AA1BC9" w:rsidR="00B45002">
        <w:rPr>
          <w:color w:val="auto"/>
        </w:rPr>
        <w:t>Estimates of Other Total Annual Cost Burden to Respondents and Record Keepers</w:t>
      </w:r>
      <w:bookmarkEnd w:id="14"/>
    </w:p>
    <w:p w:rsidRPr="00AA1BC9" w:rsidR="00AA1BC9" w:rsidP="00947112" w:rsidRDefault="00AA1BC9" w14:paraId="0B1C863F" w14:textId="77777777">
      <w:pPr>
        <w:autoSpaceDE w:val="0"/>
        <w:autoSpaceDN w:val="0"/>
        <w:adjustRightInd w:val="0"/>
        <w:spacing w:after="0" w:line="240" w:lineRule="auto"/>
        <w:rPr>
          <w:rFonts w:cs="ITCFranklinGothicStd-Book"/>
          <w:sz w:val="24"/>
          <w:szCs w:val="24"/>
        </w:rPr>
      </w:pPr>
    </w:p>
    <w:p w:rsidRPr="00AA1BC9" w:rsidR="00AA1BC9" w:rsidP="00947112" w:rsidRDefault="00AA1BC9" w14:paraId="7E1BC817" w14:textId="14717B6C">
      <w:pPr>
        <w:autoSpaceDE w:val="0"/>
        <w:autoSpaceDN w:val="0"/>
        <w:adjustRightInd w:val="0"/>
        <w:spacing w:after="0" w:line="240" w:lineRule="auto"/>
        <w:rPr>
          <w:rFonts w:cs="ITCFranklinGothicStd-Book"/>
          <w:sz w:val="24"/>
          <w:szCs w:val="24"/>
        </w:rPr>
      </w:pPr>
      <w:r w:rsidRPr="00AA1BC9">
        <w:rPr>
          <w:rFonts w:cs="ITCFranklinGothicStd-Book"/>
          <w:sz w:val="24"/>
          <w:szCs w:val="24"/>
        </w:rPr>
        <w:t xml:space="preserve">There are no additional costs to respondents. </w:t>
      </w:r>
    </w:p>
    <w:p w:rsidRPr="00B06E24" w:rsidR="00B45002" w:rsidP="00947112" w:rsidRDefault="00601F1A" w14:paraId="2DC96AD8" w14:textId="005F4E9C">
      <w:pPr>
        <w:pStyle w:val="Heading1"/>
        <w:rPr>
          <w:color w:val="auto"/>
        </w:rPr>
      </w:pPr>
      <w:bookmarkStart w:name="_Toc61000941" w:id="15"/>
      <w:r w:rsidRPr="00B06E24">
        <w:rPr>
          <w:color w:val="auto"/>
        </w:rPr>
        <w:t>A.</w:t>
      </w:r>
      <w:r w:rsidRPr="00B06E24" w:rsidR="00AC62CC">
        <w:rPr>
          <w:color w:val="auto"/>
        </w:rPr>
        <w:t xml:space="preserve">14.  </w:t>
      </w:r>
      <w:r w:rsidRPr="00B06E24" w:rsidR="00B45002">
        <w:rPr>
          <w:color w:val="auto"/>
        </w:rPr>
        <w:t>Annualized Cost to the Federal Government</w:t>
      </w:r>
      <w:bookmarkEnd w:id="15"/>
    </w:p>
    <w:p w:rsidRPr="00B06E24" w:rsidR="00DB65F8" w:rsidP="00947112" w:rsidRDefault="00DB65F8" w14:paraId="1BC0D1EF" w14:textId="16E4BBFA">
      <w:pPr>
        <w:spacing w:after="0"/>
        <w:rPr>
          <w:sz w:val="24"/>
          <w:szCs w:val="24"/>
        </w:rPr>
      </w:pPr>
    </w:p>
    <w:p w:rsidR="00947112" w:rsidP="0008716B" w:rsidRDefault="00DB65F8" w14:paraId="4A66D0B1" w14:textId="277928AB">
      <w:pPr>
        <w:spacing w:after="0"/>
        <w:jc w:val="both"/>
        <w:rPr>
          <w:sz w:val="24"/>
          <w:szCs w:val="24"/>
        </w:rPr>
      </w:pPr>
      <w:r w:rsidRPr="00B06E24">
        <w:rPr>
          <w:sz w:val="24"/>
          <w:szCs w:val="24"/>
        </w:rPr>
        <w:t xml:space="preserve">The estimated annualized cost to the Federal Government </w:t>
      </w:r>
      <w:r w:rsidR="00543F85">
        <w:rPr>
          <w:sz w:val="24"/>
          <w:szCs w:val="24"/>
        </w:rPr>
        <w:t>for</w:t>
      </w:r>
      <w:r w:rsidR="00F0077B">
        <w:rPr>
          <w:sz w:val="24"/>
          <w:szCs w:val="24"/>
        </w:rPr>
        <w:t xml:space="preserve"> this OMB approval </w:t>
      </w:r>
      <w:r w:rsidRPr="00850142" w:rsidR="00F0077B">
        <w:rPr>
          <w:sz w:val="24"/>
          <w:szCs w:val="24"/>
        </w:rPr>
        <w:t>is</w:t>
      </w:r>
      <w:r w:rsidR="00850142">
        <w:rPr>
          <w:sz w:val="24"/>
          <w:szCs w:val="24"/>
        </w:rPr>
        <w:t xml:space="preserve"> $2</w:t>
      </w:r>
      <w:r w:rsidR="002F7826">
        <w:rPr>
          <w:sz w:val="24"/>
          <w:szCs w:val="24"/>
        </w:rPr>
        <w:t>2</w:t>
      </w:r>
      <w:r w:rsidR="00850142">
        <w:rPr>
          <w:sz w:val="24"/>
          <w:szCs w:val="24"/>
        </w:rPr>
        <w:t>5,</w:t>
      </w:r>
      <w:r w:rsidR="002F7826">
        <w:rPr>
          <w:sz w:val="24"/>
          <w:szCs w:val="24"/>
        </w:rPr>
        <w:t>302.65</w:t>
      </w:r>
      <w:r w:rsidRPr="00850142" w:rsidR="00F0077B">
        <w:rPr>
          <w:sz w:val="24"/>
          <w:szCs w:val="24"/>
        </w:rPr>
        <w:t xml:space="preserve"> </w:t>
      </w:r>
      <w:r w:rsidR="00F0077B">
        <w:rPr>
          <w:sz w:val="24"/>
          <w:szCs w:val="24"/>
        </w:rPr>
        <w:t>and</w:t>
      </w:r>
      <w:r w:rsidR="007A7D82">
        <w:rPr>
          <w:sz w:val="24"/>
          <w:szCs w:val="24"/>
        </w:rPr>
        <w:t xml:space="preserve"> detailed</w:t>
      </w:r>
      <w:r w:rsidRPr="00B06E24">
        <w:rPr>
          <w:sz w:val="24"/>
          <w:szCs w:val="24"/>
        </w:rPr>
        <w:t xml:space="preserve"> in Table A.1</w:t>
      </w:r>
      <w:r w:rsidR="00FA0331">
        <w:rPr>
          <w:sz w:val="24"/>
          <w:szCs w:val="24"/>
        </w:rPr>
        <w:t>4</w:t>
      </w:r>
      <w:r w:rsidRPr="00B06E24">
        <w:rPr>
          <w:sz w:val="24"/>
          <w:szCs w:val="24"/>
        </w:rPr>
        <w:t>.1.</w:t>
      </w:r>
      <w:r w:rsidRPr="00B06E24" w:rsidR="00B06E24">
        <w:rPr>
          <w:sz w:val="24"/>
          <w:szCs w:val="24"/>
        </w:rPr>
        <w:t xml:space="preserve"> </w:t>
      </w:r>
      <w:r w:rsidRPr="00F0077B" w:rsidR="00F0077B">
        <w:rPr>
          <w:sz w:val="24"/>
          <w:szCs w:val="24"/>
        </w:rPr>
        <w:t xml:space="preserve">This work consists of </w:t>
      </w:r>
      <w:r w:rsidR="00F0077B">
        <w:rPr>
          <w:sz w:val="24"/>
          <w:szCs w:val="24"/>
        </w:rPr>
        <w:t xml:space="preserve">project </w:t>
      </w:r>
      <w:r w:rsidRPr="00F0077B" w:rsidR="00F0077B">
        <w:rPr>
          <w:sz w:val="24"/>
          <w:szCs w:val="24"/>
        </w:rPr>
        <w:t>planning</w:t>
      </w:r>
      <w:r w:rsidR="00F0077B">
        <w:rPr>
          <w:sz w:val="24"/>
          <w:szCs w:val="24"/>
        </w:rPr>
        <w:t xml:space="preserve"> and management</w:t>
      </w:r>
      <w:r w:rsidRPr="00F0077B" w:rsidR="00F0077B">
        <w:rPr>
          <w:sz w:val="24"/>
          <w:szCs w:val="24"/>
        </w:rPr>
        <w:t xml:space="preserve">, developing </w:t>
      </w:r>
      <w:r w:rsidR="00F0077B">
        <w:rPr>
          <w:sz w:val="24"/>
          <w:szCs w:val="24"/>
        </w:rPr>
        <w:t xml:space="preserve">and testing </w:t>
      </w:r>
      <w:r w:rsidRPr="00F0077B" w:rsidR="00F0077B">
        <w:rPr>
          <w:sz w:val="24"/>
          <w:szCs w:val="24"/>
        </w:rPr>
        <w:t xml:space="preserve">the </w:t>
      </w:r>
      <w:r w:rsidR="00F0077B">
        <w:rPr>
          <w:sz w:val="24"/>
          <w:szCs w:val="24"/>
        </w:rPr>
        <w:t xml:space="preserve">survey </w:t>
      </w:r>
      <w:r w:rsidRPr="00F0077B" w:rsidR="00F0077B">
        <w:rPr>
          <w:sz w:val="24"/>
          <w:szCs w:val="24"/>
        </w:rPr>
        <w:t xml:space="preserve">questionnaire, preparation of materials, collecting data, </w:t>
      </w:r>
      <w:r w:rsidR="00F0077B">
        <w:rPr>
          <w:sz w:val="24"/>
          <w:szCs w:val="24"/>
        </w:rPr>
        <w:t xml:space="preserve">analyzing </w:t>
      </w:r>
      <w:r w:rsidRPr="00F0077B" w:rsidR="00F0077B">
        <w:rPr>
          <w:sz w:val="24"/>
          <w:szCs w:val="24"/>
        </w:rPr>
        <w:t>results, and generating data reports. A CDC GS-</w:t>
      </w:r>
      <w:r w:rsidRPr="00092AE9" w:rsidR="00F0077B">
        <w:rPr>
          <w:sz w:val="24"/>
          <w:szCs w:val="24"/>
        </w:rPr>
        <w:t xml:space="preserve">Level </w:t>
      </w:r>
      <w:r w:rsidR="00092AE9">
        <w:rPr>
          <w:sz w:val="24"/>
          <w:szCs w:val="24"/>
        </w:rPr>
        <w:t xml:space="preserve">13 </w:t>
      </w:r>
      <w:r w:rsidRPr="00F0077B" w:rsidR="00F0077B">
        <w:rPr>
          <w:sz w:val="24"/>
          <w:szCs w:val="24"/>
        </w:rPr>
        <w:t>will be responsible for overseeing the</w:t>
      </w:r>
      <w:r w:rsidR="00543F85">
        <w:rPr>
          <w:sz w:val="24"/>
          <w:szCs w:val="24"/>
        </w:rPr>
        <w:t xml:space="preserve"> data collection agent’s</w:t>
      </w:r>
      <w:r w:rsidRPr="00F0077B" w:rsidR="00F0077B">
        <w:rPr>
          <w:sz w:val="24"/>
          <w:szCs w:val="24"/>
        </w:rPr>
        <w:t xml:space="preserve"> work on this project.</w:t>
      </w:r>
    </w:p>
    <w:p w:rsidRPr="00B06E24" w:rsidR="00DB65F8" w:rsidP="00947112" w:rsidRDefault="00F0077B" w14:paraId="600C1207" w14:textId="03F43375">
      <w:pPr>
        <w:spacing w:after="0"/>
        <w:rPr>
          <w:sz w:val="24"/>
          <w:szCs w:val="24"/>
        </w:rPr>
      </w:pPr>
      <w:r w:rsidRPr="00F0077B">
        <w:rPr>
          <w:sz w:val="24"/>
          <w:szCs w:val="24"/>
        </w:rPr>
        <w:lastRenderedPageBreak/>
        <w:t xml:space="preserve"> </w:t>
      </w:r>
    </w:p>
    <w:p w:rsidRPr="00636C94" w:rsidR="00460BD6" w:rsidP="00947112" w:rsidRDefault="00F207D5" w14:paraId="6B86EA0A" w14:textId="4CBE6CEA">
      <w:pPr>
        <w:spacing w:after="0"/>
        <w:rPr>
          <w:rFonts w:cstheme="minorHAnsi"/>
          <w:bCs/>
          <w:sz w:val="24"/>
          <w:szCs w:val="24"/>
        </w:rPr>
      </w:pPr>
      <w:r w:rsidRPr="00636C94">
        <w:rPr>
          <w:rFonts w:cstheme="minorHAnsi"/>
          <w:bCs/>
          <w:sz w:val="24"/>
          <w:szCs w:val="24"/>
        </w:rPr>
        <w:t>Table A.1</w:t>
      </w:r>
      <w:r w:rsidR="00FA0331">
        <w:rPr>
          <w:rFonts w:cstheme="minorHAnsi"/>
          <w:bCs/>
          <w:sz w:val="24"/>
          <w:szCs w:val="24"/>
        </w:rPr>
        <w:t>4</w:t>
      </w:r>
      <w:r w:rsidRPr="00636C94">
        <w:rPr>
          <w:rFonts w:cstheme="minorHAnsi"/>
          <w:bCs/>
          <w:sz w:val="24"/>
          <w:szCs w:val="24"/>
        </w:rPr>
        <w:t xml:space="preserve">.1.  Annualized </w:t>
      </w:r>
      <w:r w:rsidRPr="00636C94" w:rsidR="00636C94">
        <w:rPr>
          <w:rFonts w:cstheme="minorHAnsi"/>
          <w:bCs/>
          <w:sz w:val="24"/>
          <w:szCs w:val="24"/>
        </w:rPr>
        <w:t>C</w:t>
      </w:r>
      <w:r w:rsidRPr="00636C94">
        <w:rPr>
          <w:rFonts w:cstheme="minorHAnsi"/>
          <w:bCs/>
          <w:sz w:val="24"/>
          <w:szCs w:val="24"/>
        </w:rPr>
        <w:t xml:space="preserve">ost to the </w:t>
      </w:r>
      <w:r w:rsidRPr="00636C94" w:rsidR="00636C94">
        <w:rPr>
          <w:rFonts w:cstheme="minorHAnsi"/>
          <w:bCs/>
          <w:sz w:val="24"/>
          <w:szCs w:val="24"/>
        </w:rPr>
        <w:t>F</w:t>
      </w:r>
      <w:r w:rsidRPr="00636C94">
        <w:rPr>
          <w:rFonts w:cstheme="minorHAnsi"/>
          <w:bCs/>
          <w:sz w:val="24"/>
          <w:szCs w:val="24"/>
        </w:rPr>
        <w:t xml:space="preserve">ederal </w:t>
      </w:r>
      <w:r w:rsidRPr="00636C94" w:rsidR="00636C94">
        <w:rPr>
          <w:rFonts w:cstheme="minorHAnsi"/>
          <w:bCs/>
          <w:sz w:val="24"/>
          <w:szCs w:val="24"/>
        </w:rPr>
        <w:t>G</w:t>
      </w:r>
      <w:r w:rsidRPr="00636C94">
        <w:rPr>
          <w:rFonts w:cstheme="minorHAnsi"/>
          <w:bCs/>
          <w:sz w:val="24"/>
          <w:szCs w:val="24"/>
        </w:rPr>
        <w:t>overnment</w:t>
      </w:r>
    </w:p>
    <w:tbl>
      <w:tblPr>
        <w:tblStyle w:val="TableGrid"/>
        <w:tblW w:w="9715" w:type="dxa"/>
        <w:tblLook w:val="04A0" w:firstRow="1" w:lastRow="0" w:firstColumn="1" w:lastColumn="0" w:noHBand="0" w:noVBand="1"/>
      </w:tblPr>
      <w:tblGrid>
        <w:gridCol w:w="5787"/>
        <w:gridCol w:w="2049"/>
        <w:gridCol w:w="1879"/>
      </w:tblGrid>
      <w:tr w:rsidRPr="00DB65F8" w:rsidR="008646B4" w:rsidTr="00222FE0" w14:paraId="63322E70" w14:textId="77777777">
        <w:tc>
          <w:tcPr>
            <w:tcW w:w="5787" w:type="dxa"/>
            <w:shd w:val="clear" w:color="auto" w:fill="4F81BD" w:themeFill="accent1"/>
          </w:tcPr>
          <w:p w:rsidRPr="00DB65F8" w:rsidR="008646B4" w:rsidP="00947112" w:rsidRDefault="008646B4" w14:paraId="6FA86A38" w14:textId="24A46373">
            <w:pPr>
              <w:rPr>
                <w:rFonts w:cstheme="minorHAnsi"/>
                <w:sz w:val="24"/>
                <w:szCs w:val="24"/>
              </w:rPr>
            </w:pPr>
            <w:r w:rsidRPr="00DB65F8">
              <w:rPr>
                <w:rFonts w:cstheme="minorHAnsi"/>
                <w:sz w:val="24"/>
                <w:szCs w:val="24"/>
              </w:rPr>
              <w:t>Item</w:t>
            </w:r>
          </w:p>
        </w:tc>
        <w:tc>
          <w:tcPr>
            <w:tcW w:w="2049" w:type="dxa"/>
            <w:shd w:val="clear" w:color="auto" w:fill="4F81BD" w:themeFill="accent1"/>
          </w:tcPr>
          <w:p w:rsidR="008646B4" w:rsidP="00947112" w:rsidRDefault="008646B4" w14:paraId="1476D4AF" w14:textId="77777777">
            <w:pPr>
              <w:rPr>
                <w:rFonts w:cstheme="minorHAnsi"/>
                <w:sz w:val="24"/>
                <w:szCs w:val="24"/>
              </w:rPr>
            </w:pPr>
            <w:r w:rsidRPr="00DB65F8">
              <w:rPr>
                <w:rFonts w:cstheme="minorHAnsi"/>
                <w:sz w:val="24"/>
                <w:szCs w:val="24"/>
              </w:rPr>
              <w:t>Total cost</w:t>
            </w:r>
            <w:r w:rsidR="00FF78E0">
              <w:rPr>
                <w:rFonts w:cstheme="minorHAnsi"/>
                <w:sz w:val="24"/>
                <w:szCs w:val="24"/>
              </w:rPr>
              <w:t xml:space="preserve"> </w:t>
            </w:r>
          </w:p>
          <w:p w:rsidRPr="00DB65F8" w:rsidR="00F0077B" w:rsidP="00947112" w:rsidRDefault="00F0077B" w14:paraId="2AFFD431" w14:textId="102BB3C2">
            <w:pPr>
              <w:rPr>
                <w:rFonts w:cstheme="minorHAnsi"/>
                <w:sz w:val="24"/>
                <w:szCs w:val="24"/>
              </w:rPr>
            </w:pPr>
          </w:p>
        </w:tc>
        <w:tc>
          <w:tcPr>
            <w:tcW w:w="1879" w:type="dxa"/>
            <w:shd w:val="clear" w:color="auto" w:fill="4F81BD" w:themeFill="accent1"/>
          </w:tcPr>
          <w:p w:rsidRPr="00DB65F8" w:rsidR="008646B4" w:rsidP="00947112" w:rsidRDefault="008646B4" w14:paraId="337C1A5E" w14:textId="372CE31D">
            <w:pPr>
              <w:rPr>
                <w:rFonts w:cstheme="minorHAnsi"/>
                <w:sz w:val="24"/>
                <w:szCs w:val="24"/>
              </w:rPr>
            </w:pPr>
            <w:r w:rsidRPr="00DB65F8">
              <w:rPr>
                <w:rFonts w:cstheme="minorHAnsi"/>
                <w:sz w:val="24"/>
                <w:szCs w:val="24"/>
              </w:rPr>
              <w:t>Annualized cos</w:t>
            </w:r>
            <w:r w:rsidR="00456AE5">
              <w:rPr>
                <w:rFonts w:cstheme="minorHAnsi"/>
                <w:sz w:val="24"/>
                <w:szCs w:val="24"/>
              </w:rPr>
              <w:t>t</w:t>
            </w:r>
          </w:p>
        </w:tc>
      </w:tr>
      <w:tr w:rsidRPr="00DB65F8" w:rsidR="007A6D70" w:rsidTr="006A1292" w14:paraId="665717E6" w14:textId="77777777">
        <w:tc>
          <w:tcPr>
            <w:tcW w:w="9715" w:type="dxa"/>
            <w:gridSpan w:val="3"/>
            <w:shd w:val="clear" w:color="auto" w:fill="DBE5F1" w:themeFill="accent1" w:themeFillTint="33"/>
          </w:tcPr>
          <w:p w:rsidRPr="00DB65F8" w:rsidR="007A6D70" w:rsidP="00947112" w:rsidRDefault="007A6D70" w14:paraId="322591CC" w14:textId="4245F2EB">
            <w:pPr>
              <w:rPr>
                <w:rFonts w:cstheme="minorHAnsi"/>
                <w:sz w:val="24"/>
                <w:szCs w:val="24"/>
              </w:rPr>
            </w:pPr>
            <w:r w:rsidRPr="007A6D70">
              <w:rPr>
                <w:rFonts w:cstheme="minorHAnsi"/>
                <w:bCs/>
                <w:sz w:val="24"/>
                <w:szCs w:val="24"/>
              </w:rPr>
              <w:t>CDC Costs</w:t>
            </w:r>
          </w:p>
        </w:tc>
      </w:tr>
      <w:tr w:rsidRPr="00DB65F8" w:rsidR="00F0077B" w:rsidTr="00020BB7" w14:paraId="6F2AF932" w14:textId="77777777">
        <w:tc>
          <w:tcPr>
            <w:tcW w:w="5787" w:type="dxa"/>
          </w:tcPr>
          <w:p w:rsidRPr="007A6D70" w:rsidR="00F0077B" w:rsidP="00947112" w:rsidRDefault="00092AE9" w14:paraId="66752192" w14:textId="779BDC89">
            <w:pPr>
              <w:rPr>
                <w:rFonts w:cstheme="minorHAnsi"/>
                <w:bCs/>
                <w:sz w:val="24"/>
                <w:szCs w:val="24"/>
              </w:rPr>
            </w:pPr>
            <w:r>
              <w:rPr>
                <w:rFonts w:cstheme="minorHAnsi"/>
                <w:bCs/>
                <w:sz w:val="24"/>
                <w:szCs w:val="24"/>
              </w:rPr>
              <w:t>FTE (GS-13)</w:t>
            </w:r>
            <w:r w:rsidR="00460BD6">
              <w:rPr>
                <w:rFonts w:cstheme="minorHAnsi"/>
                <w:bCs/>
                <w:sz w:val="24"/>
                <w:szCs w:val="24"/>
              </w:rPr>
              <w:t xml:space="preserve"> </w:t>
            </w:r>
            <w:r w:rsidR="002F0D40">
              <w:rPr>
                <w:rFonts w:cstheme="minorHAnsi"/>
                <w:bCs/>
                <w:sz w:val="24"/>
                <w:szCs w:val="24"/>
              </w:rPr>
              <w:t>– 15% time</w:t>
            </w:r>
          </w:p>
        </w:tc>
        <w:tc>
          <w:tcPr>
            <w:tcW w:w="2049" w:type="dxa"/>
            <w:vAlign w:val="center"/>
          </w:tcPr>
          <w:p w:rsidRPr="00DB65F8" w:rsidR="00F0077B" w:rsidP="00020BB7" w:rsidRDefault="002F7826" w14:paraId="3695C5D1" w14:textId="5D524BB9">
            <w:pPr>
              <w:jc w:val="right"/>
              <w:rPr>
                <w:rFonts w:cstheme="minorHAnsi"/>
                <w:sz w:val="24"/>
                <w:szCs w:val="24"/>
              </w:rPr>
            </w:pPr>
            <w:r>
              <w:rPr>
                <w:rFonts w:cstheme="minorHAnsi"/>
                <w:bCs/>
                <w:sz w:val="24"/>
                <w:szCs w:val="24"/>
              </w:rPr>
              <w:t>32,690.20</w:t>
            </w:r>
          </w:p>
        </w:tc>
        <w:tc>
          <w:tcPr>
            <w:tcW w:w="1879" w:type="dxa"/>
            <w:vAlign w:val="center"/>
          </w:tcPr>
          <w:p w:rsidRPr="00DB65F8" w:rsidR="00F0077B" w:rsidP="00020BB7" w:rsidRDefault="008B76C8" w14:paraId="2AD2AC5B" w14:textId="0CBAA5DD">
            <w:pPr>
              <w:jc w:val="right"/>
              <w:rPr>
                <w:rFonts w:cstheme="minorHAnsi"/>
                <w:sz w:val="24"/>
                <w:szCs w:val="24"/>
              </w:rPr>
            </w:pPr>
            <w:r>
              <w:rPr>
                <w:rFonts w:cstheme="minorHAnsi"/>
                <w:bCs/>
                <w:sz w:val="24"/>
                <w:szCs w:val="24"/>
              </w:rPr>
              <w:t>16,340.1</w:t>
            </w:r>
            <w:r w:rsidR="007748BD">
              <w:rPr>
                <w:rFonts w:cstheme="minorHAnsi"/>
                <w:bCs/>
                <w:sz w:val="24"/>
                <w:szCs w:val="24"/>
              </w:rPr>
              <w:t>0</w:t>
            </w:r>
          </w:p>
        </w:tc>
      </w:tr>
      <w:tr w:rsidRPr="00DB65F8" w:rsidR="002848F3" w:rsidTr="00020BB7" w14:paraId="4DA49A10" w14:textId="77777777">
        <w:tc>
          <w:tcPr>
            <w:tcW w:w="5787" w:type="dxa"/>
          </w:tcPr>
          <w:p w:rsidRPr="007A6D70" w:rsidR="002848F3" w:rsidDel="00092AE9" w:rsidP="00947112" w:rsidRDefault="002848F3" w14:paraId="74C23A9A" w14:textId="7DA66B2E">
            <w:pPr>
              <w:rPr>
                <w:rFonts w:cstheme="minorHAnsi"/>
                <w:bCs/>
                <w:sz w:val="24"/>
                <w:szCs w:val="24"/>
              </w:rPr>
            </w:pPr>
            <w:r>
              <w:rPr>
                <w:rFonts w:cstheme="minorHAnsi"/>
                <w:bCs/>
                <w:sz w:val="24"/>
                <w:szCs w:val="24"/>
              </w:rPr>
              <w:t>FTE (GS-11) – 15% time</w:t>
            </w:r>
          </w:p>
        </w:tc>
        <w:tc>
          <w:tcPr>
            <w:tcW w:w="2049" w:type="dxa"/>
            <w:vAlign w:val="center"/>
          </w:tcPr>
          <w:p w:rsidRPr="007A6D70" w:rsidR="002848F3" w:rsidDel="007748BD" w:rsidP="00020BB7" w:rsidRDefault="002F7826" w14:paraId="5A4F2D44" w14:textId="0DC160C1">
            <w:pPr>
              <w:jc w:val="right"/>
              <w:rPr>
                <w:rFonts w:cstheme="minorHAnsi"/>
                <w:bCs/>
                <w:sz w:val="24"/>
                <w:szCs w:val="24"/>
                <w:highlight w:val="yellow"/>
              </w:rPr>
            </w:pPr>
            <w:r>
              <w:rPr>
                <w:rFonts w:cstheme="minorHAnsi"/>
                <w:bCs/>
                <w:sz w:val="24"/>
                <w:szCs w:val="24"/>
              </w:rPr>
              <w:t>20,231.10</w:t>
            </w:r>
          </w:p>
        </w:tc>
        <w:tc>
          <w:tcPr>
            <w:tcW w:w="1879" w:type="dxa"/>
            <w:vAlign w:val="center"/>
          </w:tcPr>
          <w:p w:rsidRPr="007A6D70" w:rsidR="002848F3" w:rsidDel="008B76C8" w:rsidP="00020BB7" w:rsidRDefault="00BA2407" w14:paraId="2A886558" w14:textId="698DC8BA">
            <w:pPr>
              <w:jc w:val="right"/>
              <w:rPr>
                <w:rFonts w:cstheme="minorHAnsi"/>
                <w:bCs/>
                <w:sz w:val="24"/>
                <w:szCs w:val="24"/>
                <w:highlight w:val="yellow"/>
              </w:rPr>
            </w:pPr>
            <w:r w:rsidRPr="008976CA">
              <w:rPr>
                <w:rFonts w:cstheme="minorHAnsi"/>
                <w:bCs/>
                <w:sz w:val="24"/>
                <w:szCs w:val="24"/>
              </w:rPr>
              <w:t>10,115.55</w:t>
            </w:r>
          </w:p>
        </w:tc>
      </w:tr>
      <w:tr w:rsidRPr="00DB65F8" w:rsidR="007748BD" w:rsidTr="00020BB7" w14:paraId="6DF05BC0" w14:textId="77777777">
        <w:tc>
          <w:tcPr>
            <w:tcW w:w="5787" w:type="dxa"/>
          </w:tcPr>
          <w:p w:rsidRPr="007A6D70" w:rsidR="007748BD" w:rsidP="007748BD" w:rsidRDefault="007748BD" w14:paraId="79C34D05" w14:textId="2442D43F">
            <w:pPr>
              <w:rPr>
                <w:rFonts w:cstheme="minorHAnsi"/>
                <w:bCs/>
                <w:sz w:val="24"/>
                <w:szCs w:val="24"/>
              </w:rPr>
            </w:pPr>
            <w:r w:rsidRPr="007A6D70">
              <w:rPr>
                <w:rFonts w:cstheme="minorHAnsi"/>
                <w:bCs/>
                <w:sz w:val="24"/>
                <w:szCs w:val="24"/>
              </w:rPr>
              <w:t>Subtotal – CDC Costs</w:t>
            </w:r>
          </w:p>
        </w:tc>
        <w:tc>
          <w:tcPr>
            <w:tcW w:w="2049" w:type="dxa"/>
            <w:vAlign w:val="center"/>
          </w:tcPr>
          <w:p w:rsidRPr="00DB65F8" w:rsidR="007748BD" w:rsidP="00020BB7" w:rsidRDefault="002F7826" w14:paraId="546EA516" w14:textId="389D912B">
            <w:pPr>
              <w:jc w:val="right"/>
              <w:rPr>
                <w:rFonts w:cstheme="minorHAnsi"/>
                <w:sz w:val="24"/>
                <w:szCs w:val="24"/>
              </w:rPr>
            </w:pPr>
            <w:r>
              <w:rPr>
                <w:rFonts w:cstheme="minorHAnsi"/>
                <w:bCs/>
                <w:sz w:val="24"/>
                <w:szCs w:val="24"/>
              </w:rPr>
              <w:t>52,911.30</w:t>
            </w:r>
          </w:p>
        </w:tc>
        <w:tc>
          <w:tcPr>
            <w:tcW w:w="1879" w:type="dxa"/>
            <w:vAlign w:val="center"/>
          </w:tcPr>
          <w:p w:rsidRPr="00DB65F8" w:rsidR="007748BD" w:rsidP="00020BB7" w:rsidRDefault="00275A10" w14:paraId="33C028F7" w14:textId="2DB89E6F">
            <w:pPr>
              <w:jc w:val="right"/>
              <w:rPr>
                <w:rFonts w:cstheme="minorHAnsi"/>
                <w:sz w:val="24"/>
                <w:szCs w:val="24"/>
              </w:rPr>
            </w:pPr>
            <w:r>
              <w:rPr>
                <w:rFonts w:cstheme="minorHAnsi"/>
                <w:bCs/>
                <w:sz w:val="24"/>
                <w:szCs w:val="24"/>
              </w:rPr>
              <w:t>26,455.65</w:t>
            </w:r>
          </w:p>
        </w:tc>
      </w:tr>
      <w:tr w:rsidRPr="00DB65F8" w:rsidR="007A6D70" w:rsidTr="00020BB7" w14:paraId="4150CBC7" w14:textId="77777777">
        <w:tc>
          <w:tcPr>
            <w:tcW w:w="9715" w:type="dxa"/>
            <w:gridSpan w:val="3"/>
            <w:shd w:val="clear" w:color="auto" w:fill="DBE5F1" w:themeFill="accent1" w:themeFillTint="33"/>
            <w:vAlign w:val="center"/>
          </w:tcPr>
          <w:p w:rsidRPr="007A6D70" w:rsidR="007A6D70" w:rsidP="00020BB7" w:rsidRDefault="007A6D70" w14:paraId="0252E611" w14:textId="170F4FAF">
            <w:pPr>
              <w:jc w:val="right"/>
              <w:rPr>
                <w:rFonts w:cstheme="minorHAnsi"/>
                <w:bCs/>
                <w:sz w:val="24"/>
                <w:szCs w:val="24"/>
              </w:rPr>
            </w:pPr>
            <w:r w:rsidRPr="007A6D70">
              <w:rPr>
                <w:rFonts w:cstheme="minorHAnsi"/>
                <w:bCs/>
                <w:sz w:val="24"/>
                <w:szCs w:val="24"/>
              </w:rPr>
              <w:t>Data Collection Agent</w:t>
            </w:r>
            <w:r w:rsidR="00543F85">
              <w:rPr>
                <w:rFonts w:cstheme="minorHAnsi"/>
                <w:bCs/>
                <w:sz w:val="24"/>
                <w:szCs w:val="24"/>
              </w:rPr>
              <w:t xml:space="preserve"> – RTI International</w:t>
            </w:r>
          </w:p>
        </w:tc>
      </w:tr>
      <w:tr w:rsidRPr="00DB65F8" w:rsidR="00F0077B" w:rsidTr="00020BB7" w14:paraId="2046CD49" w14:textId="77777777">
        <w:tc>
          <w:tcPr>
            <w:tcW w:w="5787" w:type="dxa"/>
          </w:tcPr>
          <w:p w:rsidRPr="007A6D70" w:rsidR="00F0077B" w:rsidP="00947112" w:rsidRDefault="00456AE5" w14:paraId="2588E2B8" w14:textId="4517D7C3">
            <w:pPr>
              <w:rPr>
                <w:rFonts w:cstheme="minorHAnsi"/>
                <w:bCs/>
                <w:sz w:val="24"/>
                <w:szCs w:val="24"/>
              </w:rPr>
            </w:pPr>
            <w:r>
              <w:rPr>
                <w:rFonts w:cstheme="minorHAnsi"/>
                <w:bCs/>
                <w:sz w:val="24"/>
                <w:szCs w:val="24"/>
              </w:rPr>
              <w:t xml:space="preserve">Fixed priced for study design, design of data collection instrument, protocol development, data capture systems, data cleaning and delivery </w:t>
            </w:r>
            <w:r w:rsidR="000B2CF0">
              <w:rPr>
                <w:rFonts w:cstheme="minorHAnsi"/>
                <w:bCs/>
                <w:sz w:val="24"/>
                <w:szCs w:val="24"/>
              </w:rPr>
              <w:t xml:space="preserve">via </w:t>
            </w:r>
            <w:r w:rsidR="002F7826">
              <w:rPr>
                <w:rFonts w:cstheme="minorHAnsi"/>
                <w:bCs/>
                <w:sz w:val="24"/>
                <w:szCs w:val="24"/>
              </w:rPr>
              <w:t>3-year</w:t>
            </w:r>
            <w:r w:rsidR="000B2CF0">
              <w:rPr>
                <w:rFonts w:cstheme="minorHAnsi"/>
                <w:bCs/>
                <w:sz w:val="24"/>
                <w:szCs w:val="24"/>
              </w:rPr>
              <w:t xml:space="preserve"> contract</w:t>
            </w:r>
          </w:p>
        </w:tc>
        <w:tc>
          <w:tcPr>
            <w:tcW w:w="2049" w:type="dxa"/>
            <w:shd w:val="clear" w:color="auto" w:fill="auto"/>
            <w:vAlign w:val="center"/>
          </w:tcPr>
          <w:p w:rsidRPr="005A0698" w:rsidR="00F0077B" w:rsidP="00020BB7" w:rsidRDefault="005A0698" w14:paraId="0F6E78F9" w14:textId="31934B35">
            <w:pPr>
              <w:jc w:val="right"/>
              <w:rPr>
                <w:rFonts w:cstheme="minorHAnsi"/>
                <w:bCs/>
                <w:color w:val="FF0000"/>
                <w:sz w:val="24"/>
                <w:szCs w:val="24"/>
              </w:rPr>
            </w:pPr>
            <w:r w:rsidRPr="00456AE5">
              <w:rPr>
                <w:rFonts w:cstheme="minorHAnsi"/>
                <w:bCs/>
                <w:sz w:val="24"/>
                <w:szCs w:val="24"/>
              </w:rPr>
              <w:t>$</w:t>
            </w:r>
            <w:r w:rsidR="002F7826">
              <w:rPr>
                <w:rFonts w:cstheme="minorHAnsi"/>
                <w:bCs/>
                <w:sz w:val="24"/>
                <w:szCs w:val="24"/>
              </w:rPr>
              <w:t>397,694</w:t>
            </w:r>
          </w:p>
        </w:tc>
        <w:tc>
          <w:tcPr>
            <w:tcW w:w="1879" w:type="dxa"/>
            <w:vAlign w:val="center"/>
          </w:tcPr>
          <w:p w:rsidRPr="007A6D70" w:rsidR="00F0077B" w:rsidP="00020BB7" w:rsidRDefault="000B2CF0" w14:paraId="1C23B0EA" w14:textId="1EA2DFEB">
            <w:pPr>
              <w:jc w:val="right"/>
              <w:rPr>
                <w:rFonts w:cstheme="minorHAnsi"/>
                <w:bCs/>
                <w:sz w:val="24"/>
                <w:szCs w:val="24"/>
              </w:rPr>
            </w:pPr>
            <w:r>
              <w:rPr>
                <w:rFonts w:cstheme="minorHAnsi"/>
                <w:bCs/>
                <w:sz w:val="24"/>
                <w:szCs w:val="24"/>
              </w:rPr>
              <w:t>$198,847</w:t>
            </w:r>
          </w:p>
        </w:tc>
      </w:tr>
      <w:tr w:rsidRPr="00DB65F8" w:rsidR="00F0077B" w:rsidTr="00020BB7" w14:paraId="61EEFFA3" w14:textId="77777777">
        <w:tc>
          <w:tcPr>
            <w:tcW w:w="5787" w:type="dxa"/>
            <w:shd w:val="clear" w:color="auto" w:fill="DBE5F1" w:themeFill="accent1" w:themeFillTint="33"/>
          </w:tcPr>
          <w:p w:rsidRPr="007A6D70" w:rsidR="00F0077B" w:rsidP="00947112" w:rsidRDefault="007A6D70" w14:paraId="7A1A0818" w14:textId="5DDCCBAF">
            <w:pPr>
              <w:rPr>
                <w:rFonts w:cstheme="minorHAnsi"/>
                <w:bCs/>
                <w:sz w:val="24"/>
                <w:szCs w:val="24"/>
              </w:rPr>
            </w:pPr>
            <w:r w:rsidRPr="007A6D70">
              <w:rPr>
                <w:rFonts w:cstheme="minorHAnsi"/>
                <w:bCs/>
                <w:sz w:val="24"/>
                <w:szCs w:val="24"/>
              </w:rPr>
              <w:t>Total</w:t>
            </w:r>
          </w:p>
        </w:tc>
        <w:tc>
          <w:tcPr>
            <w:tcW w:w="2049" w:type="dxa"/>
            <w:shd w:val="clear" w:color="auto" w:fill="DBE5F1" w:themeFill="accent1" w:themeFillTint="33"/>
            <w:vAlign w:val="center"/>
          </w:tcPr>
          <w:p w:rsidRPr="00222FE0" w:rsidR="00F0077B" w:rsidP="00020BB7" w:rsidRDefault="002F7826" w14:paraId="53B570A9" w14:textId="231AC255">
            <w:pPr>
              <w:jc w:val="right"/>
              <w:rPr>
                <w:rFonts w:cstheme="minorHAnsi"/>
                <w:bCs/>
                <w:sz w:val="24"/>
                <w:szCs w:val="24"/>
              </w:rPr>
            </w:pPr>
            <w:r>
              <w:rPr>
                <w:rFonts w:cstheme="minorHAnsi"/>
                <w:bCs/>
                <w:sz w:val="24"/>
                <w:szCs w:val="24"/>
              </w:rPr>
              <w:t>450,605.30</w:t>
            </w:r>
          </w:p>
        </w:tc>
        <w:tc>
          <w:tcPr>
            <w:tcW w:w="1879" w:type="dxa"/>
            <w:shd w:val="clear" w:color="auto" w:fill="DBE5F1" w:themeFill="accent1" w:themeFillTint="33"/>
            <w:vAlign w:val="center"/>
          </w:tcPr>
          <w:p w:rsidRPr="00222FE0" w:rsidR="00F0077B" w:rsidP="00020BB7" w:rsidRDefault="00BA2407" w14:paraId="72AFEB9E" w14:textId="47C6B921">
            <w:pPr>
              <w:jc w:val="right"/>
              <w:rPr>
                <w:rFonts w:cstheme="minorHAnsi"/>
                <w:bCs/>
                <w:sz w:val="24"/>
                <w:szCs w:val="24"/>
              </w:rPr>
            </w:pPr>
            <w:r>
              <w:rPr>
                <w:rFonts w:cstheme="minorHAnsi"/>
                <w:bCs/>
                <w:sz w:val="24"/>
                <w:szCs w:val="24"/>
              </w:rPr>
              <w:t>225,302.65</w:t>
            </w:r>
          </w:p>
        </w:tc>
      </w:tr>
    </w:tbl>
    <w:p w:rsidRPr="00C56786" w:rsidR="00C03B60" w:rsidP="00947112" w:rsidRDefault="00C03B60" w14:paraId="3E861158" w14:textId="77777777">
      <w:pPr>
        <w:spacing w:after="0"/>
      </w:pPr>
    </w:p>
    <w:p w:rsidRPr="00CF6EEC" w:rsidR="00B45002" w:rsidP="00947112" w:rsidRDefault="00601F1A" w14:paraId="2314A6FA" w14:textId="64932735">
      <w:pPr>
        <w:pStyle w:val="Heading1"/>
        <w:rPr>
          <w:rFonts w:cs="ITCFranklinGothicStd-Demi"/>
          <w:color w:val="auto"/>
          <w:sz w:val="24"/>
          <w:szCs w:val="24"/>
        </w:rPr>
      </w:pPr>
      <w:bookmarkStart w:name="_Toc61000942" w:id="16"/>
      <w:r w:rsidRPr="00CF6EEC">
        <w:rPr>
          <w:color w:val="auto"/>
        </w:rPr>
        <w:t>A.</w:t>
      </w:r>
      <w:r w:rsidRPr="00CF6EEC" w:rsidR="00AC62CC">
        <w:rPr>
          <w:color w:val="auto"/>
        </w:rPr>
        <w:t xml:space="preserve">15.  </w:t>
      </w:r>
      <w:r w:rsidRPr="00CF6EEC" w:rsidR="00B45002">
        <w:rPr>
          <w:color w:val="auto"/>
        </w:rPr>
        <w:t>Explanation for Program Changes or Adjustments</w:t>
      </w:r>
      <w:bookmarkEnd w:id="16"/>
    </w:p>
    <w:p w:rsidRPr="003A6521" w:rsidR="007F6CB2" w:rsidP="00947112" w:rsidRDefault="007F6CB2" w14:paraId="1E5BA455" w14:textId="77777777">
      <w:pPr>
        <w:spacing w:after="0" w:line="240" w:lineRule="auto"/>
        <w:rPr>
          <w:sz w:val="24"/>
          <w:szCs w:val="24"/>
        </w:rPr>
      </w:pPr>
    </w:p>
    <w:p w:rsidRPr="003A6521" w:rsidR="007F6CB2" w:rsidP="00947112" w:rsidRDefault="00A01B7C" w14:paraId="160B817A" w14:textId="613FEA1C">
      <w:pPr>
        <w:spacing w:after="0" w:line="240" w:lineRule="auto"/>
        <w:rPr>
          <w:sz w:val="24"/>
          <w:szCs w:val="24"/>
        </w:rPr>
      </w:pPr>
      <w:r>
        <w:rPr>
          <w:sz w:val="24"/>
          <w:szCs w:val="24"/>
        </w:rPr>
        <w:t>This is a new information collection</w:t>
      </w:r>
      <w:r w:rsidR="00CF6EEC">
        <w:rPr>
          <w:sz w:val="24"/>
          <w:szCs w:val="24"/>
        </w:rPr>
        <w:t xml:space="preserve"> and there is no change in burden to report.</w:t>
      </w:r>
    </w:p>
    <w:p w:rsidRPr="00145894" w:rsidR="00B45002" w:rsidP="00947112" w:rsidRDefault="00601F1A" w14:paraId="6A569BBC" w14:textId="7FC870CA">
      <w:pPr>
        <w:pStyle w:val="Heading1"/>
        <w:rPr>
          <w:color w:val="auto"/>
        </w:rPr>
      </w:pPr>
      <w:bookmarkStart w:name="_Toc61000943" w:id="17"/>
      <w:r w:rsidRPr="00145894">
        <w:rPr>
          <w:color w:val="auto"/>
        </w:rPr>
        <w:t>A.</w:t>
      </w:r>
      <w:r w:rsidRPr="00145894" w:rsidR="00AC62CC">
        <w:rPr>
          <w:color w:val="auto"/>
        </w:rPr>
        <w:t xml:space="preserve">16.  </w:t>
      </w:r>
      <w:r w:rsidRPr="00145894" w:rsidR="00B45002">
        <w:rPr>
          <w:color w:val="auto"/>
        </w:rPr>
        <w:t>Plans for Tabulation and Publication and Project Time Schedule</w:t>
      </w:r>
      <w:bookmarkEnd w:id="17"/>
    </w:p>
    <w:p w:rsidR="00A01B7C" w:rsidP="00947112" w:rsidRDefault="00A01B7C" w14:paraId="6CEB5D53" w14:textId="77777777">
      <w:pPr>
        <w:spacing w:after="0"/>
        <w:rPr>
          <w:sz w:val="24"/>
          <w:szCs w:val="24"/>
        </w:rPr>
      </w:pPr>
    </w:p>
    <w:p w:rsidR="00CF6EEC" w:rsidP="00B566C4" w:rsidRDefault="00E31DC1" w14:paraId="4970C074" w14:textId="40186749">
      <w:pPr>
        <w:spacing w:after="0" w:line="276" w:lineRule="auto"/>
        <w:jc w:val="both"/>
        <w:rPr>
          <w:sz w:val="24"/>
          <w:szCs w:val="24"/>
        </w:rPr>
      </w:pPr>
      <w:r>
        <w:rPr>
          <w:sz w:val="24"/>
          <w:szCs w:val="24"/>
        </w:rPr>
        <w:t>S</w:t>
      </w:r>
      <w:r w:rsidR="00CF6EEC">
        <w:rPr>
          <w:sz w:val="24"/>
          <w:szCs w:val="24"/>
        </w:rPr>
        <w:t xml:space="preserve">urvey data collection is scheduled to </w:t>
      </w:r>
      <w:r>
        <w:rPr>
          <w:sz w:val="24"/>
          <w:szCs w:val="24"/>
        </w:rPr>
        <w:t>begin</w:t>
      </w:r>
      <w:r w:rsidR="00CF6EEC">
        <w:rPr>
          <w:sz w:val="24"/>
          <w:szCs w:val="24"/>
        </w:rPr>
        <w:t xml:space="preserve"> approximately two weeks after a selected disaster </w:t>
      </w:r>
      <w:r w:rsidR="008D624F">
        <w:rPr>
          <w:sz w:val="24"/>
          <w:szCs w:val="24"/>
        </w:rPr>
        <w:t>impact</w:t>
      </w:r>
      <w:r w:rsidR="00CF6EEC">
        <w:rPr>
          <w:sz w:val="24"/>
          <w:szCs w:val="24"/>
        </w:rPr>
        <w:t xml:space="preserve">. The data collection period will end approximately ten weeks later. Focus groups are expected to take place within </w:t>
      </w:r>
      <w:r w:rsidR="000C2927">
        <w:rPr>
          <w:sz w:val="24"/>
          <w:szCs w:val="24"/>
        </w:rPr>
        <w:t>the 5 months of disaster impact</w:t>
      </w:r>
      <w:r w:rsidR="00CF6EEC">
        <w:rPr>
          <w:sz w:val="24"/>
          <w:szCs w:val="24"/>
        </w:rPr>
        <w:t xml:space="preserve">.  This schedule is planned for two different </w:t>
      </w:r>
      <w:r w:rsidR="000C2927">
        <w:rPr>
          <w:sz w:val="24"/>
          <w:szCs w:val="24"/>
        </w:rPr>
        <w:t>geographic locations</w:t>
      </w:r>
      <w:r w:rsidR="00427586">
        <w:rPr>
          <w:sz w:val="24"/>
          <w:szCs w:val="24"/>
        </w:rPr>
        <w:t xml:space="preserve">. Location will be determined by disaster occurrence, </w:t>
      </w:r>
      <w:r w:rsidR="00492388">
        <w:rPr>
          <w:sz w:val="24"/>
          <w:szCs w:val="24"/>
        </w:rPr>
        <w:t>affected population</w:t>
      </w:r>
      <w:r w:rsidR="00427586">
        <w:rPr>
          <w:sz w:val="24"/>
          <w:szCs w:val="24"/>
        </w:rPr>
        <w:t xml:space="preserve"> (e.g., </w:t>
      </w:r>
      <w:r w:rsidR="00492388">
        <w:rPr>
          <w:sz w:val="24"/>
          <w:szCs w:val="24"/>
        </w:rPr>
        <w:t xml:space="preserve">large-scale impact), and, ideally, location </w:t>
      </w:r>
      <w:r w:rsidR="00503A0B">
        <w:rPr>
          <w:sz w:val="24"/>
          <w:szCs w:val="24"/>
        </w:rPr>
        <w:t xml:space="preserve">(e.g., southeast and west coast) </w:t>
      </w:r>
      <w:r w:rsidR="00492388">
        <w:rPr>
          <w:sz w:val="24"/>
          <w:szCs w:val="24"/>
        </w:rPr>
        <w:t xml:space="preserve">and disaster type </w:t>
      </w:r>
      <w:r w:rsidR="00503A0B">
        <w:rPr>
          <w:sz w:val="24"/>
          <w:szCs w:val="24"/>
        </w:rPr>
        <w:t xml:space="preserve">(e.g., hurricane and wildfire) </w:t>
      </w:r>
      <w:r w:rsidR="00492388">
        <w:rPr>
          <w:sz w:val="24"/>
          <w:szCs w:val="24"/>
        </w:rPr>
        <w:t xml:space="preserve">to </w:t>
      </w:r>
      <w:r w:rsidR="00503A0B">
        <w:rPr>
          <w:sz w:val="24"/>
          <w:szCs w:val="24"/>
        </w:rPr>
        <w:t>provide variation in experience.</w:t>
      </w:r>
    </w:p>
    <w:p w:rsidR="00947112" w:rsidP="00947112" w:rsidRDefault="00947112" w14:paraId="5311A4F0" w14:textId="77777777">
      <w:pPr>
        <w:spacing w:after="0" w:line="240" w:lineRule="auto"/>
        <w:rPr>
          <w:sz w:val="24"/>
          <w:szCs w:val="24"/>
        </w:rPr>
      </w:pPr>
    </w:p>
    <w:p w:rsidR="00E31DC1" w:rsidP="00947112" w:rsidRDefault="00E31DC1" w14:paraId="763D47EC" w14:textId="77777777">
      <w:pPr>
        <w:spacing w:after="0" w:line="240" w:lineRule="auto"/>
        <w:rPr>
          <w:rFonts w:cs="ITCFranklinGothicStd-Book"/>
          <w:sz w:val="24"/>
          <w:szCs w:val="24"/>
        </w:rPr>
      </w:pPr>
    </w:p>
    <w:p w:rsidR="00135A21" w:rsidP="00947112" w:rsidRDefault="003C21A1" w14:paraId="2C1342F0" w14:textId="277AEBE6">
      <w:pPr>
        <w:spacing w:after="0" w:line="240" w:lineRule="auto"/>
        <w:rPr>
          <w:rFonts w:cs="ITCFranklinGothicStd-Book"/>
          <w:sz w:val="24"/>
          <w:szCs w:val="24"/>
        </w:rPr>
      </w:pPr>
      <w:r w:rsidRPr="00145894">
        <w:rPr>
          <w:rFonts w:cs="ITCFranklinGothicStd-Book"/>
          <w:sz w:val="24"/>
          <w:szCs w:val="24"/>
        </w:rPr>
        <w:t>Table A.16.1</w:t>
      </w:r>
      <w:r w:rsidRPr="00145894" w:rsidR="00145894">
        <w:rPr>
          <w:rFonts w:cs="ITCFranklinGothicStd-Book"/>
          <w:sz w:val="24"/>
          <w:szCs w:val="24"/>
        </w:rPr>
        <w:t xml:space="preserve"> Project Time Schedule</w:t>
      </w:r>
      <w:r w:rsidR="00CF6EEC">
        <w:rPr>
          <w:rFonts w:cs="ITCFranklinGothicStd-Book"/>
          <w:sz w:val="24"/>
          <w:szCs w:val="24"/>
        </w:rPr>
        <w:t>*</w:t>
      </w: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05"/>
        <w:gridCol w:w="5940"/>
      </w:tblGrid>
      <w:tr w:rsidR="00E31DC1" w:rsidTr="00646424" w14:paraId="03119255" w14:textId="77777777">
        <w:trPr>
          <w:trHeight w:val="302" w:hRule="exact"/>
        </w:trPr>
        <w:tc>
          <w:tcPr>
            <w:tcW w:w="3505" w:type="dxa"/>
            <w:shd w:val="clear" w:color="auto" w:fill="4F82BD"/>
          </w:tcPr>
          <w:p w:rsidR="00E31DC1" w:rsidP="00646424" w:rsidRDefault="00E31DC1" w14:paraId="1525E66F" w14:textId="77777777">
            <w:pPr>
              <w:pStyle w:val="TableParagraph"/>
              <w:rPr>
                <w:sz w:val="24"/>
              </w:rPr>
            </w:pPr>
            <w:r>
              <w:rPr>
                <w:sz w:val="24"/>
              </w:rPr>
              <w:t>Activity</w:t>
            </w:r>
          </w:p>
        </w:tc>
        <w:tc>
          <w:tcPr>
            <w:tcW w:w="5940" w:type="dxa"/>
            <w:shd w:val="clear" w:color="auto" w:fill="4F82BD"/>
          </w:tcPr>
          <w:p w:rsidR="00E31DC1" w:rsidP="00646424" w:rsidRDefault="00E31DC1" w14:paraId="6A05FEEC" w14:textId="77777777">
            <w:pPr>
              <w:pStyle w:val="TableParagraph"/>
              <w:rPr>
                <w:sz w:val="24"/>
              </w:rPr>
            </w:pPr>
            <w:r>
              <w:rPr>
                <w:sz w:val="24"/>
              </w:rPr>
              <w:t>Time Schedule</w:t>
            </w:r>
          </w:p>
        </w:tc>
      </w:tr>
      <w:tr w:rsidR="00E31DC1" w:rsidTr="00B566C4" w14:paraId="055B66A5" w14:textId="77777777">
        <w:trPr>
          <w:trHeight w:val="889" w:hRule="exact"/>
        </w:trPr>
        <w:tc>
          <w:tcPr>
            <w:tcW w:w="3505" w:type="dxa"/>
          </w:tcPr>
          <w:p w:rsidR="00E31DC1" w:rsidP="00646424" w:rsidRDefault="00E31DC1" w14:paraId="54277E40" w14:textId="77777777">
            <w:pPr>
              <w:pStyle w:val="TableParagraph"/>
              <w:rPr>
                <w:sz w:val="24"/>
              </w:rPr>
            </w:pPr>
            <w:r>
              <w:rPr>
                <w:sz w:val="24"/>
              </w:rPr>
              <w:t>Site selection</w:t>
            </w:r>
          </w:p>
        </w:tc>
        <w:tc>
          <w:tcPr>
            <w:tcW w:w="5940" w:type="dxa"/>
            <w:vAlign w:val="center"/>
          </w:tcPr>
          <w:p w:rsidR="00E31DC1" w:rsidP="00B566C4" w:rsidRDefault="00E31DC1" w14:paraId="0A234003" w14:textId="77777777">
            <w:pPr>
              <w:pStyle w:val="TableParagraph"/>
              <w:spacing w:line="240" w:lineRule="auto"/>
              <w:ind w:right="101"/>
              <w:rPr>
                <w:sz w:val="24"/>
              </w:rPr>
            </w:pPr>
            <w:r>
              <w:rPr>
                <w:sz w:val="24"/>
              </w:rPr>
              <w:t>Disaster‐type dependent (e.g., up to 2 weeks prior to hurricane; up to 1‐week post start/impact of wildfire, earthquake, or tornado)</w:t>
            </w:r>
          </w:p>
        </w:tc>
      </w:tr>
      <w:tr w:rsidR="00E31DC1" w:rsidTr="00B566C4" w14:paraId="31E6D4A3" w14:textId="77777777">
        <w:trPr>
          <w:trHeight w:val="302" w:hRule="exact"/>
        </w:trPr>
        <w:tc>
          <w:tcPr>
            <w:tcW w:w="3505" w:type="dxa"/>
          </w:tcPr>
          <w:p w:rsidR="00E31DC1" w:rsidP="00646424" w:rsidRDefault="00E31DC1" w14:paraId="1E7D7A38" w14:textId="77777777">
            <w:pPr>
              <w:pStyle w:val="TableParagraph"/>
              <w:rPr>
                <w:sz w:val="24"/>
              </w:rPr>
            </w:pPr>
            <w:r>
              <w:rPr>
                <w:sz w:val="24"/>
              </w:rPr>
              <w:t>ABS sample frame drawn</w:t>
            </w:r>
          </w:p>
        </w:tc>
        <w:tc>
          <w:tcPr>
            <w:tcW w:w="5940" w:type="dxa"/>
            <w:vAlign w:val="center"/>
          </w:tcPr>
          <w:p w:rsidR="00E31DC1" w:rsidP="002D432A" w:rsidRDefault="00E31DC1" w14:paraId="4EC68B9D" w14:textId="77777777">
            <w:pPr>
              <w:pStyle w:val="TableParagraph"/>
              <w:rPr>
                <w:sz w:val="24"/>
              </w:rPr>
            </w:pPr>
            <w:r>
              <w:rPr>
                <w:sz w:val="24"/>
              </w:rPr>
              <w:t>1‐week post site selection and/or start of disaster*</w:t>
            </w:r>
          </w:p>
        </w:tc>
      </w:tr>
      <w:tr w:rsidR="00E31DC1" w:rsidTr="00B566C4" w14:paraId="457F9CA3" w14:textId="77777777">
        <w:trPr>
          <w:trHeight w:val="889" w:hRule="exact"/>
        </w:trPr>
        <w:tc>
          <w:tcPr>
            <w:tcW w:w="3505" w:type="dxa"/>
          </w:tcPr>
          <w:p w:rsidR="00E31DC1" w:rsidP="00646424" w:rsidRDefault="00E31DC1" w14:paraId="7F783971" w14:textId="77777777">
            <w:pPr>
              <w:pStyle w:val="TableParagraph"/>
              <w:spacing w:line="240" w:lineRule="auto"/>
              <w:ind w:right="101"/>
              <w:jc w:val="both"/>
              <w:rPr>
                <w:sz w:val="24"/>
              </w:rPr>
            </w:pPr>
            <w:r>
              <w:rPr>
                <w:sz w:val="24"/>
              </w:rPr>
              <w:lastRenderedPageBreak/>
              <w:t>First survey packet mailing and survey invitation via email sent (if existing panel available)</w:t>
            </w:r>
          </w:p>
        </w:tc>
        <w:tc>
          <w:tcPr>
            <w:tcW w:w="5940" w:type="dxa"/>
            <w:vAlign w:val="center"/>
          </w:tcPr>
          <w:p w:rsidR="00E31DC1" w:rsidP="002D432A" w:rsidRDefault="00E31DC1" w14:paraId="4240A826" w14:textId="77777777">
            <w:pPr>
              <w:pStyle w:val="TableParagraph"/>
              <w:spacing w:line="240" w:lineRule="auto"/>
              <w:rPr>
                <w:sz w:val="24"/>
              </w:rPr>
            </w:pPr>
            <w:r>
              <w:rPr>
                <w:sz w:val="24"/>
              </w:rPr>
              <w:t>2 to 3 weeks start of disaster*</w:t>
            </w:r>
          </w:p>
        </w:tc>
      </w:tr>
      <w:tr w:rsidR="00E31DC1" w:rsidTr="00B566C4" w14:paraId="55C89E27" w14:textId="77777777">
        <w:trPr>
          <w:trHeight w:val="304" w:hRule="exact"/>
        </w:trPr>
        <w:tc>
          <w:tcPr>
            <w:tcW w:w="3505" w:type="dxa"/>
          </w:tcPr>
          <w:p w:rsidR="00E31DC1" w:rsidP="00646424" w:rsidRDefault="00E31DC1" w14:paraId="4BA8E318" w14:textId="77777777">
            <w:pPr>
              <w:pStyle w:val="TableParagraph"/>
              <w:rPr>
                <w:sz w:val="24"/>
              </w:rPr>
            </w:pPr>
            <w:r>
              <w:rPr>
                <w:sz w:val="24"/>
              </w:rPr>
              <w:t>First reminder postcard</w:t>
            </w:r>
          </w:p>
        </w:tc>
        <w:tc>
          <w:tcPr>
            <w:tcW w:w="5940" w:type="dxa"/>
            <w:vAlign w:val="center"/>
          </w:tcPr>
          <w:p w:rsidR="00E31DC1" w:rsidP="002D432A" w:rsidRDefault="00E31DC1" w14:paraId="291CED4E" w14:textId="77777777">
            <w:pPr>
              <w:pStyle w:val="TableParagraph"/>
              <w:ind w:left="102"/>
              <w:rPr>
                <w:sz w:val="24"/>
              </w:rPr>
            </w:pPr>
            <w:r>
              <w:rPr>
                <w:sz w:val="24"/>
              </w:rPr>
              <w:t>1 week after first packet mailing</w:t>
            </w:r>
          </w:p>
        </w:tc>
      </w:tr>
      <w:tr w:rsidR="00E31DC1" w:rsidTr="00B566C4" w14:paraId="7FB195E4" w14:textId="77777777">
        <w:trPr>
          <w:trHeight w:val="304" w:hRule="exact"/>
        </w:trPr>
        <w:tc>
          <w:tcPr>
            <w:tcW w:w="3505" w:type="dxa"/>
          </w:tcPr>
          <w:p w:rsidR="00E31DC1" w:rsidP="00646424" w:rsidRDefault="00E31DC1" w14:paraId="0C682FB0" w14:textId="77777777">
            <w:pPr>
              <w:pStyle w:val="TableParagraph"/>
              <w:rPr>
                <w:sz w:val="24"/>
              </w:rPr>
            </w:pPr>
            <w:r>
              <w:rPr>
                <w:sz w:val="24"/>
              </w:rPr>
              <w:t>Second survey packet</w:t>
            </w:r>
          </w:p>
        </w:tc>
        <w:tc>
          <w:tcPr>
            <w:tcW w:w="5940" w:type="dxa"/>
            <w:vAlign w:val="center"/>
          </w:tcPr>
          <w:p w:rsidR="00E31DC1" w:rsidP="002D432A" w:rsidRDefault="00E31DC1" w14:paraId="13FA2D89" w14:textId="77777777">
            <w:pPr>
              <w:pStyle w:val="TableParagraph"/>
              <w:ind w:left="102"/>
              <w:rPr>
                <w:sz w:val="24"/>
              </w:rPr>
            </w:pPr>
            <w:r>
              <w:rPr>
                <w:sz w:val="24"/>
              </w:rPr>
              <w:t>2 weeks after first reminder postcard</w:t>
            </w:r>
          </w:p>
        </w:tc>
      </w:tr>
      <w:tr w:rsidR="00E31DC1" w:rsidTr="00B566C4" w14:paraId="7CF23D4A" w14:textId="77777777">
        <w:trPr>
          <w:trHeight w:val="304" w:hRule="exact"/>
        </w:trPr>
        <w:tc>
          <w:tcPr>
            <w:tcW w:w="3505" w:type="dxa"/>
          </w:tcPr>
          <w:p w:rsidR="00E31DC1" w:rsidP="00646424" w:rsidRDefault="00E31DC1" w14:paraId="5AD043B6" w14:textId="77777777">
            <w:pPr>
              <w:pStyle w:val="TableParagraph"/>
              <w:rPr>
                <w:sz w:val="24"/>
              </w:rPr>
            </w:pPr>
            <w:r>
              <w:rPr>
                <w:sz w:val="24"/>
              </w:rPr>
              <w:t>Second reminder postcard</w:t>
            </w:r>
          </w:p>
        </w:tc>
        <w:tc>
          <w:tcPr>
            <w:tcW w:w="5940" w:type="dxa"/>
            <w:vAlign w:val="center"/>
          </w:tcPr>
          <w:p w:rsidR="00E31DC1" w:rsidP="002D432A" w:rsidRDefault="00E31DC1" w14:paraId="02C28EF0" w14:textId="77777777">
            <w:pPr>
              <w:pStyle w:val="TableParagraph"/>
              <w:ind w:left="102"/>
              <w:rPr>
                <w:sz w:val="24"/>
              </w:rPr>
            </w:pPr>
            <w:r>
              <w:rPr>
                <w:sz w:val="24"/>
              </w:rPr>
              <w:t>1 week after second survey packet</w:t>
            </w:r>
          </w:p>
        </w:tc>
      </w:tr>
      <w:tr w:rsidR="00E31DC1" w:rsidTr="00B566C4" w14:paraId="3C93AE2B" w14:textId="77777777">
        <w:trPr>
          <w:trHeight w:val="304" w:hRule="exact"/>
        </w:trPr>
        <w:tc>
          <w:tcPr>
            <w:tcW w:w="3505" w:type="dxa"/>
          </w:tcPr>
          <w:p w:rsidR="00E31DC1" w:rsidP="00646424" w:rsidRDefault="00E31DC1" w14:paraId="74263140" w14:textId="77777777">
            <w:pPr>
              <w:pStyle w:val="TableParagraph"/>
              <w:rPr>
                <w:sz w:val="24"/>
              </w:rPr>
            </w:pPr>
            <w:r>
              <w:rPr>
                <w:sz w:val="24"/>
              </w:rPr>
              <w:t>Survey data collection ends</w:t>
            </w:r>
          </w:p>
        </w:tc>
        <w:tc>
          <w:tcPr>
            <w:tcW w:w="5940" w:type="dxa"/>
            <w:vAlign w:val="center"/>
          </w:tcPr>
          <w:p w:rsidR="00E31DC1" w:rsidP="002D432A" w:rsidRDefault="00E31DC1" w14:paraId="783C4E45" w14:textId="77777777">
            <w:pPr>
              <w:pStyle w:val="TableParagraph"/>
              <w:ind w:left="102"/>
              <w:rPr>
                <w:sz w:val="24"/>
              </w:rPr>
            </w:pPr>
            <w:r>
              <w:rPr>
                <w:sz w:val="24"/>
              </w:rPr>
              <w:t>10 weeks after first survey packet mailing</w:t>
            </w:r>
          </w:p>
        </w:tc>
      </w:tr>
      <w:tr w:rsidR="00E31DC1" w:rsidTr="00B566C4" w14:paraId="0626B247" w14:textId="77777777">
        <w:trPr>
          <w:trHeight w:val="304" w:hRule="exact"/>
        </w:trPr>
        <w:tc>
          <w:tcPr>
            <w:tcW w:w="3505" w:type="dxa"/>
          </w:tcPr>
          <w:p w:rsidR="00E31DC1" w:rsidP="00646424" w:rsidRDefault="00E31DC1" w14:paraId="088D8044" w14:textId="77777777">
            <w:pPr>
              <w:pStyle w:val="TableParagraph"/>
              <w:rPr>
                <w:sz w:val="24"/>
              </w:rPr>
            </w:pPr>
            <w:r>
              <w:rPr>
                <w:sz w:val="24"/>
              </w:rPr>
              <w:t>Survey data cleaning and analysis</w:t>
            </w:r>
          </w:p>
        </w:tc>
        <w:tc>
          <w:tcPr>
            <w:tcW w:w="5940" w:type="dxa"/>
            <w:vAlign w:val="center"/>
          </w:tcPr>
          <w:p w:rsidR="00E31DC1" w:rsidP="002D432A" w:rsidRDefault="00E31DC1" w14:paraId="377E5F9C" w14:textId="77777777">
            <w:pPr>
              <w:pStyle w:val="TableParagraph"/>
              <w:ind w:left="102"/>
              <w:rPr>
                <w:sz w:val="24"/>
              </w:rPr>
            </w:pPr>
            <w:r>
              <w:rPr>
                <w:sz w:val="24"/>
              </w:rPr>
              <w:t>12 weeks after end of data collection</w:t>
            </w:r>
          </w:p>
        </w:tc>
      </w:tr>
      <w:tr w:rsidR="00E31DC1" w:rsidTr="00B566C4" w14:paraId="213F48BF" w14:textId="77777777">
        <w:trPr>
          <w:trHeight w:val="304" w:hRule="exact"/>
        </w:trPr>
        <w:tc>
          <w:tcPr>
            <w:tcW w:w="3505" w:type="dxa"/>
          </w:tcPr>
          <w:p w:rsidR="00E31DC1" w:rsidP="00646424" w:rsidRDefault="00E31DC1" w14:paraId="1591EFAA" w14:textId="77777777">
            <w:pPr>
              <w:pStyle w:val="TableParagraph"/>
              <w:rPr>
                <w:sz w:val="24"/>
              </w:rPr>
            </w:pPr>
            <w:r>
              <w:rPr>
                <w:sz w:val="24"/>
              </w:rPr>
              <w:t>Focus groups</w:t>
            </w:r>
          </w:p>
        </w:tc>
        <w:tc>
          <w:tcPr>
            <w:tcW w:w="5940" w:type="dxa"/>
            <w:vAlign w:val="center"/>
          </w:tcPr>
          <w:p w:rsidR="00E31DC1" w:rsidP="002D432A" w:rsidRDefault="00E31DC1" w14:paraId="1AA40422" w14:textId="77777777">
            <w:pPr>
              <w:pStyle w:val="TableParagraph"/>
              <w:ind w:left="102"/>
              <w:rPr>
                <w:sz w:val="24"/>
              </w:rPr>
            </w:pPr>
            <w:r>
              <w:rPr>
                <w:sz w:val="24"/>
              </w:rPr>
              <w:t>4‐8 weeks after survey data collection</w:t>
            </w:r>
          </w:p>
        </w:tc>
      </w:tr>
      <w:tr w:rsidR="00E31DC1" w:rsidTr="00B566C4" w14:paraId="7A7C62DE" w14:textId="77777777">
        <w:trPr>
          <w:trHeight w:val="304" w:hRule="exact"/>
        </w:trPr>
        <w:tc>
          <w:tcPr>
            <w:tcW w:w="3505" w:type="dxa"/>
          </w:tcPr>
          <w:p w:rsidR="00E31DC1" w:rsidP="00646424" w:rsidRDefault="00E31DC1" w14:paraId="13D68A4D" w14:textId="77777777">
            <w:pPr>
              <w:pStyle w:val="TableParagraph"/>
              <w:rPr>
                <w:sz w:val="24"/>
              </w:rPr>
            </w:pPr>
            <w:r>
              <w:rPr>
                <w:sz w:val="24"/>
              </w:rPr>
              <w:t>Focus group analysis</w:t>
            </w:r>
          </w:p>
        </w:tc>
        <w:tc>
          <w:tcPr>
            <w:tcW w:w="5940" w:type="dxa"/>
            <w:vAlign w:val="center"/>
          </w:tcPr>
          <w:p w:rsidR="00E31DC1" w:rsidP="002D432A" w:rsidRDefault="00E31DC1" w14:paraId="28846751" w14:textId="77777777">
            <w:pPr>
              <w:pStyle w:val="TableParagraph"/>
              <w:ind w:left="102"/>
              <w:rPr>
                <w:sz w:val="24"/>
              </w:rPr>
            </w:pPr>
            <w:r>
              <w:rPr>
                <w:sz w:val="24"/>
              </w:rPr>
              <w:t>6 weeks after focus groups</w:t>
            </w:r>
          </w:p>
        </w:tc>
      </w:tr>
      <w:tr w:rsidR="00E31DC1" w:rsidTr="00B566C4" w14:paraId="1EAB9613" w14:textId="77777777">
        <w:trPr>
          <w:trHeight w:val="304" w:hRule="exact"/>
        </w:trPr>
        <w:tc>
          <w:tcPr>
            <w:tcW w:w="3505" w:type="dxa"/>
          </w:tcPr>
          <w:p w:rsidR="00E31DC1" w:rsidP="00646424" w:rsidRDefault="00E31DC1" w14:paraId="10E9D3B1" w14:textId="77777777">
            <w:pPr>
              <w:pStyle w:val="TableParagraph"/>
              <w:rPr>
                <w:sz w:val="24"/>
              </w:rPr>
            </w:pPr>
            <w:r>
              <w:rPr>
                <w:sz w:val="24"/>
              </w:rPr>
              <w:t>Reports</w:t>
            </w:r>
          </w:p>
        </w:tc>
        <w:tc>
          <w:tcPr>
            <w:tcW w:w="5940" w:type="dxa"/>
            <w:vAlign w:val="center"/>
          </w:tcPr>
          <w:p w:rsidR="00E31DC1" w:rsidP="002D432A" w:rsidRDefault="00E31DC1" w14:paraId="756AD649" w14:textId="77777777">
            <w:pPr>
              <w:pStyle w:val="TableParagraph"/>
              <w:ind w:left="102"/>
              <w:rPr>
                <w:sz w:val="24"/>
              </w:rPr>
            </w:pPr>
            <w:r>
              <w:rPr>
                <w:sz w:val="24"/>
              </w:rPr>
              <w:t>6‐12 months after completion of data collection</w:t>
            </w:r>
          </w:p>
        </w:tc>
      </w:tr>
    </w:tbl>
    <w:p w:rsidRPr="00E31DC1" w:rsidR="003C21A1" w:rsidP="00947112" w:rsidRDefault="00135A21" w14:paraId="53C48A52" w14:textId="3A794519">
      <w:pPr>
        <w:spacing w:after="0" w:line="240" w:lineRule="auto"/>
        <w:rPr>
          <w:i/>
          <w:iCs/>
          <w:sz w:val="24"/>
          <w:szCs w:val="24"/>
        </w:rPr>
      </w:pPr>
      <w:r w:rsidRPr="00E31DC1">
        <w:rPr>
          <w:i/>
          <w:iCs/>
          <w:sz w:val="24"/>
          <w:szCs w:val="24"/>
        </w:rPr>
        <w:t xml:space="preserve">* Timeline may be adjusted based </w:t>
      </w:r>
      <w:r w:rsidRPr="00E31DC1" w:rsidR="00245C86">
        <w:rPr>
          <w:i/>
          <w:iCs/>
          <w:sz w:val="24"/>
          <w:szCs w:val="24"/>
        </w:rPr>
        <w:t>on extended</w:t>
      </w:r>
      <w:r w:rsidRPr="00E31DC1" w:rsidR="00CF6EEC">
        <w:rPr>
          <w:i/>
          <w:iCs/>
          <w:sz w:val="24"/>
          <w:szCs w:val="24"/>
        </w:rPr>
        <w:t xml:space="preserve"> evacuation and return home orders</w:t>
      </w:r>
    </w:p>
    <w:p w:rsidRPr="003A6521" w:rsidR="00B45002" w:rsidP="00601F1A" w:rsidRDefault="00601F1A" w14:paraId="17A1701D" w14:textId="44715584">
      <w:pPr>
        <w:pStyle w:val="Heading1"/>
        <w:rPr>
          <w:color w:val="auto"/>
        </w:rPr>
      </w:pPr>
      <w:bookmarkStart w:name="_Toc61000944" w:id="18"/>
      <w:r w:rsidRPr="003A6521">
        <w:rPr>
          <w:color w:val="auto"/>
        </w:rPr>
        <w:t>A.</w:t>
      </w:r>
      <w:r w:rsidRPr="003A6521" w:rsidR="00AC62CC">
        <w:rPr>
          <w:color w:val="auto"/>
        </w:rPr>
        <w:t xml:space="preserve">17.  </w:t>
      </w:r>
      <w:r w:rsidRPr="003A6521" w:rsidR="00B45002">
        <w:rPr>
          <w:color w:val="auto"/>
        </w:rPr>
        <w:t>Reason(s) Display of OMB Expiration Date is Inappropriate</w:t>
      </w:r>
      <w:bookmarkEnd w:id="18"/>
    </w:p>
    <w:p w:rsidRPr="003A6521" w:rsidR="005B6E55" w:rsidP="005B6E55" w:rsidRDefault="005B6E55" w14:paraId="7135D023" w14:textId="77777777"/>
    <w:p w:rsidRPr="003A6521" w:rsidR="005B6E55" w:rsidP="005B6E55" w:rsidRDefault="005B6E55" w14:paraId="387ECE52" w14:textId="50C1D9F3">
      <w:pPr>
        <w:autoSpaceDE w:val="0"/>
        <w:autoSpaceDN w:val="0"/>
        <w:adjustRightInd w:val="0"/>
        <w:spacing w:line="240" w:lineRule="auto"/>
        <w:rPr>
          <w:rFonts w:cs="ITCFranklinGothicStd-Book"/>
          <w:sz w:val="24"/>
          <w:szCs w:val="24"/>
        </w:rPr>
      </w:pPr>
      <w:r w:rsidRPr="003A6521">
        <w:rPr>
          <w:rFonts w:cs="ITCFranklinGothicStd-Book"/>
          <w:sz w:val="24"/>
          <w:szCs w:val="24"/>
        </w:rPr>
        <w:t>The display of the OMB expira</w:t>
      </w:r>
      <w:r w:rsidRPr="003A6521" w:rsidR="003A6521">
        <w:rPr>
          <w:rFonts w:cs="ITCFranklinGothicStd-Book"/>
          <w:sz w:val="24"/>
          <w:szCs w:val="24"/>
        </w:rPr>
        <w:t xml:space="preserve">tion date </w:t>
      </w:r>
      <w:r w:rsidR="00933298">
        <w:rPr>
          <w:rFonts w:cs="ITCFranklinGothicStd-Book"/>
          <w:sz w:val="24"/>
          <w:szCs w:val="24"/>
        </w:rPr>
        <w:t>will be shown on all data collection materials.</w:t>
      </w:r>
    </w:p>
    <w:p w:rsidRPr="003A6521" w:rsidR="00DC57CC" w:rsidP="00601F1A" w:rsidRDefault="00601F1A" w14:paraId="2756C2D5" w14:textId="21EA9472">
      <w:pPr>
        <w:pStyle w:val="Heading1"/>
        <w:rPr>
          <w:color w:val="auto"/>
        </w:rPr>
      </w:pPr>
      <w:bookmarkStart w:name="_Toc61000945" w:id="19"/>
      <w:r w:rsidRPr="003A6521">
        <w:rPr>
          <w:color w:val="auto"/>
        </w:rPr>
        <w:t>A.</w:t>
      </w:r>
      <w:r w:rsidRPr="003A6521" w:rsidR="00B45002">
        <w:rPr>
          <w:color w:val="auto"/>
        </w:rPr>
        <w:t>18</w:t>
      </w:r>
      <w:r w:rsidRPr="003A6521" w:rsidR="00AC62CC">
        <w:rPr>
          <w:color w:val="auto"/>
        </w:rPr>
        <w:t xml:space="preserve">.  </w:t>
      </w:r>
      <w:r w:rsidRPr="003A6521" w:rsidR="00B45002">
        <w:rPr>
          <w:color w:val="auto"/>
        </w:rPr>
        <w:t>Exceptions to Certification for Paperwork Reduction Act Submissions</w:t>
      </w:r>
      <w:bookmarkEnd w:id="19"/>
    </w:p>
    <w:p w:rsidR="008C154D" w:rsidP="005B6E55" w:rsidRDefault="008C154D" w14:paraId="661E4960" w14:textId="324FCB3F">
      <w:pPr>
        <w:spacing w:line="240" w:lineRule="auto"/>
        <w:rPr>
          <w:sz w:val="24"/>
          <w:szCs w:val="24"/>
          <w:highlight w:val="yellow"/>
        </w:rPr>
      </w:pPr>
    </w:p>
    <w:p w:rsidRPr="00670118" w:rsidR="0002575C" w:rsidP="0002575C" w:rsidRDefault="0002575C" w14:paraId="59E398C8" w14:textId="2D41E77A">
      <w:r w:rsidRPr="00CB4EE6">
        <w:rPr>
          <w:rFonts w:cs="ITCFranklinGothicStd-Book"/>
          <w:sz w:val="24"/>
          <w:szCs w:val="24"/>
        </w:rPr>
        <w:t xml:space="preserve">There are no exceptions to the certification. </w:t>
      </w:r>
    </w:p>
    <w:p w:rsidR="009506A9" w:rsidRDefault="009506A9" w14:paraId="7A7289C2" w14:textId="77777777">
      <w:pPr>
        <w:rPr>
          <w:rFonts w:asciiTheme="majorHAnsi" w:hAnsiTheme="majorHAnsi" w:eastAsiaTheme="majorEastAsia" w:cstheme="minorHAnsi"/>
          <w:sz w:val="32"/>
          <w:szCs w:val="32"/>
        </w:rPr>
      </w:pPr>
      <w:r>
        <w:rPr>
          <w:rFonts w:cstheme="minorHAnsi"/>
        </w:rPr>
        <w:br w:type="page"/>
      </w:r>
    </w:p>
    <w:p w:rsidR="0050477F" w:rsidP="009506A9" w:rsidRDefault="005C33C7" w14:paraId="210BD028" w14:textId="594E6C38">
      <w:pPr>
        <w:pStyle w:val="Heading1"/>
        <w:rPr>
          <w:rFonts w:cstheme="minorHAnsi"/>
          <w:color w:val="auto"/>
        </w:rPr>
      </w:pPr>
      <w:bookmarkStart w:name="_Toc61000946" w:id="20"/>
      <w:r w:rsidRPr="003A6521">
        <w:rPr>
          <w:rFonts w:cstheme="minorHAnsi"/>
          <w:color w:val="auto"/>
        </w:rPr>
        <w:lastRenderedPageBreak/>
        <w:t>References</w:t>
      </w:r>
      <w:bookmarkEnd w:id="20"/>
    </w:p>
    <w:p w:rsidRPr="009506A9" w:rsidR="009506A9" w:rsidP="009506A9" w:rsidRDefault="009506A9" w14:paraId="309A8C18" w14:textId="77777777"/>
    <w:p w:rsidR="00CA36D5" w:rsidP="009506A9" w:rsidRDefault="00CA36D5" w14:paraId="746C07B4" w14:textId="27C7FF72">
      <w:pPr>
        <w:pStyle w:val="MTitel"/>
        <w:spacing w:before="0"/>
        <w:ind w:left="0" w:firstLine="0"/>
        <w:rPr>
          <w:rFonts w:asciiTheme="minorHAnsi" w:hAnsiTheme="minorHAnsi" w:cstheme="minorHAnsi"/>
          <w:color w:val="auto"/>
          <w:szCs w:val="24"/>
        </w:rPr>
      </w:pPr>
      <w:r>
        <w:rPr>
          <w:rFonts w:asciiTheme="minorHAnsi" w:hAnsiTheme="minorHAnsi" w:cstheme="minorHAnsi"/>
          <w:color w:val="auto"/>
          <w:szCs w:val="24"/>
        </w:rPr>
        <w:t>1.</w:t>
      </w:r>
      <w:r w:rsidRPr="00EB5EE9" w:rsidR="00EB5EE9">
        <w:t xml:space="preserve"> </w:t>
      </w:r>
      <w:proofErr w:type="spellStart"/>
      <w:r w:rsidRPr="00EB5EE9" w:rsidR="00EB5EE9">
        <w:rPr>
          <w:rFonts w:asciiTheme="minorHAnsi" w:hAnsiTheme="minorHAnsi" w:cstheme="minorHAnsi"/>
          <w:color w:val="auto"/>
          <w:szCs w:val="24"/>
        </w:rPr>
        <w:t>Heagele</w:t>
      </w:r>
      <w:proofErr w:type="spellEnd"/>
      <w:r w:rsidRPr="00EB5EE9" w:rsidR="00EB5EE9">
        <w:rPr>
          <w:rFonts w:asciiTheme="minorHAnsi" w:hAnsiTheme="minorHAnsi" w:cstheme="minorHAnsi"/>
          <w:color w:val="auto"/>
          <w:szCs w:val="24"/>
        </w:rPr>
        <w:t xml:space="preserve"> TN. Lack of Evidence Supporting the Effectiveness of Disaster Supply Kits. Am J Public Health. 2016;106:979–982. (doi:10.2105/AJPH.2016.303148)</w:t>
      </w:r>
    </w:p>
    <w:p w:rsidR="00DD04A8" w:rsidP="009506A9" w:rsidRDefault="00DD04A8" w14:paraId="25A553CD" w14:textId="77777777">
      <w:pPr>
        <w:pStyle w:val="MTitel"/>
        <w:spacing w:before="0"/>
        <w:ind w:left="0" w:firstLine="0"/>
        <w:rPr>
          <w:rFonts w:asciiTheme="minorHAnsi" w:hAnsiTheme="minorHAnsi" w:cstheme="minorHAnsi"/>
          <w:color w:val="auto"/>
          <w:szCs w:val="24"/>
        </w:rPr>
      </w:pPr>
    </w:p>
    <w:p w:rsidR="00DD04A8" w:rsidP="009506A9" w:rsidRDefault="00CA36D5" w14:paraId="5D0C6A90" w14:textId="77777777">
      <w:pPr>
        <w:pStyle w:val="MTitel"/>
        <w:spacing w:before="0"/>
        <w:ind w:left="0" w:firstLine="0"/>
        <w:rPr>
          <w:rFonts w:asciiTheme="minorHAnsi" w:hAnsiTheme="minorHAnsi" w:cstheme="minorHAnsi"/>
          <w:color w:val="auto"/>
          <w:szCs w:val="24"/>
        </w:rPr>
      </w:pPr>
      <w:r>
        <w:rPr>
          <w:rFonts w:asciiTheme="minorHAnsi" w:hAnsiTheme="minorHAnsi" w:cstheme="minorHAnsi"/>
          <w:color w:val="auto"/>
          <w:szCs w:val="24"/>
        </w:rPr>
        <w:t xml:space="preserve">2. </w:t>
      </w:r>
      <w:r w:rsidRPr="00DD04A8" w:rsidR="00DD04A8">
        <w:rPr>
          <w:rFonts w:asciiTheme="minorHAnsi" w:hAnsiTheme="minorHAnsi" w:cstheme="minorHAnsi"/>
          <w:color w:val="auto"/>
          <w:szCs w:val="24"/>
        </w:rPr>
        <w:t>Department of Homeland Security. “Ready. Prepare. Plan. Stay informed.” Available at: http://www.ready.gov and https://www.ready.gov/build-a-kit .</w:t>
      </w:r>
    </w:p>
    <w:p w:rsidR="00DD04A8" w:rsidP="009506A9" w:rsidRDefault="00DD04A8" w14:paraId="76BA5CC4" w14:textId="77777777">
      <w:pPr>
        <w:pStyle w:val="MTitel"/>
        <w:spacing w:before="0"/>
        <w:ind w:left="0" w:firstLine="0"/>
        <w:rPr>
          <w:rFonts w:asciiTheme="minorHAnsi" w:hAnsiTheme="minorHAnsi" w:cstheme="minorHAnsi"/>
          <w:color w:val="auto"/>
          <w:szCs w:val="24"/>
        </w:rPr>
      </w:pPr>
    </w:p>
    <w:p w:rsidR="0050477F" w:rsidP="009506A9" w:rsidRDefault="00DD04A8" w14:paraId="5D3D42C1" w14:textId="1D7B5249">
      <w:pPr>
        <w:pStyle w:val="MTitel"/>
        <w:spacing w:before="0"/>
        <w:ind w:left="0" w:firstLine="0"/>
        <w:rPr>
          <w:rFonts w:asciiTheme="minorHAnsi" w:hAnsiTheme="minorHAnsi" w:cstheme="minorHAnsi"/>
          <w:color w:val="auto"/>
          <w:szCs w:val="24"/>
        </w:rPr>
      </w:pPr>
      <w:r>
        <w:rPr>
          <w:rFonts w:asciiTheme="minorHAnsi" w:hAnsiTheme="minorHAnsi" w:cstheme="minorHAnsi"/>
          <w:color w:val="auto"/>
          <w:szCs w:val="24"/>
        </w:rPr>
        <w:t xml:space="preserve">3. </w:t>
      </w:r>
      <w:r w:rsidRPr="009506A9" w:rsidR="0050477F">
        <w:rPr>
          <w:rFonts w:asciiTheme="minorHAnsi" w:hAnsiTheme="minorHAnsi" w:cstheme="minorHAnsi"/>
          <w:color w:val="auto"/>
          <w:szCs w:val="24"/>
        </w:rPr>
        <w:t>Charles</w:t>
      </w:r>
      <w:r w:rsidR="00CA36D5">
        <w:rPr>
          <w:rFonts w:asciiTheme="minorHAnsi" w:hAnsiTheme="minorHAnsi" w:cstheme="minorHAnsi"/>
          <w:color w:val="auto"/>
          <w:szCs w:val="24"/>
        </w:rPr>
        <w:t xml:space="preserve"> </w:t>
      </w:r>
      <w:r w:rsidRPr="009506A9" w:rsidR="0050477F">
        <w:rPr>
          <w:rFonts w:asciiTheme="minorHAnsi" w:hAnsiTheme="minorHAnsi" w:cstheme="minorHAnsi"/>
          <w:color w:val="auto"/>
          <w:szCs w:val="24"/>
        </w:rPr>
        <w:t xml:space="preserve">M. City of Stillwater releases emergency preparedness survey results. </w:t>
      </w:r>
      <w:r w:rsidRPr="00222FE0" w:rsidR="0050477F">
        <w:rPr>
          <w:rFonts w:asciiTheme="minorHAnsi" w:hAnsiTheme="minorHAnsi" w:cstheme="minorHAnsi"/>
          <w:i/>
          <w:iCs/>
          <w:color w:val="auto"/>
          <w:szCs w:val="24"/>
        </w:rPr>
        <w:t>Stillwater News Press.</w:t>
      </w:r>
      <w:r w:rsidRPr="009506A9" w:rsidR="0050477F">
        <w:rPr>
          <w:rFonts w:asciiTheme="minorHAnsi" w:hAnsiTheme="minorHAnsi" w:cstheme="minorHAnsi"/>
          <w:color w:val="auto"/>
          <w:szCs w:val="24"/>
        </w:rPr>
        <w:t xml:space="preserve"> </w:t>
      </w:r>
      <w:r w:rsidR="00CA36D5">
        <w:rPr>
          <w:rFonts w:asciiTheme="minorHAnsi" w:hAnsiTheme="minorHAnsi" w:cstheme="minorHAnsi"/>
          <w:color w:val="auto"/>
          <w:szCs w:val="24"/>
        </w:rPr>
        <w:t>29 July 2019</w:t>
      </w:r>
    </w:p>
    <w:p w:rsidR="00DD04A8" w:rsidP="009506A9" w:rsidRDefault="00DD04A8" w14:paraId="322D30BE" w14:textId="77777777">
      <w:pPr>
        <w:pStyle w:val="MTitel"/>
        <w:spacing w:before="0"/>
        <w:ind w:left="0" w:firstLine="0"/>
        <w:rPr>
          <w:rFonts w:asciiTheme="minorHAnsi" w:hAnsiTheme="minorHAnsi" w:cstheme="minorHAnsi"/>
          <w:color w:val="auto"/>
          <w:szCs w:val="24"/>
        </w:rPr>
      </w:pPr>
    </w:p>
    <w:p w:rsidR="00DD04A8" w:rsidP="00CA36D5" w:rsidRDefault="00DD04A8" w14:paraId="2DF10254" w14:textId="77777777">
      <w:pPr>
        <w:pStyle w:val="MTitel"/>
        <w:spacing w:before="0"/>
        <w:ind w:left="0" w:firstLine="0"/>
        <w:rPr>
          <w:rFonts w:asciiTheme="minorHAnsi" w:hAnsiTheme="minorHAnsi" w:cstheme="minorHAnsi"/>
          <w:color w:val="auto"/>
          <w:szCs w:val="24"/>
        </w:rPr>
      </w:pPr>
      <w:r>
        <w:rPr>
          <w:rFonts w:asciiTheme="minorHAnsi" w:hAnsiTheme="minorHAnsi" w:cstheme="minorHAnsi"/>
          <w:color w:val="auto"/>
          <w:szCs w:val="24"/>
        </w:rPr>
        <w:t>4</w:t>
      </w:r>
      <w:r w:rsidR="00CA36D5">
        <w:rPr>
          <w:rFonts w:asciiTheme="minorHAnsi" w:hAnsiTheme="minorHAnsi" w:cstheme="minorHAnsi"/>
          <w:color w:val="auto"/>
          <w:szCs w:val="24"/>
        </w:rPr>
        <w:t xml:space="preserve">. </w:t>
      </w:r>
      <w:r w:rsidRPr="009506A9" w:rsidR="00CA36D5">
        <w:rPr>
          <w:rFonts w:asciiTheme="minorHAnsi" w:hAnsiTheme="minorHAnsi" w:cstheme="minorHAnsi"/>
          <w:color w:val="auto"/>
          <w:szCs w:val="24"/>
        </w:rPr>
        <w:t>Pickerin</w:t>
      </w:r>
      <w:r w:rsidR="00CA36D5">
        <w:rPr>
          <w:rFonts w:asciiTheme="minorHAnsi" w:hAnsiTheme="minorHAnsi" w:cstheme="minorHAnsi"/>
          <w:color w:val="auto"/>
          <w:szCs w:val="24"/>
        </w:rPr>
        <w:t>g</w:t>
      </w:r>
      <w:r w:rsidRPr="009506A9" w:rsidR="00CA36D5">
        <w:rPr>
          <w:rFonts w:asciiTheme="minorHAnsi" w:hAnsiTheme="minorHAnsi" w:cstheme="minorHAnsi"/>
          <w:color w:val="auto"/>
          <w:szCs w:val="24"/>
        </w:rPr>
        <w:t xml:space="preserve"> CJ</w:t>
      </w:r>
      <w:r w:rsidR="00662493">
        <w:rPr>
          <w:rFonts w:asciiTheme="minorHAnsi" w:hAnsiTheme="minorHAnsi" w:cstheme="minorHAnsi"/>
          <w:color w:val="auto"/>
          <w:szCs w:val="24"/>
        </w:rPr>
        <w:t xml:space="preserve">, O’Sullivan TL, Morris A, Mark C, </w:t>
      </w:r>
      <w:proofErr w:type="spellStart"/>
      <w:r w:rsidR="00511041">
        <w:rPr>
          <w:rFonts w:asciiTheme="minorHAnsi" w:hAnsiTheme="minorHAnsi" w:cstheme="minorHAnsi"/>
          <w:color w:val="auto"/>
          <w:szCs w:val="24"/>
        </w:rPr>
        <w:t>McQuirk</w:t>
      </w:r>
      <w:proofErr w:type="spellEnd"/>
      <w:r w:rsidR="00511041">
        <w:rPr>
          <w:rFonts w:asciiTheme="minorHAnsi" w:hAnsiTheme="minorHAnsi" w:cstheme="minorHAnsi"/>
          <w:color w:val="auto"/>
          <w:szCs w:val="24"/>
        </w:rPr>
        <w:t xml:space="preserve"> D, et al. </w:t>
      </w:r>
      <w:r w:rsidRPr="009506A9" w:rsidR="00CA36D5">
        <w:rPr>
          <w:rFonts w:asciiTheme="minorHAnsi" w:hAnsiTheme="minorHAnsi" w:cstheme="minorHAnsi"/>
          <w:color w:val="auto"/>
          <w:szCs w:val="24"/>
        </w:rPr>
        <w:t xml:space="preserve">The promotion of ‘Grab Bags’ as a disaster risk reduction strategy. </w:t>
      </w:r>
      <w:proofErr w:type="spellStart"/>
      <w:r w:rsidRPr="00222FE0" w:rsidR="00CA36D5">
        <w:rPr>
          <w:rFonts w:asciiTheme="minorHAnsi" w:hAnsiTheme="minorHAnsi" w:cstheme="minorHAnsi"/>
          <w:i/>
          <w:iCs/>
          <w:color w:val="auto"/>
          <w:szCs w:val="24"/>
        </w:rPr>
        <w:t>PLoS</w:t>
      </w:r>
      <w:proofErr w:type="spellEnd"/>
      <w:r w:rsidRPr="00222FE0" w:rsidR="00CA36D5">
        <w:rPr>
          <w:rFonts w:asciiTheme="minorHAnsi" w:hAnsiTheme="minorHAnsi" w:cstheme="minorHAnsi"/>
          <w:i/>
          <w:iCs/>
          <w:color w:val="auto"/>
          <w:szCs w:val="24"/>
        </w:rPr>
        <w:t xml:space="preserve"> Current</w:t>
      </w:r>
      <w:r w:rsidR="00487EC5">
        <w:rPr>
          <w:rFonts w:asciiTheme="minorHAnsi" w:hAnsiTheme="minorHAnsi" w:cstheme="minorHAnsi"/>
          <w:i/>
          <w:iCs/>
          <w:color w:val="auto"/>
          <w:szCs w:val="24"/>
        </w:rPr>
        <w:t xml:space="preserve">s Disasters </w:t>
      </w:r>
      <w:r w:rsidR="00511041">
        <w:rPr>
          <w:rFonts w:asciiTheme="minorHAnsi" w:hAnsiTheme="minorHAnsi" w:cstheme="minorHAnsi"/>
          <w:color w:val="auto"/>
          <w:szCs w:val="24"/>
        </w:rPr>
        <w:t>2018</w:t>
      </w:r>
      <w:r w:rsidR="006671D5">
        <w:rPr>
          <w:rFonts w:asciiTheme="minorHAnsi" w:hAnsiTheme="minorHAnsi" w:cstheme="minorHAnsi"/>
          <w:color w:val="auto"/>
          <w:szCs w:val="24"/>
        </w:rPr>
        <w:t xml:space="preserve"> </w:t>
      </w:r>
      <w:r w:rsidR="00487EC5">
        <w:rPr>
          <w:rFonts w:asciiTheme="minorHAnsi" w:hAnsiTheme="minorHAnsi" w:cstheme="minorHAnsi"/>
          <w:color w:val="auto"/>
          <w:szCs w:val="24"/>
        </w:rPr>
        <w:t>1</w:t>
      </w:r>
      <w:r w:rsidR="00DB4C2E">
        <w:rPr>
          <w:rFonts w:asciiTheme="minorHAnsi" w:hAnsiTheme="minorHAnsi" w:cstheme="minorHAnsi"/>
          <w:color w:val="auto"/>
          <w:szCs w:val="24"/>
        </w:rPr>
        <w:t xml:space="preserve">. </w:t>
      </w:r>
      <w:proofErr w:type="spellStart"/>
      <w:r w:rsidRPr="00DB4C2E" w:rsidR="00DB4C2E">
        <w:rPr>
          <w:rFonts w:asciiTheme="minorHAnsi" w:hAnsiTheme="minorHAnsi" w:cstheme="minorHAnsi"/>
          <w:color w:val="auto"/>
          <w:szCs w:val="24"/>
        </w:rPr>
        <w:t>doi</w:t>
      </w:r>
      <w:proofErr w:type="spellEnd"/>
      <w:r w:rsidRPr="00DB4C2E" w:rsidR="00DB4C2E">
        <w:rPr>
          <w:rFonts w:asciiTheme="minorHAnsi" w:hAnsiTheme="minorHAnsi" w:cstheme="minorHAnsi"/>
          <w:color w:val="auto"/>
          <w:szCs w:val="24"/>
        </w:rPr>
        <w:t xml:space="preserve">: </w:t>
      </w:r>
    </w:p>
    <w:p w:rsidR="00CA36D5" w:rsidP="00CA36D5" w:rsidRDefault="00DB4C2E" w14:paraId="780832F1" w14:textId="0AB3C749">
      <w:pPr>
        <w:pStyle w:val="MTitel"/>
        <w:spacing w:before="0"/>
        <w:ind w:left="0" w:firstLine="0"/>
        <w:rPr>
          <w:rFonts w:asciiTheme="minorHAnsi" w:hAnsiTheme="minorHAnsi" w:cstheme="minorHAnsi"/>
          <w:color w:val="auto"/>
          <w:szCs w:val="24"/>
        </w:rPr>
      </w:pPr>
      <w:r w:rsidRPr="00DB4C2E">
        <w:rPr>
          <w:rFonts w:asciiTheme="minorHAnsi" w:hAnsiTheme="minorHAnsi" w:cstheme="minorHAnsi"/>
          <w:color w:val="auto"/>
          <w:szCs w:val="24"/>
        </w:rPr>
        <w:t>10.1371/currents.dis.223ac4322834aa0bb0d6824ee424e7f8</w:t>
      </w:r>
    </w:p>
    <w:p w:rsidRPr="009506A9" w:rsidR="00DD04A8" w:rsidP="00CA36D5" w:rsidRDefault="00DD04A8" w14:paraId="36AA2DE1" w14:textId="77777777">
      <w:pPr>
        <w:pStyle w:val="MTitel"/>
        <w:spacing w:before="0"/>
        <w:ind w:left="0" w:firstLine="0"/>
        <w:rPr>
          <w:rFonts w:asciiTheme="minorHAnsi" w:hAnsiTheme="minorHAnsi" w:cstheme="minorHAnsi"/>
          <w:color w:val="auto"/>
          <w:szCs w:val="24"/>
        </w:rPr>
      </w:pPr>
    </w:p>
    <w:p w:rsidR="009506A9" w:rsidP="009506A9" w:rsidRDefault="00DD04A8" w14:paraId="140EC654" w14:textId="0C99B963">
      <w:pPr>
        <w:pStyle w:val="MTitel"/>
        <w:spacing w:before="0"/>
        <w:ind w:left="0" w:firstLine="0"/>
        <w:rPr>
          <w:rFonts w:asciiTheme="minorHAnsi" w:hAnsiTheme="minorHAnsi" w:cstheme="minorHAnsi"/>
          <w:color w:val="auto"/>
          <w:szCs w:val="24"/>
        </w:rPr>
      </w:pPr>
      <w:r>
        <w:rPr>
          <w:rFonts w:asciiTheme="minorHAnsi" w:hAnsiTheme="minorHAnsi" w:cstheme="minorHAnsi"/>
          <w:color w:val="auto"/>
          <w:szCs w:val="24"/>
        </w:rPr>
        <w:t xml:space="preserve">5. </w:t>
      </w:r>
      <w:proofErr w:type="spellStart"/>
      <w:r w:rsidRPr="009506A9" w:rsidR="009506A9">
        <w:rPr>
          <w:rFonts w:asciiTheme="minorHAnsi" w:hAnsiTheme="minorHAnsi" w:cstheme="minorHAnsi"/>
          <w:color w:val="auto"/>
          <w:szCs w:val="24"/>
        </w:rPr>
        <w:t>Perman</w:t>
      </w:r>
      <w:proofErr w:type="spellEnd"/>
      <w:r w:rsidR="00450C2A">
        <w:rPr>
          <w:rFonts w:asciiTheme="minorHAnsi" w:hAnsiTheme="minorHAnsi" w:cstheme="minorHAnsi"/>
          <w:color w:val="auto"/>
          <w:szCs w:val="24"/>
        </w:rPr>
        <w:t xml:space="preserve"> J</w:t>
      </w:r>
      <w:r w:rsidR="0020623F">
        <w:rPr>
          <w:rFonts w:asciiTheme="minorHAnsi" w:hAnsiTheme="minorHAnsi" w:cstheme="minorHAnsi"/>
          <w:color w:val="auto"/>
          <w:szCs w:val="24"/>
        </w:rPr>
        <w:t xml:space="preserve">, </w:t>
      </w:r>
      <w:proofErr w:type="spellStart"/>
      <w:r w:rsidR="0020623F">
        <w:rPr>
          <w:rFonts w:asciiTheme="minorHAnsi" w:hAnsiTheme="minorHAnsi" w:cstheme="minorHAnsi"/>
          <w:color w:val="auto"/>
          <w:szCs w:val="24"/>
        </w:rPr>
        <w:t>Shoaf</w:t>
      </w:r>
      <w:proofErr w:type="spellEnd"/>
      <w:r w:rsidR="0020623F">
        <w:rPr>
          <w:rFonts w:asciiTheme="minorHAnsi" w:hAnsiTheme="minorHAnsi" w:cstheme="minorHAnsi"/>
          <w:color w:val="auto"/>
          <w:szCs w:val="24"/>
        </w:rPr>
        <w:t xml:space="preserve"> K, </w:t>
      </w:r>
      <w:proofErr w:type="spellStart"/>
      <w:r w:rsidR="0020623F">
        <w:rPr>
          <w:rFonts w:asciiTheme="minorHAnsi" w:hAnsiTheme="minorHAnsi" w:cstheme="minorHAnsi"/>
          <w:color w:val="auto"/>
          <w:szCs w:val="24"/>
        </w:rPr>
        <w:t>Kourouyan</w:t>
      </w:r>
      <w:proofErr w:type="spellEnd"/>
      <w:r w:rsidR="0020623F">
        <w:rPr>
          <w:rFonts w:asciiTheme="minorHAnsi" w:hAnsiTheme="minorHAnsi" w:cstheme="minorHAnsi"/>
          <w:color w:val="auto"/>
          <w:szCs w:val="24"/>
        </w:rPr>
        <w:t xml:space="preserve"> A, Kelley M. </w:t>
      </w:r>
      <w:r w:rsidRPr="009506A9" w:rsidR="009506A9">
        <w:rPr>
          <w:rFonts w:asciiTheme="minorHAnsi" w:hAnsiTheme="minorHAnsi" w:cstheme="minorHAnsi"/>
          <w:color w:val="auto"/>
          <w:szCs w:val="24"/>
        </w:rPr>
        <w:t>Disaster kit contents: a comparison of published guidelines for household preparedness supplies.</w:t>
      </w:r>
      <w:r w:rsidRPr="00222FE0" w:rsidR="009506A9">
        <w:rPr>
          <w:rFonts w:asciiTheme="minorHAnsi" w:hAnsiTheme="minorHAnsi" w:cstheme="minorHAnsi"/>
          <w:i/>
          <w:iCs/>
          <w:color w:val="auto"/>
          <w:szCs w:val="24"/>
        </w:rPr>
        <w:t xml:space="preserve"> International Journal of Mass Emergencies and Disasters</w:t>
      </w:r>
      <w:r w:rsidR="0020623F">
        <w:rPr>
          <w:rFonts w:asciiTheme="minorHAnsi" w:hAnsiTheme="minorHAnsi" w:cstheme="minorHAnsi"/>
          <w:color w:val="auto"/>
          <w:szCs w:val="24"/>
        </w:rPr>
        <w:t xml:space="preserve"> 2011</w:t>
      </w:r>
      <w:r w:rsidRPr="009506A9" w:rsidR="009506A9">
        <w:rPr>
          <w:rFonts w:asciiTheme="minorHAnsi" w:hAnsiTheme="minorHAnsi" w:cstheme="minorHAnsi"/>
          <w:color w:val="auto"/>
          <w:szCs w:val="24"/>
        </w:rPr>
        <w:t xml:space="preserve"> 29(1)</w:t>
      </w:r>
      <w:r w:rsidR="0020623F">
        <w:rPr>
          <w:rFonts w:asciiTheme="minorHAnsi" w:hAnsiTheme="minorHAnsi" w:cstheme="minorHAnsi"/>
          <w:color w:val="auto"/>
          <w:szCs w:val="24"/>
        </w:rPr>
        <w:t>:</w:t>
      </w:r>
      <w:r w:rsidRPr="009506A9" w:rsidR="009506A9">
        <w:rPr>
          <w:rFonts w:asciiTheme="minorHAnsi" w:hAnsiTheme="minorHAnsi" w:cstheme="minorHAnsi"/>
          <w:color w:val="auto"/>
          <w:szCs w:val="24"/>
        </w:rPr>
        <w:t>1–25.</w:t>
      </w:r>
    </w:p>
    <w:p w:rsidRPr="009506A9" w:rsidR="009506A9" w:rsidP="009506A9" w:rsidRDefault="009506A9" w14:paraId="78678672" w14:textId="77777777">
      <w:pPr>
        <w:pStyle w:val="MTitel"/>
        <w:spacing w:before="0"/>
        <w:ind w:left="0" w:firstLine="0"/>
        <w:rPr>
          <w:rFonts w:asciiTheme="minorHAnsi" w:hAnsiTheme="minorHAnsi" w:cstheme="minorHAnsi"/>
          <w:color w:val="auto"/>
          <w:szCs w:val="24"/>
        </w:rPr>
      </w:pPr>
    </w:p>
    <w:p w:rsidRPr="003A6521" w:rsidR="0050477F" w:rsidP="0050477F" w:rsidRDefault="0050477F" w14:paraId="186E6A06" w14:textId="77777777">
      <w:pPr>
        <w:pStyle w:val="MTitel"/>
        <w:spacing w:before="0"/>
        <w:rPr>
          <w:rFonts w:asciiTheme="minorHAnsi" w:hAnsiTheme="minorHAnsi" w:cstheme="minorHAnsi"/>
          <w:szCs w:val="24"/>
        </w:rPr>
      </w:pPr>
    </w:p>
    <w:p w:rsidRPr="00305041" w:rsidR="008C154D" w:rsidP="008C154D" w:rsidRDefault="008C154D" w14:paraId="000E963E" w14:textId="474A0669">
      <w:pPr>
        <w:rPr>
          <w:rFonts w:ascii="Cambria" w:hAnsi="Cambria" w:eastAsiaTheme="majorEastAsia" w:cstheme="majorBidi"/>
          <w:sz w:val="36"/>
          <w:szCs w:val="36"/>
        </w:rPr>
      </w:pPr>
    </w:p>
    <w:sectPr w:rsidRPr="00305041" w:rsidR="008C154D" w:rsidSect="00F91C3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4F2EC" w14:textId="77777777" w:rsidR="00185C3B" w:rsidRDefault="00185C3B" w:rsidP="008B5D54">
      <w:r>
        <w:separator/>
      </w:r>
    </w:p>
  </w:endnote>
  <w:endnote w:type="continuationSeparator" w:id="0">
    <w:p w14:paraId="5D44ACC3" w14:textId="77777777" w:rsidR="00185C3B" w:rsidRDefault="00185C3B" w:rsidP="008B5D54">
      <w:r>
        <w:continuationSeparator/>
      </w:r>
    </w:p>
  </w:endnote>
  <w:endnote w:type="continuationNotice" w:id="1">
    <w:p w14:paraId="7E94663E" w14:textId="77777777" w:rsidR="00185C3B" w:rsidRDefault="00185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1F15C" w14:textId="77777777" w:rsidR="00185C3B" w:rsidRDefault="00185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8082669"/>
      <w:docPartObj>
        <w:docPartGallery w:val="Page Numbers (Bottom of Page)"/>
        <w:docPartUnique/>
      </w:docPartObj>
    </w:sdtPr>
    <w:sdtEndPr>
      <w:rPr>
        <w:noProof/>
      </w:rPr>
    </w:sdtEndPr>
    <w:sdtContent>
      <w:p w14:paraId="1C016990" w14:textId="0862BD9A" w:rsidR="00185C3B" w:rsidRDefault="00185C3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13FA1" w14:textId="77777777" w:rsidR="00185C3B" w:rsidRDefault="00185C3B">
    <w:pPr>
      <w:pStyle w:val="Footer"/>
    </w:pPr>
  </w:p>
  <w:p w14:paraId="50A7E2F4" w14:textId="77777777" w:rsidR="00185C3B" w:rsidRDefault="00185C3B"/>
  <w:p w14:paraId="4ED94746" w14:textId="77777777" w:rsidR="00185C3B" w:rsidRDefault="00185C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767B6" w14:textId="77777777" w:rsidR="00185C3B" w:rsidRDefault="00185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B5FD2" w14:textId="77777777" w:rsidR="00185C3B" w:rsidRDefault="00185C3B" w:rsidP="008B5D54">
      <w:r>
        <w:separator/>
      </w:r>
    </w:p>
  </w:footnote>
  <w:footnote w:type="continuationSeparator" w:id="0">
    <w:p w14:paraId="35C03D7E" w14:textId="77777777" w:rsidR="00185C3B" w:rsidRDefault="00185C3B" w:rsidP="008B5D54">
      <w:r>
        <w:continuationSeparator/>
      </w:r>
    </w:p>
  </w:footnote>
  <w:footnote w:type="continuationNotice" w:id="1">
    <w:p w14:paraId="4D32C60E" w14:textId="77777777" w:rsidR="00185C3B" w:rsidRDefault="00185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8644A" w14:textId="77777777" w:rsidR="00185C3B" w:rsidRDefault="00185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42283" w14:textId="2A2A2AE3" w:rsidR="00185C3B" w:rsidRPr="00AA563C" w:rsidRDefault="00185C3B" w:rsidP="00AA563C">
    <w:pPr>
      <w:pStyle w:val="Header"/>
      <w:rPr>
        <w:color w:val="A6A6A6" w:themeColor="background1" w:themeShade="A6"/>
      </w:rPr>
    </w:pPr>
    <w:r w:rsidRPr="004059F5">
      <w:rPr>
        <w:color w:val="A6A6A6" w:themeColor="background1" w:themeShade="A6"/>
      </w:rPr>
      <w:t>Supporting Statement A (SSA): Emergency Supply Kits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B5EA3" w14:textId="77777777" w:rsidR="00185C3B" w:rsidRDefault="00185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60CB4"/>
    <w:multiLevelType w:val="hybridMultilevel"/>
    <w:tmpl w:val="0D8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33E15"/>
    <w:multiLevelType w:val="hybridMultilevel"/>
    <w:tmpl w:val="C5143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311AD"/>
    <w:multiLevelType w:val="hybridMultilevel"/>
    <w:tmpl w:val="991E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C6E58"/>
    <w:multiLevelType w:val="hybridMultilevel"/>
    <w:tmpl w:val="E3E46586"/>
    <w:lvl w:ilvl="0" w:tplc="28C8D656">
      <w:numFmt w:val="bullet"/>
      <w:lvlText w:val=""/>
      <w:lvlJc w:val="left"/>
      <w:pPr>
        <w:ind w:left="840" w:hanging="360"/>
      </w:pPr>
      <w:rPr>
        <w:rFonts w:ascii="Symbol" w:eastAsia="Symbol" w:hAnsi="Symbol" w:cs="Symbol" w:hint="default"/>
        <w:w w:val="100"/>
        <w:sz w:val="24"/>
        <w:szCs w:val="24"/>
      </w:rPr>
    </w:lvl>
    <w:lvl w:ilvl="1" w:tplc="443C1342">
      <w:numFmt w:val="bullet"/>
      <w:lvlText w:val="•"/>
      <w:lvlJc w:val="left"/>
      <w:pPr>
        <w:ind w:left="1716" w:hanging="360"/>
      </w:pPr>
      <w:rPr>
        <w:rFonts w:hint="default"/>
      </w:rPr>
    </w:lvl>
    <w:lvl w:ilvl="2" w:tplc="37EE09F8">
      <w:numFmt w:val="bullet"/>
      <w:lvlText w:val="•"/>
      <w:lvlJc w:val="left"/>
      <w:pPr>
        <w:ind w:left="2592" w:hanging="360"/>
      </w:pPr>
      <w:rPr>
        <w:rFonts w:hint="default"/>
      </w:rPr>
    </w:lvl>
    <w:lvl w:ilvl="3" w:tplc="CA12C700">
      <w:numFmt w:val="bullet"/>
      <w:lvlText w:val="•"/>
      <w:lvlJc w:val="left"/>
      <w:pPr>
        <w:ind w:left="3468" w:hanging="360"/>
      </w:pPr>
      <w:rPr>
        <w:rFonts w:hint="default"/>
      </w:rPr>
    </w:lvl>
    <w:lvl w:ilvl="4" w:tplc="CD3AD3C4">
      <w:numFmt w:val="bullet"/>
      <w:lvlText w:val="•"/>
      <w:lvlJc w:val="left"/>
      <w:pPr>
        <w:ind w:left="4344" w:hanging="360"/>
      </w:pPr>
      <w:rPr>
        <w:rFonts w:hint="default"/>
      </w:rPr>
    </w:lvl>
    <w:lvl w:ilvl="5" w:tplc="B260867C">
      <w:numFmt w:val="bullet"/>
      <w:lvlText w:val="•"/>
      <w:lvlJc w:val="left"/>
      <w:pPr>
        <w:ind w:left="5220" w:hanging="360"/>
      </w:pPr>
      <w:rPr>
        <w:rFonts w:hint="default"/>
      </w:rPr>
    </w:lvl>
    <w:lvl w:ilvl="6" w:tplc="EC5E63F4">
      <w:numFmt w:val="bullet"/>
      <w:lvlText w:val="•"/>
      <w:lvlJc w:val="left"/>
      <w:pPr>
        <w:ind w:left="6096" w:hanging="360"/>
      </w:pPr>
      <w:rPr>
        <w:rFonts w:hint="default"/>
      </w:rPr>
    </w:lvl>
    <w:lvl w:ilvl="7" w:tplc="F320DCB8">
      <w:numFmt w:val="bullet"/>
      <w:lvlText w:val="•"/>
      <w:lvlJc w:val="left"/>
      <w:pPr>
        <w:ind w:left="6972" w:hanging="360"/>
      </w:pPr>
      <w:rPr>
        <w:rFonts w:hint="default"/>
      </w:rPr>
    </w:lvl>
    <w:lvl w:ilvl="8" w:tplc="19448B48">
      <w:numFmt w:val="bullet"/>
      <w:lvlText w:val="•"/>
      <w:lvlJc w:val="left"/>
      <w:pPr>
        <w:ind w:left="7848" w:hanging="360"/>
      </w:pPr>
      <w:rPr>
        <w:rFonts w:hint="default"/>
      </w:rPr>
    </w:lvl>
  </w:abstractNum>
  <w:abstractNum w:abstractNumId="4" w15:restartNumberingAfterBreak="0">
    <w:nsid w:val="284479C2"/>
    <w:multiLevelType w:val="hybridMultilevel"/>
    <w:tmpl w:val="B4F215DE"/>
    <w:lvl w:ilvl="0" w:tplc="04090001">
      <w:start w:val="1"/>
      <w:numFmt w:val="bullet"/>
      <w:lvlText w:val=""/>
      <w:lvlJc w:val="left"/>
      <w:pPr>
        <w:ind w:left="1440" w:hanging="360"/>
      </w:pPr>
      <w:rPr>
        <w:rFonts w:ascii="Symbol" w:hAnsi="Symbol" w:hint="default"/>
      </w:rPr>
    </w:lvl>
    <w:lvl w:ilvl="1" w:tplc="35905968">
      <w:numFmt w:val="bullet"/>
      <w:lvlText w:val="•"/>
      <w:lvlJc w:val="left"/>
      <w:pPr>
        <w:ind w:left="2100" w:hanging="720"/>
      </w:pPr>
      <w:rPr>
        <w:rFonts w:ascii="Calibri" w:eastAsia="Times New Roman" w:hAnsi="Calibri" w:cstheme="minorHAnsi"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289B7496"/>
    <w:multiLevelType w:val="hybridMultilevel"/>
    <w:tmpl w:val="1EB2D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261DF"/>
    <w:multiLevelType w:val="hybridMultilevel"/>
    <w:tmpl w:val="8DEAB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A1EB8"/>
    <w:multiLevelType w:val="hybridMultilevel"/>
    <w:tmpl w:val="4274DB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C143C"/>
    <w:multiLevelType w:val="hybridMultilevel"/>
    <w:tmpl w:val="EA4A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B43D1"/>
    <w:multiLevelType w:val="hybridMultilevel"/>
    <w:tmpl w:val="73645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DC4F97"/>
    <w:multiLevelType w:val="hybridMultilevel"/>
    <w:tmpl w:val="5950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E5732"/>
    <w:multiLevelType w:val="hybridMultilevel"/>
    <w:tmpl w:val="A32C3F54"/>
    <w:lvl w:ilvl="0" w:tplc="CFBE5C7C">
      <w:start w:val="1"/>
      <w:numFmt w:val="decimal"/>
      <w:lvlText w:val="%1."/>
      <w:lvlJc w:val="left"/>
      <w:pPr>
        <w:ind w:left="840" w:hanging="360"/>
      </w:pPr>
      <w:rPr>
        <w:rFonts w:ascii="Calibri" w:eastAsia="Calibri" w:hAnsi="Calibri" w:cs="Calibri" w:hint="default"/>
        <w:spacing w:val="-1"/>
        <w:w w:val="99"/>
        <w:sz w:val="24"/>
        <w:szCs w:val="24"/>
      </w:rPr>
    </w:lvl>
    <w:lvl w:ilvl="1" w:tplc="92A2C1BA">
      <w:numFmt w:val="bullet"/>
      <w:lvlText w:val="•"/>
      <w:lvlJc w:val="left"/>
      <w:pPr>
        <w:ind w:left="1716" w:hanging="360"/>
      </w:pPr>
      <w:rPr>
        <w:rFonts w:hint="default"/>
      </w:rPr>
    </w:lvl>
    <w:lvl w:ilvl="2" w:tplc="935E150C">
      <w:numFmt w:val="bullet"/>
      <w:lvlText w:val="•"/>
      <w:lvlJc w:val="left"/>
      <w:pPr>
        <w:ind w:left="2592" w:hanging="360"/>
      </w:pPr>
      <w:rPr>
        <w:rFonts w:hint="default"/>
      </w:rPr>
    </w:lvl>
    <w:lvl w:ilvl="3" w:tplc="E806C8DC">
      <w:numFmt w:val="bullet"/>
      <w:lvlText w:val="•"/>
      <w:lvlJc w:val="left"/>
      <w:pPr>
        <w:ind w:left="3468" w:hanging="360"/>
      </w:pPr>
      <w:rPr>
        <w:rFonts w:hint="default"/>
      </w:rPr>
    </w:lvl>
    <w:lvl w:ilvl="4" w:tplc="1A546DA2">
      <w:numFmt w:val="bullet"/>
      <w:lvlText w:val="•"/>
      <w:lvlJc w:val="left"/>
      <w:pPr>
        <w:ind w:left="4344" w:hanging="360"/>
      </w:pPr>
      <w:rPr>
        <w:rFonts w:hint="default"/>
      </w:rPr>
    </w:lvl>
    <w:lvl w:ilvl="5" w:tplc="49FA5A68">
      <w:numFmt w:val="bullet"/>
      <w:lvlText w:val="•"/>
      <w:lvlJc w:val="left"/>
      <w:pPr>
        <w:ind w:left="5220" w:hanging="360"/>
      </w:pPr>
      <w:rPr>
        <w:rFonts w:hint="default"/>
      </w:rPr>
    </w:lvl>
    <w:lvl w:ilvl="6" w:tplc="A804456E">
      <w:numFmt w:val="bullet"/>
      <w:lvlText w:val="•"/>
      <w:lvlJc w:val="left"/>
      <w:pPr>
        <w:ind w:left="6096" w:hanging="360"/>
      </w:pPr>
      <w:rPr>
        <w:rFonts w:hint="default"/>
      </w:rPr>
    </w:lvl>
    <w:lvl w:ilvl="7" w:tplc="042678B6">
      <w:numFmt w:val="bullet"/>
      <w:lvlText w:val="•"/>
      <w:lvlJc w:val="left"/>
      <w:pPr>
        <w:ind w:left="6972" w:hanging="360"/>
      </w:pPr>
      <w:rPr>
        <w:rFonts w:hint="default"/>
      </w:rPr>
    </w:lvl>
    <w:lvl w:ilvl="8" w:tplc="834A1D1A">
      <w:numFmt w:val="bullet"/>
      <w:lvlText w:val="•"/>
      <w:lvlJc w:val="left"/>
      <w:pPr>
        <w:ind w:left="7848" w:hanging="360"/>
      </w:pPr>
      <w:rPr>
        <w:rFonts w:hint="default"/>
      </w:rPr>
    </w:lvl>
  </w:abstractNum>
  <w:abstractNum w:abstractNumId="13" w15:restartNumberingAfterBreak="0">
    <w:nsid w:val="4E210452"/>
    <w:multiLevelType w:val="hybridMultilevel"/>
    <w:tmpl w:val="F6667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92EF4"/>
    <w:multiLevelType w:val="hybridMultilevel"/>
    <w:tmpl w:val="10B8D5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33E7D15"/>
    <w:multiLevelType w:val="hybridMultilevel"/>
    <w:tmpl w:val="DD9074E8"/>
    <w:lvl w:ilvl="0" w:tplc="532C2D18">
      <w:start w:val="1"/>
      <w:numFmt w:val="decimal"/>
      <w:lvlText w:val="%1."/>
      <w:lvlJc w:val="left"/>
      <w:pPr>
        <w:ind w:left="840" w:hanging="360"/>
        <w:jc w:val="left"/>
      </w:pPr>
      <w:rPr>
        <w:rFonts w:ascii="Calibri" w:eastAsia="Calibri" w:hAnsi="Calibri" w:cs="Calibri" w:hint="default"/>
        <w:spacing w:val="-1"/>
        <w:w w:val="99"/>
        <w:sz w:val="24"/>
        <w:szCs w:val="24"/>
      </w:rPr>
    </w:lvl>
    <w:lvl w:ilvl="1" w:tplc="3F08769A">
      <w:numFmt w:val="bullet"/>
      <w:lvlText w:val="•"/>
      <w:lvlJc w:val="left"/>
      <w:pPr>
        <w:ind w:left="1716" w:hanging="360"/>
      </w:pPr>
      <w:rPr>
        <w:rFonts w:hint="default"/>
      </w:rPr>
    </w:lvl>
    <w:lvl w:ilvl="2" w:tplc="72A80188">
      <w:numFmt w:val="bullet"/>
      <w:lvlText w:val="•"/>
      <w:lvlJc w:val="left"/>
      <w:pPr>
        <w:ind w:left="2592" w:hanging="360"/>
      </w:pPr>
      <w:rPr>
        <w:rFonts w:hint="default"/>
      </w:rPr>
    </w:lvl>
    <w:lvl w:ilvl="3" w:tplc="023AD53A">
      <w:numFmt w:val="bullet"/>
      <w:lvlText w:val="•"/>
      <w:lvlJc w:val="left"/>
      <w:pPr>
        <w:ind w:left="3468" w:hanging="360"/>
      </w:pPr>
      <w:rPr>
        <w:rFonts w:hint="default"/>
      </w:rPr>
    </w:lvl>
    <w:lvl w:ilvl="4" w:tplc="AF46B270">
      <w:numFmt w:val="bullet"/>
      <w:lvlText w:val="•"/>
      <w:lvlJc w:val="left"/>
      <w:pPr>
        <w:ind w:left="4344" w:hanging="360"/>
      </w:pPr>
      <w:rPr>
        <w:rFonts w:hint="default"/>
      </w:rPr>
    </w:lvl>
    <w:lvl w:ilvl="5" w:tplc="F182B3AC">
      <w:numFmt w:val="bullet"/>
      <w:lvlText w:val="•"/>
      <w:lvlJc w:val="left"/>
      <w:pPr>
        <w:ind w:left="5220" w:hanging="360"/>
      </w:pPr>
      <w:rPr>
        <w:rFonts w:hint="default"/>
      </w:rPr>
    </w:lvl>
    <w:lvl w:ilvl="6" w:tplc="52E234DC">
      <w:numFmt w:val="bullet"/>
      <w:lvlText w:val="•"/>
      <w:lvlJc w:val="left"/>
      <w:pPr>
        <w:ind w:left="6096" w:hanging="360"/>
      </w:pPr>
      <w:rPr>
        <w:rFonts w:hint="default"/>
      </w:rPr>
    </w:lvl>
    <w:lvl w:ilvl="7" w:tplc="636A55F2">
      <w:numFmt w:val="bullet"/>
      <w:lvlText w:val="•"/>
      <w:lvlJc w:val="left"/>
      <w:pPr>
        <w:ind w:left="6972" w:hanging="360"/>
      </w:pPr>
      <w:rPr>
        <w:rFonts w:hint="default"/>
      </w:rPr>
    </w:lvl>
    <w:lvl w:ilvl="8" w:tplc="89EA5C6E">
      <w:numFmt w:val="bullet"/>
      <w:lvlText w:val="•"/>
      <w:lvlJc w:val="left"/>
      <w:pPr>
        <w:ind w:left="7848" w:hanging="360"/>
      </w:pPr>
      <w:rPr>
        <w:rFonts w:hint="default"/>
      </w:rPr>
    </w:lvl>
  </w:abstractNum>
  <w:abstractNum w:abstractNumId="16" w15:restartNumberingAfterBreak="0">
    <w:nsid w:val="6584511C"/>
    <w:multiLevelType w:val="hybridMultilevel"/>
    <w:tmpl w:val="E334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64127F"/>
    <w:multiLevelType w:val="hybridMultilevel"/>
    <w:tmpl w:val="4274DB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0C22DD"/>
    <w:multiLevelType w:val="hybridMultilevel"/>
    <w:tmpl w:val="71FC2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800CB"/>
    <w:multiLevelType w:val="hybridMultilevel"/>
    <w:tmpl w:val="502AE7A2"/>
    <w:lvl w:ilvl="0" w:tplc="277AC9D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0328E"/>
    <w:multiLevelType w:val="hybridMultilevel"/>
    <w:tmpl w:val="ED9C167A"/>
    <w:lvl w:ilvl="0" w:tplc="A47CB56E">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1C7811"/>
    <w:multiLevelType w:val="hybridMultilevel"/>
    <w:tmpl w:val="F2289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774476"/>
    <w:multiLevelType w:val="hybridMultilevel"/>
    <w:tmpl w:val="41862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160770"/>
    <w:multiLevelType w:val="hybridMultilevel"/>
    <w:tmpl w:val="FA02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6"/>
  </w:num>
  <w:num w:numId="4">
    <w:abstractNumId w:val="0"/>
  </w:num>
  <w:num w:numId="5">
    <w:abstractNumId w:val="13"/>
  </w:num>
  <w:num w:numId="6">
    <w:abstractNumId w:val="22"/>
  </w:num>
  <w:num w:numId="7">
    <w:abstractNumId w:val="6"/>
  </w:num>
  <w:num w:numId="8">
    <w:abstractNumId w:val="9"/>
  </w:num>
  <w:num w:numId="9">
    <w:abstractNumId w:val="10"/>
  </w:num>
  <w:num w:numId="10">
    <w:abstractNumId w:val="19"/>
  </w:num>
  <w:num w:numId="11">
    <w:abstractNumId w:val="18"/>
  </w:num>
  <w:num w:numId="12">
    <w:abstractNumId w:val="2"/>
  </w:num>
  <w:num w:numId="13">
    <w:abstractNumId w:val="11"/>
  </w:num>
  <w:num w:numId="14">
    <w:abstractNumId w:val="23"/>
  </w:num>
  <w:num w:numId="15">
    <w:abstractNumId w:val="1"/>
  </w:num>
  <w:num w:numId="16">
    <w:abstractNumId w:val="20"/>
  </w:num>
  <w:num w:numId="17">
    <w:abstractNumId w:val="21"/>
  </w:num>
  <w:num w:numId="18">
    <w:abstractNumId w:val="14"/>
  </w:num>
  <w:num w:numId="19">
    <w:abstractNumId w:val="12"/>
  </w:num>
  <w:num w:numId="20">
    <w:abstractNumId w:val="4"/>
  </w:num>
  <w:num w:numId="21">
    <w:abstractNumId w:val="7"/>
  </w:num>
  <w:num w:numId="22">
    <w:abstractNumId w:val="17"/>
  </w:num>
  <w:num w:numId="23">
    <w:abstractNumId w:val="15"/>
  </w:num>
  <w:num w:numId="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A03"/>
    <w:rsid w:val="00001F18"/>
    <w:rsid w:val="00002C97"/>
    <w:rsid w:val="00004E46"/>
    <w:rsid w:val="00006843"/>
    <w:rsid w:val="0000689D"/>
    <w:rsid w:val="000071D1"/>
    <w:rsid w:val="00013DB5"/>
    <w:rsid w:val="00016A1B"/>
    <w:rsid w:val="000173F8"/>
    <w:rsid w:val="00017D2C"/>
    <w:rsid w:val="000207B8"/>
    <w:rsid w:val="00020BB7"/>
    <w:rsid w:val="0002168F"/>
    <w:rsid w:val="000220F6"/>
    <w:rsid w:val="0002575C"/>
    <w:rsid w:val="00026217"/>
    <w:rsid w:val="00026800"/>
    <w:rsid w:val="00026923"/>
    <w:rsid w:val="00027316"/>
    <w:rsid w:val="000273E9"/>
    <w:rsid w:val="00027B1B"/>
    <w:rsid w:val="0003044B"/>
    <w:rsid w:val="000318E5"/>
    <w:rsid w:val="0003375B"/>
    <w:rsid w:val="00040D76"/>
    <w:rsid w:val="00040E13"/>
    <w:rsid w:val="00040F4A"/>
    <w:rsid w:val="00042CFF"/>
    <w:rsid w:val="00045A02"/>
    <w:rsid w:val="00047490"/>
    <w:rsid w:val="00047498"/>
    <w:rsid w:val="00051810"/>
    <w:rsid w:val="00051816"/>
    <w:rsid w:val="00051B38"/>
    <w:rsid w:val="00051D0F"/>
    <w:rsid w:val="00052664"/>
    <w:rsid w:val="0005589C"/>
    <w:rsid w:val="00064766"/>
    <w:rsid w:val="00065509"/>
    <w:rsid w:val="000712F6"/>
    <w:rsid w:val="00072010"/>
    <w:rsid w:val="00073A48"/>
    <w:rsid w:val="00074EC7"/>
    <w:rsid w:val="00075A8C"/>
    <w:rsid w:val="00076C74"/>
    <w:rsid w:val="00076FC7"/>
    <w:rsid w:val="000771B9"/>
    <w:rsid w:val="0007753E"/>
    <w:rsid w:val="0008060D"/>
    <w:rsid w:val="00083145"/>
    <w:rsid w:val="00084212"/>
    <w:rsid w:val="0008716B"/>
    <w:rsid w:val="00092AE9"/>
    <w:rsid w:val="00094108"/>
    <w:rsid w:val="00094E12"/>
    <w:rsid w:val="000A01F3"/>
    <w:rsid w:val="000A16FA"/>
    <w:rsid w:val="000A1A2C"/>
    <w:rsid w:val="000A204D"/>
    <w:rsid w:val="000A233F"/>
    <w:rsid w:val="000A2B5E"/>
    <w:rsid w:val="000A30A8"/>
    <w:rsid w:val="000A4BD7"/>
    <w:rsid w:val="000A5AC6"/>
    <w:rsid w:val="000A6E17"/>
    <w:rsid w:val="000A77B0"/>
    <w:rsid w:val="000B0207"/>
    <w:rsid w:val="000B14F2"/>
    <w:rsid w:val="000B224E"/>
    <w:rsid w:val="000B2CF0"/>
    <w:rsid w:val="000B3D65"/>
    <w:rsid w:val="000B5729"/>
    <w:rsid w:val="000C2927"/>
    <w:rsid w:val="000C41DE"/>
    <w:rsid w:val="000C4CE2"/>
    <w:rsid w:val="000D043A"/>
    <w:rsid w:val="000D1F8C"/>
    <w:rsid w:val="000D243D"/>
    <w:rsid w:val="000D5CD6"/>
    <w:rsid w:val="000E205D"/>
    <w:rsid w:val="000E5B0F"/>
    <w:rsid w:val="000E7FAD"/>
    <w:rsid w:val="00100D0E"/>
    <w:rsid w:val="00103DFD"/>
    <w:rsid w:val="00104051"/>
    <w:rsid w:val="00106836"/>
    <w:rsid w:val="00107476"/>
    <w:rsid w:val="00110D29"/>
    <w:rsid w:val="0011228E"/>
    <w:rsid w:val="00112315"/>
    <w:rsid w:val="0011321F"/>
    <w:rsid w:val="001139A6"/>
    <w:rsid w:val="00116841"/>
    <w:rsid w:val="00121F6C"/>
    <w:rsid w:val="001232E4"/>
    <w:rsid w:val="00123A15"/>
    <w:rsid w:val="00123A3D"/>
    <w:rsid w:val="00124561"/>
    <w:rsid w:val="00130A2E"/>
    <w:rsid w:val="001317DF"/>
    <w:rsid w:val="00132004"/>
    <w:rsid w:val="001324C6"/>
    <w:rsid w:val="001346BF"/>
    <w:rsid w:val="00135A21"/>
    <w:rsid w:val="0013670D"/>
    <w:rsid w:val="001372DB"/>
    <w:rsid w:val="0013764F"/>
    <w:rsid w:val="0014151A"/>
    <w:rsid w:val="001417E6"/>
    <w:rsid w:val="00142483"/>
    <w:rsid w:val="00142B73"/>
    <w:rsid w:val="00144D73"/>
    <w:rsid w:val="00145894"/>
    <w:rsid w:val="001468B3"/>
    <w:rsid w:val="00147AEA"/>
    <w:rsid w:val="00150025"/>
    <w:rsid w:val="0015103C"/>
    <w:rsid w:val="00151318"/>
    <w:rsid w:val="00153EC5"/>
    <w:rsid w:val="00156B96"/>
    <w:rsid w:val="00157EF3"/>
    <w:rsid w:val="00160A9B"/>
    <w:rsid w:val="00161FF2"/>
    <w:rsid w:val="001626E8"/>
    <w:rsid w:val="00163C21"/>
    <w:rsid w:val="00165A1C"/>
    <w:rsid w:val="00167A15"/>
    <w:rsid w:val="001727C1"/>
    <w:rsid w:val="00174E56"/>
    <w:rsid w:val="00176AF4"/>
    <w:rsid w:val="00177ABE"/>
    <w:rsid w:val="001806A7"/>
    <w:rsid w:val="00182D5E"/>
    <w:rsid w:val="00185386"/>
    <w:rsid w:val="001855E3"/>
    <w:rsid w:val="00185C3B"/>
    <w:rsid w:val="0018708D"/>
    <w:rsid w:val="00187272"/>
    <w:rsid w:val="001872E6"/>
    <w:rsid w:val="00192ADD"/>
    <w:rsid w:val="00193190"/>
    <w:rsid w:val="00194E66"/>
    <w:rsid w:val="001958FA"/>
    <w:rsid w:val="00195A66"/>
    <w:rsid w:val="00196C12"/>
    <w:rsid w:val="00197A82"/>
    <w:rsid w:val="001A1206"/>
    <w:rsid w:val="001A15F9"/>
    <w:rsid w:val="001A528C"/>
    <w:rsid w:val="001A5EC6"/>
    <w:rsid w:val="001A6D7E"/>
    <w:rsid w:val="001B0FE1"/>
    <w:rsid w:val="001B2712"/>
    <w:rsid w:val="001B3522"/>
    <w:rsid w:val="001B679B"/>
    <w:rsid w:val="001C066E"/>
    <w:rsid w:val="001C1DD5"/>
    <w:rsid w:val="001C268C"/>
    <w:rsid w:val="001C27CC"/>
    <w:rsid w:val="001C3EBE"/>
    <w:rsid w:val="001C61B8"/>
    <w:rsid w:val="001C729E"/>
    <w:rsid w:val="001D12E8"/>
    <w:rsid w:val="001D1345"/>
    <w:rsid w:val="001D2476"/>
    <w:rsid w:val="001D391B"/>
    <w:rsid w:val="001D4C26"/>
    <w:rsid w:val="001D56E7"/>
    <w:rsid w:val="001D73B2"/>
    <w:rsid w:val="001D75CC"/>
    <w:rsid w:val="001E27D7"/>
    <w:rsid w:val="001E595A"/>
    <w:rsid w:val="001E68B0"/>
    <w:rsid w:val="001E7F82"/>
    <w:rsid w:val="001F117B"/>
    <w:rsid w:val="001F19FD"/>
    <w:rsid w:val="001F1D97"/>
    <w:rsid w:val="001F23DF"/>
    <w:rsid w:val="001F3995"/>
    <w:rsid w:val="001F4FFA"/>
    <w:rsid w:val="001F510E"/>
    <w:rsid w:val="001F53D2"/>
    <w:rsid w:val="001F5BDA"/>
    <w:rsid w:val="00201308"/>
    <w:rsid w:val="002025A4"/>
    <w:rsid w:val="0020375A"/>
    <w:rsid w:val="00203A62"/>
    <w:rsid w:val="00204DD3"/>
    <w:rsid w:val="0020623F"/>
    <w:rsid w:val="002064EF"/>
    <w:rsid w:val="00206A3D"/>
    <w:rsid w:val="00206AAE"/>
    <w:rsid w:val="00215202"/>
    <w:rsid w:val="00215D04"/>
    <w:rsid w:val="00216F5B"/>
    <w:rsid w:val="002203E0"/>
    <w:rsid w:val="002211DD"/>
    <w:rsid w:val="00222798"/>
    <w:rsid w:val="00222FE0"/>
    <w:rsid w:val="00224F02"/>
    <w:rsid w:val="0022516E"/>
    <w:rsid w:val="0022702A"/>
    <w:rsid w:val="00227817"/>
    <w:rsid w:val="0023081C"/>
    <w:rsid w:val="00231951"/>
    <w:rsid w:val="00234130"/>
    <w:rsid w:val="002359D4"/>
    <w:rsid w:val="00236267"/>
    <w:rsid w:val="0023630E"/>
    <w:rsid w:val="002369DA"/>
    <w:rsid w:val="002379B5"/>
    <w:rsid w:val="00241074"/>
    <w:rsid w:val="0024399D"/>
    <w:rsid w:val="00243C5F"/>
    <w:rsid w:val="00244F46"/>
    <w:rsid w:val="00245689"/>
    <w:rsid w:val="00245C86"/>
    <w:rsid w:val="00246AD9"/>
    <w:rsid w:val="00247146"/>
    <w:rsid w:val="002551C1"/>
    <w:rsid w:val="00256FBF"/>
    <w:rsid w:val="002573CB"/>
    <w:rsid w:val="00257CB9"/>
    <w:rsid w:val="002605A1"/>
    <w:rsid w:val="00261399"/>
    <w:rsid w:val="00263B90"/>
    <w:rsid w:val="00265663"/>
    <w:rsid w:val="00266643"/>
    <w:rsid w:val="002703A9"/>
    <w:rsid w:val="00271C0C"/>
    <w:rsid w:val="00272056"/>
    <w:rsid w:val="0027415E"/>
    <w:rsid w:val="00274D11"/>
    <w:rsid w:val="00275A10"/>
    <w:rsid w:val="002771FE"/>
    <w:rsid w:val="00283881"/>
    <w:rsid w:val="002848F3"/>
    <w:rsid w:val="0028491D"/>
    <w:rsid w:val="002877EE"/>
    <w:rsid w:val="00287A8C"/>
    <w:rsid w:val="00287B5A"/>
    <w:rsid w:val="00290F85"/>
    <w:rsid w:val="002928DF"/>
    <w:rsid w:val="002930EC"/>
    <w:rsid w:val="002935D2"/>
    <w:rsid w:val="00294E11"/>
    <w:rsid w:val="002955E4"/>
    <w:rsid w:val="00296196"/>
    <w:rsid w:val="00296AEE"/>
    <w:rsid w:val="00297C7D"/>
    <w:rsid w:val="002A1AB0"/>
    <w:rsid w:val="002A4614"/>
    <w:rsid w:val="002B1D7C"/>
    <w:rsid w:val="002B7A43"/>
    <w:rsid w:val="002C06A1"/>
    <w:rsid w:val="002C1279"/>
    <w:rsid w:val="002C2A8D"/>
    <w:rsid w:val="002C4F09"/>
    <w:rsid w:val="002C645E"/>
    <w:rsid w:val="002C6753"/>
    <w:rsid w:val="002C6B84"/>
    <w:rsid w:val="002C71B1"/>
    <w:rsid w:val="002D0CFD"/>
    <w:rsid w:val="002D3A9E"/>
    <w:rsid w:val="002D3FBE"/>
    <w:rsid w:val="002D432A"/>
    <w:rsid w:val="002D4750"/>
    <w:rsid w:val="002D59BE"/>
    <w:rsid w:val="002D6123"/>
    <w:rsid w:val="002E0397"/>
    <w:rsid w:val="002E2E4E"/>
    <w:rsid w:val="002E368A"/>
    <w:rsid w:val="002E3C81"/>
    <w:rsid w:val="002E4498"/>
    <w:rsid w:val="002E48A7"/>
    <w:rsid w:val="002E57FD"/>
    <w:rsid w:val="002F0D40"/>
    <w:rsid w:val="002F1EC0"/>
    <w:rsid w:val="002F2C47"/>
    <w:rsid w:val="002F3924"/>
    <w:rsid w:val="002F4560"/>
    <w:rsid w:val="002F7826"/>
    <w:rsid w:val="00302779"/>
    <w:rsid w:val="00302BEF"/>
    <w:rsid w:val="00302CC4"/>
    <w:rsid w:val="00305041"/>
    <w:rsid w:val="00307FE7"/>
    <w:rsid w:val="003113D2"/>
    <w:rsid w:val="00316286"/>
    <w:rsid w:val="00316980"/>
    <w:rsid w:val="00320135"/>
    <w:rsid w:val="003210B3"/>
    <w:rsid w:val="00323C10"/>
    <w:rsid w:val="003248A4"/>
    <w:rsid w:val="003267F5"/>
    <w:rsid w:val="00326844"/>
    <w:rsid w:val="00330703"/>
    <w:rsid w:val="003322F5"/>
    <w:rsid w:val="00332993"/>
    <w:rsid w:val="00332C13"/>
    <w:rsid w:val="00334CB1"/>
    <w:rsid w:val="00335DD0"/>
    <w:rsid w:val="003377E6"/>
    <w:rsid w:val="003409EA"/>
    <w:rsid w:val="00340E99"/>
    <w:rsid w:val="00342BA4"/>
    <w:rsid w:val="0034624E"/>
    <w:rsid w:val="00346C4C"/>
    <w:rsid w:val="00346E28"/>
    <w:rsid w:val="00346E41"/>
    <w:rsid w:val="00347F08"/>
    <w:rsid w:val="003506B8"/>
    <w:rsid w:val="003507B3"/>
    <w:rsid w:val="00351775"/>
    <w:rsid w:val="00351941"/>
    <w:rsid w:val="00352A05"/>
    <w:rsid w:val="00352DD8"/>
    <w:rsid w:val="00354A4E"/>
    <w:rsid w:val="00354E0E"/>
    <w:rsid w:val="00355B97"/>
    <w:rsid w:val="003562B7"/>
    <w:rsid w:val="003567CC"/>
    <w:rsid w:val="00357FB5"/>
    <w:rsid w:val="00360896"/>
    <w:rsid w:val="00360BBB"/>
    <w:rsid w:val="00361201"/>
    <w:rsid w:val="003614A4"/>
    <w:rsid w:val="00361AF0"/>
    <w:rsid w:val="003620AE"/>
    <w:rsid w:val="003648A2"/>
    <w:rsid w:val="00364CCC"/>
    <w:rsid w:val="0036566F"/>
    <w:rsid w:val="00365B89"/>
    <w:rsid w:val="003712EB"/>
    <w:rsid w:val="00371398"/>
    <w:rsid w:val="00373456"/>
    <w:rsid w:val="00374AFE"/>
    <w:rsid w:val="00374B14"/>
    <w:rsid w:val="00376B6F"/>
    <w:rsid w:val="003810E2"/>
    <w:rsid w:val="00383848"/>
    <w:rsid w:val="00384597"/>
    <w:rsid w:val="00385207"/>
    <w:rsid w:val="00386C3A"/>
    <w:rsid w:val="00387C4A"/>
    <w:rsid w:val="00390B2D"/>
    <w:rsid w:val="00391007"/>
    <w:rsid w:val="00391972"/>
    <w:rsid w:val="003924FB"/>
    <w:rsid w:val="00397693"/>
    <w:rsid w:val="003A007B"/>
    <w:rsid w:val="003A0349"/>
    <w:rsid w:val="003A2F76"/>
    <w:rsid w:val="003A4B8F"/>
    <w:rsid w:val="003A5B33"/>
    <w:rsid w:val="003A5D90"/>
    <w:rsid w:val="003A5DD1"/>
    <w:rsid w:val="003A6521"/>
    <w:rsid w:val="003B1968"/>
    <w:rsid w:val="003B2A57"/>
    <w:rsid w:val="003B3057"/>
    <w:rsid w:val="003B669C"/>
    <w:rsid w:val="003B77C2"/>
    <w:rsid w:val="003B7836"/>
    <w:rsid w:val="003B7F14"/>
    <w:rsid w:val="003C00E3"/>
    <w:rsid w:val="003C0795"/>
    <w:rsid w:val="003C0CED"/>
    <w:rsid w:val="003C1E9A"/>
    <w:rsid w:val="003C21A1"/>
    <w:rsid w:val="003C2AB8"/>
    <w:rsid w:val="003C4886"/>
    <w:rsid w:val="003C530B"/>
    <w:rsid w:val="003C66D6"/>
    <w:rsid w:val="003C679C"/>
    <w:rsid w:val="003D3E78"/>
    <w:rsid w:val="003D57BE"/>
    <w:rsid w:val="003D60AD"/>
    <w:rsid w:val="003D702E"/>
    <w:rsid w:val="003D7C7F"/>
    <w:rsid w:val="003E092D"/>
    <w:rsid w:val="003E2460"/>
    <w:rsid w:val="003E7D3C"/>
    <w:rsid w:val="003F1864"/>
    <w:rsid w:val="003F2C06"/>
    <w:rsid w:val="003F51BF"/>
    <w:rsid w:val="003F612D"/>
    <w:rsid w:val="003F6A54"/>
    <w:rsid w:val="003F7043"/>
    <w:rsid w:val="0040188B"/>
    <w:rsid w:val="0040212C"/>
    <w:rsid w:val="0040594D"/>
    <w:rsid w:val="004059F5"/>
    <w:rsid w:val="004078DA"/>
    <w:rsid w:val="00407B3E"/>
    <w:rsid w:val="00411D9C"/>
    <w:rsid w:val="00413951"/>
    <w:rsid w:val="004154B7"/>
    <w:rsid w:val="00416242"/>
    <w:rsid w:val="0042567B"/>
    <w:rsid w:val="00427586"/>
    <w:rsid w:val="004302E3"/>
    <w:rsid w:val="004302E9"/>
    <w:rsid w:val="00434368"/>
    <w:rsid w:val="00434825"/>
    <w:rsid w:val="00434990"/>
    <w:rsid w:val="004349FF"/>
    <w:rsid w:val="00434A3F"/>
    <w:rsid w:val="00436064"/>
    <w:rsid w:val="00437380"/>
    <w:rsid w:val="00440C1C"/>
    <w:rsid w:val="004417A7"/>
    <w:rsid w:val="00441874"/>
    <w:rsid w:val="0044654D"/>
    <w:rsid w:val="00446C59"/>
    <w:rsid w:val="004502E2"/>
    <w:rsid w:val="00450863"/>
    <w:rsid w:val="00450C2A"/>
    <w:rsid w:val="00451BBD"/>
    <w:rsid w:val="004531A9"/>
    <w:rsid w:val="0045403B"/>
    <w:rsid w:val="004550C8"/>
    <w:rsid w:val="00455158"/>
    <w:rsid w:val="00455277"/>
    <w:rsid w:val="004558AD"/>
    <w:rsid w:val="00456AE5"/>
    <w:rsid w:val="0045732D"/>
    <w:rsid w:val="00460BD6"/>
    <w:rsid w:val="00462755"/>
    <w:rsid w:val="00462CB7"/>
    <w:rsid w:val="00463291"/>
    <w:rsid w:val="00463EB0"/>
    <w:rsid w:val="00465813"/>
    <w:rsid w:val="00466999"/>
    <w:rsid w:val="004677EB"/>
    <w:rsid w:val="0046790B"/>
    <w:rsid w:val="00471768"/>
    <w:rsid w:val="0047321C"/>
    <w:rsid w:val="0047610D"/>
    <w:rsid w:val="00476284"/>
    <w:rsid w:val="0047778A"/>
    <w:rsid w:val="00477BB5"/>
    <w:rsid w:val="00480FC6"/>
    <w:rsid w:val="004834F8"/>
    <w:rsid w:val="0048377B"/>
    <w:rsid w:val="00483E2D"/>
    <w:rsid w:val="00484021"/>
    <w:rsid w:val="00485540"/>
    <w:rsid w:val="004863C6"/>
    <w:rsid w:val="00487972"/>
    <w:rsid w:val="00487EC5"/>
    <w:rsid w:val="0049091C"/>
    <w:rsid w:val="00492388"/>
    <w:rsid w:val="004933F3"/>
    <w:rsid w:val="004938BC"/>
    <w:rsid w:val="004939F0"/>
    <w:rsid w:val="00496470"/>
    <w:rsid w:val="00496C37"/>
    <w:rsid w:val="004976CC"/>
    <w:rsid w:val="00497DD5"/>
    <w:rsid w:val="004A0C8C"/>
    <w:rsid w:val="004A33CA"/>
    <w:rsid w:val="004A3C34"/>
    <w:rsid w:val="004A743F"/>
    <w:rsid w:val="004A74F2"/>
    <w:rsid w:val="004A7B18"/>
    <w:rsid w:val="004B091D"/>
    <w:rsid w:val="004B0F5B"/>
    <w:rsid w:val="004B1E79"/>
    <w:rsid w:val="004B2746"/>
    <w:rsid w:val="004B3E06"/>
    <w:rsid w:val="004B69EF"/>
    <w:rsid w:val="004B7E0F"/>
    <w:rsid w:val="004C21BE"/>
    <w:rsid w:val="004C37C5"/>
    <w:rsid w:val="004C4BF9"/>
    <w:rsid w:val="004C78BB"/>
    <w:rsid w:val="004D1372"/>
    <w:rsid w:val="004D194E"/>
    <w:rsid w:val="004D1AF3"/>
    <w:rsid w:val="004D21C9"/>
    <w:rsid w:val="004D3245"/>
    <w:rsid w:val="004D621C"/>
    <w:rsid w:val="004D6B87"/>
    <w:rsid w:val="004D7237"/>
    <w:rsid w:val="004E0E13"/>
    <w:rsid w:val="004E1D4C"/>
    <w:rsid w:val="004E29A9"/>
    <w:rsid w:val="004E2D2A"/>
    <w:rsid w:val="004E3554"/>
    <w:rsid w:val="004E3771"/>
    <w:rsid w:val="004E3F14"/>
    <w:rsid w:val="004E40CE"/>
    <w:rsid w:val="004E490B"/>
    <w:rsid w:val="004E518D"/>
    <w:rsid w:val="004E580C"/>
    <w:rsid w:val="004E5B73"/>
    <w:rsid w:val="004E5EC2"/>
    <w:rsid w:val="004E62B1"/>
    <w:rsid w:val="004E7FB2"/>
    <w:rsid w:val="004F0165"/>
    <w:rsid w:val="004F1D6F"/>
    <w:rsid w:val="004F1F18"/>
    <w:rsid w:val="004F358B"/>
    <w:rsid w:val="004F3917"/>
    <w:rsid w:val="004F5A3B"/>
    <w:rsid w:val="004F5EDA"/>
    <w:rsid w:val="004F604F"/>
    <w:rsid w:val="004F7591"/>
    <w:rsid w:val="00503A0B"/>
    <w:rsid w:val="0050477F"/>
    <w:rsid w:val="00507D3A"/>
    <w:rsid w:val="00511041"/>
    <w:rsid w:val="00513451"/>
    <w:rsid w:val="005134F7"/>
    <w:rsid w:val="0051407E"/>
    <w:rsid w:val="0051660A"/>
    <w:rsid w:val="005231CB"/>
    <w:rsid w:val="00523A2A"/>
    <w:rsid w:val="00524D01"/>
    <w:rsid w:val="00525695"/>
    <w:rsid w:val="0053123D"/>
    <w:rsid w:val="005357C6"/>
    <w:rsid w:val="0054046E"/>
    <w:rsid w:val="0054047D"/>
    <w:rsid w:val="0054053A"/>
    <w:rsid w:val="005407DB"/>
    <w:rsid w:val="005416A8"/>
    <w:rsid w:val="00541808"/>
    <w:rsid w:val="00541B85"/>
    <w:rsid w:val="0054253A"/>
    <w:rsid w:val="00542D3B"/>
    <w:rsid w:val="00543DCF"/>
    <w:rsid w:val="00543F85"/>
    <w:rsid w:val="00544418"/>
    <w:rsid w:val="00544591"/>
    <w:rsid w:val="00545114"/>
    <w:rsid w:val="005459BB"/>
    <w:rsid w:val="00546779"/>
    <w:rsid w:val="00547106"/>
    <w:rsid w:val="00547C74"/>
    <w:rsid w:val="0055030C"/>
    <w:rsid w:val="00551931"/>
    <w:rsid w:val="00557688"/>
    <w:rsid w:val="005655A6"/>
    <w:rsid w:val="00565A67"/>
    <w:rsid w:val="00566A93"/>
    <w:rsid w:val="00566D2A"/>
    <w:rsid w:val="005704D3"/>
    <w:rsid w:val="00572450"/>
    <w:rsid w:val="00575899"/>
    <w:rsid w:val="005773F6"/>
    <w:rsid w:val="0057750D"/>
    <w:rsid w:val="00580427"/>
    <w:rsid w:val="00580DFA"/>
    <w:rsid w:val="00581C29"/>
    <w:rsid w:val="0058290A"/>
    <w:rsid w:val="005835C8"/>
    <w:rsid w:val="00583B69"/>
    <w:rsid w:val="00585152"/>
    <w:rsid w:val="00586DDD"/>
    <w:rsid w:val="00586E79"/>
    <w:rsid w:val="00587296"/>
    <w:rsid w:val="00590057"/>
    <w:rsid w:val="0059155D"/>
    <w:rsid w:val="005918F7"/>
    <w:rsid w:val="00592E9B"/>
    <w:rsid w:val="0059356D"/>
    <w:rsid w:val="00595D76"/>
    <w:rsid w:val="00597435"/>
    <w:rsid w:val="00597B55"/>
    <w:rsid w:val="005A0184"/>
    <w:rsid w:val="005A033A"/>
    <w:rsid w:val="005A0698"/>
    <w:rsid w:val="005A1E38"/>
    <w:rsid w:val="005A5FA1"/>
    <w:rsid w:val="005A608A"/>
    <w:rsid w:val="005B03EC"/>
    <w:rsid w:val="005B07B8"/>
    <w:rsid w:val="005B127D"/>
    <w:rsid w:val="005B191C"/>
    <w:rsid w:val="005B20B6"/>
    <w:rsid w:val="005B610F"/>
    <w:rsid w:val="005B638C"/>
    <w:rsid w:val="005B6E55"/>
    <w:rsid w:val="005B7771"/>
    <w:rsid w:val="005C1356"/>
    <w:rsid w:val="005C33C7"/>
    <w:rsid w:val="005C34DF"/>
    <w:rsid w:val="005C465C"/>
    <w:rsid w:val="005C69B6"/>
    <w:rsid w:val="005C7CF0"/>
    <w:rsid w:val="005D0A9B"/>
    <w:rsid w:val="005D31AE"/>
    <w:rsid w:val="005D37EA"/>
    <w:rsid w:val="005D56D7"/>
    <w:rsid w:val="005E0AD5"/>
    <w:rsid w:val="005E69D1"/>
    <w:rsid w:val="005E7243"/>
    <w:rsid w:val="005F0539"/>
    <w:rsid w:val="005F1FF4"/>
    <w:rsid w:val="005F533D"/>
    <w:rsid w:val="005F5823"/>
    <w:rsid w:val="005F7C34"/>
    <w:rsid w:val="00601F1A"/>
    <w:rsid w:val="0060347C"/>
    <w:rsid w:val="00603C64"/>
    <w:rsid w:val="00606482"/>
    <w:rsid w:val="006065B9"/>
    <w:rsid w:val="00606634"/>
    <w:rsid w:val="006101E3"/>
    <w:rsid w:val="00610DFB"/>
    <w:rsid w:val="0061115C"/>
    <w:rsid w:val="00611F76"/>
    <w:rsid w:val="00614A15"/>
    <w:rsid w:val="00614ABC"/>
    <w:rsid w:val="00617C0E"/>
    <w:rsid w:val="006206E1"/>
    <w:rsid w:val="006223BF"/>
    <w:rsid w:val="00622886"/>
    <w:rsid w:val="00623105"/>
    <w:rsid w:val="00623EE7"/>
    <w:rsid w:val="006253E1"/>
    <w:rsid w:val="00626AB5"/>
    <w:rsid w:val="00626D0A"/>
    <w:rsid w:val="00630492"/>
    <w:rsid w:val="006316B5"/>
    <w:rsid w:val="006322DF"/>
    <w:rsid w:val="00632806"/>
    <w:rsid w:val="00632CFC"/>
    <w:rsid w:val="00636C94"/>
    <w:rsid w:val="00637DF7"/>
    <w:rsid w:val="0064011A"/>
    <w:rsid w:val="00643259"/>
    <w:rsid w:val="0064474F"/>
    <w:rsid w:val="00646424"/>
    <w:rsid w:val="00647EBF"/>
    <w:rsid w:val="00653F5D"/>
    <w:rsid w:val="00654349"/>
    <w:rsid w:val="00654A1D"/>
    <w:rsid w:val="00655157"/>
    <w:rsid w:val="006562A8"/>
    <w:rsid w:val="00656AFC"/>
    <w:rsid w:val="006570C6"/>
    <w:rsid w:val="0066146A"/>
    <w:rsid w:val="00662493"/>
    <w:rsid w:val="00664449"/>
    <w:rsid w:val="00664763"/>
    <w:rsid w:val="00664ABF"/>
    <w:rsid w:val="0066511D"/>
    <w:rsid w:val="00665D21"/>
    <w:rsid w:val="00666272"/>
    <w:rsid w:val="006671D5"/>
    <w:rsid w:val="00671A02"/>
    <w:rsid w:val="00674FF4"/>
    <w:rsid w:val="006769C8"/>
    <w:rsid w:val="0068062A"/>
    <w:rsid w:val="006806D2"/>
    <w:rsid w:val="00680A5B"/>
    <w:rsid w:val="006818AD"/>
    <w:rsid w:val="00681BC2"/>
    <w:rsid w:val="00683EFA"/>
    <w:rsid w:val="00684E9A"/>
    <w:rsid w:val="006851AD"/>
    <w:rsid w:val="0068620D"/>
    <w:rsid w:val="006863FA"/>
    <w:rsid w:val="00693763"/>
    <w:rsid w:val="006954F1"/>
    <w:rsid w:val="006971FA"/>
    <w:rsid w:val="00697B58"/>
    <w:rsid w:val="00697E44"/>
    <w:rsid w:val="006A0814"/>
    <w:rsid w:val="006A1292"/>
    <w:rsid w:val="006A1D99"/>
    <w:rsid w:val="006A2BCC"/>
    <w:rsid w:val="006B2C4F"/>
    <w:rsid w:val="006B3ACC"/>
    <w:rsid w:val="006B486C"/>
    <w:rsid w:val="006B5B71"/>
    <w:rsid w:val="006B6A68"/>
    <w:rsid w:val="006B73E1"/>
    <w:rsid w:val="006B7E68"/>
    <w:rsid w:val="006C00B3"/>
    <w:rsid w:val="006C448B"/>
    <w:rsid w:val="006C44B8"/>
    <w:rsid w:val="006C4FDD"/>
    <w:rsid w:val="006C51A7"/>
    <w:rsid w:val="006C6445"/>
    <w:rsid w:val="006C6578"/>
    <w:rsid w:val="006C6F2C"/>
    <w:rsid w:val="006D186A"/>
    <w:rsid w:val="006D1B41"/>
    <w:rsid w:val="006D2CAF"/>
    <w:rsid w:val="006D35F6"/>
    <w:rsid w:val="006D3D2C"/>
    <w:rsid w:val="006D432C"/>
    <w:rsid w:val="006D4FB7"/>
    <w:rsid w:val="006D53EE"/>
    <w:rsid w:val="006E05A6"/>
    <w:rsid w:val="006E1B77"/>
    <w:rsid w:val="006E334B"/>
    <w:rsid w:val="006E3501"/>
    <w:rsid w:val="006E4417"/>
    <w:rsid w:val="006F0695"/>
    <w:rsid w:val="006F125A"/>
    <w:rsid w:val="006F2B95"/>
    <w:rsid w:val="006F654E"/>
    <w:rsid w:val="006F66B2"/>
    <w:rsid w:val="006F7EF1"/>
    <w:rsid w:val="007013D8"/>
    <w:rsid w:val="00702423"/>
    <w:rsid w:val="00702996"/>
    <w:rsid w:val="00702BFD"/>
    <w:rsid w:val="007042B8"/>
    <w:rsid w:val="0070648C"/>
    <w:rsid w:val="0071213C"/>
    <w:rsid w:val="007157E4"/>
    <w:rsid w:val="007201B7"/>
    <w:rsid w:val="0072106B"/>
    <w:rsid w:val="007222A2"/>
    <w:rsid w:val="007228B5"/>
    <w:rsid w:val="0072405E"/>
    <w:rsid w:val="0072524C"/>
    <w:rsid w:val="00725912"/>
    <w:rsid w:val="00726E14"/>
    <w:rsid w:val="00727EDB"/>
    <w:rsid w:val="007315E5"/>
    <w:rsid w:val="007316B7"/>
    <w:rsid w:val="00734F65"/>
    <w:rsid w:val="0074039E"/>
    <w:rsid w:val="00740EDF"/>
    <w:rsid w:val="0074349C"/>
    <w:rsid w:val="00744E6F"/>
    <w:rsid w:val="00747ED5"/>
    <w:rsid w:val="007504EA"/>
    <w:rsid w:val="007512C5"/>
    <w:rsid w:val="007532D4"/>
    <w:rsid w:val="007541E5"/>
    <w:rsid w:val="007547D3"/>
    <w:rsid w:val="00754C47"/>
    <w:rsid w:val="00754F1A"/>
    <w:rsid w:val="00755987"/>
    <w:rsid w:val="007565A5"/>
    <w:rsid w:val="0076138C"/>
    <w:rsid w:val="00761996"/>
    <w:rsid w:val="00762B0B"/>
    <w:rsid w:val="00771A9A"/>
    <w:rsid w:val="00772C48"/>
    <w:rsid w:val="007748BD"/>
    <w:rsid w:val="007756CB"/>
    <w:rsid w:val="00780685"/>
    <w:rsid w:val="00781D4B"/>
    <w:rsid w:val="00782691"/>
    <w:rsid w:val="007829B4"/>
    <w:rsid w:val="00783896"/>
    <w:rsid w:val="00785FA3"/>
    <w:rsid w:val="00790966"/>
    <w:rsid w:val="00790B21"/>
    <w:rsid w:val="00791434"/>
    <w:rsid w:val="0079260A"/>
    <w:rsid w:val="00794160"/>
    <w:rsid w:val="00797B1C"/>
    <w:rsid w:val="007A0450"/>
    <w:rsid w:val="007A2363"/>
    <w:rsid w:val="007A4BAC"/>
    <w:rsid w:val="007A5A11"/>
    <w:rsid w:val="007A5A47"/>
    <w:rsid w:val="007A6725"/>
    <w:rsid w:val="007A6791"/>
    <w:rsid w:val="007A6D70"/>
    <w:rsid w:val="007A7A76"/>
    <w:rsid w:val="007A7D82"/>
    <w:rsid w:val="007B014A"/>
    <w:rsid w:val="007B0A69"/>
    <w:rsid w:val="007B1E0A"/>
    <w:rsid w:val="007B5569"/>
    <w:rsid w:val="007B5AA7"/>
    <w:rsid w:val="007C12D4"/>
    <w:rsid w:val="007C1319"/>
    <w:rsid w:val="007C145D"/>
    <w:rsid w:val="007C25FE"/>
    <w:rsid w:val="007C46F5"/>
    <w:rsid w:val="007C70D2"/>
    <w:rsid w:val="007D2041"/>
    <w:rsid w:val="007D206B"/>
    <w:rsid w:val="007D4F53"/>
    <w:rsid w:val="007D55AD"/>
    <w:rsid w:val="007D56FA"/>
    <w:rsid w:val="007E0B95"/>
    <w:rsid w:val="007E1632"/>
    <w:rsid w:val="007E36E8"/>
    <w:rsid w:val="007E3ED8"/>
    <w:rsid w:val="007E6427"/>
    <w:rsid w:val="007F1D07"/>
    <w:rsid w:val="007F3330"/>
    <w:rsid w:val="007F43FF"/>
    <w:rsid w:val="007F5929"/>
    <w:rsid w:val="007F5D10"/>
    <w:rsid w:val="007F5EE1"/>
    <w:rsid w:val="007F6841"/>
    <w:rsid w:val="007F6CB2"/>
    <w:rsid w:val="0080061C"/>
    <w:rsid w:val="0080091A"/>
    <w:rsid w:val="008016B1"/>
    <w:rsid w:val="00803390"/>
    <w:rsid w:val="00804AC4"/>
    <w:rsid w:val="00805849"/>
    <w:rsid w:val="00807133"/>
    <w:rsid w:val="008104E9"/>
    <w:rsid w:val="00813F27"/>
    <w:rsid w:val="00815F0D"/>
    <w:rsid w:val="00817403"/>
    <w:rsid w:val="0082048E"/>
    <w:rsid w:val="00820C80"/>
    <w:rsid w:val="00820DBF"/>
    <w:rsid w:val="00821C14"/>
    <w:rsid w:val="0082222A"/>
    <w:rsid w:val="0082388A"/>
    <w:rsid w:val="00823D8F"/>
    <w:rsid w:val="00824698"/>
    <w:rsid w:val="008266BD"/>
    <w:rsid w:val="00830A8A"/>
    <w:rsid w:val="00830EB8"/>
    <w:rsid w:val="00831815"/>
    <w:rsid w:val="00832C83"/>
    <w:rsid w:val="00832D16"/>
    <w:rsid w:val="00836CB1"/>
    <w:rsid w:val="00837579"/>
    <w:rsid w:val="00837C67"/>
    <w:rsid w:val="00840F0C"/>
    <w:rsid w:val="00841357"/>
    <w:rsid w:val="00841F6B"/>
    <w:rsid w:val="008428A8"/>
    <w:rsid w:val="0084340F"/>
    <w:rsid w:val="00845576"/>
    <w:rsid w:val="008458FA"/>
    <w:rsid w:val="00846716"/>
    <w:rsid w:val="00846F82"/>
    <w:rsid w:val="00847DB7"/>
    <w:rsid w:val="00850142"/>
    <w:rsid w:val="00850632"/>
    <w:rsid w:val="008508C4"/>
    <w:rsid w:val="0085194F"/>
    <w:rsid w:val="00852685"/>
    <w:rsid w:val="00853428"/>
    <w:rsid w:val="00853BEE"/>
    <w:rsid w:val="00853C63"/>
    <w:rsid w:val="00861D3A"/>
    <w:rsid w:val="008646B4"/>
    <w:rsid w:val="008649CE"/>
    <w:rsid w:val="008659F5"/>
    <w:rsid w:val="008669A2"/>
    <w:rsid w:val="008705D5"/>
    <w:rsid w:val="00871FDF"/>
    <w:rsid w:val="008734A9"/>
    <w:rsid w:val="00876288"/>
    <w:rsid w:val="00877F7C"/>
    <w:rsid w:val="00881780"/>
    <w:rsid w:val="00882793"/>
    <w:rsid w:val="008831BE"/>
    <w:rsid w:val="00887415"/>
    <w:rsid w:val="0088753B"/>
    <w:rsid w:val="008918DA"/>
    <w:rsid w:val="0089549D"/>
    <w:rsid w:val="008960B8"/>
    <w:rsid w:val="0089651E"/>
    <w:rsid w:val="008971B5"/>
    <w:rsid w:val="008A254B"/>
    <w:rsid w:val="008A541E"/>
    <w:rsid w:val="008A6EA6"/>
    <w:rsid w:val="008B1EB2"/>
    <w:rsid w:val="008B5081"/>
    <w:rsid w:val="008B5D54"/>
    <w:rsid w:val="008B6A7E"/>
    <w:rsid w:val="008B76C8"/>
    <w:rsid w:val="008B796D"/>
    <w:rsid w:val="008C0677"/>
    <w:rsid w:val="008C154D"/>
    <w:rsid w:val="008C32B8"/>
    <w:rsid w:val="008C36BB"/>
    <w:rsid w:val="008C46E9"/>
    <w:rsid w:val="008C4E55"/>
    <w:rsid w:val="008C6811"/>
    <w:rsid w:val="008D00F8"/>
    <w:rsid w:val="008D1AE4"/>
    <w:rsid w:val="008D4A68"/>
    <w:rsid w:val="008D4C36"/>
    <w:rsid w:val="008D624F"/>
    <w:rsid w:val="008D678D"/>
    <w:rsid w:val="008D7072"/>
    <w:rsid w:val="008E1058"/>
    <w:rsid w:val="008E3A6C"/>
    <w:rsid w:val="008E47E6"/>
    <w:rsid w:val="008E49FD"/>
    <w:rsid w:val="008E5A3F"/>
    <w:rsid w:val="008E6FF4"/>
    <w:rsid w:val="008E7A31"/>
    <w:rsid w:val="008F0707"/>
    <w:rsid w:val="008F26E1"/>
    <w:rsid w:val="008F39AB"/>
    <w:rsid w:val="008F6D26"/>
    <w:rsid w:val="008F6E48"/>
    <w:rsid w:val="0090078A"/>
    <w:rsid w:val="00901E43"/>
    <w:rsid w:val="00901EBC"/>
    <w:rsid w:val="00902608"/>
    <w:rsid w:val="00903912"/>
    <w:rsid w:val="00904FB6"/>
    <w:rsid w:val="0090515B"/>
    <w:rsid w:val="00906B16"/>
    <w:rsid w:val="00910697"/>
    <w:rsid w:val="00911889"/>
    <w:rsid w:val="0091320B"/>
    <w:rsid w:val="00913909"/>
    <w:rsid w:val="00915629"/>
    <w:rsid w:val="009159CE"/>
    <w:rsid w:val="009163A4"/>
    <w:rsid w:val="0091651D"/>
    <w:rsid w:val="00921815"/>
    <w:rsid w:val="00921E51"/>
    <w:rsid w:val="0092441F"/>
    <w:rsid w:val="00925F13"/>
    <w:rsid w:val="00926317"/>
    <w:rsid w:val="00930B57"/>
    <w:rsid w:val="00930D68"/>
    <w:rsid w:val="0093202E"/>
    <w:rsid w:val="00932BF5"/>
    <w:rsid w:val="00933298"/>
    <w:rsid w:val="00934521"/>
    <w:rsid w:val="00935259"/>
    <w:rsid w:val="009363D4"/>
    <w:rsid w:val="00940376"/>
    <w:rsid w:val="009404FE"/>
    <w:rsid w:val="00940AF0"/>
    <w:rsid w:val="00940CFA"/>
    <w:rsid w:val="00942C26"/>
    <w:rsid w:val="0094317B"/>
    <w:rsid w:val="00943FCF"/>
    <w:rsid w:val="00947112"/>
    <w:rsid w:val="009506A9"/>
    <w:rsid w:val="0095262F"/>
    <w:rsid w:val="009527D2"/>
    <w:rsid w:val="00952BF9"/>
    <w:rsid w:val="009535EC"/>
    <w:rsid w:val="00954252"/>
    <w:rsid w:val="00954D9F"/>
    <w:rsid w:val="009568FD"/>
    <w:rsid w:val="009577A5"/>
    <w:rsid w:val="009613E4"/>
    <w:rsid w:val="00962A73"/>
    <w:rsid w:val="00963A1F"/>
    <w:rsid w:val="0096455E"/>
    <w:rsid w:val="00964F8C"/>
    <w:rsid w:val="00965C2A"/>
    <w:rsid w:val="00973819"/>
    <w:rsid w:val="0097423A"/>
    <w:rsid w:val="00975121"/>
    <w:rsid w:val="009758DC"/>
    <w:rsid w:val="00976EBB"/>
    <w:rsid w:val="00983441"/>
    <w:rsid w:val="009835EA"/>
    <w:rsid w:val="00985826"/>
    <w:rsid w:val="00990990"/>
    <w:rsid w:val="00990DFC"/>
    <w:rsid w:val="00992451"/>
    <w:rsid w:val="00993D30"/>
    <w:rsid w:val="009948CC"/>
    <w:rsid w:val="009977B4"/>
    <w:rsid w:val="009A107B"/>
    <w:rsid w:val="009A1CF2"/>
    <w:rsid w:val="009A379F"/>
    <w:rsid w:val="009A3B66"/>
    <w:rsid w:val="009A57A2"/>
    <w:rsid w:val="009B26B0"/>
    <w:rsid w:val="009B26BF"/>
    <w:rsid w:val="009B3BA0"/>
    <w:rsid w:val="009B4030"/>
    <w:rsid w:val="009B46AF"/>
    <w:rsid w:val="009B4E9B"/>
    <w:rsid w:val="009B6C89"/>
    <w:rsid w:val="009B6DBA"/>
    <w:rsid w:val="009B765E"/>
    <w:rsid w:val="009C42B5"/>
    <w:rsid w:val="009C4626"/>
    <w:rsid w:val="009C4806"/>
    <w:rsid w:val="009C49EF"/>
    <w:rsid w:val="009C654B"/>
    <w:rsid w:val="009C7ACF"/>
    <w:rsid w:val="009D2718"/>
    <w:rsid w:val="009D2B6D"/>
    <w:rsid w:val="009D32B8"/>
    <w:rsid w:val="009D5635"/>
    <w:rsid w:val="009D6EBD"/>
    <w:rsid w:val="009D79C9"/>
    <w:rsid w:val="009D7F7F"/>
    <w:rsid w:val="009E3122"/>
    <w:rsid w:val="009E313A"/>
    <w:rsid w:val="009E4B22"/>
    <w:rsid w:val="009E7B1B"/>
    <w:rsid w:val="009F4149"/>
    <w:rsid w:val="009F4B5F"/>
    <w:rsid w:val="009F4DB0"/>
    <w:rsid w:val="009F7BF7"/>
    <w:rsid w:val="00A007C5"/>
    <w:rsid w:val="00A0098B"/>
    <w:rsid w:val="00A01128"/>
    <w:rsid w:val="00A01B7C"/>
    <w:rsid w:val="00A028E5"/>
    <w:rsid w:val="00A102AC"/>
    <w:rsid w:val="00A10A8C"/>
    <w:rsid w:val="00A12A19"/>
    <w:rsid w:val="00A131F4"/>
    <w:rsid w:val="00A148A3"/>
    <w:rsid w:val="00A150EF"/>
    <w:rsid w:val="00A15275"/>
    <w:rsid w:val="00A16B23"/>
    <w:rsid w:val="00A1761C"/>
    <w:rsid w:val="00A21B43"/>
    <w:rsid w:val="00A22372"/>
    <w:rsid w:val="00A22B44"/>
    <w:rsid w:val="00A22E60"/>
    <w:rsid w:val="00A26009"/>
    <w:rsid w:val="00A2737D"/>
    <w:rsid w:val="00A30192"/>
    <w:rsid w:val="00A30964"/>
    <w:rsid w:val="00A321C9"/>
    <w:rsid w:val="00A32A83"/>
    <w:rsid w:val="00A40CD5"/>
    <w:rsid w:val="00A40E0B"/>
    <w:rsid w:val="00A414FE"/>
    <w:rsid w:val="00A43C9D"/>
    <w:rsid w:val="00A446D4"/>
    <w:rsid w:val="00A45AE6"/>
    <w:rsid w:val="00A50A99"/>
    <w:rsid w:val="00A51051"/>
    <w:rsid w:val="00A530A7"/>
    <w:rsid w:val="00A54359"/>
    <w:rsid w:val="00A561BB"/>
    <w:rsid w:val="00A6012F"/>
    <w:rsid w:val="00A609A6"/>
    <w:rsid w:val="00A635F0"/>
    <w:rsid w:val="00A64299"/>
    <w:rsid w:val="00A65244"/>
    <w:rsid w:val="00A6592C"/>
    <w:rsid w:val="00A65BAD"/>
    <w:rsid w:val="00A664B4"/>
    <w:rsid w:val="00A6728E"/>
    <w:rsid w:val="00A70A6F"/>
    <w:rsid w:val="00A71627"/>
    <w:rsid w:val="00A74153"/>
    <w:rsid w:val="00A76329"/>
    <w:rsid w:val="00A77737"/>
    <w:rsid w:val="00A81AAF"/>
    <w:rsid w:val="00A83CA6"/>
    <w:rsid w:val="00A84859"/>
    <w:rsid w:val="00A85F25"/>
    <w:rsid w:val="00A866D5"/>
    <w:rsid w:val="00A86728"/>
    <w:rsid w:val="00A87A54"/>
    <w:rsid w:val="00A90D28"/>
    <w:rsid w:val="00A931CD"/>
    <w:rsid w:val="00A93A92"/>
    <w:rsid w:val="00A94610"/>
    <w:rsid w:val="00A951B7"/>
    <w:rsid w:val="00A96F70"/>
    <w:rsid w:val="00AA03E9"/>
    <w:rsid w:val="00AA1BC9"/>
    <w:rsid w:val="00AA2343"/>
    <w:rsid w:val="00AA2F28"/>
    <w:rsid w:val="00AA54F3"/>
    <w:rsid w:val="00AA563C"/>
    <w:rsid w:val="00AB09FF"/>
    <w:rsid w:val="00AB12D6"/>
    <w:rsid w:val="00AB18A6"/>
    <w:rsid w:val="00AB276B"/>
    <w:rsid w:val="00AB2D61"/>
    <w:rsid w:val="00AB2DFE"/>
    <w:rsid w:val="00AB3C31"/>
    <w:rsid w:val="00AB3CEB"/>
    <w:rsid w:val="00AB46DB"/>
    <w:rsid w:val="00AB7BCC"/>
    <w:rsid w:val="00AC3563"/>
    <w:rsid w:val="00AC4C7D"/>
    <w:rsid w:val="00AC5BD1"/>
    <w:rsid w:val="00AC62CC"/>
    <w:rsid w:val="00AC708A"/>
    <w:rsid w:val="00AC750A"/>
    <w:rsid w:val="00AC76C2"/>
    <w:rsid w:val="00AD0BDE"/>
    <w:rsid w:val="00AD362D"/>
    <w:rsid w:val="00AD4E9D"/>
    <w:rsid w:val="00AD5E41"/>
    <w:rsid w:val="00AD6A63"/>
    <w:rsid w:val="00AD7A32"/>
    <w:rsid w:val="00AD7C63"/>
    <w:rsid w:val="00AE1D9F"/>
    <w:rsid w:val="00AE5246"/>
    <w:rsid w:val="00AF0689"/>
    <w:rsid w:val="00AF164C"/>
    <w:rsid w:val="00AF3796"/>
    <w:rsid w:val="00AF7E84"/>
    <w:rsid w:val="00B04C37"/>
    <w:rsid w:val="00B04CD7"/>
    <w:rsid w:val="00B05ECC"/>
    <w:rsid w:val="00B06E24"/>
    <w:rsid w:val="00B07FCB"/>
    <w:rsid w:val="00B10E0C"/>
    <w:rsid w:val="00B114BB"/>
    <w:rsid w:val="00B12649"/>
    <w:rsid w:val="00B128A4"/>
    <w:rsid w:val="00B12DD7"/>
    <w:rsid w:val="00B13117"/>
    <w:rsid w:val="00B15A6D"/>
    <w:rsid w:val="00B15E05"/>
    <w:rsid w:val="00B16F51"/>
    <w:rsid w:val="00B209BD"/>
    <w:rsid w:val="00B2287C"/>
    <w:rsid w:val="00B260D8"/>
    <w:rsid w:val="00B266F0"/>
    <w:rsid w:val="00B26E47"/>
    <w:rsid w:val="00B3235B"/>
    <w:rsid w:val="00B32586"/>
    <w:rsid w:val="00B32CBA"/>
    <w:rsid w:val="00B362F9"/>
    <w:rsid w:val="00B36DCF"/>
    <w:rsid w:val="00B37463"/>
    <w:rsid w:val="00B40455"/>
    <w:rsid w:val="00B4048C"/>
    <w:rsid w:val="00B405D8"/>
    <w:rsid w:val="00B40DFF"/>
    <w:rsid w:val="00B45002"/>
    <w:rsid w:val="00B45779"/>
    <w:rsid w:val="00B459A6"/>
    <w:rsid w:val="00B4706E"/>
    <w:rsid w:val="00B4734F"/>
    <w:rsid w:val="00B5095A"/>
    <w:rsid w:val="00B50EA9"/>
    <w:rsid w:val="00B5108B"/>
    <w:rsid w:val="00B525AF"/>
    <w:rsid w:val="00B53975"/>
    <w:rsid w:val="00B55735"/>
    <w:rsid w:val="00B55D02"/>
    <w:rsid w:val="00B56090"/>
    <w:rsid w:val="00B5662B"/>
    <w:rsid w:val="00B566C4"/>
    <w:rsid w:val="00B56E8A"/>
    <w:rsid w:val="00B572CF"/>
    <w:rsid w:val="00B608AC"/>
    <w:rsid w:val="00B61DFE"/>
    <w:rsid w:val="00B62148"/>
    <w:rsid w:val="00B62B49"/>
    <w:rsid w:val="00B640DF"/>
    <w:rsid w:val="00B652C8"/>
    <w:rsid w:val="00B655CA"/>
    <w:rsid w:val="00B65C09"/>
    <w:rsid w:val="00B65C2F"/>
    <w:rsid w:val="00B65C54"/>
    <w:rsid w:val="00B66F91"/>
    <w:rsid w:val="00B67D13"/>
    <w:rsid w:val="00B7032D"/>
    <w:rsid w:val="00B81631"/>
    <w:rsid w:val="00B82B61"/>
    <w:rsid w:val="00B82D1C"/>
    <w:rsid w:val="00B8414E"/>
    <w:rsid w:val="00B855BC"/>
    <w:rsid w:val="00B909F9"/>
    <w:rsid w:val="00B9184D"/>
    <w:rsid w:val="00B9186E"/>
    <w:rsid w:val="00B91B41"/>
    <w:rsid w:val="00B92073"/>
    <w:rsid w:val="00B92BFB"/>
    <w:rsid w:val="00B9370C"/>
    <w:rsid w:val="00B9398E"/>
    <w:rsid w:val="00B9413E"/>
    <w:rsid w:val="00B95D90"/>
    <w:rsid w:val="00B95F3B"/>
    <w:rsid w:val="00B9723E"/>
    <w:rsid w:val="00B97C3B"/>
    <w:rsid w:val="00B97D74"/>
    <w:rsid w:val="00BA0CB2"/>
    <w:rsid w:val="00BA1042"/>
    <w:rsid w:val="00BA1773"/>
    <w:rsid w:val="00BA2407"/>
    <w:rsid w:val="00BA2D35"/>
    <w:rsid w:val="00BA2DBE"/>
    <w:rsid w:val="00BA325E"/>
    <w:rsid w:val="00BA4A65"/>
    <w:rsid w:val="00BA60FD"/>
    <w:rsid w:val="00BA6BB7"/>
    <w:rsid w:val="00BA6D15"/>
    <w:rsid w:val="00BA6DFC"/>
    <w:rsid w:val="00BA6FBF"/>
    <w:rsid w:val="00BB0E8E"/>
    <w:rsid w:val="00BB2E95"/>
    <w:rsid w:val="00BB3447"/>
    <w:rsid w:val="00BB375A"/>
    <w:rsid w:val="00BB5AE3"/>
    <w:rsid w:val="00BB5D6F"/>
    <w:rsid w:val="00BC17AA"/>
    <w:rsid w:val="00BC3E68"/>
    <w:rsid w:val="00BC4340"/>
    <w:rsid w:val="00BD0FD6"/>
    <w:rsid w:val="00BD1213"/>
    <w:rsid w:val="00BD24A8"/>
    <w:rsid w:val="00BD4653"/>
    <w:rsid w:val="00BD70C4"/>
    <w:rsid w:val="00BD7198"/>
    <w:rsid w:val="00BE035C"/>
    <w:rsid w:val="00BE14E2"/>
    <w:rsid w:val="00BE223E"/>
    <w:rsid w:val="00BE42A0"/>
    <w:rsid w:val="00BE4C38"/>
    <w:rsid w:val="00BE5BD0"/>
    <w:rsid w:val="00BE6013"/>
    <w:rsid w:val="00BE6F95"/>
    <w:rsid w:val="00BE7390"/>
    <w:rsid w:val="00BE7A59"/>
    <w:rsid w:val="00BE7F98"/>
    <w:rsid w:val="00BF3E5B"/>
    <w:rsid w:val="00BF5858"/>
    <w:rsid w:val="00BF6C67"/>
    <w:rsid w:val="00C000CD"/>
    <w:rsid w:val="00C00DE8"/>
    <w:rsid w:val="00C023BE"/>
    <w:rsid w:val="00C03179"/>
    <w:rsid w:val="00C0357E"/>
    <w:rsid w:val="00C03B60"/>
    <w:rsid w:val="00C0561A"/>
    <w:rsid w:val="00C067DF"/>
    <w:rsid w:val="00C07453"/>
    <w:rsid w:val="00C0745D"/>
    <w:rsid w:val="00C10248"/>
    <w:rsid w:val="00C10594"/>
    <w:rsid w:val="00C10AE3"/>
    <w:rsid w:val="00C1136E"/>
    <w:rsid w:val="00C11E84"/>
    <w:rsid w:val="00C1323F"/>
    <w:rsid w:val="00C13936"/>
    <w:rsid w:val="00C13959"/>
    <w:rsid w:val="00C14779"/>
    <w:rsid w:val="00C14FF0"/>
    <w:rsid w:val="00C17718"/>
    <w:rsid w:val="00C17A31"/>
    <w:rsid w:val="00C24079"/>
    <w:rsid w:val="00C26766"/>
    <w:rsid w:val="00C314B6"/>
    <w:rsid w:val="00C32985"/>
    <w:rsid w:val="00C33608"/>
    <w:rsid w:val="00C36348"/>
    <w:rsid w:val="00C36D9E"/>
    <w:rsid w:val="00C409FC"/>
    <w:rsid w:val="00C41004"/>
    <w:rsid w:val="00C42870"/>
    <w:rsid w:val="00C46565"/>
    <w:rsid w:val="00C46CAA"/>
    <w:rsid w:val="00C50474"/>
    <w:rsid w:val="00C52339"/>
    <w:rsid w:val="00C53129"/>
    <w:rsid w:val="00C54298"/>
    <w:rsid w:val="00C543CD"/>
    <w:rsid w:val="00C55608"/>
    <w:rsid w:val="00C564AD"/>
    <w:rsid w:val="00C56786"/>
    <w:rsid w:val="00C56C35"/>
    <w:rsid w:val="00C600C1"/>
    <w:rsid w:val="00C63043"/>
    <w:rsid w:val="00C63466"/>
    <w:rsid w:val="00C63A84"/>
    <w:rsid w:val="00C63AD7"/>
    <w:rsid w:val="00C671B3"/>
    <w:rsid w:val="00C67D68"/>
    <w:rsid w:val="00C70072"/>
    <w:rsid w:val="00C72C51"/>
    <w:rsid w:val="00C75E0C"/>
    <w:rsid w:val="00C773A9"/>
    <w:rsid w:val="00C829E4"/>
    <w:rsid w:val="00C83027"/>
    <w:rsid w:val="00C836A1"/>
    <w:rsid w:val="00C83EAD"/>
    <w:rsid w:val="00C84FF7"/>
    <w:rsid w:val="00C929D2"/>
    <w:rsid w:val="00C92BCB"/>
    <w:rsid w:val="00C94ABB"/>
    <w:rsid w:val="00CA253E"/>
    <w:rsid w:val="00CA2658"/>
    <w:rsid w:val="00CA36D5"/>
    <w:rsid w:val="00CA4658"/>
    <w:rsid w:val="00CA72CD"/>
    <w:rsid w:val="00CA736B"/>
    <w:rsid w:val="00CA76B2"/>
    <w:rsid w:val="00CB0BD9"/>
    <w:rsid w:val="00CB10EE"/>
    <w:rsid w:val="00CB14BD"/>
    <w:rsid w:val="00CB17F2"/>
    <w:rsid w:val="00CB18A3"/>
    <w:rsid w:val="00CB4B3C"/>
    <w:rsid w:val="00CB747C"/>
    <w:rsid w:val="00CB7B9A"/>
    <w:rsid w:val="00CB7DA7"/>
    <w:rsid w:val="00CC588B"/>
    <w:rsid w:val="00CC6196"/>
    <w:rsid w:val="00CC767F"/>
    <w:rsid w:val="00CC7CB3"/>
    <w:rsid w:val="00CD11AD"/>
    <w:rsid w:val="00CD2300"/>
    <w:rsid w:val="00CD47A3"/>
    <w:rsid w:val="00CD7A35"/>
    <w:rsid w:val="00CE214E"/>
    <w:rsid w:val="00CE4B47"/>
    <w:rsid w:val="00CE5840"/>
    <w:rsid w:val="00CE631D"/>
    <w:rsid w:val="00CE70D0"/>
    <w:rsid w:val="00CE71F8"/>
    <w:rsid w:val="00CE76C1"/>
    <w:rsid w:val="00CF104A"/>
    <w:rsid w:val="00CF1590"/>
    <w:rsid w:val="00CF2419"/>
    <w:rsid w:val="00CF24E4"/>
    <w:rsid w:val="00CF3C36"/>
    <w:rsid w:val="00CF4444"/>
    <w:rsid w:val="00CF6EEC"/>
    <w:rsid w:val="00CF7455"/>
    <w:rsid w:val="00CF766A"/>
    <w:rsid w:val="00D00836"/>
    <w:rsid w:val="00D008EE"/>
    <w:rsid w:val="00D0140E"/>
    <w:rsid w:val="00D01949"/>
    <w:rsid w:val="00D0264F"/>
    <w:rsid w:val="00D02999"/>
    <w:rsid w:val="00D06460"/>
    <w:rsid w:val="00D07AC4"/>
    <w:rsid w:val="00D07EA8"/>
    <w:rsid w:val="00D12B9C"/>
    <w:rsid w:val="00D14962"/>
    <w:rsid w:val="00D150A8"/>
    <w:rsid w:val="00D15B73"/>
    <w:rsid w:val="00D16598"/>
    <w:rsid w:val="00D179EA"/>
    <w:rsid w:val="00D201DD"/>
    <w:rsid w:val="00D20211"/>
    <w:rsid w:val="00D20295"/>
    <w:rsid w:val="00D2041B"/>
    <w:rsid w:val="00D207E0"/>
    <w:rsid w:val="00D21504"/>
    <w:rsid w:val="00D21FB5"/>
    <w:rsid w:val="00D22285"/>
    <w:rsid w:val="00D22A94"/>
    <w:rsid w:val="00D234B1"/>
    <w:rsid w:val="00D23836"/>
    <w:rsid w:val="00D24361"/>
    <w:rsid w:val="00D30BDF"/>
    <w:rsid w:val="00D312D8"/>
    <w:rsid w:val="00D32500"/>
    <w:rsid w:val="00D34223"/>
    <w:rsid w:val="00D37B3F"/>
    <w:rsid w:val="00D408B1"/>
    <w:rsid w:val="00D40D1B"/>
    <w:rsid w:val="00D431BD"/>
    <w:rsid w:val="00D46F5F"/>
    <w:rsid w:val="00D476FA"/>
    <w:rsid w:val="00D5155B"/>
    <w:rsid w:val="00D51816"/>
    <w:rsid w:val="00D5249F"/>
    <w:rsid w:val="00D52BF8"/>
    <w:rsid w:val="00D53327"/>
    <w:rsid w:val="00D5424F"/>
    <w:rsid w:val="00D54C0F"/>
    <w:rsid w:val="00D5583A"/>
    <w:rsid w:val="00D57548"/>
    <w:rsid w:val="00D6281A"/>
    <w:rsid w:val="00D62EE3"/>
    <w:rsid w:val="00D6383C"/>
    <w:rsid w:val="00D6587B"/>
    <w:rsid w:val="00D67B08"/>
    <w:rsid w:val="00D71964"/>
    <w:rsid w:val="00D71F38"/>
    <w:rsid w:val="00D72EA8"/>
    <w:rsid w:val="00D73E13"/>
    <w:rsid w:val="00D74137"/>
    <w:rsid w:val="00D75BC3"/>
    <w:rsid w:val="00D76B47"/>
    <w:rsid w:val="00D80860"/>
    <w:rsid w:val="00D809AF"/>
    <w:rsid w:val="00D815D4"/>
    <w:rsid w:val="00D83A5F"/>
    <w:rsid w:val="00D84506"/>
    <w:rsid w:val="00D85165"/>
    <w:rsid w:val="00D87DC1"/>
    <w:rsid w:val="00D90899"/>
    <w:rsid w:val="00D91D4C"/>
    <w:rsid w:val="00D938F7"/>
    <w:rsid w:val="00D950A5"/>
    <w:rsid w:val="00D9512F"/>
    <w:rsid w:val="00D95802"/>
    <w:rsid w:val="00D96366"/>
    <w:rsid w:val="00D97180"/>
    <w:rsid w:val="00DA01D4"/>
    <w:rsid w:val="00DA1FD9"/>
    <w:rsid w:val="00DA2BC4"/>
    <w:rsid w:val="00DA4D85"/>
    <w:rsid w:val="00DA54A6"/>
    <w:rsid w:val="00DA5A96"/>
    <w:rsid w:val="00DA6118"/>
    <w:rsid w:val="00DB015C"/>
    <w:rsid w:val="00DB1B65"/>
    <w:rsid w:val="00DB2341"/>
    <w:rsid w:val="00DB3838"/>
    <w:rsid w:val="00DB40A8"/>
    <w:rsid w:val="00DB4709"/>
    <w:rsid w:val="00DB4C2E"/>
    <w:rsid w:val="00DB58F6"/>
    <w:rsid w:val="00DB65F8"/>
    <w:rsid w:val="00DB7B71"/>
    <w:rsid w:val="00DB7C5A"/>
    <w:rsid w:val="00DC0DC0"/>
    <w:rsid w:val="00DC352E"/>
    <w:rsid w:val="00DC57CC"/>
    <w:rsid w:val="00DC649E"/>
    <w:rsid w:val="00DC7E2A"/>
    <w:rsid w:val="00DD046B"/>
    <w:rsid w:val="00DD04A8"/>
    <w:rsid w:val="00DD160E"/>
    <w:rsid w:val="00DD2AF8"/>
    <w:rsid w:val="00DD30E1"/>
    <w:rsid w:val="00DD5C03"/>
    <w:rsid w:val="00DD7989"/>
    <w:rsid w:val="00DD7ABB"/>
    <w:rsid w:val="00DE0E6C"/>
    <w:rsid w:val="00DE5708"/>
    <w:rsid w:val="00DF1635"/>
    <w:rsid w:val="00DF2BF4"/>
    <w:rsid w:val="00DF3B1D"/>
    <w:rsid w:val="00DF3C51"/>
    <w:rsid w:val="00DF4610"/>
    <w:rsid w:val="00DF5F5A"/>
    <w:rsid w:val="00DF633E"/>
    <w:rsid w:val="00E00EAC"/>
    <w:rsid w:val="00E04349"/>
    <w:rsid w:val="00E073FF"/>
    <w:rsid w:val="00E11F63"/>
    <w:rsid w:val="00E15659"/>
    <w:rsid w:val="00E208B2"/>
    <w:rsid w:val="00E21FB2"/>
    <w:rsid w:val="00E22E3A"/>
    <w:rsid w:val="00E25AB9"/>
    <w:rsid w:val="00E26D57"/>
    <w:rsid w:val="00E26EC6"/>
    <w:rsid w:val="00E2725E"/>
    <w:rsid w:val="00E278FC"/>
    <w:rsid w:val="00E31DC1"/>
    <w:rsid w:val="00E3707E"/>
    <w:rsid w:val="00E4062F"/>
    <w:rsid w:val="00E40F36"/>
    <w:rsid w:val="00E4147A"/>
    <w:rsid w:val="00E41C29"/>
    <w:rsid w:val="00E443DB"/>
    <w:rsid w:val="00E44C4F"/>
    <w:rsid w:val="00E46DB5"/>
    <w:rsid w:val="00E47940"/>
    <w:rsid w:val="00E52761"/>
    <w:rsid w:val="00E53CD8"/>
    <w:rsid w:val="00E60100"/>
    <w:rsid w:val="00E610E3"/>
    <w:rsid w:val="00E62B8B"/>
    <w:rsid w:val="00E64C21"/>
    <w:rsid w:val="00E71A5F"/>
    <w:rsid w:val="00E733C0"/>
    <w:rsid w:val="00E73437"/>
    <w:rsid w:val="00E736B8"/>
    <w:rsid w:val="00E73BE0"/>
    <w:rsid w:val="00E747E6"/>
    <w:rsid w:val="00E75B19"/>
    <w:rsid w:val="00E80BF9"/>
    <w:rsid w:val="00E82C63"/>
    <w:rsid w:val="00E84A2E"/>
    <w:rsid w:val="00E85215"/>
    <w:rsid w:val="00E857BB"/>
    <w:rsid w:val="00E916AF"/>
    <w:rsid w:val="00E95C4F"/>
    <w:rsid w:val="00E95E60"/>
    <w:rsid w:val="00EA019B"/>
    <w:rsid w:val="00EA0849"/>
    <w:rsid w:val="00EA2AFC"/>
    <w:rsid w:val="00EA3339"/>
    <w:rsid w:val="00EA42B7"/>
    <w:rsid w:val="00EA52EC"/>
    <w:rsid w:val="00EA538D"/>
    <w:rsid w:val="00EA55C0"/>
    <w:rsid w:val="00EA7430"/>
    <w:rsid w:val="00EB0B5C"/>
    <w:rsid w:val="00EB0FCB"/>
    <w:rsid w:val="00EB246C"/>
    <w:rsid w:val="00EB5EE9"/>
    <w:rsid w:val="00EC0706"/>
    <w:rsid w:val="00EC1D86"/>
    <w:rsid w:val="00EC1F98"/>
    <w:rsid w:val="00EC5E2E"/>
    <w:rsid w:val="00EC64FB"/>
    <w:rsid w:val="00ED0A20"/>
    <w:rsid w:val="00ED0D0E"/>
    <w:rsid w:val="00ED18B2"/>
    <w:rsid w:val="00ED4142"/>
    <w:rsid w:val="00ED614F"/>
    <w:rsid w:val="00ED72E9"/>
    <w:rsid w:val="00ED73C0"/>
    <w:rsid w:val="00EE025B"/>
    <w:rsid w:val="00EE2130"/>
    <w:rsid w:val="00EE2348"/>
    <w:rsid w:val="00EE5683"/>
    <w:rsid w:val="00EE7CF9"/>
    <w:rsid w:val="00EF0F25"/>
    <w:rsid w:val="00EF1537"/>
    <w:rsid w:val="00EF1ECD"/>
    <w:rsid w:val="00EF28A0"/>
    <w:rsid w:val="00EF4047"/>
    <w:rsid w:val="00EF58AF"/>
    <w:rsid w:val="00EF674C"/>
    <w:rsid w:val="00EF6FC8"/>
    <w:rsid w:val="00F0077B"/>
    <w:rsid w:val="00F0210B"/>
    <w:rsid w:val="00F024E8"/>
    <w:rsid w:val="00F04BB4"/>
    <w:rsid w:val="00F05F0E"/>
    <w:rsid w:val="00F1279E"/>
    <w:rsid w:val="00F12AD6"/>
    <w:rsid w:val="00F13448"/>
    <w:rsid w:val="00F13451"/>
    <w:rsid w:val="00F13BFA"/>
    <w:rsid w:val="00F142D1"/>
    <w:rsid w:val="00F1603C"/>
    <w:rsid w:val="00F16DA0"/>
    <w:rsid w:val="00F1710D"/>
    <w:rsid w:val="00F20534"/>
    <w:rsid w:val="00F207D5"/>
    <w:rsid w:val="00F20B48"/>
    <w:rsid w:val="00F219A6"/>
    <w:rsid w:val="00F226AD"/>
    <w:rsid w:val="00F23A4F"/>
    <w:rsid w:val="00F2476B"/>
    <w:rsid w:val="00F2598A"/>
    <w:rsid w:val="00F262CE"/>
    <w:rsid w:val="00F26AD6"/>
    <w:rsid w:val="00F275E3"/>
    <w:rsid w:val="00F30919"/>
    <w:rsid w:val="00F31D90"/>
    <w:rsid w:val="00F32FA5"/>
    <w:rsid w:val="00F33B65"/>
    <w:rsid w:val="00F4201F"/>
    <w:rsid w:val="00F44502"/>
    <w:rsid w:val="00F45409"/>
    <w:rsid w:val="00F45F10"/>
    <w:rsid w:val="00F52A04"/>
    <w:rsid w:val="00F546BB"/>
    <w:rsid w:val="00F547A3"/>
    <w:rsid w:val="00F549F2"/>
    <w:rsid w:val="00F55293"/>
    <w:rsid w:val="00F557E4"/>
    <w:rsid w:val="00F55F94"/>
    <w:rsid w:val="00F6029C"/>
    <w:rsid w:val="00F61266"/>
    <w:rsid w:val="00F61E2F"/>
    <w:rsid w:val="00F628C5"/>
    <w:rsid w:val="00F6391D"/>
    <w:rsid w:val="00F63FAF"/>
    <w:rsid w:val="00F643DD"/>
    <w:rsid w:val="00F656E9"/>
    <w:rsid w:val="00F66293"/>
    <w:rsid w:val="00F70C8E"/>
    <w:rsid w:val="00F7214F"/>
    <w:rsid w:val="00F726D3"/>
    <w:rsid w:val="00F75C6B"/>
    <w:rsid w:val="00F77C21"/>
    <w:rsid w:val="00F8030A"/>
    <w:rsid w:val="00F81349"/>
    <w:rsid w:val="00F82546"/>
    <w:rsid w:val="00F82AF2"/>
    <w:rsid w:val="00F84FB5"/>
    <w:rsid w:val="00F85F1B"/>
    <w:rsid w:val="00F86B2F"/>
    <w:rsid w:val="00F86B72"/>
    <w:rsid w:val="00F87B21"/>
    <w:rsid w:val="00F90B8D"/>
    <w:rsid w:val="00F916B5"/>
    <w:rsid w:val="00F91C38"/>
    <w:rsid w:val="00F938D9"/>
    <w:rsid w:val="00F95555"/>
    <w:rsid w:val="00FA0331"/>
    <w:rsid w:val="00FA06AF"/>
    <w:rsid w:val="00FA2375"/>
    <w:rsid w:val="00FA4342"/>
    <w:rsid w:val="00FA4DE0"/>
    <w:rsid w:val="00FA5DA1"/>
    <w:rsid w:val="00FA77F8"/>
    <w:rsid w:val="00FB0120"/>
    <w:rsid w:val="00FB1A70"/>
    <w:rsid w:val="00FB25EB"/>
    <w:rsid w:val="00FB3333"/>
    <w:rsid w:val="00FB6BD6"/>
    <w:rsid w:val="00FC2F2A"/>
    <w:rsid w:val="00FC3618"/>
    <w:rsid w:val="00FC5B5A"/>
    <w:rsid w:val="00FD00E5"/>
    <w:rsid w:val="00FD4C7D"/>
    <w:rsid w:val="00FD51FC"/>
    <w:rsid w:val="00FE3E0B"/>
    <w:rsid w:val="00FE5AEA"/>
    <w:rsid w:val="00FE60FC"/>
    <w:rsid w:val="00FF1E8E"/>
    <w:rsid w:val="00FF78E0"/>
    <w:rsid w:val="00FF7C57"/>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7F"/>
  </w:style>
  <w:style w:type="paragraph" w:styleId="Heading1">
    <w:name w:val="heading 1"/>
    <w:basedOn w:val="Normal"/>
    <w:next w:val="Normal"/>
    <w:link w:val="Heading1Char"/>
    <w:uiPriority w:val="9"/>
    <w:qFormat/>
    <w:rsid w:val="0050477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0477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50477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50477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0477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50477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50477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50477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50477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50477F"/>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5047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0477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50477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0477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50477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50477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50477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50477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50477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0477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50477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50477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0477F"/>
    <w:rPr>
      <w:rFonts w:asciiTheme="majorHAnsi" w:eastAsiaTheme="majorEastAsia" w:hAnsiTheme="majorHAnsi" w:cstheme="majorBidi"/>
      <w:sz w:val="24"/>
      <w:szCs w:val="24"/>
    </w:rPr>
  </w:style>
  <w:style w:type="character" w:styleId="Strong">
    <w:name w:val="Strong"/>
    <w:basedOn w:val="DefaultParagraphFont"/>
    <w:uiPriority w:val="22"/>
    <w:qFormat/>
    <w:rsid w:val="0050477F"/>
    <w:rPr>
      <w:b/>
      <w:bCs/>
    </w:rPr>
  </w:style>
  <w:style w:type="character" w:styleId="Emphasis">
    <w:name w:val="Emphasis"/>
    <w:basedOn w:val="DefaultParagraphFont"/>
    <w:uiPriority w:val="20"/>
    <w:qFormat/>
    <w:rsid w:val="0050477F"/>
    <w:rPr>
      <w:i/>
      <w:iCs/>
    </w:rPr>
  </w:style>
  <w:style w:type="paragraph" w:styleId="NoSpacing">
    <w:name w:val="No Spacing"/>
    <w:uiPriority w:val="1"/>
    <w:qFormat/>
    <w:rsid w:val="0050477F"/>
    <w:pPr>
      <w:spacing w:after="0" w:line="240" w:lineRule="auto"/>
    </w:pPr>
  </w:style>
  <w:style w:type="paragraph" w:styleId="Quote">
    <w:name w:val="Quote"/>
    <w:basedOn w:val="Normal"/>
    <w:next w:val="Normal"/>
    <w:link w:val="QuoteChar"/>
    <w:uiPriority w:val="29"/>
    <w:qFormat/>
    <w:rsid w:val="0050477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0477F"/>
    <w:rPr>
      <w:i/>
      <w:iCs/>
      <w:color w:val="404040" w:themeColor="text1" w:themeTint="BF"/>
    </w:rPr>
  </w:style>
  <w:style w:type="paragraph" w:styleId="IntenseQuote">
    <w:name w:val="Intense Quote"/>
    <w:basedOn w:val="Normal"/>
    <w:next w:val="Normal"/>
    <w:link w:val="IntenseQuoteChar"/>
    <w:uiPriority w:val="30"/>
    <w:qFormat/>
    <w:rsid w:val="0050477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50477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50477F"/>
    <w:rPr>
      <w:i/>
      <w:iCs/>
      <w:color w:val="404040" w:themeColor="text1" w:themeTint="BF"/>
    </w:rPr>
  </w:style>
  <w:style w:type="character" w:styleId="IntenseEmphasis">
    <w:name w:val="Intense Emphasis"/>
    <w:basedOn w:val="DefaultParagraphFont"/>
    <w:uiPriority w:val="21"/>
    <w:qFormat/>
    <w:rsid w:val="0050477F"/>
    <w:rPr>
      <w:b/>
      <w:bCs/>
      <w:i/>
      <w:iCs/>
    </w:rPr>
  </w:style>
  <w:style w:type="character" w:styleId="SubtleReference">
    <w:name w:val="Subtle Reference"/>
    <w:basedOn w:val="DefaultParagraphFont"/>
    <w:uiPriority w:val="31"/>
    <w:qFormat/>
    <w:rsid w:val="0050477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0477F"/>
    <w:rPr>
      <w:b/>
      <w:bCs/>
      <w:smallCaps/>
      <w:spacing w:val="5"/>
      <w:u w:val="single"/>
    </w:rPr>
  </w:style>
  <w:style w:type="character" w:styleId="BookTitle">
    <w:name w:val="Book Title"/>
    <w:basedOn w:val="DefaultParagraphFont"/>
    <w:uiPriority w:val="33"/>
    <w:qFormat/>
    <w:rsid w:val="0050477F"/>
    <w:rPr>
      <w:b/>
      <w:bCs/>
      <w:smallCaps/>
    </w:rPr>
  </w:style>
  <w:style w:type="paragraph" w:styleId="TOCHeading">
    <w:name w:val="TOC Heading"/>
    <w:basedOn w:val="Heading1"/>
    <w:next w:val="Normal"/>
    <w:uiPriority w:val="39"/>
    <w:unhideWhenUsed/>
    <w:qFormat/>
    <w:rsid w:val="0050477F"/>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1"/>
    <w:qFormat/>
    <w:rsid w:val="00480FC6"/>
    <w:pPr>
      <w:ind w:left="720"/>
      <w:contextualSpacing/>
    </w:pPr>
  </w:style>
  <w:style w:type="character" w:styleId="CommentReference">
    <w:name w:val="annotation reference"/>
    <w:basedOn w:val="DefaultParagraphFont"/>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List2">
    <w:name w:val="List 2"/>
    <w:basedOn w:val="Normal"/>
    <w:unhideWhenUsed/>
    <w:rsid w:val="00C0745D"/>
    <w:pPr>
      <w:widowControl w:val="0"/>
      <w:snapToGrid w:val="0"/>
      <w:spacing w:after="0" w:line="240" w:lineRule="auto"/>
      <w:ind w:left="720" w:hanging="360"/>
    </w:pPr>
    <w:rPr>
      <w:rFonts w:ascii="Times New Roman" w:eastAsia="Times New Roman" w:hAnsi="Times New Roman" w:cs="Times New Roman"/>
      <w:sz w:val="24"/>
    </w:rPr>
  </w:style>
  <w:style w:type="paragraph" w:styleId="BodyText">
    <w:name w:val="Body Text"/>
    <w:link w:val="BodyTextChar"/>
    <w:rsid w:val="00374B14"/>
    <w:pPr>
      <w:keepNext/>
      <w:spacing w:before="120" w:line="276"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374B14"/>
    <w:rPr>
      <w:rFonts w:ascii="Times New Roman" w:eastAsia="Times New Roman" w:hAnsi="Times New Roman" w:cs="Times New Roman"/>
      <w:sz w:val="24"/>
      <w:szCs w:val="18"/>
    </w:rPr>
  </w:style>
  <w:style w:type="paragraph" w:customStyle="1" w:styleId="Mauthor">
    <w:name w:val="M_author"/>
    <w:basedOn w:val="Normal"/>
    <w:autoRedefine/>
    <w:rsid w:val="003A6521"/>
    <w:pPr>
      <w:spacing w:after="0" w:line="240" w:lineRule="auto"/>
      <w:ind w:left="720" w:hanging="720"/>
    </w:pPr>
    <w:rPr>
      <w:rFonts w:ascii="Times New Roman" w:eastAsia="SimSun" w:hAnsi="Times New Roman" w:cs="Times New Roman"/>
      <w:color w:val="000000"/>
      <w:sz w:val="24"/>
      <w:lang w:val="it-IT" w:eastAsia="de-DE"/>
    </w:rPr>
  </w:style>
  <w:style w:type="paragraph" w:customStyle="1" w:styleId="MTitel">
    <w:name w:val="M_Titel"/>
    <w:basedOn w:val="Normal"/>
    <w:autoRedefine/>
    <w:uiPriority w:val="99"/>
    <w:rsid w:val="003A6521"/>
    <w:pPr>
      <w:spacing w:before="240" w:after="0" w:line="240" w:lineRule="auto"/>
      <w:ind w:left="720" w:hanging="720"/>
    </w:pPr>
    <w:rPr>
      <w:rFonts w:ascii="Times New Roman" w:eastAsia="SimSun" w:hAnsi="Times New Roman" w:cs="Times New Roman"/>
      <w:color w:val="000000"/>
      <w:sz w:val="24"/>
      <w:lang w:eastAsia="de-DE"/>
    </w:rPr>
  </w:style>
  <w:style w:type="paragraph" w:customStyle="1" w:styleId="Default">
    <w:name w:val="Default"/>
    <w:rsid w:val="00566A93"/>
    <w:pPr>
      <w:autoSpaceDE w:val="0"/>
      <w:autoSpaceDN w:val="0"/>
      <w:adjustRightInd w:val="0"/>
      <w:spacing w:after="0" w:line="240" w:lineRule="auto"/>
    </w:pPr>
    <w:rPr>
      <w:rFonts w:ascii="Times New Roman PS MT" w:eastAsia="Times New Roman" w:hAnsi="Times New Roman PS MT" w:cs="Times New Roman PS MT"/>
      <w:color w:val="000000"/>
      <w:sz w:val="24"/>
      <w:szCs w:val="24"/>
    </w:rPr>
  </w:style>
  <w:style w:type="table" w:customStyle="1" w:styleId="TableGrid1">
    <w:name w:val="Table Grid1"/>
    <w:basedOn w:val="TableNormal"/>
    <w:next w:val="TableGrid"/>
    <w:uiPriority w:val="39"/>
    <w:rsid w:val="001B0FE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2C9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26317"/>
    <w:pPr>
      <w:spacing w:after="0" w:line="240" w:lineRule="auto"/>
    </w:pPr>
    <w:rPr>
      <w:rFonts w:ascii="Times New Roman" w:hAnsi="Times New Roman"/>
    </w:rPr>
  </w:style>
  <w:style w:type="character" w:customStyle="1" w:styleId="EndnoteTextChar">
    <w:name w:val="Endnote Text Char"/>
    <w:basedOn w:val="DefaultParagraphFont"/>
    <w:link w:val="EndnoteText"/>
    <w:uiPriority w:val="99"/>
    <w:semiHidden/>
    <w:rsid w:val="00926317"/>
    <w:rPr>
      <w:rFonts w:ascii="Times New Roman" w:hAnsi="Times New Roman"/>
      <w:sz w:val="20"/>
      <w:szCs w:val="20"/>
    </w:rPr>
  </w:style>
  <w:style w:type="character" w:styleId="EndnoteReference">
    <w:name w:val="endnote reference"/>
    <w:basedOn w:val="DefaultParagraphFont"/>
    <w:uiPriority w:val="99"/>
    <w:semiHidden/>
    <w:unhideWhenUsed/>
    <w:rsid w:val="00926317"/>
    <w:rPr>
      <w:vertAlign w:val="superscript"/>
    </w:rPr>
  </w:style>
  <w:style w:type="paragraph" w:customStyle="1" w:styleId="biblio-entry">
    <w:name w:val="biblio-entry"/>
    <w:basedOn w:val="Normal"/>
    <w:rsid w:val="00926317"/>
    <w:pPr>
      <w:keepNext/>
      <w:keepLines/>
      <w:spacing w:line="240" w:lineRule="auto"/>
      <w:ind w:left="720" w:hanging="720"/>
    </w:pPr>
    <w:rPr>
      <w:rFonts w:ascii="Times New Roman" w:eastAsia="SimSun" w:hAnsi="Times New Roman" w:cs="Times New Roman"/>
      <w:sz w:val="22"/>
      <w:szCs w:val="22"/>
      <w:lang w:eastAsia="zh-CN"/>
    </w:rPr>
  </w:style>
  <w:style w:type="character" w:customStyle="1" w:styleId="ListParagraphChar">
    <w:name w:val="List Paragraph Char"/>
    <w:basedOn w:val="DefaultParagraphFont"/>
    <w:link w:val="ListParagraph"/>
    <w:uiPriority w:val="34"/>
    <w:locked/>
    <w:rsid w:val="00BD1213"/>
  </w:style>
  <w:style w:type="character" w:styleId="UnresolvedMention">
    <w:name w:val="Unresolved Mention"/>
    <w:basedOn w:val="DefaultParagraphFont"/>
    <w:uiPriority w:val="99"/>
    <w:semiHidden/>
    <w:unhideWhenUsed/>
    <w:rsid w:val="009506A9"/>
    <w:rPr>
      <w:color w:val="605E5C"/>
      <w:shd w:val="clear" w:color="auto" w:fill="E1DFDD"/>
    </w:rPr>
  </w:style>
  <w:style w:type="paragraph" w:styleId="Revision">
    <w:name w:val="Revision"/>
    <w:hidden/>
    <w:uiPriority w:val="99"/>
    <w:semiHidden/>
    <w:rsid w:val="00FD4C7D"/>
    <w:pPr>
      <w:spacing w:after="0" w:line="240" w:lineRule="auto"/>
    </w:pPr>
  </w:style>
  <w:style w:type="paragraph" w:customStyle="1" w:styleId="TableParagraph">
    <w:name w:val="Table Paragraph"/>
    <w:basedOn w:val="Normal"/>
    <w:uiPriority w:val="1"/>
    <w:qFormat/>
    <w:rsid w:val="00E31DC1"/>
    <w:pPr>
      <w:widowControl w:val="0"/>
      <w:autoSpaceDE w:val="0"/>
      <w:autoSpaceDN w:val="0"/>
      <w:spacing w:after="0" w:line="292" w:lineRule="exact"/>
      <w:ind w:left="103"/>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65716">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495304">
      <w:bodyDiv w:val="1"/>
      <w:marLeft w:val="0"/>
      <w:marRight w:val="0"/>
      <w:marTop w:val="0"/>
      <w:marBottom w:val="0"/>
      <w:divBdr>
        <w:top w:val="none" w:sz="0" w:space="0" w:color="auto"/>
        <w:left w:val="none" w:sz="0" w:space="0" w:color="auto"/>
        <w:bottom w:val="none" w:sz="0" w:space="0" w:color="auto"/>
        <w:right w:val="none" w:sz="0" w:space="0" w:color="auto"/>
      </w:divBdr>
      <w:divsChild>
        <w:div w:id="2058968321">
          <w:marLeft w:val="0"/>
          <w:marRight w:val="0"/>
          <w:marTop w:val="0"/>
          <w:marBottom w:val="0"/>
          <w:divBdr>
            <w:top w:val="none" w:sz="0" w:space="0" w:color="auto"/>
            <w:left w:val="none" w:sz="0" w:space="0" w:color="auto"/>
            <w:bottom w:val="none" w:sz="0" w:space="0" w:color="auto"/>
            <w:right w:val="none" w:sz="0" w:space="0" w:color="auto"/>
          </w:divBdr>
          <w:divsChild>
            <w:div w:id="864174228">
              <w:marLeft w:val="0"/>
              <w:marRight w:val="0"/>
              <w:marTop w:val="0"/>
              <w:marBottom w:val="0"/>
              <w:divBdr>
                <w:top w:val="none" w:sz="0" w:space="0" w:color="auto"/>
                <w:left w:val="none" w:sz="0" w:space="0" w:color="auto"/>
                <w:bottom w:val="none" w:sz="0" w:space="0" w:color="auto"/>
                <w:right w:val="none" w:sz="0" w:space="0" w:color="auto"/>
              </w:divBdr>
              <w:divsChild>
                <w:div w:id="672495886">
                  <w:marLeft w:val="0"/>
                  <w:marRight w:val="0"/>
                  <w:marTop w:val="0"/>
                  <w:marBottom w:val="0"/>
                  <w:divBdr>
                    <w:top w:val="none" w:sz="0" w:space="0" w:color="auto"/>
                    <w:left w:val="none" w:sz="0" w:space="0" w:color="auto"/>
                    <w:bottom w:val="none" w:sz="0" w:space="0" w:color="auto"/>
                    <w:right w:val="none" w:sz="0" w:space="0" w:color="auto"/>
                  </w:divBdr>
                  <w:divsChild>
                    <w:div w:id="1970893276">
                      <w:marLeft w:val="0"/>
                      <w:marRight w:val="0"/>
                      <w:marTop w:val="0"/>
                      <w:marBottom w:val="0"/>
                      <w:divBdr>
                        <w:top w:val="none" w:sz="0" w:space="0" w:color="auto"/>
                        <w:left w:val="none" w:sz="0" w:space="0" w:color="auto"/>
                        <w:bottom w:val="none" w:sz="0" w:space="0" w:color="auto"/>
                        <w:right w:val="none" w:sz="0" w:space="0" w:color="auto"/>
                      </w:divBdr>
                      <w:divsChild>
                        <w:div w:id="1407726008">
                          <w:marLeft w:val="-225"/>
                          <w:marRight w:val="-225"/>
                          <w:marTop w:val="0"/>
                          <w:marBottom w:val="0"/>
                          <w:divBdr>
                            <w:top w:val="none" w:sz="0" w:space="0" w:color="auto"/>
                            <w:left w:val="none" w:sz="0" w:space="0" w:color="auto"/>
                            <w:bottom w:val="none" w:sz="0" w:space="0" w:color="auto"/>
                            <w:right w:val="none" w:sz="0" w:space="0" w:color="auto"/>
                          </w:divBdr>
                          <w:divsChild>
                            <w:div w:id="2453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386564">
      <w:bodyDiv w:val="1"/>
      <w:marLeft w:val="0"/>
      <w:marRight w:val="0"/>
      <w:marTop w:val="0"/>
      <w:marBottom w:val="0"/>
      <w:divBdr>
        <w:top w:val="none" w:sz="0" w:space="0" w:color="auto"/>
        <w:left w:val="none" w:sz="0" w:space="0" w:color="auto"/>
        <w:bottom w:val="none" w:sz="0" w:space="0" w:color="auto"/>
        <w:right w:val="none" w:sz="0" w:space="0" w:color="auto"/>
      </w:divBdr>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90482">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981068">
      <w:bodyDiv w:val="1"/>
      <w:marLeft w:val="0"/>
      <w:marRight w:val="0"/>
      <w:marTop w:val="0"/>
      <w:marBottom w:val="0"/>
      <w:divBdr>
        <w:top w:val="none" w:sz="0" w:space="0" w:color="auto"/>
        <w:left w:val="none" w:sz="0" w:space="0" w:color="auto"/>
        <w:bottom w:val="none" w:sz="0" w:space="0" w:color="auto"/>
        <w:right w:val="none" w:sz="0" w:space="0" w:color="auto"/>
      </w:divBdr>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5" ma:contentTypeDescription="Create a new document." ma:contentTypeScope="" ma:versionID="d2067afea393135cc75f9a2c84e2ba58">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dd47833b6e8b8857bbe1cb674877e090"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22B24-CC5F-4A10-AB91-10588FABC5AF}">
  <ds:schemaRefs>
    <ds:schemaRef ds:uri="http://schemas.openxmlformats.org/officeDocument/2006/bibliography"/>
  </ds:schemaRefs>
</ds:datastoreItem>
</file>

<file path=customXml/itemProps2.xml><?xml version="1.0" encoding="utf-8"?>
<ds:datastoreItem xmlns:ds="http://schemas.openxmlformats.org/officeDocument/2006/customXml" ds:itemID="{A6A3F8B2-6A0C-40D7-839B-92529A8F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0857D-E434-4DFE-81EC-C52DEBF7953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6C53FE-DBB2-4C02-A866-FDF0186EC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6510</Words>
  <Characters>37107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43530</CharactersWithSpaces>
  <SharedDoc>false</SharedDoc>
  <HLinks>
    <vt:vector size="120" baseType="variant">
      <vt:variant>
        <vt:i4>7798815</vt:i4>
      </vt:variant>
      <vt:variant>
        <vt:i4>117</vt:i4>
      </vt:variant>
      <vt:variant>
        <vt:i4>0</vt:i4>
      </vt:variant>
      <vt:variant>
        <vt:i4>5</vt:i4>
      </vt:variant>
      <vt:variant>
        <vt:lpwstr>https://www.bls.gov/oes/current/oes_nat.htm</vt:lpwstr>
      </vt:variant>
      <vt:variant>
        <vt:lpwstr>00-0000</vt:lpwstr>
      </vt:variant>
      <vt:variant>
        <vt:i4>1441847</vt:i4>
      </vt:variant>
      <vt:variant>
        <vt:i4>110</vt:i4>
      </vt:variant>
      <vt:variant>
        <vt:i4>0</vt:i4>
      </vt:variant>
      <vt:variant>
        <vt:i4>5</vt:i4>
      </vt:variant>
      <vt:variant>
        <vt:lpwstr/>
      </vt:variant>
      <vt:variant>
        <vt:lpwstr>_Toc40415424</vt:lpwstr>
      </vt:variant>
      <vt:variant>
        <vt:i4>1114167</vt:i4>
      </vt:variant>
      <vt:variant>
        <vt:i4>104</vt:i4>
      </vt:variant>
      <vt:variant>
        <vt:i4>0</vt:i4>
      </vt:variant>
      <vt:variant>
        <vt:i4>5</vt:i4>
      </vt:variant>
      <vt:variant>
        <vt:lpwstr/>
      </vt:variant>
      <vt:variant>
        <vt:lpwstr>_Toc40415423</vt:lpwstr>
      </vt:variant>
      <vt:variant>
        <vt:i4>1048631</vt:i4>
      </vt:variant>
      <vt:variant>
        <vt:i4>98</vt:i4>
      </vt:variant>
      <vt:variant>
        <vt:i4>0</vt:i4>
      </vt:variant>
      <vt:variant>
        <vt:i4>5</vt:i4>
      </vt:variant>
      <vt:variant>
        <vt:lpwstr/>
      </vt:variant>
      <vt:variant>
        <vt:lpwstr>_Toc40415422</vt:lpwstr>
      </vt:variant>
      <vt:variant>
        <vt:i4>1245239</vt:i4>
      </vt:variant>
      <vt:variant>
        <vt:i4>92</vt:i4>
      </vt:variant>
      <vt:variant>
        <vt:i4>0</vt:i4>
      </vt:variant>
      <vt:variant>
        <vt:i4>5</vt:i4>
      </vt:variant>
      <vt:variant>
        <vt:lpwstr/>
      </vt:variant>
      <vt:variant>
        <vt:lpwstr>_Toc40415421</vt:lpwstr>
      </vt:variant>
      <vt:variant>
        <vt:i4>1179703</vt:i4>
      </vt:variant>
      <vt:variant>
        <vt:i4>86</vt:i4>
      </vt:variant>
      <vt:variant>
        <vt:i4>0</vt:i4>
      </vt:variant>
      <vt:variant>
        <vt:i4>5</vt:i4>
      </vt:variant>
      <vt:variant>
        <vt:lpwstr/>
      </vt:variant>
      <vt:variant>
        <vt:lpwstr>_Toc40415420</vt:lpwstr>
      </vt:variant>
      <vt:variant>
        <vt:i4>1769524</vt:i4>
      </vt:variant>
      <vt:variant>
        <vt:i4>80</vt:i4>
      </vt:variant>
      <vt:variant>
        <vt:i4>0</vt:i4>
      </vt:variant>
      <vt:variant>
        <vt:i4>5</vt:i4>
      </vt:variant>
      <vt:variant>
        <vt:lpwstr/>
      </vt:variant>
      <vt:variant>
        <vt:lpwstr>_Toc40415419</vt:lpwstr>
      </vt:variant>
      <vt:variant>
        <vt:i4>1703988</vt:i4>
      </vt:variant>
      <vt:variant>
        <vt:i4>74</vt:i4>
      </vt:variant>
      <vt:variant>
        <vt:i4>0</vt:i4>
      </vt:variant>
      <vt:variant>
        <vt:i4>5</vt:i4>
      </vt:variant>
      <vt:variant>
        <vt:lpwstr/>
      </vt:variant>
      <vt:variant>
        <vt:lpwstr>_Toc40415418</vt:lpwstr>
      </vt:variant>
      <vt:variant>
        <vt:i4>1376308</vt:i4>
      </vt:variant>
      <vt:variant>
        <vt:i4>68</vt:i4>
      </vt:variant>
      <vt:variant>
        <vt:i4>0</vt:i4>
      </vt:variant>
      <vt:variant>
        <vt:i4>5</vt:i4>
      </vt:variant>
      <vt:variant>
        <vt:lpwstr/>
      </vt:variant>
      <vt:variant>
        <vt:lpwstr>_Toc40415417</vt:lpwstr>
      </vt:variant>
      <vt:variant>
        <vt:i4>1310772</vt:i4>
      </vt:variant>
      <vt:variant>
        <vt:i4>62</vt:i4>
      </vt:variant>
      <vt:variant>
        <vt:i4>0</vt:i4>
      </vt:variant>
      <vt:variant>
        <vt:i4>5</vt:i4>
      </vt:variant>
      <vt:variant>
        <vt:lpwstr/>
      </vt:variant>
      <vt:variant>
        <vt:lpwstr>_Toc40415416</vt:lpwstr>
      </vt:variant>
      <vt:variant>
        <vt:i4>1507380</vt:i4>
      </vt:variant>
      <vt:variant>
        <vt:i4>56</vt:i4>
      </vt:variant>
      <vt:variant>
        <vt:i4>0</vt:i4>
      </vt:variant>
      <vt:variant>
        <vt:i4>5</vt:i4>
      </vt:variant>
      <vt:variant>
        <vt:lpwstr/>
      </vt:variant>
      <vt:variant>
        <vt:lpwstr>_Toc40415415</vt:lpwstr>
      </vt:variant>
      <vt:variant>
        <vt:i4>1441844</vt:i4>
      </vt:variant>
      <vt:variant>
        <vt:i4>50</vt:i4>
      </vt:variant>
      <vt:variant>
        <vt:i4>0</vt:i4>
      </vt:variant>
      <vt:variant>
        <vt:i4>5</vt:i4>
      </vt:variant>
      <vt:variant>
        <vt:lpwstr/>
      </vt:variant>
      <vt:variant>
        <vt:lpwstr>_Toc40415414</vt:lpwstr>
      </vt:variant>
      <vt:variant>
        <vt:i4>1114164</vt:i4>
      </vt:variant>
      <vt:variant>
        <vt:i4>44</vt:i4>
      </vt:variant>
      <vt:variant>
        <vt:i4>0</vt:i4>
      </vt:variant>
      <vt:variant>
        <vt:i4>5</vt:i4>
      </vt:variant>
      <vt:variant>
        <vt:lpwstr/>
      </vt:variant>
      <vt:variant>
        <vt:lpwstr>_Toc40415413</vt:lpwstr>
      </vt:variant>
      <vt:variant>
        <vt:i4>1048628</vt:i4>
      </vt:variant>
      <vt:variant>
        <vt:i4>38</vt:i4>
      </vt:variant>
      <vt:variant>
        <vt:i4>0</vt:i4>
      </vt:variant>
      <vt:variant>
        <vt:i4>5</vt:i4>
      </vt:variant>
      <vt:variant>
        <vt:lpwstr/>
      </vt:variant>
      <vt:variant>
        <vt:lpwstr>_Toc40415412</vt:lpwstr>
      </vt:variant>
      <vt:variant>
        <vt:i4>1245236</vt:i4>
      </vt:variant>
      <vt:variant>
        <vt:i4>32</vt:i4>
      </vt:variant>
      <vt:variant>
        <vt:i4>0</vt:i4>
      </vt:variant>
      <vt:variant>
        <vt:i4>5</vt:i4>
      </vt:variant>
      <vt:variant>
        <vt:lpwstr/>
      </vt:variant>
      <vt:variant>
        <vt:lpwstr>_Toc40415411</vt:lpwstr>
      </vt:variant>
      <vt:variant>
        <vt:i4>1179700</vt:i4>
      </vt:variant>
      <vt:variant>
        <vt:i4>26</vt:i4>
      </vt:variant>
      <vt:variant>
        <vt:i4>0</vt:i4>
      </vt:variant>
      <vt:variant>
        <vt:i4>5</vt:i4>
      </vt:variant>
      <vt:variant>
        <vt:lpwstr/>
      </vt:variant>
      <vt:variant>
        <vt:lpwstr>_Toc40415410</vt:lpwstr>
      </vt:variant>
      <vt:variant>
        <vt:i4>1769525</vt:i4>
      </vt:variant>
      <vt:variant>
        <vt:i4>20</vt:i4>
      </vt:variant>
      <vt:variant>
        <vt:i4>0</vt:i4>
      </vt:variant>
      <vt:variant>
        <vt:i4>5</vt:i4>
      </vt:variant>
      <vt:variant>
        <vt:lpwstr/>
      </vt:variant>
      <vt:variant>
        <vt:lpwstr>_Toc40415409</vt:lpwstr>
      </vt:variant>
      <vt:variant>
        <vt:i4>1703989</vt:i4>
      </vt:variant>
      <vt:variant>
        <vt:i4>14</vt:i4>
      </vt:variant>
      <vt:variant>
        <vt:i4>0</vt:i4>
      </vt:variant>
      <vt:variant>
        <vt:i4>5</vt:i4>
      </vt:variant>
      <vt:variant>
        <vt:lpwstr/>
      </vt:variant>
      <vt:variant>
        <vt:lpwstr>_Toc40415408</vt:lpwstr>
      </vt:variant>
      <vt:variant>
        <vt:i4>1376309</vt:i4>
      </vt:variant>
      <vt:variant>
        <vt:i4>8</vt:i4>
      </vt:variant>
      <vt:variant>
        <vt:i4>0</vt:i4>
      </vt:variant>
      <vt:variant>
        <vt:i4>5</vt:i4>
      </vt:variant>
      <vt:variant>
        <vt:lpwstr/>
      </vt:variant>
      <vt:variant>
        <vt:lpwstr>_Toc40415407</vt:lpwstr>
      </vt:variant>
      <vt:variant>
        <vt:i4>1310773</vt:i4>
      </vt:variant>
      <vt:variant>
        <vt:i4>2</vt:i4>
      </vt:variant>
      <vt:variant>
        <vt:i4>0</vt:i4>
      </vt:variant>
      <vt:variant>
        <vt:i4>5</vt:i4>
      </vt:variant>
      <vt:variant>
        <vt:lpwstr/>
      </vt:variant>
      <vt:variant>
        <vt:lpwstr>_Toc40415406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Steinberg, Shari (CDC/DDPHSS/OS/OSI)</cp:lastModifiedBy>
  <cp:revision>2</cp:revision>
  <cp:lastPrinted>2020-01-02T14:48:00Z</cp:lastPrinted>
  <dcterms:created xsi:type="dcterms:W3CDTF">2021-02-08T16:35:00Z</dcterms:created>
  <dcterms:modified xsi:type="dcterms:W3CDTF">2021-02-08T16:35:00Z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2020-12-21T20:27:41Z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ce4dfdad-a1c0-45ff-a447-db1240a6a7e0</vt:lpwstr>
  </property>
  <property fmtid="{D5CDD505-2E9C-101B-9397-08002B2CF9AE}" pid="9" name="MSIP_Label_7b94a7b8-f06c-4dfe-bdcc-9b548fd58c31_ContentBits">
    <vt:lpwstr>0</vt:lpwstr>
  </property>
</Properties>
</file>