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39D0" w:rsidR="00E31202" w:rsidP="000239D0" w:rsidRDefault="00E31202" w14:paraId="22D2CD8D" w14:textId="77777777">
      <w:pPr>
        <w:pStyle w:val="Heading2"/>
        <w:rPr>
          <w:b/>
          <w:bCs/>
        </w:rPr>
      </w:pPr>
      <w:bookmarkStart w:name="_GoBack" w:id="0"/>
      <w:bookmarkEnd w:id="0"/>
      <w:r w:rsidRPr="000239D0">
        <w:rPr>
          <w:b/>
          <w:bCs/>
        </w:rPr>
        <w:t>S</w:t>
      </w:r>
      <w:r w:rsidRPr="000239D0" w:rsidR="00A03880">
        <w:rPr>
          <w:b/>
          <w:bCs/>
        </w:rPr>
        <w:t>upporting Statement for Form HA-520</w:t>
      </w:r>
    </w:p>
    <w:p w:rsidRPr="000239D0" w:rsidR="00173017" w:rsidP="000239D0" w:rsidRDefault="009356E5" w14:paraId="22D2CD8E" w14:textId="77777777">
      <w:pPr>
        <w:pStyle w:val="Heading5"/>
        <w:rPr>
          <w:sz w:val="24"/>
          <w:szCs w:val="24"/>
        </w:rPr>
      </w:pPr>
      <w:r w:rsidRPr="000239D0">
        <w:rPr>
          <w:sz w:val="24"/>
          <w:szCs w:val="24"/>
        </w:rPr>
        <w:t>R</w:t>
      </w:r>
      <w:r w:rsidRPr="000239D0" w:rsidR="00A03880">
        <w:rPr>
          <w:sz w:val="24"/>
          <w:szCs w:val="24"/>
        </w:rPr>
        <w:t>equest for Review of Hearing Decision/Order</w:t>
      </w:r>
    </w:p>
    <w:p w:rsidRPr="000239D0" w:rsidR="00E31202" w:rsidP="000239D0" w:rsidRDefault="00173017" w14:paraId="22D2CD8F" w14:textId="581F332F">
      <w:pPr>
        <w:jc w:val="center"/>
        <w:rPr>
          <w:b/>
          <w:sz w:val="24"/>
          <w:szCs w:val="24"/>
        </w:rPr>
      </w:pPr>
      <w:r w:rsidRPr="000239D0">
        <w:rPr>
          <w:b/>
          <w:sz w:val="24"/>
          <w:szCs w:val="24"/>
        </w:rPr>
        <w:t>20 CFR 404.967-</w:t>
      </w:r>
      <w:r w:rsidRPr="000239D0" w:rsidR="00A03880">
        <w:rPr>
          <w:b/>
          <w:sz w:val="24"/>
          <w:szCs w:val="24"/>
        </w:rPr>
        <w:t>404</w:t>
      </w:r>
      <w:r w:rsidRPr="000239D0">
        <w:rPr>
          <w:b/>
          <w:sz w:val="24"/>
          <w:szCs w:val="24"/>
        </w:rPr>
        <w:t>.981, 20 CFR 416.1467-</w:t>
      </w:r>
      <w:r w:rsidRPr="000239D0" w:rsidR="00A03880">
        <w:rPr>
          <w:b/>
          <w:sz w:val="24"/>
          <w:szCs w:val="24"/>
        </w:rPr>
        <w:t>416</w:t>
      </w:r>
      <w:r w:rsidRPr="000239D0">
        <w:rPr>
          <w:b/>
          <w:sz w:val="24"/>
          <w:szCs w:val="24"/>
        </w:rPr>
        <w:t>.1481</w:t>
      </w:r>
    </w:p>
    <w:p w:rsidRPr="000239D0" w:rsidR="00E31202" w:rsidP="000239D0" w:rsidRDefault="00E31202" w14:paraId="22D2CD90" w14:textId="77777777">
      <w:pPr>
        <w:pStyle w:val="EndnoteText"/>
        <w:jc w:val="center"/>
        <w:rPr>
          <w:rFonts w:ascii="Times New Roman" w:hAnsi="Times New Roman"/>
          <w:bCs/>
        </w:rPr>
      </w:pPr>
      <w:r w:rsidRPr="000239D0">
        <w:rPr>
          <w:rFonts w:ascii="Times New Roman" w:hAnsi="Times New Roman"/>
          <w:b/>
          <w:bCs/>
        </w:rPr>
        <w:t>OMB 0960-0277</w:t>
      </w:r>
    </w:p>
    <w:p w:rsidRPr="000239D0" w:rsidR="00E31202" w:rsidP="000239D0" w:rsidRDefault="00D40D1E" w14:paraId="22D2CD91" w14:textId="1B164B44">
      <w:pPr>
        <w:rPr>
          <w:bCs/>
          <w:sz w:val="24"/>
          <w:szCs w:val="24"/>
        </w:rPr>
      </w:pPr>
      <w:r w:rsidRPr="000239D0">
        <w:rPr>
          <w:bCs/>
          <w:sz w:val="24"/>
          <w:szCs w:val="24"/>
        </w:rPr>
        <w:t xml:space="preserve">                                                                                          </w:t>
      </w:r>
    </w:p>
    <w:p w:rsidRPr="000239D0" w:rsidR="00C82862" w:rsidP="007F7C33" w:rsidRDefault="00C82862" w14:paraId="7B078CAE" w14:textId="0DBACB96">
      <w:pPr>
        <w:pStyle w:val="Heading3"/>
        <w:numPr>
          <w:ilvl w:val="0"/>
          <w:numId w:val="23"/>
        </w:numPr>
        <w:ind w:hanging="540"/>
        <w:rPr>
          <w:b/>
        </w:rPr>
      </w:pPr>
      <w:r w:rsidRPr="000239D0">
        <w:rPr>
          <w:b/>
        </w:rPr>
        <w:t>Justification</w:t>
      </w:r>
    </w:p>
    <w:p w:rsidRPr="000239D0" w:rsidR="00C82862" w:rsidP="000239D0" w:rsidRDefault="00C82862" w14:paraId="10ED76E8" w14:textId="77777777">
      <w:pPr>
        <w:rPr>
          <w:sz w:val="24"/>
          <w:szCs w:val="24"/>
        </w:rPr>
      </w:pPr>
    </w:p>
    <w:p w:rsidRPr="000239D0" w:rsidR="00C82862" w:rsidP="007F7C33" w:rsidRDefault="00C82862" w14:paraId="522102D9" w14:textId="69788CCB">
      <w:pPr>
        <w:pStyle w:val="ListParagraph"/>
        <w:numPr>
          <w:ilvl w:val="0"/>
          <w:numId w:val="24"/>
        </w:numPr>
        <w:spacing w:after="0"/>
        <w:ind w:left="1440" w:hanging="720"/>
        <w:rPr>
          <w:rFonts w:ascii="Times New Roman" w:hAnsi="Times New Roman"/>
          <w:sz w:val="24"/>
          <w:szCs w:val="24"/>
        </w:rPr>
      </w:pPr>
      <w:r w:rsidRPr="000239D0">
        <w:rPr>
          <w:rFonts w:ascii="Times New Roman" w:hAnsi="Times New Roman"/>
          <w:b/>
          <w:bCs/>
          <w:sz w:val="24"/>
          <w:szCs w:val="24"/>
        </w:rPr>
        <w:t>Introduction/Authorizing Laws and Regulations</w:t>
      </w:r>
    </w:p>
    <w:p w:rsidRPr="000239D0" w:rsidR="00C82862" w:rsidP="0012438E" w:rsidRDefault="00C82862" w14:paraId="440BF70F" w14:textId="57D4D0FD">
      <w:pPr>
        <w:pStyle w:val="ListParagraph"/>
        <w:spacing w:after="0"/>
        <w:ind w:left="1440"/>
        <w:rPr>
          <w:rFonts w:ascii="Times New Roman" w:hAnsi="Times New Roman"/>
          <w:bCs/>
          <w:sz w:val="24"/>
          <w:szCs w:val="24"/>
        </w:rPr>
      </w:pPr>
      <w:r w:rsidRPr="000239D0">
        <w:rPr>
          <w:rFonts w:ascii="Times New Roman" w:hAnsi="Times New Roman"/>
          <w:bCs/>
          <w:sz w:val="24"/>
          <w:szCs w:val="24"/>
        </w:rPr>
        <w:t xml:space="preserve">Section </w:t>
      </w:r>
      <w:r w:rsidRPr="000239D0">
        <w:rPr>
          <w:rFonts w:ascii="Times New Roman" w:hAnsi="Times New Roman"/>
          <w:bCs/>
          <w:i/>
          <w:sz w:val="24"/>
          <w:szCs w:val="24"/>
        </w:rPr>
        <w:t>205(a)</w:t>
      </w:r>
      <w:r w:rsidRPr="000239D0">
        <w:rPr>
          <w:rFonts w:ascii="Times New Roman" w:hAnsi="Times New Roman"/>
          <w:bCs/>
          <w:sz w:val="24"/>
          <w:szCs w:val="24"/>
        </w:rPr>
        <w:t xml:space="preserve"> of the </w:t>
      </w:r>
      <w:r w:rsidR="0012438E">
        <w:rPr>
          <w:rFonts w:ascii="Times New Roman" w:hAnsi="Times New Roman"/>
          <w:bCs/>
          <w:i/>
          <w:sz w:val="24"/>
          <w:szCs w:val="24"/>
        </w:rPr>
        <w:t xml:space="preserve">Social Security </w:t>
      </w:r>
      <w:r w:rsidRPr="0012438E" w:rsidR="0012438E">
        <w:rPr>
          <w:rFonts w:ascii="Times New Roman" w:hAnsi="Times New Roman"/>
          <w:bCs/>
          <w:i/>
          <w:sz w:val="24"/>
          <w:szCs w:val="24"/>
        </w:rPr>
        <w:t>Act (Act)</w:t>
      </w:r>
      <w:r w:rsidRPr="000239D0">
        <w:rPr>
          <w:rFonts w:ascii="Times New Roman" w:hAnsi="Times New Roman"/>
          <w:bCs/>
          <w:sz w:val="24"/>
          <w:szCs w:val="24"/>
        </w:rPr>
        <w:t xml:space="preserve"> authorizes the Commissioner to make rules necessary to implement Social Security programs.  Section </w:t>
      </w:r>
      <w:r w:rsidRPr="000239D0">
        <w:rPr>
          <w:rFonts w:ascii="Times New Roman" w:hAnsi="Times New Roman"/>
          <w:bCs/>
          <w:i/>
          <w:sz w:val="24"/>
          <w:szCs w:val="24"/>
        </w:rPr>
        <w:t>1631(d)(1)</w:t>
      </w:r>
      <w:r w:rsidRPr="000239D0">
        <w:rPr>
          <w:rFonts w:ascii="Times New Roman" w:hAnsi="Times New Roman"/>
          <w:bCs/>
          <w:sz w:val="24"/>
          <w:szCs w:val="24"/>
        </w:rPr>
        <w:t xml:space="preserve"> of the </w:t>
      </w:r>
      <w:r w:rsidRPr="000239D0">
        <w:rPr>
          <w:rFonts w:ascii="Times New Roman" w:hAnsi="Times New Roman"/>
          <w:bCs/>
          <w:i/>
          <w:sz w:val="24"/>
          <w:szCs w:val="24"/>
        </w:rPr>
        <w:t xml:space="preserve">Act </w:t>
      </w:r>
      <w:r w:rsidRPr="000239D0">
        <w:rPr>
          <w:rFonts w:ascii="Times New Roman" w:hAnsi="Times New Roman"/>
          <w:bCs/>
          <w:sz w:val="24"/>
          <w:szCs w:val="24"/>
        </w:rPr>
        <w:t xml:space="preserve">incorporates Section </w:t>
      </w:r>
      <w:r w:rsidRPr="000239D0">
        <w:rPr>
          <w:rFonts w:ascii="Times New Roman" w:hAnsi="Times New Roman"/>
          <w:bCs/>
          <w:i/>
          <w:sz w:val="24"/>
          <w:szCs w:val="24"/>
        </w:rPr>
        <w:t>205(a)</w:t>
      </w:r>
      <w:r w:rsidRPr="000239D0">
        <w:rPr>
          <w:rFonts w:ascii="Times New Roman" w:hAnsi="Times New Roman"/>
          <w:bCs/>
          <w:sz w:val="24"/>
          <w:szCs w:val="24"/>
        </w:rPr>
        <w:t xml:space="preserve"> and applies it to Title XVI of the </w:t>
      </w:r>
      <w:r w:rsidRPr="000239D0">
        <w:rPr>
          <w:rFonts w:ascii="Times New Roman" w:hAnsi="Times New Roman"/>
          <w:bCs/>
          <w:i/>
          <w:sz w:val="24"/>
          <w:szCs w:val="24"/>
        </w:rPr>
        <w:t>Act.</w:t>
      </w:r>
      <w:r w:rsidRPr="000239D0">
        <w:rPr>
          <w:rFonts w:ascii="Times New Roman" w:hAnsi="Times New Roman"/>
          <w:bCs/>
          <w:sz w:val="24"/>
          <w:szCs w:val="24"/>
        </w:rPr>
        <w:t xml:space="preserve">  The Commissioner published regulations at </w:t>
      </w:r>
      <w:r w:rsidRPr="000239D0">
        <w:rPr>
          <w:rFonts w:ascii="Times New Roman" w:hAnsi="Times New Roman"/>
          <w:bCs/>
          <w:i/>
          <w:sz w:val="24"/>
          <w:szCs w:val="24"/>
        </w:rPr>
        <w:t>20 CFR 404.967-404.981</w:t>
      </w:r>
      <w:r w:rsidRPr="000239D0">
        <w:rPr>
          <w:rFonts w:ascii="Times New Roman" w:hAnsi="Times New Roman"/>
          <w:bCs/>
          <w:sz w:val="24"/>
          <w:szCs w:val="24"/>
        </w:rPr>
        <w:t xml:space="preserve"> and </w:t>
      </w:r>
      <w:r w:rsidRPr="000239D0">
        <w:rPr>
          <w:rFonts w:ascii="Times New Roman" w:hAnsi="Times New Roman"/>
          <w:bCs/>
          <w:i/>
          <w:sz w:val="24"/>
          <w:szCs w:val="24"/>
        </w:rPr>
        <w:t>20 CFR 416.1467-416.1481</w:t>
      </w:r>
      <w:r w:rsidRPr="000239D0">
        <w:rPr>
          <w:rFonts w:ascii="Times New Roman" w:hAnsi="Times New Roman"/>
          <w:bCs/>
          <w:sz w:val="24"/>
          <w:szCs w:val="24"/>
        </w:rPr>
        <w:t xml:space="preserve"> of the </w:t>
      </w:r>
      <w:r w:rsidRPr="000239D0">
        <w:rPr>
          <w:rFonts w:ascii="Times New Roman" w:hAnsi="Times New Roman"/>
          <w:bCs/>
          <w:i/>
          <w:sz w:val="24"/>
          <w:szCs w:val="24"/>
        </w:rPr>
        <w:t>Code of Federal Regulations</w:t>
      </w:r>
      <w:r w:rsidRPr="000239D0">
        <w:rPr>
          <w:rFonts w:ascii="Times New Roman" w:hAnsi="Times New Roman"/>
          <w:bCs/>
          <w:sz w:val="24"/>
          <w:szCs w:val="24"/>
        </w:rPr>
        <w:t xml:space="preserve">, creating an Appeals Council review process.  Additionally, The </w:t>
      </w:r>
      <w:r w:rsidRPr="00186773">
        <w:rPr>
          <w:rFonts w:ascii="Times New Roman" w:hAnsi="Times New Roman"/>
          <w:bCs/>
          <w:i/>
          <w:sz w:val="24"/>
          <w:szCs w:val="24"/>
        </w:rPr>
        <w:t>Foster Care Independence Act of 1999</w:t>
      </w:r>
      <w:r w:rsidRPr="000239D0">
        <w:rPr>
          <w:rFonts w:ascii="Times New Roman" w:hAnsi="Times New Roman"/>
          <w:bCs/>
          <w:sz w:val="24"/>
          <w:szCs w:val="24"/>
        </w:rPr>
        <w:t xml:space="preserve">, section </w:t>
      </w:r>
      <w:r w:rsidRPr="000239D0">
        <w:rPr>
          <w:rFonts w:ascii="Times New Roman" w:hAnsi="Times New Roman"/>
          <w:bCs/>
          <w:i/>
          <w:sz w:val="24"/>
          <w:szCs w:val="24"/>
        </w:rPr>
        <w:t>251</w:t>
      </w:r>
      <w:r w:rsidRPr="000239D0">
        <w:rPr>
          <w:rFonts w:ascii="Times New Roman" w:hAnsi="Times New Roman"/>
          <w:bCs/>
          <w:sz w:val="24"/>
          <w:szCs w:val="24"/>
        </w:rPr>
        <w:t xml:space="preserve"> of </w:t>
      </w:r>
      <w:r w:rsidRPr="000239D0">
        <w:rPr>
          <w:rFonts w:ascii="Times New Roman" w:hAnsi="Times New Roman"/>
          <w:bCs/>
          <w:i/>
          <w:sz w:val="24"/>
          <w:szCs w:val="24"/>
        </w:rPr>
        <w:t>Public Law (Pub.L.)</w:t>
      </w:r>
      <w:r w:rsidRPr="000239D0">
        <w:rPr>
          <w:rFonts w:ascii="Times New Roman" w:hAnsi="Times New Roman"/>
          <w:bCs/>
          <w:sz w:val="24"/>
          <w:szCs w:val="24"/>
        </w:rPr>
        <w:t xml:space="preserve"> </w:t>
      </w:r>
      <w:r w:rsidRPr="000239D0">
        <w:rPr>
          <w:rFonts w:ascii="Times New Roman" w:hAnsi="Times New Roman"/>
          <w:bCs/>
          <w:i/>
          <w:sz w:val="24"/>
          <w:szCs w:val="24"/>
        </w:rPr>
        <w:t>106-16,</w:t>
      </w:r>
      <w:r w:rsidRPr="000239D0">
        <w:rPr>
          <w:rFonts w:ascii="Times New Roman" w:hAnsi="Times New Roman"/>
          <w:bCs/>
          <w:sz w:val="24"/>
          <w:szCs w:val="24"/>
        </w:rPr>
        <w:t xml:space="preserve"> established a new Title VIII of the </w:t>
      </w:r>
      <w:r w:rsidRPr="000239D0">
        <w:rPr>
          <w:rFonts w:ascii="Times New Roman" w:hAnsi="Times New Roman"/>
          <w:bCs/>
          <w:i/>
          <w:sz w:val="24"/>
          <w:szCs w:val="24"/>
        </w:rPr>
        <w:t xml:space="preserve">Act </w:t>
      </w:r>
      <w:r w:rsidRPr="000239D0">
        <w:rPr>
          <w:rFonts w:ascii="Times New Roman" w:hAnsi="Times New Roman"/>
          <w:bCs/>
          <w:sz w:val="24"/>
          <w:szCs w:val="24"/>
        </w:rPr>
        <w:t xml:space="preserve">for providing special cash benefits to certain World War II veterans.  Section </w:t>
      </w:r>
      <w:r w:rsidRPr="000239D0">
        <w:rPr>
          <w:rFonts w:ascii="Times New Roman" w:hAnsi="Times New Roman"/>
          <w:bCs/>
          <w:i/>
          <w:sz w:val="24"/>
          <w:szCs w:val="24"/>
        </w:rPr>
        <w:t>809</w:t>
      </w:r>
      <w:r w:rsidRPr="000239D0">
        <w:rPr>
          <w:rFonts w:ascii="Times New Roman" w:hAnsi="Times New Roman"/>
          <w:bCs/>
          <w:sz w:val="24"/>
          <w:szCs w:val="24"/>
        </w:rPr>
        <w:t xml:space="preserve"> of </w:t>
      </w:r>
      <w:r w:rsidRPr="000239D0">
        <w:rPr>
          <w:rFonts w:ascii="Times New Roman" w:hAnsi="Times New Roman"/>
          <w:bCs/>
          <w:i/>
          <w:sz w:val="24"/>
          <w:szCs w:val="24"/>
        </w:rPr>
        <w:t>Pub.L.</w:t>
      </w:r>
      <w:r w:rsidRPr="000239D0">
        <w:rPr>
          <w:rFonts w:ascii="Times New Roman" w:hAnsi="Times New Roman"/>
          <w:bCs/>
          <w:sz w:val="24"/>
          <w:szCs w:val="24"/>
        </w:rPr>
        <w:t xml:space="preserve"> </w:t>
      </w:r>
      <w:r w:rsidRPr="000239D0">
        <w:rPr>
          <w:rFonts w:ascii="Times New Roman" w:hAnsi="Times New Roman"/>
          <w:bCs/>
          <w:i/>
          <w:sz w:val="24"/>
          <w:szCs w:val="24"/>
        </w:rPr>
        <w:t>106-169</w:t>
      </w:r>
      <w:r w:rsidRPr="000239D0">
        <w:rPr>
          <w:rFonts w:ascii="Times New Roman" w:hAnsi="Times New Roman"/>
          <w:bCs/>
          <w:sz w:val="24"/>
          <w:szCs w:val="24"/>
        </w:rPr>
        <w:t xml:space="preserve"> establishes hearing and review rights, and the procedural protocol to administer this program.  The Commissioner published regulatory guidance for this program at </w:t>
      </w:r>
      <w:r w:rsidRPr="000239D0">
        <w:rPr>
          <w:rFonts w:ascii="Times New Roman" w:hAnsi="Times New Roman"/>
          <w:bCs/>
          <w:i/>
          <w:sz w:val="24"/>
          <w:szCs w:val="24"/>
        </w:rPr>
        <w:t>20 CFR 408.1050</w:t>
      </w:r>
      <w:r w:rsidRPr="000239D0">
        <w:rPr>
          <w:rFonts w:ascii="Times New Roman" w:hAnsi="Times New Roman"/>
          <w:bCs/>
          <w:sz w:val="24"/>
          <w:szCs w:val="24"/>
        </w:rPr>
        <w:t>.  Form HA-520, Request for Review of Hearing Decision/Order, provides a means for individuals to request a review by the Appeals Council of an administrative law judge’s (ALJ) hearing decision</w:t>
      </w:r>
      <w:r w:rsidR="00186773">
        <w:rPr>
          <w:rFonts w:ascii="Times New Roman" w:hAnsi="Times New Roman"/>
          <w:bCs/>
          <w:sz w:val="24"/>
          <w:szCs w:val="24"/>
        </w:rPr>
        <w:t>,</w:t>
      </w:r>
      <w:r w:rsidRPr="000239D0">
        <w:rPr>
          <w:rFonts w:ascii="Times New Roman" w:hAnsi="Times New Roman"/>
          <w:bCs/>
          <w:sz w:val="24"/>
          <w:szCs w:val="24"/>
        </w:rPr>
        <w:t xml:space="preserve"> or dismissal of a hearing request.  The form also discloses who must file a written request and provide specific information to the Social Security Administration (SSA) as cited above.</w:t>
      </w:r>
    </w:p>
    <w:p w:rsidRPr="000239D0" w:rsidR="00C82862" w:rsidP="007F7C33" w:rsidRDefault="00C82862" w14:paraId="0A68EC44" w14:textId="77777777">
      <w:pPr>
        <w:pStyle w:val="ListParagraph"/>
        <w:spacing w:after="0"/>
        <w:ind w:left="1440"/>
        <w:rPr>
          <w:rFonts w:ascii="Times New Roman" w:hAnsi="Times New Roman"/>
          <w:sz w:val="24"/>
          <w:szCs w:val="24"/>
        </w:rPr>
      </w:pPr>
    </w:p>
    <w:p w:rsidRPr="000239D0" w:rsidR="00C82862" w:rsidP="007F7C33" w:rsidRDefault="00C82862" w14:paraId="50BE2A5A" w14:textId="1F564F8B">
      <w:pPr>
        <w:pStyle w:val="ListParagraph"/>
        <w:numPr>
          <w:ilvl w:val="0"/>
          <w:numId w:val="24"/>
        </w:numPr>
        <w:spacing w:after="0"/>
        <w:ind w:left="1440" w:hanging="720"/>
        <w:rPr>
          <w:rFonts w:ascii="Times New Roman" w:hAnsi="Times New Roman"/>
          <w:sz w:val="24"/>
          <w:szCs w:val="24"/>
        </w:rPr>
      </w:pPr>
      <w:r w:rsidRPr="000239D0">
        <w:rPr>
          <w:rFonts w:ascii="Times New Roman" w:hAnsi="Times New Roman"/>
          <w:b/>
          <w:bCs/>
          <w:sz w:val="24"/>
          <w:szCs w:val="24"/>
        </w:rPr>
        <w:t>Description of Collection</w:t>
      </w:r>
    </w:p>
    <w:p w:rsidRPr="000239D0" w:rsidR="00C82862" w:rsidP="007F7C33" w:rsidRDefault="00C82862" w14:paraId="51D9E3BD" w14:textId="4413ACA4">
      <w:pPr>
        <w:pStyle w:val="ListParagraph"/>
        <w:spacing w:after="0"/>
        <w:ind w:left="1440"/>
        <w:rPr>
          <w:rFonts w:ascii="Times New Roman" w:hAnsi="Times New Roman"/>
          <w:sz w:val="24"/>
          <w:szCs w:val="24"/>
        </w:rPr>
      </w:pPr>
      <w:r w:rsidRPr="000239D0">
        <w:rPr>
          <w:rFonts w:ascii="Times New Roman" w:hAnsi="Times New Roman"/>
          <w:sz w:val="24"/>
          <w:szCs w:val="24"/>
        </w:rPr>
        <w:t xml:space="preserve">Claimants have a statutory right under the </w:t>
      </w:r>
      <w:r w:rsidRPr="000239D0">
        <w:rPr>
          <w:rFonts w:ascii="Times New Roman" w:hAnsi="Times New Roman"/>
          <w:i/>
          <w:sz w:val="24"/>
          <w:szCs w:val="24"/>
        </w:rPr>
        <w:t>Act</w:t>
      </w:r>
      <w:r w:rsidRPr="000239D0">
        <w:rPr>
          <w:rFonts w:ascii="Times New Roman" w:hAnsi="Times New Roman"/>
          <w:sz w:val="24"/>
          <w:szCs w:val="24"/>
        </w:rPr>
        <w:t xml:space="preserve"> and current regulations to request review of an ALJ’s hearing decision</w:t>
      </w:r>
      <w:r w:rsidR="00186773">
        <w:rPr>
          <w:rFonts w:ascii="Times New Roman" w:hAnsi="Times New Roman"/>
          <w:sz w:val="24"/>
          <w:szCs w:val="24"/>
        </w:rPr>
        <w:t>,</w:t>
      </w:r>
      <w:r w:rsidRPr="000239D0">
        <w:rPr>
          <w:rFonts w:ascii="Times New Roman" w:hAnsi="Times New Roman"/>
          <w:sz w:val="24"/>
          <w:szCs w:val="24"/>
        </w:rPr>
        <w:t xml:space="preserve"> or dismissal of a hearing request on Title II and Title XVI claims.  Claimants may request Appeals Council review by filing a written request using Form HA-520</w:t>
      </w:r>
      <w:r w:rsidR="00121275">
        <w:rPr>
          <w:rFonts w:ascii="Times New Roman" w:hAnsi="Times New Roman"/>
          <w:sz w:val="24"/>
          <w:szCs w:val="24"/>
        </w:rPr>
        <w:t>,</w:t>
      </w:r>
      <w:r w:rsidRPr="000239D0">
        <w:rPr>
          <w:rFonts w:ascii="Times New Roman" w:hAnsi="Times New Roman"/>
          <w:sz w:val="24"/>
          <w:szCs w:val="24"/>
        </w:rPr>
        <w:t xml:space="preserve"> or the Internet</w:t>
      </w:r>
      <w:r w:rsidR="00121275">
        <w:rPr>
          <w:rFonts w:ascii="Times New Roman" w:hAnsi="Times New Roman"/>
          <w:sz w:val="24"/>
          <w:szCs w:val="24"/>
        </w:rPr>
        <w:t xml:space="preserve"> version of Form HA-520, </w:t>
      </w:r>
      <w:r w:rsidR="003E36DD">
        <w:rPr>
          <w:rFonts w:ascii="Times New Roman" w:hAnsi="Times New Roman"/>
          <w:sz w:val="24"/>
          <w:szCs w:val="24"/>
        </w:rPr>
        <w:t xml:space="preserve">the </w:t>
      </w:r>
      <w:r w:rsidRPr="000239D0">
        <w:rPr>
          <w:rFonts w:ascii="Times New Roman" w:hAnsi="Times New Roman"/>
          <w:sz w:val="24"/>
          <w:szCs w:val="24"/>
        </w:rPr>
        <w:t>i520.  SSA uses the information to establish the claimant filed the request for review within the prescribed time, and to ensure the claimant completed the requisite steps permitting the Appeals Council review.  The Appeals Council</w:t>
      </w:r>
      <w:r w:rsidR="00186773">
        <w:rPr>
          <w:rFonts w:ascii="Times New Roman" w:hAnsi="Times New Roman"/>
          <w:sz w:val="24"/>
          <w:szCs w:val="24"/>
        </w:rPr>
        <w:t xml:space="preserve"> uses the information to:  (1) d</w:t>
      </w:r>
      <w:r w:rsidRPr="000239D0">
        <w:rPr>
          <w:rFonts w:ascii="Times New Roman" w:hAnsi="Times New Roman"/>
          <w:sz w:val="24"/>
          <w:szCs w:val="24"/>
        </w:rPr>
        <w:t>ocument the claimant’s reason(s) for disagreeing with the ALJ’s decision or dismissal; (2) determine whether the claimant has additional evidence to submit; and (3) determine whether the claimant has a representative or wants to appoint one.  The respondents are claimants requesting review of an ALJ’s decision or dismissal of hearing.</w:t>
      </w:r>
    </w:p>
    <w:p w:rsidRPr="00186773" w:rsidR="00121275" w:rsidP="00186773" w:rsidRDefault="00121275" w14:paraId="2540A82E" w14:textId="3DD6F847">
      <w:pPr>
        <w:rPr>
          <w:sz w:val="24"/>
          <w:szCs w:val="24"/>
        </w:rPr>
      </w:pPr>
    </w:p>
    <w:p w:rsidRPr="000239D0" w:rsidR="00C82862" w:rsidP="007F7C33" w:rsidRDefault="00C82862" w14:paraId="4D363C18" w14:textId="6DAE4907">
      <w:pPr>
        <w:pStyle w:val="ListParagraph"/>
        <w:numPr>
          <w:ilvl w:val="0"/>
          <w:numId w:val="24"/>
        </w:numPr>
        <w:spacing w:after="0"/>
        <w:ind w:left="1440" w:hanging="720"/>
        <w:rPr>
          <w:rFonts w:ascii="Times New Roman" w:hAnsi="Times New Roman"/>
          <w:sz w:val="24"/>
          <w:szCs w:val="24"/>
        </w:rPr>
      </w:pPr>
      <w:r w:rsidRPr="000239D0">
        <w:rPr>
          <w:rFonts w:ascii="Times New Roman" w:hAnsi="Times New Roman"/>
          <w:b/>
          <w:bCs/>
          <w:sz w:val="24"/>
          <w:szCs w:val="24"/>
        </w:rPr>
        <w:t>Use of Information Technology to Collect the Information</w:t>
      </w:r>
    </w:p>
    <w:p w:rsidRPr="000239D0" w:rsidR="00C82862" w:rsidP="007F7C33" w:rsidRDefault="00CE65C8" w14:paraId="312EE66B" w14:textId="23FBD0E3">
      <w:pPr>
        <w:pStyle w:val="ListParagraph"/>
        <w:spacing w:after="0"/>
        <w:ind w:left="1440"/>
        <w:rPr>
          <w:rFonts w:ascii="Times New Roman" w:hAnsi="Times New Roman"/>
          <w:sz w:val="24"/>
          <w:szCs w:val="24"/>
        </w:rPr>
      </w:pPr>
      <w:r w:rsidRPr="00CE65C8">
        <w:rPr>
          <w:rFonts w:ascii="Times New Roman" w:hAnsi="Times New Roman" w:eastAsia="Times New Roman"/>
          <w:noProof/>
          <w:snapToGrid w:val="0"/>
          <w:sz w:val="24"/>
          <w:szCs w:val="24"/>
        </w:rPr>
        <w:t xml:space="preserve">In accordance with the agency’s Government </w:t>
      </w:r>
      <w:r w:rsidR="00186773">
        <w:rPr>
          <w:rFonts w:ascii="Times New Roman" w:hAnsi="Times New Roman" w:eastAsia="Times New Roman"/>
          <w:noProof/>
          <w:snapToGrid w:val="0"/>
          <w:sz w:val="24"/>
          <w:szCs w:val="24"/>
        </w:rPr>
        <w:t>Paperwork Elimination Act</w:t>
      </w:r>
      <w:r w:rsidRPr="00CE65C8">
        <w:rPr>
          <w:rFonts w:ascii="Times New Roman" w:hAnsi="Times New Roman" w:eastAsia="Times New Roman"/>
          <w:noProof/>
          <w:snapToGrid w:val="0"/>
          <w:sz w:val="24"/>
          <w:szCs w:val="24"/>
        </w:rPr>
        <w:t xml:space="preserve"> plan,</w:t>
      </w:r>
      <w:r w:rsidRPr="000239D0" w:rsidR="00C82862">
        <w:rPr>
          <w:rFonts w:ascii="Times New Roman" w:hAnsi="Times New Roman"/>
          <w:sz w:val="24"/>
          <w:szCs w:val="24"/>
        </w:rPr>
        <w:t xml:space="preserve"> we developed </w:t>
      </w:r>
      <w:r w:rsidRPr="000239D0" w:rsidR="003E36DD">
        <w:rPr>
          <w:rFonts w:ascii="Times New Roman" w:hAnsi="Times New Roman"/>
          <w:sz w:val="24"/>
          <w:szCs w:val="24"/>
        </w:rPr>
        <w:t>the Internet</w:t>
      </w:r>
      <w:r w:rsidR="003E36DD">
        <w:rPr>
          <w:rFonts w:ascii="Times New Roman" w:hAnsi="Times New Roman"/>
          <w:sz w:val="24"/>
          <w:szCs w:val="24"/>
        </w:rPr>
        <w:t xml:space="preserve"> version of Form HA-520, the </w:t>
      </w:r>
      <w:r w:rsidRPr="000239D0" w:rsidR="003E36DD">
        <w:rPr>
          <w:rFonts w:ascii="Times New Roman" w:hAnsi="Times New Roman"/>
          <w:sz w:val="24"/>
          <w:szCs w:val="24"/>
        </w:rPr>
        <w:t>i520</w:t>
      </w:r>
      <w:r w:rsidR="003E36DD">
        <w:rPr>
          <w:rFonts w:ascii="Times New Roman" w:hAnsi="Times New Roman"/>
          <w:sz w:val="24"/>
          <w:szCs w:val="24"/>
        </w:rPr>
        <w:t xml:space="preserve">.  The i520 allows </w:t>
      </w:r>
      <w:r w:rsidRPr="000239D0" w:rsidR="00C82862">
        <w:rPr>
          <w:rFonts w:ascii="Times New Roman" w:hAnsi="Times New Roman"/>
          <w:sz w:val="24"/>
          <w:szCs w:val="24"/>
        </w:rPr>
        <w:lastRenderedPageBreak/>
        <w:t>claimants and appointed</w:t>
      </w:r>
      <w:r w:rsidR="003E36DD">
        <w:rPr>
          <w:rFonts w:ascii="Times New Roman" w:hAnsi="Times New Roman"/>
          <w:sz w:val="24"/>
          <w:szCs w:val="24"/>
        </w:rPr>
        <w:t xml:space="preserve"> </w:t>
      </w:r>
      <w:r w:rsidR="00186773">
        <w:rPr>
          <w:rFonts w:ascii="Times New Roman" w:hAnsi="Times New Roman"/>
          <w:sz w:val="24"/>
          <w:szCs w:val="24"/>
        </w:rPr>
        <w:t>representatives</w:t>
      </w:r>
      <w:r w:rsidRPr="000239D0" w:rsidR="00C82862">
        <w:rPr>
          <w:rFonts w:ascii="Times New Roman" w:hAnsi="Times New Roman"/>
          <w:sz w:val="24"/>
          <w:szCs w:val="24"/>
        </w:rPr>
        <w:t xml:space="preserve"> to submit appea</w:t>
      </w:r>
      <w:r w:rsidR="003E36DD">
        <w:rPr>
          <w:rFonts w:ascii="Times New Roman" w:hAnsi="Times New Roman"/>
          <w:sz w:val="24"/>
          <w:szCs w:val="24"/>
        </w:rPr>
        <w:t>ls and evidence electronically</w:t>
      </w:r>
      <w:r w:rsidRPr="000239D0" w:rsidR="00C82862">
        <w:rPr>
          <w:rFonts w:ascii="Times New Roman" w:hAnsi="Times New Roman"/>
          <w:sz w:val="24"/>
          <w:szCs w:val="24"/>
        </w:rPr>
        <w:t>.  However,</w:t>
      </w:r>
      <w:r w:rsidR="003E36DD">
        <w:rPr>
          <w:rFonts w:ascii="Times New Roman" w:hAnsi="Times New Roman"/>
          <w:sz w:val="24"/>
          <w:szCs w:val="24"/>
        </w:rPr>
        <w:t xml:space="preserve"> at this time,</w:t>
      </w:r>
      <w:r w:rsidRPr="000239D0" w:rsidR="00C82862">
        <w:rPr>
          <w:rFonts w:ascii="Times New Roman" w:hAnsi="Times New Roman"/>
          <w:sz w:val="24"/>
          <w:szCs w:val="24"/>
        </w:rPr>
        <w:t xml:space="preserve"> this method is not available for appeals to the Office of Appellate Operations (OAO).  </w:t>
      </w:r>
      <w:r w:rsidRPr="00381118" w:rsidR="00381118">
        <w:rPr>
          <w:rFonts w:ascii="Times New Roman" w:hAnsi="Times New Roman" w:eastAsia="Times New Roman"/>
          <w:snapToGrid w:val="0"/>
          <w:sz w:val="24"/>
          <w:szCs w:val="24"/>
        </w:rPr>
        <w:t xml:space="preserve">Based on our data, we estimate approximately </w:t>
      </w:r>
      <w:r w:rsidR="00381118">
        <w:rPr>
          <w:rFonts w:ascii="Times New Roman" w:hAnsi="Times New Roman" w:eastAsia="Times New Roman"/>
          <w:snapToGrid w:val="0"/>
          <w:sz w:val="24"/>
          <w:szCs w:val="24"/>
        </w:rPr>
        <w:t>75</w:t>
      </w:r>
      <w:r w:rsidRPr="00381118" w:rsidR="00381118">
        <w:rPr>
          <w:rFonts w:ascii="Times New Roman" w:hAnsi="Times New Roman" w:eastAsia="Times New Roman"/>
          <w:snapToGrid w:val="0"/>
          <w:sz w:val="24"/>
          <w:szCs w:val="24"/>
        </w:rPr>
        <w:t>% of respondents under this OMB number use the electronic version.</w:t>
      </w:r>
    </w:p>
    <w:p w:rsidRPr="000239D0" w:rsidR="00C82862" w:rsidP="007F7C33" w:rsidRDefault="00C82862" w14:paraId="6DF8CDDB" w14:textId="77777777">
      <w:pPr>
        <w:pStyle w:val="ListParagraph"/>
        <w:spacing w:after="0"/>
        <w:ind w:left="1440"/>
        <w:rPr>
          <w:rFonts w:ascii="Times New Roman" w:hAnsi="Times New Roman"/>
          <w:sz w:val="24"/>
          <w:szCs w:val="24"/>
        </w:rPr>
      </w:pPr>
    </w:p>
    <w:p w:rsidRPr="000239D0" w:rsidR="00C82862" w:rsidP="007F7C33" w:rsidRDefault="00C82862" w14:paraId="52348DEC" w14:textId="05CEDEB1">
      <w:pPr>
        <w:pStyle w:val="ListParagraph"/>
        <w:numPr>
          <w:ilvl w:val="0"/>
          <w:numId w:val="24"/>
        </w:numPr>
        <w:spacing w:after="0"/>
        <w:ind w:left="1440" w:hanging="720"/>
        <w:rPr>
          <w:rFonts w:ascii="Times New Roman" w:hAnsi="Times New Roman"/>
          <w:sz w:val="24"/>
          <w:szCs w:val="24"/>
        </w:rPr>
      </w:pPr>
      <w:r w:rsidRPr="000239D0">
        <w:rPr>
          <w:rFonts w:ascii="Times New Roman" w:hAnsi="Times New Roman"/>
          <w:b/>
          <w:sz w:val="24"/>
          <w:szCs w:val="24"/>
        </w:rPr>
        <w:t>Why We Cannot Use Duplicate Information</w:t>
      </w:r>
    </w:p>
    <w:p w:rsidRPr="000239D0" w:rsidR="00C82862" w:rsidP="007F7C33" w:rsidRDefault="00713C03" w14:paraId="463D4286" w14:textId="4A660A68">
      <w:pPr>
        <w:pStyle w:val="ListParagraph"/>
        <w:spacing w:after="0"/>
        <w:ind w:left="1440"/>
        <w:rPr>
          <w:rFonts w:ascii="Times New Roman" w:hAnsi="Times New Roman"/>
          <w:sz w:val="24"/>
          <w:szCs w:val="24"/>
        </w:rPr>
      </w:pPr>
      <w:r w:rsidRPr="00713C03">
        <w:rPr>
          <w:rFonts w:ascii="Times New Roman" w:hAnsi="Times New Roman" w:eastAsia="Times New Roman"/>
          <w:noProof/>
          <w:snapToGrid w:val="0"/>
          <w:sz w:val="24"/>
          <w:szCs w:val="24"/>
        </w:rPr>
        <w:t>The nature of the information we collect and the manner in which we collect it preclude</w:t>
      </w:r>
      <w:r>
        <w:rPr>
          <w:rFonts w:ascii="Times New Roman" w:hAnsi="Times New Roman" w:eastAsia="Times New Roman"/>
          <w:noProof/>
          <w:snapToGrid w:val="0"/>
          <w:sz w:val="24"/>
          <w:szCs w:val="24"/>
        </w:rPr>
        <w:t>s</w:t>
      </w:r>
      <w:r w:rsidRPr="00713C03">
        <w:rPr>
          <w:rFonts w:ascii="Times New Roman" w:hAnsi="Times New Roman" w:eastAsia="Times New Roman"/>
          <w:noProof/>
          <w:snapToGrid w:val="0"/>
          <w:sz w:val="24"/>
          <w:szCs w:val="24"/>
        </w:rPr>
        <w:t xml:space="preserve"> duplication.  SSA does not use another collection instrument to obtain similar data</w:t>
      </w:r>
      <w:r w:rsidRPr="000239D0" w:rsidR="00C82862">
        <w:rPr>
          <w:rFonts w:ascii="Times New Roman" w:hAnsi="Times New Roman"/>
          <w:sz w:val="24"/>
          <w:szCs w:val="24"/>
        </w:rPr>
        <w:t>.</w:t>
      </w:r>
    </w:p>
    <w:p w:rsidRPr="000239D0" w:rsidR="00C82862" w:rsidP="007F7C33" w:rsidRDefault="00C82862" w14:paraId="1E344DC7" w14:textId="77777777">
      <w:pPr>
        <w:pStyle w:val="ListParagraph"/>
        <w:spacing w:after="0"/>
        <w:ind w:left="1440"/>
        <w:rPr>
          <w:rFonts w:ascii="Times New Roman" w:hAnsi="Times New Roman"/>
          <w:sz w:val="24"/>
          <w:szCs w:val="24"/>
        </w:rPr>
      </w:pPr>
    </w:p>
    <w:p w:rsidRPr="000239D0" w:rsidR="00C82862" w:rsidP="007F7C33" w:rsidRDefault="00C82862" w14:paraId="6C41E5C5" w14:textId="5AFF948B">
      <w:pPr>
        <w:pStyle w:val="ListParagraph"/>
        <w:numPr>
          <w:ilvl w:val="0"/>
          <w:numId w:val="24"/>
        </w:numPr>
        <w:spacing w:after="0"/>
        <w:ind w:left="1440" w:hanging="720"/>
        <w:rPr>
          <w:rFonts w:ascii="Times New Roman" w:hAnsi="Times New Roman"/>
          <w:sz w:val="24"/>
          <w:szCs w:val="24"/>
        </w:rPr>
      </w:pPr>
      <w:r w:rsidRPr="000239D0">
        <w:rPr>
          <w:rFonts w:ascii="Times New Roman" w:hAnsi="Times New Roman"/>
          <w:b/>
          <w:sz w:val="24"/>
          <w:szCs w:val="24"/>
        </w:rPr>
        <w:t>Minimizing Burden on Small Respondents</w:t>
      </w:r>
    </w:p>
    <w:p w:rsidRPr="000239D0" w:rsidR="00C82862" w:rsidP="007F7C33" w:rsidRDefault="00C82862" w14:paraId="4CE6BEE4" w14:textId="3E7A4316">
      <w:pPr>
        <w:pStyle w:val="ListParagraph"/>
        <w:spacing w:after="0"/>
        <w:ind w:left="1440"/>
        <w:rPr>
          <w:rFonts w:ascii="Times New Roman" w:hAnsi="Times New Roman"/>
          <w:sz w:val="24"/>
          <w:szCs w:val="24"/>
        </w:rPr>
      </w:pPr>
      <w:r w:rsidRPr="000239D0">
        <w:rPr>
          <w:rFonts w:ascii="Times New Roman" w:hAnsi="Times New Roman"/>
          <w:sz w:val="24"/>
          <w:szCs w:val="24"/>
        </w:rPr>
        <w:t>This collection does not affect small businesses or other small entities.</w:t>
      </w:r>
    </w:p>
    <w:p w:rsidRPr="000239D0" w:rsidR="00C82862" w:rsidP="007F7C33" w:rsidRDefault="00C82862" w14:paraId="5E2EA4EF" w14:textId="77777777">
      <w:pPr>
        <w:pStyle w:val="ListParagraph"/>
        <w:spacing w:after="0"/>
        <w:ind w:left="1440"/>
        <w:rPr>
          <w:rFonts w:ascii="Times New Roman" w:hAnsi="Times New Roman"/>
          <w:sz w:val="24"/>
          <w:szCs w:val="24"/>
        </w:rPr>
      </w:pPr>
    </w:p>
    <w:p w:rsidRPr="000239D0" w:rsidR="00C82862" w:rsidP="007F7C33" w:rsidRDefault="00C82862" w14:paraId="19F28273" w14:textId="72A98041">
      <w:pPr>
        <w:pStyle w:val="ListParagraph"/>
        <w:numPr>
          <w:ilvl w:val="0"/>
          <w:numId w:val="24"/>
        </w:numPr>
        <w:spacing w:after="0"/>
        <w:ind w:left="1440" w:hanging="720"/>
        <w:rPr>
          <w:rFonts w:ascii="Times New Roman" w:hAnsi="Times New Roman"/>
          <w:sz w:val="24"/>
          <w:szCs w:val="24"/>
        </w:rPr>
      </w:pPr>
      <w:r w:rsidRPr="000239D0">
        <w:rPr>
          <w:rFonts w:ascii="Times New Roman" w:hAnsi="Times New Roman"/>
          <w:b/>
          <w:sz w:val="24"/>
          <w:szCs w:val="24"/>
        </w:rPr>
        <w:t>Consequence of Not Collecting Information or Collecting it Less Frequently</w:t>
      </w:r>
    </w:p>
    <w:p w:rsidRPr="000239D0" w:rsidR="00C82862" w:rsidP="007F7C33" w:rsidRDefault="00C82862" w14:paraId="6B7A558A" w14:textId="48D74E25">
      <w:pPr>
        <w:pStyle w:val="ListParagraph"/>
        <w:spacing w:after="0"/>
        <w:ind w:left="1440"/>
        <w:rPr>
          <w:rFonts w:ascii="Times New Roman" w:hAnsi="Times New Roman"/>
          <w:bCs/>
          <w:sz w:val="24"/>
          <w:szCs w:val="24"/>
        </w:rPr>
      </w:pPr>
      <w:r w:rsidRPr="000239D0">
        <w:rPr>
          <w:rFonts w:ascii="Times New Roman" w:hAnsi="Times New Roman"/>
          <w:bCs/>
          <w:sz w:val="24"/>
          <w:szCs w:val="24"/>
        </w:rPr>
        <w:t>If we did not collect this information, claimants would have no way to appeal a denied claim to the next level of adjudication.  Because we only collect this information on an as needed basis, we cannot collect it less frequently.  There are no technical or legal obstacles to burden reduction.</w:t>
      </w:r>
    </w:p>
    <w:p w:rsidRPr="000239D0" w:rsidR="00C82862" w:rsidP="007F7C33" w:rsidRDefault="00C82862" w14:paraId="6162F912" w14:textId="77777777">
      <w:pPr>
        <w:pStyle w:val="ListParagraph"/>
        <w:spacing w:after="0"/>
        <w:ind w:left="1440"/>
        <w:rPr>
          <w:rFonts w:ascii="Times New Roman" w:hAnsi="Times New Roman"/>
          <w:sz w:val="24"/>
          <w:szCs w:val="24"/>
        </w:rPr>
      </w:pPr>
    </w:p>
    <w:p w:rsidRPr="000239D0" w:rsidR="00C82862" w:rsidP="007F7C33" w:rsidRDefault="00C82862" w14:paraId="633AC784" w14:textId="2A2A4550">
      <w:pPr>
        <w:pStyle w:val="ListParagraph"/>
        <w:numPr>
          <w:ilvl w:val="0"/>
          <w:numId w:val="24"/>
        </w:numPr>
        <w:spacing w:after="0"/>
        <w:ind w:left="1440" w:hanging="720"/>
        <w:rPr>
          <w:rFonts w:ascii="Times New Roman" w:hAnsi="Times New Roman"/>
          <w:sz w:val="24"/>
          <w:szCs w:val="24"/>
        </w:rPr>
      </w:pPr>
      <w:r w:rsidRPr="000239D0">
        <w:rPr>
          <w:rFonts w:ascii="Times New Roman" w:hAnsi="Times New Roman"/>
          <w:b/>
          <w:sz w:val="24"/>
          <w:szCs w:val="24"/>
        </w:rPr>
        <w:t>Special Circumstances</w:t>
      </w:r>
    </w:p>
    <w:p w:rsidRPr="000239D0" w:rsidR="00C82862" w:rsidP="007F7C33" w:rsidRDefault="00C82862" w14:paraId="149F8CEF" w14:textId="28730E57">
      <w:pPr>
        <w:pStyle w:val="ListParagraph"/>
        <w:spacing w:after="0"/>
        <w:ind w:left="1440"/>
        <w:rPr>
          <w:rFonts w:ascii="Times New Roman" w:hAnsi="Times New Roman"/>
          <w:bCs/>
          <w:sz w:val="24"/>
          <w:szCs w:val="24"/>
        </w:rPr>
      </w:pPr>
      <w:r w:rsidRPr="000239D0">
        <w:rPr>
          <w:rFonts w:ascii="Times New Roman" w:hAnsi="Times New Roman"/>
          <w:sz w:val="24"/>
          <w:szCs w:val="24"/>
        </w:rPr>
        <w:t xml:space="preserve">There are no special circumstances that would cause SSA to conduct this information collection in a manner inconsistent with </w:t>
      </w:r>
      <w:r w:rsidRPr="000239D0">
        <w:rPr>
          <w:rFonts w:ascii="Times New Roman" w:hAnsi="Times New Roman"/>
          <w:i/>
          <w:sz w:val="24"/>
          <w:szCs w:val="24"/>
        </w:rPr>
        <w:t>5 CFR 1320.5</w:t>
      </w:r>
      <w:r w:rsidRPr="000239D0">
        <w:rPr>
          <w:rFonts w:ascii="Times New Roman" w:hAnsi="Times New Roman"/>
          <w:bCs/>
          <w:sz w:val="24"/>
          <w:szCs w:val="24"/>
        </w:rPr>
        <w:t>.</w:t>
      </w:r>
    </w:p>
    <w:p w:rsidRPr="000239D0" w:rsidR="00C82862" w:rsidP="007F7C33" w:rsidRDefault="00C82862" w14:paraId="60F9F8D8" w14:textId="77777777">
      <w:pPr>
        <w:pStyle w:val="ListParagraph"/>
        <w:spacing w:after="0"/>
        <w:ind w:left="1440"/>
        <w:rPr>
          <w:rFonts w:ascii="Times New Roman" w:hAnsi="Times New Roman"/>
          <w:sz w:val="24"/>
          <w:szCs w:val="24"/>
        </w:rPr>
      </w:pPr>
    </w:p>
    <w:p w:rsidRPr="000239D0" w:rsidR="00C82862" w:rsidP="007F7C33" w:rsidRDefault="00C82862" w14:paraId="32B1C7E9" w14:textId="4201F7C3">
      <w:pPr>
        <w:pStyle w:val="ListParagraph"/>
        <w:numPr>
          <w:ilvl w:val="0"/>
          <w:numId w:val="24"/>
        </w:numPr>
        <w:spacing w:after="0"/>
        <w:ind w:left="1440" w:hanging="720"/>
        <w:rPr>
          <w:rFonts w:ascii="Times New Roman" w:hAnsi="Times New Roman"/>
          <w:sz w:val="24"/>
          <w:szCs w:val="24"/>
        </w:rPr>
      </w:pPr>
      <w:r w:rsidRPr="000239D0">
        <w:rPr>
          <w:rFonts w:ascii="Times New Roman" w:hAnsi="Times New Roman"/>
          <w:b/>
          <w:sz w:val="24"/>
          <w:szCs w:val="24"/>
        </w:rPr>
        <w:t>Solicitation of Public Comment and Other Consultations with the Public</w:t>
      </w:r>
    </w:p>
    <w:p w:rsidRPr="000239D0" w:rsidR="00C82862" w:rsidP="007F7C33" w:rsidRDefault="00D53669" w14:paraId="1EDB91F2" w14:textId="427AFFBA">
      <w:pPr>
        <w:pStyle w:val="ListParagraph"/>
        <w:spacing w:after="0"/>
        <w:ind w:left="1440"/>
        <w:rPr>
          <w:rFonts w:ascii="Times New Roman" w:hAnsi="Times New Roman"/>
          <w:b/>
          <w:sz w:val="24"/>
          <w:szCs w:val="24"/>
        </w:rPr>
      </w:pPr>
      <w:r w:rsidRPr="00D53669">
        <w:rPr>
          <w:rFonts w:ascii="Times New Roman" w:hAnsi="Times New Roman" w:eastAsia="Times New Roman"/>
          <w:noProof/>
          <w:snapToGrid w:val="0"/>
          <w:sz w:val="24"/>
          <w:szCs w:val="24"/>
        </w:rPr>
        <w:t xml:space="preserve">The 60-day advance Federal Register Notice published on December 30, 2020 at 85 FR 86638, and we received no public comments.  The 30-day FRN published on </w:t>
      </w:r>
      <w:r w:rsidR="00B91F6D">
        <w:rPr>
          <w:rFonts w:ascii="Times New Roman" w:hAnsi="Times New Roman" w:eastAsia="Times New Roman"/>
          <w:noProof/>
          <w:snapToGrid w:val="0"/>
          <w:sz w:val="24"/>
          <w:szCs w:val="24"/>
        </w:rPr>
        <w:t>March 1</w:t>
      </w:r>
      <w:r w:rsidRPr="00D53669">
        <w:rPr>
          <w:rFonts w:ascii="Times New Roman" w:hAnsi="Times New Roman" w:eastAsia="Times New Roman"/>
          <w:noProof/>
          <w:snapToGrid w:val="0"/>
          <w:sz w:val="24"/>
          <w:szCs w:val="24"/>
        </w:rPr>
        <w:t xml:space="preserve">, 2021 at 86 FR </w:t>
      </w:r>
      <w:r w:rsidR="00B91F6D">
        <w:rPr>
          <w:rFonts w:ascii="Times New Roman" w:hAnsi="Times New Roman" w:eastAsia="Times New Roman"/>
          <w:noProof/>
          <w:snapToGrid w:val="0"/>
          <w:sz w:val="24"/>
          <w:szCs w:val="24"/>
        </w:rPr>
        <w:t>12068</w:t>
      </w:r>
      <w:r w:rsidRPr="00D53669">
        <w:rPr>
          <w:rFonts w:ascii="Times New Roman" w:hAnsi="Times New Roman" w:eastAsia="Times New Roman"/>
          <w:noProof/>
          <w:snapToGrid w:val="0"/>
          <w:sz w:val="24"/>
          <w:szCs w:val="24"/>
        </w:rPr>
        <w:t>.  If we receive any comments in response to this Notice, we will forward them to OMB</w:t>
      </w:r>
      <w:r w:rsidRPr="000239D0" w:rsidR="000239D0">
        <w:rPr>
          <w:rFonts w:ascii="Times New Roman" w:hAnsi="Times New Roman"/>
          <w:sz w:val="24"/>
          <w:szCs w:val="24"/>
        </w:rPr>
        <w:t>.</w:t>
      </w:r>
    </w:p>
    <w:p w:rsidRPr="000239D0" w:rsidR="00C82862" w:rsidP="007F7C33" w:rsidRDefault="00C82862" w14:paraId="687AC103" w14:textId="77777777">
      <w:pPr>
        <w:pStyle w:val="ListParagraph"/>
        <w:spacing w:after="0"/>
        <w:ind w:left="1440"/>
        <w:rPr>
          <w:rFonts w:ascii="Times New Roman" w:hAnsi="Times New Roman"/>
          <w:sz w:val="24"/>
          <w:szCs w:val="24"/>
        </w:rPr>
      </w:pPr>
    </w:p>
    <w:p w:rsidRPr="000239D0" w:rsidR="00C82862" w:rsidP="007F7C33" w:rsidRDefault="00C82862" w14:paraId="3B436E16" w14:textId="5C3D55D1">
      <w:pPr>
        <w:pStyle w:val="ListParagraph"/>
        <w:numPr>
          <w:ilvl w:val="0"/>
          <w:numId w:val="24"/>
        </w:numPr>
        <w:spacing w:after="0"/>
        <w:ind w:left="1440" w:hanging="720"/>
        <w:rPr>
          <w:rFonts w:ascii="Times New Roman" w:hAnsi="Times New Roman"/>
          <w:sz w:val="24"/>
          <w:szCs w:val="24"/>
        </w:rPr>
      </w:pPr>
      <w:r w:rsidRPr="000239D0">
        <w:rPr>
          <w:rFonts w:ascii="Times New Roman" w:hAnsi="Times New Roman"/>
          <w:b/>
          <w:sz w:val="24"/>
          <w:szCs w:val="24"/>
        </w:rPr>
        <w:t>Payment or Gifts to Respondents</w:t>
      </w:r>
    </w:p>
    <w:p w:rsidRPr="000239D0" w:rsidR="00C82862" w:rsidP="007F7C33" w:rsidRDefault="00C82862" w14:paraId="4A012743" w14:textId="3562AB81">
      <w:pPr>
        <w:pStyle w:val="ListParagraph"/>
        <w:spacing w:after="0"/>
        <w:ind w:left="1440"/>
        <w:rPr>
          <w:rFonts w:ascii="Times New Roman" w:hAnsi="Times New Roman"/>
          <w:b/>
          <w:sz w:val="24"/>
          <w:szCs w:val="24"/>
        </w:rPr>
      </w:pPr>
      <w:r w:rsidRPr="000239D0">
        <w:rPr>
          <w:rFonts w:ascii="Times New Roman" w:hAnsi="Times New Roman"/>
          <w:sz w:val="24"/>
          <w:szCs w:val="24"/>
        </w:rPr>
        <w:t>SSA does not provide payments or gifts to the respondents.</w:t>
      </w:r>
    </w:p>
    <w:p w:rsidRPr="000239D0" w:rsidR="00D53669" w:rsidP="007F7C33" w:rsidRDefault="00D53669" w14:paraId="2BFB06A4" w14:textId="77777777">
      <w:pPr>
        <w:pStyle w:val="ListParagraph"/>
        <w:spacing w:after="0"/>
        <w:ind w:left="1440"/>
        <w:rPr>
          <w:rFonts w:ascii="Times New Roman" w:hAnsi="Times New Roman"/>
          <w:sz w:val="24"/>
          <w:szCs w:val="24"/>
        </w:rPr>
      </w:pPr>
    </w:p>
    <w:p w:rsidRPr="000239D0" w:rsidR="00C82862" w:rsidP="007F7C33" w:rsidRDefault="00C82862" w14:paraId="38122677" w14:textId="21D11993">
      <w:pPr>
        <w:pStyle w:val="ListParagraph"/>
        <w:numPr>
          <w:ilvl w:val="0"/>
          <w:numId w:val="24"/>
        </w:numPr>
        <w:spacing w:after="0"/>
        <w:ind w:left="1440" w:hanging="720"/>
        <w:rPr>
          <w:rFonts w:ascii="Times New Roman" w:hAnsi="Times New Roman"/>
          <w:sz w:val="24"/>
          <w:szCs w:val="24"/>
        </w:rPr>
      </w:pPr>
      <w:r w:rsidRPr="000239D0">
        <w:rPr>
          <w:rFonts w:ascii="Times New Roman" w:hAnsi="Times New Roman"/>
          <w:b/>
          <w:bCs/>
          <w:sz w:val="24"/>
          <w:szCs w:val="24"/>
        </w:rPr>
        <w:t>Assurances of Confidentiality</w:t>
      </w:r>
    </w:p>
    <w:p w:rsidRPr="000239D0" w:rsidR="00C82862" w:rsidP="007F7C33" w:rsidRDefault="00D53669" w14:paraId="18C35F51" w14:textId="5E11749E">
      <w:pPr>
        <w:pStyle w:val="ListParagraph"/>
        <w:spacing w:after="0"/>
        <w:ind w:left="1440"/>
        <w:rPr>
          <w:rFonts w:ascii="Times New Roman" w:hAnsi="Times New Roman"/>
          <w:sz w:val="24"/>
          <w:szCs w:val="24"/>
        </w:rPr>
      </w:pPr>
      <w:r w:rsidRPr="00D53669">
        <w:rPr>
          <w:rFonts w:ascii="Times New Roman" w:hAnsi="Times New Roman"/>
          <w:sz w:val="24"/>
          <w:szCs w:val="24"/>
        </w:rPr>
        <w:t xml:space="preserve">SSA protects and holds confidential the information it collects in accordance with </w:t>
      </w:r>
      <w:r w:rsidRPr="00D53669">
        <w:rPr>
          <w:rFonts w:ascii="Times New Roman" w:hAnsi="Times New Roman"/>
          <w:i/>
          <w:sz w:val="24"/>
          <w:szCs w:val="24"/>
        </w:rPr>
        <w:t>42 U.S.C. 1306, 20 CFR 401</w:t>
      </w:r>
      <w:r w:rsidRPr="00D53669">
        <w:rPr>
          <w:rFonts w:ascii="Times New Roman" w:hAnsi="Times New Roman"/>
          <w:sz w:val="24"/>
          <w:szCs w:val="24"/>
        </w:rPr>
        <w:t xml:space="preserve"> and </w:t>
      </w:r>
      <w:r w:rsidRPr="00D53669">
        <w:rPr>
          <w:rFonts w:ascii="Times New Roman" w:hAnsi="Times New Roman"/>
          <w:i/>
          <w:sz w:val="24"/>
          <w:szCs w:val="24"/>
        </w:rPr>
        <w:t>402, 5 U.S.C. 552</w:t>
      </w:r>
      <w:r w:rsidRPr="00D53669">
        <w:rPr>
          <w:rFonts w:ascii="Times New Roman" w:hAnsi="Times New Roman"/>
          <w:sz w:val="24"/>
          <w:szCs w:val="24"/>
        </w:rPr>
        <w:t xml:space="preserve"> (Freedom of Information Act), </w:t>
      </w:r>
      <w:r w:rsidRPr="00D53669">
        <w:rPr>
          <w:rFonts w:ascii="Times New Roman" w:hAnsi="Times New Roman"/>
          <w:i/>
          <w:sz w:val="24"/>
          <w:szCs w:val="24"/>
        </w:rPr>
        <w:t>5 U.S.C. 552a</w:t>
      </w:r>
      <w:r w:rsidRPr="00D53669">
        <w:rPr>
          <w:rFonts w:ascii="Times New Roman" w:hAnsi="Times New Roman"/>
          <w:sz w:val="24"/>
          <w:szCs w:val="24"/>
        </w:rPr>
        <w:t xml:space="preserve"> (Privacy Act of 1974), and OMB Circular No. A-130</w:t>
      </w:r>
      <w:r w:rsidRPr="000239D0" w:rsidR="00C82862">
        <w:rPr>
          <w:rFonts w:ascii="Times New Roman" w:hAnsi="Times New Roman" w:eastAsia="SimSun"/>
          <w:bCs/>
          <w:color w:val="0000FF"/>
          <w:sz w:val="24"/>
          <w:szCs w:val="24"/>
        </w:rPr>
        <w:t>.</w:t>
      </w:r>
    </w:p>
    <w:p w:rsidRPr="000239D0" w:rsidR="00C82862" w:rsidP="007F7C33" w:rsidRDefault="00C82862" w14:paraId="1A2C74CE" w14:textId="77777777">
      <w:pPr>
        <w:pStyle w:val="ListParagraph"/>
        <w:spacing w:after="0"/>
        <w:ind w:left="1440"/>
        <w:rPr>
          <w:rFonts w:ascii="Times New Roman" w:hAnsi="Times New Roman"/>
          <w:sz w:val="24"/>
          <w:szCs w:val="24"/>
        </w:rPr>
      </w:pPr>
    </w:p>
    <w:p w:rsidRPr="000239D0" w:rsidR="00C82862" w:rsidP="007F7C33" w:rsidRDefault="00C82862" w14:paraId="6DCEDC77" w14:textId="634D69E9">
      <w:pPr>
        <w:pStyle w:val="ListParagraph"/>
        <w:numPr>
          <w:ilvl w:val="0"/>
          <w:numId w:val="24"/>
        </w:numPr>
        <w:spacing w:after="0"/>
        <w:ind w:left="1440" w:hanging="720"/>
        <w:rPr>
          <w:rFonts w:ascii="Times New Roman" w:hAnsi="Times New Roman"/>
          <w:sz w:val="24"/>
          <w:szCs w:val="24"/>
        </w:rPr>
      </w:pPr>
      <w:r w:rsidRPr="000239D0">
        <w:rPr>
          <w:rFonts w:ascii="Times New Roman" w:hAnsi="Times New Roman"/>
          <w:b/>
          <w:sz w:val="24"/>
          <w:szCs w:val="24"/>
        </w:rPr>
        <w:t>Justification for Sensitive Questions</w:t>
      </w:r>
    </w:p>
    <w:p w:rsidRPr="00186773" w:rsidR="00C82862" w:rsidP="00186773" w:rsidRDefault="00C82862" w14:paraId="3341B0C2" w14:textId="544574B6">
      <w:pPr>
        <w:pStyle w:val="ListParagraph"/>
        <w:spacing w:after="0"/>
        <w:ind w:left="1440"/>
        <w:rPr>
          <w:rFonts w:ascii="Times New Roman" w:hAnsi="Times New Roman"/>
          <w:sz w:val="24"/>
          <w:szCs w:val="24"/>
        </w:rPr>
      </w:pPr>
      <w:r w:rsidRPr="000239D0">
        <w:rPr>
          <w:rFonts w:ascii="Times New Roman" w:hAnsi="Times New Roman"/>
          <w:sz w:val="24"/>
          <w:szCs w:val="24"/>
        </w:rPr>
        <w:t>This information collection does not contain any questions of a sensitive nature</w:t>
      </w:r>
      <w:r w:rsidR="007F7C33">
        <w:rPr>
          <w:rFonts w:ascii="Times New Roman" w:hAnsi="Times New Roman"/>
          <w:sz w:val="24"/>
          <w:szCs w:val="24"/>
        </w:rPr>
        <w:t>.</w:t>
      </w:r>
    </w:p>
    <w:p w:rsidRPr="000239D0" w:rsidR="00C82862" w:rsidP="007F7C33" w:rsidRDefault="00C82862" w14:paraId="2BE4FD57" w14:textId="3479FBC5">
      <w:pPr>
        <w:pStyle w:val="ListParagraph"/>
        <w:numPr>
          <w:ilvl w:val="0"/>
          <w:numId w:val="24"/>
        </w:numPr>
        <w:spacing w:after="0"/>
        <w:ind w:left="1440" w:hanging="720"/>
        <w:rPr>
          <w:rFonts w:ascii="Times New Roman" w:hAnsi="Times New Roman"/>
          <w:sz w:val="24"/>
          <w:szCs w:val="24"/>
        </w:rPr>
      </w:pPr>
      <w:r w:rsidRPr="000239D0">
        <w:rPr>
          <w:rFonts w:ascii="Times New Roman" w:hAnsi="Times New Roman"/>
          <w:b/>
          <w:sz w:val="24"/>
          <w:szCs w:val="24"/>
        </w:rPr>
        <w:lastRenderedPageBreak/>
        <w:t>Estimates of Public Reporting Burden</w:t>
      </w:r>
    </w:p>
    <w:p w:rsidR="00252875" w:rsidP="00D53669" w:rsidRDefault="00D53669" w14:paraId="641468C5" w14:textId="6F469A88">
      <w:pPr>
        <w:pStyle w:val="ListParagraph"/>
        <w:ind w:left="1440"/>
        <w:rPr>
          <w:rFonts w:ascii="Times New Roman" w:hAnsi="Times New Roman"/>
          <w:bCs/>
          <w:sz w:val="24"/>
          <w:szCs w:val="24"/>
        </w:rPr>
      </w:pPr>
      <w:r w:rsidRPr="00D53669">
        <w:rPr>
          <w:rFonts w:ascii="Times New Roman" w:hAnsi="Times New Roman"/>
          <w:bCs/>
          <w:sz w:val="24"/>
          <w:szCs w:val="24"/>
        </w:rPr>
        <w:t>Please see the burden chart below:</w:t>
      </w:r>
    </w:p>
    <w:tbl>
      <w:tblPr>
        <w:tblW w:w="11491" w:type="dxa"/>
        <w:tblInd w:w="-10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9"/>
        <w:gridCol w:w="1525"/>
        <w:gridCol w:w="1348"/>
        <w:gridCol w:w="1343"/>
        <w:gridCol w:w="1337"/>
        <w:gridCol w:w="1389"/>
        <w:gridCol w:w="1510"/>
        <w:gridCol w:w="1510"/>
      </w:tblGrid>
      <w:tr w:rsidRPr="00D53669" w:rsidR="00D53669" w:rsidTr="00FD50BD" w14:paraId="05586F80" w14:textId="77777777">
        <w:tc>
          <w:tcPr>
            <w:tcW w:w="1529" w:type="dxa"/>
            <w:shd w:val="clear" w:color="auto" w:fill="auto"/>
          </w:tcPr>
          <w:p w:rsidRPr="00D53669" w:rsidR="00D53669" w:rsidP="00D53669" w:rsidRDefault="00D53669" w14:paraId="7F33E397" w14:textId="77777777">
            <w:pPr>
              <w:rPr>
                <w:b/>
                <w:sz w:val="24"/>
                <w:szCs w:val="24"/>
                <w:lang w:eastAsia="en-US"/>
              </w:rPr>
            </w:pPr>
            <w:r w:rsidRPr="00D53669">
              <w:rPr>
                <w:b/>
                <w:sz w:val="24"/>
                <w:szCs w:val="24"/>
                <w:lang w:eastAsia="en-US"/>
              </w:rPr>
              <w:t>Modality of Completion</w:t>
            </w:r>
          </w:p>
        </w:tc>
        <w:tc>
          <w:tcPr>
            <w:tcW w:w="1525" w:type="dxa"/>
            <w:shd w:val="clear" w:color="auto" w:fill="auto"/>
          </w:tcPr>
          <w:p w:rsidRPr="00D53669" w:rsidR="00D53669" w:rsidP="00D53669" w:rsidRDefault="00D53669" w14:paraId="04AF23C0" w14:textId="77777777">
            <w:pPr>
              <w:rPr>
                <w:b/>
                <w:sz w:val="24"/>
                <w:szCs w:val="24"/>
                <w:lang w:eastAsia="en-US"/>
              </w:rPr>
            </w:pPr>
            <w:r w:rsidRPr="00D53669">
              <w:rPr>
                <w:b/>
                <w:sz w:val="24"/>
                <w:szCs w:val="24"/>
                <w:lang w:eastAsia="en-US"/>
              </w:rPr>
              <w:t>Number of Respondents</w:t>
            </w:r>
          </w:p>
        </w:tc>
        <w:tc>
          <w:tcPr>
            <w:tcW w:w="1348" w:type="dxa"/>
            <w:shd w:val="clear" w:color="auto" w:fill="auto"/>
          </w:tcPr>
          <w:p w:rsidRPr="00D53669" w:rsidR="00D53669" w:rsidP="00D53669" w:rsidRDefault="00D53669" w14:paraId="4DFB3505" w14:textId="77777777">
            <w:pPr>
              <w:rPr>
                <w:b/>
                <w:sz w:val="24"/>
                <w:szCs w:val="24"/>
                <w:lang w:eastAsia="en-US"/>
              </w:rPr>
            </w:pPr>
            <w:r w:rsidRPr="00D53669">
              <w:rPr>
                <w:b/>
                <w:sz w:val="24"/>
                <w:szCs w:val="24"/>
                <w:lang w:eastAsia="en-US"/>
              </w:rPr>
              <w:t>Frequency of Response</w:t>
            </w:r>
          </w:p>
        </w:tc>
        <w:tc>
          <w:tcPr>
            <w:tcW w:w="1343" w:type="dxa"/>
            <w:shd w:val="clear" w:color="auto" w:fill="auto"/>
          </w:tcPr>
          <w:p w:rsidRPr="00D53669" w:rsidR="00D53669" w:rsidP="00D53669" w:rsidRDefault="00D53669" w14:paraId="392DEA77" w14:textId="77777777">
            <w:pPr>
              <w:rPr>
                <w:b/>
                <w:sz w:val="24"/>
                <w:szCs w:val="24"/>
                <w:lang w:eastAsia="en-US"/>
              </w:rPr>
            </w:pPr>
            <w:r w:rsidRPr="00D53669">
              <w:rPr>
                <w:b/>
                <w:sz w:val="24"/>
                <w:szCs w:val="24"/>
                <w:lang w:eastAsia="en-US"/>
              </w:rPr>
              <w:t>Average Burden Per Response (minutes)</w:t>
            </w:r>
          </w:p>
        </w:tc>
        <w:tc>
          <w:tcPr>
            <w:tcW w:w="1337" w:type="dxa"/>
            <w:shd w:val="clear" w:color="auto" w:fill="auto"/>
          </w:tcPr>
          <w:p w:rsidRPr="00D53669" w:rsidR="00D53669" w:rsidP="00D53669" w:rsidRDefault="00D53669" w14:paraId="3188B56B" w14:textId="77777777">
            <w:pPr>
              <w:rPr>
                <w:b/>
                <w:sz w:val="24"/>
                <w:szCs w:val="24"/>
                <w:lang w:eastAsia="en-US"/>
              </w:rPr>
            </w:pPr>
            <w:r w:rsidRPr="00D53669">
              <w:rPr>
                <w:b/>
                <w:sz w:val="24"/>
                <w:szCs w:val="24"/>
                <w:lang w:eastAsia="en-US"/>
              </w:rPr>
              <w:t>Estimated Total Annual Burden (hours)</w:t>
            </w:r>
          </w:p>
        </w:tc>
        <w:tc>
          <w:tcPr>
            <w:tcW w:w="1389" w:type="dxa"/>
          </w:tcPr>
          <w:p w:rsidRPr="00D53669" w:rsidR="00D53669" w:rsidP="00D53669" w:rsidRDefault="00D53669" w14:paraId="64A489B5" w14:textId="77777777">
            <w:pPr>
              <w:rPr>
                <w:b/>
                <w:sz w:val="24"/>
                <w:szCs w:val="24"/>
                <w:lang w:eastAsia="en-US"/>
              </w:rPr>
            </w:pPr>
            <w:r w:rsidRPr="00D53669">
              <w:rPr>
                <w:b/>
                <w:sz w:val="24"/>
                <w:szCs w:val="24"/>
                <w:lang w:eastAsia="en-US"/>
              </w:rPr>
              <w:t>Average Theoretical Hourly Cost Amount (dollars)*</w:t>
            </w:r>
          </w:p>
        </w:tc>
        <w:tc>
          <w:tcPr>
            <w:tcW w:w="1510" w:type="dxa"/>
          </w:tcPr>
          <w:p w:rsidRPr="00D53669" w:rsidR="00D53669" w:rsidP="00D53669" w:rsidRDefault="00D53669" w14:paraId="1743DBAB" w14:textId="77777777">
            <w:pPr>
              <w:rPr>
                <w:b/>
                <w:sz w:val="24"/>
                <w:szCs w:val="24"/>
                <w:lang w:eastAsia="en-US"/>
              </w:rPr>
            </w:pPr>
            <w:r w:rsidRPr="00D53669">
              <w:rPr>
                <w:b/>
                <w:sz w:val="24"/>
                <w:szCs w:val="24"/>
                <w:lang w:eastAsia="en-US"/>
              </w:rPr>
              <w:t>Average</w:t>
            </w:r>
          </w:p>
          <w:p w:rsidRPr="00D53669" w:rsidR="00D53669" w:rsidP="00D53669" w:rsidRDefault="00D53669" w14:paraId="214EECB7" w14:textId="77777777">
            <w:pPr>
              <w:rPr>
                <w:b/>
                <w:sz w:val="24"/>
                <w:szCs w:val="24"/>
                <w:lang w:eastAsia="en-US"/>
              </w:rPr>
            </w:pPr>
            <w:r w:rsidRPr="00D53669">
              <w:rPr>
                <w:b/>
                <w:sz w:val="24"/>
                <w:szCs w:val="24"/>
                <w:lang w:eastAsia="en-US"/>
              </w:rPr>
              <w:t>wait time in</w:t>
            </w:r>
          </w:p>
          <w:p w:rsidRPr="00D53669" w:rsidR="00D53669" w:rsidP="00D53669" w:rsidRDefault="00D53669" w14:paraId="6BDBE7CB" w14:textId="77777777">
            <w:pPr>
              <w:rPr>
                <w:b/>
                <w:sz w:val="24"/>
                <w:szCs w:val="24"/>
                <w:lang w:eastAsia="en-US"/>
              </w:rPr>
            </w:pPr>
            <w:r w:rsidRPr="00D53669">
              <w:rPr>
                <w:b/>
                <w:sz w:val="24"/>
                <w:szCs w:val="24"/>
                <w:lang w:eastAsia="en-US"/>
              </w:rPr>
              <w:t>field office</w:t>
            </w:r>
          </w:p>
          <w:p w:rsidRPr="00D53669" w:rsidR="00D53669" w:rsidP="00D53669" w:rsidRDefault="00D53669" w14:paraId="6E58433D" w14:textId="77777777">
            <w:pPr>
              <w:rPr>
                <w:b/>
                <w:sz w:val="24"/>
                <w:szCs w:val="24"/>
                <w:lang w:eastAsia="en-US"/>
              </w:rPr>
            </w:pPr>
            <w:r w:rsidRPr="00D53669">
              <w:rPr>
                <w:b/>
                <w:sz w:val="24"/>
                <w:szCs w:val="24"/>
                <w:lang w:eastAsia="en-US"/>
              </w:rPr>
              <w:t>(minutes) **</w:t>
            </w:r>
          </w:p>
        </w:tc>
        <w:tc>
          <w:tcPr>
            <w:tcW w:w="1510" w:type="dxa"/>
          </w:tcPr>
          <w:p w:rsidRPr="00D53669" w:rsidR="00D53669" w:rsidP="00D53669" w:rsidRDefault="00D53669" w14:paraId="4B187BF6" w14:textId="77777777">
            <w:pPr>
              <w:rPr>
                <w:b/>
                <w:sz w:val="24"/>
                <w:szCs w:val="24"/>
                <w:lang w:eastAsia="en-US"/>
              </w:rPr>
            </w:pPr>
            <w:r w:rsidRPr="00D53669">
              <w:rPr>
                <w:b/>
                <w:sz w:val="24"/>
                <w:szCs w:val="24"/>
                <w:lang w:eastAsia="en-US"/>
              </w:rPr>
              <w:t>Total Annual Opportunity Cost (dollars)***</w:t>
            </w:r>
          </w:p>
        </w:tc>
      </w:tr>
      <w:tr w:rsidRPr="00D53669" w:rsidR="00D53669" w:rsidTr="00FD50BD" w14:paraId="7717465A" w14:textId="77777777">
        <w:tc>
          <w:tcPr>
            <w:tcW w:w="1529" w:type="dxa"/>
            <w:shd w:val="clear" w:color="auto" w:fill="auto"/>
          </w:tcPr>
          <w:p w:rsidRPr="00D53669" w:rsidR="00D53669" w:rsidP="00D53669" w:rsidRDefault="00D53669" w14:paraId="2CBA40E4" w14:textId="77777777">
            <w:pPr>
              <w:contextualSpacing/>
              <w:rPr>
                <w:sz w:val="24"/>
                <w:szCs w:val="24"/>
                <w:lang w:eastAsia="en-US"/>
              </w:rPr>
            </w:pPr>
            <w:r w:rsidRPr="00D53669">
              <w:rPr>
                <w:sz w:val="24"/>
                <w:szCs w:val="24"/>
                <w:lang w:eastAsia="en-US"/>
              </w:rPr>
              <w:t>HA-520 – Paper</w:t>
            </w:r>
          </w:p>
        </w:tc>
        <w:tc>
          <w:tcPr>
            <w:tcW w:w="1525" w:type="dxa"/>
            <w:tcBorders>
              <w:top w:val="nil"/>
              <w:left w:val="nil"/>
              <w:bottom w:val="single" w:color="auto" w:sz="8" w:space="0"/>
              <w:right w:val="single" w:color="auto" w:sz="8" w:space="0"/>
            </w:tcBorders>
          </w:tcPr>
          <w:p w:rsidRPr="00D53669" w:rsidR="00D53669" w:rsidP="00D53669" w:rsidRDefault="00D53669" w14:paraId="005837EF" w14:textId="77777777">
            <w:pPr>
              <w:snapToGrid w:val="0"/>
              <w:jc w:val="right"/>
              <w:rPr>
                <w:sz w:val="24"/>
                <w:szCs w:val="24"/>
                <w:lang w:eastAsia="ar-SA"/>
              </w:rPr>
            </w:pPr>
            <w:r w:rsidRPr="00D53669">
              <w:rPr>
                <w:sz w:val="24"/>
                <w:szCs w:val="24"/>
                <w:lang w:eastAsia="ar-SA"/>
              </w:rPr>
              <w:t>37,900</w:t>
            </w:r>
          </w:p>
        </w:tc>
        <w:tc>
          <w:tcPr>
            <w:tcW w:w="1348" w:type="dxa"/>
            <w:tcBorders>
              <w:top w:val="nil"/>
              <w:left w:val="nil"/>
              <w:bottom w:val="single" w:color="auto" w:sz="8" w:space="0"/>
              <w:right w:val="single" w:color="auto" w:sz="8" w:space="0"/>
            </w:tcBorders>
          </w:tcPr>
          <w:p w:rsidRPr="00D53669" w:rsidR="00D53669" w:rsidP="00D53669" w:rsidRDefault="00D53669" w14:paraId="53667BC7" w14:textId="77777777">
            <w:pPr>
              <w:snapToGrid w:val="0"/>
              <w:ind w:left="-104" w:firstLine="104"/>
              <w:jc w:val="right"/>
              <w:rPr>
                <w:sz w:val="24"/>
                <w:szCs w:val="24"/>
                <w:lang w:eastAsia="ar-SA"/>
              </w:rPr>
            </w:pPr>
            <w:r w:rsidRPr="00D53669">
              <w:rPr>
                <w:sz w:val="24"/>
                <w:szCs w:val="24"/>
                <w:lang w:eastAsia="ar-SA"/>
              </w:rPr>
              <w:t>1</w:t>
            </w:r>
          </w:p>
        </w:tc>
        <w:tc>
          <w:tcPr>
            <w:tcW w:w="1343" w:type="dxa"/>
            <w:tcBorders>
              <w:top w:val="nil"/>
              <w:left w:val="nil"/>
              <w:bottom w:val="single" w:color="auto" w:sz="8" w:space="0"/>
              <w:right w:val="single" w:color="auto" w:sz="8" w:space="0"/>
            </w:tcBorders>
          </w:tcPr>
          <w:p w:rsidRPr="00D53669" w:rsidR="00D53669" w:rsidP="00D53669" w:rsidRDefault="00D53669" w14:paraId="1DA764BA" w14:textId="77777777">
            <w:pPr>
              <w:snapToGrid w:val="0"/>
              <w:jc w:val="right"/>
              <w:rPr>
                <w:sz w:val="24"/>
                <w:szCs w:val="24"/>
                <w:lang w:eastAsia="ar-SA"/>
              </w:rPr>
            </w:pPr>
            <w:r w:rsidRPr="00D53669">
              <w:rPr>
                <w:sz w:val="24"/>
                <w:szCs w:val="24"/>
                <w:lang w:eastAsia="ar-SA"/>
              </w:rPr>
              <w:t>10</w:t>
            </w:r>
          </w:p>
        </w:tc>
        <w:tc>
          <w:tcPr>
            <w:tcW w:w="1337" w:type="dxa"/>
            <w:tcBorders>
              <w:top w:val="nil"/>
              <w:left w:val="nil"/>
              <w:bottom w:val="single" w:color="auto" w:sz="8" w:space="0"/>
              <w:right w:val="single" w:color="auto" w:sz="8" w:space="0"/>
            </w:tcBorders>
          </w:tcPr>
          <w:p w:rsidRPr="00D53669" w:rsidR="00D53669" w:rsidP="00D53669" w:rsidRDefault="00D53669" w14:paraId="39CFF6DB" w14:textId="77777777">
            <w:pPr>
              <w:snapToGrid w:val="0"/>
              <w:jc w:val="right"/>
              <w:rPr>
                <w:sz w:val="24"/>
                <w:szCs w:val="24"/>
                <w:lang w:eastAsia="ar-SA"/>
              </w:rPr>
            </w:pPr>
            <w:r w:rsidRPr="00D53669">
              <w:rPr>
                <w:sz w:val="24"/>
                <w:szCs w:val="24"/>
                <w:lang w:eastAsia="ar-SA"/>
              </w:rPr>
              <w:t>6,317</w:t>
            </w:r>
          </w:p>
        </w:tc>
        <w:tc>
          <w:tcPr>
            <w:tcW w:w="1389" w:type="dxa"/>
          </w:tcPr>
          <w:p w:rsidRPr="00D53669" w:rsidR="00D53669" w:rsidP="006D3E48" w:rsidRDefault="00D53669" w14:paraId="7A3E0DBD" w14:textId="10F426AF">
            <w:pPr>
              <w:contextualSpacing/>
              <w:jc w:val="right"/>
              <w:rPr>
                <w:sz w:val="24"/>
                <w:szCs w:val="24"/>
                <w:lang w:eastAsia="en-US"/>
              </w:rPr>
            </w:pPr>
            <w:r w:rsidRPr="00D53669">
              <w:rPr>
                <w:sz w:val="24"/>
                <w:szCs w:val="24"/>
                <w:lang w:eastAsia="en-US"/>
              </w:rPr>
              <w:t>$10.</w:t>
            </w:r>
            <w:r w:rsidR="006D3E48">
              <w:rPr>
                <w:sz w:val="24"/>
                <w:szCs w:val="24"/>
                <w:lang w:eastAsia="en-US"/>
              </w:rPr>
              <w:t>95</w:t>
            </w:r>
            <w:r w:rsidRPr="00D53669">
              <w:rPr>
                <w:sz w:val="24"/>
                <w:szCs w:val="24"/>
                <w:lang w:eastAsia="en-US"/>
              </w:rPr>
              <w:t>*</w:t>
            </w:r>
          </w:p>
        </w:tc>
        <w:tc>
          <w:tcPr>
            <w:tcW w:w="1510" w:type="dxa"/>
          </w:tcPr>
          <w:p w:rsidRPr="00D53669" w:rsidR="00D53669" w:rsidP="00D53669" w:rsidRDefault="00D53669" w14:paraId="39A2183A" w14:textId="77777777">
            <w:pPr>
              <w:contextualSpacing/>
              <w:jc w:val="right"/>
              <w:rPr>
                <w:sz w:val="24"/>
                <w:szCs w:val="24"/>
                <w:lang w:eastAsia="en-US"/>
              </w:rPr>
            </w:pPr>
            <w:r w:rsidRPr="00D53669">
              <w:rPr>
                <w:sz w:val="24"/>
                <w:szCs w:val="24"/>
                <w:lang w:eastAsia="en-US"/>
              </w:rPr>
              <w:t>24**</w:t>
            </w:r>
          </w:p>
        </w:tc>
        <w:tc>
          <w:tcPr>
            <w:tcW w:w="1510" w:type="dxa"/>
          </w:tcPr>
          <w:p w:rsidRPr="00D53669" w:rsidR="00D53669" w:rsidP="00831039" w:rsidRDefault="00D53669" w14:paraId="1A88399F" w14:textId="104729A1">
            <w:pPr>
              <w:contextualSpacing/>
              <w:jc w:val="right"/>
              <w:rPr>
                <w:sz w:val="24"/>
                <w:szCs w:val="24"/>
                <w:lang w:eastAsia="en-US"/>
              </w:rPr>
            </w:pPr>
            <w:r w:rsidRPr="00D53669">
              <w:rPr>
                <w:sz w:val="24"/>
                <w:szCs w:val="24"/>
                <w:lang w:eastAsia="en-US"/>
              </w:rPr>
              <w:t>$</w:t>
            </w:r>
            <w:r w:rsidR="00831039">
              <w:rPr>
                <w:sz w:val="24"/>
                <w:szCs w:val="24"/>
                <w:lang w:eastAsia="en-US"/>
              </w:rPr>
              <w:t>235,173</w:t>
            </w:r>
            <w:r w:rsidRPr="00D53669">
              <w:rPr>
                <w:sz w:val="24"/>
                <w:szCs w:val="24"/>
                <w:lang w:eastAsia="en-US"/>
              </w:rPr>
              <w:t>***</w:t>
            </w:r>
          </w:p>
        </w:tc>
      </w:tr>
      <w:tr w:rsidRPr="00D53669" w:rsidR="00D53669" w:rsidTr="00FD50BD" w14:paraId="342B17F9" w14:textId="77777777">
        <w:tc>
          <w:tcPr>
            <w:tcW w:w="1529" w:type="dxa"/>
            <w:shd w:val="clear" w:color="auto" w:fill="auto"/>
          </w:tcPr>
          <w:p w:rsidRPr="00D53669" w:rsidR="00D53669" w:rsidP="00D53669" w:rsidRDefault="00D53669" w14:paraId="52F2D05F" w14:textId="77777777">
            <w:pPr>
              <w:contextualSpacing/>
              <w:rPr>
                <w:sz w:val="24"/>
                <w:szCs w:val="24"/>
                <w:lang w:eastAsia="en-US"/>
              </w:rPr>
            </w:pPr>
            <w:r w:rsidRPr="00D53669">
              <w:rPr>
                <w:sz w:val="24"/>
                <w:szCs w:val="24"/>
                <w:lang w:eastAsia="en-US"/>
              </w:rPr>
              <w:t>i520 – Internet</w:t>
            </w:r>
          </w:p>
        </w:tc>
        <w:tc>
          <w:tcPr>
            <w:tcW w:w="1525" w:type="dxa"/>
            <w:tcBorders>
              <w:top w:val="nil"/>
              <w:left w:val="nil"/>
              <w:bottom w:val="single" w:color="auto" w:sz="8" w:space="0"/>
              <w:right w:val="single" w:color="auto" w:sz="8" w:space="0"/>
            </w:tcBorders>
          </w:tcPr>
          <w:p w:rsidRPr="00D53669" w:rsidR="00D53669" w:rsidP="00D53669" w:rsidRDefault="00D53669" w14:paraId="4830B915" w14:textId="77777777">
            <w:pPr>
              <w:snapToGrid w:val="0"/>
              <w:jc w:val="right"/>
              <w:rPr>
                <w:sz w:val="24"/>
                <w:szCs w:val="24"/>
                <w:lang w:eastAsia="ar-SA"/>
              </w:rPr>
            </w:pPr>
            <w:r w:rsidRPr="00D53669">
              <w:rPr>
                <w:sz w:val="24"/>
                <w:szCs w:val="24"/>
                <w:lang w:eastAsia="ar-SA"/>
              </w:rPr>
              <w:t>113,700</w:t>
            </w:r>
          </w:p>
        </w:tc>
        <w:tc>
          <w:tcPr>
            <w:tcW w:w="1348" w:type="dxa"/>
            <w:tcBorders>
              <w:top w:val="nil"/>
              <w:left w:val="nil"/>
              <w:bottom w:val="single" w:color="auto" w:sz="8" w:space="0"/>
              <w:right w:val="single" w:color="auto" w:sz="8" w:space="0"/>
            </w:tcBorders>
          </w:tcPr>
          <w:p w:rsidRPr="00D53669" w:rsidR="00D53669" w:rsidP="00D53669" w:rsidRDefault="00D53669" w14:paraId="10393C0A" w14:textId="77777777">
            <w:pPr>
              <w:snapToGrid w:val="0"/>
              <w:ind w:left="-104" w:firstLine="104"/>
              <w:jc w:val="right"/>
              <w:rPr>
                <w:sz w:val="24"/>
                <w:szCs w:val="24"/>
                <w:lang w:eastAsia="ar-SA"/>
              </w:rPr>
            </w:pPr>
            <w:r w:rsidRPr="00D53669">
              <w:rPr>
                <w:sz w:val="24"/>
                <w:szCs w:val="24"/>
                <w:lang w:eastAsia="ar-SA"/>
              </w:rPr>
              <w:t>1</w:t>
            </w:r>
          </w:p>
        </w:tc>
        <w:tc>
          <w:tcPr>
            <w:tcW w:w="1343" w:type="dxa"/>
            <w:tcBorders>
              <w:top w:val="nil"/>
              <w:left w:val="nil"/>
              <w:bottom w:val="single" w:color="auto" w:sz="8" w:space="0"/>
              <w:right w:val="single" w:color="auto" w:sz="8" w:space="0"/>
            </w:tcBorders>
          </w:tcPr>
          <w:p w:rsidRPr="00D53669" w:rsidR="00D53669" w:rsidP="00D53669" w:rsidRDefault="00D53669" w14:paraId="7EC10433" w14:textId="77777777">
            <w:pPr>
              <w:snapToGrid w:val="0"/>
              <w:jc w:val="right"/>
              <w:rPr>
                <w:sz w:val="24"/>
                <w:szCs w:val="24"/>
                <w:lang w:eastAsia="ar-SA"/>
              </w:rPr>
            </w:pPr>
            <w:r w:rsidRPr="00D53669">
              <w:rPr>
                <w:sz w:val="24"/>
                <w:szCs w:val="24"/>
                <w:lang w:eastAsia="ar-SA"/>
              </w:rPr>
              <w:t>15</w:t>
            </w:r>
          </w:p>
        </w:tc>
        <w:tc>
          <w:tcPr>
            <w:tcW w:w="1337" w:type="dxa"/>
            <w:tcBorders>
              <w:top w:val="nil"/>
              <w:left w:val="nil"/>
              <w:bottom w:val="single" w:color="auto" w:sz="8" w:space="0"/>
              <w:right w:val="single" w:color="auto" w:sz="8" w:space="0"/>
            </w:tcBorders>
          </w:tcPr>
          <w:p w:rsidRPr="00D53669" w:rsidR="00D53669" w:rsidP="00D53669" w:rsidRDefault="00D53669" w14:paraId="4DCB1E0D" w14:textId="77777777">
            <w:pPr>
              <w:snapToGrid w:val="0"/>
              <w:jc w:val="right"/>
              <w:rPr>
                <w:sz w:val="24"/>
                <w:szCs w:val="24"/>
                <w:lang w:eastAsia="ar-SA"/>
              </w:rPr>
            </w:pPr>
            <w:r w:rsidRPr="00D53669">
              <w:rPr>
                <w:sz w:val="24"/>
                <w:szCs w:val="24"/>
                <w:lang w:eastAsia="ar-SA"/>
              </w:rPr>
              <w:t>28,425</w:t>
            </w:r>
          </w:p>
        </w:tc>
        <w:tc>
          <w:tcPr>
            <w:tcW w:w="1389" w:type="dxa"/>
          </w:tcPr>
          <w:p w:rsidRPr="00D53669" w:rsidR="00D53669" w:rsidP="006D3E48" w:rsidRDefault="00D53669" w14:paraId="044CA694" w14:textId="57E04783">
            <w:pPr>
              <w:contextualSpacing/>
              <w:jc w:val="right"/>
              <w:rPr>
                <w:sz w:val="24"/>
                <w:szCs w:val="24"/>
                <w:lang w:eastAsia="en-US"/>
              </w:rPr>
            </w:pPr>
            <w:r w:rsidRPr="00D53669">
              <w:rPr>
                <w:sz w:val="24"/>
                <w:szCs w:val="24"/>
                <w:lang w:eastAsia="en-US"/>
              </w:rPr>
              <w:t>$10.</w:t>
            </w:r>
            <w:r w:rsidR="006D3E48">
              <w:rPr>
                <w:sz w:val="24"/>
                <w:szCs w:val="24"/>
                <w:lang w:eastAsia="en-US"/>
              </w:rPr>
              <w:t>95</w:t>
            </w:r>
            <w:r w:rsidRPr="00D53669">
              <w:rPr>
                <w:sz w:val="24"/>
                <w:szCs w:val="24"/>
                <w:lang w:eastAsia="en-US"/>
              </w:rPr>
              <w:t>*</w:t>
            </w:r>
          </w:p>
        </w:tc>
        <w:tc>
          <w:tcPr>
            <w:tcW w:w="1510" w:type="dxa"/>
          </w:tcPr>
          <w:p w:rsidRPr="00D53669" w:rsidR="00D53669" w:rsidP="00D53669" w:rsidRDefault="00D53669" w14:paraId="0B9F24AE" w14:textId="77777777">
            <w:pPr>
              <w:contextualSpacing/>
              <w:jc w:val="right"/>
              <w:rPr>
                <w:sz w:val="24"/>
                <w:szCs w:val="24"/>
                <w:lang w:eastAsia="en-US"/>
              </w:rPr>
            </w:pPr>
          </w:p>
        </w:tc>
        <w:tc>
          <w:tcPr>
            <w:tcW w:w="1510" w:type="dxa"/>
          </w:tcPr>
          <w:p w:rsidRPr="00D53669" w:rsidR="00D53669" w:rsidP="00831039" w:rsidRDefault="00D53669" w14:paraId="734EE16D" w14:textId="3AD2711C">
            <w:pPr>
              <w:contextualSpacing/>
              <w:jc w:val="right"/>
              <w:rPr>
                <w:sz w:val="24"/>
                <w:szCs w:val="24"/>
                <w:lang w:eastAsia="en-US"/>
              </w:rPr>
            </w:pPr>
            <w:r w:rsidRPr="00D53669">
              <w:rPr>
                <w:sz w:val="24"/>
                <w:szCs w:val="24"/>
                <w:lang w:eastAsia="en-US"/>
              </w:rPr>
              <w:t>$</w:t>
            </w:r>
            <w:r w:rsidR="00831039">
              <w:rPr>
                <w:sz w:val="24"/>
                <w:szCs w:val="24"/>
                <w:lang w:eastAsia="en-US"/>
              </w:rPr>
              <w:t>311,254</w:t>
            </w:r>
            <w:r w:rsidRPr="00D53669">
              <w:rPr>
                <w:sz w:val="24"/>
                <w:szCs w:val="24"/>
                <w:lang w:eastAsia="en-US"/>
              </w:rPr>
              <w:t>***</w:t>
            </w:r>
          </w:p>
        </w:tc>
      </w:tr>
      <w:tr w:rsidRPr="00D53669" w:rsidR="00D53669" w:rsidTr="00FD50BD" w14:paraId="6182FEF7" w14:textId="77777777">
        <w:tc>
          <w:tcPr>
            <w:tcW w:w="1529" w:type="dxa"/>
            <w:shd w:val="clear" w:color="auto" w:fill="auto"/>
          </w:tcPr>
          <w:p w:rsidRPr="00D53669" w:rsidR="00D53669" w:rsidP="00D53669" w:rsidRDefault="00D53669" w14:paraId="74436B38" w14:textId="77777777">
            <w:pPr>
              <w:contextualSpacing/>
              <w:rPr>
                <w:b/>
                <w:sz w:val="24"/>
                <w:szCs w:val="24"/>
                <w:lang w:eastAsia="en-US"/>
              </w:rPr>
            </w:pPr>
            <w:r w:rsidRPr="00D53669">
              <w:rPr>
                <w:b/>
                <w:sz w:val="24"/>
                <w:szCs w:val="24"/>
                <w:lang w:eastAsia="en-US"/>
              </w:rPr>
              <w:t>Totals</w:t>
            </w:r>
          </w:p>
        </w:tc>
        <w:tc>
          <w:tcPr>
            <w:tcW w:w="1525" w:type="dxa"/>
            <w:tcBorders>
              <w:top w:val="nil"/>
              <w:left w:val="nil"/>
              <w:bottom w:val="single" w:color="auto" w:sz="8" w:space="0"/>
              <w:right w:val="single" w:color="auto" w:sz="8" w:space="0"/>
            </w:tcBorders>
          </w:tcPr>
          <w:p w:rsidRPr="00D53669" w:rsidR="00D53669" w:rsidP="00D53669" w:rsidRDefault="00D53669" w14:paraId="59753349" w14:textId="77777777">
            <w:pPr>
              <w:snapToGrid w:val="0"/>
              <w:jc w:val="right"/>
              <w:rPr>
                <w:b/>
                <w:bCs/>
                <w:sz w:val="24"/>
                <w:szCs w:val="24"/>
                <w:lang w:eastAsia="ar-SA"/>
              </w:rPr>
            </w:pPr>
            <w:r w:rsidRPr="00D53669">
              <w:rPr>
                <w:b/>
                <w:bCs/>
                <w:sz w:val="24"/>
                <w:szCs w:val="24"/>
                <w:lang w:eastAsia="ar-SA"/>
              </w:rPr>
              <w:t>151,600</w:t>
            </w:r>
          </w:p>
        </w:tc>
        <w:tc>
          <w:tcPr>
            <w:tcW w:w="1348" w:type="dxa"/>
            <w:tcBorders>
              <w:top w:val="nil"/>
              <w:left w:val="nil"/>
              <w:bottom w:val="single" w:color="auto" w:sz="8" w:space="0"/>
              <w:right w:val="single" w:color="auto" w:sz="8" w:space="0"/>
            </w:tcBorders>
          </w:tcPr>
          <w:p w:rsidRPr="00D53669" w:rsidR="00D53669" w:rsidP="00D53669" w:rsidRDefault="00D53669" w14:paraId="003D5FC0" w14:textId="77777777">
            <w:pPr>
              <w:snapToGrid w:val="0"/>
              <w:ind w:left="-104" w:firstLine="104"/>
              <w:jc w:val="right"/>
              <w:rPr>
                <w:b/>
                <w:bCs/>
                <w:sz w:val="24"/>
                <w:szCs w:val="24"/>
                <w:lang w:eastAsia="ar-SA"/>
              </w:rPr>
            </w:pPr>
          </w:p>
        </w:tc>
        <w:tc>
          <w:tcPr>
            <w:tcW w:w="1343" w:type="dxa"/>
            <w:tcBorders>
              <w:top w:val="nil"/>
              <w:left w:val="nil"/>
              <w:bottom w:val="single" w:color="auto" w:sz="8" w:space="0"/>
              <w:right w:val="single" w:color="auto" w:sz="8" w:space="0"/>
            </w:tcBorders>
          </w:tcPr>
          <w:p w:rsidRPr="00D53669" w:rsidR="00D53669" w:rsidP="00D53669" w:rsidRDefault="00D53669" w14:paraId="4D8EEF43" w14:textId="77777777">
            <w:pPr>
              <w:snapToGrid w:val="0"/>
              <w:jc w:val="right"/>
              <w:rPr>
                <w:b/>
                <w:bCs/>
                <w:sz w:val="24"/>
                <w:szCs w:val="24"/>
                <w:lang w:eastAsia="ar-SA"/>
              </w:rPr>
            </w:pPr>
          </w:p>
        </w:tc>
        <w:tc>
          <w:tcPr>
            <w:tcW w:w="1337" w:type="dxa"/>
            <w:tcBorders>
              <w:top w:val="nil"/>
              <w:left w:val="nil"/>
              <w:bottom w:val="single" w:color="auto" w:sz="8" w:space="0"/>
              <w:right w:val="single" w:color="auto" w:sz="8" w:space="0"/>
            </w:tcBorders>
          </w:tcPr>
          <w:p w:rsidRPr="00D53669" w:rsidR="00D53669" w:rsidP="00D53669" w:rsidRDefault="00D53669" w14:paraId="7F7DC51D" w14:textId="77777777">
            <w:pPr>
              <w:snapToGrid w:val="0"/>
              <w:jc w:val="right"/>
              <w:rPr>
                <w:b/>
                <w:bCs/>
                <w:sz w:val="24"/>
                <w:szCs w:val="24"/>
                <w:lang w:eastAsia="ar-SA"/>
              </w:rPr>
            </w:pPr>
            <w:r w:rsidRPr="00D53669">
              <w:rPr>
                <w:b/>
                <w:bCs/>
                <w:sz w:val="24"/>
                <w:szCs w:val="24"/>
                <w:lang w:eastAsia="ar-SA"/>
              </w:rPr>
              <w:t>34,742</w:t>
            </w:r>
          </w:p>
        </w:tc>
        <w:tc>
          <w:tcPr>
            <w:tcW w:w="1389" w:type="dxa"/>
          </w:tcPr>
          <w:p w:rsidRPr="00D53669" w:rsidR="00D53669" w:rsidP="00D53669" w:rsidRDefault="00D53669" w14:paraId="16FFE7B8" w14:textId="77777777">
            <w:pPr>
              <w:contextualSpacing/>
              <w:jc w:val="right"/>
              <w:rPr>
                <w:b/>
                <w:sz w:val="24"/>
                <w:szCs w:val="24"/>
                <w:lang w:eastAsia="en-US"/>
              </w:rPr>
            </w:pPr>
          </w:p>
        </w:tc>
        <w:tc>
          <w:tcPr>
            <w:tcW w:w="1510" w:type="dxa"/>
          </w:tcPr>
          <w:p w:rsidRPr="00D53669" w:rsidR="00D53669" w:rsidP="00D53669" w:rsidRDefault="00D53669" w14:paraId="72692CD2" w14:textId="77777777">
            <w:pPr>
              <w:contextualSpacing/>
              <w:jc w:val="right"/>
              <w:rPr>
                <w:b/>
                <w:sz w:val="24"/>
                <w:szCs w:val="24"/>
                <w:lang w:eastAsia="en-US"/>
              </w:rPr>
            </w:pPr>
          </w:p>
        </w:tc>
        <w:tc>
          <w:tcPr>
            <w:tcW w:w="1510" w:type="dxa"/>
          </w:tcPr>
          <w:p w:rsidRPr="00D53669" w:rsidR="00D53669" w:rsidP="00831039" w:rsidRDefault="00D53669" w14:paraId="47E97038" w14:textId="48569D3F">
            <w:pPr>
              <w:contextualSpacing/>
              <w:jc w:val="right"/>
              <w:rPr>
                <w:b/>
                <w:sz w:val="24"/>
                <w:szCs w:val="24"/>
                <w:lang w:eastAsia="en-US"/>
              </w:rPr>
            </w:pPr>
            <w:r w:rsidRPr="00D53669">
              <w:rPr>
                <w:b/>
                <w:sz w:val="24"/>
                <w:szCs w:val="24"/>
                <w:lang w:eastAsia="en-US"/>
              </w:rPr>
              <w:t>$</w:t>
            </w:r>
            <w:r w:rsidR="00831039">
              <w:rPr>
                <w:b/>
                <w:sz w:val="24"/>
                <w:szCs w:val="24"/>
                <w:lang w:eastAsia="en-US"/>
              </w:rPr>
              <w:t>546,427</w:t>
            </w:r>
            <w:r w:rsidRPr="00D53669">
              <w:rPr>
                <w:b/>
                <w:sz w:val="24"/>
                <w:szCs w:val="24"/>
                <w:lang w:eastAsia="en-US"/>
              </w:rPr>
              <w:t>***</w:t>
            </w:r>
          </w:p>
        </w:tc>
      </w:tr>
    </w:tbl>
    <w:p w:rsidRPr="00D53669" w:rsidR="00D53669" w:rsidP="00D53669" w:rsidRDefault="00D53669" w14:paraId="0E9DA6F0" w14:textId="1442890D">
      <w:pPr>
        <w:widowControl w:val="0"/>
        <w:tabs>
          <w:tab w:val="left" w:pos="1440"/>
        </w:tabs>
        <w:autoSpaceDE w:val="0"/>
        <w:autoSpaceDN w:val="0"/>
        <w:adjustRightInd w:val="0"/>
        <w:ind w:left="1440"/>
        <w:contextualSpacing/>
        <w:rPr>
          <w:snapToGrid w:val="0"/>
          <w:sz w:val="24"/>
          <w:szCs w:val="24"/>
          <w:lang w:eastAsia="en-US"/>
        </w:rPr>
      </w:pPr>
      <w:r w:rsidRPr="00D53669">
        <w:rPr>
          <w:snapToGrid w:val="0"/>
          <w:sz w:val="24"/>
          <w:szCs w:val="24"/>
          <w:lang w:eastAsia="en-US"/>
        </w:rPr>
        <w:t>* We based this figure on average DI payments based on SSA's current FY 202</w:t>
      </w:r>
      <w:r w:rsidR="006D3E48">
        <w:rPr>
          <w:snapToGrid w:val="0"/>
          <w:sz w:val="24"/>
          <w:szCs w:val="24"/>
          <w:lang w:eastAsia="en-US"/>
        </w:rPr>
        <w:t>1</w:t>
      </w:r>
      <w:r w:rsidRPr="00D53669">
        <w:rPr>
          <w:snapToGrid w:val="0"/>
          <w:sz w:val="24"/>
          <w:szCs w:val="24"/>
          <w:lang w:eastAsia="en-US"/>
        </w:rPr>
        <w:t xml:space="preserve"> data (</w:t>
      </w:r>
      <w:hyperlink w:history="1" r:id="rId11">
        <w:r w:rsidRPr="006D3E48" w:rsidR="006D3E48">
          <w:rPr>
            <w:rStyle w:val="Hyperlink"/>
            <w:sz w:val="24"/>
            <w:szCs w:val="24"/>
          </w:rPr>
          <w:t>https://www.ssa.gov/legislation/2021FactSheet.pdf</w:t>
        </w:r>
      </w:hyperlink>
      <w:r w:rsidRPr="00D53669">
        <w:rPr>
          <w:snapToGrid w:val="0"/>
          <w:sz w:val="24"/>
          <w:szCs w:val="24"/>
          <w:lang w:eastAsia="en-US"/>
        </w:rPr>
        <w:t>).</w:t>
      </w:r>
    </w:p>
    <w:p w:rsidR="00D53669" w:rsidP="00D53669" w:rsidRDefault="00D53669" w14:paraId="5A8CF770" w14:textId="77777777">
      <w:pPr>
        <w:widowControl w:val="0"/>
        <w:tabs>
          <w:tab w:val="left" w:pos="1440"/>
        </w:tabs>
        <w:autoSpaceDE w:val="0"/>
        <w:autoSpaceDN w:val="0"/>
        <w:adjustRightInd w:val="0"/>
        <w:ind w:left="1440"/>
        <w:contextualSpacing/>
        <w:rPr>
          <w:snapToGrid w:val="0"/>
          <w:sz w:val="24"/>
          <w:szCs w:val="24"/>
          <w:lang w:eastAsia="en-US"/>
        </w:rPr>
      </w:pPr>
    </w:p>
    <w:p w:rsidRPr="00D53669" w:rsidR="00D53669" w:rsidP="00D53669" w:rsidRDefault="00D53669" w14:paraId="511A0254" w14:textId="7EE60CFB">
      <w:pPr>
        <w:widowControl w:val="0"/>
        <w:tabs>
          <w:tab w:val="left" w:pos="1440"/>
        </w:tabs>
        <w:autoSpaceDE w:val="0"/>
        <w:autoSpaceDN w:val="0"/>
        <w:adjustRightInd w:val="0"/>
        <w:ind w:left="1440"/>
        <w:contextualSpacing/>
        <w:rPr>
          <w:snapToGrid w:val="0"/>
          <w:sz w:val="24"/>
          <w:szCs w:val="24"/>
          <w:lang w:eastAsia="en-US"/>
        </w:rPr>
      </w:pPr>
      <w:r w:rsidRPr="00D53669">
        <w:rPr>
          <w:snapToGrid w:val="0"/>
          <w:sz w:val="24"/>
          <w:szCs w:val="24"/>
          <w:lang w:eastAsia="en-US"/>
        </w:rPr>
        <w:t>** We based this figure on the average FY 2020 wait times for field offices, based on SSA’s current management information data.</w:t>
      </w:r>
    </w:p>
    <w:p w:rsidR="00D53669" w:rsidP="00D53669" w:rsidRDefault="00D53669" w14:paraId="0CA2947E" w14:textId="77777777">
      <w:pPr>
        <w:pStyle w:val="ListParagraph"/>
        <w:tabs>
          <w:tab w:val="left" w:pos="1440"/>
        </w:tabs>
        <w:spacing w:after="0" w:line="240" w:lineRule="auto"/>
        <w:ind w:left="1440"/>
        <w:rPr>
          <w:rFonts w:ascii="Times New Roman" w:hAnsi="Times New Roman" w:eastAsia="SimSun"/>
          <w:sz w:val="24"/>
          <w:szCs w:val="24"/>
          <w:lang w:eastAsia="ar-SA"/>
        </w:rPr>
      </w:pPr>
    </w:p>
    <w:p w:rsidR="00252875" w:rsidP="00D53669" w:rsidRDefault="00D53669" w14:paraId="0E85D16F" w14:textId="4A115119">
      <w:pPr>
        <w:pStyle w:val="ListParagraph"/>
        <w:tabs>
          <w:tab w:val="left" w:pos="1440"/>
        </w:tabs>
        <w:spacing w:after="0" w:line="240" w:lineRule="auto"/>
        <w:ind w:left="1440"/>
        <w:rPr>
          <w:rFonts w:ascii="Times New Roman" w:hAnsi="Times New Roman"/>
          <w:sz w:val="24"/>
          <w:szCs w:val="24"/>
        </w:rPr>
      </w:pPr>
      <w:r w:rsidRPr="00D53669">
        <w:rPr>
          <w:rFonts w:ascii="Times New Roman" w:hAnsi="Times New Roman" w:eastAsia="SimSun"/>
          <w:sz w:val="24"/>
          <w:szCs w:val="24"/>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D53669">
        <w:rPr>
          <w:rFonts w:ascii="Times New Roman" w:hAnsi="Times New Roman" w:eastAsia="SimSun"/>
          <w:b/>
          <w:sz w:val="24"/>
          <w:szCs w:val="24"/>
          <w:u w:val="single"/>
          <w:lang w:eastAsia="ar-SA"/>
        </w:rPr>
        <w:t>There is no actual charge to respondents to complete the application</w:t>
      </w:r>
      <w:r w:rsidRPr="00C11552" w:rsidR="00252875">
        <w:rPr>
          <w:rFonts w:ascii="Times New Roman" w:hAnsi="Times New Roman"/>
          <w:sz w:val="24"/>
          <w:szCs w:val="24"/>
        </w:rPr>
        <w:t>.</w:t>
      </w:r>
    </w:p>
    <w:p w:rsidR="00381118" w:rsidP="00D53669" w:rsidRDefault="00381118" w14:paraId="156115E2" w14:textId="2A4D3DD3">
      <w:pPr>
        <w:pStyle w:val="ListParagraph"/>
        <w:tabs>
          <w:tab w:val="left" w:pos="1440"/>
        </w:tabs>
        <w:spacing w:after="0" w:line="240" w:lineRule="auto"/>
        <w:ind w:left="1440"/>
        <w:rPr>
          <w:rFonts w:ascii="Times New Roman" w:hAnsi="Times New Roman"/>
          <w:sz w:val="24"/>
          <w:szCs w:val="24"/>
        </w:rPr>
      </w:pPr>
    </w:p>
    <w:p w:rsidRPr="00381118" w:rsidR="00381118" w:rsidP="00381118" w:rsidRDefault="00381118" w14:paraId="29EC2F3A" w14:textId="77777777">
      <w:pPr>
        <w:suppressAutoHyphens/>
        <w:spacing w:line="100" w:lineRule="atLeast"/>
        <w:ind w:left="1440"/>
        <w:rPr>
          <w:kern w:val="1"/>
          <w:sz w:val="24"/>
          <w:szCs w:val="24"/>
          <w:lang w:eastAsia="ar-SA"/>
        </w:rPr>
      </w:pPr>
      <w:r w:rsidRPr="00381118">
        <w:rPr>
          <w:kern w:val="1"/>
          <w:sz w:val="24"/>
          <w:szCs w:val="24"/>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381118" w:rsidR="00381118" w:rsidP="00381118" w:rsidRDefault="00381118" w14:paraId="7924524B" w14:textId="77777777">
      <w:pPr>
        <w:suppressAutoHyphens/>
        <w:spacing w:line="100" w:lineRule="atLeast"/>
        <w:ind w:left="1440"/>
        <w:rPr>
          <w:kern w:val="1"/>
          <w:sz w:val="24"/>
          <w:szCs w:val="24"/>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381118" w:rsidR="00381118" w:rsidTr="00FD50BD" w14:paraId="06B3102D" w14:textId="77777777">
        <w:tc>
          <w:tcPr>
            <w:tcW w:w="1870" w:type="dxa"/>
          </w:tcPr>
          <w:p w:rsidRPr="00381118" w:rsidR="00381118" w:rsidP="00381118" w:rsidRDefault="00381118" w14:paraId="7D2A3641" w14:textId="77777777">
            <w:pPr>
              <w:suppressAutoHyphens/>
              <w:spacing w:line="100" w:lineRule="atLeast"/>
              <w:rPr>
                <w:kern w:val="1"/>
                <w:sz w:val="24"/>
                <w:szCs w:val="24"/>
                <w:lang w:eastAsia="ar-SA"/>
              </w:rPr>
            </w:pPr>
            <w:r w:rsidRPr="00381118">
              <w:rPr>
                <w:kern w:val="1"/>
                <w:sz w:val="24"/>
                <w:szCs w:val="24"/>
                <w:lang w:eastAsia="ar-SA"/>
              </w:rPr>
              <w:t>Total Number of Respondents Who Visit a Field Office</w:t>
            </w:r>
          </w:p>
        </w:tc>
        <w:tc>
          <w:tcPr>
            <w:tcW w:w="1870" w:type="dxa"/>
          </w:tcPr>
          <w:p w:rsidRPr="00381118" w:rsidR="00381118" w:rsidP="00381118" w:rsidRDefault="00381118" w14:paraId="57705E23" w14:textId="77777777">
            <w:pPr>
              <w:suppressAutoHyphens/>
              <w:spacing w:line="100" w:lineRule="atLeast"/>
              <w:rPr>
                <w:kern w:val="1"/>
                <w:sz w:val="24"/>
                <w:szCs w:val="24"/>
                <w:lang w:eastAsia="ar-SA"/>
              </w:rPr>
            </w:pPr>
            <w:r w:rsidRPr="00381118">
              <w:rPr>
                <w:kern w:val="1"/>
                <w:sz w:val="24"/>
                <w:szCs w:val="24"/>
                <w:lang w:eastAsia="ar-SA"/>
              </w:rPr>
              <w:t>Frequency of Response</w:t>
            </w:r>
          </w:p>
        </w:tc>
        <w:tc>
          <w:tcPr>
            <w:tcW w:w="1870" w:type="dxa"/>
          </w:tcPr>
          <w:p w:rsidRPr="00381118" w:rsidR="00381118" w:rsidP="00381118" w:rsidRDefault="00381118" w14:paraId="0CD84EBE" w14:textId="77777777">
            <w:pPr>
              <w:suppressAutoHyphens/>
              <w:spacing w:line="100" w:lineRule="atLeast"/>
              <w:rPr>
                <w:kern w:val="1"/>
                <w:sz w:val="24"/>
                <w:szCs w:val="24"/>
                <w:lang w:eastAsia="ar-SA"/>
              </w:rPr>
            </w:pPr>
            <w:r w:rsidRPr="00381118">
              <w:rPr>
                <w:kern w:val="1"/>
                <w:sz w:val="24"/>
                <w:szCs w:val="24"/>
                <w:lang w:eastAsia="ar-SA"/>
              </w:rPr>
              <w:t>Average One-Way Travel Time to a Field Office (minutes)</w:t>
            </w:r>
          </w:p>
        </w:tc>
        <w:tc>
          <w:tcPr>
            <w:tcW w:w="1870" w:type="dxa"/>
          </w:tcPr>
          <w:p w:rsidRPr="00381118" w:rsidR="00381118" w:rsidP="00381118" w:rsidRDefault="00381118" w14:paraId="61518352" w14:textId="77777777">
            <w:pPr>
              <w:suppressAutoHyphens/>
              <w:spacing w:line="100" w:lineRule="atLeast"/>
              <w:rPr>
                <w:kern w:val="1"/>
                <w:sz w:val="24"/>
                <w:szCs w:val="24"/>
                <w:lang w:eastAsia="ar-SA"/>
              </w:rPr>
            </w:pPr>
            <w:r w:rsidRPr="00381118">
              <w:rPr>
                <w:kern w:val="1"/>
                <w:sz w:val="24"/>
                <w:szCs w:val="24"/>
                <w:lang w:eastAsia="ar-SA"/>
              </w:rPr>
              <w:t>Estimated Total Travel Time to a Field Office (hours)</w:t>
            </w:r>
          </w:p>
        </w:tc>
        <w:tc>
          <w:tcPr>
            <w:tcW w:w="1870" w:type="dxa"/>
          </w:tcPr>
          <w:p w:rsidRPr="00381118" w:rsidR="00381118" w:rsidP="00381118" w:rsidRDefault="00381118" w14:paraId="0F27D8C1" w14:textId="77777777">
            <w:pPr>
              <w:suppressAutoHyphens/>
              <w:spacing w:line="100" w:lineRule="atLeast"/>
              <w:rPr>
                <w:kern w:val="1"/>
                <w:sz w:val="24"/>
                <w:szCs w:val="24"/>
                <w:lang w:eastAsia="ar-SA"/>
              </w:rPr>
            </w:pPr>
            <w:r w:rsidRPr="00381118">
              <w:rPr>
                <w:kern w:val="1"/>
                <w:sz w:val="24"/>
                <w:szCs w:val="24"/>
                <w:lang w:eastAsia="ar-SA"/>
              </w:rPr>
              <w:t>Total Annual Opportunity Cost for Travel Time (dollars)****</w:t>
            </w:r>
          </w:p>
        </w:tc>
      </w:tr>
      <w:tr w:rsidRPr="00381118" w:rsidR="00381118" w:rsidTr="00FD50BD" w14:paraId="52E7B6C6" w14:textId="77777777">
        <w:tc>
          <w:tcPr>
            <w:tcW w:w="1870" w:type="dxa"/>
          </w:tcPr>
          <w:p w:rsidRPr="00381118" w:rsidR="00381118" w:rsidP="00381118" w:rsidRDefault="00381118" w14:paraId="1E803A55" w14:textId="6283011B">
            <w:pPr>
              <w:suppressAutoHyphens/>
              <w:spacing w:line="100" w:lineRule="atLeast"/>
              <w:jc w:val="right"/>
              <w:rPr>
                <w:kern w:val="1"/>
                <w:sz w:val="24"/>
                <w:szCs w:val="24"/>
                <w:lang w:eastAsia="ar-SA"/>
              </w:rPr>
            </w:pPr>
            <w:r>
              <w:rPr>
                <w:rFonts w:eastAsia="Calibri"/>
                <w:sz w:val="24"/>
                <w:szCs w:val="24"/>
                <w:lang w:eastAsia="en-US"/>
              </w:rPr>
              <w:t>37,900</w:t>
            </w:r>
          </w:p>
        </w:tc>
        <w:tc>
          <w:tcPr>
            <w:tcW w:w="1870" w:type="dxa"/>
          </w:tcPr>
          <w:p w:rsidRPr="00381118" w:rsidR="00381118" w:rsidP="00381118" w:rsidRDefault="00381118" w14:paraId="384A9A42" w14:textId="77777777">
            <w:pPr>
              <w:suppressAutoHyphens/>
              <w:spacing w:line="100" w:lineRule="atLeast"/>
              <w:jc w:val="right"/>
              <w:rPr>
                <w:kern w:val="1"/>
                <w:sz w:val="24"/>
                <w:szCs w:val="24"/>
                <w:lang w:eastAsia="ar-SA"/>
              </w:rPr>
            </w:pPr>
            <w:r w:rsidRPr="00381118">
              <w:rPr>
                <w:kern w:val="1"/>
                <w:sz w:val="24"/>
                <w:szCs w:val="24"/>
                <w:lang w:eastAsia="ar-SA"/>
              </w:rPr>
              <w:t>1</w:t>
            </w:r>
          </w:p>
        </w:tc>
        <w:tc>
          <w:tcPr>
            <w:tcW w:w="1870" w:type="dxa"/>
          </w:tcPr>
          <w:p w:rsidRPr="00381118" w:rsidR="00381118" w:rsidP="00381118" w:rsidRDefault="00381118" w14:paraId="210CA57A" w14:textId="77777777">
            <w:pPr>
              <w:suppressAutoHyphens/>
              <w:spacing w:line="100" w:lineRule="atLeast"/>
              <w:jc w:val="right"/>
              <w:rPr>
                <w:kern w:val="1"/>
                <w:sz w:val="24"/>
                <w:szCs w:val="24"/>
                <w:lang w:eastAsia="ar-SA"/>
              </w:rPr>
            </w:pPr>
            <w:r w:rsidRPr="00381118">
              <w:rPr>
                <w:kern w:val="1"/>
                <w:sz w:val="24"/>
                <w:szCs w:val="24"/>
                <w:lang w:eastAsia="ar-SA"/>
              </w:rPr>
              <w:t>30</w:t>
            </w:r>
          </w:p>
        </w:tc>
        <w:tc>
          <w:tcPr>
            <w:tcW w:w="1870" w:type="dxa"/>
          </w:tcPr>
          <w:p w:rsidRPr="00381118" w:rsidR="00381118" w:rsidP="00381118" w:rsidRDefault="002D2B79" w14:paraId="7D350871" w14:textId="12AA6541">
            <w:pPr>
              <w:suppressAutoHyphens/>
              <w:spacing w:line="100" w:lineRule="atLeast"/>
              <w:jc w:val="right"/>
              <w:rPr>
                <w:kern w:val="1"/>
                <w:sz w:val="24"/>
                <w:szCs w:val="24"/>
                <w:lang w:eastAsia="ar-SA"/>
              </w:rPr>
            </w:pPr>
            <w:r>
              <w:rPr>
                <w:kern w:val="1"/>
                <w:sz w:val="24"/>
                <w:szCs w:val="24"/>
                <w:lang w:eastAsia="ar-SA"/>
              </w:rPr>
              <w:t>18,950</w:t>
            </w:r>
          </w:p>
        </w:tc>
        <w:tc>
          <w:tcPr>
            <w:tcW w:w="1870" w:type="dxa"/>
          </w:tcPr>
          <w:p w:rsidRPr="00381118" w:rsidR="00381118" w:rsidP="002D2B79" w:rsidRDefault="00381118" w14:paraId="7691D00F" w14:textId="5E31595A">
            <w:pPr>
              <w:suppressAutoHyphens/>
              <w:spacing w:line="100" w:lineRule="atLeast"/>
              <w:jc w:val="right"/>
              <w:rPr>
                <w:kern w:val="1"/>
                <w:sz w:val="24"/>
                <w:szCs w:val="24"/>
                <w:lang w:eastAsia="ar-SA"/>
              </w:rPr>
            </w:pPr>
            <w:r w:rsidRPr="00381118">
              <w:rPr>
                <w:kern w:val="1"/>
                <w:sz w:val="24"/>
                <w:szCs w:val="24"/>
                <w:lang w:eastAsia="ar-SA"/>
              </w:rPr>
              <w:t>$</w:t>
            </w:r>
            <w:r w:rsidR="002D2B79">
              <w:rPr>
                <w:kern w:val="1"/>
                <w:sz w:val="24"/>
                <w:szCs w:val="24"/>
                <w:lang w:eastAsia="ar-SA"/>
              </w:rPr>
              <w:t>207,503</w:t>
            </w:r>
          </w:p>
        </w:tc>
      </w:tr>
    </w:tbl>
    <w:p w:rsidRPr="00381118" w:rsidR="00381118" w:rsidP="00381118" w:rsidRDefault="00381118" w14:paraId="1E5BB65A" w14:textId="77777777">
      <w:pPr>
        <w:suppressAutoHyphens/>
        <w:spacing w:line="100" w:lineRule="atLeast"/>
        <w:ind w:left="1440"/>
        <w:rPr>
          <w:kern w:val="1"/>
          <w:sz w:val="24"/>
          <w:szCs w:val="24"/>
          <w:lang w:eastAsia="ar-SA"/>
        </w:rPr>
      </w:pPr>
      <w:r w:rsidRPr="00381118">
        <w:rPr>
          <w:kern w:val="1"/>
          <w:sz w:val="24"/>
          <w:szCs w:val="24"/>
          <w:lang w:eastAsia="ar-SA"/>
        </w:rPr>
        <w:t xml:space="preserve">****We based this dollar amount on the Average Theoretical Hourly Cost Amount in dollars shown on the burden chart above. </w:t>
      </w:r>
    </w:p>
    <w:p w:rsidRPr="00381118" w:rsidR="00381118" w:rsidP="00381118" w:rsidRDefault="00381118" w14:paraId="3F6F6E2A" w14:textId="77777777">
      <w:pPr>
        <w:suppressAutoHyphens/>
        <w:spacing w:line="100" w:lineRule="atLeast"/>
        <w:rPr>
          <w:kern w:val="1"/>
          <w:sz w:val="24"/>
          <w:szCs w:val="24"/>
          <w:lang w:eastAsia="ar-SA"/>
        </w:rPr>
      </w:pPr>
      <w:r w:rsidRPr="00381118">
        <w:rPr>
          <w:kern w:val="1"/>
          <w:sz w:val="24"/>
          <w:szCs w:val="24"/>
          <w:lang w:eastAsia="ar-SA"/>
        </w:rPr>
        <w:t xml:space="preserve"> </w:t>
      </w:r>
    </w:p>
    <w:p w:rsidRPr="00381118" w:rsidR="00381118" w:rsidP="00381118" w:rsidRDefault="00381118" w14:paraId="30E2286F" w14:textId="77777777">
      <w:pPr>
        <w:suppressAutoHyphens/>
        <w:spacing w:line="100" w:lineRule="atLeast"/>
        <w:ind w:left="1440"/>
        <w:rPr>
          <w:kern w:val="1"/>
          <w:sz w:val="24"/>
          <w:szCs w:val="24"/>
          <w:lang w:eastAsia="ar-SA"/>
        </w:rPr>
      </w:pPr>
      <w:r w:rsidRPr="00381118">
        <w:rPr>
          <w:kern w:val="1"/>
          <w:sz w:val="24"/>
          <w:szCs w:val="24"/>
          <w:lang w:eastAsia="ar-SA"/>
        </w:rPr>
        <w:t xml:space="preserve">Per OIRA, we include this travel time burden estimate under the 5 CFR 1320.8(a)(4), which requires us to provide “time, effort, or financial resources expended by persons [for]…transmitting, or otherwise disclosing the </w:t>
      </w:r>
      <w:r w:rsidRPr="00381118">
        <w:rPr>
          <w:kern w:val="1"/>
          <w:sz w:val="24"/>
          <w:szCs w:val="24"/>
          <w:lang w:eastAsia="ar-SA"/>
        </w:rPr>
        <w:lastRenderedPageBreak/>
        <w:t>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381118" w:rsidR="00381118" w:rsidP="00381118" w:rsidRDefault="00381118" w14:paraId="6F3608BB" w14:textId="77777777">
      <w:pPr>
        <w:suppressAutoHyphens/>
        <w:spacing w:line="100" w:lineRule="atLeast"/>
        <w:rPr>
          <w:kern w:val="1"/>
          <w:sz w:val="24"/>
          <w:szCs w:val="24"/>
          <w:lang w:eastAsia="ar-SA"/>
        </w:rPr>
      </w:pPr>
    </w:p>
    <w:p w:rsidRPr="00C11552" w:rsidR="00381118" w:rsidP="00381118" w:rsidRDefault="00381118" w14:paraId="70498FBB" w14:textId="06F9E90B">
      <w:pPr>
        <w:pStyle w:val="ListParagraph"/>
        <w:tabs>
          <w:tab w:val="left" w:pos="1440"/>
        </w:tabs>
        <w:spacing w:after="0" w:line="240" w:lineRule="auto"/>
        <w:ind w:left="1440"/>
        <w:rPr>
          <w:rFonts w:ascii="Times New Roman" w:hAnsi="Times New Roman"/>
          <w:sz w:val="24"/>
          <w:szCs w:val="24"/>
        </w:rPr>
      </w:pPr>
      <w:r w:rsidRPr="00381118">
        <w:rPr>
          <w:rFonts w:ascii="Times New Roman" w:hAnsi="Times New Roman" w:eastAsia="Times New Roman"/>
          <w:kern w:val="1"/>
          <w:sz w:val="24"/>
          <w:szCs w:val="24"/>
          <w:lang w:eastAsia="ar-SA"/>
        </w:rPr>
        <w:t>NOTE:  We included the total opportunity cost estimate from this chart in our calculations when showing the total opportunity cost estimates in the paragraph below.</w:t>
      </w:r>
    </w:p>
    <w:p w:rsidR="00B70E4F" w:rsidP="007F7C33" w:rsidRDefault="00B70E4F" w14:paraId="61FE2571" w14:textId="77777777">
      <w:pPr>
        <w:ind w:left="1440"/>
        <w:rPr>
          <w:rFonts w:eastAsia="Calibri"/>
          <w:sz w:val="24"/>
          <w:szCs w:val="24"/>
          <w:lang w:eastAsia="en-US"/>
        </w:rPr>
      </w:pPr>
    </w:p>
    <w:p w:rsidRPr="00C11552" w:rsidR="00252875" w:rsidP="007F7C33" w:rsidRDefault="00381118" w14:paraId="6C90A2E2" w14:textId="773D4281">
      <w:pPr>
        <w:pStyle w:val="ListParagraph"/>
        <w:ind w:left="1440"/>
        <w:rPr>
          <w:rFonts w:ascii="Times New Roman" w:hAnsi="Times New Roman"/>
          <w:sz w:val="24"/>
          <w:szCs w:val="24"/>
        </w:rPr>
      </w:pPr>
      <w:r w:rsidRPr="00381118">
        <w:rPr>
          <w:rFonts w:ascii="Times New Roman" w:hAnsi="Times New Roman" w:eastAsia="Times New Roman" w:cs="Courier New"/>
          <w:sz w:val="24"/>
          <w:szCs w:val="24"/>
          <w:lang w:eastAsia="zh-CN"/>
        </w:rPr>
        <w:t xml:space="preserve">The total burden for this ICR is </w:t>
      </w:r>
      <w:r>
        <w:rPr>
          <w:rFonts w:ascii="Times New Roman" w:hAnsi="Times New Roman" w:eastAsia="Times New Roman" w:cs="Courier New"/>
          <w:b/>
          <w:sz w:val="24"/>
          <w:szCs w:val="24"/>
          <w:lang w:eastAsia="zh-CN"/>
        </w:rPr>
        <w:t>34,742</w:t>
      </w:r>
      <w:r w:rsidRPr="00381118">
        <w:rPr>
          <w:rFonts w:ascii="Times New Roman" w:hAnsi="Times New Roman" w:eastAsia="Times New Roman" w:cs="Courier New"/>
          <w:sz w:val="24"/>
          <w:szCs w:val="24"/>
          <w:lang w:eastAsia="zh-CN"/>
        </w:rPr>
        <w:t xml:space="preserve"> burden hours (reflecting SSA management information data), which results in an associated theoretical (not actual) opportunity cost financial burden of </w:t>
      </w:r>
      <w:r w:rsidRPr="00381118">
        <w:rPr>
          <w:rFonts w:ascii="Times New Roman" w:hAnsi="Times New Roman" w:eastAsia="Times New Roman" w:cs="Courier New"/>
          <w:b/>
          <w:sz w:val="24"/>
          <w:szCs w:val="24"/>
          <w:lang w:eastAsia="zh-CN"/>
        </w:rPr>
        <w:t>$</w:t>
      </w:r>
      <w:r w:rsidR="002D2B79">
        <w:rPr>
          <w:rFonts w:ascii="Times New Roman" w:hAnsi="Times New Roman" w:eastAsia="Times New Roman" w:cs="Courier New"/>
          <w:b/>
          <w:sz w:val="24"/>
          <w:szCs w:val="24"/>
          <w:lang w:eastAsia="zh-CN"/>
        </w:rPr>
        <w:t>753,930</w:t>
      </w:r>
      <w:r w:rsidRPr="00381118">
        <w:rPr>
          <w:rFonts w:ascii="Times New Roman" w:hAnsi="Times New Roman" w:eastAsia="Times New Roman" w:cs="Courier New"/>
          <w:sz w:val="24"/>
          <w:szCs w:val="24"/>
          <w:lang w:eastAsia="zh-CN"/>
        </w:rPr>
        <w:t>.  SSA does not charge respondents to complete our applications</w:t>
      </w:r>
      <w:r w:rsidRPr="00381118">
        <w:rPr>
          <w:rFonts w:ascii="Times New Roman" w:hAnsi="Times New Roman" w:eastAsia="Times New Roman"/>
          <w:noProof/>
          <w:snapToGrid w:val="0"/>
          <w:sz w:val="24"/>
          <w:szCs w:val="24"/>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eastAsia="Times New Roman"/>
          <w:noProof/>
          <w:snapToGrid w:val="0"/>
          <w:sz w:val="24"/>
          <w:szCs w:val="24"/>
        </w:rPr>
        <w:t>10</w:t>
      </w:r>
      <w:r w:rsidRPr="00381118">
        <w:rPr>
          <w:rFonts w:ascii="Times New Roman" w:hAnsi="Times New Roman" w:eastAsia="Times New Roman"/>
          <w:noProof/>
          <w:snapToGrid w:val="0"/>
          <w:sz w:val="24"/>
          <w:szCs w:val="24"/>
        </w:rPr>
        <w:t xml:space="preserve"> and </w:t>
      </w:r>
      <w:r>
        <w:rPr>
          <w:rFonts w:ascii="Times New Roman" w:hAnsi="Times New Roman" w:eastAsia="Times New Roman"/>
          <w:noProof/>
          <w:snapToGrid w:val="0"/>
          <w:sz w:val="24"/>
          <w:szCs w:val="24"/>
        </w:rPr>
        <w:t>15</w:t>
      </w:r>
      <w:r w:rsidRPr="00381118">
        <w:rPr>
          <w:rFonts w:ascii="Times New Roman" w:hAnsi="Times New Roman" w:eastAsia="Times New Roman"/>
          <w:noProof/>
          <w:snapToGrid w:val="0"/>
          <w:sz w:val="24"/>
          <w:szCs w:val="24"/>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C11552" w:rsidR="00252875">
        <w:rPr>
          <w:rFonts w:ascii="Times New Roman" w:hAnsi="Times New Roman"/>
          <w:sz w:val="24"/>
          <w:szCs w:val="24"/>
        </w:rPr>
        <w:t>.</w:t>
      </w:r>
    </w:p>
    <w:p w:rsidRPr="000239D0" w:rsidR="000239D0" w:rsidP="000239D0" w:rsidRDefault="000239D0" w14:paraId="7863B112" w14:textId="77777777">
      <w:pPr>
        <w:pStyle w:val="ListParagraph"/>
        <w:spacing w:after="0"/>
        <w:ind w:left="1080"/>
        <w:rPr>
          <w:rFonts w:ascii="Times New Roman" w:hAnsi="Times New Roman"/>
          <w:sz w:val="24"/>
          <w:szCs w:val="24"/>
        </w:rPr>
      </w:pPr>
    </w:p>
    <w:p w:rsidRPr="000239D0" w:rsidR="00C82862" w:rsidP="007F7C33" w:rsidRDefault="000239D0" w14:paraId="46BC7860" w14:textId="1725718F">
      <w:pPr>
        <w:pStyle w:val="ListParagraph"/>
        <w:numPr>
          <w:ilvl w:val="0"/>
          <w:numId w:val="24"/>
        </w:numPr>
        <w:ind w:left="1440" w:hanging="720"/>
        <w:rPr>
          <w:rFonts w:ascii="Times New Roman" w:hAnsi="Times New Roman"/>
          <w:sz w:val="24"/>
          <w:szCs w:val="24"/>
        </w:rPr>
      </w:pPr>
      <w:r w:rsidRPr="000239D0">
        <w:rPr>
          <w:rFonts w:ascii="Times New Roman" w:hAnsi="Times New Roman"/>
          <w:b/>
          <w:sz w:val="24"/>
          <w:szCs w:val="24"/>
        </w:rPr>
        <w:t>Annual Cost to the Respondents (Other)</w:t>
      </w:r>
    </w:p>
    <w:p w:rsidRPr="000239D0" w:rsidR="000239D0" w:rsidP="007F7C33" w:rsidRDefault="000239D0" w14:paraId="0384D0BA" w14:textId="5C765511">
      <w:pPr>
        <w:pStyle w:val="ListParagraph"/>
        <w:ind w:left="1440"/>
        <w:rPr>
          <w:rFonts w:ascii="Times New Roman" w:hAnsi="Times New Roman"/>
          <w:sz w:val="24"/>
          <w:szCs w:val="24"/>
        </w:rPr>
      </w:pPr>
      <w:r w:rsidRPr="000239D0">
        <w:rPr>
          <w:rFonts w:ascii="Times New Roman" w:hAnsi="Times New Roman"/>
          <w:sz w:val="24"/>
          <w:szCs w:val="24"/>
        </w:rPr>
        <w:t>This collection does not impose a known cost burden to the respondents</w:t>
      </w:r>
      <w:r w:rsidRPr="000239D0">
        <w:rPr>
          <w:rFonts w:ascii="Times New Roman" w:hAnsi="Times New Roman"/>
          <w:bCs/>
          <w:sz w:val="24"/>
          <w:szCs w:val="24"/>
        </w:rPr>
        <w:t>.</w:t>
      </w:r>
    </w:p>
    <w:p w:rsidRPr="000239D0" w:rsidR="000239D0" w:rsidP="007F7C33" w:rsidRDefault="000239D0" w14:paraId="194820CD" w14:textId="77777777">
      <w:pPr>
        <w:pStyle w:val="ListParagraph"/>
        <w:ind w:left="1440"/>
        <w:rPr>
          <w:rFonts w:ascii="Times New Roman" w:hAnsi="Times New Roman"/>
          <w:sz w:val="24"/>
          <w:szCs w:val="24"/>
        </w:rPr>
      </w:pPr>
    </w:p>
    <w:p w:rsidRPr="007F7C33" w:rsidR="00252875" w:rsidP="004815D8" w:rsidRDefault="000239D0" w14:paraId="74E88478" w14:textId="6B30C8C6">
      <w:pPr>
        <w:pStyle w:val="ListParagraph"/>
        <w:numPr>
          <w:ilvl w:val="0"/>
          <w:numId w:val="24"/>
        </w:numPr>
        <w:ind w:left="1440" w:hanging="720"/>
        <w:rPr>
          <w:rFonts w:ascii="Times New Roman" w:hAnsi="Times New Roman"/>
          <w:color w:val="000000"/>
          <w:sz w:val="24"/>
          <w:szCs w:val="24"/>
        </w:rPr>
      </w:pPr>
      <w:r w:rsidRPr="007F7C33">
        <w:rPr>
          <w:rFonts w:ascii="Times New Roman" w:hAnsi="Times New Roman"/>
          <w:b/>
          <w:sz w:val="24"/>
          <w:szCs w:val="24"/>
        </w:rPr>
        <w:t>Annual Cost to Federal Government</w:t>
      </w:r>
    </w:p>
    <w:p w:rsidR="00252875" w:rsidP="007F7C33" w:rsidRDefault="00252875" w14:paraId="48F0A2C0" w14:textId="68C498A1">
      <w:pPr>
        <w:pStyle w:val="ListParagraph"/>
        <w:ind w:left="1440"/>
        <w:rPr>
          <w:rFonts w:ascii="Times New Roman" w:hAnsi="Times New Roman"/>
          <w:color w:val="000000"/>
          <w:sz w:val="24"/>
          <w:szCs w:val="24"/>
        </w:rPr>
      </w:pPr>
      <w:r>
        <w:rPr>
          <w:rFonts w:ascii="Times New Roman" w:hAnsi="Times New Roman"/>
          <w:color w:val="000000"/>
          <w:sz w:val="24"/>
          <w:szCs w:val="24"/>
        </w:rPr>
        <w:t>The annual cost to the Federal Government is approximately $92</w:t>
      </w:r>
      <w:r w:rsidR="00521B56">
        <w:rPr>
          <w:rFonts w:ascii="Times New Roman" w:hAnsi="Times New Roman"/>
          <w:color w:val="000000"/>
          <w:sz w:val="24"/>
          <w:szCs w:val="24"/>
        </w:rPr>
        <w:t>3</w:t>
      </w:r>
      <w:r>
        <w:rPr>
          <w:rFonts w:ascii="Times New Roman" w:hAnsi="Times New Roman"/>
          <w:color w:val="000000"/>
          <w:sz w:val="24"/>
          <w:szCs w:val="24"/>
        </w:rPr>
        <w:t>,</w:t>
      </w:r>
      <w:r w:rsidR="00521B56">
        <w:rPr>
          <w:rFonts w:ascii="Times New Roman" w:hAnsi="Times New Roman"/>
          <w:color w:val="000000"/>
          <w:sz w:val="24"/>
          <w:szCs w:val="24"/>
        </w:rPr>
        <w:t>4</w:t>
      </w:r>
      <w:r>
        <w:rPr>
          <w:rFonts w:ascii="Times New Roman" w:hAnsi="Times New Roman"/>
          <w:color w:val="000000"/>
          <w:sz w:val="24"/>
          <w:szCs w:val="24"/>
        </w:rPr>
        <w:t>57.  This estimate accounts for costs from the following areas:</w:t>
      </w:r>
    </w:p>
    <w:p w:rsidR="00B70E4F" w:rsidP="00C11552" w:rsidRDefault="00B70E4F" w14:paraId="0BABE6EA" w14:textId="77777777">
      <w:pPr>
        <w:pStyle w:val="ListParagraph"/>
        <w:ind w:left="1080"/>
        <w:rPr>
          <w:rFonts w:ascii="Times New Roman" w:hAnsi="Times New Roman"/>
          <w:b/>
          <w:sz w:val="24"/>
          <w:szCs w:val="24"/>
        </w:rPr>
      </w:pPr>
    </w:p>
    <w:tbl>
      <w:tblPr>
        <w:tblW w:w="8190" w:type="dxa"/>
        <w:tblInd w:w="1160" w:type="dxa"/>
        <w:tblCellMar>
          <w:left w:w="0" w:type="dxa"/>
          <w:right w:w="0" w:type="dxa"/>
        </w:tblCellMar>
        <w:tblLook w:val="04A0" w:firstRow="1" w:lastRow="0" w:firstColumn="1" w:lastColumn="0" w:noHBand="0" w:noVBand="1"/>
      </w:tblPr>
      <w:tblGrid>
        <w:gridCol w:w="3240"/>
        <w:gridCol w:w="3060"/>
        <w:gridCol w:w="1890"/>
      </w:tblGrid>
      <w:tr w:rsidR="00B70E4F" w:rsidTr="00B70E4F" w14:paraId="6936DD10" w14:textId="77777777">
        <w:trPr>
          <w:trHeight w:val="490"/>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252875" w:rsidRDefault="00252875" w14:paraId="1D3EA57B" w14:textId="77777777">
            <w:pPr>
              <w:snapToGrid w:val="0"/>
              <w:rPr>
                <w:b/>
                <w:bCs/>
                <w:color w:val="000000"/>
                <w:sz w:val="24"/>
                <w:szCs w:val="24"/>
                <w:lang w:eastAsia="en-US"/>
              </w:rPr>
            </w:pPr>
            <w:r>
              <w:rPr>
                <w:b/>
                <w:bCs/>
                <w:color w:val="000000"/>
                <w:sz w:val="24"/>
                <w:szCs w:val="24"/>
              </w:rPr>
              <w:t>Description of Cost Factor</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252875" w:rsidRDefault="00252875" w14:paraId="075F132A" w14:textId="77777777">
            <w:pPr>
              <w:snapToGrid w:val="0"/>
              <w:rPr>
                <w:b/>
                <w:bCs/>
                <w:color w:val="000000"/>
                <w:sz w:val="24"/>
                <w:szCs w:val="24"/>
              </w:rPr>
            </w:pPr>
            <w:r>
              <w:rPr>
                <w:b/>
                <w:bCs/>
                <w:color w:val="000000"/>
                <w:sz w:val="24"/>
                <w:szCs w:val="24"/>
              </w:rPr>
              <w:t>Methodology for Estimating Cost</w:t>
            </w: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252875" w:rsidRDefault="00252875" w14:paraId="656EDD90" w14:textId="77777777">
            <w:pPr>
              <w:snapToGrid w:val="0"/>
              <w:rPr>
                <w:b/>
                <w:bCs/>
                <w:color w:val="000000"/>
                <w:sz w:val="24"/>
                <w:szCs w:val="24"/>
              </w:rPr>
            </w:pPr>
            <w:r>
              <w:rPr>
                <w:b/>
                <w:bCs/>
                <w:color w:val="000000"/>
                <w:sz w:val="24"/>
                <w:szCs w:val="24"/>
              </w:rPr>
              <w:t>Cost in Dollars*</w:t>
            </w:r>
          </w:p>
        </w:tc>
      </w:tr>
      <w:tr w:rsidR="00B70E4F" w:rsidTr="00B70E4F" w14:paraId="43FD171F" w14:textId="77777777">
        <w:trPr>
          <w:trHeight w:val="512"/>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52875" w:rsidRDefault="00252875" w14:paraId="78CBA366" w14:textId="77777777">
            <w:pPr>
              <w:snapToGrid w:val="0"/>
              <w:rPr>
                <w:color w:val="000000"/>
                <w:sz w:val="24"/>
                <w:szCs w:val="24"/>
              </w:rPr>
            </w:pPr>
            <w:r>
              <w:rPr>
                <w:color w:val="000000"/>
                <w:sz w:val="24"/>
                <w:szCs w:val="24"/>
              </w:rPr>
              <w:t>Designing and Printing the Form</w:t>
            </w:r>
          </w:p>
        </w:tc>
        <w:tc>
          <w:tcPr>
            <w:tcW w:w="3060" w:type="dxa"/>
            <w:tcBorders>
              <w:top w:val="nil"/>
              <w:left w:val="nil"/>
              <w:bottom w:val="single" w:color="auto" w:sz="8" w:space="0"/>
              <w:right w:val="single" w:color="auto" w:sz="8" w:space="0"/>
            </w:tcBorders>
            <w:tcMar>
              <w:top w:w="0" w:type="dxa"/>
              <w:left w:w="108" w:type="dxa"/>
              <w:bottom w:w="0" w:type="dxa"/>
              <w:right w:w="108" w:type="dxa"/>
            </w:tcMar>
            <w:hideMark/>
          </w:tcPr>
          <w:p w:rsidR="00252875" w:rsidRDefault="00252875" w14:paraId="3748722C" w14:textId="77777777">
            <w:pPr>
              <w:snapToGrid w:val="0"/>
              <w:rPr>
                <w:color w:val="000000"/>
                <w:sz w:val="24"/>
                <w:szCs w:val="24"/>
              </w:rPr>
            </w:pPr>
            <w:r>
              <w:rPr>
                <w:color w:val="000000"/>
                <w:sz w:val="24"/>
                <w:szCs w:val="24"/>
              </w:rPr>
              <w:t>Design Cost + Printing Cost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00252875" w:rsidRDefault="00252875" w14:paraId="7150CE09" w14:textId="77777777">
            <w:pPr>
              <w:snapToGrid w:val="0"/>
              <w:jc w:val="right"/>
              <w:rPr>
                <w:color w:val="000000"/>
                <w:sz w:val="24"/>
                <w:szCs w:val="24"/>
              </w:rPr>
            </w:pPr>
            <w:r>
              <w:rPr>
                <w:color w:val="000000"/>
                <w:sz w:val="24"/>
                <w:szCs w:val="24"/>
              </w:rPr>
              <w:t>$8,370</w:t>
            </w:r>
          </w:p>
        </w:tc>
      </w:tr>
      <w:tr w:rsidR="00B70E4F" w:rsidTr="00D67F0A" w14:paraId="2028F50B" w14:textId="77777777">
        <w:trPr>
          <w:trHeight w:val="547"/>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52875" w:rsidRDefault="00252875" w14:paraId="5F6CD0CF" w14:textId="77777777">
            <w:pPr>
              <w:snapToGrid w:val="0"/>
              <w:rPr>
                <w:color w:val="000000"/>
                <w:sz w:val="24"/>
                <w:szCs w:val="24"/>
              </w:rPr>
            </w:pPr>
            <w:r>
              <w:rPr>
                <w:color w:val="000000"/>
                <w:sz w:val="24"/>
                <w:szCs w:val="24"/>
              </w:rPr>
              <w:t>Distributing, Shipping, and Material Costs for the Form</w:t>
            </w:r>
          </w:p>
        </w:tc>
        <w:tc>
          <w:tcPr>
            <w:tcW w:w="3060" w:type="dxa"/>
            <w:tcBorders>
              <w:top w:val="nil"/>
              <w:left w:val="nil"/>
              <w:bottom w:val="single" w:color="auto" w:sz="8" w:space="0"/>
              <w:right w:val="single" w:color="auto" w:sz="8" w:space="0"/>
            </w:tcBorders>
            <w:tcMar>
              <w:top w:w="0" w:type="dxa"/>
              <w:left w:w="108" w:type="dxa"/>
              <w:bottom w:w="0" w:type="dxa"/>
              <w:right w:w="108" w:type="dxa"/>
            </w:tcMar>
            <w:hideMark/>
          </w:tcPr>
          <w:p w:rsidR="00252875" w:rsidRDefault="00252875" w14:paraId="6C937927" w14:textId="77777777">
            <w:pPr>
              <w:snapToGrid w:val="0"/>
              <w:rPr>
                <w:color w:val="000000"/>
                <w:sz w:val="24"/>
                <w:szCs w:val="24"/>
              </w:rPr>
            </w:pPr>
            <w:r>
              <w:rPr>
                <w:color w:val="000000"/>
                <w:sz w:val="24"/>
                <w:szCs w:val="24"/>
              </w:rPr>
              <w:t>Distribution + Shipping + Material Cost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00252875" w:rsidRDefault="00252875" w14:paraId="709BB2D8" w14:textId="77777777">
            <w:pPr>
              <w:snapToGrid w:val="0"/>
              <w:jc w:val="right"/>
              <w:rPr>
                <w:color w:val="000000"/>
                <w:sz w:val="24"/>
                <w:szCs w:val="24"/>
              </w:rPr>
            </w:pPr>
            <w:r>
              <w:rPr>
                <w:color w:val="000000"/>
                <w:sz w:val="24"/>
                <w:szCs w:val="24"/>
              </w:rPr>
              <w:t>$5,175</w:t>
            </w:r>
          </w:p>
        </w:tc>
      </w:tr>
      <w:tr w:rsidR="00B70E4F" w:rsidTr="00D67F0A" w14:paraId="2A817CA6" w14:textId="77777777">
        <w:trPr>
          <w:trHeight w:val="1150"/>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52875" w:rsidRDefault="00252875" w14:paraId="5E4D621D" w14:textId="77777777">
            <w:pPr>
              <w:snapToGrid w:val="0"/>
              <w:rPr>
                <w:color w:val="000000"/>
                <w:sz w:val="24"/>
                <w:szCs w:val="24"/>
              </w:rPr>
            </w:pPr>
            <w:r>
              <w:rPr>
                <w:color w:val="000000"/>
                <w:sz w:val="24"/>
                <w:szCs w:val="24"/>
              </w:rPr>
              <w:t>SSA Employee (e.g., field office, 800 number, DDS staff) Information Collection and Processing Time</w:t>
            </w:r>
          </w:p>
        </w:tc>
        <w:tc>
          <w:tcPr>
            <w:tcW w:w="3060" w:type="dxa"/>
            <w:tcBorders>
              <w:top w:val="nil"/>
              <w:left w:val="nil"/>
              <w:bottom w:val="single" w:color="auto" w:sz="8" w:space="0"/>
              <w:right w:val="single" w:color="auto" w:sz="8" w:space="0"/>
            </w:tcBorders>
            <w:tcMar>
              <w:top w:w="0" w:type="dxa"/>
              <w:left w:w="108" w:type="dxa"/>
              <w:bottom w:w="0" w:type="dxa"/>
              <w:right w:w="108" w:type="dxa"/>
            </w:tcMar>
            <w:hideMark/>
          </w:tcPr>
          <w:p w:rsidR="00252875" w:rsidRDefault="00252875" w14:paraId="59B9D870" w14:textId="77777777">
            <w:pPr>
              <w:snapToGrid w:val="0"/>
              <w:rPr>
                <w:color w:val="000000"/>
                <w:sz w:val="24"/>
                <w:szCs w:val="24"/>
              </w:rPr>
            </w:pPr>
            <w:r>
              <w:rPr>
                <w:color w:val="000000"/>
                <w:sz w:val="24"/>
                <w:szCs w:val="24"/>
              </w:rPr>
              <w:t>GS-9 employee x # of responses x processing time</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00252875" w:rsidRDefault="00252875" w14:paraId="49B11BBA" w14:textId="77777777">
            <w:pPr>
              <w:snapToGrid w:val="0"/>
              <w:jc w:val="right"/>
              <w:rPr>
                <w:color w:val="000000"/>
                <w:sz w:val="24"/>
                <w:szCs w:val="24"/>
              </w:rPr>
            </w:pPr>
            <w:r>
              <w:rPr>
                <w:color w:val="000000"/>
                <w:sz w:val="24"/>
                <w:szCs w:val="24"/>
              </w:rPr>
              <w:t>$903,292</w:t>
            </w:r>
          </w:p>
        </w:tc>
      </w:tr>
      <w:tr w:rsidR="00B70E4F" w:rsidTr="00D67F0A" w14:paraId="7AF2D67C" w14:textId="77777777">
        <w:trPr>
          <w:trHeight w:val="745"/>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52875" w:rsidRDefault="00252875" w14:paraId="4497AA1F" w14:textId="77777777">
            <w:pPr>
              <w:snapToGrid w:val="0"/>
              <w:rPr>
                <w:color w:val="000000"/>
                <w:sz w:val="24"/>
                <w:szCs w:val="24"/>
              </w:rPr>
            </w:pPr>
            <w:r>
              <w:rPr>
                <w:color w:val="000000"/>
                <w:sz w:val="24"/>
                <w:szCs w:val="24"/>
              </w:rPr>
              <w:lastRenderedPageBreak/>
              <w:t>Full-Time Equivalent Costs</w:t>
            </w:r>
          </w:p>
        </w:tc>
        <w:tc>
          <w:tcPr>
            <w:tcW w:w="3060" w:type="dxa"/>
            <w:tcBorders>
              <w:top w:val="nil"/>
              <w:left w:val="nil"/>
              <w:bottom w:val="single" w:color="auto" w:sz="8" w:space="0"/>
              <w:right w:val="single" w:color="auto" w:sz="8" w:space="0"/>
            </w:tcBorders>
            <w:tcMar>
              <w:top w:w="0" w:type="dxa"/>
              <w:left w:w="108" w:type="dxa"/>
              <w:bottom w:w="0" w:type="dxa"/>
              <w:right w:w="108" w:type="dxa"/>
            </w:tcMar>
            <w:hideMark/>
          </w:tcPr>
          <w:p w:rsidR="00252875" w:rsidRDefault="00252875" w14:paraId="09663B7C" w14:textId="77777777">
            <w:pPr>
              <w:snapToGrid w:val="0"/>
              <w:rPr>
                <w:color w:val="000000"/>
                <w:sz w:val="24"/>
                <w:szCs w:val="24"/>
              </w:rPr>
            </w:pPr>
            <w:r>
              <w:rPr>
                <w:color w:val="000000"/>
                <w:sz w:val="24"/>
                <w:szCs w:val="24"/>
              </w:rPr>
              <w:t>Out of pocket costs + Other expenses for providing this service</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00252875" w:rsidRDefault="00252875" w14:paraId="3204BDD1" w14:textId="77777777">
            <w:pPr>
              <w:snapToGrid w:val="0"/>
              <w:jc w:val="right"/>
              <w:rPr>
                <w:color w:val="000000"/>
                <w:sz w:val="24"/>
                <w:szCs w:val="24"/>
              </w:rPr>
            </w:pPr>
            <w:r>
              <w:rPr>
                <w:color w:val="000000"/>
                <w:sz w:val="24"/>
                <w:szCs w:val="24"/>
              </w:rPr>
              <w:t>$0</w:t>
            </w:r>
          </w:p>
        </w:tc>
      </w:tr>
      <w:tr w:rsidR="00B70E4F" w:rsidTr="00D67F0A" w14:paraId="1568A218" w14:textId="77777777">
        <w:trPr>
          <w:trHeight w:val="880"/>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52875" w:rsidRDefault="00252875" w14:paraId="511B51E6" w14:textId="77777777">
            <w:pPr>
              <w:snapToGrid w:val="0"/>
              <w:rPr>
                <w:color w:val="000000"/>
                <w:sz w:val="24"/>
                <w:szCs w:val="24"/>
              </w:rPr>
            </w:pPr>
            <w:r>
              <w:rPr>
                <w:color w:val="000000"/>
                <w:sz w:val="24"/>
                <w:szCs w:val="24"/>
              </w:rPr>
              <w:t>Systems Development, Updating, and Maintenance</w:t>
            </w:r>
          </w:p>
        </w:tc>
        <w:tc>
          <w:tcPr>
            <w:tcW w:w="3060" w:type="dxa"/>
            <w:tcBorders>
              <w:top w:val="nil"/>
              <w:left w:val="nil"/>
              <w:bottom w:val="single" w:color="auto" w:sz="8" w:space="0"/>
              <w:right w:val="single" w:color="auto" w:sz="8" w:space="0"/>
            </w:tcBorders>
            <w:tcMar>
              <w:top w:w="0" w:type="dxa"/>
              <w:left w:w="108" w:type="dxa"/>
              <w:bottom w:w="0" w:type="dxa"/>
              <w:right w:w="108" w:type="dxa"/>
            </w:tcMar>
            <w:hideMark/>
          </w:tcPr>
          <w:p w:rsidR="00252875" w:rsidRDefault="00252875" w14:paraId="2021D254" w14:textId="77777777">
            <w:pPr>
              <w:snapToGrid w:val="0"/>
              <w:rPr>
                <w:color w:val="000000"/>
                <w:sz w:val="24"/>
                <w:szCs w:val="24"/>
              </w:rPr>
            </w:pPr>
            <w:r>
              <w:rPr>
                <w:color w:val="000000"/>
                <w:sz w:val="24"/>
                <w:szCs w:val="24"/>
              </w:rPr>
              <w:t>GS-9 employee x man hours for development, updating, maintenance</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00252875" w:rsidRDefault="00252875" w14:paraId="4C8E97F6" w14:textId="1ABA432C">
            <w:pPr>
              <w:snapToGrid w:val="0"/>
              <w:jc w:val="right"/>
              <w:rPr>
                <w:color w:val="000000"/>
                <w:sz w:val="24"/>
                <w:szCs w:val="24"/>
              </w:rPr>
            </w:pPr>
            <w:r>
              <w:rPr>
                <w:color w:val="000000"/>
                <w:sz w:val="24"/>
                <w:szCs w:val="24"/>
              </w:rPr>
              <w:t>$</w:t>
            </w:r>
            <w:r w:rsidRPr="00521B56" w:rsidR="00521B56">
              <w:rPr>
                <w:sz w:val="24"/>
                <w:szCs w:val="24"/>
              </w:rPr>
              <w:t>6,620</w:t>
            </w:r>
          </w:p>
        </w:tc>
      </w:tr>
      <w:tr w:rsidR="00B70E4F" w:rsidTr="00D67F0A" w14:paraId="03D95933" w14:textId="77777777">
        <w:trPr>
          <w:trHeight w:val="340"/>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52875" w:rsidRDefault="00252875" w14:paraId="6A1F3182" w14:textId="77777777">
            <w:pPr>
              <w:snapToGrid w:val="0"/>
              <w:rPr>
                <w:color w:val="000000"/>
                <w:sz w:val="24"/>
                <w:szCs w:val="24"/>
              </w:rPr>
            </w:pPr>
            <w:r>
              <w:rPr>
                <w:color w:val="000000"/>
                <w:sz w:val="24"/>
                <w:szCs w:val="24"/>
              </w:rPr>
              <w:t>Quantifiable IT Costs</w:t>
            </w:r>
          </w:p>
        </w:tc>
        <w:tc>
          <w:tcPr>
            <w:tcW w:w="3060" w:type="dxa"/>
            <w:tcBorders>
              <w:top w:val="nil"/>
              <w:left w:val="nil"/>
              <w:bottom w:val="single" w:color="auto" w:sz="8" w:space="0"/>
              <w:right w:val="single" w:color="auto" w:sz="8" w:space="0"/>
            </w:tcBorders>
            <w:tcMar>
              <w:top w:w="0" w:type="dxa"/>
              <w:left w:w="108" w:type="dxa"/>
              <w:bottom w:w="0" w:type="dxa"/>
              <w:right w:w="108" w:type="dxa"/>
            </w:tcMar>
            <w:hideMark/>
          </w:tcPr>
          <w:p w:rsidR="00252875" w:rsidRDefault="00252875" w14:paraId="49BB2A4F" w14:textId="77777777">
            <w:pPr>
              <w:snapToGrid w:val="0"/>
              <w:rPr>
                <w:color w:val="000000"/>
                <w:sz w:val="24"/>
                <w:szCs w:val="24"/>
              </w:rPr>
            </w:pPr>
            <w:r>
              <w:rPr>
                <w:color w:val="000000"/>
                <w:sz w:val="24"/>
                <w:szCs w:val="24"/>
              </w:rPr>
              <w:t>Any additional IT costs</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00252875" w:rsidRDefault="00252875" w14:paraId="2C52E9A0" w14:textId="77777777">
            <w:pPr>
              <w:snapToGrid w:val="0"/>
              <w:jc w:val="right"/>
              <w:rPr>
                <w:color w:val="000000"/>
                <w:sz w:val="24"/>
                <w:szCs w:val="24"/>
              </w:rPr>
            </w:pPr>
            <w:r>
              <w:rPr>
                <w:color w:val="000000"/>
                <w:sz w:val="24"/>
                <w:szCs w:val="24"/>
              </w:rPr>
              <w:t>$0</w:t>
            </w:r>
          </w:p>
        </w:tc>
      </w:tr>
      <w:tr w:rsidR="00B70E4F" w:rsidTr="0061265A" w14:paraId="0C86BCE6" w14:textId="77777777">
        <w:trPr>
          <w:trHeight w:val="295"/>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1265A" w:rsidR="00252875" w:rsidRDefault="00252875" w14:paraId="443FA43D" w14:textId="77777777">
            <w:pPr>
              <w:snapToGrid w:val="0"/>
              <w:rPr>
                <w:b/>
                <w:color w:val="000000"/>
                <w:sz w:val="24"/>
                <w:szCs w:val="24"/>
              </w:rPr>
            </w:pPr>
            <w:r w:rsidRPr="0061265A">
              <w:rPr>
                <w:b/>
                <w:color w:val="000000"/>
                <w:sz w:val="24"/>
                <w:szCs w:val="24"/>
              </w:rPr>
              <w:t>Total</w:t>
            </w:r>
          </w:p>
        </w:tc>
        <w:tc>
          <w:tcPr>
            <w:tcW w:w="3060" w:type="dxa"/>
            <w:tcBorders>
              <w:top w:val="nil"/>
              <w:left w:val="nil"/>
              <w:bottom w:val="single" w:color="auto" w:sz="8" w:space="0"/>
              <w:right w:val="single" w:color="auto" w:sz="8" w:space="0"/>
            </w:tcBorders>
            <w:tcMar>
              <w:top w:w="0" w:type="dxa"/>
              <w:left w:w="108" w:type="dxa"/>
              <w:bottom w:w="0" w:type="dxa"/>
              <w:right w:w="108" w:type="dxa"/>
            </w:tcMar>
          </w:tcPr>
          <w:p w:rsidRPr="0061265A" w:rsidR="00252875" w:rsidRDefault="00252875" w14:paraId="588C802A" w14:textId="77777777">
            <w:pPr>
              <w:snapToGrid w:val="0"/>
              <w:rPr>
                <w:b/>
                <w:color w:val="000000"/>
                <w:sz w:val="24"/>
                <w:szCs w:val="24"/>
              </w:rPr>
            </w:pP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61265A" w:rsidR="00252875" w:rsidP="00521B56" w:rsidRDefault="00252875" w14:paraId="211DBA74" w14:textId="3B14EDD7">
            <w:pPr>
              <w:snapToGrid w:val="0"/>
              <w:jc w:val="right"/>
              <w:rPr>
                <w:b/>
                <w:color w:val="000000"/>
                <w:sz w:val="24"/>
                <w:szCs w:val="24"/>
              </w:rPr>
            </w:pPr>
            <w:r w:rsidRPr="0061265A">
              <w:rPr>
                <w:b/>
                <w:color w:val="000000"/>
                <w:sz w:val="24"/>
                <w:szCs w:val="24"/>
              </w:rPr>
              <w:t>$92</w:t>
            </w:r>
            <w:r w:rsidR="00521B56">
              <w:rPr>
                <w:b/>
                <w:color w:val="000000"/>
                <w:sz w:val="24"/>
                <w:szCs w:val="24"/>
              </w:rPr>
              <w:t>3</w:t>
            </w:r>
            <w:r w:rsidRPr="0061265A">
              <w:rPr>
                <w:b/>
                <w:color w:val="000000"/>
                <w:sz w:val="24"/>
                <w:szCs w:val="24"/>
              </w:rPr>
              <w:t>,</w:t>
            </w:r>
            <w:r w:rsidR="00521B56">
              <w:rPr>
                <w:b/>
                <w:color w:val="000000"/>
                <w:sz w:val="24"/>
                <w:szCs w:val="24"/>
              </w:rPr>
              <w:t>4</w:t>
            </w:r>
            <w:r w:rsidRPr="0061265A">
              <w:rPr>
                <w:b/>
                <w:color w:val="000000"/>
                <w:sz w:val="24"/>
                <w:szCs w:val="24"/>
              </w:rPr>
              <w:t>57</w:t>
            </w:r>
          </w:p>
        </w:tc>
      </w:tr>
    </w:tbl>
    <w:p w:rsidRPr="00C11552" w:rsidR="00252875" w:rsidP="007F7C33" w:rsidRDefault="00252875" w14:paraId="2F86F9D7" w14:textId="77777777">
      <w:pPr>
        <w:pStyle w:val="ListParagraph"/>
        <w:ind w:left="1440"/>
        <w:rPr>
          <w:rFonts w:ascii="Times New Roman" w:hAnsi="Times New Roman"/>
          <w:sz w:val="24"/>
          <w:szCs w:val="24"/>
        </w:rPr>
      </w:pPr>
      <w:r w:rsidRPr="00C11552">
        <w:rPr>
          <w:rFonts w:ascii="Times New Roman" w:hAnsi="Times New Roman"/>
          <w:sz w:val="24"/>
          <w:szCs w:val="24"/>
        </w:rPr>
        <w:t>* We have inserted a $0 amount for cost factors that do not apply to this collection.</w:t>
      </w:r>
    </w:p>
    <w:p w:rsidRPr="00C11552" w:rsidR="00252875" w:rsidP="007F7C33" w:rsidRDefault="00252875" w14:paraId="664B8AD3" w14:textId="77777777">
      <w:pPr>
        <w:pStyle w:val="ListParagraph"/>
        <w:ind w:left="1440"/>
        <w:rPr>
          <w:rFonts w:ascii="Times New Roman" w:hAnsi="Times New Roman"/>
          <w:sz w:val="24"/>
          <w:szCs w:val="24"/>
        </w:rPr>
      </w:pPr>
    </w:p>
    <w:p w:rsidRPr="00C11552" w:rsidR="00071D95" w:rsidP="007F7C33" w:rsidRDefault="00252875" w14:paraId="476C4241" w14:textId="79B8A209">
      <w:pPr>
        <w:pStyle w:val="ListParagraph"/>
        <w:ind w:left="1440"/>
        <w:rPr>
          <w:rFonts w:ascii="Times New Roman" w:hAnsi="Times New Roman"/>
          <w:sz w:val="24"/>
          <w:szCs w:val="24"/>
        </w:rPr>
      </w:pPr>
      <w:r w:rsidRPr="00C11552">
        <w:rPr>
          <w:rFonts w:ascii="Times New Roman" w:hAnsi="Times New Roman"/>
          <w:sz w:val="24"/>
          <w:szCs w:val="24"/>
        </w:rPr>
        <w:t xml:space="preserve">SSA is unable to break down the costs to the Federal government further than we already have.  </w:t>
      </w:r>
      <w:r w:rsidR="0061265A">
        <w:rPr>
          <w:rFonts w:ascii="Times New Roman" w:hAnsi="Times New Roman"/>
          <w:sz w:val="24"/>
          <w:szCs w:val="24"/>
        </w:rPr>
        <w:t>I</w:t>
      </w:r>
      <w:r w:rsidRPr="00C11552">
        <w:rPr>
          <w:rFonts w:ascii="Times New Roman" w:hAnsi="Times New Roman"/>
          <w:sz w:val="24"/>
          <w:szCs w:val="24"/>
        </w:rPr>
        <w:t>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071D95" w:rsidR="00071D95" w:rsidP="00071D95" w:rsidRDefault="00071D95" w14:paraId="2F571887" w14:textId="77777777">
      <w:pPr>
        <w:pStyle w:val="ListParagraph"/>
        <w:ind w:left="1080"/>
        <w:rPr>
          <w:rFonts w:ascii="Times New Roman" w:hAnsi="Times New Roman"/>
          <w:sz w:val="24"/>
          <w:szCs w:val="24"/>
        </w:rPr>
      </w:pPr>
    </w:p>
    <w:p w:rsidRPr="000239D0" w:rsidR="000239D0" w:rsidP="007F7C33" w:rsidRDefault="000239D0" w14:paraId="42A866D6" w14:textId="467E7C10">
      <w:pPr>
        <w:pStyle w:val="ListParagraph"/>
        <w:numPr>
          <w:ilvl w:val="0"/>
          <w:numId w:val="24"/>
        </w:numPr>
        <w:ind w:left="1440" w:hanging="720"/>
        <w:rPr>
          <w:rFonts w:ascii="Times New Roman" w:hAnsi="Times New Roman"/>
          <w:sz w:val="24"/>
          <w:szCs w:val="24"/>
        </w:rPr>
      </w:pPr>
      <w:r w:rsidRPr="000239D0">
        <w:rPr>
          <w:rFonts w:ascii="Times New Roman" w:hAnsi="Times New Roman"/>
          <w:b/>
          <w:bCs/>
          <w:sz w:val="24"/>
          <w:szCs w:val="24"/>
        </w:rPr>
        <w:t>Program Changes or Adjustments to the Information Collection Request</w:t>
      </w:r>
    </w:p>
    <w:p w:rsidRPr="00C11552" w:rsidR="00252875" w:rsidP="007F7C33" w:rsidRDefault="00252875" w14:paraId="67805B85" w14:textId="667EF1DD">
      <w:pPr>
        <w:pStyle w:val="ListParagraph"/>
        <w:tabs>
          <w:tab w:val="left" w:pos="1440"/>
        </w:tabs>
        <w:ind w:left="1440"/>
        <w:rPr>
          <w:rFonts w:ascii="Times New Roman" w:hAnsi="Times New Roman"/>
          <w:b/>
          <w:sz w:val="24"/>
          <w:szCs w:val="24"/>
        </w:rPr>
      </w:pPr>
      <w:r w:rsidRPr="00C11552">
        <w:rPr>
          <w:rFonts w:ascii="Times New Roman" w:hAnsi="Times New Roman"/>
          <w:sz w:val="24"/>
          <w:szCs w:val="24"/>
        </w:rPr>
        <w:t>When we last cleared this IC in 201</w:t>
      </w:r>
      <w:r>
        <w:rPr>
          <w:rFonts w:ascii="Times New Roman" w:hAnsi="Times New Roman"/>
          <w:sz w:val="24"/>
          <w:szCs w:val="24"/>
        </w:rPr>
        <w:t>8</w:t>
      </w:r>
      <w:r w:rsidRPr="00C11552">
        <w:rPr>
          <w:rFonts w:ascii="Times New Roman" w:hAnsi="Times New Roman"/>
          <w:sz w:val="24"/>
          <w:szCs w:val="24"/>
        </w:rPr>
        <w:t xml:space="preserve">, the burden was </w:t>
      </w:r>
      <w:r>
        <w:rPr>
          <w:rFonts w:ascii="Times New Roman" w:hAnsi="Times New Roman"/>
          <w:sz w:val="24"/>
          <w:szCs w:val="24"/>
        </w:rPr>
        <w:t>35,000</w:t>
      </w:r>
      <w:r w:rsidRPr="00C11552">
        <w:rPr>
          <w:rFonts w:ascii="Times New Roman" w:hAnsi="Times New Roman"/>
          <w:sz w:val="24"/>
          <w:szCs w:val="24"/>
        </w:rPr>
        <w:t xml:space="preserve"> hours.  However, we are currently reporting a burden of </w:t>
      </w:r>
      <w:r>
        <w:rPr>
          <w:rFonts w:ascii="Times New Roman" w:hAnsi="Times New Roman"/>
          <w:sz w:val="24"/>
          <w:szCs w:val="24"/>
        </w:rPr>
        <w:t>34,742</w:t>
      </w:r>
      <w:r w:rsidRPr="00C11552">
        <w:rPr>
          <w:rFonts w:ascii="Times New Roman" w:hAnsi="Times New Roman"/>
          <w:sz w:val="24"/>
          <w:szCs w:val="24"/>
        </w:rPr>
        <w:t xml:space="preserve"> hours.  This change stems </w:t>
      </w:r>
      <w:r w:rsidR="00A027B9">
        <w:rPr>
          <w:rFonts w:ascii="Times New Roman" w:hAnsi="Times New Roman"/>
          <w:sz w:val="24"/>
          <w:szCs w:val="24"/>
        </w:rPr>
        <w:t xml:space="preserve">from </w:t>
      </w:r>
      <w:r w:rsidRPr="00C11552">
        <w:rPr>
          <w:rFonts w:ascii="Times New Roman" w:hAnsi="Times New Roman"/>
          <w:sz w:val="24"/>
          <w:szCs w:val="24"/>
        </w:rPr>
        <w:t xml:space="preserve">a decrease in the number of responses from </w:t>
      </w:r>
      <w:r w:rsidR="007C3609">
        <w:rPr>
          <w:rFonts w:ascii="Times New Roman" w:hAnsi="Times New Roman"/>
          <w:sz w:val="24"/>
          <w:szCs w:val="24"/>
        </w:rPr>
        <w:t xml:space="preserve">175,000 </w:t>
      </w:r>
      <w:r w:rsidRPr="00C11552">
        <w:rPr>
          <w:rFonts w:ascii="Times New Roman" w:hAnsi="Times New Roman"/>
          <w:sz w:val="24"/>
          <w:szCs w:val="24"/>
        </w:rPr>
        <w:t xml:space="preserve">to </w:t>
      </w:r>
      <w:r w:rsidR="007C3609">
        <w:rPr>
          <w:rFonts w:ascii="Times New Roman" w:hAnsi="Times New Roman"/>
          <w:sz w:val="24"/>
          <w:szCs w:val="24"/>
        </w:rPr>
        <w:t>151,600</w:t>
      </w:r>
      <w:r w:rsidRPr="00C11552">
        <w:rPr>
          <w:rFonts w:ascii="Times New Roman" w:hAnsi="Times New Roman"/>
          <w:sz w:val="24"/>
          <w:szCs w:val="24"/>
        </w:rPr>
        <w:t>.  There is no change to the burden time per response.  Although the number of responses changed, SSA did not take any actions to cause this change.  These figures represent current Management Information data.</w:t>
      </w:r>
    </w:p>
    <w:p w:rsidRPr="008058FB" w:rsidR="00661D85" w:rsidP="007F7C33" w:rsidRDefault="00661D85" w14:paraId="5BC01EFA" w14:textId="77777777">
      <w:pPr>
        <w:pStyle w:val="ListParagraph"/>
        <w:tabs>
          <w:tab w:val="left" w:pos="1440"/>
        </w:tabs>
        <w:ind w:left="1440"/>
        <w:rPr>
          <w:rFonts w:ascii="Times New Roman" w:hAnsi="Times New Roman"/>
          <w:b/>
          <w:bCs/>
          <w:sz w:val="24"/>
          <w:szCs w:val="24"/>
        </w:rPr>
      </w:pPr>
    </w:p>
    <w:p w:rsidRPr="000239D0" w:rsidR="000239D0" w:rsidP="007F7C33" w:rsidRDefault="000239D0" w14:paraId="517DEC8B" w14:textId="39747EC4">
      <w:pPr>
        <w:pStyle w:val="ListParagraph"/>
        <w:numPr>
          <w:ilvl w:val="0"/>
          <w:numId w:val="24"/>
        </w:numPr>
        <w:tabs>
          <w:tab w:val="left" w:pos="1440"/>
        </w:tabs>
        <w:ind w:left="1440" w:hanging="720"/>
        <w:rPr>
          <w:rFonts w:ascii="Times New Roman" w:hAnsi="Times New Roman"/>
          <w:sz w:val="24"/>
          <w:szCs w:val="24"/>
        </w:rPr>
      </w:pPr>
      <w:r w:rsidRPr="000239D0">
        <w:rPr>
          <w:rFonts w:ascii="Times New Roman" w:hAnsi="Times New Roman"/>
          <w:b/>
          <w:bCs/>
          <w:sz w:val="24"/>
          <w:szCs w:val="24"/>
        </w:rPr>
        <w:t>Plans for Publication of Information Collection Results</w:t>
      </w:r>
    </w:p>
    <w:p w:rsidRPr="000239D0" w:rsidR="000239D0" w:rsidP="007F7C33" w:rsidRDefault="000239D0" w14:paraId="452FF141" w14:textId="76160A1F">
      <w:pPr>
        <w:pStyle w:val="ListParagraph"/>
        <w:tabs>
          <w:tab w:val="left" w:pos="1440"/>
        </w:tabs>
        <w:ind w:left="1440"/>
        <w:rPr>
          <w:rFonts w:ascii="Times New Roman" w:hAnsi="Times New Roman"/>
          <w:b/>
          <w:bCs/>
          <w:sz w:val="24"/>
          <w:szCs w:val="24"/>
        </w:rPr>
      </w:pPr>
      <w:r w:rsidRPr="000239D0">
        <w:rPr>
          <w:rFonts w:ascii="Times New Roman" w:hAnsi="Times New Roman"/>
          <w:bCs/>
          <w:sz w:val="24"/>
          <w:szCs w:val="24"/>
        </w:rPr>
        <w:t>SSA will not publish the results of the information collection.</w:t>
      </w:r>
    </w:p>
    <w:p w:rsidRPr="000239D0" w:rsidR="000239D0" w:rsidP="007F7C33" w:rsidRDefault="000239D0" w14:paraId="5B473276" w14:textId="77777777">
      <w:pPr>
        <w:pStyle w:val="ListParagraph"/>
        <w:tabs>
          <w:tab w:val="left" w:pos="1440"/>
        </w:tabs>
        <w:ind w:left="1440"/>
        <w:rPr>
          <w:rFonts w:ascii="Times New Roman" w:hAnsi="Times New Roman"/>
          <w:sz w:val="24"/>
          <w:szCs w:val="24"/>
        </w:rPr>
      </w:pPr>
    </w:p>
    <w:p w:rsidRPr="000239D0" w:rsidR="000239D0" w:rsidP="007F7C33" w:rsidRDefault="000239D0" w14:paraId="4B65A249" w14:textId="6D79478A">
      <w:pPr>
        <w:pStyle w:val="ListParagraph"/>
        <w:numPr>
          <w:ilvl w:val="0"/>
          <w:numId w:val="24"/>
        </w:numPr>
        <w:tabs>
          <w:tab w:val="left" w:pos="1440"/>
        </w:tabs>
        <w:ind w:left="1440" w:hanging="720"/>
        <w:rPr>
          <w:rFonts w:ascii="Times New Roman" w:hAnsi="Times New Roman"/>
          <w:sz w:val="24"/>
          <w:szCs w:val="24"/>
        </w:rPr>
      </w:pPr>
      <w:r w:rsidRPr="000239D0">
        <w:rPr>
          <w:rFonts w:ascii="Times New Roman" w:hAnsi="Times New Roman"/>
          <w:b/>
          <w:sz w:val="24"/>
          <w:szCs w:val="24"/>
        </w:rPr>
        <w:t>Displaying the OMB Approval Expiration Date</w:t>
      </w:r>
    </w:p>
    <w:p w:rsidRPr="00071D95" w:rsidR="000239D0" w:rsidP="007F7C33" w:rsidRDefault="000047A5" w14:paraId="374D8675" w14:textId="4D886842">
      <w:pPr>
        <w:pStyle w:val="ListParagraph"/>
        <w:tabs>
          <w:tab w:val="left" w:pos="1440"/>
        </w:tabs>
        <w:ind w:left="1440"/>
        <w:rPr>
          <w:rFonts w:ascii="Times New Roman" w:hAnsi="Times New Roman"/>
          <w:sz w:val="24"/>
          <w:szCs w:val="24"/>
        </w:rPr>
      </w:pPr>
      <w:r>
        <w:rPr>
          <w:rFonts w:ascii="Times New Roman" w:hAnsi="Times New Roman"/>
          <w:sz w:val="24"/>
          <w:szCs w:val="24"/>
        </w:rPr>
        <w:t xml:space="preserve">For the paper Form HA-520, </w:t>
      </w:r>
      <w:r w:rsidRPr="00071D95" w:rsidR="000239D0">
        <w:rPr>
          <w:rFonts w:ascii="Times New Roman" w:hAnsi="Times New Roman"/>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071D95" w:rsidR="00071D95" w:rsidP="007F7C33" w:rsidRDefault="00071D95" w14:paraId="4067D458" w14:textId="77777777">
      <w:pPr>
        <w:pStyle w:val="ListParagraph"/>
        <w:tabs>
          <w:tab w:val="left" w:pos="1440"/>
        </w:tabs>
        <w:ind w:left="1440"/>
        <w:rPr>
          <w:rFonts w:ascii="Times New Roman" w:hAnsi="Times New Roman"/>
          <w:sz w:val="24"/>
          <w:szCs w:val="24"/>
        </w:rPr>
      </w:pPr>
    </w:p>
    <w:p w:rsidRPr="00071D95" w:rsidR="00071D95" w:rsidP="007F7C33" w:rsidRDefault="000047A5" w14:paraId="6A4A15BF" w14:textId="42D31652">
      <w:pPr>
        <w:pStyle w:val="ListParagraph"/>
        <w:tabs>
          <w:tab w:val="left" w:pos="1440"/>
        </w:tabs>
        <w:ind w:left="1440"/>
        <w:rPr>
          <w:rFonts w:ascii="Times New Roman" w:hAnsi="Times New Roman"/>
          <w:sz w:val="24"/>
          <w:szCs w:val="24"/>
        </w:rPr>
      </w:pPr>
      <w:r>
        <w:rPr>
          <w:rFonts w:ascii="Times New Roman" w:hAnsi="Times New Roman"/>
          <w:sz w:val="24"/>
          <w:szCs w:val="24"/>
        </w:rPr>
        <w:lastRenderedPageBreak/>
        <w:t xml:space="preserve">For the i520, </w:t>
      </w:r>
      <w:r w:rsidRPr="00071D95" w:rsidR="00071D95">
        <w:rPr>
          <w:rFonts w:ascii="Times New Roman" w:hAnsi="Times New Roman"/>
          <w:sz w:val="24"/>
          <w:szCs w:val="24"/>
        </w:rPr>
        <w:t xml:space="preserve">SSA is not requesting an exception to the requirement to display </w:t>
      </w:r>
      <w:r>
        <w:rPr>
          <w:rFonts w:ascii="Times New Roman" w:hAnsi="Times New Roman"/>
          <w:sz w:val="24"/>
          <w:szCs w:val="24"/>
        </w:rPr>
        <w:t>the OMB approval expiration date</w:t>
      </w:r>
      <w:r w:rsidRPr="00071D95" w:rsidR="00071D95">
        <w:rPr>
          <w:rFonts w:ascii="Times New Roman" w:hAnsi="Times New Roman"/>
          <w:sz w:val="24"/>
          <w:szCs w:val="24"/>
        </w:rPr>
        <w:t>.</w:t>
      </w:r>
    </w:p>
    <w:p w:rsidRPr="000239D0" w:rsidR="000239D0" w:rsidP="007F7C33" w:rsidRDefault="000239D0" w14:paraId="1AD4C220" w14:textId="77777777">
      <w:pPr>
        <w:pStyle w:val="ListParagraph"/>
        <w:tabs>
          <w:tab w:val="left" w:pos="1440"/>
        </w:tabs>
        <w:ind w:left="1440"/>
        <w:rPr>
          <w:rFonts w:ascii="Times New Roman" w:hAnsi="Times New Roman"/>
          <w:sz w:val="24"/>
          <w:szCs w:val="24"/>
        </w:rPr>
      </w:pPr>
    </w:p>
    <w:p w:rsidRPr="000239D0" w:rsidR="000239D0" w:rsidP="007F7C33" w:rsidRDefault="000239D0" w14:paraId="3954C9E2" w14:textId="69E71352">
      <w:pPr>
        <w:pStyle w:val="ListParagraph"/>
        <w:numPr>
          <w:ilvl w:val="0"/>
          <w:numId w:val="24"/>
        </w:numPr>
        <w:tabs>
          <w:tab w:val="left" w:pos="1440"/>
        </w:tabs>
        <w:ind w:left="1440" w:hanging="720"/>
        <w:rPr>
          <w:rFonts w:ascii="Times New Roman" w:hAnsi="Times New Roman"/>
          <w:sz w:val="24"/>
          <w:szCs w:val="24"/>
        </w:rPr>
      </w:pPr>
      <w:r w:rsidRPr="000239D0">
        <w:rPr>
          <w:rFonts w:ascii="Times New Roman" w:hAnsi="Times New Roman"/>
          <w:b/>
          <w:sz w:val="24"/>
          <w:szCs w:val="24"/>
        </w:rPr>
        <w:t>Exceptions to Certification Statement</w:t>
      </w:r>
    </w:p>
    <w:p w:rsidRPr="000239D0" w:rsidR="000239D0" w:rsidP="007F7C33" w:rsidRDefault="000239D0" w14:paraId="560333BB" w14:textId="77777777">
      <w:pPr>
        <w:pStyle w:val="ListParagraph"/>
        <w:tabs>
          <w:tab w:val="left" w:pos="1440"/>
        </w:tabs>
        <w:ind w:left="1440"/>
        <w:rPr>
          <w:rFonts w:ascii="Times New Roman" w:hAnsi="Times New Roman"/>
          <w:sz w:val="24"/>
          <w:szCs w:val="24"/>
        </w:rPr>
      </w:pPr>
      <w:r w:rsidRPr="000239D0">
        <w:rPr>
          <w:rFonts w:ascii="Times New Roman" w:hAnsi="Times New Roman"/>
          <w:sz w:val="24"/>
          <w:szCs w:val="24"/>
        </w:rPr>
        <w:t xml:space="preserve">SSA is not requesting an exception to the certification requirements at </w:t>
      </w:r>
    </w:p>
    <w:p w:rsidR="00C82862" w:rsidP="007F7C33" w:rsidRDefault="000239D0" w14:paraId="57771200" w14:textId="2230B0CD">
      <w:pPr>
        <w:pStyle w:val="ListParagraph"/>
        <w:tabs>
          <w:tab w:val="left" w:pos="1440"/>
        </w:tabs>
        <w:ind w:left="1440"/>
        <w:rPr>
          <w:rFonts w:ascii="Times New Roman" w:hAnsi="Times New Roman"/>
          <w:i/>
          <w:sz w:val="24"/>
          <w:szCs w:val="24"/>
        </w:rPr>
      </w:pPr>
      <w:r w:rsidRPr="000239D0">
        <w:rPr>
          <w:rFonts w:ascii="Times New Roman" w:hAnsi="Times New Roman"/>
          <w:i/>
          <w:sz w:val="24"/>
          <w:szCs w:val="24"/>
        </w:rPr>
        <w:t>5 CFR 1320.9</w:t>
      </w:r>
      <w:r w:rsidRPr="000239D0">
        <w:rPr>
          <w:rFonts w:ascii="Times New Roman" w:hAnsi="Times New Roman"/>
          <w:sz w:val="24"/>
          <w:szCs w:val="24"/>
        </w:rPr>
        <w:t xml:space="preserve"> and related provisions at </w:t>
      </w:r>
      <w:r w:rsidRPr="000239D0">
        <w:rPr>
          <w:rFonts w:ascii="Times New Roman" w:hAnsi="Times New Roman"/>
          <w:i/>
          <w:sz w:val="24"/>
          <w:szCs w:val="24"/>
        </w:rPr>
        <w:t>5 CFR 1320.8(b)(3).</w:t>
      </w:r>
    </w:p>
    <w:p w:rsidRPr="000239D0" w:rsidR="00071D95" w:rsidP="00071D95" w:rsidRDefault="00071D95" w14:paraId="40FB68C3" w14:textId="77777777">
      <w:pPr>
        <w:pStyle w:val="ListParagraph"/>
        <w:ind w:left="1080"/>
        <w:rPr>
          <w:rFonts w:ascii="Times New Roman" w:hAnsi="Times New Roman"/>
          <w:sz w:val="24"/>
          <w:szCs w:val="24"/>
        </w:rPr>
      </w:pPr>
    </w:p>
    <w:p w:rsidRPr="00071D95" w:rsidR="00E31202" w:rsidP="007F7C33" w:rsidRDefault="00C82862" w14:paraId="22D2CDBC" w14:textId="4D76376E">
      <w:pPr>
        <w:pStyle w:val="ListParagraph"/>
        <w:numPr>
          <w:ilvl w:val="0"/>
          <w:numId w:val="23"/>
        </w:numPr>
        <w:ind w:hanging="540"/>
        <w:rPr>
          <w:rFonts w:ascii="Times New Roman" w:hAnsi="Times New Roman"/>
          <w:b/>
          <w:sz w:val="24"/>
          <w:szCs w:val="24"/>
          <w:u w:val="single"/>
        </w:rPr>
      </w:pPr>
      <w:r w:rsidRPr="000239D0">
        <w:rPr>
          <w:rFonts w:ascii="Times New Roman" w:hAnsi="Times New Roman"/>
          <w:b/>
          <w:sz w:val="24"/>
          <w:szCs w:val="24"/>
          <w:u w:val="single"/>
        </w:rPr>
        <w:t>Collections of Information Employing Statistical Methods</w:t>
      </w:r>
    </w:p>
    <w:p w:rsidRPr="000239D0" w:rsidR="001613CD" w:rsidP="007F7C33" w:rsidRDefault="00B66B2B" w14:paraId="22D2CDF1" w14:textId="46183A66">
      <w:pPr>
        <w:ind w:left="1440"/>
        <w:rPr>
          <w:sz w:val="24"/>
          <w:szCs w:val="24"/>
        </w:rPr>
      </w:pPr>
      <w:r w:rsidRPr="000239D0">
        <w:rPr>
          <w:bCs/>
          <w:sz w:val="24"/>
          <w:szCs w:val="24"/>
        </w:rPr>
        <w:t>SSA did not use statistical methods for this information collection.</w:t>
      </w:r>
    </w:p>
    <w:sectPr w:rsidRPr="000239D0" w:rsidR="001613CD">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B8AB9" w14:textId="77777777" w:rsidR="00C42D38" w:rsidRDefault="00C42D38">
      <w:r>
        <w:separator/>
      </w:r>
    </w:p>
  </w:endnote>
  <w:endnote w:type="continuationSeparator" w:id="0">
    <w:p w14:paraId="27C43AD2" w14:textId="77777777" w:rsidR="00C42D38" w:rsidRDefault="00C42D38">
      <w:r>
        <w:continuationSeparator/>
      </w:r>
    </w:p>
  </w:endnote>
  <w:endnote w:type="continuationNotice" w:id="1">
    <w:p w14:paraId="6BB6DD9B" w14:textId="77777777" w:rsidR="00C42D38" w:rsidRDefault="00C42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CDFA" w14:textId="5118400F" w:rsidR="0091350D" w:rsidRDefault="0091350D">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D9C4B" w14:textId="77777777" w:rsidR="00C42D38" w:rsidRDefault="00C42D38">
      <w:r>
        <w:separator/>
      </w:r>
    </w:p>
  </w:footnote>
  <w:footnote w:type="continuationSeparator" w:id="0">
    <w:p w14:paraId="501DE663" w14:textId="77777777" w:rsidR="00C42D38" w:rsidRDefault="00C42D38">
      <w:r>
        <w:continuationSeparator/>
      </w:r>
    </w:p>
  </w:footnote>
  <w:footnote w:type="continuationNotice" w:id="1">
    <w:p w14:paraId="2345677A" w14:textId="77777777" w:rsidR="00C42D38" w:rsidRDefault="00C42D3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AB8"/>
    <w:multiLevelType w:val="singleLevel"/>
    <w:tmpl w:val="A5E2788C"/>
    <w:lvl w:ilvl="0">
      <w:start w:val="4"/>
      <w:numFmt w:val="decimal"/>
      <w:lvlText w:val="%1."/>
      <w:lvlJc w:val="left"/>
      <w:pPr>
        <w:tabs>
          <w:tab w:val="num" w:pos="1440"/>
        </w:tabs>
        <w:ind w:left="1440" w:hanging="720"/>
      </w:pPr>
    </w:lvl>
  </w:abstractNum>
  <w:abstractNum w:abstractNumId="1" w15:restartNumberingAfterBreak="0">
    <w:nsid w:val="075F04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097A4396"/>
    <w:multiLevelType w:val="hybridMultilevel"/>
    <w:tmpl w:val="27CC0638"/>
    <w:lvl w:ilvl="0" w:tplc="E350333C">
      <w:start w:val="1"/>
      <w:numFmt w:val="upp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22D9E"/>
    <w:multiLevelType w:val="singleLevel"/>
    <w:tmpl w:val="A68256E4"/>
    <w:lvl w:ilvl="0">
      <w:start w:val="11"/>
      <w:numFmt w:val="decimal"/>
      <w:lvlText w:val="%1."/>
      <w:lvlJc w:val="left"/>
      <w:pPr>
        <w:tabs>
          <w:tab w:val="num" w:pos="1440"/>
        </w:tabs>
        <w:ind w:left="1440" w:hanging="720"/>
      </w:pPr>
      <w:rPr>
        <w:b w:val="0"/>
      </w:rPr>
    </w:lvl>
  </w:abstractNum>
  <w:abstractNum w:abstractNumId="4" w15:restartNumberingAfterBreak="0">
    <w:nsid w:val="125F0923"/>
    <w:multiLevelType w:val="singleLevel"/>
    <w:tmpl w:val="389C3ABE"/>
    <w:lvl w:ilvl="0">
      <w:start w:val="9"/>
      <w:numFmt w:val="decimal"/>
      <w:lvlText w:val="%1."/>
      <w:lvlJc w:val="left"/>
      <w:pPr>
        <w:tabs>
          <w:tab w:val="num" w:pos="1440"/>
        </w:tabs>
        <w:ind w:left="1440" w:hanging="720"/>
      </w:pPr>
    </w:lvl>
  </w:abstractNum>
  <w:abstractNum w:abstractNumId="5" w15:restartNumberingAfterBreak="0">
    <w:nsid w:val="17B95681"/>
    <w:multiLevelType w:val="singleLevel"/>
    <w:tmpl w:val="445A9C6C"/>
    <w:lvl w:ilvl="0">
      <w:start w:val="1"/>
      <w:numFmt w:val="bullet"/>
      <w:lvlText w:val=""/>
      <w:lvlJc w:val="left"/>
      <w:pPr>
        <w:tabs>
          <w:tab w:val="num" w:pos="720"/>
        </w:tabs>
        <w:ind w:left="720" w:hanging="360"/>
      </w:pPr>
      <w:rPr>
        <w:rFonts w:ascii="Wingdings" w:hAnsi="Wingdings" w:hint="default"/>
      </w:rPr>
    </w:lvl>
  </w:abstractNum>
  <w:abstractNum w:abstractNumId="6" w15:restartNumberingAfterBreak="0">
    <w:nsid w:val="17E02568"/>
    <w:multiLevelType w:val="singleLevel"/>
    <w:tmpl w:val="C6DEB228"/>
    <w:lvl w:ilvl="0">
      <w:start w:val="8"/>
      <w:numFmt w:val="decimal"/>
      <w:lvlText w:val="%1."/>
      <w:lvlJc w:val="left"/>
      <w:pPr>
        <w:tabs>
          <w:tab w:val="num" w:pos="1440"/>
        </w:tabs>
        <w:ind w:left="1440" w:hanging="720"/>
      </w:pPr>
      <w:rPr>
        <w:rFonts w:hint="default"/>
        <w:b w:val="0"/>
      </w:rPr>
    </w:lvl>
  </w:abstractNum>
  <w:abstractNum w:abstractNumId="7" w15:restartNumberingAfterBreak="0">
    <w:nsid w:val="19CF4E61"/>
    <w:multiLevelType w:val="singleLevel"/>
    <w:tmpl w:val="C3ECDE46"/>
    <w:lvl w:ilvl="0">
      <w:start w:val="1"/>
      <w:numFmt w:val="upperLetter"/>
      <w:pStyle w:val="Heading3"/>
      <w:lvlText w:val="%1."/>
      <w:lvlJc w:val="left"/>
      <w:pPr>
        <w:tabs>
          <w:tab w:val="num" w:pos="585"/>
        </w:tabs>
        <w:ind w:left="585" w:hanging="585"/>
      </w:pPr>
      <w:rPr>
        <w:rFonts w:hint="default"/>
        <w:u w:val="none"/>
      </w:rPr>
    </w:lvl>
  </w:abstractNum>
  <w:abstractNum w:abstractNumId="8" w15:restartNumberingAfterBreak="0">
    <w:nsid w:val="25F31213"/>
    <w:multiLevelType w:val="singleLevel"/>
    <w:tmpl w:val="A4E20FE8"/>
    <w:lvl w:ilvl="0">
      <w:start w:val="14"/>
      <w:numFmt w:val="decimal"/>
      <w:lvlText w:val="%1."/>
      <w:lvlJc w:val="left"/>
      <w:pPr>
        <w:tabs>
          <w:tab w:val="num" w:pos="1440"/>
        </w:tabs>
        <w:ind w:left="1440" w:hanging="720"/>
      </w:pPr>
      <w:rPr>
        <w:b w:val="0"/>
      </w:rPr>
    </w:lvl>
  </w:abstractNum>
  <w:abstractNum w:abstractNumId="9" w15:restartNumberingAfterBreak="0">
    <w:nsid w:val="311D55E0"/>
    <w:multiLevelType w:val="singleLevel"/>
    <w:tmpl w:val="B7666DA0"/>
    <w:lvl w:ilvl="0">
      <w:start w:val="12"/>
      <w:numFmt w:val="decimal"/>
      <w:lvlText w:val="%1."/>
      <w:lvlJc w:val="left"/>
      <w:pPr>
        <w:tabs>
          <w:tab w:val="num" w:pos="1440"/>
        </w:tabs>
        <w:ind w:left="1440" w:hanging="720"/>
      </w:pPr>
      <w:rPr>
        <w:b w:val="0"/>
      </w:rPr>
    </w:lvl>
  </w:abstractNum>
  <w:abstractNum w:abstractNumId="10" w15:restartNumberingAfterBreak="0">
    <w:nsid w:val="3CCF217F"/>
    <w:multiLevelType w:val="hybridMultilevel"/>
    <w:tmpl w:val="60FE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073AB"/>
    <w:multiLevelType w:val="singleLevel"/>
    <w:tmpl w:val="08D63F60"/>
    <w:lvl w:ilvl="0">
      <w:start w:val="1"/>
      <w:numFmt w:val="upperLetter"/>
      <w:pStyle w:val="Heading4"/>
      <w:lvlText w:val="%1."/>
      <w:lvlJc w:val="left"/>
      <w:pPr>
        <w:tabs>
          <w:tab w:val="num" w:pos="720"/>
        </w:tabs>
        <w:ind w:left="720" w:hanging="720"/>
      </w:pPr>
      <w:rPr>
        <w:u w:val="none"/>
      </w:rPr>
    </w:lvl>
  </w:abstractNum>
  <w:abstractNum w:abstractNumId="12" w15:restartNumberingAfterBreak="0">
    <w:nsid w:val="4E41654C"/>
    <w:multiLevelType w:val="singleLevel"/>
    <w:tmpl w:val="A7FC147A"/>
    <w:lvl w:ilvl="0">
      <w:start w:val="1"/>
      <w:numFmt w:val="decimal"/>
      <w:lvlText w:val="%1."/>
      <w:lvlJc w:val="left"/>
      <w:pPr>
        <w:tabs>
          <w:tab w:val="num" w:pos="540"/>
        </w:tabs>
        <w:ind w:left="540" w:hanging="540"/>
      </w:pPr>
      <w:rPr>
        <w:rFonts w:hint="default"/>
      </w:rPr>
    </w:lvl>
  </w:abstractNum>
  <w:abstractNum w:abstractNumId="13" w15:restartNumberingAfterBreak="0">
    <w:nsid w:val="58CF3898"/>
    <w:multiLevelType w:val="singleLevel"/>
    <w:tmpl w:val="34BC7EAC"/>
    <w:lvl w:ilvl="0">
      <w:start w:val="13"/>
      <w:numFmt w:val="decimal"/>
      <w:lvlText w:val="%1."/>
      <w:lvlJc w:val="left"/>
      <w:pPr>
        <w:tabs>
          <w:tab w:val="num" w:pos="1440"/>
        </w:tabs>
        <w:ind w:left="1440" w:hanging="720"/>
      </w:pPr>
      <w:rPr>
        <w:b w:val="0"/>
      </w:rPr>
    </w:lvl>
  </w:abstractNum>
  <w:abstractNum w:abstractNumId="14" w15:restartNumberingAfterBreak="0">
    <w:nsid w:val="5CE44E7E"/>
    <w:multiLevelType w:val="hybridMultilevel"/>
    <w:tmpl w:val="585C5736"/>
    <w:lvl w:ilvl="0" w:tplc="206C2B3E">
      <w:start w:val="1"/>
      <w:numFmt w:val="decimal"/>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0902E2"/>
    <w:multiLevelType w:val="singleLevel"/>
    <w:tmpl w:val="843C9692"/>
    <w:lvl w:ilvl="0">
      <w:start w:val="8"/>
      <w:numFmt w:val="decimal"/>
      <w:lvlText w:val="%1."/>
      <w:lvlJc w:val="left"/>
      <w:pPr>
        <w:tabs>
          <w:tab w:val="num" w:pos="480"/>
        </w:tabs>
        <w:ind w:left="480" w:hanging="480"/>
      </w:pPr>
      <w:rPr>
        <w:rFonts w:hint="default"/>
      </w:rPr>
    </w:lvl>
  </w:abstractNum>
  <w:abstractNum w:abstractNumId="16" w15:restartNumberingAfterBreak="0">
    <w:nsid w:val="6EE466F0"/>
    <w:multiLevelType w:val="singleLevel"/>
    <w:tmpl w:val="B88C5F7C"/>
    <w:lvl w:ilvl="0">
      <w:start w:val="15"/>
      <w:numFmt w:val="decimal"/>
      <w:lvlText w:val="%1."/>
      <w:lvlJc w:val="left"/>
      <w:pPr>
        <w:tabs>
          <w:tab w:val="num" w:pos="1440"/>
        </w:tabs>
        <w:ind w:left="1440" w:hanging="720"/>
      </w:pPr>
      <w:rPr>
        <w:b w:val="0"/>
      </w:rPr>
    </w:lvl>
  </w:abstractNum>
  <w:abstractNum w:abstractNumId="17" w15:restartNumberingAfterBreak="0">
    <w:nsid w:val="70AD5F59"/>
    <w:multiLevelType w:val="singleLevel"/>
    <w:tmpl w:val="5994D5C2"/>
    <w:lvl w:ilvl="0">
      <w:start w:val="1"/>
      <w:numFmt w:val="decimal"/>
      <w:lvlText w:val="%1."/>
      <w:lvlJc w:val="left"/>
      <w:pPr>
        <w:tabs>
          <w:tab w:val="num" w:pos="1440"/>
        </w:tabs>
        <w:ind w:left="1440" w:hanging="720"/>
      </w:pPr>
    </w:lvl>
  </w:abstractNum>
  <w:abstractNum w:abstractNumId="18" w15:restartNumberingAfterBreak="0">
    <w:nsid w:val="73FE3A15"/>
    <w:multiLevelType w:val="singleLevel"/>
    <w:tmpl w:val="1298A3D8"/>
    <w:lvl w:ilvl="0">
      <w:start w:val="1"/>
      <w:numFmt w:val="bullet"/>
      <w:lvlText w:val=""/>
      <w:lvlJc w:val="left"/>
      <w:pPr>
        <w:tabs>
          <w:tab w:val="num" w:pos="900"/>
        </w:tabs>
        <w:ind w:left="900" w:hanging="360"/>
      </w:pPr>
      <w:rPr>
        <w:rFonts w:ascii="Symbol" w:hAnsi="Symbol" w:hint="default"/>
      </w:rPr>
    </w:lvl>
  </w:abstractNum>
  <w:abstractNum w:abstractNumId="19" w15:restartNumberingAfterBreak="0">
    <w:nsid w:val="740F3006"/>
    <w:multiLevelType w:val="singleLevel"/>
    <w:tmpl w:val="FFCAAD2C"/>
    <w:lvl w:ilvl="0">
      <w:start w:val="3"/>
      <w:numFmt w:val="decimal"/>
      <w:lvlText w:val="%1."/>
      <w:lvlJc w:val="left"/>
      <w:pPr>
        <w:tabs>
          <w:tab w:val="num" w:pos="1440"/>
        </w:tabs>
        <w:ind w:left="1440" w:hanging="720"/>
      </w:pPr>
      <w:rPr>
        <w:b w:val="0"/>
      </w:rPr>
    </w:lvl>
  </w:abstractNum>
  <w:abstractNum w:abstractNumId="20" w15:restartNumberingAfterBreak="0">
    <w:nsid w:val="758654D7"/>
    <w:multiLevelType w:val="hybridMultilevel"/>
    <w:tmpl w:val="E81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121772"/>
    <w:multiLevelType w:val="singleLevel"/>
    <w:tmpl w:val="37F2ADF2"/>
    <w:lvl w:ilvl="0">
      <w:start w:val="4"/>
      <w:numFmt w:val="decimal"/>
      <w:lvlText w:val="%1."/>
      <w:lvlJc w:val="left"/>
      <w:pPr>
        <w:tabs>
          <w:tab w:val="num" w:pos="540"/>
        </w:tabs>
        <w:ind w:left="540" w:hanging="540"/>
      </w:pPr>
      <w:rPr>
        <w:rFonts w:hint="default"/>
      </w:rPr>
    </w:lvl>
  </w:abstractNum>
  <w:abstractNum w:abstractNumId="22" w15:restartNumberingAfterBreak="0">
    <w:nsid w:val="7CA069EE"/>
    <w:multiLevelType w:val="singleLevel"/>
    <w:tmpl w:val="389C3ABE"/>
    <w:lvl w:ilvl="0">
      <w:start w:val="9"/>
      <w:numFmt w:val="decimal"/>
      <w:lvlText w:val="%1."/>
      <w:lvlJc w:val="left"/>
      <w:pPr>
        <w:tabs>
          <w:tab w:val="num" w:pos="1440"/>
        </w:tabs>
        <w:ind w:left="1440" w:hanging="720"/>
      </w:pPr>
    </w:lvl>
  </w:abstractNum>
  <w:abstractNum w:abstractNumId="23" w15:restartNumberingAfterBreak="0">
    <w:nsid w:val="7F257889"/>
    <w:multiLevelType w:val="singleLevel"/>
    <w:tmpl w:val="78F6EF7C"/>
    <w:lvl w:ilvl="0">
      <w:start w:val="1"/>
      <w:numFmt w:val="decimal"/>
      <w:lvlText w:val="%1."/>
      <w:lvlJc w:val="left"/>
      <w:pPr>
        <w:tabs>
          <w:tab w:val="num" w:pos="810"/>
        </w:tabs>
        <w:ind w:left="810" w:hanging="720"/>
      </w:pPr>
      <w:rPr>
        <w:b w:val="0"/>
      </w:rPr>
    </w:lvl>
  </w:abstractNum>
  <w:num w:numId="1">
    <w:abstractNumId w:val="7"/>
  </w:num>
  <w:num w:numId="2">
    <w:abstractNumId w:val="12"/>
  </w:num>
  <w:num w:numId="3">
    <w:abstractNumId w:val="18"/>
  </w:num>
  <w:num w:numId="4">
    <w:abstractNumId w:val="21"/>
  </w:num>
  <w:num w:numId="5">
    <w:abstractNumId w:val="15"/>
  </w:num>
  <w:num w:numId="6">
    <w:abstractNumId w:val="1"/>
  </w:num>
  <w:num w:numId="7">
    <w:abstractNumId w:val="11"/>
  </w:num>
  <w:num w:numId="8">
    <w:abstractNumId w:val="23"/>
  </w:num>
  <w:num w:numId="9">
    <w:abstractNumId w:val="17"/>
  </w:num>
  <w:num w:numId="10">
    <w:abstractNumId w:val="22"/>
  </w:num>
  <w:num w:numId="11">
    <w:abstractNumId w:val="4"/>
  </w:num>
  <w:num w:numId="12">
    <w:abstractNumId w:val="3"/>
  </w:num>
  <w:num w:numId="13">
    <w:abstractNumId w:val="6"/>
  </w:num>
  <w:num w:numId="14">
    <w:abstractNumId w:val="5"/>
  </w:num>
  <w:num w:numId="15">
    <w:abstractNumId w:val="9"/>
  </w:num>
  <w:num w:numId="16">
    <w:abstractNumId w:val="16"/>
  </w:num>
  <w:num w:numId="17">
    <w:abstractNumId w:val="13"/>
  </w:num>
  <w:num w:numId="18">
    <w:abstractNumId w:val="8"/>
  </w:num>
  <w:num w:numId="19">
    <w:abstractNumId w:val="19"/>
  </w:num>
  <w:num w:numId="20">
    <w:abstractNumId w:val="0"/>
  </w:num>
  <w:num w:numId="21">
    <w:abstractNumId w:val="20"/>
  </w:num>
  <w:num w:numId="22">
    <w:abstractNumId w:val="10"/>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2E"/>
    <w:rsid w:val="000047A5"/>
    <w:rsid w:val="00012339"/>
    <w:rsid w:val="000239D0"/>
    <w:rsid w:val="00026603"/>
    <w:rsid w:val="0003779B"/>
    <w:rsid w:val="00053434"/>
    <w:rsid w:val="0005399A"/>
    <w:rsid w:val="00071D95"/>
    <w:rsid w:val="00080BC1"/>
    <w:rsid w:val="000845DA"/>
    <w:rsid w:val="00094809"/>
    <w:rsid w:val="000C205C"/>
    <w:rsid w:val="000C5B01"/>
    <w:rsid w:val="000D3957"/>
    <w:rsid w:val="00101204"/>
    <w:rsid w:val="00111429"/>
    <w:rsid w:val="00121275"/>
    <w:rsid w:val="0012438E"/>
    <w:rsid w:val="0012744B"/>
    <w:rsid w:val="00132693"/>
    <w:rsid w:val="00141CB9"/>
    <w:rsid w:val="00160C2E"/>
    <w:rsid w:val="001613CD"/>
    <w:rsid w:val="001650DB"/>
    <w:rsid w:val="00173017"/>
    <w:rsid w:val="00186773"/>
    <w:rsid w:val="00186873"/>
    <w:rsid w:val="00194364"/>
    <w:rsid w:val="001C4A70"/>
    <w:rsid w:val="001C6C19"/>
    <w:rsid w:val="001D4180"/>
    <w:rsid w:val="001D47F1"/>
    <w:rsid w:val="001E1A4E"/>
    <w:rsid w:val="001E3780"/>
    <w:rsid w:val="001F541E"/>
    <w:rsid w:val="002065D3"/>
    <w:rsid w:val="00213973"/>
    <w:rsid w:val="002333B7"/>
    <w:rsid w:val="00235F4C"/>
    <w:rsid w:val="00244743"/>
    <w:rsid w:val="00252875"/>
    <w:rsid w:val="00266D25"/>
    <w:rsid w:val="002947F4"/>
    <w:rsid w:val="002D2B79"/>
    <w:rsid w:val="002E4A57"/>
    <w:rsid w:val="003171D3"/>
    <w:rsid w:val="00322379"/>
    <w:rsid w:val="00330C94"/>
    <w:rsid w:val="003451AD"/>
    <w:rsid w:val="0035568D"/>
    <w:rsid w:val="00367DF7"/>
    <w:rsid w:val="00381118"/>
    <w:rsid w:val="003909ED"/>
    <w:rsid w:val="00393121"/>
    <w:rsid w:val="003A0754"/>
    <w:rsid w:val="003A1D9E"/>
    <w:rsid w:val="003C72B1"/>
    <w:rsid w:val="003E36DD"/>
    <w:rsid w:val="003E6E43"/>
    <w:rsid w:val="00413491"/>
    <w:rsid w:val="00413EA7"/>
    <w:rsid w:val="00433DBC"/>
    <w:rsid w:val="0046119F"/>
    <w:rsid w:val="0046199C"/>
    <w:rsid w:val="00480857"/>
    <w:rsid w:val="004861D6"/>
    <w:rsid w:val="00496228"/>
    <w:rsid w:val="004A2E9E"/>
    <w:rsid w:val="004C4AC9"/>
    <w:rsid w:val="004D082C"/>
    <w:rsid w:val="004D0EE5"/>
    <w:rsid w:val="004D1D48"/>
    <w:rsid w:val="004D31A5"/>
    <w:rsid w:val="004D6529"/>
    <w:rsid w:val="004E3BCA"/>
    <w:rsid w:val="004E5119"/>
    <w:rsid w:val="004E7871"/>
    <w:rsid w:val="004F6C8E"/>
    <w:rsid w:val="00521B56"/>
    <w:rsid w:val="00534FBA"/>
    <w:rsid w:val="00544B92"/>
    <w:rsid w:val="005535D9"/>
    <w:rsid w:val="00557A2D"/>
    <w:rsid w:val="0056614A"/>
    <w:rsid w:val="00576D37"/>
    <w:rsid w:val="0058507A"/>
    <w:rsid w:val="00587935"/>
    <w:rsid w:val="005919A3"/>
    <w:rsid w:val="005D0D82"/>
    <w:rsid w:val="005D7DA7"/>
    <w:rsid w:val="005E1EEE"/>
    <w:rsid w:val="005F3C44"/>
    <w:rsid w:val="00610A5D"/>
    <w:rsid w:val="0061265A"/>
    <w:rsid w:val="00616073"/>
    <w:rsid w:val="006536CD"/>
    <w:rsid w:val="00661D85"/>
    <w:rsid w:val="00671040"/>
    <w:rsid w:val="00681338"/>
    <w:rsid w:val="006836CC"/>
    <w:rsid w:val="006A616A"/>
    <w:rsid w:val="006B3097"/>
    <w:rsid w:val="006C1DE8"/>
    <w:rsid w:val="006D3E48"/>
    <w:rsid w:val="006D7BF3"/>
    <w:rsid w:val="006E1A70"/>
    <w:rsid w:val="006E3A18"/>
    <w:rsid w:val="00702467"/>
    <w:rsid w:val="00713C03"/>
    <w:rsid w:val="00723ABF"/>
    <w:rsid w:val="00745A0E"/>
    <w:rsid w:val="00757565"/>
    <w:rsid w:val="0075790D"/>
    <w:rsid w:val="00762217"/>
    <w:rsid w:val="00767D4B"/>
    <w:rsid w:val="00777910"/>
    <w:rsid w:val="00792710"/>
    <w:rsid w:val="00792770"/>
    <w:rsid w:val="007C1206"/>
    <w:rsid w:val="007C3609"/>
    <w:rsid w:val="007D1DE7"/>
    <w:rsid w:val="007F11B4"/>
    <w:rsid w:val="007F7763"/>
    <w:rsid w:val="007F7C33"/>
    <w:rsid w:val="008058FB"/>
    <w:rsid w:val="0081304A"/>
    <w:rsid w:val="00821427"/>
    <w:rsid w:val="00831039"/>
    <w:rsid w:val="008800CE"/>
    <w:rsid w:val="008943CB"/>
    <w:rsid w:val="008B1F4B"/>
    <w:rsid w:val="008D48A8"/>
    <w:rsid w:val="008E1C04"/>
    <w:rsid w:val="008E278A"/>
    <w:rsid w:val="00912C8A"/>
    <w:rsid w:val="0091350D"/>
    <w:rsid w:val="00935316"/>
    <w:rsid w:val="009356E5"/>
    <w:rsid w:val="00935850"/>
    <w:rsid w:val="00945C72"/>
    <w:rsid w:val="00960C2E"/>
    <w:rsid w:val="00964ADF"/>
    <w:rsid w:val="00971AFA"/>
    <w:rsid w:val="009B137D"/>
    <w:rsid w:val="009C5E7B"/>
    <w:rsid w:val="009C7CFD"/>
    <w:rsid w:val="009F2C89"/>
    <w:rsid w:val="009F3215"/>
    <w:rsid w:val="00A0072B"/>
    <w:rsid w:val="00A027B9"/>
    <w:rsid w:val="00A03880"/>
    <w:rsid w:val="00A117D0"/>
    <w:rsid w:val="00A35D9F"/>
    <w:rsid w:val="00A5418F"/>
    <w:rsid w:val="00A72EB6"/>
    <w:rsid w:val="00A91296"/>
    <w:rsid w:val="00AA1A2E"/>
    <w:rsid w:val="00AA7E26"/>
    <w:rsid w:val="00AB6BB2"/>
    <w:rsid w:val="00AD6B25"/>
    <w:rsid w:val="00AE2DD0"/>
    <w:rsid w:val="00B015CF"/>
    <w:rsid w:val="00B1643A"/>
    <w:rsid w:val="00B40852"/>
    <w:rsid w:val="00B42E55"/>
    <w:rsid w:val="00B5475E"/>
    <w:rsid w:val="00B66B2B"/>
    <w:rsid w:val="00B70E4F"/>
    <w:rsid w:val="00B91F6D"/>
    <w:rsid w:val="00BA37E7"/>
    <w:rsid w:val="00BB477E"/>
    <w:rsid w:val="00BB60A0"/>
    <w:rsid w:val="00BC7DD9"/>
    <w:rsid w:val="00BE2EE5"/>
    <w:rsid w:val="00BE5053"/>
    <w:rsid w:val="00C11552"/>
    <w:rsid w:val="00C1609B"/>
    <w:rsid w:val="00C2309C"/>
    <w:rsid w:val="00C42D38"/>
    <w:rsid w:val="00C507D5"/>
    <w:rsid w:val="00C62CC9"/>
    <w:rsid w:val="00C73AB1"/>
    <w:rsid w:val="00C76F12"/>
    <w:rsid w:val="00C82862"/>
    <w:rsid w:val="00C918DC"/>
    <w:rsid w:val="00C95375"/>
    <w:rsid w:val="00CB5AE4"/>
    <w:rsid w:val="00CC2B7D"/>
    <w:rsid w:val="00CD3C8C"/>
    <w:rsid w:val="00CD416F"/>
    <w:rsid w:val="00CD6EC5"/>
    <w:rsid w:val="00CE65C8"/>
    <w:rsid w:val="00CF3CAB"/>
    <w:rsid w:val="00CF69D7"/>
    <w:rsid w:val="00CF7C97"/>
    <w:rsid w:val="00D12A08"/>
    <w:rsid w:val="00D16769"/>
    <w:rsid w:val="00D23B4B"/>
    <w:rsid w:val="00D30AEE"/>
    <w:rsid w:val="00D40D1E"/>
    <w:rsid w:val="00D418F5"/>
    <w:rsid w:val="00D45700"/>
    <w:rsid w:val="00D53669"/>
    <w:rsid w:val="00D57A75"/>
    <w:rsid w:val="00D63D1E"/>
    <w:rsid w:val="00D66601"/>
    <w:rsid w:val="00D67F0A"/>
    <w:rsid w:val="00D72579"/>
    <w:rsid w:val="00D72649"/>
    <w:rsid w:val="00D727B7"/>
    <w:rsid w:val="00D72A7E"/>
    <w:rsid w:val="00D9126B"/>
    <w:rsid w:val="00D9382E"/>
    <w:rsid w:val="00DA26AC"/>
    <w:rsid w:val="00DA5DA0"/>
    <w:rsid w:val="00DB6D76"/>
    <w:rsid w:val="00E1004D"/>
    <w:rsid w:val="00E21697"/>
    <w:rsid w:val="00E31202"/>
    <w:rsid w:val="00E44B2E"/>
    <w:rsid w:val="00E6114A"/>
    <w:rsid w:val="00E619C7"/>
    <w:rsid w:val="00E720E4"/>
    <w:rsid w:val="00E72B22"/>
    <w:rsid w:val="00E74DF7"/>
    <w:rsid w:val="00E75198"/>
    <w:rsid w:val="00EB0DCF"/>
    <w:rsid w:val="00EC09CF"/>
    <w:rsid w:val="00EC3FF0"/>
    <w:rsid w:val="00ED09E3"/>
    <w:rsid w:val="00EF1706"/>
    <w:rsid w:val="00F2106A"/>
    <w:rsid w:val="00F24FE3"/>
    <w:rsid w:val="00F25CBA"/>
    <w:rsid w:val="00F2711A"/>
    <w:rsid w:val="00F27196"/>
    <w:rsid w:val="00F349AD"/>
    <w:rsid w:val="00F67850"/>
    <w:rsid w:val="00F70D29"/>
    <w:rsid w:val="00F71E61"/>
    <w:rsid w:val="00F731ED"/>
    <w:rsid w:val="00F77267"/>
    <w:rsid w:val="00FA597A"/>
    <w:rsid w:val="00FB419D"/>
    <w:rsid w:val="00FD70E7"/>
    <w:rsid w:val="00FE5FEB"/>
    <w:rsid w:val="00FE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2CD8D"/>
  <w15:docId w15:val="{4DD9F61E-3392-4027-89A0-25175B94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pPr>
      <w:keepNext/>
      <w:jc w:val="right"/>
      <w:outlineLvl w:val="0"/>
    </w:pPr>
    <w:rPr>
      <w:sz w:val="24"/>
      <w:szCs w:val="24"/>
    </w:rPr>
  </w:style>
  <w:style w:type="paragraph" w:styleId="Heading2">
    <w:name w:val="heading 2"/>
    <w:basedOn w:val="Normal"/>
    <w:next w:val="Normal"/>
    <w:qFormat/>
    <w:pPr>
      <w:keepNext/>
      <w:jc w:val="center"/>
      <w:outlineLvl w:val="1"/>
    </w:pPr>
    <w:rPr>
      <w:sz w:val="24"/>
      <w:szCs w:val="24"/>
    </w:rPr>
  </w:style>
  <w:style w:type="paragraph" w:styleId="Heading3">
    <w:name w:val="heading 3"/>
    <w:basedOn w:val="Normal"/>
    <w:next w:val="Normal"/>
    <w:qFormat/>
    <w:pPr>
      <w:keepNext/>
      <w:numPr>
        <w:numId w:val="1"/>
      </w:numPr>
      <w:outlineLvl w:val="2"/>
    </w:pPr>
    <w:rPr>
      <w:sz w:val="24"/>
      <w:szCs w:val="24"/>
      <w:u w:val="single"/>
    </w:rPr>
  </w:style>
  <w:style w:type="paragraph" w:styleId="Heading4">
    <w:name w:val="heading 4"/>
    <w:basedOn w:val="Normal"/>
    <w:next w:val="Normal"/>
    <w:qFormat/>
    <w:pPr>
      <w:keepNext/>
      <w:numPr>
        <w:numId w:val="7"/>
      </w:numPr>
      <w:outlineLvl w:val="3"/>
    </w:pPr>
    <w:rPr>
      <w:b/>
      <w:bCs/>
      <w:sz w:val="28"/>
      <w:szCs w:val="28"/>
      <w:u w:val="single"/>
    </w:rPr>
  </w:style>
  <w:style w:type="paragraph" w:styleId="Heading5">
    <w:name w:val="heading 5"/>
    <w:basedOn w:val="Normal"/>
    <w:next w:val="Normal"/>
    <w:qFormat/>
    <w:pPr>
      <w:keepNext/>
      <w:tabs>
        <w:tab w:val="left" w:pos="8190"/>
      </w:tabs>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widowControl w:val="0"/>
      <w:ind w:left="1440"/>
    </w:pPr>
    <w:rPr>
      <w:rFonts w:ascii="Courier New" w:hAnsi="Courier New" w:cs="Courier New"/>
      <w:snapToGrid w:val="0"/>
      <w:sz w:val="24"/>
      <w:szCs w:val="24"/>
      <w:lang w:eastAsia="en-U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widowControl w:val="0"/>
    </w:pPr>
    <w:rPr>
      <w:rFonts w:ascii="Courier" w:hAnsi="Courier"/>
      <w:snapToGrid w:val="0"/>
      <w:sz w:val="24"/>
      <w:szCs w:val="24"/>
      <w:lang w:eastAsia="en-US"/>
    </w:rPr>
  </w:style>
  <w:style w:type="paragraph" w:styleId="BodyText3">
    <w:name w:val="Body Text 3"/>
    <w:basedOn w:val="Normal"/>
    <w:rsid w:val="00D9382E"/>
    <w:pPr>
      <w:spacing w:after="120"/>
    </w:pPr>
    <w:rPr>
      <w:sz w:val="16"/>
      <w:szCs w:val="16"/>
    </w:rPr>
  </w:style>
  <w:style w:type="paragraph" w:styleId="BodyText2">
    <w:name w:val="Body Text 2"/>
    <w:basedOn w:val="Normal"/>
    <w:rsid w:val="00D9382E"/>
    <w:pPr>
      <w:spacing w:after="120" w:line="480" w:lineRule="auto"/>
    </w:pPr>
  </w:style>
  <w:style w:type="paragraph" w:styleId="BalloonText">
    <w:name w:val="Balloon Text"/>
    <w:basedOn w:val="Normal"/>
    <w:semiHidden/>
    <w:rsid w:val="00CB5AE4"/>
    <w:rPr>
      <w:rFonts w:ascii="Tahoma" w:hAnsi="Tahoma" w:cs="Tahoma"/>
      <w:sz w:val="16"/>
      <w:szCs w:val="16"/>
    </w:rPr>
  </w:style>
  <w:style w:type="paragraph" w:styleId="DocumentMap">
    <w:name w:val="Document Map"/>
    <w:basedOn w:val="Normal"/>
    <w:semiHidden/>
    <w:rsid w:val="00393121"/>
    <w:pPr>
      <w:shd w:val="clear" w:color="auto" w:fill="000080"/>
    </w:pPr>
    <w:rPr>
      <w:rFonts w:ascii="Tahoma" w:hAnsi="Tahoma" w:cs="Tahoma"/>
    </w:rPr>
  </w:style>
  <w:style w:type="paragraph" w:styleId="ListParagraph">
    <w:name w:val="List Paragraph"/>
    <w:basedOn w:val="Normal"/>
    <w:uiPriority w:val="34"/>
    <w:qFormat/>
    <w:rsid w:val="001613CD"/>
    <w:pPr>
      <w:spacing w:after="200" w:line="276"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rsid w:val="00AA7E26"/>
    <w:rPr>
      <w:sz w:val="16"/>
      <w:szCs w:val="16"/>
    </w:rPr>
  </w:style>
  <w:style w:type="paragraph" w:styleId="CommentText">
    <w:name w:val="annotation text"/>
    <w:basedOn w:val="Normal"/>
    <w:link w:val="CommentTextChar"/>
    <w:rsid w:val="00AA7E26"/>
  </w:style>
  <w:style w:type="character" w:customStyle="1" w:styleId="CommentTextChar">
    <w:name w:val="Comment Text Char"/>
    <w:basedOn w:val="DefaultParagraphFont"/>
    <w:link w:val="CommentText"/>
    <w:rsid w:val="00AA7E26"/>
    <w:rPr>
      <w:lang w:eastAsia="zh-CN"/>
    </w:rPr>
  </w:style>
  <w:style w:type="paragraph" w:styleId="CommentSubject">
    <w:name w:val="annotation subject"/>
    <w:basedOn w:val="CommentText"/>
    <w:next w:val="CommentText"/>
    <w:link w:val="CommentSubjectChar"/>
    <w:rsid w:val="00AA7E26"/>
    <w:rPr>
      <w:b/>
      <w:bCs/>
    </w:rPr>
  </w:style>
  <w:style w:type="character" w:customStyle="1" w:styleId="CommentSubjectChar">
    <w:name w:val="Comment Subject Char"/>
    <w:basedOn w:val="CommentTextChar"/>
    <w:link w:val="CommentSubject"/>
    <w:rsid w:val="00AA7E26"/>
    <w:rPr>
      <w:b/>
      <w:bCs/>
      <w:lang w:eastAsia="zh-CN"/>
    </w:rPr>
  </w:style>
  <w:style w:type="table" w:styleId="TableGrid">
    <w:name w:val="Table Grid"/>
    <w:basedOn w:val="TableNormal"/>
    <w:rsid w:val="00C82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t8">
    <w:name w:val="TxBr_t8"/>
    <w:basedOn w:val="Normal"/>
    <w:rsid w:val="000239D0"/>
    <w:pPr>
      <w:widowControl w:val="0"/>
      <w:autoSpaceDE w:val="0"/>
      <w:autoSpaceDN w:val="0"/>
      <w:adjustRightInd w:val="0"/>
      <w:spacing w:line="277" w:lineRule="atLeast"/>
    </w:pPr>
    <w:rPr>
      <w:sz w:val="24"/>
      <w:szCs w:val="24"/>
      <w:lang w:eastAsia="en-US"/>
    </w:rPr>
  </w:style>
  <w:style w:type="character" w:customStyle="1" w:styleId="HeaderChar">
    <w:name w:val="Header Char"/>
    <w:link w:val="Header"/>
    <w:rsid w:val="000239D0"/>
    <w:rPr>
      <w:lang w:eastAsia="zh-CN"/>
    </w:rPr>
  </w:style>
  <w:style w:type="character" w:styleId="Hyperlink">
    <w:name w:val="Hyperlink"/>
    <w:basedOn w:val="DefaultParagraphFont"/>
    <w:uiPriority w:val="99"/>
    <w:semiHidden/>
    <w:unhideWhenUsed/>
    <w:rsid w:val="00252875"/>
    <w:rPr>
      <w:color w:val="0563C1"/>
      <w:u w:val="single"/>
    </w:rPr>
  </w:style>
  <w:style w:type="paragraph" w:styleId="Title">
    <w:name w:val="Title"/>
    <w:basedOn w:val="Normal"/>
    <w:next w:val="Normal"/>
    <w:link w:val="TitleChar"/>
    <w:uiPriority w:val="10"/>
    <w:qFormat/>
    <w:rsid w:val="00D53669"/>
    <w:pPr>
      <w:spacing w:before="240" w:after="60"/>
      <w:jc w:val="center"/>
      <w:outlineLvl w:val="0"/>
    </w:pPr>
    <w:rPr>
      <w:rFonts w:ascii="Cambria" w:hAnsi="Cambria"/>
      <w:b/>
      <w:bCs/>
      <w:kern w:val="28"/>
      <w:sz w:val="32"/>
      <w:szCs w:val="32"/>
      <w:lang w:eastAsia="en-US"/>
    </w:rPr>
  </w:style>
  <w:style w:type="character" w:customStyle="1" w:styleId="TitleChar">
    <w:name w:val="Title Char"/>
    <w:basedOn w:val="DefaultParagraphFont"/>
    <w:link w:val="Title"/>
    <w:uiPriority w:val="10"/>
    <w:rsid w:val="00D53669"/>
    <w:rPr>
      <w:rFonts w:ascii="Cambria" w:hAnsi="Cambria"/>
      <w:b/>
      <w:bCs/>
      <w:kern w:val="28"/>
      <w:sz w:val="32"/>
      <w:szCs w:val="32"/>
    </w:rPr>
  </w:style>
  <w:style w:type="paragraph" w:styleId="Revision">
    <w:name w:val="Revision"/>
    <w:hidden/>
    <w:uiPriority w:val="71"/>
    <w:rsid w:val="00381118"/>
    <w:rPr>
      <w:rFonts w:ascii="Courier" w:hAnsi="Courier"/>
      <w:noProof/>
      <w:snapToGrid w:val="0"/>
      <w:sz w:val="24"/>
      <w:szCs w:val="24"/>
    </w:rPr>
  </w:style>
  <w:style w:type="table" w:customStyle="1" w:styleId="TableGrid3">
    <w:name w:val="Table Grid3"/>
    <w:basedOn w:val="TableNormal"/>
    <w:next w:val="TableGrid"/>
    <w:uiPriority w:val="39"/>
    <w:rsid w:val="00381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32844">
      <w:bodyDiv w:val="1"/>
      <w:marLeft w:val="0"/>
      <w:marRight w:val="0"/>
      <w:marTop w:val="0"/>
      <w:marBottom w:val="0"/>
      <w:divBdr>
        <w:top w:val="none" w:sz="0" w:space="0" w:color="auto"/>
        <w:left w:val="none" w:sz="0" w:space="0" w:color="auto"/>
        <w:bottom w:val="none" w:sz="0" w:space="0" w:color="auto"/>
        <w:right w:val="none" w:sz="0" w:space="0" w:color="auto"/>
      </w:divBdr>
    </w:div>
    <w:div w:id="665322411">
      <w:bodyDiv w:val="1"/>
      <w:marLeft w:val="0"/>
      <w:marRight w:val="0"/>
      <w:marTop w:val="0"/>
      <w:marBottom w:val="0"/>
      <w:divBdr>
        <w:top w:val="none" w:sz="0" w:space="0" w:color="auto"/>
        <w:left w:val="none" w:sz="0" w:space="0" w:color="auto"/>
        <w:bottom w:val="none" w:sz="0" w:space="0" w:color="auto"/>
        <w:right w:val="none" w:sz="0" w:space="0" w:color="auto"/>
      </w:divBdr>
    </w:div>
    <w:div w:id="1238395291">
      <w:bodyDiv w:val="1"/>
      <w:marLeft w:val="0"/>
      <w:marRight w:val="0"/>
      <w:marTop w:val="0"/>
      <w:marBottom w:val="0"/>
      <w:divBdr>
        <w:top w:val="none" w:sz="0" w:space="0" w:color="auto"/>
        <w:left w:val="none" w:sz="0" w:space="0" w:color="auto"/>
        <w:bottom w:val="none" w:sz="0" w:space="0" w:color="auto"/>
        <w:right w:val="none" w:sz="0" w:space="0" w:color="auto"/>
      </w:divBdr>
    </w:div>
    <w:div w:id="1399597968">
      <w:bodyDiv w:val="1"/>
      <w:marLeft w:val="0"/>
      <w:marRight w:val="0"/>
      <w:marTop w:val="0"/>
      <w:marBottom w:val="0"/>
      <w:divBdr>
        <w:top w:val="none" w:sz="0" w:space="0" w:color="auto"/>
        <w:left w:val="none" w:sz="0" w:space="0" w:color="auto"/>
        <w:bottom w:val="none" w:sz="0" w:space="0" w:color="auto"/>
        <w:right w:val="none" w:sz="0" w:space="0" w:color="auto"/>
      </w:divBdr>
    </w:div>
    <w:div w:id="1659073233">
      <w:bodyDiv w:val="1"/>
      <w:marLeft w:val="0"/>
      <w:marRight w:val="0"/>
      <w:marTop w:val="0"/>
      <w:marBottom w:val="0"/>
      <w:divBdr>
        <w:top w:val="none" w:sz="0" w:space="0" w:color="auto"/>
        <w:left w:val="none" w:sz="0" w:space="0" w:color="auto"/>
        <w:bottom w:val="none" w:sz="0" w:space="0" w:color="auto"/>
        <w:right w:val="none" w:sz="0" w:space="0" w:color="auto"/>
      </w:divBdr>
    </w:div>
    <w:div w:id="1813401823">
      <w:bodyDiv w:val="1"/>
      <w:marLeft w:val="0"/>
      <w:marRight w:val="0"/>
      <w:marTop w:val="0"/>
      <w:marBottom w:val="0"/>
      <w:divBdr>
        <w:top w:val="none" w:sz="0" w:space="0" w:color="auto"/>
        <w:left w:val="none" w:sz="0" w:space="0" w:color="auto"/>
        <w:bottom w:val="none" w:sz="0" w:space="0" w:color="auto"/>
        <w:right w:val="none" w:sz="0" w:space="0" w:color="auto"/>
      </w:divBdr>
    </w:div>
    <w:div w:id="1873035911">
      <w:bodyDiv w:val="1"/>
      <w:marLeft w:val="0"/>
      <w:marRight w:val="0"/>
      <w:marTop w:val="0"/>
      <w:marBottom w:val="0"/>
      <w:divBdr>
        <w:top w:val="none" w:sz="0" w:space="0" w:color="auto"/>
        <w:left w:val="none" w:sz="0" w:space="0" w:color="auto"/>
        <w:bottom w:val="none" w:sz="0" w:space="0" w:color="auto"/>
        <w:right w:val="none" w:sz="0" w:space="0" w:color="auto"/>
      </w:divBdr>
    </w:div>
    <w:div w:id="1929386810">
      <w:bodyDiv w:val="1"/>
      <w:marLeft w:val="0"/>
      <w:marRight w:val="0"/>
      <w:marTop w:val="0"/>
      <w:marBottom w:val="0"/>
      <w:divBdr>
        <w:top w:val="none" w:sz="0" w:space="0" w:color="auto"/>
        <w:left w:val="none" w:sz="0" w:space="0" w:color="auto"/>
        <w:bottom w:val="none" w:sz="0" w:space="0" w:color="auto"/>
        <w:right w:val="none" w:sz="0" w:space="0" w:color="auto"/>
      </w:divBdr>
    </w:div>
    <w:div w:id="1964313182">
      <w:bodyDiv w:val="1"/>
      <w:marLeft w:val="0"/>
      <w:marRight w:val="0"/>
      <w:marTop w:val="0"/>
      <w:marBottom w:val="0"/>
      <w:divBdr>
        <w:top w:val="none" w:sz="0" w:space="0" w:color="auto"/>
        <w:left w:val="none" w:sz="0" w:space="0" w:color="auto"/>
        <w:bottom w:val="none" w:sz="0" w:space="0" w:color="auto"/>
        <w:right w:val="none" w:sz="0" w:space="0" w:color="auto"/>
      </w:divBdr>
    </w:div>
    <w:div w:id="2002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a.gov/legislation/2021FactSheet.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1 xmlns="026add61-37fa-419d-a7a3-0962aba9f5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D6956938498A49BE1D31E1C4BAFDDD" ma:contentTypeVersion="4" ma:contentTypeDescription="Create a new document." ma:contentTypeScope="" ma:versionID="f6af1500c74bd87f1a37eae5f5521ecc">
  <xsd:schema xmlns:xsd="http://www.w3.org/2001/XMLSchema" xmlns:xs="http://www.w3.org/2001/XMLSchema" xmlns:p="http://schemas.microsoft.com/office/2006/metadata/properties" xmlns:ns2="026add61-37fa-419d-a7a3-0962aba9f528" targetNamespace="http://schemas.microsoft.com/office/2006/metadata/properties" ma:root="true" ma:fieldsID="721d5ff07bbaf2d08fd3f7b73bfaafe8" ns2:_="">
    <xsd:import namespace="026add61-37fa-419d-a7a3-0962aba9f528"/>
    <xsd:element name="properties">
      <xsd:complexType>
        <xsd:sequence>
          <xsd:element name="documentManagement">
            <xsd:complexType>
              <xsd:all>
                <xsd:element ref="ns2:Notes1"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add61-37fa-419d-a7a3-0962aba9f528"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3FCEA-F8CA-4D43-B5AF-A701C4A3C3F7}">
  <ds:schemaRefs>
    <ds:schemaRef ds:uri="http://schemas.microsoft.com/sharepoint/v3/contenttype/forms"/>
  </ds:schemaRefs>
</ds:datastoreItem>
</file>

<file path=customXml/itemProps2.xml><?xml version="1.0" encoding="utf-8"?>
<ds:datastoreItem xmlns:ds="http://schemas.openxmlformats.org/officeDocument/2006/customXml" ds:itemID="{814D50D4-27FD-4034-AE03-00C96B3155D8}">
  <ds:schemaRefs>
    <ds:schemaRef ds:uri="http://schemas.microsoft.com/office/2006/documentManagement/types"/>
    <ds:schemaRef ds:uri="http://schemas.openxmlformats.org/package/2006/metadata/core-properties"/>
    <ds:schemaRef ds:uri="http://purl.org/dc/elements/1.1/"/>
    <ds:schemaRef ds:uri="026add61-37fa-419d-a7a3-0962aba9f528"/>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7DAFF9F-3AAD-4C6C-83F4-1D47CB45E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add61-37fa-419d-a7a3-0962aba9f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40B02-C7E3-4C7F-A3AE-7D5A8C40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1791</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June 1996</vt:lpstr>
    </vt:vector>
  </TitlesOfParts>
  <Company>Social Security Administration</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1996</dc:title>
  <dc:creator>652030</dc:creator>
  <cp:lastModifiedBy>Lowman, Eric</cp:lastModifiedBy>
  <cp:revision>3</cp:revision>
  <cp:lastPrinted>2017-04-19T20:13:00Z</cp:lastPrinted>
  <dcterms:created xsi:type="dcterms:W3CDTF">2021-03-02T18:48:00Z</dcterms:created>
  <dcterms:modified xsi:type="dcterms:W3CDTF">2021-03-04T19:05:00Z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0x0101006FD6956938498A49BE1D31E1C4BAFDDD</vt:lpwstr>
  </property>
  <property fmtid="{D5CDD505-2E9C-101B-9397-08002B2CF9AE}" pid="4" name="_dlc_DocIdItemGuid">
    <vt:lpwstr>73748500-02fe-4d0a-983f-202ac5206d99</vt:lpwstr>
  </property>
  <property fmtid="{D5CDD505-2E9C-101B-9397-08002B2CF9AE}" pid="5" name="_AdHocReviewCycleID">
    <vt:i4>1184841463</vt:i4>
  </property>
  <property fmtid="{D5CDD505-2E9C-101B-9397-08002B2CF9AE}" pid="6" name="_EmailSubject">
    <vt:lpwstr>0960-0277</vt:lpwstr>
  </property>
  <property fmtid="{D5CDD505-2E9C-101B-9397-08002B2CF9AE}" pid="7" name="_AuthorEmail">
    <vt:lpwstr>Naomi.Sipple@ssa.gov</vt:lpwstr>
  </property>
  <property fmtid="{D5CDD505-2E9C-101B-9397-08002B2CF9AE}" pid="8" name="_AuthorEmailDisplayName">
    <vt:lpwstr>Sipple, Naomi</vt:lpwstr>
  </property>
  <property fmtid="{D5CDD505-2E9C-101B-9397-08002B2CF9AE}" pid="9" name="_PreviousAdHocReviewCycleID">
    <vt:i4>-633513261</vt:i4>
  </property>
  <property fmtid="{D5CDD505-2E9C-101B-9397-08002B2CF9AE}" pid="10" name="_ReviewingToolsShownOnce">
    <vt:lpwstr/>
  </property>
</Properties>
</file>